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99898" w14:textId="6314D0D0" w:rsidR="0022434E" w:rsidRDefault="003809B4" w:rsidP="001E0823">
      <w:pPr>
        <w:pStyle w:val="Title"/>
      </w:pPr>
      <w:r>
        <w:t>National Disability Insurance Agency</w:t>
      </w:r>
      <w:r>
        <w:br/>
      </w:r>
      <w:r w:rsidR="0022434E" w:rsidRPr="0022434E">
        <w:t>Annual Report</w:t>
      </w:r>
      <w:r w:rsidR="0022434E">
        <w:t xml:space="preserve"> 16/17</w:t>
      </w:r>
    </w:p>
    <w:p w14:paraId="5D5377F0" w14:textId="77777777" w:rsidR="0022434E" w:rsidRDefault="0022434E" w:rsidP="001E0823">
      <w:pPr>
        <w:pStyle w:val="BodyText"/>
        <w:rPr>
          <w:rFonts w:eastAsiaTheme="majorEastAsia" w:cstheme="majorBidi"/>
          <w:spacing w:val="-10"/>
          <w:kern w:val="28"/>
          <w:sz w:val="56"/>
          <w:szCs w:val="56"/>
        </w:rPr>
      </w:pPr>
      <w:r>
        <w:br w:type="page"/>
      </w:r>
    </w:p>
    <w:p w14:paraId="7FFC4E63" w14:textId="77777777" w:rsidR="0022434E" w:rsidRDefault="0022434E" w:rsidP="001E0823">
      <w:pPr>
        <w:pStyle w:val="Intro"/>
      </w:pPr>
      <w:r>
        <w:lastRenderedPageBreak/>
        <w:t>Dear NDIS,</w:t>
      </w:r>
    </w:p>
    <w:p w14:paraId="0D58384F" w14:textId="77777777" w:rsidR="0022434E" w:rsidRDefault="0022434E" w:rsidP="001E0823">
      <w:pPr>
        <w:pStyle w:val="Intro"/>
      </w:pPr>
      <w:r>
        <w:t>Just wanted to say thank you. My son is off with his support worker today having fun with some new friends in that big wide world that has always been so scared of him.</w:t>
      </w:r>
      <w:r>
        <w:cr/>
        <w:t xml:space="preserve">Me, I’ve had a few leisurely cups of tea, read the news, done the washing, and </w:t>
      </w:r>
    </w:p>
    <w:p w14:paraId="7C51DBCA" w14:textId="571DB395" w:rsidR="0022434E" w:rsidRDefault="0022434E" w:rsidP="001E0823">
      <w:pPr>
        <w:pStyle w:val="Intro"/>
      </w:pPr>
      <w:r>
        <w:t>I must admit, feeling a tad lost. You see, in 22 years I have forgotten how to just sit and relax, to do things just for me.</w:t>
      </w:r>
    </w:p>
    <w:p w14:paraId="51B271AA" w14:textId="638B1747" w:rsidR="00BE3675" w:rsidRDefault="0022434E" w:rsidP="001E0823">
      <w:pPr>
        <w:pStyle w:val="Intro"/>
      </w:pPr>
      <w:r>
        <w:t>- Karen, mother of NDIS participant</w:t>
      </w:r>
    </w:p>
    <w:p w14:paraId="6A08E837" w14:textId="77777777" w:rsidR="00BE3675" w:rsidRDefault="00BE3675" w:rsidP="001E0823">
      <w:pPr>
        <w:rPr>
          <w:color w:val="6B2976" w:themeColor="background2"/>
        </w:rPr>
      </w:pPr>
      <w:r>
        <w:br w:type="page"/>
      </w:r>
    </w:p>
    <w:p w14:paraId="132A9C5A" w14:textId="77777777" w:rsidR="00BE3675" w:rsidRPr="004450E3" w:rsidRDefault="00BE3675" w:rsidP="001E0823">
      <w:pPr>
        <w:pStyle w:val="Heading1"/>
      </w:pPr>
      <w:bookmarkStart w:id="0" w:name="_Toc496611862"/>
      <w:r w:rsidRPr="004450E3">
        <w:lastRenderedPageBreak/>
        <w:t>Letter of transmittal</w:t>
      </w:r>
      <w:bookmarkEnd w:id="0"/>
    </w:p>
    <w:p w14:paraId="39BB258D" w14:textId="44ACD7F4" w:rsidR="00BE3675" w:rsidRDefault="00BE3675" w:rsidP="001E0823">
      <w:pPr>
        <w:pStyle w:val="BodyText"/>
      </w:pPr>
      <w:r>
        <w:t>12 October 2017</w:t>
      </w:r>
      <w:r>
        <w:br/>
        <w:t>The Hon Christian Porter MP</w:t>
      </w:r>
      <w:r>
        <w:br/>
        <w:t xml:space="preserve">Minister for Social Services </w:t>
      </w:r>
      <w:r>
        <w:br/>
        <w:t>Parliament House</w:t>
      </w:r>
      <w:r>
        <w:br/>
        <w:t>CANBERRA ACT 2600</w:t>
      </w:r>
    </w:p>
    <w:p w14:paraId="35E582C8" w14:textId="77777777" w:rsidR="00BE3675" w:rsidRDefault="00BE3675" w:rsidP="001E0823">
      <w:pPr>
        <w:pStyle w:val="BodyText"/>
      </w:pPr>
    </w:p>
    <w:p w14:paraId="5B9C63D1" w14:textId="77777777" w:rsidR="00BE3675" w:rsidRDefault="00BE3675" w:rsidP="001E0823">
      <w:pPr>
        <w:pStyle w:val="BodyText"/>
      </w:pPr>
      <w:r>
        <w:t>Dear Minister,</w:t>
      </w:r>
    </w:p>
    <w:p w14:paraId="19AE41B6" w14:textId="77777777" w:rsidR="00BE3675" w:rsidRDefault="00BE3675" w:rsidP="001E0823">
      <w:pPr>
        <w:pStyle w:val="BodyText"/>
      </w:pPr>
      <w:r>
        <w:t>On behalf of the National Disability Insurance Agency, I present to you the Annual Report for the reporting year 1 July 2016 to 30 June 2017.</w:t>
      </w:r>
    </w:p>
    <w:p w14:paraId="4D1BB577" w14:textId="77777777" w:rsidR="00BE3675" w:rsidRDefault="00BE3675" w:rsidP="001E0823">
      <w:pPr>
        <w:pStyle w:val="BodyText"/>
      </w:pPr>
      <w:r>
        <w:t xml:space="preserve">The report provides a detailed description of the Agency’s operations during the year and has been prepared in accordance with </w:t>
      </w:r>
      <w:r w:rsidRPr="00BE3675">
        <w:t xml:space="preserve">the </w:t>
      </w:r>
      <w:r w:rsidRPr="000757DC">
        <w:rPr>
          <w:rStyle w:val="BodyTextItalic"/>
        </w:rPr>
        <w:t>Public Governance, Performance and Accountability Act 2013</w:t>
      </w:r>
      <w:r>
        <w:t xml:space="preserve"> (PGPA Act) and the </w:t>
      </w:r>
      <w:r w:rsidRPr="000757DC">
        <w:rPr>
          <w:rStyle w:val="BodyTextItalic"/>
        </w:rPr>
        <w:t>National Disability Insurance Scheme Act 2013</w:t>
      </w:r>
      <w:r>
        <w:t xml:space="preserve"> (the NDIS Act).</w:t>
      </w:r>
    </w:p>
    <w:p w14:paraId="3B0D619C" w14:textId="77777777" w:rsidR="00BE3675" w:rsidRDefault="00BE3675" w:rsidP="001E0823">
      <w:pPr>
        <w:pStyle w:val="BodyText"/>
      </w:pPr>
      <w:r>
        <w:t>In accordance with section 39 of the PGPA Act, the report provides information about the Agency’s performance in achieving its purposes.</w:t>
      </w:r>
    </w:p>
    <w:p w14:paraId="0B666D2D" w14:textId="77777777" w:rsidR="00BE3675" w:rsidRDefault="00BE3675" w:rsidP="001E0823">
      <w:pPr>
        <w:pStyle w:val="BodyText"/>
      </w:pPr>
      <w:r>
        <w:t>The report includes a copy of the Agency’s annual financial statements and the Auditor-General’s report as prescribed by subsection 43(4) of the PGPA Act.</w:t>
      </w:r>
    </w:p>
    <w:p w14:paraId="7377001B" w14:textId="77777777" w:rsidR="00BE3675" w:rsidRDefault="00BE3675" w:rsidP="001E0823">
      <w:pPr>
        <w:pStyle w:val="BodyText"/>
      </w:pPr>
      <w:r>
        <w:t>The report is made in accordance with a resolution of the Board of Directors, who are responsible for its preparation and content and is being provided to you as the responsible Minister under section 46 of the PGPA Act.</w:t>
      </w:r>
    </w:p>
    <w:p w14:paraId="0596A7B5" w14:textId="48FE653F" w:rsidR="00BE3675" w:rsidRDefault="00BE3675" w:rsidP="001E0823">
      <w:pPr>
        <w:pStyle w:val="BodyText"/>
      </w:pPr>
      <w:r>
        <w:t>The incorporated summary of the Annual Financial Sustainability Report 2016–17 and the inclusion of the reviewing actuary’s report fulfils the Agency’s obligations under subsection 172(4) of the NDIS Act.</w:t>
      </w:r>
    </w:p>
    <w:p w14:paraId="4032DA12" w14:textId="77777777" w:rsidR="00BE3675" w:rsidRDefault="00BE3675" w:rsidP="001E0823">
      <w:pPr>
        <w:pStyle w:val="BodyText"/>
      </w:pPr>
      <w:r>
        <w:t>Yours sincerely,</w:t>
      </w:r>
    </w:p>
    <w:p w14:paraId="7A61AD40" w14:textId="79E4AFD7" w:rsidR="00BE3675" w:rsidRPr="000757DC" w:rsidRDefault="00BE3675" w:rsidP="001E0823">
      <w:pPr>
        <w:rPr>
          <w:rStyle w:val="BodyTextBold"/>
        </w:rPr>
      </w:pPr>
      <w:r w:rsidRPr="000757DC">
        <w:rPr>
          <w:rStyle w:val="BodyTextBold"/>
        </w:rPr>
        <w:t>Dr Helen Nugent AO</w:t>
      </w:r>
      <w:r w:rsidRPr="000757DC">
        <w:rPr>
          <w:rStyle w:val="BodyTextBold"/>
        </w:rPr>
        <w:br/>
        <w:t>Chairman, National Disability Insurance Agency</w:t>
      </w:r>
    </w:p>
    <w:p w14:paraId="3B698D4E" w14:textId="77777777" w:rsidR="00BE3675" w:rsidRDefault="00BE3675" w:rsidP="001E0823">
      <w:r>
        <w:br w:type="page"/>
      </w:r>
      <w:bookmarkStart w:id="1" w:name="_GoBack"/>
      <w:bookmarkEnd w:id="1"/>
    </w:p>
    <w:p w14:paraId="10405C99" w14:textId="627EF428" w:rsidR="00BE3675" w:rsidRDefault="00BE3675" w:rsidP="001E0823">
      <w:pPr>
        <w:pStyle w:val="Heading1"/>
      </w:pPr>
      <w:bookmarkStart w:id="2" w:name="_Toc496611863"/>
      <w:r>
        <w:lastRenderedPageBreak/>
        <w:t>About this report</w:t>
      </w:r>
      <w:bookmarkEnd w:id="2"/>
    </w:p>
    <w:p w14:paraId="3169AC91" w14:textId="77777777" w:rsidR="00BE3675" w:rsidRDefault="00BE3675" w:rsidP="001E0823">
      <w:pPr>
        <w:pStyle w:val="Intro"/>
      </w:pPr>
      <w:r>
        <w:t xml:space="preserve">This report is a summary of the performance and operations of the National Disability Insurance Agency (‘the Agency’) for the 2016–17 financial year as required by the </w:t>
      </w:r>
      <w:r w:rsidRPr="000757DC">
        <w:rPr>
          <w:rStyle w:val="IntroItalic"/>
        </w:rPr>
        <w:t>Public Governance, Performance and Accountability Act 2013</w:t>
      </w:r>
      <w:r>
        <w:t xml:space="preserve"> (PGPA Act). It presents the actions, initiatives and key performance indicators around the implementation and management of the National Disability Insurance Scheme (‘the Scheme’) against targets set out in the Department of Social Services 2016–17 Portfolio Budget Statement (PBS) and the NDIA 2016–21 Corporate Plan.</w:t>
      </w:r>
      <w:r>
        <w:cr/>
      </w:r>
    </w:p>
    <w:p w14:paraId="33D7FFD4" w14:textId="77777777" w:rsidR="000757DC" w:rsidRDefault="00BE3675" w:rsidP="001E0823">
      <w:pPr>
        <w:pStyle w:val="BodyText"/>
      </w:pPr>
      <w:r>
        <w:t xml:space="preserve">The NDIA and the Board acknowledge the objectives of the Convention on the </w:t>
      </w:r>
      <w:r w:rsidRPr="000757DC">
        <w:rPr>
          <w:rStyle w:val="BodyTextItalic"/>
        </w:rPr>
        <w:t xml:space="preserve">Rights </w:t>
      </w:r>
      <w:r w:rsidR="000757DC" w:rsidRPr="000757DC">
        <w:rPr>
          <w:rStyle w:val="BodyTextItalic"/>
        </w:rPr>
        <w:t>of Persons with Disabilities</w:t>
      </w:r>
      <w:r w:rsidR="000757DC">
        <w:t>.</w:t>
      </w:r>
    </w:p>
    <w:p w14:paraId="1173DBEB" w14:textId="007E3160" w:rsidR="00BE3675" w:rsidRDefault="00BE3675" w:rsidP="001E0823">
      <w:pPr>
        <w:pStyle w:val="BodyText"/>
      </w:pPr>
      <w:r>
        <w:t>We show our respect and acknowledge Aboriginal and Torres Strait Islander people who are the Traditional Owners and Custodians of this land. We pay our respects to their Elders both past and present.</w:t>
      </w:r>
    </w:p>
    <w:p w14:paraId="24C87906" w14:textId="77777777" w:rsidR="00BE3675" w:rsidRDefault="00BE3675" w:rsidP="001E0823">
      <w:pPr>
        <w:pStyle w:val="BodyText"/>
      </w:pPr>
      <w:r>
        <w:t xml:space="preserve">Please note: Aboriginal and Torres Strait Islander people should be aware that this report may contain images or names of deceased persons. </w:t>
      </w:r>
    </w:p>
    <w:p w14:paraId="6FE5F23E" w14:textId="522D5232" w:rsidR="0013374A" w:rsidRDefault="0013374A" w:rsidP="001E0823">
      <w:pPr>
        <w:rPr>
          <w:color w:val="6B2976" w:themeColor="background2"/>
        </w:rPr>
      </w:pPr>
      <w:r>
        <w:br w:type="page"/>
      </w:r>
    </w:p>
    <w:p w14:paraId="154D61C3" w14:textId="77777777" w:rsidR="0013374A" w:rsidRDefault="0013374A" w:rsidP="001E0823">
      <w:pPr>
        <w:pStyle w:val="Heading1"/>
      </w:pPr>
      <w:bookmarkStart w:id="3" w:name="_Toc496611864"/>
      <w:r>
        <w:lastRenderedPageBreak/>
        <w:t>Structure of this report</w:t>
      </w:r>
      <w:bookmarkEnd w:id="3"/>
    </w:p>
    <w:p w14:paraId="54AC3382" w14:textId="77777777" w:rsidR="0013374A" w:rsidRDefault="0013374A" w:rsidP="001E0823">
      <w:pPr>
        <w:pStyle w:val="Intro"/>
      </w:pPr>
      <w:r>
        <w:t xml:space="preserve">The Introduction and Section 1 of this Annual Report provide an overview of the NDIS rollout to June 30 2017, and detail key programs of work undertaken by the NDIA in the 2016–17 financial year. </w:t>
      </w:r>
    </w:p>
    <w:p w14:paraId="48881C50" w14:textId="77777777" w:rsidR="0013374A" w:rsidRDefault="0013374A" w:rsidP="001E0823">
      <w:pPr>
        <w:pStyle w:val="BodyText"/>
      </w:pPr>
      <w:r>
        <w:t xml:space="preserve">The </w:t>
      </w:r>
      <w:r w:rsidRPr="000757DC">
        <w:t>Annual Performance Statement in Section 2 and Annual Financial Statement in Section 4 are written to meet the reporting requirements of government, as</w:t>
      </w:r>
      <w:r>
        <w:t xml:space="preserve"> required under the PGPA Act. </w:t>
      </w:r>
    </w:p>
    <w:p w14:paraId="568FEA31" w14:textId="788E520D" w:rsidR="0013374A" w:rsidRDefault="0013374A" w:rsidP="001E0823">
      <w:pPr>
        <w:pStyle w:val="BodyText"/>
      </w:pPr>
      <w:r>
        <w:t xml:space="preserve">Section 3 provides details of the NDIA’s governance arrangements and other reportable items required under the PGPA Act for corporate Commonwealth entities. </w:t>
      </w:r>
    </w:p>
    <w:p w14:paraId="2FB72B5F" w14:textId="06EEA759" w:rsidR="0013374A" w:rsidRDefault="0013374A" w:rsidP="001E0823">
      <w:pPr>
        <w:rPr>
          <w:color w:val="6B2976" w:themeColor="background2"/>
        </w:rPr>
      </w:pPr>
      <w:r>
        <w:br w:type="page"/>
      </w:r>
    </w:p>
    <w:p w14:paraId="0C96C718" w14:textId="7A0E8575" w:rsidR="00E76238" w:rsidRPr="00274065" w:rsidRDefault="0013374A" w:rsidP="001E0823">
      <w:pPr>
        <w:pStyle w:val="Heading2"/>
      </w:pPr>
      <w:bookmarkStart w:id="4" w:name="_Toc496611865"/>
      <w:r w:rsidRPr="00274065">
        <w:lastRenderedPageBreak/>
        <w:t>Table of contents</w:t>
      </w:r>
      <w:bookmarkEnd w:id="4"/>
    </w:p>
    <w:p w14:paraId="7E93B8FC" w14:textId="77777777" w:rsidR="00F85F3F" w:rsidRDefault="00F6665C">
      <w:pPr>
        <w:pStyle w:val="TOC1"/>
        <w:rPr>
          <w:rFonts w:asciiTheme="minorHAnsi" w:eastAsiaTheme="minorEastAsia" w:hAnsiTheme="minorHAnsi"/>
          <w:b w:val="0"/>
          <w:bCs w:val="0"/>
          <w:noProof/>
          <w:color w:val="auto"/>
          <w:sz w:val="24"/>
        </w:rPr>
      </w:pPr>
      <w:r>
        <w:fldChar w:fldCharType="begin"/>
      </w:r>
      <w:r>
        <w:instrText xml:space="preserve"> TOC \o "1-2" </w:instrText>
      </w:r>
      <w:r>
        <w:fldChar w:fldCharType="separate"/>
      </w:r>
      <w:r w:rsidR="00F85F3F">
        <w:rPr>
          <w:noProof/>
        </w:rPr>
        <w:t>Letter of transmittal</w:t>
      </w:r>
      <w:r w:rsidR="00F85F3F">
        <w:rPr>
          <w:noProof/>
        </w:rPr>
        <w:tab/>
      </w:r>
      <w:r w:rsidR="00F85F3F">
        <w:rPr>
          <w:noProof/>
        </w:rPr>
        <w:fldChar w:fldCharType="begin"/>
      </w:r>
      <w:r w:rsidR="00F85F3F">
        <w:rPr>
          <w:noProof/>
        </w:rPr>
        <w:instrText xml:space="preserve"> PAGEREF _Toc496611862 \h </w:instrText>
      </w:r>
      <w:r w:rsidR="00F85F3F">
        <w:rPr>
          <w:noProof/>
        </w:rPr>
      </w:r>
      <w:r w:rsidR="00F85F3F">
        <w:rPr>
          <w:noProof/>
        </w:rPr>
        <w:fldChar w:fldCharType="separate"/>
      </w:r>
      <w:r w:rsidR="00F85F3F">
        <w:rPr>
          <w:noProof/>
        </w:rPr>
        <w:t>3</w:t>
      </w:r>
      <w:r w:rsidR="00F85F3F">
        <w:rPr>
          <w:noProof/>
        </w:rPr>
        <w:fldChar w:fldCharType="end"/>
      </w:r>
    </w:p>
    <w:p w14:paraId="042C9A41" w14:textId="77777777" w:rsidR="00F85F3F" w:rsidRDefault="00F85F3F">
      <w:pPr>
        <w:pStyle w:val="TOC1"/>
        <w:rPr>
          <w:rFonts w:asciiTheme="minorHAnsi" w:eastAsiaTheme="minorEastAsia" w:hAnsiTheme="minorHAnsi"/>
          <w:b w:val="0"/>
          <w:bCs w:val="0"/>
          <w:noProof/>
          <w:color w:val="auto"/>
          <w:sz w:val="24"/>
        </w:rPr>
      </w:pPr>
      <w:r>
        <w:rPr>
          <w:noProof/>
        </w:rPr>
        <w:t>About this report</w:t>
      </w:r>
      <w:r>
        <w:rPr>
          <w:noProof/>
        </w:rPr>
        <w:tab/>
      </w:r>
      <w:r>
        <w:rPr>
          <w:noProof/>
        </w:rPr>
        <w:fldChar w:fldCharType="begin"/>
      </w:r>
      <w:r>
        <w:rPr>
          <w:noProof/>
        </w:rPr>
        <w:instrText xml:space="preserve"> PAGEREF _Toc496611863 \h </w:instrText>
      </w:r>
      <w:r>
        <w:rPr>
          <w:noProof/>
        </w:rPr>
      </w:r>
      <w:r>
        <w:rPr>
          <w:noProof/>
        </w:rPr>
        <w:fldChar w:fldCharType="separate"/>
      </w:r>
      <w:r>
        <w:rPr>
          <w:noProof/>
        </w:rPr>
        <w:t>4</w:t>
      </w:r>
      <w:r>
        <w:rPr>
          <w:noProof/>
        </w:rPr>
        <w:fldChar w:fldCharType="end"/>
      </w:r>
    </w:p>
    <w:p w14:paraId="3E266915" w14:textId="77777777" w:rsidR="00F85F3F" w:rsidRDefault="00F85F3F">
      <w:pPr>
        <w:pStyle w:val="TOC1"/>
        <w:rPr>
          <w:rFonts w:asciiTheme="minorHAnsi" w:eastAsiaTheme="minorEastAsia" w:hAnsiTheme="minorHAnsi"/>
          <w:b w:val="0"/>
          <w:bCs w:val="0"/>
          <w:noProof/>
          <w:color w:val="auto"/>
          <w:sz w:val="24"/>
        </w:rPr>
      </w:pPr>
      <w:r>
        <w:rPr>
          <w:noProof/>
        </w:rPr>
        <w:t>Structure of this report</w:t>
      </w:r>
      <w:r>
        <w:rPr>
          <w:noProof/>
        </w:rPr>
        <w:tab/>
      </w:r>
      <w:r>
        <w:rPr>
          <w:noProof/>
        </w:rPr>
        <w:fldChar w:fldCharType="begin"/>
      </w:r>
      <w:r>
        <w:rPr>
          <w:noProof/>
        </w:rPr>
        <w:instrText xml:space="preserve"> PAGEREF _Toc496611864 \h </w:instrText>
      </w:r>
      <w:r>
        <w:rPr>
          <w:noProof/>
        </w:rPr>
      </w:r>
      <w:r>
        <w:rPr>
          <w:noProof/>
        </w:rPr>
        <w:fldChar w:fldCharType="separate"/>
      </w:r>
      <w:r>
        <w:rPr>
          <w:noProof/>
        </w:rPr>
        <w:t>5</w:t>
      </w:r>
      <w:r>
        <w:rPr>
          <w:noProof/>
        </w:rPr>
        <w:fldChar w:fldCharType="end"/>
      </w:r>
    </w:p>
    <w:p w14:paraId="629A30AE" w14:textId="77777777" w:rsidR="00F85F3F" w:rsidRDefault="00F85F3F">
      <w:pPr>
        <w:pStyle w:val="TOC2"/>
        <w:tabs>
          <w:tab w:val="right" w:pos="9628"/>
        </w:tabs>
        <w:rPr>
          <w:rFonts w:asciiTheme="minorHAnsi" w:eastAsiaTheme="minorEastAsia" w:hAnsiTheme="minorHAnsi"/>
          <w:b w:val="0"/>
          <w:bCs w:val="0"/>
          <w:noProof/>
          <w:color w:val="auto"/>
          <w:sz w:val="24"/>
          <w:szCs w:val="24"/>
        </w:rPr>
      </w:pPr>
      <w:r>
        <w:rPr>
          <w:noProof/>
        </w:rPr>
        <w:t>Table of contents</w:t>
      </w:r>
      <w:r>
        <w:rPr>
          <w:noProof/>
        </w:rPr>
        <w:tab/>
      </w:r>
      <w:r>
        <w:rPr>
          <w:noProof/>
        </w:rPr>
        <w:fldChar w:fldCharType="begin"/>
      </w:r>
      <w:r>
        <w:rPr>
          <w:noProof/>
        </w:rPr>
        <w:instrText xml:space="preserve"> PAGEREF _Toc496611865 \h </w:instrText>
      </w:r>
      <w:r>
        <w:rPr>
          <w:noProof/>
        </w:rPr>
      </w:r>
      <w:r>
        <w:rPr>
          <w:noProof/>
        </w:rPr>
        <w:fldChar w:fldCharType="separate"/>
      </w:r>
      <w:r>
        <w:rPr>
          <w:noProof/>
        </w:rPr>
        <w:t>6</w:t>
      </w:r>
      <w:r>
        <w:rPr>
          <w:noProof/>
        </w:rPr>
        <w:fldChar w:fldCharType="end"/>
      </w:r>
    </w:p>
    <w:p w14:paraId="504A6C2F" w14:textId="77777777" w:rsidR="00F85F3F" w:rsidRDefault="00F85F3F">
      <w:pPr>
        <w:pStyle w:val="TOC2"/>
        <w:tabs>
          <w:tab w:val="right" w:pos="9628"/>
        </w:tabs>
        <w:rPr>
          <w:rFonts w:asciiTheme="minorHAnsi" w:eastAsiaTheme="minorEastAsia" w:hAnsiTheme="minorHAnsi"/>
          <w:b w:val="0"/>
          <w:bCs w:val="0"/>
          <w:noProof/>
          <w:color w:val="auto"/>
          <w:sz w:val="24"/>
          <w:szCs w:val="24"/>
        </w:rPr>
      </w:pPr>
      <w:r>
        <w:rPr>
          <w:noProof/>
        </w:rPr>
        <w:t>List of tables</w:t>
      </w:r>
      <w:r>
        <w:rPr>
          <w:noProof/>
        </w:rPr>
        <w:tab/>
      </w:r>
      <w:r>
        <w:rPr>
          <w:noProof/>
        </w:rPr>
        <w:fldChar w:fldCharType="begin"/>
      </w:r>
      <w:r>
        <w:rPr>
          <w:noProof/>
        </w:rPr>
        <w:instrText xml:space="preserve"> PAGEREF _Toc496611866 \h </w:instrText>
      </w:r>
      <w:r>
        <w:rPr>
          <w:noProof/>
        </w:rPr>
      </w:r>
      <w:r>
        <w:rPr>
          <w:noProof/>
        </w:rPr>
        <w:fldChar w:fldCharType="separate"/>
      </w:r>
      <w:r>
        <w:rPr>
          <w:noProof/>
        </w:rPr>
        <w:t>9</w:t>
      </w:r>
      <w:r>
        <w:rPr>
          <w:noProof/>
        </w:rPr>
        <w:fldChar w:fldCharType="end"/>
      </w:r>
    </w:p>
    <w:p w14:paraId="52253345" w14:textId="77777777" w:rsidR="00F85F3F" w:rsidRDefault="00F85F3F">
      <w:pPr>
        <w:pStyle w:val="TOC1"/>
        <w:rPr>
          <w:rFonts w:asciiTheme="minorHAnsi" w:eastAsiaTheme="minorEastAsia" w:hAnsiTheme="minorHAnsi"/>
          <w:b w:val="0"/>
          <w:bCs w:val="0"/>
          <w:noProof/>
          <w:color w:val="auto"/>
          <w:sz w:val="24"/>
        </w:rPr>
      </w:pPr>
      <w:r>
        <w:rPr>
          <w:noProof/>
        </w:rPr>
        <w:t>Introduction</w:t>
      </w:r>
      <w:r>
        <w:rPr>
          <w:noProof/>
        </w:rPr>
        <w:tab/>
      </w:r>
      <w:r>
        <w:rPr>
          <w:noProof/>
        </w:rPr>
        <w:fldChar w:fldCharType="begin"/>
      </w:r>
      <w:r>
        <w:rPr>
          <w:noProof/>
        </w:rPr>
        <w:instrText xml:space="preserve"> PAGEREF _Toc496611867 \h </w:instrText>
      </w:r>
      <w:r>
        <w:rPr>
          <w:noProof/>
        </w:rPr>
      </w:r>
      <w:r>
        <w:rPr>
          <w:noProof/>
        </w:rPr>
        <w:fldChar w:fldCharType="separate"/>
      </w:r>
      <w:r>
        <w:rPr>
          <w:noProof/>
        </w:rPr>
        <w:t>10</w:t>
      </w:r>
      <w:r>
        <w:rPr>
          <w:noProof/>
        </w:rPr>
        <w:fldChar w:fldCharType="end"/>
      </w:r>
    </w:p>
    <w:p w14:paraId="782CC2FE" w14:textId="77777777" w:rsidR="00F85F3F" w:rsidRDefault="00F85F3F">
      <w:pPr>
        <w:pStyle w:val="TOC2"/>
        <w:tabs>
          <w:tab w:val="right" w:pos="9628"/>
        </w:tabs>
        <w:rPr>
          <w:rFonts w:asciiTheme="minorHAnsi" w:eastAsiaTheme="minorEastAsia" w:hAnsiTheme="minorHAnsi"/>
          <w:b w:val="0"/>
          <w:bCs w:val="0"/>
          <w:noProof/>
          <w:color w:val="auto"/>
          <w:sz w:val="24"/>
          <w:szCs w:val="24"/>
        </w:rPr>
      </w:pPr>
      <w:r>
        <w:rPr>
          <w:noProof/>
        </w:rPr>
        <w:t>In this section</w:t>
      </w:r>
      <w:r>
        <w:rPr>
          <w:noProof/>
        </w:rPr>
        <w:tab/>
      </w:r>
      <w:r>
        <w:rPr>
          <w:noProof/>
        </w:rPr>
        <w:fldChar w:fldCharType="begin"/>
      </w:r>
      <w:r>
        <w:rPr>
          <w:noProof/>
        </w:rPr>
        <w:instrText xml:space="preserve"> PAGEREF _Toc496611868 \h </w:instrText>
      </w:r>
      <w:r>
        <w:rPr>
          <w:noProof/>
        </w:rPr>
      </w:r>
      <w:r>
        <w:rPr>
          <w:noProof/>
        </w:rPr>
        <w:fldChar w:fldCharType="separate"/>
      </w:r>
      <w:r>
        <w:rPr>
          <w:noProof/>
        </w:rPr>
        <w:t>11</w:t>
      </w:r>
      <w:r>
        <w:rPr>
          <w:noProof/>
        </w:rPr>
        <w:fldChar w:fldCharType="end"/>
      </w:r>
    </w:p>
    <w:p w14:paraId="68417DD0" w14:textId="77777777" w:rsidR="00F85F3F" w:rsidRDefault="00F85F3F">
      <w:pPr>
        <w:pStyle w:val="TOC2"/>
        <w:tabs>
          <w:tab w:val="right" w:pos="9628"/>
        </w:tabs>
        <w:rPr>
          <w:rFonts w:asciiTheme="minorHAnsi" w:eastAsiaTheme="minorEastAsia" w:hAnsiTheme="minorHAnsi"/>
          <w:b w:val="0"/>
          <w:bCs w:val="0"/>
          <w:noProof/>
          <w:color w:val="auto"/>
          <w:sz w:val="24"/>
          <w:szCs w:val="24"/>
        </w:rPr>
      </w:pPr>
      <w:r w:rsidRPr="00205C63">
        <w:rPr>
          <w:noProof/>
          <w:lang w:val="en-GB"/>
        </w:rPr>
        <w:t>Message from the Chairman</w:t>
      </w:r>
      <w:r>
        <w:rPr>
          <w:noProof/>
        </w:rPr>
        <w:tab/>
      </w:r>
      <w:r>
        <w:rPr>
          <w:noProof/>
        </w:rPr>
        <w:fldChar w:fldCharType="begin"/>
      </w:r>
      <w:r>
        <w:rPr>
          <w:noProof/>
        </w:rPr>
        <w:instrText xml:space="preserve"> PAGEREF _Toc496611869 \h </w:instrText>
      </w:r>
      <w:r>
        <w:rPr>
          <w:noProof/>
        </w:rPr>
      </w:r>
      <w:r>
        <w:rPr>
          <w:noProof/>
        </w:rPr>
        <w:fldChar w:fldCharType="separate"/>
      </w:r>
      <w:r>
        <w:rPr>
          <w:noProof/>
        </w:rPr>
        <w:t>12</w:t>
      </w:r>
      <w:r>
        <w:rPr>
          <w:noProof/>
        </w:rPr>
        <w:fldChar w:fldCharType="end"/>
      </w:r>
    </w:p>
    <w:p w14:paraId="33847200" w14:textId="77777777" w:rsidR="00F85F3F" w:rsidRDefault="00F85F3F">
      <w:pPr>
        <w:pStyle w:val="TOC2"/>
        <w:tabs>
          <w:tab w:val="right" w:pos="9628"/>
        </w:tabs>
        <w:rPr>
          <w:rFonts w:asciiTheme="minorHAnsi" w:eastAsiaTheme="minorEastAsia" w:hAnsiTheme="minorHAnsi"/>
          <w:b w:val="0"/>
          <w:bCs w:val="0"/>
          <w:noProof/>
          <w:color w:val="auto"/>
          <w:sz w:val="24"/>
          <w:szCs w:val="24"/>
        </w:rPr>
      </w:pPr>
      <w:r w:rsidRPr="00205C63">
        <w:rPr>
          <w:noProof/>
          <w:lang w:val="en-GB"/>
        </w:rPr>
        <w:t>Message from the Chief Executive Officer</w:t>
      </w:r>
      <w:r>
        <w:rPr>
          <w:noProof/>
        </w:rPr>
        <w:tab/>
      </w:r>
      <w:r>
        <w:rPr>
          <w:noProof/>
        </w:rPr>
        <w:fldChar w:fldCharType="begin"/>
      </w:r>
      <w:r>
        <w:rPr>
          <w:noProof/>
        </w:rPr>
        <w:instrText xml:space="preserve"> PAGEREF _Toc496611870 \h </w:instrText>
      </w:r>
      <w:r>
        <w:rPr>
          <w:noProof/>
        </w:rPr>
      </w:r>
      <w:r>
        <w:rPr>
          <w:noProof/>
        </w:rPr>
        <w:fldChar w:fldCharType="separate"/>
      </w:r>
      <w:r>
        <w:rPr>
          <w:noProof/>
        </w:rPr>
        <w:t>14</w:t>
      </w:r>
      <w:r>
        <w:rPr>
          <w:noProof/>
        </w:rPr>
        <w:fldChar w:fldCharType="end"/>
      </w:r>
    </w:p>
    <w:p w14:paraId="7B1630E1" w14:textId="77777777" w:rsidR="00F85F3F" w:rsidRDefault="00F85F3F">
      <w:pPr>
        <w:pStyle w:val="TOC2"/>
        <w:tabs>
          <w:tab w:val="right" w:pos="9628"/>
        </w:tabs>
        <w:rPr>
          <w:rFonts w:asciiTheme="minorHAnsi" w:eastAsiaTheme="minorEastAsia" w:hAnsiTheme="minorHAnsi"/>
          <w:b w:val="0"/>
          <w:bCs w:val="0"/>
          <w:noProof/>
          <w:color w:val="auto"/>
          <w:sz w:val="24"/>
          <w:szCs w:val="24"/>
        </w:rPr>
      </w:pPr>
      <w:r>
        <w:rPr>
          <w:noProof/>
        </w:rPr>
        <w:t>About the NDIS</w:t>
      </w:r>
      <w:r>
        <w:rPr>
          <w:noProof/>
        </w:rPr>
        <w:tab/>
      </w:r>
      <w:r>
        <w:rPr>
          <w:noProof/>
        </w:rPr>
        <w:fldChar w:fldCharType="begin"/>
      </w:r>
      <w:r>
        <w:rPr>
          <w:noProof/>
        </w:rPr>
        <w:instrText xml:space="preserve"> PAGEREF _Toc496611871 \h </w:instrText>
      </w:r>
      <w:r>
        <w:rPr>
          <w:noProof/>
        </w:rPr>
      </w:r>
      <w:r>
        <w:rPr>
          <w:noProof/>
        </w:rPr>
        <w:fldChar w:fldCharType="separate"/>
      </w:r>
      <w:r>
        <w:rPr>
          <w:noProof/>
        </w:rPr>
        <w:t>15</w:t>
      </w:r>
      <w:r>
        <w:rPr>
          <w:noProof/>
        </w:rPr>
        <w:fldChar w:fldCharType="end"/>
      </w:r>
    </w:p>
    <w:p w14:paraId="1D5E2180" w14:textId="77777777" w:rsidR="00F85F3F" w:rsidRDefault="00F85F3F">
      <w:pPr>
        <w:pStyle w:val="TOC2"/>
        <w:tabs>
          <w:tab w:val="right" w:pos="9628"/>
        </w:tabs>
        <w:rPr>
          <w:rFonts w:asciiTheme="minorHAnsi" w:eastAsiaTheme="minorEastAsia" w:hAnsiTheme="minorHAnsi"/>
          <w:b w:val="0"/>
          <w:bCs w:val="0"/>
          <w:noProof/>
          <w:color w:val="auto"/>
          <w:sz w:val="24"/>
          <w:szCs w:val="24"/>
        </w:rPr>
      </w:pPr>
      <w:r>
        <w:rPr>
          <w:noProof/>
        </w:rPr>
        <w:t>The National Disability Insurance Agency</w:t>
      </w:r>
      <w:r>
        <w:rPr>
          <w:noProof/>
        </w:rPr>
        <w:tab/>
      </w:r>
      <w:r>
        <w:rPr>
          <w:noProof/>
        </w:rPr>
        <w:fldChar w:fldCharType="begin"/>
      </w:r>
      <w:r>
        <w:rPr>
          <w:noProof/>
        </w:rPr>
        <w:instrText xml:space="preserve"> PAGEREF _Toc496611872 \h </w:instrText>
      </w:r>
      <w:r>
        <w:rPr>
          <w:noProof/>
        </w:rPr>
      </w:r>
      <w:r>
        <w:rPr>
          <w:noProof/>
        </w:rPr>
        <w:fldChar w:fldCharType="separate"/>
      </w:r>
      <w:r>
        <w:rPr>
          <w:noProof/>
        </w:rPr>
        <w:t>17</w:t>
      </w:r>
      <w:r>
        <w:rPr>
          <w:noProof/>
        </w:rPr>
        <w:fldChar w:fldCharType="end"/>
      </w:r>
    </w:p>
    <w:p w14:paraId="3F37E56C" w14:textId="77777777" w:rsidR="00F85F3F" w:rsidRDefault="00F85F3F">
      <w:pPr>
        <w:pStyle w:val="TOC2"/>
        <w:tabs>
          <w:tab w:val="right" w:pos="9628"/>
        </w:tabs>
        <w:rPr>
          <w:rFonts w:asciiTheme="minorHAnsi" w:eastAsiaTheme="minorEastAsia" w:hAnsiTheme="minorHAnsi"/>
          <w:b w:val="0"/>
          <w:bCs w:val="0"/>
          <w:noProof/>
          <w:color w:val="auto"/>
          <w:sz w:val="24"/>
          <w:szCs w:val="24"/>
        </w:rPr>
      </w:pPr>
      <w:r>
        <w:rPr>
          <w:noProof/>
        </w:rPr>
        <w:t>From trial to transition</w:t>
      </w:r>
      <w:r>
        <w:rPr>
          <w:noProof/>
        </w:rPr>
        <w:tab/>
      </w:r>
      <w:r>
        <w:rPr>
          <w:noProof/>
        </w:rPr>
        <w:fldChar w:fldCharType="begin"/>
      </w:r>
      <w:r>
        <w:rPr>
          <w:noProof/>
        </w:rPr>
        <w:instrText xml:space="preserve"> PAGEREF _Toc496611873 \h </w:instrText>
      </w:r>
      <w:r>
        <w:rPr>
          <w:noProof/>
        </w:rPr>
      </w:r>
      <w:r>
        <w:rPr>
          <w:noProof/>
        </w:rPr>
        <w:fldChar w:fldCharType="separate"/>
      </w:r>
      <w:r>
        <w:rPr>
          <w:noProof/>
        </w:rPr>
        <w:t>18</w:t>
      </w:r>
      <w:r>
        <w:rPr>
          <w:noProof/>
        </w:rPr>
        <w:fldChar w:fldCharType="end"/>
      </w:r>
    </w:p>
    <w:p w14:paraId="5E69235E" w14:textId="77777777" w:rsidR="00F85F3F" w:rsidRDefault="00F85F3F">
      <w:pPr>
        <w:pStyle w:val="TOC2"/>
        <w:tabs>
          <w:tab w:val="right" w:pos="9628"/>
        </w:tabs>
        <w:rPr>
          <w:rFonts w:asciiTheme="minorHAnsi" w:eastAsiaTheme="minorEastAsia" w:hAnsiTheme="minorHAnsi"/>
          <w:b w:val="0"/>
          <w:bCs w:val="0"/>
          <w:noProof/>
          <w:color w:val="auto"/>
          <w:sz w:val="24"/>
          <w:szCs w:val="24"/>
        </w:rPr>
      </w:pPr>
      <w:r w:rsidRPr="00205C63">
        <w:rPr>
          <w:noProof/>
          <w:lang w:val="en-GB"/>
        </w:rPr>
        <w:t>Year one: transition to full Scheme</w:t>
      </w:r>
      <w:r>
        <w:rPr>
          <w:noProof/>
        </w:rPr>
        <w:tab/>
      </w:r>
      <w:r>
        <w:rPr>
          <w:noProof/>
        </w:rPr>
        <w:fldChar w:fldCharType="begin"/>
      </w:r>
      <w:r>
        <w:rPr>
          <w:noProof/>
        </w:rPr>
        <w:instrText xml:space="preserve"> PAGEREF _Toc496611874 \h </w:instrText>
      </w:r>
      <w:r>
        <w:rPr>
          <w:noProof/>
        </w:rPr>
      </w:r>
      <w:r>
        <w:rPr>
          <w:noProof/>
        </w:rPr>
        <w:fldChar w:fldCharType="separate"/>
      </w:r>
      <w:r>
        <w:rPr>
          <w:noProof/>
        </w:rPr>
        <w:t>19</w:t>
      </w:r>
      <w:r>
        <w:rPr>
          <w:noProof/>
        </w:rPr>
        <w:fldChar w:fldCharType="end"/>
      </w:r>
    </w:p>
    <w:p w14:paraId="027EC3C4" w14:textId="77777777" w:rsidR="00F85F3F" w:rsidRDefault="00F85F3F">
      <w:pPr>
        <w:pStyle w:val="TOC1"/>
        <w:rPr>
          <w:rFonts w:asciiTheme="minorHAnsi" w:eastAsiaTheme="minorEastAsia" w:hAnsiTheme="minorHAnsi"/>
          <w:b w:val="0"/>
          <w:bCs w:val="0"/>
          <w:noProof/>
          <w:color w:val="auto"/>
          <w:sz w:val="24"/>
        </w:rPr>
      </w:pPr>
      <w:r>
        <w:rPr>
          <w:noProof/>
        </w:rPr>
        <w:t>Section One Year one of full Scheme transition</w:t>
      </w:r>
      <w:r>
        <w:rPr>
          <w:noProof/>
        </w:rPr>
        <w:tab/>
      </w:r>
      <w:r>
        <w:rPr>
          <w:noProof/>
        </w:rPr>
        <w:fldChar w:fldCharType="begin"/>
      </w:r>
      <w:r>
        <w:rPr>
          <w:noProof/>
        </w:rPr>
        <w:instrText xml:space="preserve"> PAGEREF _Toc496611875 \h </w:instrText>
      </w:r>
      <w:r>
        <w:rPr>
          <w:noProof/>
        </w:rPr>
      </w:r>
      <w:r>
        <w:rPr>
          <w:noProof/>
        </w:rPr>
        <w:fldChar w:fldCharType="separate"/>
      </w:r>
      <w:r>
        <w:rPr>
          <w:noProof/>
        </w:rPr>
        <w:t>41</w:t>
      </w:r>
      <w:r>
        <w:rPr>
          <w:noProof/>
        </w:rPr>
        <w:fldChar w:fldCharType="end"/>
      </w:r>
    </w:p>
    <w:p w14:paraId="5428D7EC" w14:textId="77777777" w:rsidR="00F85F3F" w:rsidRDefault="00F85F3F">
      <w:pPr>
        <w:pStyle w:val="TOC2"/>
        <w:tabs>
          <w:tab w:val="right" w:pos="9628"/>
        </w:tabs>
        <w:rPr>
          <w:rFonts w:asciiTheme="minorHAnsi" w:eastAsiaTheme="minorEastAsia" w:hAnsiTheme="minorHAnsi"/>
          <w:b w:val="0"/>
          <w:bCs w:val="0"/>
          <w:noProof/>
          <w:color w:val="auto"/>
          <w:sz w:val="24"/>
          <w:szCs w:val="24"/>
        </w:rPr>
      </w:pPr>
      <w:r w:rsidRPr="00205C63">
        <w:rPr>
          <w:noProof/>
          <w:lang w:val="en-GB"/>
        </w:rPr>
        <w:t>Chapter 1</w:t>
      </w:r>
      <w:r>
        <w:rPr>
          <w:noProof/>
        </w:rPr>
        <w:tab/>
      </w:r>
      <w:r>
        <w:rPr>
          <w:noProof/>
        </w:rPr>
        <w:fldChar w:fldCharType="begin"/>
      </w:r>
      <w:r>
        <w:rPr>
          <w:noProof/>
        </w:rPr>
        <w:instrText xml:space="preserve"> PAGEREF _Toc496611876 \h </w:instrText>
      </w:r>
      <w:r>
        <w:rPr>
          <w:noProof/>
        </w:rPr>
      </w:r>
      <w:r>
        <w:rPr>
          <w:noProof/>
        </w:rPr>
        <w:fldChar w:fldCharType="separate"/>
      </w:r>
      <w:r>
        <w:rPr>
          <w:noProof/>
        </w:rPr>
        <w:t>42</w:t>
      </w:r>
      <w:r>
        <w:rPr>
          <w:noProof/>
        </w:rPr>
        <w:fldChar w:fldCharType="end"/>
      </w:r>
    </w:p>
    <w:p w14:paraId="3DF04889" w14:textId="77777777" w:rsidR="00F85F3F" w:rsidRDefault="00F85F3F">
      <w:pPr>
        <w:pStyle w:val="TOC2"/>
        <w:tabs>
          <w:tab w:val="right" w:pos="9628"/>
        </w:tabs>
        <w:rPr>
          <w:rFonts w:asciiTheme="minorHAnsi" w:eastAsiaTheme="minorEastAsia" w:hAnsiTheme="minorHAnsi"/>
          <w:b w:val="0"/>
          <w:bCs w:val="0"/>
          <w:noProof/>
          <w:color w:val="auto"/>
          <w:sz w:val="24"/>
          <w:szCs w:val="24"/>
        </w:rPr>
      </w:pPr>
      <w:r>
        <w:rPr>
          <w:noProof/>
        </w:rPr>
        <w:t>Chapter 2</w:t>
      </w:r>
      <w:r>
        <w:rPr>
          <w:noProof/>
        </w:rPr>
        <w:tab/>
      </w:r>
      <w:r>
        <w:rPr>
          <w:noProof/>
        </w:rPr>
        <w:fldChar w:fldCharType="begin"/>
      </w:r>
      <w:r>
        <w:rPr>
          <w:noProof/>
        </w:rPr>
        <w:instrText xml:space="preserve"> PAGEREF _Toc496611877 \h </w:instrText>
      </w:r>
      <w:r>
        <w:rPr>
          <w:noProof/>
        </w:rPr>
      </w:r>
      <w:r>
        <w:rPr>
          <w:noProof/>
        </w:rPr>
        <w:fldChar w:fldCharType="separate"/>
      </w:r>
      <w:r>
        <w:rPr>
          <w:noProof/>
        </w:rPr>
        <w:t>58</w:t>
      </w:r>
      <w:r>
        <w:rPr>
          <w:noProof/>
        </w:rPr>
        <w:fldChar w:fldCharType="end"/>
      </w:r>
    </w:p>
    <w:p w14:paraId="461B8B68" w14:textId="77777777" w:rsidR="00F85F3F" w:rsidRDefault="00F85F3F">
      <w:pPr>
        <w:pStyle w:val="TOC2"/>
        <w:tabs>
          <w:tab w:val="right" w:pos="9628"/>
        </w:tabs>
        <w:rPr>
          <w:rFonts w:asciiTheme="minorHAnsi" w:eastAsiaTheme="minorEastAsia" w:hAnsiTheme="minorHAnsi"/>
          <w:b w:val="0"/>
          <w:bCs w:val="0"/>
          <w:noProof/>
          <w:color w:val="auto"/>
          <w:sz w:val="24"/>
          <w:szCs w:val="24"/>
        </w:rPr>
      </w:pPr>
      <w:r>
        <w:rPr>
          <w:noProof/>
        </w:rPr>
        <w:t>Chapter 3</w:t>
      </w:r>
      <w:r>
        <w:rPr>
          <w:noProof/>
        </w:rPr>
        <w:tab/>
      </w:r>
      <w:r>
        <w:rPr>
          <w:noProof/>
        </w:rPr>
        <w:fldChar w:fldCharType="begin"/>
      </w:r>
      <w:r>
        <w:rPr>
          <w:noProof/>
        </w:rPr>
        <w:instrText xml:space="preserve"> PAGEREF _Toc496611878 \h </w:instrText>
      </w:r>
      <w:r>
        <w:rPr>
          <w:noProof/>
        </w:rPr>
      </w:r>
      <w:r>
        <w:rPr>
          <w:noProof/>
        </w:rPr>
        <w:fldChar w:fldCharType="separate"/>
      </w:r>
      <w:r>
        <w:rPr>
          <w:noProof/>
        </w:rPr>
        <w:t>65</w:t>
      </w:r>
      <w:r>
        <w:rPr>
          <w:noProof/>
        </w:rPr>
        <w:fldChar w:fldCharType="end"/>
      </w:r>
    </w:p>
    <w:p w14:paraId="29BFF43E" w14:textId="77777777" w:rsidR="00F85F3F" w:rsidRDefault="00F85F3F">
      <w:pPr>
        <w:pStyle w:val="TOC2"/>
        <w:tabs>
          <w:tab w:val="right" w:pos="9628"/>
        </w:tabs>
        <w:rPr>
          <w:rFonts w:asciiTheme="minorHAnsi" w:eastAsiaTheme="minorEastAsia" w:hAnsiTheme="minorHAnsi"/>
          <w:b w:val="0"/>
          <w:bCs w:val="0"/>
          <w:noProof/>
          <w:color w:val="auto"/>
          <w:sz w:val="24"/>
          <w:szCs w:val="24"/>
        </w:rPr>
      </w:pPr>
      <w:r>
        <w:rPr>
          <w:noProof/>
        </w:rPr>
        <w:t>Chapter 4</w:t>
      </w:r>
      <w:r>
        <w:rPr>
          <w:noProof/>
        </w:rPr>
        <w:tab/>
      </w:r>
      <w:r>
        <w:rPr>
          <w:noProof/>
        </w:rPr>
        <w:fldChar w:fldCharType="begin"/>
      </w:r>
      <w:r>
        <w:rPr>
          <w:noProof/>
        </w:rPr>
        <w:instrText xml:space="preserve"> PAGEREF _Toc496611879 \h </w:instrText>
      </w:r>
      <w:r>
        <w:rPr>
          <w:noProof/>
        </w:rPr>
      </w:r>
      <w:r>
        <w:rPr>
          <w:noProof/>
        </w:rPr>
        <w:fldChar w:fldCharType="separate"/>
      </w:r>
      <w:r>
        <w:rPr>
          <w:noProof/>
        </w:rPr>
        <w:t>70</w:t>
      </w:r>
      <w:r>
        <w:rPr>
          <w:noProof/>
        </w:rPr>
        <w:fldChar w:fldCharType="end"/>
      </w:r>
    </w:p>
    <w:p w14:paraId="4409B1BC" w14:textId="77777777" w:rsidR="00F85F3F" w:rsidRDefault="00F85F3F">
      <w:pPr>
        <w:pStyle w:val="TOC1"/>
        <w:rPr>
          <w:rFonts w:asciiTheme="minorHAnsi" w:eastAsiaTheme="minorEastAsia" w:hAnsiTheme="minorHAnsi"/>
          <w:b w:val="0"/>
          <w:bCs w:val="0"/>
          <w:noProof/>
          <w:color w:val="auto"/>
          <w:sz w:val="24"/>
        </w:rPr>
      </w:pPr>
      <w:r>
        <w:rPr>
          <w:noProof/>
        </w:rPr>
        <w:t>Section Two  Performance Report</w:t>
      </w:r>
      <w:r>
        <w:rPr>
          <w:noProof/>
        </w:rPr>
        <w:tab/>
      </w:r>
      <w:r>
        <w:rPr>
          <w:noProof/>
        </w:rPr>
        <w:fldChar w:fldCharType="begin"/>
      </w:r>
      <w:r>
        <w:rPr>
          <w:noProof/>
        </w:rPr>
        <w:instrText xml:space="preserve"> PAGEREF _Toc496611880 \h </w:instrText>
      </w:r>
      <w:r>
        <w:rPr>
          <w:noProof/>
        </w:rPr>
      </w:r>
      <w:r>
        <w:rPr>
          <w:noProof/>
        </w:rPr>
        <w:fldChar w:fldCharType="separate"/>
      </w:r>
      <w:r>
        <w:rPr>
          <w:noProof/>
        </w:rPr>
        <w:t>83</w:t>
      </w:r>
      <w:r>
        <w:rPr>
          <w:noProof/>
        </w:rPr>
        <w:fldChar w:fldCharType="end"/>
      </w:r>
    </w:p>
    <w:p w14:paraId="42F45083" w14:textId="77777777" w:rsidR="00F85F3F" w:rsidRDefault="00F85F3F">
      <w:pPr>
        <w:pStyle w:val="TOC2"/>
        <w:tabs>
          <w:tab w:val="right" w:pos="9628"/>
        </w:tabs>
        <w:rPr>
          <w:rFonts w:asciiTheme="minorHAnsi" w:eastAsiaTheme="minorEastAsia" w:hAnsiTheme="minorHAnsi"/>
          <w:b w:val="0"/>
          <w:bCs w:val="0"/>
          <w:noProof/>
          <w:color w:val="auto"/>
          <w:sz w:val="24"/>
          <w:szCs w:val="24"/>
        </w:rPr>
      </w:pPr>
      <w:r>
        <w:rPr>
          <w:noProof/>
        </w:rPr>
        <w:t>Performance statements authority</w:t>
      </w:r>
      <w:r>
        <w:rPr>
          <w:noProof/>
        </w:rPr>
        <w:tab/>
      </w:r>
      <w:r>
        <w:rPr>
          <w:noProof/>
        </w:rPr>
        <w:fldChar w:fldCharType="begin"/>
      </w:r>
      <w:r>
        <w:rPr>
          <w:noProof/>
        </w:rPr>
        <w:instrText xml:space="preserve"> PAGEREF _Toc496611881 \h </w:instrText>
      </w:r>
      <w:r>
        <w:rPr>
          <w:noProof/>
        </w:rPr>
      </w:r>
      <w:r>
        <w:rPr>
          <w:noProof/>
        </w:rPr>
        <w:fldChar w:fldCharType="separate"/>
      </w:r>
      <w:r>
        <w:rPr>
          <w:noProof/>
        </w:rPr>
        <w:t>84</w:t>
      </w:r>
      <w:r>
        <w:rPr>
          <w:noProof/>
        </w:rPr>
        <w:fldChar w:fldCharType="end"/>
      </w:r>
    </w:p>
    <w:p w14:paraId="31C19BEA" w14:textId="77777777" w:rsidR="00F85F3F" w:rsidRDefault="00F85F3F">
      <w:pPr>
        <w:pStyle w:val="TOC2"/>
        <w:tabs>
          <w:tab w:val="right" w:pos="9628"/>
        </w:tabs>
        <w:rPr>
          <w:rFonts w:asciiTheme="minorHAnsi" w:eastAsiaTheme="minorEastAsia" w:hAnsiTheme="minorHAnsi"/>
          <w:b w:val="0"/>
          <w:bCs w:val="0"/>
          <w:noProof/>
          <w:color w:val="auto"/>
          <w:sz w:val="24"/>
          <w:szCs w:val="24"/>
        </w:rPr>
      </w:pPr>
      <w:r>
        <w:rPr>
          <w:noProof/>
        </w:rPr>
        <w:t>Performance statement</w:t>
      </w:r>
      <w:r>
        <w:rPr>
          <w:noProof/>
        </w:rPr>
        <w:tab/>
      </w:r>
      <w:r>
        <w:rPr>
          <w:noProof/>
        </w:rPr>
        <w:fldChar w:fldCharType="begin"/>
      </w:r>
      <w:r>
        <w:rPr>
          <w:noProof/>
        </w:rPr>
        <w:instrText xml:space="preserve"> PAGEREF _Toc496611882 \h </w:instrText>
      </w:r>
      <w:r>
        <w:rPr>
          <w:noProof/>
        </w:rPr>
      </w:r>
      <w:r>
        <w:rPr>
          <w:noProof/>
        </w:rPr>
        <w:fldChar w:fldCharType="separate"/>
      </w:r>
      <w:r>
        <w:rPr>
          <w:noProof/>
        </w:rPr>
        <w:t>85</w:t>
      </w:r>
      <w:r>
        <w:rPr>
          <w:noProof/>
        </w:rPr>
        <w:fldChar w:fldCharType="end"/>
      </w:r>
    </w:p>
    <w:p w14:paraId="6B87302E" w14:textId="77777777" w:rsidR="00F85F3F" w:rsidRDefault="00F85F3F">
      <w:pPr>
        <w:pStyle w:val="TOC2"/>
        <w:tabs>
          <w:tab w:val="right" w:pos="9628"/>
        </w:tabs>
        <w:rPr>
          <w:rFonts w:asciiTheme="minorHAnsi" w:eastAsiaTheme="minorEastAsia" w:hAnsiTheme="minorHAnsi"/>
          <w:b w:val="0"/>
          <w:bCs w:val="0"/>
          <w:noProof/>
          <w:color w:val="auto"/>
          <w:sz w:val="24"/>
          <w:szCs w:val="24"/>
        </w:rPr>
      </w:pPr>
      <w:r>
        <w:rPr>
          <w:noProof/>
        </w:rPr>
        <w:t>Financial performance 2016-17</w:t>
      </w:r>
      <w:r>
        <w:rPr>
          <w:noProof/>
        </w:rPr>
        <w:tab/>
      </w:r>
      <w:r>
        <w:rPr>
          <w:noProof/>
        </w:rPr>
        <w:fldChar w:fldCharType="begin"/>
      </w:r>
      <w:r>
        <w:rPr>
          <w:noProof/>
        </w:rPr>
        <w:instrText xml:space="preserve"> PAGEREF _Toc496611883 \h </w:instrText>
      </w:r>
      <w:r>
        <w:rPr>
          <w:noProof/>
        </w:rPr>
      </w:r>
      <w:r>
        <w:rPr>
          <w:noProof/>
        </w:rPr>
        <w:fldChar w:fldCharType="separate"/>
      </w:r>
      <w:r>
        <w:rPr>
          <w:noProof/>
        </w:rPr>
        <w:t>94</w:t>
      </w:r>
      <w:r>
        <w:rPr>
          <w:noProof/>
        </w:rPr>
        <w:fldChar w:fldCharType="end"/>
      </w:r>
    </w:p>
    <w:p w14:paraId="3C503C30" w14:textId="77777777" w:rsidR="00F85F3F" w:rsidRDefault="00F85F3F">
      <w:pPr>
        <w:pStyle w:val="TOC2"/>
        <w:tabs>
          <w:tab w:val="right" w:pos="9628"/>
        </w:tabs>
        <w:rPr>
          <w:rFonts w:asciiTheme="minorHAnsi" w:eastAsiaTheme="minorEastAsia" w:hAnsiTheme="minorHAnsi"/>
          <w:b w:val="0"/>
          <w:bCs w:val="0"/>
          <w:noProof/>
          <w:color w:val="auto"/>
          <w:sz w:val="24"/>
          <w:szCs w:val="24"/>
        </w:rPr>
      </w:pPr>
      <w:r>
        <w:rPr>
          <w:noProof/>
        </w:rPr>
        <w:t>Statement of financial position</w:t>
      </w:r>
      <w:r>
        <w:rPr>
          <w:noProof/>
        </w:rPr>
        <w:tab/>
      </w:r>
      <w:r>
        <w:rPr>
          <w:noProof/>
        </w:rPr>
        <w:fldChar w:fldCharType="begin"/>
      </w:r>
      <w:r>
        <w:rPr>
          <w:noProof/>
        </w:rPr>
        <w:instrText xml:space="preserve"> PAGEREF _Toc496611884 \h </w:instrText>
      </w:r>
      <w:r>
        <w:rPr>
          <w:noProof/>
        </w:rPr>
      </w:r>
      <w:r>
        <w:rPr>
          <w:noProof/>
        </w:rPr>
        <w:fldChar w:fldCharType="separate"/>
      </w:r>
      <w:r>
        <w:rPr>
          <w:noProof/>
        </w:rPr>
        <w:t>96</w:t>
      </w:r>
      <w:r>
        <w:rPr>
          <w:noProof/>
        </w:rPr>
        <w:fldChar w:fldCharType="end"/>
      </w:r>
    </w:p>
    <w:p w14:paraId="6D21D16E" w14:textId="77777777" w:rsidR="00F85F3F" w:rsidRDefault="00F85F3F">
      <w:pPr>
        <w:pStyle w:val="TOC1"/>
        <w:rPr>
          <w:rFonts w:asciiTheme="minorHAnsi" w:eastAsiaTheme="minorEastAsia" w:hAnsiTheme="minorHAnsi"/>
          <w:b w:val="0"/>
          <w:bCs w:val="0"/>
          <w:noProof/>
          <w:color w:val="auto"/>
          <w:sz w:val="24"/>
        </w:rPr>
      </w:pPr>
      <w:r>
        <w:rPr>
          <w:noProof/>
        </w:rPr>
        <w:t>Section Three Governance</w:t>
      </w:r>
      <w:r>
        <w:rPr>
          <w:noProof/>
        </w:rPr>
        <w:tab/>
      </w:r>
      <w:r>
        <w:rPr>
          <w:noProof/>
        </w:rPr>
        <w:fldChar w:fldCharType="begin"/>
      </w:r>
      <w:r>
        <w:rPr>
          <w:noProof/>
        </w:rPr>
        <w:instrText xml:space="preserve"> PAGEREF _Toc496611885 \h </w:instrText>
      </w:r>
      <w:r>
        <w:rPr>
          <w:noProof/>
        </w:rPr>
      </w:r>
      <w:r>
        <w:rPr>
          <w:noProof/>
        </w:rPr>
        <w:fldChar w:fldCharType="separate"/>
      </w:r>
      <w:r>
        <w:rPr>
          <w:noProof/>
        </w:rPr>
        <w:t>98</w:t>
      </w:r>
      <w:r>
        <w:rPr>
          <w:noProof/>
        </w:rPr>
        <w:fldChar w:fldCharType="end"/>
      </w:r>
    </w:p>
    <w:p w14:paraId="456C5A8D" w14:textId="77777777" w:rsidR="00F85F3F" w:rsidRDefault="00F85F3F">
      <w:pPr>
        <w:pStyle w:val="TOC2"/>
        <w:tabs>
          <w:tab w:val="right" w:pos="9628"/>
        </w:tabs>
        <w:rPr>
          <w:rFonts w:asciiTheme="minorHAnsi" w:eastAsiaTheme="minorEastAsia" w:hAnsiTheme="minorHAnsi"/>
          <w:b w:val="0"/>
          <w:bCs w:val="0"/>
          <w:noProof/>
          <w:color w:val="auto"/>
          <w:sz w:val="24"/>
          <w:szCs w:val="24"/>
        </w:rPr>
      </w:pPr>
      <w:r>
        <w:rPr>
          <w:noProof/>
        </w:rPr>
        <w:t>Governance arrangements</w:t>
      </w:r>
      <w:r>
        <w:rPr>
          <w:noProof/>
        </w:rPr>
        <w:tab/>
      </w:r>
      <w:r>
        <w:rPr>
          <w:noProof/>
        </w:rPr>
        <w:fldChar w:fldCharType="begin"/>
      </w:r>
      <w:r>
        <w:rPr>
          <w:noProof/>
        </w:rPr>
        <w:instrText xml:space="preserve"> PAGEREF _Toc496611886 \h </w:instrText>
      </w:r>
      <w:r>
        <w:rPr>
          <w:noProof/>
        </w:rPr>
      </w:r>
      <w:r>
        <w:rPr>
          <w:noProof/>
        </w:rPr>
        <w:fldChar w:fldCharType="separate"/>
      </w:r>
      <w:r>
        <w:rPr>
          <w:noProof/>
        </w:rPr>
        <w:t>100</w:t>
      </w:r>
      <w:r>
        <w:rPr>
          <w:noProof/>
        </w:rPr>
        <w:fldChar w:fldCharType="end"/>
      </w:r>
    </w:p>
    <w:p w14:paraId="68DABB25" w14:textId="77777777" w:rsidR="00F85F3F" w:rsidRDefault="00F85F3F">
      <w:pPr>
        <w:pStyle w:val="TOC2"/>
        <w:tabs>
          <w:tab w:val="right" w:pos="9628"/>
        </w:tabs>
        <w:rPr>
          <w:rFonts w:asciiTheme="minorHAnsi" w:eastAsiaTheme="minorEastAsia" w:hAnsiTheme="minorHAnsi"/>
          <w:b w:val="0"/>
          <w:bCs w:val="0"/>
          <w:noProof/>
          <w:color w:val="auto"/>
          <w:sz w:val="24"/>
          <w:szCs w:val="24"/>
        </w:rPr>
      </w:pPr>
      <w:r>
        <w:rPr>
          <w:noProof/>
        </w:rPr>
        <w:t>Agency Board</w:t>
      </w:r>
      <w:r>
        <w:rPr>
          <w:noProof/>
        </w:rPr>
        <w:tab/>
      </w:r>
      <w:r>
        <w:rPr>
          <w:noProof/>
        </w:rPr>
        <w:fldChar w:fldCharType="begin"/>
      </w:r>
      <w:r>
        <w:rPr>
          <w:noProof/>
        </w:rPr>
        <w:instrText xml:space="preserve"> PAGEREF _Toc496611887 \h </w:instrText>
      </w:r>
      <w:r>
        <w:rPr>
          <w:noProof/>
        </w:rPr>
      </w:r>
      <w:r>
        <w:rPr>
          <w:noProof/>
        </w:rPr>
        <w:fldChar w:fldCharType="separate"/>
      </w:r>
      <w:r>
        <w:rPr>
          <w:noProof/>
        </w:rPr>
        <w:t>101</w:t>
      </w:r>
      <w:r>
        <w:rPr>
          <w:noProof/>
        </w:rPr>
        <w:fldChar w:fldCharType="end"/>
      </w:r>
    </w:p>
    <w:p w14:paraId="2A4A782C" w14:textId="77777777" w:rsidR="00F85F3F" w:rsidRDefault="00F85F3F">
      <w:pPr>
        <w:pStyle w:val="TOC2"/>
        <w:tabs>
          <w:tab w:val="right" w:pos="9628"/>
        </w:tabs>
        <w:rPr>
          <w:rFonts w:asciiTheme="minorHAnsi" w:eastAsiaTheme="minorEastAsia" w:hAnsiTheme="minorHAnsi"/>
          <w:b w:val="0"/>
          <w:bCs w:val="0"/>
          <w:noProof/>
          <w:color w:val="auto"/>
          <w:sz w:val="24"/>
          <w:szCs w:val="24"/>
        </w:rPr>
      </w:pPr>
      <w:r>
        <w:rPr>
          <w:noProof/>
        </w:rPr>
        <w:t>Board Members</w:t>
      </w:r>
      <w:r>
        <w:rPr>
          <w:noProof/>
        </w:rPr>
        <w:tab/>
      </w:r>
      <w:r>
        <w:rPr>
          <w:noProof/>
        </w:rPr>
        <w:fldChar w:fldCharType="begin"/>
      </w:r>
      <w:r>
        <w:rPr>
          <w:noProof/>
        </w:rPr>
        <w:instrText xml:space="preserve"> PAGEREF _Toc496611888 \h </w:instrText>
      </w:r>
      <w:r>
        <w:rPr>
          <w:noProof/>
        </w:rPr>
      </w:r>
      <w:r>
        <w:rPr>
          <w:noProof/>
        </w:rPr>
        <w:fldChar w:fldCharType="separate"/>
      </w:r>
      <w:r>
        <w:rPr>
          <w:noProof/>
        </w:rPr>
        <w:t>102</w:t>
      </w:r>
      <w:r>
        <w:rPr>
          <w:noProof/>
        </w:rPr>
        <w:fldChar w:fldCharType="end"/>
      </w:r>
    </w:p>
    <w:p w14:paraId="05F101E3" w14:textId="77777777" w:rsidR="00F85F3F" w:rsidRDefault="00F85F3F">
      <w:pPr>
        <w:pStyle w:val="TOC2"/>
        <w:tabs>
          <w:tab w:val="right" w:pos="9628"/>
        </w:tabs>
        <w:rPr>
          <w:rFonts w:asciiTheme="minorHAnsi" w:eastAsiaTheme="minorEastAsia" w:hAnsiTheme="minorHAnsi"/>
          <w:b w:val="0"/>
          <w:bCs w:val="0"/>
          <w:noProof/>
          <w:color w:val="auto"/>
          <w:sz w:val="24"/>
          <w:szCs w:val="24"/>
        </w:rPr>
      </w:pPr>
      <w:r>
        <w:rPr>
          <w:noProof/>
        </w:rPr>
        <w:t>Board committees</w:t>
      </w:r>
      <w:r>
        <w:rPr>
          <w:noProof/>
        </w:rPr>
        <w:tab/>
      </w:r>
      <w:r>
        <w:rPr>
          <w:noProof/>
        </w:rPr>
        <w:fldChar w:fldCharType="begin"/>
      </w:r>
      <w:r>
        <w:rPr>
          <w:noProof/>
        </w:rPr>
        <w:instrText xml:space="preserve"> PAGEREF _Toc496611889 \h </w:instrText>
      </w:r>
      <w:r>
        <w:rPr>
          <w:noProof/>
        </w:rPr>
      </w:r>
      <w:r>
        <w:rPr>
          <w:noProof/>
        </w:rPr>
        <w:fldChar w:fldCharType="separate"/>
      </w:r>
      <w:r>
        <w:rPr>
          <w:noProof/>
        </w:rPr>
        <w:t>106</w:t>
      </w:r>
      <w:r>
        <w:rPr>
          <w:noProof/>
        </w:rPr>
        <w:fldChar w:fldCharType="end"/>
      </w:r>
    </w:p>
    <w:p w14:paraId="09E20309" w14:textId="77777777" w:rsidR="00F85F3F" w:rsidRDefault="00F85F3F">
      <w:pPr>
        <w:pStyle w:val="TOC2"/>
        <w:tabs>
          <w:tab w:val="right" w:pos="9628"/>
        </w:tabs>
        <w:rPr>
          <w:rFonts w:asciiTheme="minorHAnsi" w:eastAsiaTheme="minorEastAsia" w:hAnsiTheme="minorHAnsi"/>
          <w:b w:val="0"/>
          <w:bCs w:val="0"/>
          <w:noProof/>
          <w:color w:val="auto"/>
          <w:sz w:val="24"/>
          <w:szCs w:val="24"/>
        </w:rPr>
      </w:pPr>
      <w:r>
        <w:rPr>
          <w:noProof/>
        </w:rPr>
        <w:t>Independent Advisory Council</w:t>
      </w:r>
      <w:r>
        <w:rPr>
          <w:noProof/>
        </w:rPr>
        <w:tab/>
      </w:r>
      <w:r>
        <w:rPr>
          <w:noProof/>
        </w:rPr>
        <w:fldChar w:fldCharType="begin"/>
      </w:r>
      <w:r>
        <w:rPr>
          <w:noProof/>
        </w:rPr>
        <w:instrText xml:space="preserve"> PAGEREF _Toc496611890 \h </w:instrText>
      </w:r>
      <w:r>
        <w:rPr>
          <w:noProof/>
        </w:rPr>
      </w:r>
      <w:r>
        <w:rPr>
          <w:noProof/>
        </w:rPr>
        <w:fldChar w:fldCharType="separate"/>
      </w:r>
      <w:r>
        <w:rPr>
          <w:noProof/>
        </w:rPr>
        <w:t>108</w:t>
      </w:r>
      <w:r>
        <w:rPr>
          <w:noProof/>
        </w:rPr>
        <w:fldChar w:fldCharType="end"/>
      </w:r>
    </w:p>
    <w:p w14:paraId="3E9B3222" w14:textId="77777777" w:rsidR="00F85F3F" w:rsidRDefault="00F85F3F">
      <w:pPr>
        <w:pStyle w:val="TOC2"/>
        <w:tabs>
          <w:tab w:val="right" w:pos="9628"/>
        </w:tabs>
        <w:rPr>
          <w:rFonts w:asciiTheme="minorHAnsi" w:eastAsiaTheme="minorEastAsia" w:hAnsiTheme="minorHAnsi"/>
          <w:b w:val="0"/>
          <w:bCs w:val="0"/>
          <w:noProof/>
          <w:color w:val="auto"/>
          <w:sz w:val="24"/>
          <w:szCs w:val="24"/>
        </w:rPr>
      </w:pPr>
      <w:r>
        <w:rPr>
          <w:noProof/>
        </w:rPr>
        <w:t>Executive Management Group</w:t>
      </w:r>
      <w:r>
        <w:rPr>
          <w:noProof/>
        </w:rPr>
        <w:tab/>
      </w:r>
      <w:r>
        <w:rPr>
          <w:noProof/>
        </w:rPr>
        <w:fldChar w:fldCharType="begin"/>
      </w:r>
      <w:r>
        <w:rPr>
          <w:noProof/>
        </w:rPr>
        <w:instrText xml:space="preserve"> PAGEREF _Toc496611891 \h </w:instrText>
      </w:r>
      <w:r>
        <w:rPr>
          <w:noProof/>
        </w:rPr>
      </w:r>
      <w:r>
        <w:rPr>
          <w:noProof/>
        </w:rPr>
        <w:fldChar w:fldCharType="separate"/>
      </w:r>
      <w:r>
        <w:rPr>
          <w:noProof/>
        </w:rPr>
        <w:t>109</w:t>
      </w:r>
      <w:r>
        <w:rPr>
          <w:noProof/>
        </w:rPr>
        <w:fldChar w:fldCharType="end"/>
      </w:r>
    </w:p>
    <w:p w14:paraId="62DF0F3A" w14:textId="77777777" w:rsidR="00F85F3F" w:rsidRDefault="00F85F3F">
      <w:pPr>
        <w:pStyle w:val="TOC2"/>
        <w:tabs>
          <w:tab w:val="right" w:pos="9628"/>
        </w:tabs>
        <w:rPr>
          <w:rFonts w:asciiTheme="minorHAnsi" w:eastAsiaTheme="minorEastAsia" w:hAnsiTheme="minorHAnsi"/>
          <w:b w:val="0"/>
          <w:bCs w:val="0"/>
          <w:noProof/>
          <w:color w:val="auto"/>
          <w:sz w:val="24"/>
          <w:szCs w:val="24"/>
        </w:rPr>
      </w:pPr>
      <w:r>
        <w:rPr>
          <w:noProof/>
        </w:rPr>
        <w:t>Reportable items</w:t>
      </w:r>
      <w:r>
        <w:rPr>
          <w:noProof/>
        </w:rPr>
        <w:tab/>
      </w:r>
      <w:r>
        <w:rPr>
          <w:noProof/>
        </w:rPr>
        <w:fldChar w:fldCharType="begin"/>
      </w:r>
      <w:r>
        <w:rPr>
          <w:noProof/>
        </w:rPr>
        <w:instrText xml:space="preserve"> PAGEREF _Toc496611892 \h </w:instrText>
      </w:r>
      <w:r>
        <w:rPr>
          <w:noProof/>
        </w:rPr>
      </w:r>
      <w:r>
        <w:rPr>
          <w:noProof/>
        </w:rPr>
        <w:fldChar w:fldCharType="separate"/>
      </w:r>
      <w:r>
        <w:rPr>
          <w:noProof/>
        </w:rPr>
        <w:t>112</w:t>
      </w:r>
      <w:r>
        <w:rPr>
          <w:noProof/>
        </w:rPr>
        <w:fldChar w:fldCharType="end"/>
      </w:r>
    </w:p>
    <w:p w14:paraId="22580BD9" w14:textId="77777777" w:rsidR="00F85F3F" w:rsidRDefault="00F85F3F">
      <w:pPr>
        <w:pStyle w:val="TOC1"/>
        <w:rPr>
          <w:rFonts w:asciiTheme="minorHAnsi" w:eastAsiaTheme="minorEastAsia" w:hAnsiTheme="minorHAnsi"/>
          <w:b w:val="0"/>
          <w:bCs w:val="0"/>
          <w:noProof/>
          <w:color w:val="auto"/>
          <w:sz w:val="24"/>
        </w:rPr>
      </w:pPr>
      <w:r>
        <w:rPr>
          <w:noProof/>
        </w:rPr>
        <w:t>Section Four Sustainability and Financial Performance</w:t>
      </w:r>
      <w:r>
        <w:rPr>
          <w:noProof/>
        </w:rPr>
        <w:tab/>
      </w:r>
      <w:r>
        <w:rPr>
          <w:noProof/>
        </w:rPr>
        <w:fldChar w:fldCharType="begin"/>
      </w:r>
      <w:r>
        <w:rPr>
          <w:noProof/>
        </w:rPr>
        <w:instrText xml:space="preserve"> PAGEREF _Toc496611893 \h </w:instrText>
      </w:r>
      <w:r>
        <w:rPr>
          <w:noProof/>
        </w:rPr>
      </w:r>
      <w:r>
        <w:rPr>
          <w:noProof/>
        </w:rPr>
        <w:fldChar w:fldCharType="separate"/>
      </w:r>
      <w:r>
        <w:rPr>
          <w:noProof/>
        </w:rPr>
        <w:t>120</w:t>
      </w:r>
      <w:r>
        <w:rPr>
          <w:noProof/>
        </w:rPr>
        <w:fldChar w:fldCharType="end"/>
      </w:r>
    </w:p>
    <w:p w14:paraId="26CB4D43" w14:textId="77777777" w:rsidR="00F85F3F" w:rsidRDefault="00F85F3F">
      <w:pPr>
        <w:pStyle w:val="TOC2"/>
        <w:tabs>
          <w:tab w:val="right" w:pos="9628"/>
        </w:tabs>
        <w:rPr>
          <w:rFonts w:asciiTheme="minorHAnsi" w:eastAsiaTheme="minorEastAsia" w:hAnsiTheme="minorHAnsi"/>
          <w:b w:val="0"/>
          <w:bCs w:val="0"/>
          <w:noProof/>
          <w:color w:val="auto"/>
          <w:sz w:val="24"/>
          <w:szCs w:val="24"/>
        </w:rPr>
      </w:pPr>
      <w:r>
        <w:rPr>
          <w:noProof/>
        </w:rPr>
        <w:lastRenderedPageBreak/>
        <w:t>Summary of National Disability Insurance Scheme Financial Sustainability Report 2016-17</w:t>
      </w:r>
      <w:r>
        <w:rPr>
          <w:noProof/>
        </w:rPr>
        <w:tab/>
      </w:r>
      <w:r>
        <w:rPr>
          <w:noProof/>
        </w:rPr>
        <w:fldChar w:fldCharType="begin"/>
      </w:r>
      <w:r>
        <w:rPr>
          <w:noProof/>
        </w:rPr>
        <w:instrText xml:space="preserve"> PAGEREF _Toc496611894 \h </w:instrText>
      </w:r>
      <w:r>
        <w:rPr>
          <w:noProof/>
        </w:rPr>
      </w:r>
      <w:r>
        <w:rPr>
          <w:noProof/>
        </w:rPr>
        <w:fldChar w:fldCharType="separate"/>
      </w:r>
      <w:r>
        <w:rPr>
          <w:noProof/>
        </w:rPr>
        <w:t>122</w:t>
      </w:r>
      <w:r>
        <w:rPr>
          <w:noProof/>
        </w:rPr>
        <w:fldChar w:fldCharType="end"/>
      </w:r>
    </w:p>
    <w:p w14:paraId="605FDD7A" w14:textId="77777777" w:rsidR="00F85F3F" w:rsidRDefault="00F85F3F">
      <w:pPr>
        <w:pStyle w:val="TOC1"/>
        <w:rPr>
          <w:rFonts w:asciiTheme="minorHAnsi" w:eastAsiaTheme="minorEastAsia" w:hAnsiTheme="minorHAnsi"/>
          <w:b w:val="0"/>
          <w:bCs w:val="0"/>
          <w:noProof/>
          <w:color w:val="auto"/>
          <w:sz w:val="24"/>
        </w:rPr>
      </w:pPr>
      <w:r>
        <w:rPr>
          <w:noProof/>
        </w:rPr>
        <w:t>Financial statements for the period ending 30 June 2017</w:t>
      </w:r>
      <w:r>
        <w:rPr>
          <w:noProof/>
        </w:rPr>
        <w:tab/>
      </w:r>
      <w:r>
        <w:rPr>
          <w:noProof/>
        </w:rPr>
        <w:fldChar w:fldCharType="begin"/>
      </w:r>
      <w:r>
        <w:rPr>
          <w:noProof/>
        </w:rPr>
        <w:instrText xml:space="preserve"> PAGEREF _Toc496611895 \h </w:instrText>
      </w:r>
      <w:r>
        <w:rPr>
          <w:noProof/>
        </w:rPr>
      </w:r>
      <w:r>
        <w:rPr>
          <w:noProof/>
        </w:rPr>
        <w:fldChar w:fldCharType="separate"/>
      </w:r>
      <w:r>
        <w:rPr>
          <w:noProof/>
        </w:rPr>
        <w:t>125</w:t>
      </w:r>
      <w:r>
        <w:rPr>
          <w:noProof/>
        </w:rPr>
        <w:fldChar w:fldCharType="end"/>
      </w:r>
    </w:p>
    <w:p w14:paraId="17CD3833" w14:textId="77777777" w:rsidR="00F85F3F" w:rsidRDefault="00F85F3F">
      <w:pPr>
        <w:pStyle w:val="TOC2"/>
        <w:tabs>
          <w:tab w:val="right" w:pos="9628"/>
        </w:tabs>
        <w:rPr>
          <w:rFonts w:asciiTheme="minorHAnsi" w:eastAsiaTheme="minorEastAsia" w:hAnsiTheme="minorHAnsi"/>
          <w:b w:val="0"/>
          <w:bCs w:val="0"/>
          <w:noProof/>
          <w:color w:val="auto"/>
          <w:sz w:val="24"/>
          <w:szCs w:val="24"/>
        </w:rPr>
      </w:pPr>
      <w:r>
        <w:rPr>
          <w:noProof/>
        </w:rPr>
        <w:t>Acronyms</w:t>
      </w:r>
      <w:r>
        <w:rPr>
          <w:noProof/>
        </w:rPr>
        <w:tab/>
      </w:r>
      <w:r>
        <w:rPr>
          <w:noProof/>
        </w:rPr>
        <w:fldChar w:fldCharType="begin"/>
      </w:r>
      <w:r>
        <w:rPr>
          <w:noProof/>
        </w:rPr>
        <w:instrText xml:space="preserve"> PAGEREF _Toc496611918 \h </w:instrText>
      </w:r>
      <w:r>
        <w:rPr>
          <w:noProof/>
        </w:rPr>
      </w:r>
      <w:r>
        <w:rPr>
          <w:noProof/>
        </w:rPr>
        <w:fldChar w:fldCharType="separate"/>
      </w:r>
      <w:r>
        <w:rPr>
          <w:noProof/>
        </w:rPr>
        <w:t>187</w:t>
      </w:r>
      <w:r>
        <w:rPr>
          <w:noProof/>
        </w:rPr>
        <w:fldChar w:fldCharType="end"/>
      </w:r>
    </w:p>
    <w:p w14:paraId="36F1AE0E" w14:textId="77777777" w:rsidR="00F85F3F" w:rsidRDefault="00F85F3F">
      <w:pPr>
        <w:pStyle w:val="TOC2"/>
        <w:tabs>
          <w:tab w:val="right" w:pos="9628"/>
        </w:tabs>
        <w:rPr>
          <w:rFonts w:asciiTheme="minorHAnsi" w:eastAsiaTheme="minorEastAsia" w:hAnsiTheme="minorHAnsi"/>
          <w:b w:val="0"/>
          <w:bCs w:val="0"/>
          <w:noProof/>
          <w:color w:val="auto"/>
          <w:sz w:val="24"/>
          <w:szCs w:val="24"/>
        </w:rPr>
      </w:pPr>
      <w:r>
        <w:rPr>
          <w:noProof/>
        </w:rPr>
        <w:t>Glossary</w:t>
      </w:r>
      <w:r>
        <w:rPr>
          <w:noProof/>
        </w:rPr>
        <w:tab/>
      </w:r>
      <w:r>
        <w:rPr>
          <w:noProof/>
        </w:rPr>
        <w:fldChar w:fldCharType="begin"/>
      </w:r>
      <w:r>
        <w:rPr>
          <w:noProof/>
        </w:rPr>
        <w:instrText xml:space="preserve"> PAGEREF _Toc496611919 \h </w:instrText>
      </w:r>
      <w:r>
        <w:rPr>
          <w:noProof/>
        </w:rPr>
      </w:r>
      <w:r>
        <w:rPr>
          <w:noProof/>
        </w:rPr>
        <w:fldChar w:fldCharType="separate"/>
      </w:r>
      <w:r>
        <w:rPr>
          <w:noProof/>
        </w:rPr>
        <w:t>190</w:t>
      </w:r>
      <w:r>
        <w:rPr>
          <w:noProof/>
        </w:rPr>
        <w:fldChar w:fldCharType="end"/>
      </w:r>
    </w:p>
    <w:p w14:paraId="70AF2B65" w14:textId="77777777" w:rsidR="00F85F3F" w:rsidRDefault="00F85F3F">
      <w:pPr>
        <w:pStyle w:val="TOC2"/>
        <w:tabs>
          <w:tab w:val="right" w:pos="9628"/>
        </w:tabs>
        <w:rPr>
          <w:rFonts w:asciiTheme="minorHAnsi" w:eastAsiaTheme="minorEastAsia" w:hAnsiTheme="minorHAnsi"/>
          <w:b w:val="0"/>
          <w:bCs w:val="0"/>
          <w:noProof/>
          <w:color w:val="auto"/>
          <w:sz w:val="24"/>
          <w:szCs w:val="24"/>
        </w:rPr>
      </w:pPr>
      <w:r>
        <w:rPr>
          <w:noProof/>
        </w:rPr>
        <w:t>Appendix 1: NDIA staffing statistics</w:t>
      </w:r>
      <w:r>
        <w:rPr>
          <w:noProof/>
        </w:rPr>
        <w:tab/>
      </w:r>
      <w:r>
        <w:rPr>
          <w:noProof/>
        </w:rPr>
        <w:fldChar w:fldCharType="begin"/>
      </w:r>
      <w:r>
        <w:rPr>
          <w:noProof/>
        </w:rPr>
        <w:instrText xml:space="preserve"> PAGEREF _Toc496611920 \h </w:instrText>
      </w:r>
      <w:r>
        <w:rPr>
          <w:noProof/>
        </w:rPr>
      </w:r>
      <w:r>
        <w:rPr>
          <w:noProof/>
        </w:rPr>
        <w:fldChar w:fldCharType="separate"/>
      </w:r>
      <w:r>
        <w:rPr>
          <w:noProof/>
        </w:rPr>
        <w:t>194</w:t>
      </w:r>
      <w:r>
        <w:rPr>
          <w:noProof/>
        </w:rPr>
        <w:fldChar w:fldCharType="end"/>
      </w:r>
    </w:p>
    <w:p w14:paraId="0B20B981" w14:textId="77777777" w:rsidR="00F85F3F" w:rsidRDefault="00F85F3F">
      <w:pPr>
        <w:pStyle w:val="TOC2"/>
        <w:tabs>
          <w:tab w:val="right" w:pos="9628"/>
        </w:tabs>
        <w:rPr>
          <w:rFonts w:asciiTheme="minorHAnsi" w:eastAsiaTheme="minorEastAsia" w:hAnsiTheme="minorHAnsi"/>
          <w:b w:val="0"/>
          <w:bCs w:val="0"/>
          <w:noProof/>
          <w:color w:val="auto"/>
          <w:sz w:val="24"/>
          <w:szCs w:val="24"/>
        </w:rPr>
      </w:pPr>
      <w:r>
        <w:rPr>
          <w:noProof/>
        </w:rPr>
        <w:t>Appendix 2: Board members’ positions, terms and meetings attended 2016-17</w:t>
      </w:r>
      <w:r>
        <w:rPr>
          <w:noProof/>
        </w:rPr>
        <w:tab/>
      </w:r>
      <w:r>
        <w:rPr>
          <w:noProof/>
        </w:rPr>
        <w:fldChar w:fldCharType="begin"/>
      </w:r>
      <w:r>
        <w:rPr>
          <w:noProof/>
        </w:rPr>
        <w:instrText xml:space="preserve"> PAGEREF _Toc496611921 \h </w:instrText>
      </w:r>
      <w:r>
        <w:rPr>
          <w:noProof/>
        </w:rPr>
      </w:r>
      <w:r>
        <w:rPr>
          <w:noProof/>
        </w:rPr>
        <w:fldChar w:fldCharType="separate"/>
      </w:r>
      <w:r>
        <w:rPr>
          <w:noProof/>
        </w:rPr>
        <w:t>196</w:t>
      </w:r>
      <w:r>
        <w:rPr>
          <w:noProof/>
        </w:rPr>
        <w:fldChar w:fldCharType="end"/>
      </w:r>
    </w:p>
    <w:p w14:paraId="01794E6D" w14:textId="77777777" w:rsidR="00F85F3F" w:rsidRDefault="00F85F3F">
      <w:pPr>
        <w:pStyle w:val="TOC2"/>
        <w:tabs>
          <w:tab w:val="right" w:pos="9628"/>
        </w:tabs>
        <w:rPr>
          <w:rFonts w:asciiTheme="minorHAnsi" w:eastAsiaTheme="minorEastAsia" w:hAnsiTheme="minorHAnsi"/>
          <w:b w:val="0"/>
          <w:bCs w:val="0"/>
          <w:noProof/>
          <w:color w:val="auto"/>
          <w:sz w:val="24"/>
          <w:szCs w:val="24"/>
        </w:rPr>
      </w:pPr>
      <w:r>
        <w:rPr>
          <w:noProof/>
        </w:rPr>
        <w:t>Appendix 3: Administrative Appeals Tribunal (AAT) reviews and decisions 2016-17</w:t>
      </w:r>
      <w:r>
        <w:rPr>
          <w:noProof/>
        </w:rPr>
        <w:tab/>
      </w:r>
      <w:r>
        <w:rPr>
          <w:noProof/>
        </w:rPr>
        <w:fldChar w:fldCharType="begin"/>
      </w:r>
      <w:r>
        <w:rPr>
          <w:noProof/>
        </w:rPr>
        <w:instrText xml:space="preserve"> PAGEREF _Toc496611922 \h </w:instrText>
      </w:r>
      <w:r>
        <w:rPr>
          <w:noProof/>
        </w:rPr>
      </w:r>
      <w:r>
        <w:rPr>
          <w:noProof/>
        </w:rPr>
        <w:fldChar w:fldCharType="separate"/>
      </w:r>
      <w:r>
        <w:rPr>
          <w:noProof/>
        </w:rPr>
        <w:t>198</w:t>
      </w:r>
      <w:r>
        <w:rPr>
          <w:noProof/>
        </w:rPr>
        <w:fldChar w:fldCharType="end"/>
      </w:r>
    </w:p>
    <w:p w14:paraId="25C266CB" w14:textId="77777777" w:rsidR="00F85F3F" w:rsidRDefault="00F85F3F">
      <w:pPr>
        <w:pStyle w:val="TOC2"/>
        <w:tabs>
          <w:tab w:val="right" w:pos="9628"/>
        </w:tabs>
        <w:rPr>
          <w:rFonts w:asciiTheme="minorHAnsi" w:eastAsiaTheme="minorEastAsia" w:hAnsiTheme="minorHAnsi"/>
          <w:b w:val="0"/>
          <w:bCs w:val="0"/>
          <w:noProof/>
          <w:color w:val="auto"/>
          <w:sz w:val="24"/>
          <w:szCs w:val="24"/>
        </w:rPr>
      </w:pPr>
      <w:r>
        <w:rPr>
          <w:noProof/>
        </w:rPr>
        <w:t xml:space="preserve">Appendix 4: Summary of incidents pursuant to section 38 of the </w:t>
      </w:r>
      <w:r w:rsidRPr="00205C63">
        <w:rPr>
          <w:i/>
          <w:noProof/>
        </w:rPr>
        <w:t>Work Health and Safety Act 2011</w:t>
      </w:r>
      <w:r>
        <w:rPr>
          <w:noProof/>
        </w:rPr>
        <w:t xml:space="preserve"> (WHS Act)</w:t>
      </w:r>
      <w:r>
        <w:rPr>
          <w:noProof/>
        </w:rPr>
        <w:tab/>
      </w:r>
      <w:r>
        <w:rPr>
          <w:noProof/>
        </w:rPr>
        <w:fldChar w:fldCharType="begin"/>
      </w:r>
      <w:r>
        <w:rPr>
          <w:noProof/>
        </w:rPr>
        <w:instrText xml:space="preserve"> PAGEREF _Toc496611923 \h </w:instrText>
      </w:r>
      <w:r>
        <w:rPr>
          <w:noProof/>
        </w:rPr>
      </w:r>
      <w:r>
        <w:rPr>
          <w:noProof/>
        </w:rPr>
        <w:fldChar w:fldCharType="separate"/>
      </w:r>
      <w:r>
        <w:rPr>
          <w:noProof/>
        </w:rPr>
        <w:t>200</w:t>
      </w:r>
      <w:r>
        <w:rPr>
          <w:noProof/>
        </w:rPr>
        <w:fldChar w:fldCharType="end"/>
      </w:r>
    </w:p>
    <w:p w14:paraId="2DEE4042" w14:textId="77777777" w:rsidR="00F85F3F" w:rsidRDefault="00F85F3F">
      <w:pPr>
        <w:pStyle w:val="TOC2"/>
        <w:tabs>
          <w:tab w:val="right" w:pos="9628"/>
        </w:tabs>
        <w:rPr>
          <w:rFonts w:asciiTheme="minorHAnsi" w:eastAsiaTheme="minorEastAsia" w:hAnsiTheme="minorHAnsi"/>
          <w:b w:val="0"/>
          <w:bCs w:val="0"/>
          <w:noProof/>
          <w:color w:val="auto"/>
          <w:sz w:val="24"/>
          <w:szCs w:val="24"/>
        </w:rPr>
      </w:pPr>
      <w:r>
        <w:rPr>
          <w:noProof/>
        </w:rPr>
        <w:t>Appendix 5: Enabling Legislation</w:t>
      </w:r>
      <w:r>
        <w:rPr>
          <w:noProof/>
        </w:rPr>
        <w:tab/>
      </w:r>
      <w:r>
        <w:rPr>
          <w:noProof/>
        </w:rPr>
        <w:fldChar w:fldCharType="begin"/>
      </w:r>
      <w:r>
        <w:rPr>
          <w:noProof/>
        </w:rPr>
        <w:instrText xml:space="preserve"> PAGEREF _Toc496611924 \h </w:instrText>
      </w:r>
      <w:r>
        <w:rPr>
          <w:noProof/>
        </w:rPr>
      </w:r>
      <w:r>
        <w:rPr>
          <w:noProof/>
        </w:rPr>
        <w:fldChar w:fldCharType="separate"/>
      </w:r>
      <w:r>
        <w:rPr>
          <w:noProof/>
        </w:rPr>
        <w:t>201</w:t>
      </w:r>
      <w:r>
        <w:rPr>
          <w:noProof/>
        </w:rPr>
        <w:fldChar w:fldCharType="end"/>
      </w:r>
    </w:p>
    <w:p w14:paraId="2823E009" w14:textId="77777777" w:rsidR="00F85F3F" w:rsidRDefault="00F85F3F">
      <w:pPr>
        <w:pStyle w:val="TOC2"/>
        <w:tabs>
          <w:tab w:val="right" w:pos="9628"/>
        </w:tabs>
        <w:rPr>
          <w:rFonts w:asciiTheme="minorHAnsi" w:eastAsiaTheme="minorEastAsia" w:hAnsiTheme="minorHAnsi"/>
          <w:b w:val="0"/>
          <w:bCs w:val="0"/>
          <w:noProof/>
          <w:color w:val="auto"/>
          <w:sz w:val="24"/>
          <w:szCs w:val="24"/>
        </w:rPr>
      </w:pPr>
      <w:r>
        <w:rPr>
          <w:noProof/>
        </w:rPr>
        <w:t>Appendix 6: Compliance with Carer Recognition Act 2010</w:t>
      </w:r>
      <w:r>
        <w:rPr>
          <w:noProof/>
        </w:rPr>
        <w:tab/>
      </w:r>
      <w:r>
        <w:rPr>
          <w:noProof/>
        </w:rPr>
        <w:fldChar w:fldCharType="begin"/>
      </w:r>
      <w:r>
        <w:rPr>
          <w:noProof/>
        </w:rPr>
        <w:instrText xml:space="preserve"> PAGEREF _Toc496611925 \h </w:instrText>
      </w:r>
      <w:r>
        <w:rPr>
          <w:noProof/>
        </w:rPr>
      </w:r>
      <w:r>
        <w:rPr>
          <w:noProof/>
        </w:rPr>
        <w:fldChar w:fldCharType="separate"/>
      </w:r>
      <w:r>
        <w:rPr>
          <w:noProof/>
        </w:rPr>
        <w:t>202</w:t>
      </w:r>
      <w:r>
        <w:rPr>
          <w:noProof/>
        </w:rPr>
        <w:fldChar w:fldCharType="end"/>
      </w:r>
    </w:p>
    <w:p w14:paraId="03567002" w14:textId="77777777" w:rsidR="00F85F3F" w:rsidRDefault="00F85F3F">
      <w:pPr>
        <w:pStyle w:val="TOC2"/>
        <w:tabs>
          <w:tab w:val="right" w:pos="9628"/>
        </w:tabs>
        <w:rPr>
          <w:rFonts w:asciiTheme="minorHAnsi" w:eastAsiaTheme="minorEastAsia" w:hAnsiTheme="minorHAnsi"/>
          <w:b w:val="0"/>
          <w:bCs w:val="0"/>
          <w:noProof/>
          <w:color w:val="auto"/>
          <w:sz w:val="24"/>
          <w:szCs w:val="24"/>
        </w:rPr>
      </w:pPr>
      <w:r>
        <w:rPr>
          <w:noProof/>
        </w:rPr>
        <w:t>Compliance index (17BE and 17BF of PGPA Rule 2014)</w:t>
      </w:r>
      <w:r>
        <w:rPr>
          <w:noProof/>
        </w:rPr>
        <w:tab/>
      </w:r>
      <w:r>
        <w:rPr>
          <w:noProof/>
        </w:rPr>
        <w:fldChar w:fldCharType="begin"/>
      </w:r>
      <w:r>
        <w:rPr>
          <w:noProof/>
        </w:rPr>
        <w:instrText xml:space="preserve"> PAGEREF _Toc496611926 \h </w:instrText>
      </w:r>
      <w:r>
        <w:rPr>
          <w:noProof/>
        </w:rPr>
      </w:r>
      <w:r>
        <w:rPr>
          <w:noProof/>
        </w:rPr>
        <w:fldChar w:fldCharType="separate"/>
      </w:r>
      <w:r>
        <w:rPr>
          <w:noProof/>
        </w:rPr>
        <w:t>204</w:t>
      </w:r>
      <w:r>
        <w:rPr>
          <w:noProof/>
        </w:rPr>
        <w:fldChar w:fldCharType="end"/>
      </w:r>
    </w:p>
    <w:p w14:paraId="1E83AEEB" w14:textId="3CDA42DD" w:rsidR="0013374A" w:rsidRDefault="00F6665C" w:rsidP="001E0823">
      <w:r>
        <w:fldChar w:fldCharType="end"/>
      </w:r>
      <w:r w:rsidR="0013374A">
        <w:br w:type="page"/>
      </w:r>
    </w:p>
    <w:p w14:paraId="667D63DB" w14:textId="736CA431" w:rsidR="00274065" w:rsidRDefault="00274065" w:rsidP="001E0823">
      <w:pPr>
        <w:pStyle w:val="Heading2"/>
      </w:pPr>
      <w:bookmarkStart w:id="5" w:name="_Toc496611866"/>
      <w:r>
        <w:lastRenderedPageBreak/>
        <w:t>List of tables</w:t>
      </w:r>
      <w:bookmarkEnd w:id="5"/>
    </w:p>
    <w:p w14:paraId="6B7833C6" w14:textId="4F8A3CDC" w:rsidR="00320D09" w:rsidRDefault="008142FF">
      <w:pPr>
        <w:pStyle w:val="TableofFigures"/>
        <w:tabs>
          <w:tab w:val="right" w:pos="9628"/>
        </w:tabs>
        <w:rPr>
          <w:rFonts w:eastAsiaTheme="minorEastAsia" w:cstheme="minorBidi"/>
          <w:b w:val="0"/>
          <w:bCs w:val="0"/>
          <w:noProof/>
          <w:color w:val="auto"/>
          <w:sz w:val="24"/>
          <w:szCs w:val="24"/>
        </w:rPr>
      </w:pPr>
      <w:r>
        <w:fldChar w:fldCharType="begin"/>
      </w:r>
      <w:r>
        <w:instrText xml:space="preserve"> TOC \t "Heading 4 – tables" \c </w:instrText>
      </w:r>
      <w:r>
        <w:fldChar w:fldCharType="separate"/>
      </w:r>
      <w:r w:rsidR="00320D09">
        <w:rPr>
          <w:noProof/>
        </w:rPr>
        <w:t xml:space="preserve">Table 1: Distribution of active participants by method </w:t>
      </w:r>
      <w:r w:rsidR="00320D09">
        <w:rPr>
          <w:noProof/>
        </w:rPr>
        <w:br/>
        <w:t>of financial plan management at 30 June 2017</w:t>
      </w:r>
      <w:r w:rsidR="00320D09">
        <w:rPr>
          <w:noProof/>
        </w:rPr>
        <w:tab/>
      </w:r>
      <w:r w:rsidR="00320D09">
        <w:rPr>
          <w:noProof/>
        </w:rPr>
        <w:fldChar w:fldCharType="begin"/>
      </w:r>
      <w:r w:rsidR="00320D09">
        <w:rPr>
          <w:noProof/>
        </w:rPr>
        <w:instrText xml:space="preserve"> PAGEREF _Toc496611799 \h </w:instrText>
      </w:r>
      <w:r w:rsidR="00320D09">
        <w:rPr>
          <w:noProof/>
        </w:rPr>
      </w:r>
      <w:r w:rsidR="00320D09">
        <w:rPr>
          <w:noProof/>
        </w:rPr>
        <w:fldChar w:fldCharType="separate"/>
      </w:r>
      <w:r w:rsidR="00320D09">
        <w:rPr>
          <w:noProof/>
        </w:rPr>
        <w:t>48</w:t>
      </w:r>
      <w:r w:rsidR="00320D09">
        <w:rPr>
          <w:noProof/>
        </w:rPr>
        <w:fldChar w:fldCharType="end"/>
      </w:r>
    </w:p>
    <w:p w14:paraId="7D6727F7" w14:textId="77777777" w:rsidR="00320D09" w:rsidRDefault="00320D09">
      <w:pPr>
        <w:pStyle w:val="TableofFigures"/>
        <w:tabs>
          <w:tab w:val="right" w:pos="9628"/>
        </w:tabs>
        <w:rPr>
          <w:rFonts w:eastAsiaTheme="minorEastAsia" w:cstheme="minorBidi"/>
          <w:b w:val="0"/>
          <w:bCs w:val="0"/>
          <w:noProof/>
          <w:color w:val="auto"/>
          <w:sz w:val="24"/>
          <w:szCs w:val="24"/>
        </w:rPr>
      </w:pPr>
      <w:r>
        <w:rPr>
          <w:noProof/>
        </w:rPr>
        <w:t>Table 2: Active participants with approved plans by disability group at 30 June 2017</w:t>
      </w:r>
      <w:r>
        <w:rPr>
          <w:noProof/>
        </w:rPr>
        <w:tab/>
      </w:r>
      <w:r>
        <w:rPr>
          <w:noProof/>
        </w:rPr>
        <w:fldChar w:fldCharType="begin"/>
      </w:r>
      <w:r>
        <w:rPr>
          <w:noProof/>
        </w:rPr>
        <w:instrText xml:space="preserve"> PAGEREF _Toc496611800 \h </w:instrText>
      </w:r>
      <w:r>
        <w:rPr>
          <w:noProof/>
        </w:rPr>
      </w:r>
      <w:r>
        <w:rPr>
          <w:noProof/>
        </w:rPr>
        <w:fldChar w:fldCharType="separate"/>
      </w:r>
      <w:r>
        <w:rPr>
          <w:noProof/>
        </w:rPr>
        <w:t>50</w:t>
      </w:r>
      <w:r>
        <w:rPr>
          <w:noProof/>
        </w:rPr>
        <w:fldChar w:fldCharType="end"/>
      </w:r>
    </w:p>
    <w:p w14:paraId="79752FD4" w14:textId="77777777" w:rsidR="00320D09" w:rsidRDefault="00320D09">
      <w:pPr>
        <w:pStyle w:val="TableofFigures"/>
        <w:tabs>
          <w:tab w:val="right" w:pos="9628"/>
        </w:tabs>
        <w:rPr>
          <w:rFonts w:eastAsiaTheme="minorEastAsia" w:cstheme="minorBidi"/>
          <w:b w:val="0"/>
          <w:bCs w:val="0"/>
          <w:noProof/>
          <w:color w:val="auto"/>
          <w:sz w:val="24"/>
          <w:szCs w:val="24"/>
        </w:rPr>
      </w:pPr>
      <w:r>
        <w:rPr>
          <w:noProof/>
        </w:rPr>
        <w:t>Table 3: Actual costs 2016-17</w:t>
      </w:r>
      <w:r>
        <w:rPr>
          <w:noProof/>
        </w:rPr>
        <w:tab/>
      </w:r>
      <w:r>
        <w:rPr>
          <w:noProof/>
        </w:rPr>
        <w:fldChar w:fldCharType="begin"/>
      </w:r>
      <w:r>
        <w:rPr>
          <w:noProof/>
        </w:rPr>
        <w:instrText xml:space="preserve"> PAGEREF _Toc496611801 \h </w:instrText>
      </w:r>
      <w:r>
        <w:rPr>
          <w:noProof/>
        </w:rPr>
      </w:r>
      <w:r>
        <w:rPr>
          <w:noProof/>
        </w:rPr>
        <w:fldChar w:fldCharType="separate"/>
      </w:r>
      <w:r>
        <w:rPr>
          <w:noProof/>
        </w:rPr>
        <w:t>93</w:t>
      </w:r>
      <w:r>
        <w:rPr>
          <w:noProof/>
        </w:rPr>
        <w:fldChar w:fldCharType="end"/>
      </w:r>
    </w:p>
    <w:p w14:paraId="1FB8D705" w14:textId="77777777" w:rsidR="00320D09" w:rsidRDefault="00320D09">
      <w:pPr>
        <w:pStyle w:val="TableofFigures"/>
        <w:tabs>
          <w:tab w:val="right" w:pos="9628"/>
        </w:tabs>
        <w:rPr>
          <w:rFonts w:eastAsiaTheme="minorEastAsia" w:cstheme="minorBidi"/>
          <w:b w:val="0"/>
          <w:bCs w:val="0"/>
          <w:noProof/>
          <w:color w:val="auto"/>
          <w:sz w:val="24"/>
          <w:szCs w:val="24"/>
        </w:rPr>
      </w:pPr>
      <w:r>
        <w:rPr>
          <w:noProof/>
        </w:rPr>
        <w:t>Table 4: Expenses and grants 2013-14 to 2020-21</w:t>
      </w:r>
      <w:r>
        <w:rPr>
          <w:noProof/>
        </w:rPr>
        <w:tab/>
      </w:r>
      <w:r>
        <w:rPr>
          <w:noProof/>
        </w:rPr>
        <w:fldChar w:fldCharType="begin"/>
      </w:r>
      <w:r>
        <w:rPr>
          <w:noProof/>
        </w:rPr>
        <w:instrText xml:space="preserve"> PAGEREF _Toc496611802 \h </w:instrText>
      </w:r>
      <w:r>
        <w:rPr>
          <w:noProof/>
        </w:rPr>
      </w:r>
      <w:r>
        <w:rPr>
          <w:noProof/>
        </w:rPr>
        <w:fldChar w:fldCharType="separate"/>
      </w:r>
      <w:r>
        <w:rPr>
          <w:noProof/>
        </w:rPr>
        <w:t>95</w:t>
      </w:r>
      <w:r>
        <w:rPr>
          <w:noProof/>
        </w:rPr>
        <w:fldChar w:fldCharType="end"/>
      </w:r>
    </w:p>
    <w:p w14:paraId="111DB02A" w14:textId="77777777" w:rsidR="00320D09" w:rsidRDefault="00320D09">
      <w:pPr>
        <w:pStyle w:val="TableofFigures"/>
        <w:tabs>
          <w:tab w:val="right" w:pos="9628"/>
        </w:tabs>
        <w:rPr>
          <w:rFonts w:eastAsiaTheme="minorEastAsia" w:cstheme="minorBidi"/>
          <w:b w:val="0"/>
          <w:bCs w:val="0"/>
          <w:noProof/>
          <w:color w:val="auto"/>
          <w:sz w:val="24"/>
          <w:szCs w:val="24"/>
        </w:rPr>
      </w:pPr>
      <w:r>
        <w:rPr>
          <w:noProof/>
        </w:rPr>
        <w:t>Table 5: NDIA Board committees 2016-17 financial year</w:t>
      </w:r>
      <w:r>
        <w:rPr>
          <w:noProof/>
        </w:rPr>
        <w:tab/>
      </w:r>
      <w:r>
        <w:rPr>
          <w:noProof/>
        </w:rPr>
        <w:fldChar w:fldCharType="begin"/>
      </w:r>
      <w:r>
        <w:rPr>
          <w:noProof/>
        </w:rPr>
        <w:instrText xml:space="preserve"> PAGEREF _Toc496611803 \h </w:instrText>
      </w:r>
      <w:r>
        <w:rPr>
          <w:noProof/>
        </w:rPr>
      </w:r>
      <w:r>
        <w:rPr>
          <w:noProof/>
        </w:rPr>
        <w:fldChar w:fldCharType="separate"/>
      </w:r>
      <w:r>
        <w:rPr>
          <w:noProof/>
        </w:rPr>
        <w:t>105</w:t>
      </w:r>
      <w:r>
        <w:rPr>
          <w:noProof/>
        </w:rPr>
        <w:fldChar w:fldCharType="end"/>
      </w:r>
    </w:p>
    <w:p w14:paraId="3AFBEA77" w14:textId="77777777" w:rsidR="00320D09" w:rsidRDefault="00320D09">
      <w:pPr>
        <w:pStyle w:val="TableofFigures"/>
        <w:tabs>
          <w:tab w:val="right" w:pos="9628"/>
        </w:tabs>
        <w:rPr>
          <w:rFonts w:eastAsiaTheme="minorEastAsia" w:cstheme="minorBidi"/>
          <w:b w:val="0"/>
          <w:bCs w:val="0"/>
          <w:noProof/>
          <w:color w:val="auto"/>
          <w:sz w:val="24"/>
          <w:szCs w:val="24"/>
        </w:rPr>
      </w:pPr>
      <w:r>
        <w:rPr>
          <w:noProof/>
        </w:rPr>
        <w:t>Table 6: AAT reviews - comparison in years 2013-14, 2014-15, 2015-16 and 2016-17</w:t>
      </w:r>
      <w:r>
        <w:rPr>
          <w:noProof/>
        </w:rPr>
        <w:tab/>
      </w:r>
      <w:r>
        <w:rPr>
          <w:noProof/>
        </w:rPr>
        <w:fldChar w:fldCharType="begin"/>
      </w:r>
      <w:r>
        <w:rPr>
          <w:noProof/>
        </w:rPr>
        <w:instrText xml:space="preserve"> PAGEREF _Toc496611804 \h </w:instrText>
      </w:r>
      <w:r>
        <w:rPr>
          <w:noProof/>
        </w:rPr>
      </w:r>
      <w:r>
        <w:rPr>
          <w:noProof/>
        </w:rPr>
        <w:fldChar w:fldCharType="separate"/>
      </w:r>
      <w:r>
        <w:rPr>
          <w:noProof/>
        </w:rPr>
        <w:t>111</w:t>
      </w:r>
      <w:r>
        <w:rPr>
          <w:noProof/>
        </w:rPr>
        <w:fldChar w:fldCharType="end"/>
      </w:r>
    </w:p>
    <w:p w14:paraId="6D5E9B56" w14:textId="77777777" w:rsidR="00320D09" w:rsidRDefault="00320D09">
      <w:pPr>
        <w:pStyle w:val="TableofFigures"/>
        <w:tabs>
          <w:tab w:val="right" w:pos="9628"/>
        </w:tabs>
        <w:rPr>
          <w:rFonts w:eastAsiaTheme="minorEastAsia" w:cstheme="minorBidi"/>
          <w:b w:val="0"/>
          <w:bCs w:val="0"/>
          <w:noProof/>
          <w:color w:val="auto"/>
          <w:sz w:val="24"/>
          <w:szCs w:val="24"/>
        </w:rPr>
      </w:pPr>
      <w:r>
        <w:rPr>
          <w:noProof/>
        </w:rPr>
        <w:t>Table 7: Payments to market research and polling organisations in 2016-17</w:t>
      </w:r>
      <w:r>
        <w:rPr>
          <w:noProof/>
        </w:rPr>
        <w:tab/>
      </w:r>
      <w:r>
        <w:rPr>
          <w:noProof/>
        </w:rPr>
        <w:fldChar w:fldCharType="begin"/>
      </w:r>
      <w:r>
        <w:rPr>
          <w:noProof/>
        </w:rPr>
        <w:instrText xml:space="preserve"> PAGEREF _Toc496611805 \h </w:instrText>
      </w:r>
      <w:r>
        <w:rPr>
          <w:noProof/>
        </w:rPr>
      </w:r>
      <w:r>
        <w:rPr>
          <w:noProof/>
        </w:rPr>
        <w:fldChar w:fldCharType="separate"/>
      </w:r>
      <w:r>
        <w:rPr>
          <w:noProof/>
        </w:rPr>
        <w:t>116</w:t>
      </w:r>
      <w:r>
        <w:rPr>
          <w:noProof/>
        </w:rPr>
        <w:fldChar w:fldCharType="end"/>
      </w:r>
    </w:p>
    <w:p w14:paraId="617A36B7" w14:textId="77777777" w:rsidR="00320D09" w:rsidRDefault="00320D09">
      <w:pPr>
        <w:pStyle w:val="TableofFigures"/>
        <w:tabs>
          <w:tab w:val="right" w:pos="9628"/>
        </w:tabs>
        <w:rPr>
          <w:rFonts w:eastAsiaTheme="minorEastAsia" w:cstheme="minorBidi"/>
          <w:b w:val="0"/>
          <w:bCs w:val="0"/>
          <w:noProof/>
          <w:color w:val="auto"/>
          <w:sz w:val="24"/>
          <w:szCs w:val="24"/>
        </w:rPr>
      </w:pPr>
      <w:r>
        <w:rPr>
          <w:noProof/>
        </w:rPr>
        <w:t>Table 8: Payments to direct mail organisations in 2016-17:</w:t>
      </w:r>
      <w:r>
        <w:rPr>
          <w:noProof/>
        </w:rPr>
        <w:tab/>
      </w:r>
      <w:r>
        <w:rPr>
          <w:noProof/>
        </w:rPr>
        <w:fldChar w:fldCharType="begin"/>
      </w:r>
      <w:r>
        <w:rPr>
          <w:noProof/>
        </w:rPr>
        <w:instrText xml:space="preserve"> PAGEREF _Toc496611806 \h </w:instrText>
      </w:r>
      <w:r>
        <w:rPr>
          <w:noProof/>
        </w:rPr>
      </w:r>
      <w:r>
        <w:rPr>
          <w:noProof/>
        </w:rPr>
        <w:fldChar w:fldCharType="separate"/>
      </w:r>
      <w:r>
        <w:rPr>
          <w:noProof/>
        </w:rPr>
        <w:t>116</w:t>
      </w:r>
      <w:r>
        <w:rPr>
          <w:noProof/>
        </w:rPr>
        <w:fldChar w:fldCharType="end"/>
      </w:r>
    </w:p>
    <w:p w14:paraId="2891E9B7" w14:textId="77777777" w:rsidR="00320D09" w:rsidRDefault="00320D09">
      <w:pPr>
        <w:pStyle w:val="TableofFigures"/>
        <w:tabs>
          <w:tab w:val="right" w:pos="9628"/>
        </w:tabs>
        <w:rPr>
          <w:rFonts w:eastAsiaTheme="minorEastAsia" w:cstheme="minorBidi"/>
          <w:b w:val="0"/>
          <w:bCs w:val="0"/>
          <w:noProof/>
          <w:color w:val="auto"/>
          <w:sz w:val="24"/>
          <w:szCs w:val="24"/>
        </w:rPr>
      </w:pPr>
      <w:r>
        <w:rPr>
          <w:noProof/>
        </w:rPr>
        <w:t>Table 9: Payments to media advertising organisations in 2016-17:</w:t>
      </w:r>
      <w:r>
        <w:rPr>
          <w:noProof/>
        </w:rPr>
        <w:tab/>
      </w:r>
      <w:r>
        <w:rPr>
          <w:noProof/>
        </w:rPr>
        <w:fldChar w:fldCharType="begin"/>
      </w:r>
      <w:r>
        <w:rPr>
          <w:noProof/>
        </w:rPr>
        <w:instrText xml:space="preserve"> PAGEREF _Toc496611807 \h </w:instrText>
      </w:r>
      <w:r>
        <w:rPr>
          <w:noProof/>
        </w:rPr>
      </w:r>
      <w:r>
        <w:rPr>
          <w:noProof/>
        </w:rPr>
        <w:fldChar w:fldCharType="separate"/>
      </w:r>
      <w:r>
        <w:rPr>
          <w:noProof/>
        </w:rPr>
        <w:t>116</w:t>
      </w:r>
      <w:r>
        <w:rPr>
          <w:noProof/>
        </w:rPr>
        <w:fldChar w:fldCharType="end"/>
      </w:r>
    </w:p>
    <w:p w14:paraId="00BFE627" w14:textId="77777777" w:rsidR="00320D09" w:rsidRDefault="00320D09">
      <w:pPr>
        <w:pStyle w:val="TableofFigures"/>
        <w:tabs>
          <w:tab w:val="right" w:pos="9628"/>
        </w:tabs>
        <w:rPr>
          <w:rFonts w:eastAsiaTheme="minorEastAsia" w:cstheme="minorBidi"/>
          <w:b w:val="0"/>
          <w:bCs w:val="0"/>
          <w:noProof/>
          <w:color w:val="auto"/>
          <w:sz w:val="24"/>
          <w:szCs w:val="24"/>
        </w:rPr>
      </w:pPr>
      <w:r>
        <w:rPr>
          <w:noProof/>
        </w:rPr>
        <w:t>Table 10: NDIA staff by employment type and level 2016-17</w:t>
      </w:r>
      <w:r>
        <w:rPr>
          <w:noProof/>
        </w:rPr>
        <w:tab/>
      </w:r>
      <w:r>
        <w:rPr>
          <w:noProof/>
        </w:rPr>
        <w:fldChar w:fldCharType="begin"/>
      </w:r>
      <w:r>
        <w:rPr>
          <w:noProof/>
        </w:rPr>
        <w:instrText xml:space="preserve"> PAGEREF _Toc496611808 \h </w:instrText>
      </w:r>
      <w:r>
        <w:rPr>
          <w:noProof/>
        </w:rPr>
      </w:r>
      <w:r>
        <w:rPr>
          <w:noProof/>
        </w:rPr>
        <w:fldChar w:fldCharType="separate"/>
      </w:r>
      <w:r>
        <w:rPr>
          <w:noProof/>
        </w:rPr>
        <w:t>193</w:t>
      </w:r>
      <w:r>
        <w:rPr>
          <w:noProof/>
        </w:rPr>
        <w:fldChar w:fldCharType="end"/>
      </w:r>
    </w:p>
    <w:p w14:paraId="5CED2362" w14:textId="77777777" w:rsidR="00320D09" w:rsidRDefault="00320D09">
      <w:pPr>
        <w:pStyle w:val="TableofFigures"/>
        <w:tabs>
          <w:tab w:val="right" w:pos="9628"/>
        </w:tabs>
        <w:rPr>
          <w:rFonts w:eastAsiaTheme="minorEastAsia" w:cstheme="minorBidi"/>
          <w:b w:val="0"/>
          <w:bCs w:val="0"/>
          <w:noProof/>
          <w:color w:val="auto"/>
          <w:sz w:val="24"/>
          <w:szCs w:val="24"/>
        </w:rPr>
      </w:pPr>
      <w:r>
        <w:rPr>
          <w:noProof/>
        </w:rPr>
        <w:t>Table 11: NDIA staff by substantive classification (headcount), 2015-16 and 2016-17</w:t>
      </w:r>
      <w:r>
        <w:rPr>
          <w:noProof/>
        </w:rPr>
        <w:tab/>
      </w:r>
      <w:r>
        <w:rPr>
          <w:noProof/>
        </w:rPr>
        <w:fldChar w:fldCharType="begin"/>
      </w:r>
      <w:r>
        <w:rPr>
          <w:noProof/>
        </w:rPr>
        <w:instrText xml:space="preserve"> PAGEREF _Toc496611809 \h </w:instrText>
      </w:r>
      <w:r>
        <w:rPr>
          <w:noProof/>
        </w:rPr>
      </w:r>
      <w:r>
        <w:rPr>
          <w:noProof/>
        </w:rPr>
        <w:fldChar w:fldCharType="separate"/>
      </w:r>
      <w:r>
        <w:rPr>
          <w:noProof/>
        </w:rPr>
        <w:t>193</w:t>
      </w:r>
      <w:r>
        <w:rPr>
          <w:noProof/>
        </w:rPr>
        <w:fldChar w:fldCharType="end"/>
      </w:r>
    </w:p>
    <w:p w14:paraId="10734FCE" w14:textId="77777777" w:rsidR="00320D09" w:rsidRDefault="00320D09">
      <w:pPr>
        <w:pStyle w:val="TableofFigures"/>
        <w:tabs>
          <w:tab w:val="right" w:pos="9628"/>
        </w:tabs>
        <w:rPr>
          <w:rFonts w:eastAsiaTheme="minorEastAsia" w:cstheme="minorBidi"/>
          <w:b w:val="0"/>
          <w:bCs w:val="0"/>
          <w:noProof/>
          <w:color w:val="auto"/>
          <w:sz w:val="24"/>
          <w:szCs w:val="24"/>
        </w:rPr>
      </w:pPr>
      <w:r>
        <w:rPr>
          <w:noProof/>
        </w:rPr>
        <w:t>Table 12: NDIA staff attributes, 2015-16 and 2016-17</w:t>
      </w:r>
      <w:r>
        <w:rPr>
          <w:noProof/>
        </w:rPr>
        <w:tab/>
      </w:r>
      <w:r>
        <w:rPr>
          <w:noProof/>
        </w:rPr>
        <w:fldChar w:fldCharType="begin"/>
      </w:r>
      <w:r>
        <w:rPr>
          <w:noProof/>
        </w:rPr>
        <w:instrText xml:space="preserve"> PAGEREF _Toc496611810 \h </w:instrText>
      </w:r>
      <w:r>
        <w:rPr>
          <w:noProof/>
        </w:rPr>
      </w:r>
      <w:r>
        <w:rPr>
          <w:noProof/>
        </w:rPr>
        <w:fldChar w:fldCharType="separate"/>
      </w:r>
      <w:r>
        <w:rPr>
          <w:noProof/>
        </w:rPr>
        <w:t>194</w:t>
      </w:r>
      <w:r>
        <w:rPr>
          <w:noProof/>
        </w:rPr>
        <w:fldChar w:fldCharType="end"/>
      </w:r>
    </w:p>
    <w:p w14:paraId="32C951AD" w14:textId="054D917A" w:rsidR="00320D09" w:rsidRDefault="00320D09">
      <w:pPr>
        <w:pStyle w:val="TableofFigures"/>
        <w:tabs>
          <w:tab w:val="right" w:pos="9628"/>
        </w:tabs>
        <w:rPr>
          <w:rFonts w:eastAsiaTheme="minorEastAsia" w:cstheme="minorBidi"/>
          <w:b w:val="0"/>
          <w:bCs w:val="0"/>
          <w:noProof/>
          <w:color w:val="auto"/>
          <w:sz w:val="24"/>
          <w:szCs w:val="24"/>
        </w:rPr>
      </w:pPr>
      <w:r>
        <w:rPr>
          <w:noProof/>
        </w:rPr>
        <w:t xml:space="preserve">Table 13: NDIA employees who identify as Aboriginal and </w:t>
      </w:r>
      <w:r>
        <w:rPr>
          <w:noProof/>
        </w:rPr>
        <w:br/>
        <w:t>Torres Strait Islander, 2015</w:t>
      </w:r>
      <w:r w:rsidRPr="00A25700">
        <w:rPr>
          <w:rFonts w:ascii="MS Mincho" w:eastAsia="MS Mincho" w:hAnsi="MS Mincho" w:cs="MS Mincho"/>
          <w:noProof/>
        </w:rPr>
        <w:t>‑</w:t>
      </w:r>
      <w:r>
        <w:rPr>
          <w:noProof/>
        </w:rPr>
        <w:t>16 and 2016-17</w:t>
      </w:r>
      <w:r>
        <w:rPr>
          <w:noProof/>
        </w:rPr>
        <w:tab/>
      </w:r>
      <w:r>
        <w:rPr>
          <w:noProof/>
        </w:rPr>
        <w:fldChar w:fldCharType="begin"/>
      </w:r>
      <w:r>
        <w:rPr>
          <w:noProof/>
        </w:rPr>
        <w:instrText xml:space="preserve"> PAGEREF _Toc496611811 \h </w:instrText>
      </w:r>
      <w:r>
        <w:rPr>
          <w:noProof/>
        </w:rPr>
      </w:r>
      <w:r>
        <w:rPr>
          <w:noProof/>
        </w:rPr>
        <w:fldChar w:fldCharType="separate"/>
      </w:r>
      <w:r>
        <w:rPr>
          <w:noProof/>
        </w:rPr>
        <w:t>194</w:t>
      </w:r>
      <w:r>
        <w:rPr>
          <w:noProof/>
        </w:rPr>
        <w:fldChar w:fldCharType="end"/>
      </w:r>
    </w:p>
    <w:p w14:paraId="704F2A65" w14:textId="77777777" w:rsidR="00320D09" w:rsidRDefault="00320D09">
      <w:pPr>
        <w:pStyle w:val="TableofFigures"/>
        <w:tabs>
          <w:tab w:val="right" w:pos="9628"/>
        </w:tabs>
        <w:rPr>
          <w:rFonts w:eastAsiaTheme="minorEastAsia" w:cstheme="minorBidi"/>
          <w:b w:val="0"/>
          <w:bCs w:val="0"/>
          <w:noProof/>
          <w:color w:val="auto"/>
          <w:sz w:val="24"/>
          <w:szCs w:val="24"/>
        </w:rPr>
      </w:pPr>
      <w:r>
        <w:rPr>
          <w:noProof/>
        </w:rPr>
        <w:t>Table 14: Board members’ positions, terms and meetings attended 2016-17</w:t>
      </w:r>
      <w:r>
        <w:rPr>
          <w:noProof/>
        </w:rPr>
        <w:tab/>
      </w:r>
      <w:r>
        <w:rPr>
          <w:noProof/>
        </w:rPr>
        <w:fldChar w:fldCharType="begin"/>
      </w:r>
      <w:r>
        <w:rPr>
          <w:noProof/>
        </w:rPr>
        <w:instrText xml:space="preserve"> PAGEREF _Toc496611812 \h </w:instrText>
      </w:r>
      <w:r>
        <w:rPr>
          <w:noProof/>
        </w:rPr>
      </w:r>
      <w:r>
        <w:rPr>
          <w:noProof/>
        </w:rPr>
        <w:fldChar w:fldCharType="separate"/>
      </w:r>
      <w:r>
        <w:rPr>
          <w:noProof/>
        </w:rPr>
        <w:t>195</w:t>
      </w:r>
      <w:r>
        <w:rPr>
          <w:noProof/>
        </w:rPr>
        <w:fldChar w:fldCharType="end"/>
      </w:r>
    </w:p>
    <w:p w14:paraId="281A48A6" w14:textId="77777777" w:rsidR="00320D09" w:rsidRDefault="00320D09">
      <w:pPr>
        <w:pStyle w:val="TableofFigures"/>
        <w:tabs>
          <w:tab w:val="right" w:pos="9628"/>
        </w:tabs>
        <w:rPr>
          <w:rFonts w:eastAsiaTheme="minorEastAsia" w:cstheme="minorBidi"/>
          <w:b w:val="0"/>
          <w:bCs w:val="0"/>
          <w:noProof/>
          <w:color w:val="auto"/>
          <w:sz w:val="24"/>
          <w:szCs w:val="24"/>
        </w:rPr>
      </w:pPr>
      <w:r>
        <w:rPr>
          <w:noProof/>
        </w:rPr>
        <w:t>Table 15: AAT reviews 2016-17</w:t>
      </w:r>
      <w:r>
        <w:rPr>
          <w:noProof/>
        </w:rPr>
        <w:tab/>
      </w:r>
      <w:r>
        <w:rPr>
          <w:noProof/>
        </w:rPr>
        <w:fldChar w:fldCharType="begin"/>
      </w:r>
      <w:r>
        <w:rPr>
          <w:noProof/>
        </w:rPr>
        <w:instrText xml:space="preserve"> PAGEREF _Toc496611813 \h </w:instrText>
      </w:r>
      <w:r>
        <w:rPr>
          <w:noProof/>
        </w:rPr>
      </w:r>
      <w:r>
        <w:rPr>
          <w:noProof/>
        </w:rPr>
        <w:fldChar w:fldCharType="separate"/>
      </w:r>
      <w:r>
        <w:rPr>
          <w:noProof/>
        </w:rPr>
        <w:t>197</w:t>
      </w:r>
      <w:r>
        <w:rPr>
          <w:noProof/>
        </w:rPr>
        <w:fldChar w:fldCharType="end"/>
      </w:r>
    </w:p>
    <w:p w14:paraId="1361C7C6" w14:textId="77777777" w:rsidR="00320D09" w:rsidRDefault="00320D09">
      <w:pPr>
        <w:pStyle w:val="TableofFigures"/>
        <w:tabs>
          <w:tab w:val="right" w:pos="9628"/>
        </w:tabs>
        <w:rPr>
          <w:rFonts w:eastAsiaTheme="minorEastAsia" w:cstheme="minorBidi"/>
          <w:b w:val="0"/>
          <w:bCs w:val="0"/>
          <w:noProof/>
          <w:color w:val="auto"/>
          <w:sz w:val="24"/>
          <w:szCs w:val="24"/>
        </w:rPr>
      </w:pPr>
      <w:r>
        <w:rPr>
          <w:noProof/>
        </w:rPr>
        <w:t>Table 16: Summary of incidents pursuant to section 38 of the WHS Act, 2016-17</w:t>
      </w:r>
      <w:r>
        <w:rPr>
          <w:noProof/>
        </w:rPr>
        <w:tab/>
      </w:r>
      <w:r>
        <w:rPr>
          <w:noProof/>
        </w:rPr>
        <w:fldChar w:fldCharType="begin"/>
      </w:r>
      <w:r>
        <w:rPr>
          <w:noProof/>
        </w:rPr>
        <w:instrText xml:space="preserve"> PAGEREF _Toc496611814 \h </w:instrText>
      </w:r>
      <w:r>
        <w:rPr>
          <w:noProof/>
        </w:rPr>
      </w:r>
      <w:r>
        <w:rPr>
          <w:noProof/>
        </w:rPr>
        <w:fldChar w:fldCharType="separate"/>
      </w:r>
      <w:r>
        <w:rPr>
          <w:noProof/>
        </w:rPr>
        <w:t>199</w:t>
      </w:r>
      <w:r>
        <w:rPr>
          <w:noProof/>
        </w:rPr>
        <w:fldChar w:fldCharType="end"/>
      </w:r>
    </w:p>
    <w:p w14:paraId="2939A4A3" w14:textId="77777777" w:rsidR="00320D09" w:rsidRDefault="00320D09">
      <w:pPr>
        <w:pStyle w:val="TableofFigures"/>
        <w:tabs>
          <w:tab w:val="right" w:pos="9628"/>
        </w:tabs>
        <w:rPr>
          <w:rFonts w:eastAsiaTheme="minorEastAsia" w:cstheme="minorBidi"/>
          <w:b w:val="0"/>
          <w:bCs w:val="0"/>
          <w:noProof/>
          <w:color w:val="auto"/>
          <w:sz w:val="24"/>
          <w:szCs w:val="24"/>
        </w:rPr>
      </w:pPr>
      <w:r>
        <w:rPr>
          <w:noProof/>
        </w:rPr>
        <w:t>Table 17: Compliance with Carer Recognition Act 2010</w:t>
      </w:r>
      <w:r>
        <w:rPr>
          <w:noProof/>
        </w:rPr>
        <w:tab/>
      </w:r>
      <w:r>
        <w:rPr>
          <w:noProof/>
        </w:rPr>
        <w:fldChar w:fldCharType="begin"/>
      </w:r>
      <w:r>
        <w:rPr>
          <w:noProof/>
        </w:rPr>
        <w:instrText xml:space="preserve"> PAGEREF _Toc496611815 \h </w:instrText>
      </w:r>
      <w:r>
        <w:rPr>
          <w:noProof/>
        </w:rPr>
      </w:r>
      <w:r>
        <w:rPr>
          <w:noProof/>
        </w:rPr>
        <w:fldChar w:fldCharType="separate"/>
      </w:r>
      <w:r>
        <w:rPr>
          <w:noProof/>
        </w:rPr>
        <w:t>201</w:t>
      </w:r>
      <w:r>
        <w:rPr>
          <w:noProof/>
        </w:rPr>
        <w:fldChar w:fldCharType="end"/>
      </w:r>
    </w:p>
    <w:p w14:paraId="236DD36A" w14:textId="77777777" w:rsidR="00320D09" w:rsidRDefault="00320D09">
      <w:pPr>
        <w:pStyle w:val="TableofFigures"/>
        <w:tabs>
          <w:tab w:val="right" w:pos="9628"/>
        </w:tabs>
        <w:rPr>
          <w:rFonts w:eastAsiaTheme="minorEastAsia" w:cstheme="minorBidi"/>
          <w:b w:val="0"/>
          <w:bCs w:val="0"/>
          <w:noProof/>
          <w:color w:val="auto"/>
          <w:sz w:val="24"/>
          <w:szCs w:val="24"/>
        </w:rPr>
      </w:pPr>
      <w:r>
        <w:rPr>
          <w:noProof/>
        </w:rPr>
        <w:t>Table 18: National Disability Insurance Scheme Act 2013</w:t>
      </w:r>
      <w:r>
        <w:rPr>
          <w:noProof/>
        </w:rPr>
        <w:tab/>
      </w:r>
      <w:r>
        <w:rPr>
          <w:noProof/>
        </w:rPr>
        <w:fldChar w:fldCharType="begin"/>
      </w:r>
      <w:r>
        <w:rPr>
          <w:noProof/>
        </w:rPr>
        <w:instrText xml:space="preserve"> PAGEREF _Toc496611816 \h </w:instrText>
      </w:r>
      <w:r>
        <w:rPr>
          <w:noProof/>
        </w:rPr>
      </w:r>
      <w:r>
        <w:rPr>
          <w:noProof/>
        </w:rPr>
        <w:fldChar w:fldCharType="separate"/>
      </w:r>
      <w:r>
        <w:rPr>
          <w:noProof/>
        </w:rPr>
        <w:t>203</w:t>
      </w:r>
      <w:r>
        <w:rPr>
          <w:noProof/>
        </w:rPr>
        <w:fldChar w:fldCharType="end"/>
      </w:r>
    </w:p>
    <w:p w14:paraId="475446F3" w14:textId="77777777" w:rsidR="00320D09" w:rsidRDefault="00320D09">
      <w:pPr>
        <w:pStyle w:val="TableofFigures"/>
        <w:tabs>
          <w:tab w:val="right" w:pos="9628"/>
        </w:tabs>
        <w:rPr>
          <w:rFonts w:eastAsiaTheme="minorEastAsia" w:cstheme="minorBidi"/>
          <w:b w:val="0"/>
          <w:bCs w:val="0"/>
          <w:noProof/>
          <w:color w:val="auto"/>
          <w:sz w:val="24"/>
          <w:szCs w:val="24"/>
        </w:rPr>
      </w:pPr>
      <w:r>
        <w:rPr>
          <w:noProof/>
        </w:rPr>
        <w:t>Table 19: PGPA Corporate Commonwealth Entity Rule 2014</w:t>
      </w:r>
      <w:r>
        <w:rPr>
          <w:noProof/>
        </w:rPr>
        <w:tab/>
      </w:r>
      <w:r>
        <w:rPr>
          <w:noProof/>
        </w:rPr>
        <w:fldChar w:fldCharType="begin"/>
      </w:r>
      <w:r>
        <w:rPr>
          <w:noProof/>
        </w:rPr>
        <w:instrText xml:space="preserve"> PAGEREF _Toc496611817 \h </w:instrText>
      </w:r>
      <w:r>
        <w:rPr>
          <w:noProof/>
        </w:rPr>
      </w:r>
      <w:r>
        <w:rPr>
          <w:noProof/>
        </w:rPr>
        <w:fldChar w:fldCharType="separate"/>
      </w:r>
      <w:r>
        <w:rPr>
          <w:noProof/>
        </w:rPr>
        <w:t>203</w:t>
      </w:r>
      <w:r>
        <w:rPr>
          <w:noProof/>
        </w:rPr>
        <w:fldChar w:fldCharType="end"/>
      </w:r>
    </w:p>
    <w:p w14:paraId="0732B006" w14:textId="77777777" w:rsidR="00320D09" w:rsidRDefault="00320D09">
      <w:pPr>
        <w:pStyle w:val="TableofFigures"/>
        <w:tabs>
          <w:tab w:val="right" w:pos="9628"/>
        </w:tabs>
        <w:rPr>
          <w:rFonts w:eastAsiaTheme="minorEastAsia" w:cstheme="minorBidi"/>
          <w:b w:val="0"/>
          <w:bCs w:val="0"/>
          <w:noProof/>
          <w:color w:val="auto"/>
          <w:sz w:val="24"/>
          <w:szCs w:val="24"/>
        </w:rPr>
      </w:pPr>
      <w:r>
        <w:rPr>
          <w:noProof/>
        </w:rPr>
        <w:t xml:space="preserve">Table 20: </w:t>
      </w:r>
      <w:r w:rsidRPr="00A25700">
        <w:rPr>
          <w:i/>
          <w:noProof/>
        </w:rPr>
        <w:t>Work Health and Safety Act 2011</w:t>
      </w:r>
      <w:r>
        <w:rPr>
          <w:noProof/>
        </w:rPr>
        <w:tab/>
      </w:r>
      <w:r>
        <w:rPr>
          <w:noProof/>
        </w:rPr>
        <w:fldChar w:fldCharType="begin"/>
      </w:r>
      <w:r>
        <w:rPr>
          <w:noProof/>
        </w:rPr>
        <w:instrText xml:space="preserve"> PAGEREF _Toc496611818 \h </w:instrText>
      </w:r>
      <w:r>
        <w:rPr>
          <w:noProof/>
        </w:rPr>
      </w:r>
      <w:r>
        <w:rPr>
          <w:noProof/>
        </w:rPr>
        <w:fldChar w:fldCharType="separate"/>
      </w:r>
      <w:r>
        <w:rPr>
          <w:noProof/>
        </w:rPr>
        <w:t>204</w:t>
      </w:r>
      <w:r>
        <w:rPr>
          <w:noProof/>
        </w:rPr>
        <w:fldChar w:fldCharType="end"/>
      </w:r>
    </w:p>
    <w:p w14:paraId="3E977E31" w14:textId="77777777" w:rsidR="00320D09" w:rsidRDefault="00320D09">
      <w:pPr>
        <w:pStyle w:val="TableofFigures"/>
        <w:tabs>
          <w:tab w:val="right" w:pos="9628"/>
        </w:tabs>
        <w:rPr>
          <w:rFonts w:eastAsiaTheme="minorEastAsia" w:cstheme="minorBidi"/>
          <w:b w:val="0"/>
          <w:bCs w:val="0"/>
          <w:noProof/>
          <w:color w:val="auto"/>
          <w:sz w:val="24"/>
          <w:szCs w:val="24"/>
        </w:rPr>
      </w:pPr>
      <w:r>
        <w:rPr>
          <w:noProof/>
        </w:rPr>
        <w:t xml:space="preserve">Table 21: </w:t>
      </w:r>
      <w:r w:rsidRPr="00A25700">
        <w:rPr>
          <w:i/>
          <w:noProof/>
        </w:rPr>
        <w:t>Environment Protection and Biodiversity Conservation Act 1999</w:t>
      </w:r>
      <w:r>
        <w:rPr>
          <w:noProof/>
        </w:rPr>
        <w:tab/>
      </w:r>
      <w:r>
        <w:rPr>
          <w:noProof/>
        </w:rPr>
        <w:fldChar w:fldCharType="begin"/>
      </w:r>
      <w:r>
        <w:rPr>
          <w:noProof/>
        </w:rPr>
        <w:instrText xml:space="preserve"> PAGEREF _Toc496611819 \h </w:instrText>
      </w:r>
      <w:r>
        <w:rPr>
          <w:noProof/>
        </w:rPr>
      </w:r>
      <w:r>
        <w:rPr>
          <w:noProof/>
        </w:rPr>
        <w:fldChar w:fldCharType="separate"/>
      </w:r>
      <w:r>
        <w:rPr>
          <w:noProof/>
        </w:rPr>
        <w:t>205</w:t>
      </w:r>
      <w:r>
        <w:rPr>
          <w:noProof/>
        </w:rPr>
        <w:fldChar w:fldCharType="end"/>
      </w:r>
    </w:p>
    <w:p w14:paraId="54D0F77D" w14:textId="77777777" w:rsidR="00320D09" w:rsidRDefault="00320D09">
      <w:pPr>
        <w:pStyle w:val="TableofFigures"/>
        <w:tabs>
          <w:tab w:val="right" w:pos="9628"/>
        </w:tabs>
        <w:rPr>
          <w:rFonts w:eastAsiaTheme="minorEastAsia" w:cstheme="minorBidi"/>
          <w:b w:val="0"/>
          <w:bCs w:val="0"/>
          <w:noProof/>
          <w:color w:val="auto"/>
          <w:sz w:val="24"/>
          <w:szCs w:val="24"/>
        </w:rPr>
      </w:pPr>
      <w:r>
        <w:rPr>
          <w:noProof/>
        </w:rPr>
        <w:t xml:space="preserve">Table 22: </w:t>
      </w:r>
      <w:r w:rsidRPr="00A25700">
        <w:rPr>
          <w:i/>
          <w:noProof/>
        </w:rPr>
        <w:t>Commonwealth Electoral Act 1918</w:t>
      </w:r>
      <w:r>
        <w:rPr>
          <w:noProof/>
        </w:rPr>
        <w:tab/>
      </w:r>
      <w:r>
        <w:rPr>
          <w:noProof/>
        </w:rPr>
        <w:fldChar w:fldCharType="begin"/>
      </w:r>
      <w:r>
        <w:rPr>
          <w:noProof/>
        </w:rPr>
        <w:instrText xml:space="preserve"> PAGEREF _Toc496611820 \h </w:instrText>
      </w:r>
      <w:r>
        <w:rPr>
          <w:noProof/>
        </w:rPr>
      </w:r>
      <w:r>
        <w:rPr>
          <w:noProof/>
        </w:rPr>
        <w:fldChar w:fldCharType="separate"/>
      </w:r>
      <w:r>
        <w:rPr>
          <w:noProof/>
        </w:rPr>
        <w:t>205</w:t>
      </w:r>
      <w:r>
        <w:rPr>
          <w:noProof/>
        </w:rPr>
        <w:fldChar w:fldCharType="end"/>
      </w:r>
    </w:p>
    <w:p w14:paraId="6FB36082" w14:textId="77777777" w:rsidR="00320D09" w:rsidRDefault="00320D09">
      <w:pPr>
        <w:pStyle w:val="TableofFigures"/>
        <w:tabs>
          <w:tab w:val="right" w:pos="9628"/>
        </w:tabs>
        <w:rPr>
          <w:rFonts w:eastAsiaTheme="minorEastAsia" w:cstheme="minorBidi"/>
          <w:b w:val="0"/>
          <w:bCs w:val="0"/>
          <w:noProof/>
          <w:color w:val="auto"/>
          <w:sz w:val="24"/>
          <w:szCs w:val="24"/>
        </w:rPr>
      </w:pPr>
      <w:r>
        <w:rPr>
          <w:noProof/>
        </w:rPr>
        <w:t xml:space="preserve">Table 23: </w:t>
      </w:r>
      <w:r w:rsidRPr="00A25700">
        <w:rPr>
          <w:i/>
          <w:noProof/>
        </w:rPr>
        <w:t>Freedom of Information Act 1982</w:t>
      </w:r>
      <w:r>
        <w:rPr>
          <w:noProof/>
        </w:rPr>
        <w:tab/>
      </w:r>
      <w:r>
        <w:rPr>
          <w:noProof/>
        </w:rPr>
        <w:fldChar w:fldCharType="begin"/>
      </w:r>
      <w:r>
        <w:rPr>
          <w:noProof/>
        </w:rPr>
        <w:instrText xml:space="preserve"> PAGEREF _Toc496611821 \h </w:instrText>
      </w:r>
      <w:r>
        <w:rPr>
          <w:noProof/>
        </w:rPr>
      </w:r>
      <w:r>
        <w:rPr>
          <w:noProof/>
        </w:rPr>
        <w:fldChar w:fldCharType="separate"/>
      </w:r>
      <w:r>
        <w:rPr>
          <w:noProof/>
        </w:rPr>
        <w:t>205</w:t>
      </w:r>
      <w:r>
        <w:rPr>
          <w:noProof/>
        </w:rPr>
        <w:fldChar w:fldCharType="end"/>
      </w:r>
    </w:p>
    <w:p w14:paraId="1C0841E4" w14:textId="77777777" w:rsidR="001C34F0" w:rsidRPr="001C34F0" w:rsidRDefault="008142FF" w:rsidP="001E0823">
      <w:r>
        <w:fldChar w:fldCharType="end"/>
      </w:r>
    </w:p>
    <w:p w14:paraId="1C43FBCB" w14:textId="56C5AC8A" w:rsidR="0013374A" w:rsidRDefault="0013374A" w:rsidP="001E0823">
      <w:pPr>
        <w:pStyle w:val="Heading1"/>
      </w:pPr>
      <w:bookmarkStart w:id="6" w:name="_Toc496611867"/>
      <w:r w:rsidRPr="0013374A">
        <w:lastRenderedPageBreak/>
        <w:t>Introduction</w:t>
      </w:r>
      <w:bookmarkEnd w:id="6"/>
    </w:p>
    <w:p w14:paraId="6AB23C6C" w14:textId="33012350" w:rsidR="00525256" w:rsidRDefault="00525256" w:rsidP="001E0823">
      <w:pPr>
        <w:pStyle w:val="Heading2"/>
      </w:pPr>
      <w:bookmarkStart w:id="7" w:name="_Toc496611868"/>
      <w:r w:rsidRPr="00525256">
        <w:lastRenderedPageBreak/>
        <w:t>In this section</w:t>
      </w:r>
      <w:bookmarkEnd w:id="7"/>
    </w:p>
    <w:p w14:paraId="15D2042C" w14:textId="77777777" w:rsidR="00525256" w:rsidRDefault="00525256" w:rsidP="001E0823">
      <w:pPr>
        <w:pStyle w:val="Intro"/>
      </w:pPr>
      <w:r>
        <w:t>The Introduction includes messages from the National Disability Insurance Agency (NDIA) Chairman, Dr Helen Nugent AO, and the new Chief Executive Officer, Mr Robert De Luca.</w:t>
      </w:r>
    </w:p>
    <w:p w14:paraId="4750958D" w14:textId="77777777" w:rsidR="00525256" w:rsidRDefault="00525256" w:rsidP="001E0823">
      <w:pPr>
        <w:pStyle w:val="BodyText"/>
      </w:pPr>
      <w:r>
        <w:t>It provides an overview of the National Disability Insurance Scheme (NDIS), including the core features of the Scheme’s design and how the NDIS fits into the National Disability Strategy. It also provides an overview of the NDIA, the NDIS trial, Bilateral Agreements and key outcomes at 30 June 2017.</w:t>
      </w:r>
    </w:p>
    <w:p w14:paraId="7D9E3184" w14:textId="12D26849" w:rsidR="000757DC" w:rsidRDefault="00525256" w:rsidP="001E0823">
      <w:pPr>
        <w:pStyle w:val="BodyText"/>
      </w:pPr>
      <w:r>
        <w:t>This section ends with a summary of the first year of NDIS transition to full Scheme, including a state-by-state review of major achievements, challenges and future opportunities.</w:t>
      </w:r>
    </w:p>
    <w:p w14:paraId="2CF76CBF" w14:textId="77777777" w:rsidR="000757DC" w:rsidRDefault="000757DC" w:rsidP="001E0823">
      <w:r>
        <w:br w:type="page"/>
      </w:r>
    </w:p>
    <w:p w14:paraId="58D8DE3B" w14:textId="17E78E9D" w:rsidR="00525256" w:rsidRDefault="000757DC" w:rsidP="001E0823">
      <w:pPr>
        <w:pStyle w:val="Heading2"/>
        <w:rPr>
          <w:lang w:val="en-GB"/>
        </w:rPr>
      </w:pPr>
      <w:bookmarkStart w:id="8" w:name="_Toc496611869"/>
      <w:r>
        <w:rPr>
          <w:lang w:val="en-GB"/>
        </w:rPr>
        <w:lastRenderedPageBreak/>
        <w:t>Message from the Chairman</w:t>
      </w:r>
      <w:bookmarkEnd w:id="8"/>
    </w:p>
    <w:p w14:paraId="0D7F184D" w14:textId="77777777" w:rsidR="00C05937" w:rsidRDefault="00C05937" w:rsidP="001E0823">
      <w:pPr>
        <w:pStyle w:val="Intro"/>
      </w:pPr>
      <w:r>
        <w:t>The mission of the NDIA is crystal clear. We want to help participants have a better life. To do that, participants must be at the core of everything we do. We also recognise the critical role played by carers, providers and disability groups.</w:t>
      </w:r>
    </w:p>
    <w:p w14:paraId="0D16B97F" w14:textId="60C136DB" w:rsidR="00C05937" w:rsidRDefault="00C05937" w:rsidP="001E0823">
      <w:pPr>
        <w:pStyle w:val="BodyText"/>
      </w:pPr>
      <w:r>
        <w:t>But delivering on that mission with the ambitious speed of the rollout of the National Disability Insurance Scheme (NDIS) embodied in the Bilateral Agreements is not easy. This Scheme is a world first and there is no template to follow.</w:t>
      </w:r>
    </w:p>
    <w:p w14:paraId="15B41054" w14:textId="77777777" w:rsidR="00C05937" w:rsidRDefault="00C05937" w:rsidP="001E0823">
      <w:pPr>
        <w:pStyle w:val="BodyText"/>
      </w:pPr>
      <w:r>
        <w:t xml:space="preserve">Certainly, we have been successful in the first year of transition in bringing 66,500 participants into the Scheme and the Early Childhood Early Intervention program. This is in addition to more than 35,000 Australians who entered the NDIS during the first three years of trial. </w:t>
      </w:r>
    </w:p>
    <w:p w14:paraId="54E246C2" w14:textId="77777777" w:rsidR="00C05937" w:rsidRDefault="00C05937" w:rsidP="001E0823">
      <w:pPr>
        <w:pStyle w:val="BodyText"/>
      </w:pPr>
      <w:r>
        <w:t xml:space="preserve">However, given the speed of the rollout in other areas, we have fallen short of the high expectations the Board and management have for the fulfilment of our mission. </w:t>
      </w:r>
    </w:p>
    <w:p w14:paraId="0AB18A7C" w14:textId="77777777" w:rsidR="00C05937" w:rsidRDefault="00C05937" w:rsidP="001E0823">
      <w:pPr>
        <w:pStyle w:val="BodyText"/>
      </w:pPr>
      <w:r>
        <w:t>We are committed to addressing the issues that have arisen.</w:t>
      </w:r>
    </w:p>
    <w:p w14:paraId="4826FC53" w14:textId="12E4675C" w:rsidR="00C05937" w:rsidRDefault="00C05937" w:rsidP="001E0823">
      <w:pPr>
        <w:pStyle w:val="BodyText"/>
      </w:pPr>
      <w:r>
        <w:t xml:space="preserve">First, we are addressing the quality of the participant experience. It has not always been consistent with our aspirations. Plans have not always been as outcomes driven as we would like. Participants have not always found it easy to interact with the NDIA. Telephone planning has not always delivered an empathetic and value-adding experience for participants. At times, the wait time for the call centre has been too long. And the portal is not as easy to navigate as it might be. We are working with haste to address these and other issues through the Participant Pathway Review. </w:t>
      </w:r>
    </w:p>
    <w:p w14:paraId="263C6A52" w14:textId="6D400510" w:rsidR="00C05937" w:rsidRDefault="00C05937" w:rsidP="001E0823">
      <w:pPr>
        <w:pStyle w:val="BodyText"/>
      </w:pPr>
      <w:r>
        <w:t xml:space="preserve">Through 13 workshops held with more than 300 stakeholders since April, we have sought feedback on what needs to improve. In conjunction with those stakeholders, we are now redesigning the pathway to deliver a quality experience that improves participant outcomes. This is a significant task. The new approach needs to be responsive to a diverse array of participants’ disabilities, backgrounds and geographies. We are trying to get it right for all participants regardless of those differences. </w:t>
      </w:r>
    </w:p>
    <w:p w14:paraId="76C78388" w14:textId="77777777" w:rsidR="00C05937" w:rsidRDefault="00C05937" w:rsidP="001E0823">
      <w:pPr>
        <w:pStyle w:val="BodyText"/>
      </w:pPr>
      <w:r>
        <w:t>We are making good progress and are looking for quick wins that are consistent with the longer term approach. However, there is little doubt that as we continue to bring participants into the Scheme in accord with the Bilateral Agreements, we will continue to rely on the goodwill and patience of participants and the sector more broadly as we work with speed to address these fundamental issues.</w:t>
      </w:r>
    </w:p>
    <w:p w14:paraId="5F0DFE00" w14:textId="77777777" w:rsidR="00C05937" w:rsidRDefault="00C05937" w:rsidP="001E0823">
      <w:pPr>
        <w:pStyle w:val="BodyText"/>
      </w:pPr>
      <w:r>
        <w:t xml:space="preserve">Second, we are engaged in improving the quality of the provider experience. It has sometimes been variable. This became obvious in July 2016 when payments could not be made because of issues with the portal. While the payments issue was fixed, other underlying issues remain, including with the user-friendliness of the portal. To that end, in conjunction with the Participant Pathway Review, we are undertaking an end-to-end review of the provider pathway. Again, good progress is being made. In addition, in response to feedback from providers, we are undertaking an Independent Pricing Review. The results of that review are expected to be given to the NDIA in December 2017. </w:t>
      </w:r>
    </w:p>
    <w:p w14:paraId="36D6411C" w14:textId="77777777" w:rsidR="00C05937" w:rsidRDefault="00C05937" w:rsidP="001E0823">
      <w:pPr>
        <w:pStyle w:val="BodyText"/>
      </w:pPr>
      <w:r>
        <w:t>Third, we are striving to roll out the NDIS in accordance with the ambitious schedule in the Bilateral Agreements at the same time as addressing the quality of the participant and provider experience. We are mindful of the need to balance the desire of participants to enter the Scheme as soon as possible and our obligations under the Bilateral Agreements between the Commonwealth and state and territory governments, with our commitment to ensure a quality experience for participants and providers.</w:t>
      </w:r>
    </w:p>
    <w:p w14:paraId="4BB9BABD" w14:textId="77777777" w:rsidR="006C3156" w:rsidRPr="006C3156" w:rsidRDefault="006C3156" w:rsidP="001E0823">
      <w:pPr>
        <w:pStyle w:val="BodyText"/>
        <w:rPr>
          <w:lang w:val="en-GB"/>
        </w:rPr>
      </w:pPr>
      <w:r w:rsidRPr="006C3156">
        <w:rPr>
          <w:lang w:val="en-GB"/>
        </w:rPr>
        <w:t>Fourth, we are highly conscious of the need to ensure the long-term financial sustainability of the Scheme. This is a responsibility we do not take lightly. The NDIS is an insurance scheme for all Australians, paid for through a “premium” by all Australian taxpayers. We have an obligation to them which we are committed to fulfilling. While underlying pressures have emerged, the Board and management of the NDIA are proactively taking measures to ensure the Scheme’s long-term financial sustainability.</w:t>
      </w:r>
    </w:p>
    <w:p w14:paraId="3E3E4123" w14:textId="77777777" w:rsidR="006C3156" w:rsidRDefault="006C3156" w:rsidP="001E0823">
      <w:pPr>
        <w:pStyle w:val="BodyText"/>
        <w:rPr>
          <w:lang w:val="en-GB"/>
        </w:rPr>
      </w:pPr>
      <w:r w:rsidRPr="006C3156">
        <w:rPr>
          <w:lang w:val="en-GB"/>
        </w:rPr>
        <w:lastRenderedPageBreak/>
        <w:t>Fifth, we are working with other government bodies and the sector to better communicate the role of the NDIA within the broader disability sector. The NDIS is not designed to provide all of the support required for all people with disability. It is designed to supplement the support provided through mainstream service systems, such as health and education, and the informal support provided by families, carers and communities. This complex picture of where to seek such assistance is not clear for many individuals, particularly those with psychosocial disabilities. We are working to eliminate this source of frustration in the lives of people with disability, their families and carers.</w:t>
      </w:r>
    </w:p>
    <w:p w14:paraId="1679B2C7" w14:textId="7555A6B7" w:rsidR="006C3156" w:rsidRPr="006C3156" w:rsidRDefault="006C3156" w:rsidP="001E0823">
      <w:pPr>
        <w:pStyle w:val="BodyText"/>
        <w:rPr>
          <w:lang w:val="en-GB"/>
        </w:rPr>
      </w:pPr>
      <w:r w:rsidRPr="006C3156">
        <w:rPr>
          <w:lang w:val="en-GB"/>
        </w:rPr>
        <w:t>These are challenges that the Board of the NDIA is committed to addressing. Indeed, we are very fortunate to have a highly talented Board of Directors who have a shared view of the mission of the Agency and who have the skills to deliver on that commitment. In particular, I thank the Chairs of the committees of the refreshed Board for their dedication to the task: Mr John Walsh AM (Sustainability Committee); Ms Sandra Birkensleigh (Audit Committee); Mr Jim Minto (Risk Committee); and Mr Paul O’Sullivan (ICT Committee).</w:t>
      </w:r>
    </w:p>
    <w:p w14:paraId="55CC3683" w14:textId="77777777" w:rsidR="006C3156" w:rsidRPr="006C3156" w:rsidRDefault="006C3156" w:rsidP="001E0823">
      <w:pPr>
        <w:pStyle w:val="BodyText"/>
        <w:rPr>
          <w:lang w:val="en-GB"/>
        </w:rPr>
      </w:pPr>
      <w:r w:rsidRPr="006C3156">
        <w:rPr>
          <w:lang w:val="en-GB"/>
        </w:rPr>
        <w:t>I also thank the other continuing members of the Board, namely Professor Rhonda Galbally AO (who also chairs the Independent Advisory Council); Mr Glenn Keys AO; and Mr Martin Laverty, as well as the other new directors: Ms Robyn Kruk AM, Mr John Langoulant AO, Ms Estelle Pearson and Ms Andrea Staines. For my part, I consider myself immensely privileged to have been asked to take on this enormously challenging but very rewarding role. Like my colleagues, I am committed to getting it right for participants and to making a difference to their lives.</w:t>
      </w:r>
    </w:p>
    <w:p w14:paraId="16541E9A" w14:textId="10BAD4BC" w:rsidR="006C3156" w:rsidRPr="006C3156" w:rsidRDefault="006C3156" w:rsidP="001E0823">
      <w:pPr>
        <w:pStyle w:val="BodyText"/>
        <w:rPr>
          <w:lang w:val="en-GB"/>
        </w:rPr>
      </w:pPr>
      <w:r w:rsidRPr="006C3156">
        <w:rPr>
          <w:lang w:val="en-GB"/>
        </w:rPr>
        <w:t>In that context, I also ack</w:t>
      </w:r>
      <w:r>
        <w:rPr>
          <w:lang w:val="en-GB"/>
        </w:rPr>
        <w:t xml:space="preserve">nowledge and </w:t>
      </w:r>
      <w:r w:rsidRPr="006C3156">
        <w:rPr>
          <w:lang w:val="en-GB"/>
        </w:rPr>
        <w:t>thank the f</w:t>
      </w:r>
      <w:r>
        <w:rPr>
          <w:lang w:val="en-GB"/>
        </w:rPr>
        <w:t xml:space="preserve">ormer members of the Board led </w:t>
      </w:r>
      <w:r w:rsidRPr="006C3156">
        <w:rPr>
          <w:lang w:val="en-GB"/>
        </w:rPr>
        <w:t>by Mr Bruce Bonyhady AM for all they have done to get this ground-breaking Scheme up and running. This was a Herculean feat for which every participant, I am sure, is extremely grateful. It is a truly significant achievement which will lo</w:t>
      </w:r>
      <w:r>
        <w:rPr>
          <w:lang w:val="en-GB"/>
        </w:rPr>
        <w:t xml:space="preserve">ng be recognised in the annals </w:t>
      </w:r>
      <w:r w:rsidRPr="006C3156">
        <w:rPr>
          <w:lang w:val="en-GB"/>
        </w:rPr>
        <w:t>of Australian history.</w:t>
      </w:r>
    </w:p>
    <w:p w14:paraId="3426B9B6" w14:textId="1FC961CA" w:rsidR="006C3156" w:rsidRPr="006C3156" w:rsidRDefault="006C3156" w:rsidP="001E0823">
      <w:pPr>
        <w:pStyle w:val="BodyText"/>
        <w:rPr>
          <w:lang w:val="en-GB"/>
        </w:rPr>
      </w:pPr>
      <w:r w:rsidRPr="006C3156">
        <w:rPr>
          <w:lang w:val="en-GB"/>
        </w:rPr>
        <w:t>I also wish to acknowledge and thank the management</w:t>
      </w:r>
      <w:r>
        <w:rPr>
          <w:lang w:val="en-GB"/>
        </w:rPr>
        <w:t xml:space="preserve"> and staff of the NDIA for all </w:t>
      </w:r>
      <w:r w:rsidRPr="006C3156">
        <w:rPr>
          <w:lang w:val="en-GB"/>
        </w:rPr>
        <w:t>they are doing to</w:t>
      </w:r>
      <w:r>
        <w:rPr>
          <w:lang w:val="en-GB"/>
        </w:rPr>
        <w:t xml:space="preserve"> bring this significant Scheme </w:t>
      </w:r>
      <w:r w:rsidRPr="006C3156">
        <w:rPr>
          <w:lang w:val="en-GB"/>
        </w:rPr>
        <w:t xml:space="preserve">to fruition. </w:t>
      </w:r>
    </w:p>
    <w:p w14:paraId="4CAF44B2" w14:textId="5C3A003F" w:rsidR="006C3156" w:rsidRPr="006C3156" w:rsidRDefault="006C3156" w:rsidP="001E0823">
      <w:pPr>
        <w:pStyle w:val="BodyText"/>
        <w:rPr>
          <w:lang w:val="en-GB"/>
        </w:rPr>
      </w:pPr>
      <w:r w:rsidRPr="006C3156">
        <w:rPr>
          <w:lang w:val="en-GB"/>
        </w:rPr>
        <w:t xml:space="preserve">As has recently </w:t>
      </w:r>
      <w:r>
        <w:rPr>
          <w:lang w:val="en-GB"/>
        </w:rPr>
        <w:t xml:space="preserve">been announced, there has </w:t>
      </w:r>
      <w:r w:rsidRPr="006C3156">
        <w:rPr>
          <w:lang w:val="en-GB"/>
        </w:rPr>
        <w:t>been a change in leadership at the NDIA.</w:t>
      </w:r>
    </w:p>
    <w:p w14:paraId="7AEB48BC" w14:textId="77777777" w:rsidR="006C3156" w:rsidRPr="006C3156" w:rsidRDefault="006C3156" w:rsidP="001E0823">
      <w:pPr>
        <w:pStyle w:val="BodyText"/>
        <w:rPr>
          <w:lang w:val="en-GB"/>
        </w:rPr>
      </w:pPr>
      <w:r w:rsidRPr="006C3156">
        <w:rPr>
          <w:lang w:val="en-GB"/>
        </w:rPr>
        <w:t xml:space="preserve">Our outgoing CEO, Mr David Bowen — who announced in March 2017 his intention to retire — has made an enormous contribution to the NDIS and this Agency. Through his vision and tireless work, he has led the biggest social and economic policy reform in Australia this century. He was instrumental not only in establishing the NDIA, but also in wanting to ensure that it could truly change the lives of Australians with disability for the better. </w:t>
      </w:r>
    </w:p>
    <w:p w14:paraId="2F525FF7" w14:textId="77777777" w:rsidR="006C3156" w:rsidRPr="006C3156" w:rsidRDefault="006C3156" w:rsidP="001E0823">
      <w:pPr>
        <w:pStyle w:val="BodyText"/>
        <w:rPr>
          <w:lang w:val="en-GB"/>
        </w:rPr>
      </w:pPr>
      <w:r w:rsidRPr="006C3156">
        <w:rPr>
          <w:lang w:val="en-GB"/>
        </w:rPr>
        <w:t>In turn, we welcome our new CEO, Mr Rob De Luca, who is unequivocally committed to the mission of the NDIA. He has the vision, values, will and skill to ensure that the NDIA rises to the challenges it faces and moves forward in making a difference to the lives of participants in the Scheme. The Board of the NDIA knows that with his customer focus, drive, determination and willingness to embrace and engage the sector, our aspirations will be fulfilled.</w:t>
      </w:r>
    </w:p>
    <w:p w14:paraId="7F0C391D" w14:textId="77777777" w:rsidR="006C3156" w:rsidRDefault="006C3156" w:rsidP="001E0823">
      <w:pPr>
        <w:pStyle w:val="BodyText"/>
        <w:rPr>
          <w:lang w:val="en-GB"/>
        </w:rPr>
      </w:pPr>
      <w:r w:rsidRPr="006C3156">
        <w:rPr>
          <w:lang w:val="en-GB"/>
        </w:rPr>
        <w:t>Finally, the Board wishes to acknowledge the ongoing support it has received from participants and their families, as well as the disability sector more generally, and from the governments—the Commonwealth and the states and territories—as well as from politicians across the spectrum. One of the truly remarkable aspects of the NDIS is the community support that has been forthcoming. That is something we acknowledge and treasure.</w:t>
      </w:r>
    </w:p>
    <w:p w14:paraId="4022F524" w14:textId="09885ED7" w:rsidR="006C3156" w:rsidRDefault="006C3156" w:rsidP="001E0823">
      <w:pPr>
        <w:pStyle w:val="BodyText"/>
        <w:rPr>
          <w:rStyle w:val="BodyTextBold"/>
        </w:rPr>
      </w:pPr>
      <w:r w:rsidRPr="006C3156">
        <w:rPr>
          <w:rStyle w:val="BodyTextBold"/>
        </w:rPr>
        <w:t>Dr Helen Nugent AO, Chairman</w:t>
      </w:r>
    </w:p>
    <w:p w14:paraId="4FAB0A63" w14:textId="77777777" w:rsidR="006C3156" w:rsidRDefault="006C3156" w:rsidP="001E0823">
      <w:pPr>
        <w:rPr>
          <w:rStyle w:val="BodyTextBold"/>
        </w:rPr>
      </w:pPr>
      <w:r>
        <w:rPr>
          <w:rStyle w:val="BodyTextBold"/>
        </w:rPr>
        <w:br w:type="page"/>
      </w:r>
    </w:p>
    <w:p w14:paraId="71F2C54F" w14:textId="4BB36B52" w:rsidR="006C3156" w:rsidRDefault="006C3156" w:rsidP="001E0823">
      <w:pPr>
        <w:pStyle w:val="Heading2"/>
        <w:rPr>
          <w:lang w:val="en-GB"/>
        </w:rPr>
      </w:pPr>
      <w:bookmarkStart w:id="9" w:name="_Toc496611870"/>
      <w:r>
        <w:rPr>
          <w:lang w:val="en-GB"/>
        </w:rPr>
        <w:lastRenderedPageBreak/>
        <w:t xml:space="preserve">Message from the </w:t>
      </w:r>
      <w:r w:rsidRPr="006C3156">
        <w:rPr>
          <w:lang w:val="en-GB"/>
        </w:rPr>
        <w:t>Chief Executive Officer</w:t>
      </w:r>
      <w:bookmarkEnd w:id="9"/>
    </w:p>
    <w:p w14:paraId="00CD262D" w14:textId="0315F5CD" w:rsidR="006C3156" w:rsidRDefault="006C3156" w:rsidP="001E0823">
      <w:pPr>
        <w:pStyle w:val="Intro"/>
      </w:pPr>
      <w:r>
        <w:t xml:space="preserve">I am pleased to have the opportunity to introduce myself and acknowledge the fourth Annual Report of the National Disability Insurance Agency (NDIA). </w:t>
      </w:r>
    </w:p>
    <w:p w14:paraId="593E2B84" w14:textId="77777777" w:rsidR="006C3156" w:rsidRDefault="006C3156" w:rsidP="001E0823">
      <w:pPr>
        <w:pStyle w:val="BodyText"/>
      </w:pPr>
      <w:r>
        <w:t xml:space="preserve">I am excited by the opportunity to lead the NDIA during this next important phase. I believe in the purpose of the NDIS – to improve the independence, economic and social outcomes for people with disability, their families and carers, and in turn make Australia a better place. </w:t>
      </w:r>
    </w:p>
    <w:p w14:paraId="4118565F" w14:textId="77777777" w:rsidR="006C3156" w:rsidRDefault="006C3156" w:rsidP="001E0823">
      <w:pPr>
        <w:pStyle w:val="BodyText"/>
      </w:pPr>
      <w:r>
        <w:t xml:space="preserve">I am driven by my values and look forward to bringing my personal experiences and skills to the NDIA. I have worked for over 20 years in the financial services sector, most recently as Managing Director of BankWest. </w:t>
      </w:r>
    </w:p>
    <w:p w14:paraId="526B3A6A" w14:textId="77777777" w:rsidR="00672357" w:rsidRDefault="006C3156" w:rsidP="001E0823">
      <w:pPr>
        <w:pStyle w:val="BodyText"/>
      </w:pPr>
      <w:r>
        <w:t>I am motivated to lead a high-performing organisation where the experience of the customer, or participant, is at the ce</w:t>
      </w:r>
      <w:r w:rsidR="00672357">
        <w:t xml:space="preserve">ntre of everything that we do. </w:t>
      </w:r>
    </w:p>
    <w:p w14:paraId="17859B3C" w14:textId="60E1E211" w:rsidR="006C3156" w:rsidRDefault="006C3156" w:rsidP="001E0823">
      <w:pPr>
        <w:pStyle w:val="BodyText"/>
      </w:pPr>
      <w:r>
        <w:t xml:space="preserve">I would like to acknowledge the work of the Chairman, Dr Helen Nugent AO and the Board in improving the experience of participants and providers, and managing the Scheme’s long-term financial sustainability.  </w:t>
      </w:r>
    </w:p>
    <w:p w14:paraId="7BA11AB8" w14:textId="77777777" w:rsidR="006C3156" w:rsidRDefault="006C3156" w:rsidP="001E0823">
      <w:pPr>
        <w:pStyle w:val="BodyText"/>
      </w:pPr>
      <w:r>
        <w:t xml:space="preserve">The NDIA would not be where it is today without the significant contribution of inaugural CEO, Mr David Bowen. David has taken the NDIA from an idea to a national organisation. I would like to take this opportunity to thank him and mark his significant contribution to people with disability, their families and carers. </w:t>
      </w:r>
    </w:p>
    <w:p w14:paraId="4E511FD8" w14:textId="77777777" w:rsidR="00672357" w:rsidRDefault="006C3156" w:rsidP="001E0823">
      <w:pPr>
        <w:pStyle w:val="BodyText"/>
      </w:pPr>
      <w:r>
        <w:t>This fourth Annual Report of the NDIA looks back at the significant body of work which has occurred over the last 12 months to improve outcomes for people with disability, their families and carers. As new CEO, I am looking forward to the future – both the challenges and opportunities that lie ahead.</w:t>
      </w:r>
      <w:r w:rsidR="00672357">
        <w:t xml:space="preserve"> </w:t>
      </w:r>
    </w:p>
    <w:p w14:paraId="49C599E0" w14:textId="67500709" w:rsidR="006C3156" w:rsidRDefault="006C3156" w:rsidP="001E0823">
      <w:pPr>
        <w:pStyle w:val="BodyText"/>
      </w:pPr>
      <w:r>
        <w:t>To participants, their families and carers, service providers, peak bodies and the Australian community - thank you for your ongoing support of the Scheme. I am confident that together we can make a significant difference to the lives of Australians. </w:t>
      </w:r>
    </w:p>
    <w:p w14:paraId="5E8CB341" w14:textId="605C2E31" w:rsidR="00672357" w:rsidRDefault="006C3156" w:rsidP="001E0823">
      <w:pPr>
        <w:pStyle w:val="BodyText"/>
      </w:pPr>
      <w:r w:rsidRPr="00672357">
        <w:rPr>
          <w:rStyle w:val="BodyTextBold"/>
        </w:rPr>
        <w:t>Mr Robert De Luca, Chief Executive Officer</w:t>
      </w:r>
    </w:p>
    <w:p w14:paraId="4B64F5CD" w14:textId="77777777" w:rsidR="00672357" w:rsidRDefault="00672357" w:rsidP="001E0823">
      <w:r>
        <w:br w:type="page"/>
      </w:r>
    </w:p>
    <w:p w14:paraId="10A9E252" w14:textId="38AD9E5A" w:rsidR="0013374A" w:rsidRDefault="00672357" w:rsidP="001E0823">
      <w:pPr>
        <w:pStyle w:val="Heading2"/>
      </w:pPr>
      <w:bookmarkStart w:id="10" w:name="_Toc496611871"/>
      <w:r w:rsidRPr="00672357">
        <w:lastRenderedPageBreak/>
        <w:t>About the NDIS</w:t>
      </w:r>
      <w:bookmarkEnd w:id="10"/>
    </w:p>
    <w:p w14:paraId="3F6B5524" w14:textId="77777777" w:rsidR="00672357" w:rsidRDefault="00672357" w:rsidP="001E0823">
      <w:pPr>
        <w:pStyle w:val="Intro"/>
      </w:pPr>
      <w:r>
        <w:t>The National Disability Insurance Scheme (NDIS or the Scheme) is a new way of providing support for people with disability, their families and carers in Australia.</w:t>
      </w:r>
    </w:p>
    <w:p w14:paraId="13AE22EB" w14:textId="77777777" w:rsidR="00672357" w:rsidRDefault="00672357" w:rsidP="001E0823">
      <w:pPr>
        <w:pStyle w:val="BodyText"/>
      </w:pPr>
      <w:r>
        <w:t>The Scheme represents a fundamental shift in the way supports are provided to, and funded for, Australians who have a significant and permanent disability. It represents a once-in-a-generation social and economic reform, and will better the lives of hundreds of thousands of participants, and their families and carers, through a focus on improved outcomes.</w:t>
      </w:r>
    </w:p>
    <w:p w14:paraId="7971A702" w14:textId="17FCEB99" w:rsidR="00672357" w:rsidRDefault="00672357" w:rsidP="001E0823">
      <w:pPr>
        <w:pStyle w:val="BodyText"/>
      </w:pPr>
      <w:r>
        <w:t>Over and above existing mainstream supports, the Scheme will provide all Australians under the age of 65 with significant and permanent disability (referred to as participants), with the reasonable and necessary supports they need to enjoy an ordinary life, and to participate in employment and the community.</w:t>
      </w:r>
    </w:p>
    <w:p w14:paraId="2863E9CF" w14:textId="77777777" w:rsidR="00672357" w:rsidRDefault="00672357" w:rsidP="001E0823">
      <w:pPr>
        <w:pStyle w:val="BodyText"/>
      </w:pPr>
      <w:r>
        <w:t>Consistent with the Scheme’s participant-centric approach, funding for these supports will be determined by an assessment of their individual needs, goals and aspirations.</w:t>
      </w:r>
    </w:p>
    <w:p w14:paraId="44559150" w14:textId="49B83189" w:rsidR="00672357" w:rsidRDefault="00672357" w:rsidP="001E0823">
      <w:pPr>
        <w:pStyle w:val="BodyText"/>
      </w:pPr>
      <w:r>
        <w:t xml:space="preserve">Participant choice and control is a core feature of the Scheme’s design. In this new market-based system, once reasonable and necessary supports are determined, participants are deeply involved in making decisions around how their funds are spent, and how their supports are delivered. Participants are able to choose and move between disability providers rather than having providers contracted for them. In this way, participants are empowered to own their goals and aspirations, and to have a say in how they attain improved social and economic outcomes. </w:t>
      </w:r>
    </w:p>
    <w:p w14:paraId="0605559C" w14:textId="77777777" w:rsidR="00672357" w:rsidRDefault="00672357" w:rsidP="001E0823">
      <w:pPr>
        <w:pStyle w:val="Heading3"/>
      </w:pPr>
      <w:r>
        <w:t>Insurance, not welfare</w:t>
      </w:r>
    </w:p>
    <w:p w14:paraId="15B20722" w14:textId="77777777" w:rsidR="00672357" w:rsidRDefault="00672357" w:rsidP="001E0823">
      <w:pPr>
        <w:pStyle w:val="BodyText"/>
      </w:pPr>
      <w:r>
        <w:t>The NDIS is a social insurance scheme. Building the economic, education and social participation of Australians with disability is the core focus of the NDIS. This means the Scheme is aimed at delivery of better outcomes for people with disability through an insurance approach that invests to produce a long-term social and economic dividend for the whole country.</w:t>
      </w:r>
    </w:p>
    <w:p w14:paraId="69C86570" w14:textId="77777777" w:rsidR="00672357" w:rsidRDefault="00672357" w:rsidP="001E0823">
      <w:pPr>
        <w:pStyle w:val="BodyText"/>
      </w:pPr>
      <w:r>
        <w:t>It marks a deliberate departure from a welfare-based approach, where the costs of providing disability support were viewed through a short to medium-term lens. The Scheme is intended to improve outcomes for participants and produce long-term fiscal and economic gains for Australia.</w:t>
      </w:r>
    </w:p>
    <w:p w14:paraId="14FC7BA7" w14:textId="77777777" w:rsidR="00672357" w:rsidRDefault="00672357" w:rsidP="001E0823">
      <w:pPr>
        <w:pStyle w:val="BodyText"/>
      </w:pPr>
      <w:r>
        <w:t>The Scheme takes a lifetime approach to supporting people with disability, informed by actuarial analysis. This means expenditure is considered over the life of an individual, and Scheme sustainability is measured by calculating the total future cost of supports for participants.</w:t>
      </w:r>
    </w:p>
    <w:p w14:paraId="79F73B05" w14:textId="77777777" w:rsidR="00672357" w:rsidRDefault="00672357" w:rsidP="001E0823">
      <w:pPr>
        <w:pStyle w:val="BodyText"/>
      </w:pPr>
      <w:r>
        <w:t>This social insurance approach is based on early investment and intervention, which will improve outcomes later in life and will reduce long-term costs.</w:t>
      </w:r>
    </w:p>
    <w:p w14:paraId="65C1C2DD" w14:textId="77777777" w:rsidR="00672357" w:rsidRDefault="00672357" w:rsidP="001E0823">
      <w:pPr>
        <w:pStyle w:val="BodyText"/>
      </w:pPr>
      <w:r>
        <w:t xml:space="preserve">This insurance approach is underpinned by four principles: </w:t>
      </w:r>
    </w:p>
    <w:p w14:paraId="48D68ABB" w14:textId="5A2DE224" w:rsidR="00672357" w:rsidRDefault="00672357" w:rsidP="001E0823">
      <w:pPr>
        <w:pStyle w:val="ListNumber"/>
      </w:pPr>
      <w:r>
        <w:t>Develop actuarial estimates of the reasonable and necessary support needs of the targeted population.</w:t>
      </w:r>
    </w:p>
    <w:p w14:paraId="6994FE2D" w14:textId="77777777" w:rsidR="00672357" w:rsidRDefault="00672357" w:rsidP="001E0823">
      <w:pPr>
        <w:pStyle w:val="ListNumber"/>
      </w:pPr>
      <w:r>
        <w:t>Focus on lifetime value for Scheme participants.</w:t>
      </w:r>
    </w:p>
    <w:p w14:paraId="13E7E0D0" w14:textId="77777777" w:rsidR="00672357" w:rsidRDefault="00672357" w:rsidP="001E0823">
      <w:pPr>
        <w:pStyle w:val="ListNumber"/>
      </w:pPr>
      <w:r>
        <w:t>Invest in research and encourage innovation.</w:t>
      </w:r>
    </w:p>
    <w:p w14:paraId="41A84495" w14:textId="77777777" w:rsidR="00672357" w:rsidRDefault="00672357" w:rsidP="001E0823">
      <w:pPr>
        <w:pStyle w:val="ListNumber"/>
      </w:pPr>
      <w:r>
        <w:t>Support the development of community capability and social capital.</w:t>
      </w:r>
    </w:p>
    <w:p w14:paraId="6F5BEABB" w14:textId="77777777" w:rsidR="00672357" w:rsidRDefault="00672357" w:rsidP="001E0823">
      <w:pPr>
        <w:pStyle w:val="Heading3"/>
      </w:pPr>
      <w:r>
        <w:t>How the NDIS fits into the National Disability Strategy</w:t>
      </w:r>
    </w:p>
    <w:p w14:paraId="344909A3" w14:textId="77777777" w:rsidR="00672357" w:rsidRDefault="00672357" w:rsidP="001E0823">
      <w:pPr>
        <w:pStyle w:val="BodyText"/>
      </w:pPr>
      <w:r>
        <w:t xml:space="preserve">The NDIS forms an important part of the Government’s </w:t>
      </w:r>
      <w:r w:rsidRPr="00A21D22">
        <w:rPr>
          <w:rStyle w:val="BodyTextItalic"/>
        </w:rPr>
        <w:t>National Disability Strategy 2010–2020</w:t>
      </w:r>
      <w:r>
        <w:t xml:space="preserve">, a 10-year policy framework for improving life for Australians with disability, their families and carers. The Strategy supports Australia’s commitments to the UN Convention on the Rights of Persons with Disabilities. It guides </w:t>
      </w:r>
      <w:r>
        <w:lastRenderedPageBreak/>
        <w:t>public policy across all levels of government and drives change in mainstream, specialist disability programs and services, and community infrastructure.</w:t>
      </w:r>
    </w:p>
    <w:p w14:paraId="710375DF" w14:textId="77777777" w:rsidR="00672357" w:rsidRDefault="00672357" w:rsidP="001E0823">
      <w:pPr>
        <w:pStyle w:val="BodyText"/>
      </w:pPr>
      <w:r>
        <w:t>The specialist disability supports provided by the Scheme complement the mainstream services provided by Commonwealth and state and territory governments, including health, education, housing, transport and safety.</w:t>
      </w:r>
    </w:p>
    <w:p w14:paraId="6D0AB9FC" w14:textId="4533EE30" w:rsidR="00CE012F" w:rsidRPr="00CE012F" w:rsidRDefault="00CE012F" w:rsidP="001E0823">
      <w:pPr>
        <w:pStyle w:val="CaseStudyTitle"/>
      </w:pPr>
      <w:r w:rsidRPr="00CE012F">
        <w:t xml:space="preserve">CASE STUDY: </w:t>
      </w:r>
    </w:p>
    <w:p w14:paraId="1447B29B" w14:textId="47EAF58F" w:rsidR="00CE012F" w:rsidRDefault="00CE012F" w:rsidP="001E0823">
      <w:pPr>
        <w:pStyle w:val="Heading3"/>
      </w:pPr>
      <w:r>
        <w:t>How the NDIS works with other government services</w:t>
      </w:r>
    </w:p>
    <w:p w14:paraId="1D9B8E1F" w14:textId="77777777" w:rsidR="00CE012F" w:rsidRDefault="00CE012F" w:rsidP="001E0823">
      <w:pPr>
        <w:pStyle w:val="Intro"/>
      </w:pPr>
      <w:r>
        <w:t>Carl is an NDIS Participant and Project Officer at the Australian Federation of Disability Organisations (AFDO). As part of his role with AFDO, Carl runs workshops to support participants, families and carers in their NDIS transition.</w:t>
      </w:r>
    </w:p>
    <w:p w14:paraId="73A7FC5F" w14:textId="77777777" w:rsidR="00CE012F" w:rsidRDefault="00CE012F" w:rsidP="001E0823">
      <w:pPr>
        <w:pStyle w:val="BodyText"/>
      </w:pPr>
      <w:r>
        <w:t>“When I’m running workshops we talk lots about what the NDIS is responsible for, and what other systems of support are responsible for. It can be a tricky topic, but I try to tell everybody the NDIS can’t be responsible for everything,” Carl said.</w:t>
      </w:r>
    </w:p>
    <w:p w14:paraId="0E89C2CC" w14:textId="77777777" w:rsidR="00CE012F" w:rsidRDefault="00CE012F" w:rsidP="001E0823">
      <w:pPr>
        <w:pStyle w:val="BodyText"/>
      </w:pPr>
      <w:r>
        <w:t>“A couple of years ago I was on the Disability Support Pension provided by Centrelink. I have a full-time job now so I’m no longer getting any income support through Centrelink, but that’s okay, I would much rather have my full-time job.</w:t>
      </w:r>
    </w:p>
    <w:p w14:paraId="2CCDED0A" w14:textId="5602D05E" w:rsidR="00672357" w:rsidRDefault="00CE012F" w:rsidP="001E0823">
      <w:pPr>
        <w:pStyle w:val="BodyText"/>
      </w:pPr>
      <w:r>
        <w:t>“I mainly use public transport where possible. The NDIS shouldn’t have to pay to make trains and buses more accessible for people with disability. The same with taxis, they are private companies that make a profit, so the NDIS can’t and shouldn’t use our taxes to make them accessible.”</w:t>
      </w:r>
    </w:p>
    <w:p w14:paraId="796B3276" w14:textId="77777777" w:rsidR="006C43D8" w:rsidRDefault="006C43D8" w:rsidP="001E0823">
      <w:pPr>
        <w:pStyle w:val="Heading2"/>
      </w:pPr>
      <w:bookmarkStart w:id="11" w:name="_Toc496611872"/>
      <w:r>
        <w:lastRenderedPageBreak/>
        <w:t>The National Disability Insurance Agency</w:t>
      </w:r>
      <w:bookmarkEnd w:id="11"/>
    </w:p>
    <w:p w14:paraId="207BC66A" w14:textId="77777777" w:rsidR="006C43D8" w:rsidRDefault="006C43D8" w:rsidP="001E0823">
      <w:pPr>
        <w:pStyle w:val="Intro"/>
      </w:pPr>
      <w:r>
        <w:t xml:space="preserve">The National Disability Insurance Agency (NDIA or the Agency) was created in 2013 when the </w:t>
      </w:r>
      <w:r w:rsidRPr="001F17C0">
        <w:rPr>
          <w:rStyle w:val="IntroItalic"/>
        </w:rPr>
        <w:t>National Disability Insurance Scheme Act 2013</w:t>
      </w:r>
      <w:r>
        <w:t xml:space="preserve"> (NDIS Act) came in to effect. </w:t>
      </w:r>
    </w:p>
    <w:p w14:paraId="47779990" w14:textId="77777777" w:rsidR="006C43D8" w:rsidRDefault="006C43D8" w:rsidP="001E0823">
      <w:pPr>
        <w:pStyle w:val="BodyText"/>
      </w:pPr>
      <w:r>
        <w:t>The NDIA is the independent Commonwealth entity responsible for implementing the NDIS. It is the Agency’s responsibility to deliver the Scheme in a way that builds confidence and trust amongst participants, carers, the community, the disability services market and other stakeholders.</w:t>
      </w:r>
    </w:p>
    <w:p w14:paraId="524B06F9" w14:textId="77777777" w:rsidR="006C43D8" w:rsidRDefault="006C43D8" w:rsidP="001E0823">
      <w:pPr>
        <w:pStyle w:val="BodyText"/>
      </w:pPr>
      <w:r>
        <w:t>The Agency receives funds contributed by the Commonwealth, states and territories, manages Scheme funds, administers access to the Scheme, approves the payment of individualised support packages and reviews participants’ plans.</w:t>
      </w:r>
    </w:p>
    <w:p w14:paraId="23575A3F" w14:textId="77777777" w:rsidR="006C43D8" w:rsidRDefault="006C43D8" w:rsidP="001E0823">
      <w:pPr>
        <w:pStyle w:val="BodyText"/>
      </w:pPr>
      <w:r>
        <w:t>The Partners in the Community program provides funding for community organisations to partner with the Agency to help deliver the NDIS across the country. The Agency works with these Partners at a local level throughout Australia to deliver Local Area Coordination (LAC) services and Early Childhood Early Intervention (ECEI).</w:t>
      </w:r>
    </w:p>
    <w:p w14:paraId="692DE9EB" w14:textId="77777777" w:rsidR="006C43D8" w:rsidRDefault="006C43D8" w:rsidP="001E0823">
      <w:pPr>
        <w:pStyle w:val="BodyText"/>
      </w:pPr>
      <w:r>
        <w:t>The Agency will continue to harness expertise from the disability sector to build a Scheme for all Australians.</w:t>
      </w:r>
    </w:p>
    <w:p w14:paraId="2173BDB5" w14:textId="77777777" w:rsidR="006C43D8" w:rsidRDefault="006C43D8" w:rsidP="001E0823">
      <w:pPr>
        <w:pStyle w:val="BodyText"/>
      </w:pPr>
      <w:r>
        <w:t>Learn more about the NDIA and Partners in the Community on page 93.</w:t>
      </w:r>
    </w:p>
    <w:p w14:paraId="70417A5B" w14:textId="77777777" w:rsidR="006C43D8" w:rsidRDefault="006C43D8" w:rsidP="001E0823">
      <w:pPr>
        <w:pStyle w:val="Heading2"/>
      </w:pPr>
      <w:bookmarkStart w:id="12" w:name="_Toc496611873"/>
      <w:r>
        <w:lastRenderedPageBreak/>
        <w:t>From trial to transition</w:t>
      </w:r>
      <w:bookmarkEnd w:id="12"/>
    </w:p>
    <w:p w14:paraId="1AFFD857" w14:textId="77777777" w:rsidR="006C43D8" w:rsidRDefault="006C43D8" w:rsidP="001E0823">
      <w:pPr>
        <w:pStyle w:val="Intro"/>
      </w:pPr>
      <w:r>
        <w:t xml:space="preserve">The </w:t>
      </w:r>
      <w:r w:rsidRPr="001F17C0">
        <w:rPr>
          <w:rStyle w:val="IntroItalic"/>
        </w:rPr>
        <w:t>National Disability Insurance Scheme Act 2013</w:t>
      </w:r>
      <w:r>
        <w:t xml:space="preserve"> (NDIS Act) received Royal assent on 28 March 2013. A three-year trial of the Scheme commenced in 2013. Seven selected sites were launched across Australia, with the addition of two early transition sites. </w:t>
      </w:r>
    </w:p>
    <w:p w14:paraId="641B4F01" w14:textId="77777777" w:rsidR="006C43D8" w:rsidRDefault="006C43D8" w:rsidP="001E0823">
      <w:pPr>
        <w:pStyle w:val="BodyText"/>
      </w:pPr>
      <w:r>
        <w:t>At the end of the trial at 30 June 2016, there were 35,695 NDIS participants; 30,281 participants had an approved NDIS plan, and 5,414 had received approval for access and were awaiting a plan.</w:t>
      </w:r>
    </w:p>
    <w:p w14:paraId="06B2CB8F" w14:textId="77777777" w:rsidR="006C43D8" w:rsidRDefault="006C43D8" w:rsidP="001E0823">
      <w:pPr>
        <w:pStyle w:val="BodyText"/>
      </w:pPr>
      <w:r>
        <w:t>From 1 July 2016, the full rollout of the NDIS commenced, with an estimated 460,000 participants expected to enter the NDIS by 2020. From 2020 and beyond, the Scheme will continue to support existing participants and bring in new participants.</w:t>
      </w:r>
    </w:p>
    <w:p w14:paraId="58656131" w14:textId="4CB91E5A" w:rsidR="001F17C0" w:rsidRDefault="001F17C0" w:rsidP="001E0823">
      <w:pPr>
        <w:pStyle w:val="BodyText"/>
      </w:pPr>
      <w:r w:rsidRPr="001F17C0">
        <w:t>At 30 June 2017:</w:t>
      </w:r>
    </w:p>
    <w:p w14:paraId="6D31DD4F" w14:textId="2B33CA2D" w:rsidR="001F17C0" w:rsidRDefault="001F17C0" w:rsidP="001E0823">
      <w:pPr>
        <w:pStyle w:val="ListBullet"/>
      </w:pPr>
      <w:r w:rsidRPr="001F17C0">
        <w:t>90,638</w:t>
      </w:r>
      <w:r>
        <w:t xml:space="preserve"> </w:t>
      </w:r>
      <w:r w:rsidR="003902A8">
        <w:t>p</w:t>
      </w:r>
      <w:r w:rsidRPr="001F17C0">
        <w:t>articipants with an approved plan.</w:t>
      </w:r>
    </w:p>
    <w:p w14:paraId="34A34AE9" w14:textId="35910C00" w:rsidR="001F17C0" w:rsidRDefault="001F17C0" w:rsidP="001E0823">
      <w:pPr>
        <w:pStyle w:val="ListBullet"/>
      </w:pPr>
      <w:r w:rsidRPr="001F17C0">
        <w:t>6,134</w:t>
      </w:r>
      <w:r w:rsidR="003902A8">
        <w:t xml:space="preserve"> c</w:t>
      </w:r>
      <w:r w:rsidR="003902A8" w:rsidRPr="003902A8">
        <w:t>hildren supported through the Early Childhood Early Intervention approach.</w:t>
      </w:r>
    </w:p>
    <w:p w14:paraId="332BBA3F" w14:textId="6FD20A84" w:rsidR="003902A8" w:rsidRDefault="003902A8" w:rsidP="001E0823">
      <w:pPr>
        <w:pStyle w:val="ListBullet"/>
      </w:pPr>
      <w:r w:rsidRPr="003902A8">
        <w:t>37,020</w:t>
      </w:r>
      <w:r>
        <w:t xml:space="preserve"> total plan reviews for 2016-17.</w:t>
      </w:r>
    </w:p>
    <w:p w14:paraId="257297BA" w14:textId="25A9E148" w:rsidR="003902A8" w:rsidRDefault="003902A8" w:rsidP="001E0823">
      <w:pPr>
        <w:pStyle w:val="ListBullet"/>
      </w:pPr>
      <w:r w:rsidRPr="003902A8">
        <w:t>84%</w:t>
      </w:r>
      <w:r>
        <w:t xml:space="preserve"> p</w:t>
      </w:r>
      <w:r w:rsidRPr="003902A8">
        <w:t>er cent of surveyed participants who rated their experience either good or very good.</w:t>
      </w:r>
    </w:p>
    <w:p w14:paraId="259EFB0B" w14:textId="77777777" w:rsidR="003902A8" w:rsidRDefault="003902A8" w:rsidP="001E0823">
      <w:pPr>
        <w:pStyle w:val="ListBullet"/>
      </w:pPr>
      <w:r w:rsidRPr="003902A8">
        <w:t>$7.3b</w:t>
      </w:r>
      <w:r>
        <w:t xml:space="preserve"> support committed to participants since 1 July 2013.</w:t>
      </w:r>
    </w:p>
    <w:p w14:paraId="7D04919C" w14:textId="5F11A35F" w:rsidR="003902A8" w:rsidRDefault="003902A8" w:rsidP="001E0823">
      <w:pPr>
        <w:pStyle w:val="ListBullet"/>
      </w:pPr>
      <w:r>
        <w:t>$3.2 billion was committed for participant support costs in 2016-17.</w:t>
      </w:r>
    </w:p>
    <w:p w14:paraId="2563187D" w14:textId="3ED02DB9" w:rsidR="003902A8" w:rsidRDefault="003902A8" w:rsidP="001E0823">
      <w:pPr>
        <w:pStyle w:val="ListBullet"/>
      </w:pPr>
      <w:r w:rsidRPr="003902A8">
        <w:t>8,698</w:t>
      </w:r>
      <w:r>
        <w:t xml:space="preserve"> r</w:t>
      </w:r>
      <w:r w:rsidRPr="003902A8">
        <w:t>egistered service providers.</w:t>
      </w:r>
    </w:p>
    <w:p w14:paraId="37ACED5C" w14:textId="12FCE909" w:rsidR="003902A8" w:rsidRDefault="003902A8" w:rsidP="001E0823">
      <w:pPr>
        <w:pStyle w:val="ListBullet"/>
      </w:pPr>
      <w:r w:rsidRPr="003902A8">
        <w:t>1,950</w:t>
      </w:r>
      <w:r>
        <w:t xml:space="preserve"> e</w:t>
      </w:r>
      <w:r w:rsidRPr="003902A8">
        <w:t>mployees across the 79 sites.</w:t>
      </w:r>
    </w:p>
    <w:p w14:paraId="77A0C2FA" w14:textId="6FF935B9" w:rsidR="00672357" w:rsidRDefault="003902A8" w:rsidP="001E0823">
      <w:pPr>
        <w:pStyle w:val="ListBullet"/>
      </w:pPr>
      <w:r w:rsidRPr="003902A8">
        <w:t>14.4%</w:t>
      </w:r>
      <w:r>
        <w:t xml:space="preserve"> p</w:t>
      </w:r>
      <w:r w:rsidRPr="003902A8">
        <w:t>er cent of the Agency workforce who identified as having a disability.</w:t>
      </w:r>
    </w:p>
    <w:p w14:paraId="0C1EB78A" w14:textId="77777777" w:rsidR="003902A8" w:rsidRPr="003902A8" w:rsidRDefault="003902A8" w:rsidP="001E0823">
      <w:pPr>
        <w:pStyle w:val="Heading3"/>
        <w:rPr>
          <w:lang w:val="en-GB"/>
        </w:rPr>
      </w:pPr>
      <w:r w:rsidRPr="003902A8">
        <w:rPr>
          <w:lang w:val="en-GB"/>
        </w:rPr>
        <w:t>Bilateral Agreements</w:t>
      </w:r>
    </w:p>
    <w:p w14:paraId="1173DA84" w14:textId="77777777" w:rsidR="003902A8" w:rsidRPr="003902A8" w:rsidRDefault="003902A8" w:rsidP="001E0823">
      <w:pPr>
        <w:pStyle w:val="BodyText"/>
        <w:rPr>
          <w:lang w:val="en-GB"/>
        </w:rPr>
      </w:pPr>
      <w:r w:rsidRPr="003902A8">
        <w:rPr>
          <w:lang w:val="en-GB"/>
        </w:rPr>
        <w:t>Bilateral Agreements outline the roles and responsibilities between the Commonwealth, state and territory governments and the Agency, as well as high-level arrangements for the transition to full Scheme.</w:t>
      </w:r>
    </w:p>
    <w:p w14:paraId="2492A1F8" w14:textId="77777777" w:rsidR="003902A8" w:rsidRPr="003902A8" w:rsidRDefault="003902A8" w:rsidP="001E0823">
      <w:pPr>
        <w:pStyle w:val="BodyText"/>
        <w:rPr>
          <w:lang w:val="en-GB"/>
        </w:rPr>
      </w:pPr>
      <w:r w:rsidRPr="003902A8">
        <w:rPr>
          <w:lang w:val="en-GB"/>
        </w:rPr>
        <w:t xml:space="preserve">During the trial period, Bilateral Agreements were signed for all states and territories except Western Australia. </w:t>
      </w:r>
    </w:p>
    <w:p w14:paraId="14C4993D" w14:textId="0468FA29" w:rsidR="003902A8" w:rsidRDefault="003902A8" w:rsidP="001E0823">
      <w:pPr>
        <w:pStyle w:val="BodyText"/>
        <w:rPr>
          <w:lang w:val="en-GB"/>
        </w:rPr>
      </w:pPr>
      <w:r w:rsidRPr="003902A8">
        <w:rPr>
          <w:lang w:val="en-GB"/>
        </w:rPr>
        <w:t>Operational Plans detailing implementation activities, roles and responsibilities have been signed for all states and territories.</w:t>
      </w:r>
    </w:p>
    <w:p w14:paraId="4A51B6A9" w14:textId="77777777" w:rsidR="003902A8" w:rsidRDefault="003902A8" w:rsidP="001E0823">
      <w:pPr>
        <w:rPr>
          <w:lang w:val="en-GB"/>
        </w:rPr>
      </w:pPr>
      <w:r>
        <w:rPr>
          <w:lang w:val="en-GB"/>
        </w:rPr>
        <w:br w:type="page"/>
      </w:r>
    </w:p>
    <w:p w14:paraId="536A6A98" w14:textId="77777777" w:rsidR="003902A8" w:rsidRPr="003902A8" w:rsidRDefault="003902A8" w:rsidP="001E0823">
      <w:pPr>
        <w:pStyle w:val="Heading2"/>
        <w:rPr>
          <w:lang w:val="en-GB"/>
        </w:rPr>
      </w:pPr>
      <w:bookmarkStart w:id="13" w:name="_Toc496611874"/>
      <w:r w:rsidRPr="003902A8">
        <w:rPr>
          <w:lang w:val="en-GB"/>
        </w:rPr>
        <w:lastRenderedPageBreak/>
        <w:t>Year one: transition to full Scheme</w:t>
      </w:r>
      <w:bookmarkEnd w:id="13"/>
    </w:p>
    <w:p w14:paraId="34881BCA" w14:textId="77777777" w:rsidR="003902A8" w:rsidRPr="003902A8" w:rsidRDefault="003902A8" w:rsidP="001E0823">
      <w:pPr>
        <w:pStyle w:val="Intro"/>
        <w:rPr>
          <w:lang w:val="en-GB"/>
        </w:rPr>
      </w:pPr>
      <w:r w:rsidRPr="003902A8">
        <w:rPr>
          <w:lang w:val="en-GB"/>
        </w:rPr>
        <w:t>The following information is a summary of activities for the first year of transition, 1 July 2016 to 30 June 2017.</w:t>
      </w:r>
    </w:p>
    <w:p w14:paraId="649EF4AA" w14:textId="77777777" w:rsidR="003902A8" w:rsidRPr="003902A8" w:rsidRDefault="003902A8" w:rsidP="001E0823">
      <w:pPr>
        <w:pStyle w:val="Heading3"/>
        <w:rPr>
          <w:lang w:val="en-GB"/>
        </w:rPr>
      </w:pPr>
      <w:r w:rsidRPr="003902A8">
        <w:rPr>
          <w:lang w:val="en-GB"/>
        </w:rPr>
        <w:t>Achievements</w:t>
      </w:r>
    </w:p>
    <w:p w14:paraId="411D0742" w14:textId="086559F8" w:rsidR="003902A8" w:rsidRPr="003902A8" w:rsidRDefault="003902A8" w:rsidP="001E0823">
      <w:pPr>
        <w:pStyle w:val="ListBullet"/>
        <w:rPr>
          <w:lang w:val="en-GB"/>
        </w:rPr>
      </w:pPr>
      <w:r w:rsidRPr="003902A8">
        <w:rPr>
          <w:lang w:val="en-GB"/>
        </w:rPr>
        <w:t>In 2016-17, 60,357 par</w:t>
      </w:r>
      <w:r w:rsidR="00B81875">
        <w:rPr>
          <w:lang w:val="en-GB"/>
        </w:rPr>
        <w:t xml:space="preserve">ticipants entered </w:t>
      </w:r>
      <w:r w:rsidRPr="003902A8">
        <w:rPr>
          <w:lang w:val="en-GB"/>
        </w:rPr>
        <w:t>the Scheme and received an approved plan and 6,134 children were supported through ECEI (in addition to the 35,695 who entered during trial).</w:t>
      </w:r>
    </w:p>
    <w:p w14:paraId="11AC3F3A" w14:textId="77777777" w:rsidR="003902A8" w:rsidRPr="003902A8" w:rsidRDefault="003902A8" w:rsidP="001E0823">
      <w:pPr>
        <w:pStyle w:val="ListBullet"/>
        <w:rPr>
          <w:lang w:val="en-GB"/>
        </w:rPr>
      </w:pPr>
      <w:r w:rsidRPr="003902A8">
        <w:rPr>
          <w:lang w:val="en-GB"/>
        </w:rPr>
        <w:t>More regions and age groups entered the NDIS in addition to the nine trial and early access sites.</w:t>
      </w:r>
    </w:p>
    <w:p w14:paraId="18025C27" w14:textId="77777777" w:rsidR="003902A8" w:rsidRPr="003902A8" w:rsidRDefault="003902A8" w:rsidP="001E0823">
      <w:pPr>
        <w:pStyle w:val="ListBullet"/>
        <w:rPr>
          <w:lang w:val="en-GB"/>
        </w:rPr>
      </w:pPr>
      <w:r w:rsidRPr="003902A8">
        <w:rPr>
          <w:lang w:val="en-GB"/>
        </w:rPr>
        <w:t>Baseline measures were collected on 98 per cent of participants receiving their first plan in 2016–17. These measures allow the NDIA to assess the medium and long-term benefits of the NDIS to participants, families and carers.</w:t>
      </w:r>
    </w:p>
    <w:p w14:paraId="2D9613F8" w14:textId="77777777" w:rsidR="003902A8" w:rsidRPr="003902A8" w:rsidRDefault="003902A8" w:rsidP="001E0823">
      <w:pPr>
        <w:pStyle w:val="ListBullet"/>
        <w:rPr>
          <w:lang w:val="en-GB"/>
        </w:rPr>
      </w:pPr>
      <w:r w:rsidRPr="003902A8">
        <w:rPr>
          <w:lang w:val="en-GB"/>
        </w:rPr>
        <w:t>The NDIS is supporting small business with individuals/sole traders making up 40 per cent of registered service providers.</w:t>
      </w:r>
    </w:p>
    <w:p w14:paraId="7188D5BA" w14:textId="77777777" w:rsidR="003902A8" w:rsidRPr="003902A8" w:rsidRDefault="003902A8" w:rsidP="001E0823">
      <w:pPr>
        <w:pStyle w:val="ListBullet"/>
        <w:rPr>
          <w:lang w:val="en-GB"/>
        </w:rPr>
      </w:pPr>
      <w:r w:rsidRPr="003902A8">
        <w:rPr>
          <w:lang w:val="en-GB"/>
        </w:rPr>
        <w:t>The proportion of participants who are fully or partly self-managing their plan is growing.</w:t>
      </w:r>
    </w:p>
    <w:p w14:paraId="297C2919" w14:textId="77777777" w:rsidR="003902A8" w:rsidRPr="003902A8" w:rsidRDefault="003902A8" w:rsidP="001E0823">
      <w:pPr>
        <w:pStyle w:val="ListBullet"/>
        <w:rPr>
          <w:lang w:val="en-GB"/>
        </w:rPr>
      </w:pPr>
      <w:r w:rsidRPr="003902A8">
        <w:rPr>
          <w:lang w:val="en-GB"/>
        </w:rPr>
        <w:t>The 2011 Productivity Commission estimate for the longer-term costs of the NDIS at $22 billion per annum at full Scheme remains the best estimate of a well-managed NDIS.</w:t>
      </w:r>
    </w:p>
    <w:p w14:paraId="1B41668C" w14:textId="77777777" w:rsidR="003902A8" w:rsidRPr="003902A8" w:rsidRDefault="003902A8" w:rsidP="001E0823">
      <w:pPr>
        <w:pStyle w:val="ListBullet"/>
        <w:rPr>
          <w:lang w:val="en-GB"/>
        </w:rPr>
      </w:pPr>
      <w:r w:rsidRPr="003902A8">
        <w:rPr>
          <w:lang w:val="en-GB"/>
        </w:rPr>
        <w:t>Grant agreements valued at more than $116 million were awarded to Partners in the Community to deliver LAC and ECEI.</w:t>
      </w:r>
    </w:p>
    <w:p w14:paraId="3707C0C2" w14:textId="77777777" w:rsidR="003902A8" w:rsidRPr="003902A8" w:rsidRDefault="003902A8" w:rsidP="001E0823">
      <w:pPr>
        <w:pStyle w:val="ListBullet"/>
        <w:rPr>
          <w:lang w:val="en-GB"/>
        </w:rPr>
      </w:pPr>
      <w:r w:rsidRPr="003902A8">
        <w:rPr>
          <w:lang w:val="en-GB"/>
        </w:rPr>
        <w:t>The first Information, Linkages and Capacity Building (ILC) grants were awarded on a national level and in the ACT.</w:t>
      </w:r>
    </w:p>
    <w:p w14:paraId="3F7A9949" w14:textId="701A5BC8" w:rsidR="003902A8" w:rsidRPr="003902A8" w:rsidRDefault="003902A8" w:rsidP="001E0823">
      <w:pPr>
        <w:pStyle w:val="ListBullet"/>
        <w:rPr>
          <w:lang w:val="en-GB"/>
        </w:rPr>
      </w:pPr>
      <w:r w:rsidRPr="003902A8">
        <w:rPr>
          <w:lang w:val="en-GB"/>
        </w:rPr>
        <w:t>The NDIA was recognised as the seventh most</w:t>
      </w:r>
      <w:r w:rsidR="00B81875">
        <w:rPr>
          <w:lang w:val="en-GB"/>
        </w:rPr>
        <w:t xml:space="preserve"> appealing Australian Employer </w:t>
      </w:r>
      <w:r w:rsidRPr="003902A8">
        <w:rPr>
          <w:lang w:val="en-GB"/>
        </w:rPr>
        <w:t xml:space="preserve">of Choice </w:t>
      </w:r>
      <w:r w:rsidR="00B81875">
        <w:rPr>
          <w:lang w:val="en-GB"/>
        </w:rPr>
        <w:t xml:space="preserve">out of a pool of 150 employers </w:t>
      </w:r>
      <w:r w:rsidRPr="003902A8">
        <w:rPr>
          <w:lang w:val="en-GB"/>
        </w:rPr>
        <w:t>at the Randstad Awards.</w:t>
      </w:r>
    </w:p>
    <w:p w14:paraId="5D5751F2" w14:textId="77777777" w:rsidR="003902A8" w:rsidRPr="003902A8" w:rsidRDefault="003902A8" w:rsidP="001E0823">
      <w:pPr>
        <w:pStyle w:val="ListBullet"/>
        <w:rPr>
          <w:lang w:val="en-GB"/>
        </w:rPr>
      </w:pPr>
      <w:r w:rsidRPr="003902A8">
        <w:rPr>
          <w:lang w:val="en-GB"/>
        </w:rPr>
        <w:t>A new Board and new Chairman were appointed on 1 January 2017.</w:t>
      </w:r>
    </w:p>
    <w:p w14:paraId="79EF953D" w14:textId="77777777" w:rsidR="003902A8" w:rsidRPr="003902A8" w:rsidRDefault="003902A8" w:rsidP="001E0823">
      <w:pPr>
        <w:pStyle w:val="ListBullet"/>
        <w:rPr>
          <w:lang w:val="en-GB"/>
        </w:rPr>
      </w:pPr>
      <w:r w:rsidRPr="003902A8">
        <w:rPr>
          <w:lang w:val="en-GB"/>
        </w:rPr>
        <w:t>An Agreement of Lease was signed for a new NDIA National Office building in Geelong.</w:t>
      </w:r>
    </w:p>
    <w:p w14:paraId="773D4DAD" w14:textId="77777777" w:rsidR="003902A8" w:rsidRPr="003902A8" w:rsidRDefault="003902A8" w:rsidP="001E0823">
      <w:pPr>
        <w:pStyle w:val="ListBullet"/>
        <w:rPr>
          <w:lang w:val="en-GB"/>
        </w:rPr>
      </w:pPr>
      <w:r w:rsidRPr="003902A8">
        <w:rPr>
          <w:lang w:val="en-GB"/>
        </w:rPr>
        <w:t>Eight information sessions in partnership with Members of Federal Parliament were hosted, with more than 700 people in attendance.</w:t>
      </w:r>
    </w:p>
    <w:p w14:paraId="05D9E441" w14:textId="77777777" w:rsidR="003902A8" w:rsidRPr="003902A8" w:rsidRDefault="003902A8" w:rsidP="001E0823">
      <w:pPr>
        <w:pStyle w:val="ListBullet"/>
        <w:rPr>
          <w:lang w:val="en-GB"/>
        </w:rPr>
      </w:pPr>
      <w:r w:rsidRPr="003902A8">
        <w:rPr>
          <w:lang w:val="en-GB"/>
        </w:rPr>
        <w:t>A major focus was placed on community engagement through hundreds of events and information sessions, along with the launch of NDIS TV and interactive webinars.</w:t>
      </w:r>
    </w:p>
    <w:p w14:paraId="1281C3F5" w14:textId="77777777" w:rsidR="003B7FF5" w:rsidRDefault="003B7FF5" w:rsidP="001E0823">
      <w:pPr>
        <w:rPr>
          <w:rFonts w:eastAsiaTheme="majorEastAsia" w:cstheme="majorBidi"/>
          <w:sz w:val="28"/>
        </w:rPr>
      </w:pPr>
      <w:r>
        <w:br w:type="page"/>
      </w:r>
    </w:p>
    <w:p w14:paraId="525C9170" w14:textId="6839F53B" w:rsidR="005A4B7A" w:rsidRDefault="005A4B7A" w:rsidP="001E0823">
      <w:pPr>
        <w:pStyle w:val="Heading3"/>
      </w:pPr>
      <w:r>
        <w:lastRenderedPageBreak/>
        <w:t>Challenges</w:t>
      </w:r>
    </w:p>
    <w:p w14:paraId="444456F2" w14:textId="77777777" w:rsidR="005A4B7A" w:rsidRDefault="005A4B7A" w:rsidP="001E0823">
      <w:pPr>
        <w:pStyle w:val="BodyText"/>
      </w:pPr>
      <w:r>
        <w:t xml:space="preserve">The commencement of transition to full Scheme commenced on 1 July 2016, and the NDIA has acknowledged that it experienced significant difficulties in the implementation of a new Information and Communication Technology (ICT) system for participants and providers, the myplace portal. </w:t>
      </w:r>
    </w:p>
    <w:p w14:paraId="0CC852EA" w14:textId="77777777" w:rsidR="005A4B7A" w:rsidRDefault="005A4B7A" w:rsidP="001E0823">
      <w:pPr>
        <w:pStyle w:val="BodyText"/>
      </w:pPr>
      <w:r>
        <w:t>Whilst a range of system enhancements and increased support for portal users largely resolved these early portal issues, this impacted the Agency’s ability to roll out the NDIS in accordance with the pace of participant intake in Bilateral Agreements.</w:t>
      </w:r>
    </w:p>
    <w:p w14:paraId="7C219C0B" w14:textId="77777777" w:rsidR="005A4B7A" w:rsidRDefault="005A4B7A" w:rsidP="001E0823">
      <w:pPr>
        <w:pStyle w:val="BodyText"/>
      </w:pPr>
      <w:r>
        <w:t>The NDIA, working with the Commonwealth and all state and territory governments, implemented a recovery plan and by the 30 June 2017, the cumulative total number of participants receiving support through an NDIS plan or ECEI was 96,772, representing 83 per cent of the bilateral estimates.</w:t>
      </w:r>
    </w:p>
    <w:p w14:paraId="306C4550" w14:textId="77777777" w:rsidR="005A4B7A" w:rsidRDefault="005A4B7A" w:rsidP="001E0823">
      <w:pPr>
        <w:pStyle w:val="BodyText"/>
      </w:pPr>
      <w:r>
        <w:t>Through the resolution of these significant difficulties, it has become clear that the Agency has been unable to deliver the superior service to which it aspires and that participants require. Greater use of the telephone to create participant plans has not delivered the outcomes-focus the NDIS requires and participant satisfaction declined during the first year of transition (reported participant satisfaction however continues to be high at between 84 and 88 per cent for 2016-17).</w:t>
      </w:r>
    </w:p>
    <w:p w14:paraId="44ABD685" w14:textId="77777777" w:rsidR="005A4B7A" w:rsidRDefault="005A4B7A" w:rsidP="001E0823">
      <w:pPr>
        <w:pStyle w:val="BodyText"/>
      </w:pPr>
      <w:r>
        <w:t>The Agency also identified a number of emerging cost pressures that require ongoing monitoring:</w:t>
      </w:r>
    </w:p>
    <w:p w14:paraId="0F517899" w14:textId="77777777" w:rsidR="005A4B7A" w:rsidRDefault="005A4B7A" w:rsidP="001E0823">
      <w:pPr>
        <w:pStyle w:val="ListBullet"/>
      </w:pPr>
      <w:r>
        <w:t>higher than expected numbers of individuals approaching the Scheme;</w:t>
      </w:r>
    </w:p>
    <w:p w14:paraId="438C359C" w14:textId="77777777" w:rsidR="005A4B7A" w:rsidRDefault="005A4B7A" w:rsidP="001E0823">
      <w:pPr>
        <w:pStyle w:val="ListBullet"/>
      </w:pPr>
      <w:r>
        <w:t>higher than expected numbers of children entering the Scheme;</w:t>
      </w:r>
    </w:p>
    <w:p w14:paraId="74F18C11" w14:textId="77777777" w:rsidR="005A4B7A" w:rsidRDefault="005A4B7A" w:rsidP="001E0823">
      <w:pPr>
        <w:pStyle w:val="ListBullet"/>
      </w:pPr>
      <w:r>
        <w:t>lower than expected participants exiting the Scheme;</w:t>
      </w:r>
    </w:p>
    <w:p w14:paraId="719765AE" w14:textId="77777777" w:rsidR="005A4B7A" w:rsidRDefault="005A4B7A" w:rsidP="001E0823">
      <w:pPr>
        <w:pStyle w:val="ListBullet"/>
      </w:pPr>
      <w:r>
        <w:t>increasing package costs over and above the impacts of inflation and ageing;</w:t>
      </w:r>
    </w:p>
    <w:p w14:paraId="5824A7A4" w14:textId="77777777" w:rsidR="005A4B7A" w:rsidRDefault="005A4B7A" w:rsidP="001E0823">
      <w:pPr>
        <w:pStyle w:val="ListBullet"/>
      </w:pPr>
      <w:r>
        <w:t>a mismatch between benchmark package costs and actual committed support; and</w:t>
      </w:r>
    </w:p>
    <w:p w14:paraId="632F0FF4" w14:textId="6E4FC77D" w:rsidR="005A4B7A" w:rsidRDefault="005A4B7A" w:rsidP="001E0823">
      <w:pPr>
        <w:pStyle w:val="ListBullet"/>
      </w:pPr>
      <w:r>
        <w:t>inadequately defined boundaries between the NDIS and other mainstream supports, particularly in the area of mental health.</w:t>
      </w:r>
    </w:p>
    <w:p w14:paraId="1F83FDB3" w14:textId="77777777" w:rsidR="005A4B7A" w:rsidRDefault="005A4B7A" w:rsidP="001E0823">
      <w:pPr>
        <w:pStyle w:val="Heading3"/>
      </w:pPr>
      <w:r>
        <w:t>Future priorities</w:t>
      </w:r>
    </w:p>
    <w:p w14:paraId="25A891BF" w14:textId="77777777" w:rsidR="005A4B7A" w:rsidRDefault="005A4B7A" w:rsidP="001E0823">
      <w:pPr>
        <w:pStyle w:val="BodyText"/>
      </w:pPr>
      <w:r>
        <w:t>The future priorities for the Agency will be:</w:t>
      </w:r>
    </w:p>
    <w:p w14:paraId="4EEC1E6F" w14:textId="77777777" w:rsidR="005A4B7A" w:rsidRDefault="005A4B7A" w:rsidP="001E0823">
      <w:pPr>
        <w:pStyle w:val="ListBullet"/>
      </w:pPr>
      <w:r>
        <w:t xml:space="preserve">ensuring quality outcomes and improved participant experiences; </w:t>
      </w:r>
    </w:p>
    <w:p w14:paraId="53585E31" w14:textId="77777777" w:rsidR="005A4B7A" w:rsidRDefault="005A4B7A" w:rsidP="001E0823">
      <w:pPr>
        <w:pStyle w:val="ListBullet"/>
      </w:pPr>
      <w:r>
        <w:t>building and refining systems and processes to support a nationally-consistent, high-quality approach to Scheme access, and the planning and funding of participant supports working with, and learning from Partners;</w:t>
      </w:r>
    </w:p>
    <w:p w14:paraId="00225DCA" w14:textId="2260FBCF" w:rsidR="005A4B7A" w:rsidRDefault="005A4B7A" w:rsidP="001E0823">
      <w:pPr>
        <w:pStyle w:val="ListBullet"/>
      </w:pPr>
      <w:r>
        <w:t>supporting the development of a disability market of adequate size and quality, inclu</w:t>
      </w:r>
      <w:r w:rsidR="007421D4">
        <w:t xml:space="preserve">ding the potential development </w:t>
      </w:r>
      <w:r>
        <w:t>of an e-Market ecosystem;</w:t>
      </w:r>
    </w:p>
    <w:p w14:paraId="4174B5A5" w14:textId="784A492B" w:rsidR="005A4B7A" w:rsidRDefault="005A4B7A" w:rsidP="001E0823">
      <w:pPr>
        <w:pStyle w:val="ListBullet"/>
      </w:pPr>
      <w:r>
        <w:t>scaling</w:t>
      </w:r>
      <w:r w:rsidR="007421D4">
        <w:t xml:space="preserve"> from administering the Scheme </w:t>
      </w:r>
      <w:r>
        <w:t>to mo</w:t>
      </w:r>
      <w:r w:rsidR="007421D4">
        <w:t xml:space="preserve">re than 96,000 participants to </w:t>
      </w:r>
      <w:r>
        <w:t>an ex</w:t>
      </w:r>
      <w:r w:rsidR="007421D4">
        <w:t xml:space="preserve">pected 460,000 participants at </w:t>
      </w:r>
      <w:r>
        <w:t>full Scheme;</w:t>
      </w:r>
    </w:p>
    <w:p w14:paraId="35695BAD" w14:textId="0C4152C9" w:rsidR="005A4B7A" w:rsidRDefault="005A4B7A" w:rsidP="001E0823">
      <w:pPr>
        <w:pStyle w:val="ListBullet"/>
      </w:pPr>
      <w:r>
        <w:t>delivering the NDIS within the agreed funding, and monitoring and managin</w:t>
      </w:r>
      <w:r w:rsidR="007421D4">
        <w:t xml:space="preserve">g pressures on the total future cost </w:t>
      </w:r>
      <w:r>
        <w:t>of the Scheme; and</w:t>
      </w:r>
    </w:p>
    <w:p w14:paraId="25EED0D1" w14:textId="77777777" w:rsidR="005A4B7A" w:rsidRDefault="005A4B7A" w:rsidP="001E0823">
      <w:pPr>
        <w:pStyle w:val="ListBullet"/>
      </w:pPr>
      <w:r>
        <w:t>establishing approximately 100 service delivery sites nationally, and significantly growing the Agency and Partners in the Community workforce.</w:t>
      </w:r>
    </w:p>
    <w:p w14:paraId="02B536DF" w14:textId="77777777" w:rsidR="003B7FF5" w:rsidRDefault="003B7FF5" w:rsidP="001E0823">
      <w:pPr>
        <w:rPr>
          <w:rFonts w:eastAsiaTheme="majorEastAsia" w:cstheme="majorBidi"/>
          <w:sz w:val="28"/>
        </w:rPr>
      </w:pPr>
      <w:r>
        <w:br w:type="page"/>
      </w:r>
    </w:p>
    <w:p w14:paraId="363F4C7F" w14:textId="1A77D864" w:rsidR="000F4306" w:rsidRDefault="000F4306" w:rsidP="001E0823">
      <w:pPr>
        <w:pStyle w:val="Heading3"/>
      </w:pPr>
      <w:r>
        <w:lastRenderedPageBreak/>
        <w:t>Australian Capital Territory</w:t>
      </w:r>
    </w:p>
    <w:p w14:paraId="35667B21" w14:textId="39CE54F5" w:rsidR="000F4306" w:rsidRDefault="000F4306" w:rsidP="001E0823">
      <w:pPr>
        <w:pStyle w:val="Intro"/>
      </w:pPr>
      <w:r>
        <w:t>The ACT is the first state or territory to fully transition all state clients to the NDIS.</w:t>
      </w:r>
    </w:p>
    <w:p w14:paraId="378E7668" w14:textId="3AA6933C" w:rsidR="000F4306" w:rsidRDefault="000F4306" w:rsidP="001E0823">
      <w:pPr>
        <w:pStyle w:val="BodyText"/>
      </w:pPr>
      <w:r>
        <w:t xml:space="preserve">The rollout of the NDIS in the ACT is in line with bilateral estimates for 30 June 2017. </w:t>
      </w:r>
    </w:p>
    <w:p w14:paraId="236B47B4" w14:textId="0A30654F" w:rsidR="000F4306" w:rsidRPr="003B7FF5" w:rsidRDefault="000F4306" w:rsidP="001E0823">
      <w:pPr>
        <w:pStyle w:val="Heading4"/>
      </w:pPr>
      <w:r w:rsidRPr="003B7FF5">
        <w:t>Participants with an approved NDIS plan</w:t>
      </w:r>
      <w:r w:rsidR="00432AC9">
        <w:t xml:space="preserve"> - ACT</w:t>
      </w:r>
    </w:p>
    <w:tbl>
      <w:tblPr>
        <w:tblStyle w:val="TableGrid"/>
        <w:tblW w:w="0" w:type="auto"/>
        <w:tblLook w:val="04A0" w:firstRow="1" w:lastRow="0" w:firstColumn="1" w:lastColumn="0" w:noHBand="0" w:noVBand="1"/>
        <w:tblDescription w:val="Participants with an approved NDIS plan - ACT"/>
      </w:tblPr>
      <w:tblGrid>
        <w:gridCol w:w="4799"/>
        <w:gridCol w:w="4829"/>
      </w:tblGrid>
      <w:tr w:rsidR="000F4306" w14:paraId="64B72E07" w14:textId="77777777" w:rsidTr="009732FD">
        <w:trPr>
          <w:tblHeader/>
        </w:trPr>
        <w:tc>
          <w:tcPr>
            <w:tcW w:w="5094" w:type="dxa"/>
            <w:shd w:val="clear" w:color="auto" w:fill="6B2976" w:themeFill="background2"/>
          </w:tcPr>
          <w:p w14:paraId="35144EFE" w14:textId="57273769" w:rsidR="000F4306" w:rsidRPr="00B86A86" w:rsidRDefault="000F4306" w:rsidP="001E0823">
            <w:pPr>
              <w:pStyle w:val="TableTitle"/>
            </w:pPr>
            <w:bookmarkStart w:id="14" w:name="ColumnTitle_ACTParticipants"/>
            <w:r w:rsidRPr="00B86A86">
              <w:t>At end of trial (30 June 2016)</w:t>
            </w:r>
          </w:p>
        </w:tc>
        <w:tc>
          <w:tcPr>
            <w:tcW w:w="5094" w:type="dxa"/>
            <w:shd w:val="clear" w:color="auto" w:fill="6B2976" w:themeFill="background2"/>
          </w:tcPr>
          <w:p w14:paraId="67272B5B" w14:textId="1C9AE5CA" w:rsidR="000F4306" w:rsidRPr="00B86A86" w:rsidRDefault="00B86A86" w:rsidP="001E0823">
            <w:pPr>
              <w:pStyle w:val="TableTitle"/>
            </w:pPr>
            <w:r w:rsidRPr="00B86A86">
              <w:t>At 30 June 2017 (including ECEI)</w:t>
            </w:r>
          </w:p>
        </w:tc>
      </w:tr>
      <w:bookmarkEnd w:id="14"/>
      <w:tr w:rsidR="00B86A86" w14:paraId="40424829" w14:textId="77777777" w:rsidTr="000F4306">
        <w:tc>
          <w:tcPr>
            <w:tcW w:w="5094" w:type="dxa"/>
          </w:tcPr>
          <w:p w14:paraId="626DB8EE" w14:textId="68BBABDE" w:rsidR="00B86A86" w:rsidRDefault="00B86A86" w:rsidP="001E0823">
            <w:pPr>
              <w:pStyle w:val="BodyText"/>
              <w:rPr>
                <w:rStyle w:val="BodyTextBold"/>
              </w:rPr>
            </w:pPr>
            <w:r>
              <w:t>4,098</w:t>
            </w:r>
          </w:p>
        </w:tc>
        <w:tc>
          <w:tcPr>
            <w:tcW w:w="5094" w:type="dxa"/>
          </w:tcPr>
          <w:p w14:paraId="265C5C01" w14:textId="02BD54B8" w:rsidR="00B86A86" w:rsidRDefault="00B86A86" w:rsidP="001E0823">
            <w:pPr>
              <w:pStyle w:val="BodyText"/>
              <w:rPr>
                <w:rStyle w:val="BodyTextBold"/>
              </w:rPr>
            </w:pPr>
            <w:r>
              <w:t>6,047 (119 per cent of bilateral estimate)</w:t>
            </w:r>
          </w:p>
        </w:tc>
      </w:tr>
    </w:tbl>
    <w:p w14:paraId="499EC28B" w14:textId="77777777" w:rsidR="00B86A86" w:rsidRPr="003B7FF5" w:rsidRDefault="00B86A86" w:rsidP="001E0823">
      <w:pPr>
        <w:pStyle w:val="Heading4"/>
      </w:pPr>
      <w:r w:rsidRPr="003B7FF5">
        <w:t>Total payments to participants</w:t>
      </w:r>
    </w:p>
    <w:p w14:paraId="6A9A232A" w14:textId="5CBFA003" w:rsidR="00B86A86" w:rsidRPr="00B86A86" w:rsidRDefault="00B86A86" w:rsidP="001E0823">
      <w:pPr>
        <w:pStyle w:val="BodyText"/>
        <w:rPr>
          <w:lang w:val="en-GB"/>
        </w:rPr>
      </w:pPr>
      <w:r w:rsidRPr="00B86A86">
        <w:rPr>
          <w:lang w:val="en-GB"/>
        </w:rPr>
        <w:t>At 30 June 2017 a total of $583.6 million had been co</w:t>
      </w:r>
      <w:r>
        <w:rPr>
          <w:lang w:val="en-GB"/>
        </w:rPr>
        <w:t xml:space="preserve">mmitted since Scheme inception </w:t>
      </w:r>
      <w:r w:rsidRPr="00B86A86">
        <w:rPr>
          <w:lang w:val="en-GB"/>
        </w:rPr>
        <w:t>to participants in the ACT.</w:t>
      </w:r>
      <w:r>
        <w:rPr>
          <w:rStyle w:val="FootnoteReference"/>
          <w:lang w:val="en-GB"/>
        </w:rPr>
        <w:footnoteReference w:id="1"/>
      </w:r>
    </w:p>
    <w:p w14:paraId="3643E5D7" w14:textId="77777777" w:rsidR="00B86A86" w:rsidRPr="003B7FF5" w:rsidRDefault="00B86A86" w:rsidP="001E0823">
      <w:pPr>
        <w:pStyle w:val="Heading4"/>
      </w:pPr>
      <w:r w:rsidRPr="003B7FF5">
        <w:t>Providers</w:t>
      </w:r>
    </w:p>
    <w:p w14:paraId="65D52BF1" w14:textId="77777777" w:rsidR="00B86A86" w:rsidRPr="00B86A86" w:rsidRDefault="00B86A86" w:rsidP="001E0823">
      <w:pPr>
        <w:pStyle w:val="BodyText"/>
        <w:rPr>
          <w:lang w:val="en-GB"/>
        </w:rPr>
      </w:pPr>
      <w:r w:rsidRPr="00B86A86">
        <w:rPr>
          <w:lang w:val="en-GB"/>
        </w:rPr>
        <w:t>In 2016-17 registered providers operating in the ACT increased from 261 to 814.</w:t>
      </w:r>
    </w:p>
    <w:p w14:paraId="3E03974A" w14:textId="7DAB4ECD" w:rsidR="00B86A86" w:rsidRPr="003B7FF5" w:rsidRDefault="00B86A86" w:rsidP="001E0823">
      <w:pPr>
        <w:pStyle w:val="Heading4"/>
      </w:pPr>
      <w:r w:rsidRPr="003B7FF5">
        <w:t>Partners in the Community</w:t>
      </w:r>
      <w:r w:rsidR="00432AC9">
        <w:t xml:space="preserve"> - ACT</w:t>
      </w:r>
    </w:p>
    <w:tbl>
      <w:tblPr>
        <w:tblStyle w:val="TableGrid"/>
        <w:tblW w:w="0" w:type="auto"/>
        <w:tblLook w:val="04A0" w:firstRow="1" w:lastRow="0" w:firstColumn="1" w:lastColumn="0" w:noHBand="0" w:noVBand="1"/>
        <w:tblDescription w:val="Partners in the Community - ACT"/>
      </w:tblPr>
      <w:tblGrid>
        <w:gridCol w:w="2376"/>
        <w:gridCol w:w="2249"/>
        <w:gridCol w:w="2492"/>
        <w:gridCol w:w="2511"/>
      </w:tblGrid>
      <w:tr w:rsidR="00B86A86" w:rsidRPr="00B86A86" w14:paraId="4B0BEA7D" w14:textId="77777777" w:rsidTr="009732FD">
        <w:trPr>
          <w:tblHeader/>
        </w:trPr>
        <w:tc>
          <w:tcPr>
            <w:tcW w:w="2519" w:type="dxa"/>
            <w:shd w:val="clear" w:color="auto" w:fill="6B2976" w:themeFill="background2"/>
          </w:tcPr>
          <w:p w14:paraId="0278F783" w14:textId="2ADEECBD" w:rsidR="00B86A86" w:rsidRPr="00B86A86" w:rsidRDefault="00B86A86" w:rsidP="001E0823">
            <w:pPr>
              <w:pStyle w:val="TableTitle"/>
            </w:pPr>
            <w:bookmarkStart w:id="15" w:name="ColumnTitle_ACTPartners"/>
            <w:r w:rsidRPr="00B86A86">
              <w:t>Partner</w:t>
            </w:r>
          </w:p>
        </w:tc>
        <w:tc>
          <w:tcPr>
            <w:tcW w:w="2379" w:type="dxa"/>
            <w:shd w:val="clear" w:color="auto" w:fill="6B2976" w:themeFill="background2"/>
          </w:tcPr>
          <w:p w14:paraId="52A157B6" w14:textId="452CD1F2" w:rsidR="00B86A86" w:rsidRPr="00B86A86" w:rsidRDefault="00B86A86" w:rsidP="001E0823">
            <w:pPr>
              <w:pStyle w:val="TableTitle"/>
            </w:pPr>
            <w:r w:rsidRPr="00B86A86">
              <w:t>Service area</w:t>
            </w:r>
          </w:p>
        </w:tc>
        <w:tc>
          <w:tcPr>
            <w:tcW w:w="2645" w:type="dxa"/>
            <w:shd w:val="clear" w:color="auto" w:fill="6B2976" w:themeFill="background2"/>
          </w:tcPr>
          <w:p w14:paraId="00A78262" w14:textId="637F0F19" w:rsidR="00B86A86" w:rsidRPr="00B86A86" w:rsidRDefault="00B86A86" w:rsidP="001E0823">
            <w:pPr>
              <w:pStyle w:val="TableTitle"/>
            </w:pPr>
            <w:r w:rsidRPr="00B86A86">
              <w:t>Activity start date</w:t>
            </w:r>
          </w:p>
        </w:tc>
        <w:tc>
          <w:tcPr>
            <w:tcW w:w="2645" w:type="dxa"/>
            <w:shd w:val="clear" w:color="auto" w:fill="6B2976" w:themeFill="background2"/>
          </w:tcPr>
          <w:p w14:paraId="75BC1203" w14:textId="1C731849" w:rsidR="00B86A86" w:rsidRPr="00B86A86" w:rsidRDefault="00B86A86" w:rsidP="001E0823">
            <w:pPr>
              <w:pStyle w:val="TableTitle"/>
            </w:pPr>
            <w:r w:rsidRPr="00B86A86">
              <w:t>ECEI/LAC services</w:t>
            </w:r>
          </w:p>
        </w:tc>
      </w:tr>
      <w:bookmarkEnd w:id="15"/>
      <w:tr w:rsidR="00B86A86" w14:paraId="6501897E" w14:textId="77777777" w:rsidTr="00B86A86">
        <w:tc>
          <w:tcPr>
            <w:tcW w:w="2519" w:type="dxa"/>
          </w:tcPr>
          <w:p w14:paraId="232F8F75" w14:textId="6C96D74F" w:rsidR="00B86A86" w:rsidRDefault="00B86A86" w:rsidP="001E0823">
            <w:pPr>
              <w:pStyle w:val="BodyText"/>
              <w:rPr>
                <w:rStyle w:val="BodyTextBold"/>
              </w:rPr>
            </w:pPr>
            <w:r>
              <w:t>Feros Care</w:t>
            </w:r>
          </w:p>
        </w:tc>
        <w:tc>
          <w:tcPr>
            <w:tcW w:w="2379" w:type="dxa"/>
          </w:tcPr>
          <w:p w14:paraId="5754F77F" w14:textId="71CEDA4C" w:rsidR="00B86A86" w:rsidRDefault="00B86A86" w:rsidP="001E0823">
            <w:pPr>
              <w:pStyle w:val="BodyText"/>
            </w:pPr>
            <w:r>
              <w:t>ACT</w:t>
            </w:r>
          </w:p>
        </w:tc>
        <w:tc>
          <w:tcPr>
            <w:tcW w:w="2645" w:type="dxa"/>
          </w:tcPr>
          <w:p w14:paraId="2FB58B24" w14:textId="27998554" w:rsidR="00B86A86" w:rsidRDefault="00B86A86" w:rsidP="001E0823">
            <w:pPr>
              <w:pStyle w:val="BodyText"/>
              <w:rPr>
                <w:rStyle w:val="BodyTextBold"/>
              </w:rPr>
            </w:pPr>
            <w:r>
              <w:t>Feb 2017</w:t>
            </w:r>
          </w:p>
        </w:tc>
        <w:tc>
          <w:tcPr>
            <w:tcW w:w="2645" w:type="dxa"/>
          </w:tcPr>
          <w:p w14:paraId="729F515E" w14:textId="479CBAC3" w:rsidR="00B86A86" w:rsidRDefault="00B86A86" w:rsidP="001E0823">
            <w:pPr>
              <w:pStyle w:val="BodyText"/>
              <w:rPr>
                <w:rStyle w:val="BodyTextBold"/>
              </w:rPr>
            </w:pPr>
            <w:r>
              <w:t>LAC</w:t>
            </w:r>
          </w:p>
        </w:tc>
      </w:tr>
      <w:tr w:rsidR="00B86A86" w14:paraId="143FB16C" w14:textId="77777777" w:rsidTr="00B86A86">
        <w:tc>
          <w:tcPr>
            <w:tcW w:w="2519" w:type="dxa"/>
          </w:tcPr>
          <w:p w14:paraId="54C6ED2C" w14:textId="62B59D1C" w:rsidR="00B86A86" w:rsidRDefault="00B86A86" w:rsidP="001E0823">
            <w:pPr>
              <w:pStyle w:val="BodyText"/>
            </w:pPr>
            <w:r>
              <w:t>EACH</w:t>
            </w:r>
          </w:p>
        </w:tc>
        <w:tc>
          <w:tcPr>
            <w:tcW w:w="2379" w:type="dxa"/>
          </w:tcPr>
          <w:p w14:paraId="4AAA818A" w14:textId="6C5925F1" w:rsidR="00B86A86" w:rsidRDefault="00B86A86" w:rsidP="001E0823">
            <w:pPr>
              <w:pStyle w:val="BodyText"/>
            </w:pPr>
            <w:r>
              <w:t>ACT</w:t>
            </w:r>
          </w:p>
        </w:tc>
        <w:tc>
          <w:tcPr>
            <w:tcW w:w="2645" w:type="dxa"/>
          </w:tcPr>
          <w:p w14:paraId="55BC7E2C" w14:textId="33118889" w:rsidR="00B86A86" w:rsidRDefault="00B86A86" w:rsidP="001E0823">
            <w:pPr>
              <w:pStyle w:val="BodyText"/>
            </w:pPr>
            <w:r>
              <w:t>Feb 2017</w:t>
            </w:r>
          </w:p>
        </w:tc>
        <w:tc>
          <w:tcPr>
            <w:tcW w:w="2645" w:type="dxa"/>
          </w:tcPr>
          <w:p w14:paraId="6E858B58" w14:textId="42AFBE85" w:rsidR="00B86A86" w:rsidRDefault="00B86A86" w:rsidP="001E0823">
            <w:pPr>
              <w:pStyle w:val="BodyText"/>
            </w:pPr>
            <w:r>
              <w:t>ECEI</w:t>
            </w:r>
          </w:p>
        </w:tc>
      </w:tr>
    </w:tbl>
    <w:p w14:paraId="1BA83893" w14:textId="77777777" w:rsidR="00DB66D1" w:rsidRPr="00DB66D1" w:rsidRDefault="00DB66D1" w:rsidP="001E0823">
      <w:pPr>
        <w:pStyle w:val="Heading4"/>
        <w:rPr>
          <w:lang w:val="en-GB"/>
        </w:rPr>
      </w:pPr>
      <w:r w:rsidRPr="00DB66D1">
        <w:rPr>
          <w:lang w:val="en-GB"/>
        </w:rPr>
        <w:t>Rollout to date</w:t>
      </w:r>
    </w:p>
    <w:p w14:paraId="1F8F11AE" w14:textId="77777777" w:rsidR="00DB66D1" w:rsidRPr="00DB66D1" w:rsidRDefault="00DB66D1" w:rsidP="001E0823">
      <w:pPr>
        <w:pStyle w:val="BodyText"/>
        <w:rPr>
          <w:lang w:val="en-GB"/>
        </w:rPr>
      </w:pPr>
      <w:r w:rsidRPr="00DB66D1">
        <w:rPr>
          <w:lang w:val="en-GB"/>
        </w:rPr>
        <w:t xml:space="preserve">From July 2014 the NDIS rollout commenced in the ACT by age group. All eligible individuals are now able to apply for access to the NDIS. </w:t>
      </w:r>
    </w:p>
    <w:p w14:paraId="427C494B" w14:textId="77777777" w:rsidR="00DB66D1" w:rsidRDefault="00DB66D1" w:rsidP="001E0823">
      <w:pPr>
        <w:rPr>
          <w:rFonts w:eastAsiaTheme="majorEastAsia" w:cstheme="majorBidi"/>
          <w:sz w:val="28"/>
          <w:lang w:val="en-GB"/>
        </w:rPr>
      </w:pPr>
      <w:r>
        <w:rPr>
          <w:lang w:val="en-GB"/>
        </w:rPr>
        <w:br w:type="page"/>
      </w:r>
    </w:p>
    <w:p w14:paraId="4EA6157B" w14:textId="70BA9F40" w:rsidR="00DB66D1" w:rsidRPr="00DB66D1" w:rsidRDefault="00DB66D1" w:rsidP="001E0823">
      <w:pPr>
        <w:pStyle w:val="Heading4"/>
        <w:rPr>
          <w:lang w:val="en-GB"/>
        </w:rPr>
      </w:pPr>
      <w:r w:rsidRPr="00DB66D1">
        <w:rPr>
          <w:lang w:val="en-GB"/>
        </w:rPr>
        <w:lastRenderedPageBreak/>
        <w:t>2016-17 in review</w:t>
      </w:r>
    </w:p>
    <w:p w14:paraId="5492DE48" w14:textId="77777777" w:rsidR="00DB66D1" w:rsidRPr="00DB66D1" w:rsidRDefault="00DB66D1" w:rsidP="001E0823">
      <w:pPr>
        <w:pStyle w:val="ListBullet"/>
        <w:rPr>
          <w:lang w:val="en-GB"/>
        </w:rPr>
      </w:pPr>
      <w:r w:rsidRPr="00DB66D1">
        <w:rPr>
          <w:lang w:val="en-GB"/>
        </w:rPr>
        <w:t>The ACT marked a significant milestone in September 2016 with the 5,000th participant receiving their NDIS plan. A local mother of two, Wahibe, received her plan from former Chairman Bruce Bonyhady AM and Assistant Minister for Social and Disability Services, the Hon Jane Prentice MP, in a special event at the Braddon office.</w:t>
      </w:r>
    </w:p>
    <w:p w14:paraId="21665EC1" w14:textId="77777777" w:rsidR="00DB66D1" w:rsidRPr="00DB66D1" w:rsidRDefault="00DB66D1" w:rsidP="001E0823">
      <w:pPr>
        <w:pStyle w:val="ListBullet"/>
        <w:rPr>
          <w:lang w:val="en-GB"/>
        </w:rPr>
      </w:pPr>
      <w:r w:rsidRPr="00DB66D1">
        <w:rPr>
          <w:lang w:val="en-GB"/>
        </w:rPr>
        <w:t xml:space="preserve">The ACT was the first jurisdiction to receive ILC Grants. Twenty-two grants totalling close to $3 million were awarded. </w:t>
      </w:r>
    </w:p>
    <w:p w14:paraId="6F4DC97C" w14:textId="77777777" w:rsidR="00DB66D1" w:rsidRPr="00DB66D1" w:rsidRDefault="00DB66D1" w:rsidP="001E0823">
      <w:pPr>
        <w:pStyle w:val="ListBullet"/>
        <w:rPr>
          <w:lang w:val="en-GB"/>
        </w:rPr>
      </w:pPr>
      <w:r w:rsidRPr="00DB66D1">
        <w:rPr>
          <w:lang w:val="en-GB"/>
        </w:rPr>
        <w:t xml:space="preserve">The ACT became one of the first areas to implement new School Leaver Employment Supports (SLES) funding. SLES offers individualised support when a participant finishes Year 12 to help them get ready for work and plan their pathway to employment. </w:t>
      </w:r>
    </w:p>
    <w:p w14:paraId="16377CCE" w14:textId="77777777" w:rsidR="00DB66D1" w:rsidRPr="00DB66D1" w:rsidRDefault="00DB66D1" w:rsidP="001E0823">
      <w:pPr>
        <w:pStyle w:val="ListBullet"/>
        <w:rPr>
          <w:lang w:val="en-GB"/>
        </w:rPr>
      </w:pPr>
      <w:r w:rsidRPr="00DB66D1">
        <w:rPr>
          <w:lang w:val="en-GB"/>
        </w:rPr>
        <w:t xml:space="preserve">Two new Partners in the Community commenced in the ACT during 2016-17 to provide additional capability for planning and community capacity building. </w:t>
      </w:r>
    </w:p>
    <w:p w14:paraId="69BBADE5" w14:textId="77777777" w:rsidR="00DB66D1" w:rsidRPr="00DB66D1" w:rsidRDefault="00DB66D1" w:rsidP="001E0823">
      <w:pPr>
        <w:pStyle w:val="ListBullet"/>
        <w:rPr>
          <w:lang w:val="en-GB"/>
        </w:rPr>
      </w:pPr>
      <w:r w:rsidRPr="00DB66D1">
        <w:rPr>
          <w:lang w:val="en-GB"/>
        </w:rPr>
        <w:t>The ACT has the highest rate of self-management with 38 per cent of participants self-managing all or part of their NDIS plan.</w:t>
      </w:r>
    </w:p>
    <w:p w14:paraId="6476FD56" w14:textId="77777777" w:rsidR="00DB66D1" w:rsidRPr="00DB66D1" w:rsidRDefault="00DB66D1" w:rsidP="001E0823">
      <w:pPr>
        <w:pStyle w:val="Heading4"/>
        <w:rPr>
          <w:lang w:val="en-GB"/>
        </w:rPr>
      </w:pPr>
      <w:r w:rsidRPr="00DB66D1">
        <w:rPr>
          <w:lang w:val="en-GB"/>
        </w:rPr>
        <w:t>2017-18 priorities</w:t>
      </w:r>
    </w:p>
    <w:p w14:paraId="43E1BAC3" w14:textId="62924B8B" w:rsidR="00626FDE" w:rsidRDefault="00DB66D1" w:rsidP="001E0823">
      <w:pPr>
        <w:pStyle w:val="ListBullet"/>
        <w:rPr>
          <w:lang w:val="en-GB"/>
        </w:rPr>
      </w:pPr>
      <w:r w:rsidRPr="00DB66D1">
        <w:rPr>
          <w:lang w:val="en-GB"/>
        </w:rPr>
        <w:t xml:space="preserve">The Agency will draw on the expertise of its Partners in supporting NDIS participants in the ACT to implement their plans and connect with mainstream and community services that will help them achieve their goals. </w:t>
      </w:r>
    </w:p>
    <w:p w14:paraId="2168F222" w14:textId="77777777" w:rsidR="00626FDE" w:rsidRDefault="00626FDE" w:rsidP="001E0823">
      <w:pPr>
        <w:rPr>
          <w:lang w:val="en-GB"/>
        </w:rPr>
      </w:pPr>
      <w:r>
        <w:rPr>
          <w:lang w:val="en-GB"/>
        </w:rPr>
        <w:br w:type="page"/>
      </w:r>
    </w:p>
    <w:p w14:paraId="42BA9B50" w14:textId="77777777" w:rsidR="00626FDE" w:rsidRDefault="00626FDE" w:rsidP="001E0823">
      <w:pPr>
        <w:pStyle w:val="Heading3"/>
      </w:pPr>
      <w:r>
        <w:lastRenderedPageBreak/>
        <w:t>New South Wales</w:t>
      </w:r>
    </w:p>
    <w:p w14:paraId="0BE52EF9" w14:textId="77777777" w:rsidR="00626FDE" w:rsidRDefault="00626FDE" w:rsidP="001E0823">
      <w:pPr>
        <w:pStyle w:val="Intro"/>
      </w:pPr>
      <w:r>
        <w:t xml:space="preserve">2016 marked a year of rapid growth in New South Wales (NSW) as it is the state with the largest participant numbers. </w:t>
      </w:r>
    </w:p>
    <w:p w14:paraId="6E1624E5" w14:textId="7247B0F0" w:rsidR="00DB66D1" w:rsidRDefault="00626FDE" w:rsidP="001E0823">
      <w:pPr>
        <w:pStyle w:val="BodyText"/>
      </w:pPr>
      <w:r>
        <w:t>Existing state clients are currently transitioning to the Scheme and the disability market is expanding to meet increasing demand.</w:t>
      </w:r>
    </w:p>
    <w:p w14:paraId="474CAF6E" w14:textId="2FFB1D23" w:rsidR="00626FDE" w:rsidRPr="003B7FF5" w:rsidRDefault="00626FDE" w:rsidP="001E0823">
      <w:pPr>
        <w:pStyle w:val="Heading4"/>
      </w:pPr>
      <w:r w:rsidRPr="00626FDE">
        <w:t>Participants with an approved NDIS plan</w:t>
      </w:r>
      <w:r w:rsidR="00432AC9">
        <w:t xml:space="preserve"> - NSW</w:t>
      </w:r>
    </w:p>
    <w:tbl>
      <w:tblPr>
        <w:tblStyle w:val="TableGrid"/>
        <w:tblW w:w="0" w:type="auto"/>
        <w:tblLook w:val="04A0" w:firstRow="1" w:lastRow="0" w:firstColumn="1" w:lastColumn="0" w:noHBand="0" w:noVBand="1"/>
        <w:tblDescription w:val="Participants with an approved NDIS plan - NSW"/>
      </w:tblPr>
      <w:tblGrid>
        <w:gridCol w:w="4799"/>
        <w:gridCol w:w="4829"/>
      </w:tblGrid>
      <w:tr w:rsidR="00626FDE" w14:paraId="14A475D8" w14:textId="77777777" w:rsidTr="0077566F">
        <w:trPr>
          <w:tblHeader/>
        </w:trPr>
        <w:tc>
          <w:tcPr>
            <w:tcW w:w="5094" w:type="dxa"/>
            <w:shd w:val="clear" w:color="auto" w:fill="6B2976" w:themeFill="background2"/>
          </w:tcPr>
          <w:p w14:paraId="63F2DFE2" w14:textId="638F9145" w:rsidR="00626FDE" w:rsidRPr="00626FDE" w:rsidRDefault="00626FDE" w:rsidP="001E0823">
            <w:pPr>
              <w:pStyle w:val="TableTitle"/>
            </w:pPr>
            <w:bookmarkStart w:id="16" w:name="ColumnTitle_NSWParticipants"/>
            <w:r w:rsidRPr="00626FDE">
              <w:t>At end of trial (30 June 2016)</w:t>
            </w:r>
          </w:p>
        </w:tc>
        <w:tc>
          <w:tcPr>
            <w:tcW w:w="5094" w:type="dxa"/>
            <w:shd w:val="clear" w:color="auto" w:fill="6B2976" w:themeFill="background2"/>
          </w:tcPr>
          <w:p w14:paraId="7783C188" w14:textId="3D8A530E" w:rsidR="00626FDE" w:rsidRPr="00626FDE" w:rsidRDefault="00626FDE" w:rsidP="001E0823">
            <w:pPr>
              <w:pStyle w:val="TableTitle"/>
            </w:pPr>
            <w:r w:rsidRPr="00626FDE">
              <w:t>At 30 June 2017 (including ECEI)</w:t>
            </w:r>
          </w:p>
        </w:tc>
      </w:tr>
      <w:bookmarkEnd w:id="16"/>
      <w:tr w:rsidR="00626FDE" w14:paraId="458DC0B4" w14:textId="77777777" w:rsidTr="00B51632">
        <w:tc>
          <w:tcPr>
            <w:tcW w:w="5094" w:type="dxa"/>
          </w:tcPr>
          <w:p w14:paraId="0449A7A1" w14:textId="050C758B" w:rsidR="00626FDE" w:rsidRDefault="00626FDE" w:rsidP="001E0823">
            <w:pPr>
              <w:pStyle w:val="BodyText"/>
              <w:rPr>
                <w:rStyle w:val="BodyTextBold"/>
              </w:rPr>
            </w:pPr>
            <w:r>
              <w:t>9,609</w:t>
            </w:r>
          </w:p>
        </w:tc>
        <w:tc>
          <w:tcPr>
            <w:tcW w:w="5094" w:type="dxa"/>
          </w:tcPr>
          <w:p w14:paraId="18B07BE5" w14:textId="664236BA" w:rsidR="00626FDE" w:rsidRDefault="00626FDE" w:rsidP="001E0823">
            <w:pPr>
              <w:pStyle w:val="BodyText"/>
              <w:rPr>
                <w:rStyle w:val="BodyTextBold"/>
              </w:rPr>
            </w:pPr>
            <w:r>
              <w:t xml:space="preserve">48,266 (87 per cent of bilateral estimate) </w:t>
            </w:r>
          </w:p>
        </w:tc>
      </w:tr>
    </w:tbl>
    <w:p w14:paraId="28C7948F" w14:textId="77777777" w:rsidR="00626FDE" w:rsidRPr="00626FDE" w:rsidRDefault="00626FDE" w:rsidP="001E0823">
      <w:pPr>
        <w:pStyle w:val="Heading4"/>
        <w:rPr>
          <w:lang w:val="en-GB"/>
        </w:rPr>
      </w:pPr>
      <w:r w:rsidRPr="00626FDE">
        <w:rPr>
          <w:lang w:val="en-GB"/>
        </w:rPr>
        <w:t>Total payments to participants</w:t>
      </w:r>
    </w:p>
    <w:p w14:paraId="0B9B0A98" w14:textId="6B778ADE" w:rsidR="00626FDE" w:rsidRPr="00626FDE" w:rsidRDefault="00626FDE" w:rsidP="001E0823">
      <w:pPr>
        <w:pStyle w:val="BodyText"/>
        <w:rPr>
          <w:lang w:val="en-GB"/>
        </w:rPr>
      </w:pPr>
      <w:r w:rsidRPr="00626FDE">
        <w:rPr>
          <w:lang w:val="en-GB"/>
        </w:rPr>
        <w:t>At 30 June 2017 a total of $3,663.6 million had been committed since Scheme inception to participants in NSW.</w:t>
      </w:r>
      <w:r w:rsidR="00DA38E1">
        <w:rPr>
          <w:rStyle w:val="FootnoteReference"/>
          <w:lang w:val="en-GB"/>
        </w:rPr>
        <w:footnoteReference w:id="2"/>
      </w:r>
    </w:p>
    <w:p w14:paraId="55F2181F" w14:textId="77777777" w:rsidR="00626FDE" w:rsidRPr="00626FDE" w:rsidRDefault="00626FDE" w:rsidP="001E0823">
      <w:pPr>
        <w:pStyle w:val="Heading4"/>
        <w:rPr>
          <w:lang w:val="en-GB"/>
        </w:rPr>
      </w:pPr>
      <w:r w:rsidRPr="00626FDE">
        <w:rPr>
          <w:lang w:val="en-GB"/>
        </w:rPr>
        <w:t>Providers</w:t>
      </w:r>
    </w:p>
    <w:p w14:paraId="4394523A" w14:textId="77777777" w:rsidR="00626FDE" w:rsidRPr="00626FDE" w:rsidRDefault="00626FDE" w:rsidP="001E0823">
      <w:pPr>
        <w:pStyle w:val="BodyText"/>
        <w:rPr>
          <w:lang w:val="en-GB"/>
        </w:rPr>
      </w:pPr>
      <w:r w:rsidRPr="00626FDE">
        <w:rPr>
          <w:lang w:val="en-GB"/>
        </w:rPr>
        <w:t>In 2016-17 registered providers operating in NSW increased from 1,467 to 4,301.</w:t>
      </w:r>
    </w:p>
    <w:p w14:paraId="3A056AC0" w14:textId="77777777" w:rsidR="002F5565" w:rsidRDefault="002F5565" w:rsidP="001E0823">
      <w:pPr>
        <w:rPr>
          <w:rFonts w:eastAsiaTheme="majorEastAsia" w:cstheme="majorBidi"/>
          <w:lang w:val="en-GB"/>
        </w:rPr>
      </w:pPr>
      <w:r>
        <w:rPr>
          <w:lang w:val="en-GB"/>
        </w:rPr>
        <w:br w:type="page"/>
      </w:r>
    </w:p>
    <w:p w14:paraId="2E2E6477" w14:textId="4F999B8F" w:rsidR="00DA38E1" w:rsidRPr="00DA38E1" w:rsidRDefault="00626FDE" w:rsidP="001E0823">
      <w:pPr>
        <w:pStyle w:val="Heading4"/>
        <w:rPr>
          <w:lang w:val="en-GB"/>
        </w:rPr>
      </w:pPr>
      <w:r w:rsidRPr="00626FDE">
        <w:rPr>
          <w:lang w:val="en-GB"/>
        </w:rPr>
        <w:lastRenderedPageBreak/>
        <w:t>Partners in the Community</w:t>
      </w:r>
      <w:r w:rsidR="00432AC9">
        <w:rPr>
          <w:lang w:val="en-GB"/>
        </w:rPr>
        <w:t xml:space="preserve"> - NSW</w:t>
      </w:r>
    </w:p>
    <w:tbl>
      <w:tblPr>
        <w:tblStyle w:val="TableGrid"/>
        <w:tblW w:w="0" w:type="auto"/>
        <w:tblLook w:val="04A0" w:firstRow="1" w:lastRow="0" w:firstColumn="1" w:lastColumn="0" w:noHBand="0" w:noVBand="1"/>
        <w:tblDescription w:val="Partners in the Community - NSW"/>
      </w:tblPr>
      <w:tblGrid>
        <w:gridCol w:w="2392"/>
        <w:gridCol w:w="2286"/>
        <w:gridCol w:w="2464"/>
        <w:gridCol w:w="2486"/>
      </w:tblGrid>
      <w:tr w:rsidR="00DA38E1" w:rsidRPr="00B86A86" w14:paraId="29338EC9" w14:textId="77777777" w:rsidTr="0077566F">
        <w:trPr>
          <w:tblHeader/>
        </w:trPr>
        <w:tc>
          <w:tcPr>
            <w:tcW w:w="2519" w:type="dxa"/>
            <w:shd w:val="clear" w:color="auto" w:fill="6B2976" w:themeFill="background2"/>
          </w:tcPr>
          <w:p w14:paraId="44D0E3AD" w14:textId="77777777" w:rsidR="00DA38E1" w:rsidRPr="00B86A86" w:rsidRDefault="00DA38E1" w:rsidP="001E0823">
            <w:pPr>
              <w:pStyle w:val="TableTitle"/>
            </w:pPr>
            <w:bookmarkStart w:id="17" w:name="ColumnTitle_NSWPartners"/>
            <w:r w:rsidRPr="00B86A86">
              <w:t>Partner</w:t>
            </w:r>
          </w:p>
        </w:tc>
        <w:tc>
          <w:tcPr>
            <w:tcW w:w="2379" w:type="dxa"/>
            <w:shd w:val="clear" w:color="auto" w:fill="6B2976" w:themeFill="background2"/>
          </w:tcPr>
          <w:p w14:paraId="1CBB3167" w14:textId="77777777" w:rsidR="00DA38E1" w:rsidRPr="00B86A86" w:rsidRDefault="00DA38E1" w:rsidP="001E0823">
            <w:pPr>
              <w:pStyle w:val="TableTitle"/>
            </w:pPr>
            <w:r w:rsidRPr="00B86A86">
              <w:t>Service area</w:t>
            </w:r>
          </w:p>
        </w:tc>
        <w:tc>
          <w:tcPr>
            <w:tcW w:w="2645" w:type="dxa"/>
            <w:shd w:val="clear" w:color="auto" w:fill="6B2976" w:themeFill="background2"/>
          </w:tcPr>
          <w:p w14:paraId="5462EFD1" w14:textId="77777777" w:rsidR="00DA38E1" w:rsidRPr="00B86A86" w:rsidRDefault="00DA38E1" w:rsidP="001E0823">
            <w:pPr>
              <w:pStyle w:val="TableTitle"/>
            </w:pPr>
            <w:r w:rsidRPr="00B86A86">
              <w:t>Activity start date</w:t>
            </w:r>
          </w:p>
        </w:tc>
        <w:tc>
          <w:tcPr>
            <w:tcW w:w="2645" w:type="dxa"/>
            <w:shd w:val="clear" w:color="auto" w:fill="6B2976" w:themeFill="background2"/>
          </w:tcPr>
          <w:p w14:paraId="729715FD" w14:textId="77777777" w:rsidR="00DA38E1" w:rsidRPr="00B86A86" w:rsidRDefault="00DA38E1" w:rsidP="001E0823">
            <w:pPr>
              <w:pStyle w:val="TableTitle"/>
            </w:pPr>
            <w:r w:rsidRPr="00B86A86">
              <w:t>ECEI/LAC services</w:t>
            </w:r>
          </w:p>
        </w:tc>
      </w:tr>
      <w:bookmarkEnd w:id="17"/>
      <w:tr w:rsidR="002F5565" w14:paraId="2285D945" w14:textId="77777777" w:rsidTr="00B51632">
        <w:tc>
          <w:tcPr>
            <w:tcW w:w="2519" w:type="dxa"/>
          </w:tcPr>
          <w:p w14:paraId="39F982DF" w14:textId="2640B522" w:rsidR="002F5565" w:rsidRDefault="002F5565" w:rsidP="001E0823">
            <w:pPr>
              <w:pStyle w:val="BodyText"/>
              <w:rPr>
                <w:rStyle w:val="BodyTextBold"/>
              </w:rPr>
            </w:pPr>
            <w:r>
              <w:t>Uniting</w:t>
            </w:r>
          </w:p>
        </w:tc>
        <w:tc>
          <w:tcPr>
            <w:tcW w:w="2379" w:type="dxa"/>
          </w:tcPr>
          <w:p w14:paraId="6F09291D" w14:textId="77777777" w:rsidR="002F5565" w:rsidRDefault="002F5565" w:rsidP="001E0823">
            <w:pPr>
              <w:pStyle w:val="BodyText"/>
            </w:pPr>
            <w:r>
              <w:t>Nepean Blue Mountains</w:t>
            </w:r>
          </w:p>
          <w:p w14:paraId="4D7B3F3C" w14:textId="77777777" w:rsidR="002F5565" w:rsidRDefault="002F5565" w:rsidP="001E0823">
            <w:pPr>
              <w:pStyle w:val="BodyText"/>
            </w:pPr>
            <w:r>
              <w:t>Northern Sydney</w:t>
            </w:r>
          </w:p>
          <w:p w14:paraId="0C35CAD3" w14:textId="77777777" w:rsidR="002F5565" w:rsidRDefault="002F5565" w:rsidP="001E0823">
            <w:pPr>
              <w:pStyle w:val="BodyText"/>
            </w:pPr>
            <w:r>
              <w:t>Western Sydney</w:t>
            </w:r>
          </w:p>
          <w:p w14:paraId="06B2B4F5" w14:textId="77777777" w:rsidR="002F5565" w:rsidRDefault="002F5565" w:rsidP="001E0823">
            <w:pPr>
              <w:pStyle w:val="BodyText"/>
            </w:pPr>
            <w:r>
              <w:t>Southern NSW</w:t>
            </w:r>
          </w:p>
          <w:p w14:paraId="341E7449" w14:textId="10D4C63E" w:rsidR="002F5565" w:rsidRDefault="002F5565" w:rsidP="001E0823">
            <w:pPr>
              <w:pStyle w:val="BodyText"/>
            </w:pPr>
            <w:r>
              <w:t>Illawarra Shoalhaven</w:t>
            </w:r>
          </w:p>
        </w:tc>
        <w:tc>
          <w:tcPr>
            <w:tcW w:w="2645" w:type="dxa"/>
          </w:tcPr>
          <w:p w14:paraId="3BDEFA7A" w14:textId="77777777" w:rsidR="002F5565" w:rsidRDefault="002F5565" w:rsidP="001E0823">
            <w:pPr>
              <w:pStyle w:val="BodyText"/>
            </w:pPr>
            <w:r>
              <w:t>Jan 2016</w:t>
            </w:r>
          </w:p>
          <w:p w14:paraId="743BE5B2" w14:textId="77777777" w:rsidR="002F5565" w:rsidRDefault="002F5565" w:rsidP="001E0823">
            <w:pPr>
              <w:pStyle w:val="BodyText"/>
            </w:pPr>
            <w:r>
              <w:t>Jan 2016</w:t>
            </w:r>
          </w:p>
          <w:p w14:paraId="38E7D387" w14:textId="77777777" w:rsidR="002F5565" w:rsidRDefault="002F5565" w:rsidP="001E0823">
            <w:pPr>
              <w:pStyle w:val="BodyText"/>
            </w:pPr>
            <w:r>
              <w:t>Jan 2016</w:t>
            </w:r>
          </w:p>
          <w:p w14:paraId="30AAB13E" w14:textId="77777777" w:rsidR="002F5565" w:rsidRDefault="002F5565" w:rsidP="001E0823">
            <w:pPr>
              <w:pStyle w:val="BodyText"/>
            </w:pPr>
            <w:r>
              <w:t>Jan 2016</w:t>
            </w:r>
          </w:p>
          <w:p w14:paraId="0F5FF51B" w14:textId="1F5E7124" w:rsidR="002F5565" w:rsidRDefault="002F5565" w:rsidP="001E0823">
            <w:pPr>
              <w:pStyle w:val="BodyText"/>
              <w:rPr>
                <w:rStyle w:val="BodyTextBold"/>
              </w:rPr>
            </w:pPr>
            <w:r>
              <w:t>Jan 2017</w:t>
            </w:r>
          </w:p>
        </w:tc>
        <w:tc>
          <w:tcPr>
            <w:tcW w:w="2645" w:type="dxa"/>
          </w:tcPr>
          <w:p w14:paraId="4B3CFA39" w14:textId="77777777" w:rsidR="002F5565" w:rsidRDefault="002F5565" w:rsidP="001E0823">
            <w:pPr>
              <w:pStyle w:val="BodyText"/>
            </w:pPr>
            <w:r>
              <w:t>LAC</w:t>
            </w:r>
          </w:p>
          <w:p w14:paraId="7D5829CE" w14:textId="77777777" w:rsidR="002F5565" w:rsidRDefault="002F5565" w:rsidP="001E0823">
            <w:pPr>
              <w:pStyle w:val="BodyText"/>
            </w:pPr>
            <w:r>
              <w:t>LAC</w:t>
            </w:r>
          </w:p>
          <w:p w14:paraId="3A48C084" w14:textId="77777777" w:rsidR="002F5565" w:rsidRDefault="002F5565" w:rsidP="001E0823">
            <w:pPr>
              <w:pStyle w:val="BodyText"/>
            </w:pPr>
            <w:r>
              <w:t>LAC</w:t>
            </w:r>
          </w:p>
          <w:p w14:paraId="140E6B63" w14:textId="77777777" w:rsidR="002F5565" w:rsidRDefault="002F5565" w:rsidP="001E0823">
            <w:pPr>
              <w:pStyle w:val="BodyText"/>
            </w:pPr>
            <w:r>
              <w:t>LAC</w:t>
            </w:r>
          </w:p>
          <w:p w14:paraId="6F4AC574" w14:textId="083A69DE" w:rsidR="002F5565" w:rsidRDefault="002F5565" w:rsidP="001E0823">
            <w:pPr>
              <w:pStyle w:val="BodyText"/>
              <w:rPr>
                <w:rStyle w:val="BodyTextBold"/>
              </w:rPr>
            </w:pPr>
            <w:r>
              <w:t>LAC</w:t>
            </w:r>
          </w:p>
        </w:tc>
      </w:tr>
      <w:tr w:rsidR="002F5565" w14:paraId="0B80C168" w14:textId="77777777" w:rsidTr="00B51632">
        <w:tc>
          <w:tcPr>
            <w:tcW w:w="2519" w:type="dxa"/>
          </w:tcPr>
          <w:p w14:paraId="03ECF5BA" w14:textId="3B54D685" w:rsidR="002F5565" w:rsidRDefault="002F5565" w:rsidP="001E0823">
            <w:pPr>
              <w:pStyle w:val="BodyText"/>
            </w:pPr>
            <w:r>
              <w:t>St Vincent de Paul Society NSW</w:t>
            </w:r>
          </w:p>
        </w:tc>
        <w:tc>
          <w:tcPr>
            <w:tcW w:w="2379" w:type="dxa"/>
          </w:tcPr>
          <w:p w14:paraId="349905F7" w14:textId="77777777" w:rsidR="002F5565" w:rsidRDefault="002F5565" w:rsidP="001E0823">
            <w:pPr>
              <w:pStyle w:val="BodyText"/>
            </w:pPr>
            <w:r>
              <w:t>South Western Sydney</w:t>
            </w:r>
          </w:p>
          <w:p w14:paraId="6D8698D6" w14:textId="77777777" w:rsidR="002F5565" w:rsidRDefault="002F5565" w:rsidP="001E0823">
            <w:pPr>
              <w:pStyle w:val="BodyText"/>
            </w:pPr>
            <w:r>
              <w:t>Central Coast</w:t>
            </w:r>
          </w:p>
          <w:p w14:paraId="5FA24E37" w14:textId="77777777" w:rsidR="002F5565" w:rsidRDefault="002F5565" w:rsidP="001E0823">
            <w:pPr>
              <w:pStyle w:val="BodyText"/>
            </w:pPr>
            <w:r>
              <w:t>Hunter New England</w:t>
            </w:r>
          </w:p>
          <w:p w14:paraId="709F7336" w14:textId="77777777" w:rsidR="002F5565" w:rsidRDefault="002F5565" w:rsidP="001E0823">
            <w:pPr>
              <w:pStyle w:val="BodyText"/>
            </w:pPr>
            <w:r>
              <w:t>South Eastern Sydney</w:t>
            </w:r>
          </w:p>
          <w:p w14:paraId="349B82E3" w14:textId="3013D9A7" w:rsidR="002F5565" w:rsidRDefault="002F5565" w:rsidP="001E0823">
            <w:pPr>
              <w:pStyle w:val="BodyText"/>
            </w:pPr>
            <w:r>
              <w:t>Sydney</w:t>
            </w:r>
          </w:p>
        </w:tc>
        <w:tc>
          <w:tcPr>
            <w:tcW w:w="2645" w:type="dxa"/>
          </w:tcPr>
          <w:p w14:paraId="60A8BF0A" w14:textId="77777777" w:rsidR="002F5565" w:rsidRDefault="002F5565" w:rsidP="001E0823">
            <w:pPr>
              <w:pStyle w:val="BodyText"/>
            </w:pPr>
            <w:r>
              <w:t>Jan 2016</w:t>
            </w:r>
          </w:p>
          <w:p w14:paraId="44B5DB7E" w14:textId="77777777" w:rsidR="002F5565" w:rsidRDefault="002F5565" w:rsidP="001E0823">
            <w:pPr>
              <w:pStyle w:val="BodyText"/>
            </w:pPr>
            <w:r>
              <w:t>Jan 2016</w:t>
            </w:r>
          </w:p>
          <w:p w14:paraId="0FB24A17" w14:textId="77777777" w:rsidR="002F5565" w:rsidRDefault="002F5565" w:rsidP="001E0823">
            <w:pPr>
              <w:pStyle w:val="BodyText"/>
            </w:pPr>
            <w:r>
              <w:t>Jan 2016</w:t>
            </w:r>
          </w:p>
          <w:p w14:paraId="45D11B9D" w14:textId="77777777" w:rsidR="002F5565" w:rsidRDefault="002F5565" w:rsidP="001E0823">
            <w:pPr>
              <w:pStyle w:val="BodyText"/>
            </w:pPr>
            <w:r>
              <w:t>Jan 2017</w:t>
            </w:r>
          </w:p>
          <w:p w14:paraId="4CF91FA5" w14:textId="021D25EA" w:rsidR="002F5565" w:rsidRDefault="002F5565" w:rsidP="001E0823">
            <w:pPr>
              <w:pStyle w:val="BodyText"/>
            </w:pPr>
            <w:r>
              <w:t>Jan 2017</w:t>
            </w:r>
          </w:p>
        </w:tc>
        <w:tc>
          <w:tcPr>
            <w:tcW w:w="2645" w:type="dxa"/>
          </w:tcPr>
          <w:p w14:paraId="58A2804B" w14:textId="77777777" w:rsidR="002F5565" w:rsidRDefault="002F5565" w:rsidP="001E0823">
            <w:pPr>
              <w:pStyle w:val="BodyText"/>
            </w:pPr>
            <w:r>
              <w:t>LAC</w:t>
            </w:r>
          </w:p>
          <w:p w14:paraId="6D209702" w14:textId="77777777" w:rsidR="002F5565" w:rsidRDefault="002F5565" w:rsidP="001E0823">
            <w:pPr>
              <w:pStyle w:val="BodyText"/>
            </w:pPr>
            <w:r>
              <w:t>LAC</w:t>
            </w:r>
          </w:p>
          <w:p w14:paraId="164E18CC" w14:textId="77777777" w:rsidR="002F5565" w:rsidRDefault="002F5565" w:rsidP="001E0823">
            <w:pPr>
              <w:pStyle w:val="BodyText"/>
            </w:pPr>
            <w:r>
              <w:t>LAC</w:t>
            </w:r>
          </w:p>
          <w:p w14:paraId="4D1A0155" w14:textId="77777777" w:rsidR="002F5565" w:rsidRDefault="002F5565" w:rsidP="001E0823">
            <w:pPr>
              <w:pStyle w:val="BodyText"/>
            </w:pPr>
            <w:r>
              <w:t>LAC</w:t>
            </w:r>
          </w:p>
          <w:p w14:paraId="0C3FED56" w14:textId="79B1EEB2" w:rsidR="002F5565" w:rsidRDefault="002F5565" w:rsidP="001E0823">
            <w:pPr>
              <w:pStyle w:val="BodyText"/>
            </w:pPr>
            <w:r>
              <w:t>LAC</w:t>
            </w:r>
          </w:p>
        </w:tc>
      </w:tr>
      <w:tr w:rsidR="002F5565" w14:paraId="5621DDA2" w14:textId="77777777" w:rsidTr="00B51632">
        <w:tc>
          <w:tcPr>
            <w:tcW w:w="2519" w:type="dxa"/>
          </w:tcPr>
          <w:p w14:paraId="08318919" w14:textId="3A1F142E" w:rsidR="002F5565" w:rsidRDefault="002F5565" w:rsidP="001E0823">
            <w:pPr>
              <w:pStyle w:val="BodyText"/>
            </w:pPr>
            <w:r>
              <w:t>Social Futures</w:t>
            </w:r>
          </w:p>
        </w:tc>
        <w:tc>
          <w:tcPr>
            <w:tcW w:w="2379" w:type="dxa"/>
          </w:tcPr>
          <w:p w14:paraId="555609BE" w14:textId="77777777" w:rsidR="002F5565" w:rsidRDefault="002F5565" w:rsidP="001E0823">
            <w:pPr>
              <w:pStyle w:val="BodyText"/>
            </w:pPr>
            <w:r>
              <w:t>Western NSW</w:t>
            </w:r>
          </w:p>
          <w:p w14:paraId="60C0A07A" w14:textId="77777777" w:rsidR="002F5565" w:rsidRDefault="002F5565" w:rsidP="001E0823">
            <w:pPr>
              <w:pStyle w:val="BodyText"/>
            </w:pPr>
            <w:r>
              <w:t>Far West NSW</w:t>
            </w:r>
          </w:p>
          <w:p w14:paraId="58D95C15" w14:textId="77777777" w:rsidR="002F5565" w:rsidRDefault="002F5565" w:rsidP="001E0823">
            <w:pPr>
              <w:pStyle w:val="BodyText"/>
            </w:pPr>
            <w:r>
              <w:t>Mid North Coast</w:t>
            </w:r>
          </w:p>
          <w:p w14:paraId="25AE83D2" w14:textId="77777777" w:rsidR="002F5565" w:rsidRDefault="002F5565" w:rsidP="001E0823">
            <w:pPr>
              <w:pStyle w:val="BodyText"/>
            </w:pPr>
            <w:r>
              <w:t xml:space="preserve">Northern NSW </w:t>
            </w:r>
          </w:p>
          <w:p w14:paraId="6F653336" w14:textId="3303E23C" w:rsidR="002F5565" w:rsidRDefault="002F5565" w:rsidP="001E0823">
            <w:pPr>
              <w:pStyle w:val="BodyText"/>
            </w:pPr>
            <w:r>
              <w:t xml:space="preserve">Murrumbidgee </w:t>
            </w:r>
          </w:p>
        </w:tc>
        <w:tc>
          <w:tcPr>
            <w:tcW w:w="2645" w:type="dxa"/>
          </w:tcPr>
          <w:p w14:paraId="370AF48F" w14:textId="77777777" w:rsidR="002F5565" w:rsidRDefault="002F5565" w:rsidP="001E0823">
            <w:pPr>
              <w:pStyle w:val="BodyText"/>
            </w:pPr>
            <w:r>
              <w:t>Jan 2017</w:t>
            </w:r>
          </w:p>
          <w:p w14:paraId="3A54E6D8" w14:textId="77777777" w:rsidR="002F5565" w:rsidRDefault="002F5565" w:rsidP="001E0823">
            <w:pPr>
              <w:pStyle w:val="BodyText"/>
            </w:pPr>
            <w:r>
              <w:t>Jan 2017</w:t>
            </w:r>
          </w:p>
          <w:p w14:paraId="6628BE97" w14:textId="77777777" w:rsidR="002F5565" w:rsidRDefault="002F5565" w:rsidP="001E0823">
            <w:pPr>
              <w:pStyle w:val="BodyText"/>
            </w:pPr>
            <w:r>
              <w:t>Jan 2017</w:t>
            </w:r>
          </w:p>
          <w:p w14:paraId="442483B1" w14:textId="77777777" w:rsidR="002F5565" w:rsidRDefault="002F5565" w:rsidP="001E0823">
            <w:pPr>
              <w:pStyle w:val="BodyText"/>
            </w:pPr>
            <w:r>
              <w:t>Jan 2017</w:t>
            </w:r>
          </w:p>
          <w:p w14:paraId="186A8220" w14:textId="47DCF92A" w:rsidR="002F5565" w:rsidRDefault="002F5565" w:rsidP="001E0823">
            <w:pPr>
              <w:pStyle w:val="BodyText"/>
            </w:pPr>
            <w:r>
              <w:t>Jan 2017</w:t>
            </w:r>
          </w:p>
        </w:tc>
        <w:tc>
          <w:tcPr>
            <w:tcW w:w="2645" w:type="dxa"/>
          </w:tcPr>
          <w:p w14:paraId="034F8E43" w14:textId="77777777" w:rsidR="002F5565" w:rsidRDefault="002F5565" w:rsidP="001E0823">
            <w:pPr>
              <w:pStyle w:val="BodyText"/>
            </w:pPr>
            <w:r>
              <w:t>LAC</w:t>
            </w:r>
          </w:p>
          <w:p w14:paraId="1E115731" w14:textId="77777777" w:rsidR="002F5565" w:rsidRDefault="002F5565" w:rsidP="001E0823">
            <w:pPr>
              <w:pStyle w:val="BodyText"/>
            </w:pPr>
            <w:r>
              <w:t>LAC</w:t>
            </w:r>
          </w:p>
          <w:p w14:paraId="1A4AA4C8" w14:textId="77777777" w:rsidR="002F5565" w:rsidRDefault="002F5565" w:rsidP="001E0823">
            <w:pPr>
              <w:pStyle w:val="BodyText"/>
            </w:pPr>
            <w:r>
              <w:t>LAC</w:t>
            </w:r>
          </w:p>
          <w:p w14:paraId="3CA05D0E" w14:textId="77777777" w:rsidR="002F5565" w:rsidRDefault="002F5565" w:rsidP="001E0823">
            <w:pPr>
              <w:pStyle w:val="BodyText"/>
            </w:pPr>
            <w:r>
              <w:t>LAC</w:t>
            </w:r>
          </w:p>
          <w:p w14:paraId="490EC17E" w14:textId="6F1EB81A" w:rsidR="002F5565" w:rsidRDefault="002F5565" w:rsidP="001E0823">
            <w:pPr>
              <w:pStyle w:val="BodyText"/>
            </w:pPr>
            <w:r>
              <w:t>LAC</w:t>
            </w:r>
          </w:p>
        </w:tc>
      </w:tr>
      <w:tr w:rsidR="002F5565" w14:paraId="3BD5FF57" w14:textId="77777777" w:rsidTr="00B51632">
        <w:tc>
          <w:tcPr>
            <w:tcW w:w="2519" w:type="dxa"/>
          </w:tcPr>
          <w:p w14:paraId="00412CF5" w14:textId="0889AB5E" w:rsidR="002F5565" w:rsidRDefault="002F5565" w:rsidP="001E0823">
            <w:pPr>
              <w:pStyle w:val="BodyText"/>
            </w:pPr>
            <w:r>
              <w:t xml:space="preserve">Lifestart </w:t>
            </w:r>
          </w:p>
        </w:tc>
        <w:tc>
          <w:tcPr>
            <w:tcW w:w="2379" w:type="dxa"/>
          </w:tcPr>
          <w:p w14:paraId="5F6673D1" w14:textId="247FFA9C" w:rsidR="002F5565" w:rsidRDefault="002F5565" w:rsidP="001E0823">
            <w:pPr>
              <w:pStyle w:val="BodyText"/>
            </w:pPr>
            <w:r>
              <w:t>Nepean Blue Mountains</w:t>
            </w:r>
          </w:p>
        </w:tc>
        <w:tc>
          <w:tcPr>
            <w:tcW w:w="2645" w:type="dxa"/>
          </w:tcPr>
          <w:p w14:paraId="7875F755" w14:textId="5CBDF4C2" w:rsidR="002F5565" w:rsidRDefault="002F5565" w:rsidP="001E0823">
            <w:pPr>
              <w:pStyle w:val="BodyText"/>
            </w:pPr>
            <w:r>
              <w:t>July 2015</w:t>
            </w:r>
          </w:p>
        </w:tc>
        <w:tc>
          <w:tcPr>
            <w:tcW w:w="2645" w:type="dxa"/>
          </w:tcPr>
          <w:p w14:paraId="609E815F" w14:textId="7E639841" w:rsidR="002F5565" w:rsidRDefault="002F5565" w:rsidP="001E0823">
            <w:pPr>
              <w:pStyle w:val="BodyText"/>
            </w:pPr>
            <w:r>
              <w:t>ECEI</w:t>
            </w:r>
          </w:p>
        </w:tc>
      </w:tr>
      <w:tr w:rsidR="002F5565" w14:paraId="4E5871CE" w14:textId="77777777" w:rsidTr="00B51632">
        <w:tc>
          <w:tcPr>
            <w:tcW w:w="2519" w:type="dxa"/>
          </w:tcPr>
          <w:p w14:paraId="623A285B" w14:textId="4DD4F763" w:rsidR="002F5565" w:rsidRDefault="002F5565" w:rsidP="001E0823">
            <w:pPr>
              <w:pStyle w:val="BodyText"/>
            </w:pPr>
            <w:r>
              <w:t>SDN Children’s Services</w:t>
            </w:r>
          </w:p>
        </w:tc>
        <w:tc>
          <w:tcPr>
            <w:tcW w:w="2379" w:type="dxa"/>
          </w:tcPr>
          <w:p w14:paraId="6C2B1BC0" w14:textId="7E2381E1" w:rsidR="002F5565" w:rsidRDefault="002F5565" w:rsidP="001E0823">
            <w:pPr>
              <w:pStyle w:val="BodyText"/>
            </w:pPr>
            <w:r>
              <w:t>Nepean Blue Mountains</w:t>
            </w:r>
          </w:p>
        </w:tc>
        <w:tc>
          <w:tcPr>
            <w:tcW w:w="2645" w:type="dxa"/>
          </w:tcPr>
          <w:p w14:paraId="4CD475C8" w14:textId="333A8AAD" w:rsidR="002F5565" w:rsidRDefault="002F5565" w:rsidP="001E0823">
            <w:pPr>
              <w:pStyle w:val="BodyText"/>
            </w:pPr>
            <w:r>
              <w:t>July 2015</w:t>
            </w:r>
          </w:p>
        </w:tc>
        <w:tc>
          <w:tcPr>
            <w:tcW w:w="2645" w:type="dxa"/>
          </w:tcPr>
          <w:p w14:paraId="0DB75C31" w14:textId="67E6E517" w:rsidR="002F5565" w:rsidRDefault="002F5565" w:rsidP="001E0823">
            <w:pPr>
              <w:pStyle w:val="BodyText"/>
            </w:pPr>
            <w:r>
              <w:t>ECEI</w:t>
            </w:r>
          </w:p>
        </w:tc>
      </w:tr>
      <w:tr w:rsidR="002F5565" w14:paraId="240EBBD8" w14:textId="77777777" w:rsidTr="00B51632">
        <w:tc>
          <w:tcPr>
            <w:tcW w:w="2519" w:type="dxa"/>
          </w:tcPr>
          <w:p w14:paraId="50F37190" w14:textId="1FEF7FD2" w:rsidR="002F5565" w:rsidRDefault="002F5565" w:rsidP="001E0823">
            <w:pPr>
              <w:pStyle w:val="BodyText"/>
            </w:pPr>
            <w:r>
              <w:t>Hawkesbury Early Childhood Intervention Service (HECIS)</w:t>
            </w:r>
          </w:p>
        </w:tc>
        <w:tc>
          <w:tcPr>
            <w:tcW w:w="2379" w:type="dxa"/>
          </w:tcPr>
          <w:p w14:paraId="265892FB" w14:textId="4207544F" w:rsidR="002F5565" w:rsidRDefault="002F5565" w:rsidP="001E0823">
            <w:pPr>
              <w:pStyle w:val="BodyText"/>
            </w:pPr>
            <w:r>
              <w:t>Nepean Blue Mountains</w:t>
            </w:r>
          </w:p>
        </w:tc>
        <w:tc>
          <w:tcPr>
            <w:tcW w:w="2645" w:type="dxa"/>
          </w:tcPr>
          <w:p w14:paraId="2F0B6FB7" w14:textId="2E3A3D4E" w:rsidR="002F5565" w:rsidRDefault="002F5565" w:rsidP="001E0823">
            <w:pPr>
              <w:pStyle w:val="BodyText"/>
            </w:pPr>
            <w:r>
              <w:t>July 2015</w:t>
            </w:r>
          </w:p>
        </w:tc>
        <w:tc>
          <w:tcPr>
            <w:tcW w:w="2645" w:type="dxa"/>
          </w:tcPr>
          <w:p w14:paraId="64C992B9" w14:textId="0B4EB4AD" w:rsidR="002F5565" w:rsidRDefault="002F5565" w:rsidP="001E0823">
            <w:pPr>
              <w:pStyle w:val="BodyText"/>
            </w:pPr>
            <w:r>
              <w:t>ECEI</w:t>
            </w:r>
          </w:p>
        </w:tc>
      </w:tr>
      <w:tr w:rsidR="002F5565" w14:paraId="3E9D3724" w14:textId="77777777" w:rsidTr="00B51632">
        <w:tc>
          <w:tcPr>
            <w:tcW w:w="2519" w:type="dxa"/>
          </w:tcPr>
          <w:p w14:paraId="008D93AA" w14:textId="6576146E" w:rsidR="002F5565" w:rsidRDefault="002F5565" w:rsidP="001E0823">
            <w:pPr>
              <w:pStyle w:val="BodyText"/>
            </w:pPr>
            <w:r>
              <w:t>Lapstone Preschool</w:t>
            </w:r>
          </w:p>
        </w:tc>
        <w:tc>
          <w:tcPr>
            <w:tcW w:w="2379" w:type="dxa"/>
          </w:tcPr>
          <w:p w14:paraId="52669DE6" w14:textId="7DFABA04" w:rsidR="002F5565" w:rsidRDefault="002F5565" w:rsidP="001E0823">
            <w:pPr>
              <w:pStyle w:val="BodyText"/>
            </w:pPr>
            <w:r>
              <w:t>Nepean Blue Mountains</w:t>
            </w:r>
          </w:p>
        </w:tc>
        <w:tc>
          <w:tcPr>
            <w:tcW w:w="2645" w:type="dxa"/>
          </w:tcPr>
          <w:p w14:paraId="45C462C9" w14:textId="16BF278A" w:rsidR="002F5565" w:rsidRDefault="002F5565" w:rsidP="001E0823">
            <w:pPr>
              <w:pStyle w:val="BodyText"/>
            </w:pPr>
            <w:r>
              <w:t>July 2015</w:t>
            </w:r>
          </w:p>
        </w:tc>
        <w:tc>
          <w:tcPr>
            <w:tcW w:w="2645" w:type="dxa"/>
          </w:tcPr>
          <w:p w14:paraId="1A0EA358" w14:textId="3E5C84D1" w:rsidR="002F5565" w:rsidRDefault="002F5565" w:rsidP="001E0823">
            <w:pPr>
              <w:pStyle w:val="BodyText"/>
            </w:pPr>
            <w:r>
              <w:t>ECEI</w:t>
            </w:r>
          </w:p>
        </w:tc>
      </w:tr>
    </w:tbl>
    <w:p w14:paraId="658858FE" w14:textId="77777777" w:rsidR="00DA38E1" w:rsidRPr="000F4306" w:rsidRDefault="00DA38E1" w:rsidP="001E0823">
      <w:pPr>
        <w:pStyle w:val="BodyText"/>
        <w:rPr>
          <w:rStyle w:val="BodyTextBold"/>
        </w:rPr>
      </w:pPr>
    </w:p>
    <w:p w14:paraId="1A292DAD" w14:textId="77777777" w:rsidR="00EC55BA" w:rsidRPr="00EC55BA" w:rsidRDefault="00EC55BA" w:rsidP="001E0823">
      <w:pPr>
        <w:pStyle w:val="Heading4"/>
        <w:rPr>
          <w:lang w:val="en-GB"/>
        </w:rPr>
      </w:pPr>
      <w:r w:rsidRPr="00EC55BA">
        <w:rPr>
          <w:lang w:val="en-GB"/>
        </w:rPr>
        <w:t>Rollout to date</w:t>
      </w:r>
    </w:p>
    <w:p w14:paraId="38CA0CCE" w14:textId="77777777" w:rsidR="00EC55BA" w:rsidRPr="00EC55BA" w:rsidRDefault="00EC55BA" w:rsidP="001E0823">
      <w:pPr>
        <w:pStyle w:val="BodyText"/>
        <w:rPr>
          <w:lang w:val="en-GB"/>
        </w:rPr>
      </w:pPr>
      <w:r w:rsidRPr="00EC55BA">
        <w:rPr>
          <w:lang w:val="en-GB"/>
        </w:rPr>
        <w:t xml:space="preserve">The NDIS is rolling out by region across NSW. Existing state clients are transitioning to the Scheme first. </w:t>
      </w:r>
    </w:p>
    <w:p w14:paraId="3A5A1533" w14:textId="77777777" w:rsidR="00EC55BA" w:rsidRPr="00EC55BA" w:rsidRDefault="00EC55BA" w:rsidP="001E0823">
      <w:pPr>
        <w:pStyle w:val="ListBullet"/>
        <w:rPr>
          <w:lang w:val="en-GB"/>
        </w:rPr>
      </w:pPr>
      <w:r w:rsidRPr="00EC55BA">
        <w:rPr>
          <w:lang w:val="en-GB"/>
        </w:rPr>
        <w:t>2013 (trial) – Hunter New England (Newcastle, Maitland and Lake Macquarie).</w:t>
      </w:r>
    </w:p>
    <w:p w14:paraId="2CEC219E" w14:textId="77777777" w:rsidR="00EC55BA" w:rsidRPr="00EC55BA" w:rsidRDefault="00EC55BA" w:rsidP="001E0823">
      <w:pPr>
        <w:pStyle w:val="ListBullet"/>
        <w:rPr>
          <w:lang w:val="en-GB"/>
        </w:rPr>
      </w:pPr>
      <w:r w:rsidRPr="00EC55BA">
        <w:rPr>
          <w:lang w:val="en-GB"/>
        </w:rPr>
        <w:t>July 2015 (early launch site) – children aged up to 18 years in Nepean Blue Mountains.</w:t>
      </w:r>
    </w:p>
    <w:p w14:paraId="79D266F0" w14:textId="77777777" w:rsidR="00EC55BA" w:rsidRPr="00EC55BA" w:rsidRDefault="00EC55BA" w:rsidP="001E0823">
      <w:pPr>
        <w:pStyle w:val="ListBullet"/>
        <w:rPr>
          <w:lang w:val="en-GB"/>
        </w:rPr>
      </w:pPr>
      <w:r w:rsidRPr="00EC55BA">
        <w:rPr>
          <w:lang w:val="en-GB"/>
        </w:rPr>
        <w:t>July 2016 – existing state clients in Northern Sydney, South West Sydney, Western Sydney, Central Coast, Southern NSW, all remaining eligible participants in Hunter New England and Nepean Blue Mountains.</w:t>
      </w:r>
    </w:p>
    <w:p w14:paraId="329B97F1" w14:textId="77777777" w:rsidR="00641673" w:rsidRDefault="00641673" w:rsidP="001E0823">
      <w:pPr>
        <w:rPr>
          <w:rFonts w:eastAsiaTheme="majorEastAsia" w:cstheme="majorBidi"/>
          <w:sz w:val="28"/>
          <w:lang w:val="en-GB"/>
        </w:rPr>
      </w:pPr>
      <w:r>
        <w:rPr>
          <w:lang w:val="en-GB"/>
        </w:rPr>
        <w:br w:type="page"/>
      </w:r>
    </w:p>
    <w:p w14:paraId="17C3FC67" w14:textId="716E6167" w:rsidR="00EC55BA" w:rsidRPr="00EC55BA" w:rsidRDefault="00EC55BA" w:rsidP="001E0823">
      <w:pPr>
        <w:pStyle w:val="Heading4"/>
        <w:rPr>
          <w:lang w:val="en-GB"/>
        </w:rPr>
      </w:pPr>
      <w:r w:rsidRPr="00EC55BA">
        <w:rPr>
          <w:lang w:val="en-GB"/>
        </w:rPr>
        <w:lastRenderedPageBreak/>
        <w:t>2016-17 in review</w:t>
      </w:r>
    </w:p>
    <w:p w14:paraId="54B6AE98" w14:textId="77777777" w:rsidR="00EC55BA" w:rsidRPr="00EC55BA" w:rsidRDefault="00EC55BA" w:rsidP="001E0823">
      <w:pPr>
        <w:pStyle w:val="ListBullet"/>
        <w:rPr>
          <w:lang w:val="en-GB"/>
        </w:rPr>
      </w:pPr>
      <w:r w:rsidRPr="00EC55BA">
        <w:rPr>
          <w:lang w:val="en-GB"/>
        </w:rPr>
        <w:t xml:space="preserve">The range and depth of Partners in the Community – well-established, experienced organisations – grew rapidly in NSW. </w:t>
      </w:r>
    </w:p>
    <w:p w14:paraId="261A021B" w14:textId="77777777" w:rsidR="00867A72" w:rsidRDefault="00EC55BA" w:rsidP="001E0823">
      <w:pPr>
        <w:pStyle w:val="ListBullet"/>
        <w:rPr>
          <w:lang w:val="en-GB"/>
        </w:rPr>
      </w:pPr>
      <w:r w:rsidRPr="00EC55BA">
        <w:rPr>
          <w:lang w:val="en-GB"/>
        </w:rPr>
        <w:t>Working groups with Local Area Health Networks, and the NSW Departments of Justice and Education were established to resolve issues that occur through the transition of participants from N</w:t>
      </w:r>
      <w:r w:rsidR="00867A72">
        <w:rPr>
          <w:lang w:val="en-GB"/>
        </w:rPr>
        <w:t>SW state services to the NDIS.</w:t>
      </w:r>
    </w:p>
    <w:p w14:paraId="7524481C" w14:textId="45BF85D0" w:rsidR="00EC55BA" w:rsidRPr="00CD3904" w:rsidRDefault="00EC55BA" w:rsidP="001E0823">
      <w:pPr>
        <w:pStyle w:val="ListBullet"/>
        <w:rPr>
          <w:lang w:val="en-GB"/>
        </w:rPr>
      </w:pPr>
      <w:r w:rsidRPr="00EC55BA">
        <w:rPr>
          <w:lang w:val="en-GB"/>
        </w:rPr>
        <w:t xml:space="preserve">Targeted information sessions were </w:t>
      </w:r>
      <w:r w:rsidRPr="00CD3904">
        <w:rPr>
          <w:lang w:val="en-GB"/>
        </w:rPr>
        <w:t>delivered for:</w:t>
      </w:r>
    </w:p>
    <w:p w14:paraId="0BEF4D57" w14:textId="77777777" w:rsidR="00EC55BA" w:rsidRPr="00EC55BA" w:rsidRDefault="00EC55BA" w:rsidP="001E0823">
      <w:pPr>
        <w:pStyle w:val="ListBullet2"/>
        <w:rPr>
          <w:lang w:val="en-GB"/>
        </w:rPr>
      </w:pPr>
      <w:r w:rsidRPr="00EC55BA">
        <w:rPr>
          <w:lang w:val="en-GB"/>
        </w:rPr>
        <w:t>Culturally and Linguistically Diverse (CALD) communities;</w:t>
      </w:r>
    </w:p>
    <w:p w14:paraId="7676BD1F" w14:textId="2C2E43C8" w:rsidR="00EC55BA" w:rsidRPr="00EC55BA" w:rsidRDefault="00EC55BA" w:rsidP="001E0823">
      <w:pPr>
        <w:pStyle w:val="ListBullet2"/>
        <w:rPr>
          <w:lang w:val="en-GB"/>
        </w:rPr>
      </w:pPr>
      <w:r w:rsidRPr="00EC55BA">
        <w:rPr>
          <w:lang w:val="en-GB"/>
        </w:rPr>
        <w:t>providers including workshops on topics such as the new Supported Independent Living tool, Support Coordination, and specific wo</w:t>
      </w:r>
      <w:r w:rsidR="00341C75">
        <w:rPr>
          <w:lang w:val="en-GB"/>
        </w:rPr>
        <w:t xml:space="preserve">rkshops for ECEI providers; and </w:t>
      </w:r>
      <w:r w:rsidRPr="00EC55BA">
        <w:rPr>
          <w:lang w:val="en-GB"/>
        </w:rPr>
        <w:t xml:space="preserve">participants and providers on the use </w:t>
      </w:r>
    </w:p>
    <w:p w14:paraId="44424925" w14:textId="77777777" w:rsidR="00EC55BA" w:rsidRPr="00EC55BA" w:rsidRDefault="00EC55BA" w:rsidP="001E0823">
      <w:pPr>
        <w:pStyle w:val="ListBullet2"/>
        <w:rPr>
          <w:lang w:val="en-GB"/>
        </w:rPr>
      </w:pPr>
      <w:r w:rsidRPr="00EC55BA">
        <w:rPr>
          <w:lang w:val="en-GB"/>
        </w:rPr>
        <w:t>of the myplace portal.</w:t>
      </w:r>
    </w:p>
    <w:p w14:paraId="3DFCE616" w14:textId="77777777" w:rsidR="00EC55BA" w:rsidRPr="00EC55BA" w:rsidRDefault="00EC55BA" w:rsidP="001E0823">
      <w:pPr>
        <w:pStyle w:val="Heading4"/>
        <w:rPr>
          <w:lang w:val="en-GB"/>
        </w:rPr>
      </w:pPr>
      <w:r w:rsidRPr="00EC55BA">
        <w:rPr>
          <w:lang w:val="en-GB"/>
        </w:rPr>
        <w:t>2017-18 priorities</w:t>
      </w:r>
    </w:p>
    <w:p w14:paraId="2A13A512" w14:textId="77777777" w:rsidR="00EC55BA" w:rsidRPr="00EC55BA" w:rsidRDefault="00EC55BA" w:rsidP="001E0823">
      <w:pPr>
        <w:pStyle w:val="ListBullet"/>
        <w:rPr>
          <w:lang w:val="en-GB"/>
        </w:rPr>
      </w:pPr>
      <w:r w:rsidRPr="00EC55BA">
        <w:rPr>
          <w:lang w:val="en-GB"/>
        </w:rPr>
        <w:t>The NDIA will work with its Partners to deliver exceptional service for participants, their families, carers and providers.</w:t>
      </w:r>
    </w:p>
    <w:p w14:paraId="4EB07D87" w14:textId="77777777" w:rsidR="00EC55BA" w:rsidRPr="00EC55BA" w:rsidRDefault="00EC55BA" w:rsidP="001E0823">
      <w:pPr>
        <w:pStyle w:val="ListBullet"/>
        <w:rPr>
          <w:lang w:val="en-GB"/>
        </w:rPr>
      </w:pPr>
      <w:r w:rsidRPr="00EC55BA">
        <w:rPr>
          <w:lang w:val="en-GB"/>
        </w:rPr>
        <w:t xml:space="preserve">2017-18 will see large numbers of participants enter the NDIS. This will require a scale-up of NDIS operations in line with the Bilateral Agreement and a dedicated focus to ensure participant readiness when the NSW Government ceases their involvement </w:t>
      </w:r>
    </w:p>
    <w:p w14:paraId="63CC83A6" w14:textId="77777777" w:rsidR="00EC55BA" w:rsidRPr="00EC55BA" w:rsidRDefault="00EC55BA" w:rsidP="001E0823">
      <w:pPr>
        <w:pStyle w:val="ListBullet"/>
        <w:rPr>
          <w:lang w:val="en-GB"/>
        </w:rPr>
      </w:pPr>
      <w:r w:rsidRPr="00EC55BA">
        <w:rPr>
          <w:lang w:val="en-GB"/>
        </w:rPr>
        <w:t>in disability-related services.</w:t>
      </w:r>
    </w:p>
    <w:p w14:paraId="37E36ED1" w14:textId="70B966AE" w:rsidR="0044079C" w:rsidRDefault="00EC55BA" w:rsidP="001E0823">
      <w:pPr>
        <w:pStyle w:val="ListBullet"/>
        <w:rPr>
          <w:lang w:val="en-GB"/>
        </w:rPr>
      </w:pPr>
      <w:r w:rsidRPr="00EC55BA">
        <w:rPr>
          <w:lang w:val="en-GB"/>
        </w:rPr>
        <w:t>The Agency will support local business groups to attract new providers to rural and remote areas of NSW.</w:t>
      </w:r>
    </w:p>
    <w:p w14:paraId="13A50F22" w14:textId="77777777" w:rsidR="0044079C" w:rsidRDefault="0044079C" w:rsidP="001E0823">
      <w:pPr>
        <w:rPr>
          <w:lang w:val="en-GB"/>
        </w:rPr>
      </w:pPr>
      <w:r>
        <w:rPr>
          <w:lang w:val="en-GB"/>
        </w:rPr>
        <w:br w:type="page"/>
      </w:r>
    </w:p>
    <w:p w14:paraId="43E1F8AA" w14:textId="77777777" w:rsidR="0044079C" w:rsidRDefault="0044079C" w:rsidP="001E0823">
      <w:pPr>
        <w:pStyle w:val="Heading3"/>
      </w:pPr>
      <w:r>
        <w:lastRenderedPageBreak/>
        <w:t>Northern Territory</w:t>
      </w:r>
    </w:p>
    <w:p w14:paraId="4F0D782F" w14:textId="77777777" w:rsidR="0044079C" w:rsidRDefault="0044079C" w:rsidP="001E0823">
      <w:pPr>
        <w:pStyle w:val="Intro"/>
      </w:pPr>
      <w:r>
        <w:t>Since July 2014, the Northern Territory (NT) undertook a trial in the Barkly region. This provided valuable insight into the unique opportunities and challenges in rolling out the Scheme in the NT.</w:t>
      </w:r>
    </w:p>
    <w:p w14:paraId="741F52D3" w14:textId="52C88887" w:rsidR="00EC55BA" w:rsidRPr="0044079C" w:rsidRDefault="0044079C" w:rsidP="001E0823">
      <w:pPr>
        <w:pStyle w:val="BodyText"/>
      </w:pPr>
      <w:r>
        <w:t>The full rollout of the Scheme commenced in January 2017. The Agency is focussed on working with participants and other stakeholders to help facilitate better participant outcomes.</w:t>
      </w:r>
    </w:p>
    <w:p w14:paraId="649AA760" w14:textId="52F1A09A" w:rsidR="00465BCE" w:rsidRPr="00465BCE" w:rsidRDefault="00F80A60" w:rsidP="001E0823">
      <w:pPr>
        <w:pStyle w:val="Heading4"/>
        <w:rPr>
          <w:lang w:val="en-GB"/>
        </w:rPr>
      </w:pPr>
      <w:r w:rsidRPr="00F80A60">
        <w:rPr>
          <w:lang w:val="en-GB"/>
        </w:rPr>
        <w:t>Participants with an approved NDIS plan</w:t>
      </w:r>
      <w:r w:rsidR="00432AC9">
        <w:rPr>
          <w:lang w:val="en-GB"/>
        </w:rPr>
        <w:t xml:space="preserve"> - NT</w:t>
      </w:r>
    </w:p>
    <w:tbl>
      <w:tblPr>
        <w:tblStyle w:val="TableGrid"/>
        <w:tblW w:w="0" w:type="auto"/>
        <w:tblLook w:val="04A0" w:firstRow="1" w:lastRow="0" w:firstColumn="1" w:lastColumn="0" w:noHBand="0" w:noVBand="1"/>
        <w:tblDescription w:val="Participants with an approved NDIS plan - NT"/>
      </w:tblPr>
      <w:tblGrid>
        <w:gridCol w:w="4799"/>
        <w:gridCol w:w="4829"/>
      </w:tblGrid>
      <w:tr w:rsidR="00465BCE" w14:paraId="649D6A56" w14:textId="77777777" w:rsidTr="005B251B">
        <w:trPr>
          <w:tblHeader/>
        </w:trPr>
        <w:tc>
          <w:tcPr>
            <w:tcW w:w="5094" w:type="dxa"/>
            <w:shd w:val="clear" w:color="auto" w:fill="6B2976" w:themeFill="background2"/>
          </w:tcPr>
          <w:p w14:paraId="1C13E7DE" w14:textId="212B8F55" w:rsidR="00465BCE" w:rsidRPr="00465BCE" w:rsidRDefault="00465BCE" w:rsidP="001E0823">
            <w:pPr>
              <w:pStyle w:val="TableTitle"/>
            </w:pPr>
            <w:bookmarkStart w:id="18" w:name="ColumnTitle_NTParticipants"/>
            <w:r w:rsidRPr="00465BCE">
              <w:t>At end of trial (30 June 2016)</w:t>
            </w:r>
          </w:p>
        </w:tc>
        <w:tc>
          <w:tcPr>
            <w:tcW w:w="5094" w:type="dxa"/>
            <w:shd w:val="clear" w:color="auto" w:fill="6B2976" w:themeFill="background2"/>
          </w:tcPr>
          <w:p w14:paraId="42B2E8E5" w14:textId="20E37308" w:rsidR="00465BCE" w:rsidRPr="00465BCE" w:rsidRDefault="00465BCE" w:rsidP="001E0823">
            <w:pPr>
              <w:pStyle w:val="TableTitle"/>
            </w:pPr>
            <w:r w:rsidRPr="00465BCE">
              <w:t>At 30 June 2017 (including ECEI)</w:t>
            </w:r>
          </w:p>
        </w:tc>
      </w:tr>
      <w:bookmarkEnd w:id="18"/>
      <w:tr w:rsidR="00465BCE" w14:paraId="0022633D" w14:textId="77777777" w:rsidTr="005332B3">
        <w:tc>
          <w:tcPr>
            <w:tcW w:w="5094" w:type="dxa"/>
          </w:tcPr>
          <w:p w14:paraId="06055A95" w14:textId="0814327B" w:rsidR="00465BCE" w:rsidRDefault="00465BCE" w:rsidP="001E0823">
            <w:pPr>
              <w:pStyle w:val="BodyText"/>
              <w:rPr>
                <w:rStyle w:val="BodyTextBold"/>
              </w:rPr>
            </w:pPr>
            <w:r>
              <w:t>155</w:t>
            </w:r>
          </w:p>
        </w:tc>
        <w:tc>
          <w:tcPr>
            <w:tcW w:w="5094" w:type="dxa"/>
          </w:tcPr>
          <w:p w14:paraId="1670CAD7" w14:textId="25CE7491" w:rsidR="00465BCE" w:rsidRDefault="00465BCE" w:rsidP="001E0823">
            <w:pPr>
              <w:pStyle w:val="BodyText"/>
              <w:rPr>
                <w:rStyle w:val="BodyTextBold"/>
              </w:rPr>
            </w:pPr>
            <w:r>
              <w:t>388 (71 per cent of bilateral estimate)</w:t>
            </w:r>
          </w:p>
        </w:tc>
      </w:tr>
    </w:tbl>
    <w:p w14:paraId="223DD82A" w14:textId="77777777" w:rsidR="00465BCE" w:rsidRDefault="00465BCE" w:rsidP="001E0823">
      <w:pPr>
        <w:pStyle w:val="Heading4"/>
      </w:pPr>
      <w:r>
        <w:t>Total payments to participants</w:t>
      </w:r>
    </w:p>
    <w:p w14:paraId="17CAD677" w14:textId="2FA2B5EC" w:rsidR="00465BCE" w:rsidRDefault="00465BCE" w:rsidP="001E0823">
      <w:pPr>
        <w:pStyle w:val="BodyText"/>
      </w:pPr>
      <w:r>
        <w:t>At 30 June 2017 a total of $69.1 million had been committed since Scheme inception to participants in the NT.</w:t>
      </w:r>
      <w:r>
        <w:rPr>
          <w:rStyle w:val="FootnoteReference"/>
        </w:rPr>
        <w:footnoteReference w:id="3"/>
      </w:r>
    </w:p>
    <w:p w14:paraId="5B924E1F" w14:textId="77777777" w:rsidR="00465BCE" w:rsidRDefault="00465BCE" w:rsidP="001E0823">
      <w:pPr>
        <w:pStyle w:val="Heading4"/>
      </w:pPr>
      <w:r>
        <w:t>Providers</w:t>
      </w:r>
    </w:p>
    <w:p w14:paraId="16CBF2A0" w14:textId="77777777" w:rsidR="00465BCE" w:rsidRDefault="00465BCE" w:rsidP="001E0823">
      <w:pPr>
        <w:pStyle w:val="BodyText"/>
      </w:pPr>
      <w:r>
        <w:t>In 2016-17 registered providers operating in the NT increased from 42 to 383.</w:t>
      </w:r>
    </w:p>
    <w:p w14:paraId="2927A52A" w14:textId="77777777" w:rsidR="00465BCE" w:rsidRDefault="00465BCE" w:rsidP="001E0823">
      <w:pPr>
        <w:pStyle w:val="Heading4"/>
      </w:pPr>
      <w:r>
        <w:t>Rollout to date</w:t>
      </w:r>
    </w:p>
    <w:p w14:paraId="70F80935" w14:textId="77777777" w:rsidR="00465BCE" w:rsidRDefault="00465BCE" w:rsidP="001E0823">
      <w:pPr>
        <w:pStyle w:val="BodyText"/>
      </w:pPr>
      <w:r>
        <w:t>In the NT, the NDIS is rolling out by region:</w:t>
      </w:r>
    </w:p>
    <w:p w14:paraId="768624FF" w14:textId="77777777" w:rsidR="00465BCE" w:rsidRDefault="00465BCE" w:rsidP="001E0823">
      <w:pPr>
        <w:pStyle w:val="ListBullet"/>
      </w:pPr>
      <w:r>
        <w:t>July 2014 (trial) – Barkly region.</w:t>
      </w:r>
    </w:p>
    <w:p w14:paraId="73718224" w14:textId="0556E2D5" w:rsidR="00465BCE" w:rsidRDefault="00465BCE" w:rsidP="001E0823">
      <w:pPr>
        <w:pStyle w:val="ListBullet"/>
      </w:pPr>
      <w:r>
        <w:t>January 2017 – East Arnhem, people in supported accommodation in Darwin urban region.</w:t>
      </w:r>
    </w:p>
    <w:p w14:paraId="60EB25FA" w14:textId="77777777" w:rsidR="00D60CC9" w:rsidRDefault="00D60CC9" w:rsidP="001E0823">
      <w:pPr>
        <w:rPr>
          <w:rFonts w:eastAsiaTheme="majorEastAsia" w:cstheme="majorBidi"/>
          <w:sz w:val="28"/>
        </w:rPr>
      </w:pPr>
      <w:r>
        <w:br w:type="page"/>
      </w:r>
    </w:p>
    <w:p w14:paraId="605D7BA2" w14:textId="5C0903FF" w:rsidR="00D60CC9" w:rsidRDefault="00D60CC9" w:rsidP="001E0823">
      <w:pPr>
        <w:pStyle w:val="Heading4"/>
      </w:pPr>
      <w:r>
        <w:lastRenderedPageBreak/>
        <w:t>2016-17 in review</w:t>
      </w:r>
    </w:p>
    <w:p w14:paraId="329738D3" w14:textId="7D5CE81D" w:rsidR="00D60CC9" w:rsidRDefault="00D60CC9" w:rsidP="001E0823">
      <w:pPr>
        <w:pStyle w:val="ListBullet"/>
      </w:pPr>
      <w:r>
        <w:t>Strong working relationships with stakeholders, such as the NT Government and Office of Disability, supported the Agency to implement the key learnings of the Barkly trial and embed the community-by-community approach in the NT.</w:t>
      </w:r>
    </w:p>
    <w:p w14:paraId="0D7B4026" w14:textId="77777777" w:rsidR="00D60CC9" w:rsidRDefault="00D60CC9" w:rsidP="001E0823">
      <w:pPr>
        <w:pStyle w:val="ListBullet"/>
      </w:pPr>
      <w:r>
        <w:t>Implementation of a ‘Three Tiered Engagement Strategy’ to ensure engagement activities in remote communities are undertaken with permission and knowledge of the traditional owners and key decision makers in Aboriginal communities. This includes Cultural Awareness training for staff to build cultural competency. Read about the Community Connectors on the next page.</w:t>
      </w:r>
    </w:p>
    <w:p w14:paraId="379215CF" w14:textId="6CC5D066" w:rsidR="00D60CC9" w:rsidRDefault="00D60CC9" w:rsidP="001E0823">
      <w:pPr>
        <w:pStyle w:val="ListBullet"/>
      </w:pPr>
      <w:r>
        <w:t>At 30 June 2017, 4.9 per cent of NT staff in Darwin identified as Aboriginal or Torres Strait Islander.</w:t>
      </w:r>
    </w:p>
    <w:p w14:paraId="24B04145" w14:textId="7D4BB26D" w:rsidR="00D60CC9" w:rsidRDefault="00D60CC9" w:rsidP="001E0823">
      <w:pPr>
        <w:pStyle w:val="ListBullet"/>
      </w:pPr>
      <w:r>
        <w:t>The NT Office has been working with the National Interpreting and Communication Service to provide Auslan interpreting services to participants in remote communities via Skype. The first Skype Auslan interpreting service was completed in March 2017 for a participant in the Barkly Region.</w:t>
      </w:r>
    </w:p>
    <w:p w14:paraId="18C4C152" w14:textId="77777777" w:rsidR="00D60CC9" w:rsidRDefault="00D60CC9" w:rsidP="001E0823">
      <w:pPr>
        <w:pStyle w:val="Heading4"/>
      </w:pPr>
      <w:r>
        <w:t>2017-18 priorities</w:t>
      </w:r>
    </w:p>
    <w:p w14:paraId="4F3924AE" w14:textId="77777777" w:rsidR="00D60CC9" w:rsidRDefault="00D60CC9" w:rsidP="001E0823">
      <w:pPr>
        <w:pStyle w:val="ListBullet"/>
      </w:pPr>
      <w:r>
        <w:t>Exploring options for participants to access suitable service and support options and achieve their goals. This will require the Agency to think flexibly and build on existing local community capabilities.</w:t>
      </w:r>
    </w:p>
    <w:p w14:paraId="5E410266" w14:textId="77777777" w:rsidR="00D60CC9" w:rsidRDefault="00D60CC9" w:rsidP="001E0823">
      <w:pPr>
        <w:pStyle w:val="ListBullet"/>
      </w:pPr>
      <w:r>
        <w:t>Implementing a communication strategy using print, radio and social media to reach geographically-dispersed populations.</w:t>
      </w:r>
    </w:p>
    <w:p w14:paraId="70D64D98" w14:textId="15DFA657" w:rsidR="00FA78A7" w:rsidRDefault="00D60CC9" w:rsidP="001E0823">
      <w:pPr>
        <w:pStyle w:val="ListBullet"/>
      </w:pPr>
      <w:r>
        <w:t>The NT disability market, particularly in remote regions, has limited staff and services. The team will focus on understanding and addressing the barriers preventing providers from entering the NDIS market to ensure participants have better choice and control of who provides their services.</w:t>
      </w:r>
    </w:p>
    <w:p w14:paraId="3FFD22AF" w14:textId="77777777" w:rsidR="00FA78A7" w:rsidRDefault="00FA78A7" w:rsidP="001E0823">
      <w:r>
        <w:br w:type="page"/>
      </w:r>
    </w:p>
    <w:p w14:paraId="37FCA463" w14:textId="21B24501" w:rsidR="00645623" w:rsidRDefault="00BE0F1D" w:rsidP="001E0823">
      <w:pPr>
        <w:pStyle w:val="CaseStudyTitle"/>
      </w:pPr>
      <w:r>
        <w:lastRenderedPageBreak/>
        <w:t>CASE STUDY:</w:t>
      </w:r>
    </w:p>
    <w:p w14:paraId="78F5D7BA" w14:textId="77777777" w:rsidR="00645623" w:rsidRDefault="00645623" w:rsidP="001E0823">
      <w:pPr>
        <w:pStyle w:val="Heading3"/>
      </w:pPr>
      <w:r>
        <w:t>Community Connectors in East Arnhem communities</w:t>
      </w:r>
    </w:p>
    <w:p w14:paraId="2F562597" w14:textId="77777777" w:rsidR="008259FB" w:rsidRDefault="00645623" w:rsidP="001E0823">
      <w:pPr>
        <w:pStyle w:val="Intro"/>
      </w:pPr>
      <w:r>
        <w:t xml:space="preserve">A community-based program has commenced in the Northern Territory to ensure the NDIS is accessible for eligible participants in Aboriginal communities. </w:t>
      </w:r>
    </w:p>
    <w:p w14:paraId="64399A44" w14:textId="16ECEB9F" w:rsidR="00645623" w:rsidRDefault="00645623" w:rsidP="001E0823">
      <w:pPr>
        <w:pStyle w:val="BodyText"/>
      </w:pPr>
      <w:r>
        <w:t>The Community Connector program uses trusted community members to build awareness and understanding of the Scheme in remote communities in East Arnhem.</w:t>
      </w:r>
    </w:p>
    <w:p w14:paraId="10DFFBCC" w14:textId="77777777" w:rsidR="00645623" w:rsidRDefault="00645623" w:rsidP="001E0823">
      <w:pPr>
        <w:pStyle w:val="BodyText"/>
      </w:pPr>
      <w:r>
        <w:t>Seventeen ‘Connectors’, all local members of the Aboriginal community, will connect the NDIA, local people and local disability service providers.</w:t>
      </w:r>
    </w:p>
    <w:p w14:paraId="7BCB7375" w14:textId="77777777" w:rsidR="00645623" w:rsidRDefault="00645623" w:rsidP="001E0823">
      <w:pPr>
        <w:pStyle w:val="BodyText"/>
      </w:pPr>
      <w:r>
        <w:t>The Connectors attended a two-day training session in Nhulunbuy in June 2017 and are now working across various communities.</w:t>
      </w:r>
    </w:p>
    <w:p w14:paraId="4719521B" w14:textId="77777777" w:rsidR="00645623" w:rsidRDefault="00645623" w:rsidP="001E0823">
      <w:pPr>
        <w:pStyle w:val="BodyText"/>
      </w:pPr>
      <w:r>
        <w:t>Funding for the Community Connector positions has been provided to local Aboriginal Community Controlled organisations.</w:t>
      </w:r>
    </w:p>
    <w:p w14:paraId="2C5D645A" w14:textId="795A95DF" w:rsidR="008259FB" w:rsidRDefault="00645623" w:rsidP="001E0823">
      <w:pPr>
        <w:pStyle w:val="BodyText"/>
      </w:pPr>
      <w:r>
        <w:t>“The Community Connectors are the local ‘face’ of the NDIA,” Lizzie Gilliam, NDIA Regional Manager in Northern Territory said.</w:t>
      </w:r>
    </w:p>
    <w:p w14:paraId="233481A7" w14:textId="77777777" w:rsidR="008259FB" w:rsidRDefault="008259FB" w:rsidP="001E0823">
      <w:r>
        <w:br w:type="page"/>
      </w:r>
    </w:p>
    <w:p w14:paraId="0C5EC701" w14:textId="77777777" w:rsidR="008259FB" w:rsidRDefault="008259FB" w:rsidP="001E0823">
      <w:r w:rsidRPr="008259FB">
        <w:rPr>
          <w:rStyle w:val="Heading3Char"/>
        </w:rPr>
        <w:lastRenderedPageBreak/>
        <w:t>Queensland</w:t>
      </w:r>
    </w:p>
    <w:p w14:paraId="0517F4BA" w14:textId="77777777" w:rsidR="008259FB" w:rsidRDefault="008259FB" w:rsidP="001E0823">
      <w:pPr>
        <w:pStyle w:val="Intro"/>
      </w:pPr>
      <w:r>
        <w:t xml:space="preserve">The benefits of the NDIS are beginning to be seen despite lower than expected participant numbers in some regions and a diverse geography and population. </w:t>
      </w:r>
    </w:p>
    <w:p w14:paraId="25639BBE" w14:textId="6F65D47C" w:rsidR="00D60CC9" w:rsidRDefault="008259FB" w:rsidP="001E0823">
      <w:pPr>
        <w:pStyle w:val="BodyText"/>
      </w:pPr>
      <w:r>
        <w:t>There has been a focus on local partnerships and community engagement to address these challenges.</w:t>
      </w:r>
    </w:p>
    <w:p w14:paraId="2E841F00" w14:textId="1AAB241E" w:rsidR="00216426" w:rsidRPr="00465BCE" w:rsidRDefault="008259FB" w:rsidP="001E0823">
      <w:pPr>
        <w:pStyle w:val="Heading4"/>
        <w:rPr>
          <w:lang w:val="en-GB"/>
        </w:rPr>
      </w:pPr>
      <w:r w:rsidRPr="008259FB">
        <w:t>Participants with an approved NDIS plan</w:t>
      </w:r>
      <w:r w:rsidR="00216426" w:rsidRPr="00216426">
        <w:rPr>
          <w:lang w:val="en-GB"/>
        </w:rPr>
        <w:t xml:space="preserve"> </w:t>
      </w:r>
      <w:r w:rsidR="00432AC9">
        <w:rPr>
          <w:lang w:val="en-GB"/>
        </w:rPr>
        <w:t>- QLD</w:t>
      </w:r>
    </w:p>
    <w:tbl>
      <w:tblPr>
        <w:tblStyle w:val="TableGrid"/>
        <w:tblW w:w="0" w:type="auto"/>
        <w:tblLook w:val="04A0" w:firstRow="1" w:lastRow="0" w:firstColumn="1" w:lastColumn="0" w:noHBand="0" w:noVBand="1"/>
        <w:tblDescription w:val="Participants with an approved NDIS plan - QLD"/>
      </w:tblPr>
      <w:tblGrid>
        <w:gridCol w:w="4799"/>
        <w:gridCol w:w="4829"/>
      </w:tblGrid>
      <w:tr w:rsidR="00216426" w14:paraId="2528C770" w14:textId="77777777" w:rsidTr="005B251B">
        <w:trPr>
          <w:tblHeader/>
        </w:trPr>
        <w:tc>
          <w:tcPr>
            <w:tcW w:w="5094" w:type="dxa"/>
            <w:shd w:val="clear" w:color="auto" w:fill="6B2976" w:themeFill="background2"/>
          </w:tcPr>
          <w:p w14:paraId="1DA62070" w14:textId="77777777" w:rsidR="00216426" w:rsidRPr="00465BCE" w:rsidRDefault="00216426" w:rsidP="001E0823">
            <w:pPr>
              <w:pStyle w:val="TableTitle"/>
            </w:pPr>
            <w:bookmarkStart w:id="19" w:name="ColumnTitle_QLDParticipants"/>
            <w:r w:rsidRPr="00465BCE">
              <w:t>At end of trial (30 June 2016)</w:t>
            </w:r>
          </w:p>
        </w:tc>
        <w:tc>
          <w:tcPr>
            <w:tcW w:w="5094" w:type="dxa"/>
            <w:shd w:val="clear" w:color="auto" w:fill="6B2976" w:themeFill="background2"/>
          </w:tcPr>
          <w:p w14:paraId="09372F93" w14:textId="77777777" w:rsidR="00216426" w:rsidRPr="00465BCE" w:rsidRDefault="00216426" w:rsidP="001E0823">
            <w:pPr>
              <w:pStyle w:val="TableTitle"/>
            </w:pPr>
            <w:r w:rsidRPr="00465BCE">
              <w:t>At 30 June 2017 (including ECEI)</w:t>
            </w:r>
          </w:p>
        </w:tc>
      </w:tr>
      <w:bookmarkEnd w:id="19"/>
      <w:tr w:rsidR="00216426" w14:paraId="11A1178F" w14:textId="77777777" w:rsidTr="005332B3">
        <w:tc>
          <w:tcPr>
            <w:tcW w:w="5094" w:type="dxa"/>
          </w:tcPr>
          <w:p w14:paraId="2877CD89" w14:textId="10DE3691" w:rsidR="00216426" w:rsidRDefault="00216426" w:rsidP="001E0823">
            <w:pPr>
              <w:pStyle w:val="BodyText"/>
              <w:rPr>
                <w:rStyle w:val="BodyTextBold"/>
              </w:rPr>
            </w:pPr>
            <w:r>
              <w:t>361</w:t>
            </w:r>
          </w:p>
        </w:tc>
        <w:tc>
          <w:tcPr>
            <w:tcW w:w="5094" w:type="dxa"/>
          </w:tcPr>
          <w:p w14:paraId="1714BCF1" w14:textId="2ADA1359" w:rsidR="00216426" w:rsidRDefault="00216426" w:rsidP="001E0823">
            <w:pPr>
              <w:pStyle w:val="BodyText"/>
              <w:rPr>
                <w:rStyle w:val="BodyTextBold"/>
              </w:rPr>
            </w:pPr>
            <w:r>
              <w:t>7,442 (50 per cent of bilateral estimate)</w:t>
            </w:r>
          </w:p>
        </w:tc>
      </w:tr>
    </w:tbl>
    <w:p w14:paraId="1ED711DE" w14:textId="77777777" w:rsidR="009F73FA" w:rsidRDefault="009F73FA" w:rsidP="001E0823">
      <w:pPr>
        <w:pStyle w:val="Heading4"/>
      </w:pPr>
      <w:r>
        <w:t>Total payments to participants</w:t>
      </w:r>
    </w:p>
    <w:p w14:paraId="3A8B02CD" w14:textId="4665124E" w:rsidR="00216426" w:rsidRPr="009F73FA" w:rsidRDefault="00216426" w:rsidP="001E0823">
      <w:pPr>
        <w:pStyle w:val="BodyText"/>
      </w:pPr>
      <w:r w:rsidRPr="009F73FA">
        <w:t>At 30 June 2017 a total of $507.8 million had been committed since Scheme inception to pa</w:t>
      </w:r>
      <w:r w:rsidR="009F73FA">
        <w:t>rticipants in Queensland (QLD).</w:t>
      </w:r>
      <w:r w:rsidR="009F73FA">
        <w:rPr>
          <w:rStyle w:val="FootnoteReference"/>
        </w:rPr>
        <w:footnoteReference w:id="4"/>
      </w:r>
    </w:p>
    <w:p w14:paraId="01F75070" w14:textId="77777777" w:rsidR="00216426" w:rsidRPr="009F73FA" w:rsidRDefault="00216426" w:rsidP="001E0823">
      <w:pPr>
        <w:pStyle w:val="Heading4"/>
      </w:pPr>
      <w:r w:rsidRPr="009F73FA">
        <w:t>Providers</w:t>
      </w:r>
    </w:p>
    <w:p w14:paraId="07D583A0" w14:textId="77777777" w:rsidR="00216426" w:rsidRPr="009F73FA" w:rsidRDefault="00216426" w:rsidP="001E0823">
      <w:pPr>
        <w:pStyle w:val="BodyText"/>
      </w:pPr>
      <w:r w:rsidRPr="009F73FA">
        <w:t>In 2016-17 registered providers operating in QLD increased from 139 to 1,484.</w:t>
      </w:r>
    </w:p>
    <w:p w14:paraId="080E2191" w14:textId="32954327" w:rsidR="009F73FA" w:rsidRPr="003B7FF5" w:rsidRDefault="00216426" w:rsidP="001E0823">
      <w:pPr>
        <w:pStyle w:val="Heading4"/>
      </w:pPr>
      <w:r w:rsidRPr="009F73FA">
        <w:t>Partners in the Community</w:t>
      </w:r>
      <w:r w:rsidR="00432AC9">
        <w:t xml:space="preserve"> - QLD</w:t>
      </w:r>
    </w:p>
    <w:tbl>
      <w:tblPr>
        <w:tblStyle w:val="TableGrid"/>
        <w:tblW w:w="0" w:type="auto"/>
        <w:tblLook w:val="04A0" w:firstRow="1" w:lastRow="0" w:firstColumn="1" w:lastColumn="0" w:noHBand="0" w:noVBand="1"/>
        <w:tblDescription w:val="Partners in the Community - QLD"/>
      </w:tblPr>
      <w:tblGrid>
        <w:gridCol w:w="2394"/>
        <w:gridCol w:w="2271"/>
        <w:gridCol w:w="2471"/>
        <w:gridCol w:w="2492"/>
      </w:tblGrid>
      <w:tr w:rsidR="009F73FA" w:rsidRPr="00B86A86" w14:paraId="75F57A65" w14:textId="77777777" w:rsidTr="005B251B">
        <w:trPr>
          <w:tblHeader/>
        </w:trPr>
        <w:tc>
          <w:tcPr>
            <w:tcW w:w="2519" w:type="dxa"/>
            <w:shd w:val="clear" w:color="auto" w:fill="6B2976" w:themeFill="background2"/>
          </w:tcPr>
          <w:p w14:paraId="212A5FC4" w14:textId="77777777" w:rsidR="009F73FA" w:rsidRPr="00B86A86" w:rsidRDefault="009F73FA" w:rsidP="001E0823">
            <w:pPr>
              <w:pStyle w:val="TableTitle"/>
            </w:pPr>
            <w:bookmarkStart w:id="20" w:name="ColumnTitle_QLDPartners"/>
            <w:r w:rsidRPr="00B86A86">
              <w:t>Partner</w:t>
            </w:r>
          </w:p>
        </w:tc>
        <w:tc>
          <w:tcPr>
            <w:tcW w:w="2379" w:type="dxa"/>
            <w:shd w:val="clear" w:color="auto" w:fill="6B2976" w:themeFill="background2"/>
          </w:tcPr>
          <w:p w14:paraId="71A89C7F" w14:textId="77777777" w:rsidR="009F73FA" w:rsidRPr="00B86A86" w:rsidRDefault="009F73FA" w:rsidP="001E0823">
            <w:pPr>
              <w:pStyle w:val="TableTitle"/>
            </w:pPr>
            <w:r w:rsidRPr="00B86A86">
              <w:t>Service area</w:t>
            </w:r>
          </w:p>
        </w:tc>
        <w:tc>
          <w:tcPr>
            <w:tcW w:w="2645" w:type="dxa"/>
            <w:shd w:val="clear" w:color="auto" w:fill="6B2976" w:themeFill="background2"/>
          </w:tcPr>
          <w:p w14:paraId="6C889A1D" w14:textId="77777777" w:rsidR="009F73FA" w:rsidRPr="00B86A86" w:rsidRDefault="009F73FA" w:rsidP="001E0823">
            <w:pPr>
              <w:pStyle w:val="TableTitle"/>
            </w:pPr>
            <w:r w:rsidRPr="00B86A86">
              <w:t>Activity start date</w:t>
            </w:r>
          </w:p>
        </w:tc>
        <w:tc>
          <w:tcPr>
            <w:tcW w:w="2645" w:type="dxa"/>
            <w:shd w:val="clear" w:color="auto" w:fill="6B2976" w:themeFill="background2"/>
          </w:tcPr>
          <w:p w14:paraId="4F8D2C9E" w14:textId="77777777" w:rsidR="009F73FA" w:rsidRPr="00B86A86" w:rsidRDefault="009F73FA" w:rsidP="001E0823">
            <w:pPr>
              <w:pStyle w:val="TableTitle"/>
            </w:pPr>
            <w:r w:rsidRPr="00B86A86">
              <w:t>ECEI/LAC services</w:t>
            </w:r>
          </w:p>
        </w:tc>
      </w:tr>
      <w:bookmarkEnd w:id="20"/>
      <w:tr w:rsidR="009F73FA" w14:paraId="2F602956" w14:textId="77777777" w:rsidTr="005332B3">
        <w:tc>
          <w:tcPr>
            <w:tcW w:w="2519" w:type="dxa"/>
          </w:tcPr>
          <w:p w14:paraId="65655C17" w14:textId="29EE445D" w:rsidR="009F73FA" w:rsidRDefault="009F73FA" w:rsidP="001E0823">
            <w:pPr>
              <w:pStyle w:val="BodyText"/>
              <w:rPr>
                <w:rStyle w:val="BodyTextBold"/>
              </w:rPr>
            </w:pPr>
            <w:r>
              <w:t>Carers Queensland</w:t>
            </w:r>
          </w:p>
        </w:tc>
        <w:tc>
          <w:tcPr>
            <w:tcW w:w="2379" w:type="dxa"/>
          </w:tcPr>
          <w:p w14:paraId="78DB8FE5" w14:textId="77777777" w:rsidR="009F73FA" w:rsidRDefault="009F73FA" w:rsidP="001E0823">
            <w:pPr>
              <w:pStyle w:val="BodyText"/>
            </w:pPr>
            <w:r>
              <w:t>Toowoomba</w:t>
            </w:r>
          </w:p>
          <w:p w14:paraId="7C8AD1AB" w14:textId="1A2C4778" w:rsidR="009F73FA" w:rsidRDefault="009F73FA" w:rsidP="001E0823">
            <w:pPr>
              <w:pStyle w:val="BodyText"/>
            </w:pPr>
            <w:r>
              <w:t>Ipswich</w:t>
            </w:r>
          </w:p>
        </w:tc>
        <w:tc>
          <w:tcPr>
            <w:tcW w:w="2645" w:type="dxa"/>
          </w:tcPr>
          <w:p w14:paraId="3AB6C6B1" w14:textId="77777777" w:rsidR="009F73FA" w:rsidRDefault="009F73FA" w:rsidP="001E0823">
            <w:pPr>
              <w:pStyle w:val="BodyText"/>
            </w:pPr>
            <w:r>
              <w:t>Feb 2017</w:t>
            </w:r>
          </w:p>
          <w:p w14:paraId="749A7BDD" w14:textId="10F151E4" w:rsidR="009F73FA" w:rsidRDefault="009F73FA" w:rsidP="001E0823">
            <w:pPr>
              <w:pStyle w:val="BodyText"/>
              <w:rPr>
                <w:rStyle w:val="BodyTextBold"/>
              </w:rPr>
            </w:pPr>
            <w:r>
              <w:t>Jan 2017</w:t>
            </w:r>
          </w:p>
        </w:tc>
        <w:tc>
          <w:tcPr>
            <w:tcW w:w="2645" w:type="dxa"/>
          </w:tcPr>
          <w:p w14:paraId="549829AC" w14:textId="77777777" w:rsidR="009F73FA" w:rsidRDefault="009F73FA" w:rsidP="001E0823">
            <w:pPr>
              <w:pStyle w:val="BodyText"/>
            </w:pPr>
            <w:r>
              <w:t>LAC</w:t>
            </w:r>
          </w:p>
          <w:p w14:paraId="658EB91B" w14:textId="6C838C70" w:rsidR="009F73FA" w:rsidRDefault="009F73FA" w:rsidP="001E0823">
            <w:pPr>
              <w:pStyle w:val="BodyText"/>
              <w:rPr>
                <w:rStyle w:val="BodyTextBold"/>
              </w:rPr>
            </w:pPr>
            <w:r>
              <w:t>LAC</w:t>
            </w:r>
          </w:p>
        </w:tc>
      </w:tr>
      <w:tr w:rsidR="009F73FA" w14:paraId="7E05C258" w14:textId="77777777" w:rsidTr="005332B3">
        <w:tc>
          <w:tcPr>
            <w:tcW w:w="2519" w:type="dxa"/>
          </w:tcPr>
          <w:p w14:paraId="171E8AA2" w14:textId="2694CDBB" w:rsidR="009F73FA" w:rsidRDefault="009F73FA" w:rsidP="001E0823">
            <w:pPr>
              <w:pStyle w:val="BodyText"/>
            </w:pPr>
            <w:r>
              <w:t>Feros Care</w:t>
            </w:r>
          </w:p>
        </w:tc>
        <w:tc>
          <w:tcPr>
            <w:tcW w:w="2379" w:type="dxa"/>
          </w:tcPr>
          <w:p w14:paraId="222EE268" w14:textId="77777777" w:rsidR="009F73FA" w:rsidRDefault="009F73FA" w:rsidP="001E0823">
            <w:pPr>
              <w:pStyle w:val="BodyText"/>
            </w:pPr>
            <w:r>
              <w:t>Townsville</w:t>
            </w:r>
          </w:p>
          <w:p w14:paraId="09B919C9" w14:textId="7BB07B28" w:rsidR="009F73FA" w:rsidRDefault="009F73FA" w:rsidP="001E0823">
            <w:pPr>
              <w:pStyle w:val="BodyText"/>
            </w:pPr>
            <w:r>
              <w:t>Mackay</w:t>
            </w:r>
          </w:p>
        </w:tc>
        <w:tc>
          <w:tcPr>
            <w:tcW w:w="2645" w:type="dxa"/>
          </w:tcPr>
          <w:p w14:paraId="6E9628E3" w14:textId="77777777" w:rsidR="009F73FA" w:rsidRDefault="009F73FA" w:rsidP="001E0823">
            <w:pPr>
              <w:pStyle w:val="BodyText"/>
            </w:pPr>
            <w:r>
              <w:t>Feb 2017</w:t>
            </w:r>
          </w:p>
          <w:p w14:paraId="1D1ED896" w14:textId="11AB8C72" w:rsidR="009F73FA" w:rsidRDefault="009F73FA" w:rsidP="001E0823">
            <w:pPr>
              <w:pStyle w:val="BodyText"/>
            </w:pPr>
            <w:r>
              <w:t>Feb 2017</w:t>
            </w:r>
          </w:p>
        </w:tc>
        <w:tc>
          <w:tcPr>
            <w:tcW w:w="2645" w:type="dxa"/>
          </w:tcPr>
          <w:p w14:paraId="5C220076" w14:textId="77777777" w:rsidR="009F73FA" w:rsidRDefault="009F73FA" w:rsidP="001E0823">
            <w:pPr>
              <w:pStyle w:val="BodyText"/>
            </w:pPr>
            <w:r>
              <w:t>LAC</w:t>
            </w:r>
          </w:p>
          <w:p w14:paraId="4367BE8B" w14:textId="1F78A27C" w:rsidR="009F73FA" w:rsidRDefault="009F73FA" w:rsidP="001E0823">
            <w:pPr>
              <w:pStyle w:val="BodyText"/>
            </w:pPr>
            <w:r>
              <w:t>LAC</w:t>
            </w:r>
          </w:p>
        </w:tc>
      </w:tr>
      <w:tr w:rsidR="009F73FA" w14:paraId="3F16D985" w14:textId="77777777" w:rsidTr="005332B3">
        <w:tc>
          <w:tcPr>
            <w:tcW w:w="2519" w:type="dxa"/>
          </w:tcPr>
          <w:p w14:paraId="445EB8E6" w14:textId="71FE2CEF" w:rsidR="009F73FA" w:rsidRDefault="009F73FA" w:rsidP="001E0823">
            <w:pPr>
              <w:pStyle w:val="BodyText"/>
            </w:pPr>
            <w:r>
              <w:t>Indigenous Wellbeing Centre (IWC)</w:t>
            </w:r>
          </w:p>
        </w:tc>
        <w:tc>
          <w:tcPr>
            <w:tcW w:w="2379" w:type="dxa"/>
          </w:tcPr>
          <w:p w14:paraId="00E815FE" w14:textId="3F0ECE60" w:rsidR="009F73FA" w:rsidRDefault="009F73FA" w:rsidP="001E0823">
            <w:pPr>
              <w:pStyle w:val="BodyText"/>
            </w:pPr>
            <w:r>
              <w:t>Bundaberg</w:t>
            </w:r>
          </w:p>
        </w:tc>
        <w:tc>
          <w:tcPr>
            <w:tcW w:w="2645" w:type="dxa"/>
          </w:tcPr>
          <w:p w14:paraId="62A05ADB" w14:textId="361014F6" w:rsidR="009F73FA" w:rsidRDefault="009F73FA" w:rsidP="001E0823">
            <w:pPr>
              <w:pStyle w:val="BodyText"/>
            </w:pPr>
            <w:r>
              <w:t>April 2017</w:t>
            </w:r>
          </w:p>
        </w:tc>
        <w:tc>
          <w:tcPr>
            <w:tcW w:w="2645" w:type="dxa"/>
          </w:tcPr>
          <w:p w14:paraId="3CCA7C7F" w14:textId="22010446" w:rsidR="009F73FA" w:rsidRDefault="009F73FA" w:rsidP="001E0823">
            <w:pPr>
              <w:pStyle w:val="BodyText"/>
            </w:pPr>
            <w:r>
              <w:t>LAC</w:t>
            </w:r>
          </w:p>
        </w:tc>
      </w:tr>
      <w:tr w:rsidR="009F73FA" w14:paraId="368771C7" w14:textId="77777777" w:rsidTr="005332B3">
        <w:tc>
          <w:tcPr>
            <w:tcW w:w="2519" w:type="dxa"/>
          </w:tcPr>
          <w:p w14:paraId="158D50C8" w14:textId="1C0DC248" w:rsidR="009F73FA" w:rsidRDefault="009F73FA" w:rsidP="001E0823">
            <w:pPr>
              <w:pStyle w:val="BodyText"/>
            </w:pPr>
            <w:r>
              <w:t>UnitingCare Community</w:t>
            </w:r>
          </w:p>
        </w:tc>
        <w:tc>
          <w:tcPr>
            <w:tcW w:w="2379" w:type="dxa"/>
          </w:tcPr>
          <w:p w14:paraId="56E2F742" w14:textId="77777777" w:rsidR="009F73FA" w:rsidRDefault="009F73FA" w:rsidP="001E0823">
            <w:pPr>
              <w:pStyle w:val="BodyText"/>
            </w:pPr>
            <w:r>
              <w:t>Toowoomba</w:t>
            </w:r>
          </w:p>
          <w:p w14:paraId="5C34742B" w14:textId="77777777" w:rsidR="009F73FA" w:rsidRDefault="009F73FA" w:rsidP="001E0823">
            <w:pPr>
              <w:pStyle w:val="BodyText"/>
            </w:pPr>
            <w:r>
              <w:t>Townsville</w:t>
            </w:r>
          </w:p>
          <w:p w14:paraId="6960B9BB" w14:textId="6359839D" w:rsidR="009F73FA" w:rsidRDefault="009F73FA" w:rsidP="001E0823">
            <w:pPr>
              <w:pStyle w:val="BodyText"/>
            </w:pPr>
            <w:r>
              <w:t>Mackay</w:t>
            </w:r>
          </w:p>
        </w:tc>
        <w:tc>
          <w:tcPr>
            <w:tcW w:w="2645" w:type="dxa"/>
          </w:tcPr>
          <w:p w14:paraId="3EC23A2A" w14:textId="7C1B10BF" w:rsidR="009F73FA" w:rsidRDefault="009F73FA" w:rsidP="001E0823">
            <w:pPr>
              <w:pStyle w:val="BodyText"/>
            </w:pPr>
            <w:r>
              <w:t>July 2016</w:t>
            </w:r>
          </w:p>
        </w:tc>
        <w:tc>
          <w:tcPr>
            <w:tcW w:w="2645" w:type="dxa"/>
          </w:tcPr>
          <w:p w14:paraId="355E731D" w14:textId="77777777" w:rsidR="009F73FA" w:rsidRDefault="009F73FA" w:rsidP="001E0823">
            <w:pPr>
              <w:pStyle w:val="BodyText"/>
            </w:pPr>
            <w:r>
              <w:t>ECEI</w:t>
            </w:r>
          </w:p>
          <w:p w14:paraId="0372DF9A" w14:textId="77777777" w:rsidR="009F73FA" w:rsidRDefault="009F73FA" w:rsidP="001E0823">
            <w:pPr>
              <w:pStyle w:val="BodyText"/>
            </w:pPr>
            <w:r>
              <w:t>ECEI</w:t>
            </w:r>
          </w:p>
          <w:p w14:paraId="3C3E2112" w14:textId="68F8D608" w:rsidR="009F73FA" w:rsidRDefault="009F73FA" w:rsidP="001E0823">
            <w:pPr>
              <w:pStyle w:val="BodyText"/>
            </w:pPr>
            <w:r>
              <w:t>ECEI</w:t>
            </w:r>
          </w:p>
        </w:tc>
      </w:tr>
      <w:tr w:rsidR="009F73FA" w14:paraId="25D89589" w14:textId="77777777" w:rsidTr="005332B3">
        <w:tc>
          <w:tcPr>
            <w:tcW w:w="2519" w:type="dxa"/>
          </w:tcPr>
          <w:p w14:paraId="4CD30C47" w14:textId="2D37EEDD" w:rsidR="009F73FA" w:rsidRDefault="009F73FA" w:rsidP="001E0823">
            <w:pPr>
              <w:pStyle w:val="BodyText"/>
            </w:pPr>
            <w:r>
              <w:t xml:space="preserve">EACH </w:t>
            </w:r>
          </w:p>
        </w:tc>
        <w:tc>
          <w:tcPr>
            <w:tcW w:w="2379" w:type="dxa"/>
          </w:tcPr>
          <w:p w14:paraId="578AE911" w14:textId="55D354B9" w:rsidR="009F73FA" w:rsidRDefault="009F73FA" w:rsidP="001E0823">
            <w:pPr>
              <w:pStyle w:val="BodyText"/>
            </w:pPr>
            <w:r>
              <w:t>Ipswich</w:t>
            </w:r>
          </w:p>
        </w:tc>
        <w:tc>
          <w:tcPr>
            <w:tcW w:w="2645" w:type="dxa"/>
          </w:tcPr>
          <w:p w14:paraId="071C12E3" w14:textId="27661F24" w:rsidR="009F73FA" w:rsidRDefault="009F73FA" w:rsidP="001E0823">
            <w:pPr>
              <w:pStyle w:val="BodyText"/>
            </w:pPr>
            <w:r>
              <w:t>Jan 2017</w:t>
            </w:r>
          </w:p>
        </w:tc>
        <w:tc>
          <w:tcPr>
            <w:tcW w:w="2645" w:type="dxa"/>
          </w:tcPr>
          <w:p w14:paraId="5B0D3C8B" w14:textId="13C56B11" w:rsidR="009F73FA" w:rsidRDefault="009F73FA" w:rsidP="001E0823">
            <w:pPr>
              <w:pStyle w:val="BodyText"/>
            </w:pPr>
            <w:r>
              <w:t>ECEI</w:t>
            </w:r>
          </w:p>
        </w:tc>
      </w:tr>
      <w:tr w:rsidR="009F73FA" w14:paraId="18588371" w14:textId="77777777" w:rsidTr="005332B3">
        <w:tc>
          <w:tcPr>
            <w:tcW w:w="2519" w:type="dxa"/>
          </w:tcPr>
          <w:p w14:paraId="07CA79C6" w14:textId="17A92D7D" w:rsidR="009F73FA" w:rsidRDefault="009F73FA" w:rsidP="001E0823">
            <w:pPr>
              <w:pStyle w:val="BodyText"/>
            </w:pPr>
            <w:r>
              <w:t>BUSHkids</w:t>
            </w:r>
          </w:p>
        </w:tc>
        <w:tc>
          <w:tcPr>
            <w:tcW w:w="2379" w:type="dxa"/>
          </w:tcPr>
          <w:p w14:paraId="7DAE60FD" w14:textId="5042E4BC" w:rsidR="009F73FA" w:rsidRDefault="009F73FA" w:rsidP="001E0823">
            <w:pPr>
              <w:pStyle w:val="BodyText"/>
            </w:pPr>
            <w:r>
              <w:t>Bundaberg</w:t>
            </w:r>
          </w:p>
        </w:tc>
        <w:tc>
          <w:tcPr>
            <w:tcW w:w="2645" w:type="dxa"/>
          </w:tcPr>
          <w:p w14:paraId="25CBD5BA" w14:textId="314DCF59" w:rsidR="009F73FA" w:rsidRDefault="009F73FA" w:rsidP="001E0823">
            <w:pPr>
              <w:pStyle w:val="BodyText"/>
            </w:pPr>
            <w:r>
              <w:t>April 2017</w:t>
            </w:r>
          </w:p>
        </w:tc>
        <w:tc>
          <w:tcPr>
            <w:tcW w:w="2645" w:type="dxa"/>
          </w:tcPr>
          <w:p w14:paraId="17D31850" w14:textId="11185503" w:rsidR="009F73FA" w:rsidRDefault="009F73FA" w:rsidP="001E0823">
            <w:pPr>
              <w:pStyle w:val="BodyText"/>
            </w:pPr>
            <w:r>
              <w:t>ECEI</w:t>
            </w:r>
          </w:p>
        </w:tc>
      </w:tr>
    </w:tbl>
    <w:p w14:paraId="09B1E0EA" w14:textId="170E5524" w:rsidR="009F73FA" w:rsidRDefault="009F73FA" w:rsidP="001E0823"/>
    <w:p w14:paraId="1BE4F8E2" w14:textId="77777777" w:rsidR="009F73FA" w:rsidRDefault="009F73FA" w:rsidP="001E0823">
      <w:r>
        <w:br w:type="page"/>
      </w:r>
    </w:p>
    <w:p w14:paraId="33D49B78" w14:textId="77777777" w:rsidR="009741D8" w:rsidRDefault="009741D8" w:rsidP="001E0823">
      <w:pPr>
        <w:pStyle w:val="Heading4"/>
      </w:pPr>
      <w:r>
        <w:lastRenderedPageBreak/>
        <w:t>Rollout to date</w:t>
      </w:r>
    </w:p>
    <w:p w14:paraId="7E5D1285" w14:textId="77777777" w:rsidR="009741D8" w:rsidRDefault="009741D8" w:rsidP="001E0823">
      <w:pPr>
        <w:pStyle w:val="BodyText"/>
      </w:pPr>
      <w:r>
        <w:t xml:space="preserve">The NDIS is rolling out by region across Queensland: </w:t>
      </w:r>
    </w:p>
    <w:p w14:paraId="2FB5E037" w14:textId="77777777" w:rsidR="009741D8" w:rsidRDefault="009741D8" w:rsidP="001E0823">
      <w:pPr>
        <w:pStyle w:val="ListBullet"/>
      </w:pPr>
      <w:r>
        <w:t>January 2016 – children aged up to 18 years in Townsville and Charters Towers, adults in Palm Island.</w:t>
      </w:r>
    </w:p>
    <w:p w14:paraId="01FBCEEA" w14:textId="77777777" w:rsidR="009741D8" w:rsidRDefault="009741D8" w:rsidP="001E0823">
      <w:pPr>
        <w:pStyle w:val="ListBullet"/>
      </w:pPr>
      <w:r>
        <w:t>July 2016 – Townsville and surrounds.</w:t>
      </w:r>
    </w:p>
    <w:p w14:paraId="50DBF44B" w14:textId="77777777" w:rsidR="009741D8" w:rsidRDefault="009741D8" w:rsidP="001E0823">
      <w:pPr>
        <w:pStyle w:val="ListBullet"/>
      </w:pPr>
      <w:r>
        <w:t>November 2016 - Mackay, Isaac and Whitsundays.</w:t>
      </w:r>
    </w:p>
    <w:p w14:paraId="36F03F3C" w14:textId="0D6878A8" w:rsidR="009741D8" w:rsidRDefault="009741D8" w:rsidP="001E0823">
      <w:pPr>
        <w:pStyle w:val="ListBullet"/>
      </w:pPr>
      <w:r>
        <w:t>January 2017 – Toowoomba and west to the borders.</w:t>
      </w:r>
    </w:p>
    <w:p w14:paraId="39B6A92E" w14:textId="77777777" w:rsidR="009741D8" w:rsidRDefault="009741D8" w:rsidP="001E0823">
      <w:pPr>
        <w:pStyle w:val="ListBullet"/>
      </w:pPr>
      <w:r>
        <w:t>May 2017 – early access for QLD Government disability clients in Ipswich and other eligible people from July 2017.</w:t>
      </w:r>
    </w:p>
    <w:p w14:paraId="2F850F05" w14:textId="77777777" w:rsidR="009741D8" w:rsidRDefault="009741D8" w:rsidP="001E0823">
      <w:pPr>
        <w:pStyle w:val="Heading4"/>
      </w:pPr>
      <w:r>
        <w:t>2016-17 in review</w:t>
      </w:r>
    </w:p>
    <w:p w14:paraId="7BE98A09" w14:textId="49B0DB2D" w:rsidR="009741D8" w:rsidRDefault="009741D8" w:rsidP="001E0823">
      <w:pPr>
        <w:pStyle w:val="ListBullet"/>
      </w:pPr>
      <w:r>
        <w:t>The Commonwealth and QLD Governments brought forward the NDIS start date for existing state clients in Ipswich, Bundaberg and Rockhampton – to address lower than expected participant numbers in some regions. As part of this the Agency provided access to 500 people from Ipswich before the end of June 2017.</w:t>
      </w:r>
    </w:p>
    <w:p w14:paraId="3072398A" w14:textId="3D76EF5C" w:rsidR="009741D8" w:rsidRDefault="009741D8" w:rsidP="001E0823">
      <w:pPr>
        <w:pStyle w:val="ListBullet"/>
      </w:pPr>
      <w:r>
        <w:t>Community awareness about the NDIS was boosted through a grassroots approach to events and engagement. Over the year, the Agency was involved in a variety of activities including:</w:t>
      </w:r>
    </w:p>
    <w:p w14:paraId="554D8CB5" w14:textId="20D52577" w:rsidR="009741D8" w:rsidRDefault="009741D8" w:rsidP="001E0823">
      <w:pPr>
        <w:pStyle w:val="ListBullet2"/>
      </w:pPr>
      <w:r>
        <w:t>NDIS Ipswich Expo in May 2017, with more than 200 people attending, representing a cross section of providers, participants, carers and community members;</w:t>
      </w:r>
      <w:r>
        <w:tab/>
      </w:r>
    </w:p>
    <w:p w14:paraId="1B1BCE2D" w14:textId="77777777" w:rsidR="009741D8" w:rsidRDefault="009741D8" w:rsidP="001E0823">
      <w:pPr>
        <w:pStyle w:val="ListBullet2"/>
      </w:pPr>
      <w:r>
        <w:t>An official launch of the NDIS ECEI approach in September 2016 in Townsville with the Assistant Minister for Disability Services, the Hon Jane Prentice MP; and</w:t>
      </w:r>
    </w:p>
    <w:p w14:paraId="14C166B2" w14:textId="77777777" w:rsidR="009741D8" w:rsidRDefault="009741D8" w:rsidP="001E0823">
      <w:pPr>
        <w:pStyle w:val="ListBullet2"/>
      </w:pPr>
      <w:r>
        <w:t>Townsville marked the first anniversary of the introduction of the NDIS to the region with a community event attended by 200 people including former Paralympian Karni Liddell.</w:t>
      </w:r>
    </w:p>
    <w:p w14:paraId="5A8D860A" w14:textId="77777777" w:rsidR="009741D8" w:rsidRDefault="009741D8" w:rsidP="001E0823">
      <w:pPr>
        <w:pStyle w:val="ListBullet"/>
      </w:pPr>
      <w:r>
        <w:t>New Partners brought a breadth of experience in working with people with disability and their carers across QLD regions.</w:t>
      </w:r>
    </w:p>
    <w:p w14:paraId="23CA8E43" w14:textId="1601939F" w:rsidR="009741D8" w:rsidRDefault="009741D8" w:rsidP="001E0823">
      <w:pPr>
        <w:pStyle w:val="ListBullet"/>
      </w:pPr>
      <w:r>
        <w:t>Access to rural and remote communities presented challenges for the Agency and Partners, particularly in areas with poor internet access and adverse weather, including Cyclone Debbie in North QLD in March 2017.</w:t>
      </w:r>
    </w:p>
    <w:p w14:paraId="2CC072FD" w14:textId="77777777" w:rsidR="009741D8" w:rsidRDefault="009741D8" w:rsidP="001E0823">
      <w:pPr>
        <w:pStyle w:val="Heading4"/>
      </w:pPr>
      <w:r>
        <w:t>2017-18 priorities</w:t>
      </w:r>
    </w:p>
    <w:p w14:paraId="6E082BCC" w14:textId="77777777" w:rsidR="009741D8" w:rsidRDefault="009741D8" w:rsidP="001E0823">
      <w:pPr>
        <w:pStyle w:val="ListBullet"/>
      </w:pPr>
      <w:r>
        <w:t>The Agency teams in North, Central and Southern QLD will continue to prioritise engagement with state and local government and the public and disability sectors to raise awareness of the NDIS.</w:t>
      </w:r>
    </w:p>
    <w:p w14:paraId="4A8533C9" w14:textId="75040DA8" w:rsidR="009741D8" w:rsidRDefault="009741D8" w:rsidP="001E0823">
      <w:pPr>
        <w:pStyle w:val="ListBullet"/>
      </w:pPr>
      <w:r>
        <w:t xml:space="preserve">Engaging with rural and remote as well as Aboriginal and Torres Strait Islander communities will be a key focus of the NDIA and Partners moving forward. This is important as many parts of remote QLD have a limited provider market that will need time to develop and mature in order to provide participants living in rural and remote areas with genuine choice and control. </w:t>
      </w:r>
    </w:p>
    <w:p w14:paraId="378CDAFF" w14:textId="77777777" w:rsidR="009741D8" w:rsidRDefault="009741D8" w:rsidP="001E0823">
      <w:r>
        <w:br w:type="page"/>
      </w:r>
    </w:p>
    <w:p w14:paraId="6ED11E22" w14:textId="77777777" w:rsidR="009741D8" w:rsidRDefault="009741D8" w:rsidP="001E0823">
      <w:pPr>
        <w:pStyle w:val="Heading3"/>
      </w:pPr>
      <w:r>
        <w:lastRenderedPageBreak/>
        <w:t>South Australia</w:t>
      </w:r>
    </w:p>
    <w:p w14:paraId="43963F4E" w14:textId="77777777" w:rsidR="009741D8" w:rsidRDefault="009741D8" w:rsidP="001E0823">
      <w:pPr>
        <w:pStyle w:val="Intro"/>
      </w:pPr>
      <w:r w:rsidRPr="009741D8">
        <w:t>Children and teenagers have been the first to enter the NDIS in South Australia (SA), providing invaluable insights to inform the</w:t>
      </w:r>
      <w:r>
        <w:t xml:space="preserve"> NDIS ECEI approach nationally.</w:t>
      </w:r>
    </w:p>
    <w:p w14:paraId="012B4BB5" w14:textId="14227DF9" w:rsidR="009741D8" w:rsidRDefault="009741D8" w:rsidP="001E0823">
      <w:pPr>
        <w:pStyle w:val="BodyText"/>
      </w:pPr>
      <w:r>
        <w:t>The Scheme is expected to cover all of SA and all age groups by July 2018.</w:t>
      </w:r>
    </w:p>
    <w:p w14:paraId="277B5951" w14:textId="233E081C" w:rsidR="009741D8" w:rsidRPr="009741D8" w:rsidRDefault="009741D8" w:rsidP="001E0823">
      <w:pPr>
        <w:pStyle w:val="Heading4"/>
      </w:pPr>
      <w:r w:rsidRPr="009741D8">
        <w:t>Participants with an approved NDIS plan</w:t>
      </w:r>
      <w:r w:rsidR="00432AC9">
        <w:t xml:space="preserve"> - SA</w:t>
      </w:r>
    </w:p>
    <w:tbl>
      <w:tblPr>
        <w:tblStyle w:val="TableGrid"/>
        <w:tblW w:w="0" w:type="auto"/>
        <w:tblLook w:val="04A0" w:firstRow="1" w:lastRow="0" w:firstColumn="1" w:lastColumn="0" w:noHBand="0" w:noVBand="1"/>
        <w:tblDescription w:val="Participants with an approved NDIS plan - SA"/>
      </w:tblPr>
      <w:tblGrid>
        <w:gridCol w:w="4799"/>
        <w:gridCol w:w="4829"/>
      </w:tblGrid>
      <w:tr w:rsidR="009741D8" w14:paraId="532E7307" w14:textId="77777777" w:rsidTr="005B251B">
        <w:trPr>
          <w:tblHeader/>
        </w:trPr>
        <w:tc>
          <w:tcPr>
            <w:tcW w:w="5094" w:type="dxa"/>
            <w:shd w:val="clear" w:color="auto" w:fill="6B2976" w:themeFill="background2"/>
          </w:tcPr>
          <w:p w14:paraId="421E51BE" w14:textId="77777777" w:rsidR="009741D8" w:rsidRPr="00465BCE" w:rsidRDefault="009741D8" w:rsidP="001E0823">
            <w:pPr>
              <w:pStyle w:val="TableTitle"/>
            </w:pPr>
            <w:bookmarkStart w:id="21" w:name="ColumnTitle_SAParticipants"/>
            <w:r w:rsidRPr="00465BCE">
              <w:t>At end of trial (30 June 2016)</w:t>
            </w:r>
          </w:p>
        </w:tc>
        <w:tc>
          <w:tcPr>
            <w:tcW w:w="5094" w:type="dxa"/>
            <w:shd w:val="clear" w:color="auto" w:fill="6B2976" w:themeFill="background2"/>
          </w:tcPr>
          <w:p w14:paraId="2032AD48" w14:textId="77777777" w:rsidR="009741D8" w:rsidRPr="00465BCE" w:rsidRDefault="009741D8" w:rsidP="001E0823">
            <w:pPr>
              <w:pStyle w:val="TableTitle"/>
            </w:pPr>
            <w:r w:rsidRPr="00465BCE">
              <w:t>At 30 June 2017 (including ECEI)</w:t>
            </w:r>
          </w:p>
        </w:tc>
      </w:tr>
      <w:bookmarkEnd w:id="21"/>
      <w:tr w:rsidR="009741D8" w14:paraId="0B44399E" w14:textId="77777777" w:rsidTr="005332B3">
        <w:tc>
          <w:tcPr>
            <w:tcW w:w="5094" w:type="dxa"/>
          </w:tcPr>
          <w:p w14:paraId="37FFC582" w14:textId="1A91508C" w:rsidR="009741D8" w:rsidRDefault="009741D8" w:rsidP="001E0823">
            <w:pPr>
              <w:pStyle w:val="BodyText"/>
              <w:rPr>
                <w:rStyle w:val="BodyTextBold"/>
              </w:rPr>
            </w:pPr>
            <w:r>
              <w:t>7,118</w:t>
            </w:r>
          </w:p>
        </w:tc>
        <w:tc>
          <w:tcPr>
            <w:tcW w:w="5094" w:type="dxa"/>
          </w:tcPr>
          <w:p w14:paraId="6A48F0A1" w14:textId="49B681E6" w:rsidR="009741D8" w:rsidRDefault="009741D8" w:rsidP="001E0823">
            <w:pPr>
              <w:pStyle w:val="BodyText"/>
              <w:rPr>
                <w:rStyle w:val="BodyTextBold"/>
              </w:rPr>
            </w:pPr>
            <w:r>
              <w:t>12,116 (94 per cent of bilateral estimate)</w:t>
            </w:r>
          </w:p>
        </w:tc>
      </w:tr>
    </w:tbl>
    <w:p w14:paraId="6117B061" w14:textId="77777777" w:rsidR="009741D8" w:rsidRDefault="009741D8" w:rsidP="001E0823">
      <w:pPr>
        <w:pStyle w:val="Heading4"/>
      </w:pPr>
      <w:r>
        <w:t>Total payments to participants</w:t>
      </w:r>
    </w:p>
    <w:p w14:paraId="64D67518" w14:textId="3128F6F9" w:rsidR="009741D8" w:rsidRDefault="009741D8" w:rsidP="001E0823">
      <w:pPr>
        <w:pStyle w:val="BodyText"/>
      </w:pPr>
      <w:r>
        <w:t>At 30 June 2017 a total of $466.8 million had been committed since Scheme inception to participants in SA</w:t>
      </w:r>
      <w:r w:rsidR="00392C0A">
        <w:t>.</w:t>
      </w:r>
      <w:r w:rsidR="00392C0A">
        <w:rPr>
          <w:rStyle w:val="FootnoteReference"/>
        </w:rPr>
        <w:footnoteReference w:id="5"/>
      </w:r>
      <w:r>
        <w:t xml:space="preserve"> </w:t>
      </w:r>
    </w:p>
    <w:p w14:paraId="1256FD3A" w14:textId="77777777" w:rsidR="009741D8" w:rsidRDefault="009741D8" w:rsidP="001E0823">
      <w:pPr>
        <w:pStyle w:val="Heading4"/>
      </w:pPr>
      <w:r>
        <w:t>Providers</w:t>
      </w:r>
    </w:p>
    <w:p w14:paraId="2E3D55F0" w14:textId="77777777" w:rsidR="009741D8" w:rsidRDefault="009741D8" w:rsidP="001E0823">
      <w:pPr>
        <w:pStyle w:val="BodyText"/>
      </w:pPr>
      <w:r>
        <w:t>In 2016-17 registered providers operating in SA increased from 522 to 1,153.</w:t>
      </w:r>
    </w:p>
    <w:p w14:paraId="316FE392" w14:textId="1DC9E4F4" w:rsidR="004326AF" w:rsidRPr="003B7FF5" w:rsidRDefault="009741D8" w:rsidP="001E0823">
      <w:pPr>
        <w:pStyle w:val="Heading4"/>
      </w:pPr>
      <w:r>
        <w:t>Partners in the Community</w:t>
      </w:r>
      <w:r w:rsidR="00432AC9">
        <w:t xml:space="preserve"> - SA</w:t>
      </w:r>
    </w:p>
    <w:tbl>
      <w:tblPr>
        <w:tblStyle w:val="TableGrid"/>
        <w:tblW w:w="0" w:type="auto"/>
        <w:tblLook w:val="04A0" w:firstRow="1" w:lastRow="0" w:firstColumn="1" w:lastColumn="0" w:noHBand="0" w:noVBand="1"/>
        <w:tblDescription w:val="Partners in the Community - SA"/>
      </w:tblPr>
      <w:tblGrid>
        <w:gridCol w:w="2374"/>
        <w:gridCol w:w="2255"/>
        <w:gridCol w:w="2490"/>
        <w:gridCol w:w="2509"/>
      </w:tblGrid>
      <w:tr w:rsidR="004326AF" w:rsidRPr="00B86A86" w14:paraId="040CCB37" w14:textId="77777777" w:rsidTr="005B251B">
        <w:trPr>
          <w:tblHeader/>
        </w:trPr>
        <w:tc>
          <w:tcPr>
            <w:tcW w:w="2519" w:type="dxa"/>
            <w:shd w:val="clear" w:color="auto" w:fill="6B2976" w:themeFill="background2"/>
          </w:tcPr>
          <w:p w14:paraId="2C7A2F68" w14:textId="77777777" w:rsidR="004326AF" w:rsidRPr="00B86A86" w:rsidRDefault="004326AF" w:rsidP="001E0823">
            <w:pPr>
              <w:pStyle w:val="TableTitle"/>
            </w:pPr>
            <w:bookmarkStart w:id="22" w:name="ColumnTitle_SAPartners"/>
            <w:r w:rsidRPr="00B86A86">
              <w:t>Partner</w:t>
            </w:r>
          </w:p>
        </w:tc>
        <w:tc>
          <w:tcPr>
            <w:tcW w:w="2379" w:type="dxa"/>
            <w:shd w:val="clear" w:color="auto" w:fill="6B2976" w:themeFill="background2"/>
          </w:tcPr>
          <w:p w14:paraId="66797AAD" w14:textId="77777777" w:rsidR="004326AF" w:rsidRPr="00B86A86" w:rsidRDefault="004326AF" w:rsidP="001E0823">
            <w:pPr>
              <w:pStyle w:val="TableTitle"/>
            </w:pPr>
            <w:r w:rsidRPr="00B86A86">
              <w:t>Service area</w:t>
            </w:r>
          </w:p>
        </w:tc>
        <w:tc>
          <w:tcPr>
            <w:tcW w:w="2645" w:type="dxa"/>
            <w:shd w:val="clear" w:color="auto" w:fill="6B2976" w:themeFill="background2"/>
          </w:tcPr>
          <w:p w14:paraId="5D642D24" w14:textId="77777777" w:rsidR="004326AF" w:rsidRPr="00B86A86" w:rsidRDefault="004326AF" w:rsidP="001E0823">
            <w:pPr>
              <w:pStyle w:val="TableTitle"/>
            </w:pPr>
            <w:r w:rsidRPr="00B86A86">
              <w:t>Activity start date</w:t>
            </w:r>
          </w:p>
        </w:tc>
        <w:tc>
          <w:tcPr>
            <w:tcW w:w="2645" w:type="dxa"/>
            <w:shd w:val="clear" w:color="auto" w:fill="6B2976" w:themeFill="background2"/>
          </w:tcPr>
          <w:p w14:paraId="6724A64D" w14:textId="77777777" w:rsidR="004326AF" w:rsidRPr="00B86A86" w:rsidRDefault="004326AF" w:rsidP="001E0823">
            <w:pPr>
              <w:pStyle w:val="TableTitle"/>
            </w:pPr>
            <w:r w:rsidRPr="00B86A86">
              <w:t>ECEI/LAC services</w:t>
            </w:r>
          </w:p>
        </w:tc>
      </w:tr>
      <w:bookmarkEnd w:id="22"/>
      <w:tr w:rsidR="004326AF" w14:paraId="7A7BEBDA" w14:textId="77777777" w:rsidTr="005332B3">
        <w:tc>
          <w:tcPr>
            <w:tcW w:w="2519" w:type="dxa"/>
          </w:tcPr>
          <w:p w14:paraId="79DCBE64" w14:textId="72EBE2B8" w:rsidR="004326AF" w:rsidRDefault="004326AF" w:rsidP="001E0823">
            <w:pPr>
              <w:pStyle w:val="BodyText"/>
              <w:rPr>
                <w:rStyle w:val="BodyTextBold"/>
              </w:rPr>
            </w:pPr>
            <w:r>
              <w:t>Feros Care</w:t>
            </w:r>
          </w:p>
        </w:tc>
        <w:tc>
          <w:tcPr>
            <w:tcW w:w="2379" w:type="dxa"/>
          </w:tcPr>
          <w:p w14:paraId="79DE02DF" w14:textId="77777777" w:rsidR="004326AF" w:rsidRDefault="004326AF" w:rsidP="001E0823">
            <w:pPr>
              <w:pStyle w:val="BodyText"/>
            </w:pPr>
            <w:r>
              <w:t>Barossa, Light and Lower North</w:t>
            </w:r>
          </w:p>
          <w:p w14:paraId="2480F220" w14:textId="55210E5C" w:rsidR="004326AF" w:rsidRDefault="004326AF" w:rsidP="001E0823">
            <w:pPr>
              <w:pStyle w:val="BodyText"/>
            </w:pPr>
            <w:r>
              <w:t>Northern Adelaide</w:t>
            </w:r>
          </w:p>
        </w:tc>
        <w:tc>
          <w:tcPr>
            <w:tcW w:w="2645" w:type="dxa"/>
          </w:tcPr>
          <w:p w14:paraId="1A7EF726" w14:textId="77777777" w:rsidR="004326AF" w:rsidRDefault="004326AF" w:rsidP="001E0823">
            <w:pPr>
              <w:pStyle w:val="BodyText"/>
            </w:pPr>
            <w:r>
              <w:t>Jan 2017</w:t>
            </w:r>
          </w:p>
          <w:p w14:paraId="01D56968" w14:textId="13DC33C4" w:rsidR="004326AF" w:rsidRDefault="004326AF" w:rsidP="001E0823">
            <w:pPr>
              <w:pStyle w:val="BodyText"/>
              <w:rPr>
                <w:rStyle w:val="BodyTextBold"/>
              </w:rPr>
            </w:pPr>
            <w:r>
              <w:t>Jan 2017</w:t>
            </w:r>
          </w:p>
        </w:tc>
        <w:tc>
          <w:tcPr>
            <w:tcW w:w="2645" w:type="dxa"/>
          </w:tcPr>
          <w:p w14:paraId="6EBA98FA" w14:textId="77777777" w:rsidR="004326AF" w:rsidRDefault="004326AF" w:rsidP="001E0823">
            <w:pPr>
              <w:pStyle w:val="BodyText"/>
            </w:pPr>
            <w:r>
              <w:t>LAC</w:t>
            </w:r>
          </w:p>
          <w:p w14:paraId="73395B99" w14:textId="078B91BB" w:rsidR="004326AF" w:rsidRDefault="004326AF" w:rsidP="001E0823">
            <w:pPr>
              <w:pStyle w:val="BodyText"/>
              <w:rPr>
                <w:rStyle w:val="BodyTextBold"/>
              </w:rPr>
            </w:pPr>
            <w:r>
              <w:t>LAC</w:t>
            </w:r>
          </w:p>
        </w:tc>
      </w:tr>
    </w:tbl>
    <w:p w14:paraId="3717A5A5" w14:textId="77777777" w:rsidR="004326AF" w:rsidRDefault="004326AF" w:rsidP="001E0823">
      <w:pPr>
        <w:pStyle w:val="Heading4"/>
      </w:pPr>
      <w:r>
        <w:t>Rollout to date</w:t>
      </w:r>
    </w:p>
    <w:p w14:paraId="213A8190" w14:textId="77777777" w:rsidR="004326AF" w:rsidRDefault="004326AF" w:rsidP="001E0823">
      <w:pPr>
        <w:pStyle w:val="BodyText"/>
      </w:pPr>
      <w:r>
        <w:t xml:space="preserve">The NDIS is rolling out by age group in SA: </w:t>
      </w:r>
    </w:p>
    <w:p w14:paraId="5C8923E3" w14:textId="77777777" w:rsidR="004326AF" w:rsidRDefault="004326AF" w:rsidP="001E0823">
      <w:pPr>
        <w:pStyle w:val="ListBullet"/>
      </w:pPr>
      <w:r>
        <w:t>July 2013 (trial) – children aged 0-16.</w:t>
      </w:r>
    </w:p>
    <w:p w14:paraId="1432AC9C" w14:textId="77777777" w:rsidR="004326AF" w:rsidRDefault="004326AF" w:rsidP="001E0823">
      <w:pPr>
        <w:pStyle w:val="ListBullet"/>
      </w:pPr>
      <w:r>
        <w:t>February 2016 – 14 year olds.</w:t>
      </w:r>
    </w:p>
    <w:p w14:paraId="0AFD45EA" w14:textId="77149AC9" w:rsidR="004326AF" w:rsidRDefault="004326AF" w:rsidP="001E0823">
      <w:pPr>
        <w:pStyle w:val="ListBullet"/>
      </w:pPr>
      <w:r>
        <w:t>January 2017 – 15 to 17 year olds.</w:t>
      </w:r>
    </w:p>
    <w:p w14:paraId="7EEDDD8C" w14:textId="77777777" w:rsidR="004326AF" w:rsidRDefault="004326AF" w:rsidP="001E0823">
      <w:r>
        <w:br w:type="page"/>
      </w:r>
    </w:p>
    <w:p w14:paraId="63F565DD" w14:textId="645DD629" w:rsidR="004326AF" w:rsidRPr="004326AF" w:rsidRDefault="004326AF" w:rsidP="001E0823">
      <w:pPr>
        <w:pStyle w:val="Heading4"/>
      </w:pPr>
      <w:r w:rsidRPr="004326AF">
        <w:lastRenderedPageBreak/>
        <w:t>2016-17 in review</w:t>
      </w:r>
    </w:p>
    <w:p w14:paraId="5851B88F" w14:textId="1BC670A3" w:rsidR="004326AF" w:rsidRPr="004326AF" w:rsidRDefault="004326AF" w:rsidP="001E0823">
      <w:pPr>
        <w:pStyle w:val="ListBullet"/>
      </w:pPr>
      <w:r w:rsidRPr="004326AF">
        <w:t>A partnership with Early Childhood Interv</w:t>
      </w:r>
      <w:r>
        <w:t xml:space="preserve">ention Australia commenced and </w:t>
      </w:r>
      <w:r w:rsidRPr="004326AF">
        <w:t>a dedic</w:t>
      </w:r>
      <w:r>
        <w:t xml:space="preserve">ated NDIA team was established </w:t>
      </w:r>
      <w:r w:rsidRPr="004326AF">
        <w:t>to assist children aged up to six years to access early intervention services.</w:t>
      </w:r>
    </w:p>
    <w:p w14:paraId="522227A8" w14:textId="77777777" w:rsidR="004326AF" w:rsidRPr="004326AF" w:rsidRDefault="004326AF" w:rsidP="001E0823">
      <w:pPr>
        <w:pStyle w:val="ListBullet"/>
      </w:pPr>
      <w:r w:rsidRPr="004326AF">
        <w:t>Agency staff participated and presented at more than 150 SA Government disability information sessions, events and expos to provide people with disability, family, carers and people interested in working in the disability sector with information.</w:t>
      </w:r>
    </w:p>
    <w:p w14:paraId="03582C7B" w14:textId="77777777" w:rsidR="004326AF" w:rsidRPr="004326AF" w:rsidRDefault="004326AF" w:rsidP="001E0823">
      <w:pPr>
        <w:pStyle w:val="ListBullet"/>
      </w:pPr>
      <w:r w:rsidRPr="004326AF">
        <w:t>There was an increased focus on supporting teenagers as they explore options beyond school. This has been a positive experience for both families and NDIA planners as young people report on their growing independence.</w:t>
      </w:r>
    </w:p>
    <w:p w14:paraId="68AF12FE" w14:textId="77777777" w:rsidR="004326AF" w:rsidRPr="004326AF" w:rsidRDefault="004326AF" w:rsidP="001E0823">
      <w:pPr>
        <w:pStyle w:val="ListBullet"/>
      </w:pPr>
      <w:r w:rsidRPr="004326AF">
        <w:t>2017 commenced with the welcoming of a new Partner in the Community delivering LAC services, bringing local knowledge and experience in supporting individuals to build independence in their homes.</w:t>
      </w:r>
    </w:p>
    <w:p w14:paraId="6F32DE5B" w14:textId="2D8FFA42" w:rsidR="004326AF" w:rsidRPr="004326AF" w:rsidRDefault="004326AF" w:rsidP="001E0823">
      <w:pPr>
        <w:pStyle w:val="ListBullet"/>
      </w:pPr>
      <w:r w:rsidRPr="004326AF">
        <w:t xml:space="preserve">The Agency is working with the SA Government to stimulate market growth and employment in country towns, as well as supporting providers who are moving their services across state and territory borders. This is to address existing gaps in the market in rural and remote regions of SA that are beginning to become more evident. </w:t>
      </w:r>
    </w:p>
    <w:p w14:paraId="0D892C31" w14:textId="77777777" w:rsidR="004326AF" w:rsidRPr="004326AF" w:rsidRDefault="004326AF" w:rsidP="001E0823">
      <w:pPr>
        <w:pStyle w:val="Heading4"/>
      </w:pPr>
      <w:r w:rsidRPr="004326AF">
        <w:t>2017-18 priorities</w:t>
      </w:r>
    </w:p>
    <w:p w14:paraId="62711343" w14:textId="77777777" w:rsidR="004326AF" w:rsidRPr="004326AF" w:rsidRDefault="004326AF" w:rsidP="001E0823">
      <w:pPr>
        <w:pStyle w:val="ListBullet"/>
      </w:pPr>
      <w:r w:rsidRPr="004326AF">
        <w:t xml:space="preserve">The Agency will continue to work in partnership with Department of Prime Minister and Cabinet to stimulate opportunities to grow the number of Aboriginal people working with Aboriginal and Torres Strait Islander and other participants during the NDIS access and planning process. </w:t>
      </w:r>
    </w:p>
    <w:p w14:paraId="6C83011C" w14:textId="74F57A82" w:rsidR="006C03B2" w:rsidRDefault="004326AF" w:rsidP="001E0823">
      <w:pPr>
        <w:pStyle w:val="ListBullet"/>
      </w:pPr>
      <w:r w:rsidRPr="004326AF">
        <w:t>Another priority will be ensuring readiness for full Scheme by building strong connections to mainstream supports to ensure pathways and responsibilities are clear.</w:t>
      </w:r>
    </w:p>
    <w:p w14:paraId="0869CA10" w14:textId="77777777" w:rsidR="006C03B2" w:rsidRDefault="006C03B2" w:rsidP="001E0823">
      <w:r>
        <w:br w:type="page"/>
      </w:r>
    </w:p>
    <w:p w14:paraId="44524A16" w14:textId="77777777" w:rsidR="006C03B2" w:rsidRDefault="006C03B2" w:rsidP="001E0823">
      <w:pPr>
        <w:pStyle w:val="BodyText"/>
      </w:pPr>
      <w:r w:rsidRPr="006C03B2">
        <w:rPr>
          <w:rStyle w:val="Heading3Char"/>
        </w:rPr>
        <w:lastRenderedPageBreak/>
        <w:t>Tasmania</w:t>
      </w:r>
    </w:p>
    <w:p w14:paraId="042A4C9C" w14:textId="77777777" w:rsidR="006C03B2" w:rsidRDefault="006C03B2" w:rsidP="001E0823">
      <w:pPr>
        <w:pStyle w:val="Intro"/>
      </w:pPr>
      <w:r>
        <w:t>Tasmania transitioned from three successful years of trial to full Scheme, with participants aged 12 to 14 and 25 to 28 joining the Scheme since July 2016.</w:t>
      </w:r>
    </w:p>
    <w:p w14:paraId="23FE7C5B" w14:textId="02A8D3D0" w:rsidR="004326AF" w:rsidRDefault="006C03B2" w:rsidP="001E0823">
      <w:pPr>
        <w:pStyle w:val="BodyText"/>
      </w:pPr>
      <w:r>
        <w:t>The rollout of the NDIS in Tasmania is in line with bilateral estimates for 30 June 2017.</w:t>
      </w:r>
    </w:p>
    <w:p w14:paraId="0F823742" w14:textId="04EEE29A" w:rsidR="006C03B2" w:rsidRPr="009741D8" w:rsidRDefault="006C03B2" w:rsidP="001E0823">
      <w:pPr>
        <w:pStyle w:val="Heading4"/>
      </w:pPr>
      <w:r w:rsidRPr="006C03B2">
        <w:t>Participants with an approved NDIS plan</w:t>
      </w:r>
      <w:r w:rsidR="005E3C0A">
        <w:t xml:space="preserve"> - Tasmania</w:t>
      </w:r>
    </w:p>
    <w:tbl>
      <w:tblPr>
        <w:tblStyle w:val="TableGrid"/>
        <w:tblW w:w="0" w:type="auto"/>
        <w:tblLook w:val="04A0" w:firstRow="1" w:lastRow="0" w:firstColumn="1" w:lastColumn="0" w:noHBand="0" w:noVBand="1"/>
        <w:tblDescription w:val="Participants with an approved NDIS plan - Tasmania"/>
      </w:tblPr>
      <w:tblGrid>
        <w:gridCol w:w="4799"/>
        <w:gridCol w:w="4829"/>
      </w:tblGrid>
      <w:tr w:rsidR="006C03B2" w14:paraId="089A1D9E" w14:textId="77777777" w:rsidTr="005B251B">
        <w:trPr>
          <w:tblHeader/>
        </w:trPr>
        <w:tc>
          <w:tcPr>
            <w:tcW w:w="5094" w:type="dxa"/>
            <w:shd w:val="clear" w:color="auto" w:fill="6B2976" w:themeFill="background2"/>
          </w:tcPr>
          <w:p w14:paraId="118EA064" w14:textId="77777777" w:rsidR="006C03B2" w:rsidRPr="00465BCE" w:rsidRDefault="006C03B2" w:rsidP="001E0823">
            <w:pPr>
              <w:pStyle w:val="TableTitle"/>
            </w:pPr>
            <w:bookmarkStart w:id="23" w:name="ColumnTitle_TASParticipants"/>
            <w:r w:rsidRPr="00465BCE">
              <w:t>At end of trial (30 June 2016)</w:t>
            </w:r>
          </w:p>
        </w:tc>
        <w:tc>
          <w:tcPr>
            <w:tcW w:w="5094" w:type="dxa"/>
            <w:shd w:val="clear" w:color="auto" w:fill="6B2976" w:themeFill="background2"/>
          </w:tcPr>
          <w:p w14:paraId="27ABE5C2" w14:textId="77777777" w:rsidR="006C03B2" w:rsidRPr="00465BCE" w:rsidRDefault="006C03B2" w:rsidP="001E0823">
            <w:pPr>
              <w:pStyle w:val="TableTitle"/>
            </w:pPr>
            <w:r w:rsidRPr="00465BCE">
              <w:t>At 30 June 2017 (including ECEI)</w:t>
            </w:r>
          </w:p>
        </w:tc>
      </w:tr>
      <w:bookmarkEnd w:id="23"/>
      <w:tr w:rsidR="006C03B2" w14:paraId="6B0B56FE" w14:textId="77777777" w:rsidTr="005332B3">
        <w:tc>
          <w:tcPr>
            <w:tcW w:w="5094" w:type="dxa"/>
          </w:tcPr>
          <w:p w14:paraId="1B6EFD95" w14:textId="72CAEC31" w:rsidR="006C03B2" w:rsidRDefault="006C03B2" w:rsidP="001E0823">
            <w:pPr>
              <w:pStyle w:val="BodyText"/>
              <w:rPr>
                <w:rStyle w:val="BodyTextBold"/>
              </w:rPr>
            </w:pPr>
            <w:r>
              <w:t>1,162</w:t>
            </w:r>
          </w:p>
        </w:tc>
        <w:tc>
          <w:tcPr>
            <w:tcW w:w="5094" w:type="dxa"/>
          </w:tcPr>
          <w:p w14:paraId="0C03060A" w14:textId="7D242FB1" w:rsidR="006C03B2" w:rsidRDefault="006C03B2" w:rsidP="001E0823">
            <w:pPr>
              <w:pStyle w:val="BodyText"/>
              <w:rPr>
                <w:rStyle w:val="BodyTextBold"/>
              </w:rPr>
            </w:pPr>
            <w:r>
              <w:t>2,247 (100 per cent of bilateral estimate)</w:t>
            </w:r>
          </w:p>
        </w:tc>
      </w:tr>
    </w:tbl>
    <w:p w14:paraId="0FCE0A2D" w14:textId="77777777" w:rsidR="006C03B2" w:rsidRDefault="006C03B2" w:rsidP="001E0823">
      <w:pPr>
        <w:pStyle w:val="Heading4"/>
      </w:pPr>
      <w:r>
        <w:t>Total payments to participants</w:t>
      </w:r>
    </w:p>
    <w:p w14:paraId="6C9BB9C3" w14:textId="7EFC9D72" w:rsidR="006C03B2" w:rsidRDefault="006C03B2" w:rsidP="001E0823">
      <w:pPr>
        <w:pStyle w:val="BodyText"/>
      </w:pPr>
      <w:r>
        <w:t>At 30 June 2017 a total of $301.3 million had been committed since Scheme inception to participants in Tasmania.</w:t>
      </w:r>
      <w:r w:rsidR="00AA2E5A">
        <w:rPr>
          <w:rStyle w:val="FootnoteReference"/>
        </w:rPr>
        <w:footnoteReference w:id="6"/>
      </w:r>
      <w:r>
        <w:t xml:space="preserve"> </w:t>
      </w:r>
    </w:p>
    <w:p w14:paraId="2D325F5C" w14:textId="77777777" w:rsidR="006C03B2" w:rsidRDefault="006C03B2" w:rsidP="001E0823">
      <w:pPr>
        <w:pStyle w:val="Heading4"/>
      </w:pPr>
      <w:r>
        <w:t>Providers</w:t>
      </w:r>
    </w:p>
    <w:p w14:paraId="09D30C89" w14:textId="00810718" w:rsidR="006C03B2" w:rsidRDefault="006C03B2" w:rsidP="001E0823">
      <w:pPr>
        <w:pStyle w:val="BodyText"/>
      </w:pPr>
      <w:r>
        <w:t>In 2016-17 registered providers operating in Tasmania increased from 260 to 730.</w:t>
      </w:r>
    </w:p>
    <w:p w14:paraId="55590B1A" w14:textId="5B77F414" w:rsidR="00AA2E5A" w:rsidRPr="003B7FF5" w:rsidRDefault="00AA2E5A" w:rsidP="001E0823">
      <w:pPr>
        <w:pStyle w:val="Heading4"/>
      </w:pPr>
      <w:r>
        <w:t>Partners in the Community</w:t>
      </w:r>
      <w:r w:rsidRPr="00AA2E5A">
        <w:t xml:space="preserve"> </w:t>
      </w:r>
      <w:r w:rsidR="005E3C0A">
        <w:t>- Tasmania</w:t>
      </w:r>
    </w:p>
    <w:tbl>
      <w:tblPr>
        <w:tblStyle w:val="TableGrid"/>
        <w:tblW w:w="0" w:type="auto"/>
        <w:tblLook w:val="04A0" w:firstRow="1" w:lastRow="0" w:firstColumn="1" w:lastColumn="0" w:noHBand="0" w:noVBand="1"/>
        <w:tblDescription w:val="Partners in the Community - Tasmania"/>
      </w:tblPr>
      <w:tblGrid>
        <w:gridCol w:w="2382"/>
        <w:gridCol w:w="2247"/>
        <w:gridCol w:w="2490"/>
        <w:gridCol w:w="2509"/>
      </w:tblGrid>
      <w:tr w:rsidR="00AA2E5A" w:rsidRPr="00B86A86" w14:paraId="1134F31B" w14:textId="77777777" w:rsidTr="005B251B">
        <w:trPr>
          <w:tblHeader/>
        </w:trPr>
        <w:tc>
          <w:tcPr>
            <w:tcW w:w="2519" w:type="dxa"/>
            <w:shd w:val="clear" w:color="auto" w:fill="6B2976" w:themeFill="background2"/>
          </w:tcPr>
          <w:p w14:paraId="540BC0AE" w14:textId="77777777" w:rsidR="00AA2E5A" w:rsidRPr="00B86A86" w:rsidRDefault="00AA2E5A" w:rsidP="001E0823">
            <w:pPr>
              <w:pStyle w:val="TableTitle"/>
            </w:pPr>
            <w:bookmarkStart w:id="24" w:name="ColumnTitle_TASPartners"/>
            <w:r w:rsidRPr="00B86A86">
              <w:t>Partner</w:t>
            </w:r>
          </w:p>
        </w:tc>
        <w:tc>
          <w:tcPr>
            <w:tcW w:w="2379" w:type="dxa"/>
            <w:shd w:val="clear" w:color="auto" w:fill="6B2976" w:themeFill="background2"/>
          </w:tcPr>
          <w:p w14:paraId="61EBC40D" w14:textId="77777777" w:rsidR="00AA2E5A" w:rsidRPr="00B86A86" w:rsidRDefault="00AA2E5A" w:rsidP="001E0823">
            <w:pPr>
              <w:pStyle w:val="TableTitle"/>
            </w:pPr>
            <w:r w:rsidRPr="00B86A86">
              <w:t>Service area</w:t>
            </w:r>
          </w:p>
        </w:tc>
        <w:tc>
          <w:tcPr>
            <w:tcW w:w="2645" w:type="dxa"/>
            <w:shd w:val="clear" w:color="auto" w:fill="6B2976" w:themeFill="background2"/>
          </w:tcPr>
          <w:p w14:paraId="2CCD15B1" w14:textId="77777777" w:rsidR="00AA2E5A" w:rsidRPr="00B86A86" w:rsidRDefault="00AA2E5A" w:rsidP="001E0823">
            <w:pPr>
              <w:pStyle w:val="TableTitle"/>
            </w:pPr>
            <w:r w:rsidRPr="00B86A86">
              <w:t>Activity start date</w:t>
            </w:r>
          </w:p>
        </w:tc>
        <w:tc>
          <w:tcPr>
            <w:tcW w:w="2645" w:type="dxa"/>
            <w:shd w:val="clear" w:color="auto" w:fill="6B2976" w:themeFill="background2"/>
          </w:tcPr>
          <w:p w14:paraId="52C60183" w14:textId="77777777" w:rsidR="00AA2E5A" w:rsidRPr="00B86A86" w:rsidRDefault="00AA2E5A" w:rsidP="001E0823">
            <w:pPr>
              <w:pStyle w:val="TableTitle"/>
            </w:pPr>
            <w:r w:rsidRPr="00B86A86">
              <w:t>ECEI/LAC services</w:t>
            </w:r>
          </w:p>
        </w:tc>
      </w:tr>
      <w:bookmarkEnd w:id="24"/>
      <w:tr w:rsidR="00AA2E5A" w14:paraId="485141A1" w14:textId="77777777" w:rsidTr="005332B3">
        <w:tc>
          <w:tcPr>
            <w:tcW w:w="2519" w:type="dxa"/>
          </w:tcPr>
          <w:p w14:paraId="375F1798" w14:textId="3937FAA6" w:rsidR="00AA2E5A" w:rsidRDefault="00AA2E5A" w:rsidP="001E0823">
            <w:pPr>
              <w:pStyle w:val="BodyText"/>
              <w:rPr>
                <w:rStyle w:val="BodyTextBold"/>
              </w:rPr>
            </w:pPr>
            <w:r>
              <w:t>Baptcare</w:t>
            </w:r>
          </w:p>
        </w:tc>
        <w:tc>
          <w:tcPr>
            <w:tcW w:w="2379" w:type="dxa"/>
          </w:tcPr>
          <w:p w14:paraId="580217F3" w14:textId="77777777" w:rsidR="00AA2E5A" w:rsidRDefault="00AA2E5A" w:rsidP="001E0823">
            <w:pPr>
              <w:pStyle w:val="BodyText"/>
            </w:pPr>
            <w:r>
              <w:t>North</w:t>
            </w:r>
          </w:p>
          <w:p w14:paraId="1614EDF0" w14:textId="635D9FF0" w:rsidR="00AA2E5A" w:rsidRDefault="00AA2E5A" w:rsidP="001E0823">
            <w:pPr>
              <w:pStyle w:val="BodyText"/>
            </w:pPr>
            <w:r>
              <w:t>South West</w:t>
            </w:r>
          </w:p>
        </w:tc>
        <w:tc>
          <w:tcPr>
            <w:tcW w:w="2645" w:type="dxa"/>
          </w:tcPr>
          <w:p w14:paraId="03382E3B" w14:textId="77777777" w:rsidR="00AA2E5A" w:rsidRDefault="00AA2E5A" w:rsidP="001E0823">
            <w:pPr>
              <w:pStyle w:val="BodyText"/>
            </w:pPr>
            <w:r>
              <w:t>July 2016</w:t>
            </w:r>
          </w:p>
          <w:p w14:paraId="51322588" w14:textId="1D52396B" w:rsidR="00AA2E5A" w:rsidRDefault="00AA2E5A" w:rsidP="001E0823">
            <w:pPr>
              <w:pStyle w:val="BodyText"/>
              <w:rPr>
                <w:rStyle w:val="BodyTextBold"/>
              </w:rPr>
            </w:pPr>
            <w:r>
              <w:t>July 2016</w:t>
            </w:r>
          </w:p>
        </w:tc>
        <w:tc>
          <w:tcPr>
            <w:tcW w:w="2645" w:type="dxa"/>
          </w:tcPr>
          <w:p w14:paraId="7CAB42C0" w14:textId="77777777" w:rsidR="00AA2E5A" w:rsidRDefault="00AA2E5A" w:rsidP="001E0823">
            <w:pPr>
              <w:pStyle w:val="BodyText"/>
            </w:pPr>
            <w:r>
              <w:t>ECEI &amp; LAC</w:t>
            </w:r>
          </w:p>
          <w:p w14:paraId="48DC590E" w14:textId="512CAC2C" w:rsidR="00AA2E5A" w:rsidRDefault="00AA2E5A" w:rsidP="001E0823">
            <w:pPr>
              <w:pStyle w:val="BodyText"/>
              <w:rPr>
                <w:rStyle w:val="BodyTextBold"/>
              </w:rPr>
            </w:pPr>
            <w:r>
              <w:t>ECEI &amp; LAC</w:t>
            </w:r>
          </w:p>
        </w:tc>
      </w:tr>
      <w:tr w:rsidR="00AA2E5A" w14:paraId="3B2E3A87" w14:textId="77777777" w:rsidTr="005332B3">
        <w:tc>
          <w:tcPr>
            <w:tcW w:w="2519" w:type="dxa"/>
          </w:tcPr>
          <w:p w14:paraId="20D1E19F" w14:textId="39D5E788" w:rsidR="00AA2E5A" w:rsidRDefault="00AA2E5A" w:rsidP="001E0823">
            <w:pPr>
              <w:pStyle w:val="BodyText"/>
            </w:pPr>
            <w:r>
              <w:t xml:space="preserve">Mission Australia </w:t>
            </w:r>
          </w:p>
        </w:tc>
        <w:tc>
          <w:tcPr>
            <w:tcW w:w="2379" w:type="dxa"/>
          </w:tcPr>
          <w:p w14:paraId="5E201430" w14:textId="77777777" w:rsidR="00AA2E5A" w:rsidRDefault="00AA2E5A" w:rsidP="001E0823">
            <w:pPr>
              <w:pStyle w:val="BodyText"/>
            </w:pPr>
            <w:r>
              <w:t>South East</w:t>
            </w:r>
          </w:p>
          <w:p w14:paraId="2EC950AD" w14:textId="0FB34FBB" w:rsidR="00AA2E5A" w:rsidRDefault="00AA2E5A" w:rsidP="001E0823">
            <w:pPr>
              <w:pStyle w:val="BodyText"/>
            </w:pPr>
            <w:r>
              <w:t>North West</w:t>
            </w:r>
          </w:p>
        </w:tc>
        <w:tc>
          <w:tcPr>
            <w:tcW w:w="2645" w:type="dxa"/>
          </w:tcPr>
          <w:p w14:paraId="6D0667B0" w14:textId="77777777" w:rsidR="00AA2E5A" w:rsidRDefault="00AA2E5A" w:rsidP="001E0823">
            <w:pPr>
              <w:pStyle w:val="BodyText"/>
            </w:pPr>
            <w:r>
              <w:t>July 2016</w:t>
            </w:r>
          </w:p>
          <w:p w14:paraId="7C28D45C" w14:textId="29C4B1F7" w:rsidR="00AA2E5A" w:rsidRDefault="00AA2E5A" w:rsidP="001E0823">
            <w:pPr>
              <w:pStyle w:val="BodyText"/>
            </w:pPr>
            <w:r>
              <w:t>July 2016</w:t>
            </w:r>
          </w:p>
        </w:tc>
        <w:tc>
          <w:tcPr>
            <w:tcW w:w="2645" w:type="dxa"/>
          </w:tcPr>
          <w:p w14:paraId="79EC2146" w14:textId="77777777" w:rsidR="00AA2E5A" w:rsidRDefault="00AA2E5A" w:rsidP="001E0823">
            <w:pPr>
              <w:pStyle w:val="BodyText"/>
            </w:pPr>
            <w:r>
              <w:t>ECEI &amp; LAC</w:t>
            </w:r>
          </w:p>
          <w:p w14:paraId="4567D39E" w14:textId="72C584BF" w:rsidR="00AA2E5A" w:rsidRDefault="00AA2E5A" w:rsidP="001E0823">
            <w:pPr>
              <w:pStyle w:val="BodyText"/>
            </w:pPr>
            <w:r>
              <w:t>ECEI &amp; LAC</w:t>
            </w:r>
          </w:p>
        </w:tc>
      </w:tr>
    </w:tbl>
    <w:p w14:paraId="718258E3" w14:textId="77777777" w:rsidR="007A7285" w:rsidRPr="007A7285" w:rsidRDefault="00AA2E5A" w:rsidP="001E0823">
      <w:pPr>
        <w:pStyle w:val="Heading4"/>
      </w:pPr>
      <w:r w:rsidRPr="007A7285">
        <w:t>Rollout to date</w:t>
      </w:r>
    </w:p>
    <w:p w14:paraId="61A07BED" w14:textId="74C0C4DE" w:rsidR="00AA2E5A" w:rsidRDefault="00AA2E5A" w:rsidP="001E0823">
      <w:pPr>
        <w:pStyle w:val="BodyText"/>
      </w:pPr>
      <w:r>
        <w:t>The NDIS is rolling out across Tasmania by age group:</w:t>
      </w:r>
    </w:p>
    <w:p w14:paraId="64BF2596" w14:textId="77777777" w:rsidR="00AA2E5A" w:rsidRDefault="00AA2E5A" w:rsidP="001E0823">
      <w:pPr>
        <w:pStyle w:val="ListBullet"/>
      </w:pPr>
      <w:r>
        <w:t>July 2013 – young people aged 15 to 24.</w:t>
      </w:r>
    </w:p>
    <w:p w14:paraId="1411DA50" w14:textId="77777777" w:rsidR="00AA2E5A" w:rsidRDefault="00AA2E5A" w:rsidP="001E0823">
      <w:pPr>
        <w:pStyle w:val="ListBullet"/>
      </w:pPr>
      <w:r>
        <w:t>July 2016 – children aged 12 to 14.</w:t>
      </w:r>
    </w:p>
    <w:p w14:paraId="0BF0FB58" w14:textId="77777777" w:rsidR="00AA2E5A" w:rsidRDefault="00AA2E5A" w:rsidP="001E0823">
      <w:pPr>
        <w:pStyle w:val="ListBullet"/>
      </w:pPr>
      <w:r>
        <w:t xml:space="preserve">January 2017 – adults aged 25 to 28. </w:t>
      </w:r>
    </w:p>
    <w:p w14:paraId="4B2663D7" w14:textId="77777777" w:rsidR="00B2570F" w:rsidRDefault="00B2570F" w:rsidP="001E0823">
      <w:r>
        <w:br w:type="page"/>
      </w:r>
    </w:p>
    <w:p w14:paraId="36E70F00" w14:textId="0CF26C03" w:rsidR="00AA2E5A" w:rsidRDefault="00AA2E5A" w:rsidP="001E0823">
      <w:pPr>
        <w:pStyle w:val="Heading4"/>
      </w:pPr>
      <w:r>
        <w:lastRenderedPageBreak/>
        <w:t>2016-17 in review</w:t>
      </w:r>
    </w:p>
    <w:p w14:paraId="59373709" w14:textId="77777777" w:rsidR="00AA2E5A" w:rsidRDefault="00AA2E5A" w:rsidP="001E0823">
      <w:pPr>
        <w:pStyle w:val="ListBullet"/>
      </w:pPr>
      <w:r>
        <w:t>LACs assisted in the transition of shared supported accommodation properties previously funded by the Tasmanian government, working to ensure all participants living in the same house transition into the Scheme at the same time.</w:t>
      </w:r>
    </w:p>
    <w:p w14:paraId="36472B69" w14:textId="77777777" w:rsidR="00AA2E5A" w:rsidRDefault="00AA2E5A" w:rsidP="001E0823">
      <w:pPr>
        <w:pStyle w:val="ListBullet"/>
      </w:pPr>
      <w:r>
        <w:t xml:space="preserve">Tasmania has isolated and sparsely populated areas with a limited range of service providers that present a challenge. To address this, the Department of Human Services launched two mobile service centres to tour small regional areas. They were joined by LACs from March 2017. </w:t>
      </w:r>
    </w:p>
    <w:p w14:paraId="63593E7F" w14:textId="77777777" w:rsidR="00AA2E5A" w:rsidRDefault="00AA2E5A" w:rsidP="001E0823">
      <w:pPr>
        <w:pStyle w:val="Heading4"/>
      </w:pPr>
      <w:r>
        <w:t>2017-18 priorities</w:t>
      </w:r>
    </w:p>
    <w:p w14:paraId="71BF88CB" w14:textId="77777777" w:rsidR="00AA2E5A" w:rsidRDefault="00AA2E5A" w:rsidP="001E0823">
      <w:pPr>
        <w:pStyle w:val="ListBullet"/>
      </w:pPr>
      <w:r>
        <w:t xml:space="preserve">ECEI commences in Tasmania from July 2017 for four to six year olds. The Agency is working with existing early childhood service providers to build understanding of the NDIS national approach to early intervention. </w:t>
      </w:r>
    </w:p>
    <w:p w14:paraId="1642CCF0" w14:textId="5BEFBAD9" w:rsidR="00AA2E5A" w:rsidRDefault="00AA2E5A" w:rsidP="001E0823">
      <w:pPr>
        <w:pStyle w:val="ListBullet"/>
      </w:pPr>
      <w:r>
        <w:t>Another priority will be to increase awareness among potential participants and service providers of the benefits of the NDIS for eligible people with psychosocial disability.</w:t>
      </w:r>
    </w:p>
    <w:p w14:paraId="58733CD2" w14:textId="77777777" w:rsidR="00376335" w:rsidRDefault="00376335" w:rsidP="001E0823">
      <w:r>
        <w:br w:type="page"/>
      </w:r>
    </w:p>
    <w:p w14:paraId="3F370891" w14:textId="4C2F94FB" w:rsidR="00376335" w:rsidRPr="00376335" w:rsidRDefault="00376335" w:rsidP="001E0823">
      <w:pPr>
        <w:pStyle w:val="Heading3"/>
      </w:pPr>
      <w:r w:rsidRPr="00376335">
        <w:lastRenderedPageBreak/>
        <w:t>Victoria</w:t>
      </w:r>
    </w:p>
    <w:p w14:paraId="3D508402" w14:textId="77777777" w:rsidR="00376335" w:rsidRPr="00376335" w:rsidRDefault="00376335" w:rsidP="001E0823">
      <w:pPr>
        <w:pStyle w:val="Intro"/>
      </w:pPr>
      <w:r w:rsidRPr="00376335">
        <w:t>It was a busy year in Victoria, with the conclusion of the Barwon trial and three new regions transitioning to the Scheme.</w:t>
      </w:r>
    </w:p>
    <w:p w14:paraId="54E518B1" w14:textId="58F53FF6" w:rsidR="00376335" w:rsidRDefault="00376335" w:rsidP="001E0823">
      <w:pPr>
        <w:pStyle w:val="BodyText"/>
      </w:pPr>
      <w:r w:rsidRPr="00376335">
        <w:t>As the Victor</w:t>
      </w:r>
      <w:r>
        <w:t xml:space="preserve">ian disability market matures, </w:t>
      </w:r>
      <w:r w:rsidRPr="00376335">
        <w:t>the Agency is focussed on working with newly-appointed Partners in the Community to deliver excellent service and meaningful participant outcomes.</w:t>
      </w:r>
    </w:p>
    <w:p w14:paraId="7EEC8386" w14:textId="2A55309B" w:rsidR="00BB6D88" w:rsidRPr="009741D8" w:rsidRDefault="00B92878" w:rsidP="001E0823">
      <w:pPr>
        <w:pStyle w:val="Heading4"/>
      </w:pPr>
      <w:r w:rsidRPr="00B92878">
        <w:t>Participants with an approved NDIS plan</w:t>
      </w:r>
      <w:r w:rsidR="00ED3FF4">
        <w:t xml:space="preserve"> - Victoria</w:t>
      </w:r>
    </w:p>
    <w:tbl>
      <w:tblPr>
        <w:tblStyle w:val="TableGrid"/>
        <w:tblW w:w="0" w:type="auto"/>
        <w:tblLook w:val="04A0" w:firstRow="1" w:lastRow="0" w:firstColumn="1" w:lastColumn="0" w:noHBand="0" w:noVBand="1"/>
        <w:tblDescription w:val="Participants with an approved NDIS plan - Victoria"/>
      </w:tblPr>
      <w:tblGrid>
        <w:gridCol w:w="4799"/>
        <w:gridCol w:w="4829"/>
      </w:tblGrid>
      <w:tr w:rsidR="00BB6D88" w14:paraId="2E7834F5" w14:textId="77777777" w:rsidTr="005B251B">
        <w:trPr>
          <w:tblHeader/>
        </w:trPr>
        <w:tc>
          <w:tcPr>
            <w:tcW w:w="5094" w:type="dxa"/>
            <w:shd w:val="clear" w:color="auto" w:fill="6B2976" w:themeFill="background2"/>
          </w:tcPr>
          <w:p w14:paraId="527EA12B" w14:textId="77777777" w:rsidR="00BB6D88" w:rsidRPr="00465BCE" w:rsidRDefault="00BB6D88" w:rsidP="001E0823">
            <w:pPr>
              <w:pStyle w:val="TableTitle"/>
            </w:pPr>
            <w:bookmarkStart w:id="25" w:name="ColumnTitle_VICParticipants"/>
            <w:r w:rsidRPr="00465BCE">
              <w:t>At end of trial (30 June 2016)</w:t>
            </w:r>
          </w:p>
        </w:tc>
        <w:tc>
          <w:tcPr>
            <w:tcW w:w="5094" w:type="dxa"/>
            <w:shd w:val="clear" w:color="auto" w:fill="6B2976" w:themeFill="background2"/>
          </w:tcPr>
          <w:p w14:paraId="5EF9C144" w14:textId="77777777" w:rsidR="00BB6D88" w:rsidRPr="00465BCE" w:rsidRDefault="00BB6D88" w:rsidP="001E0823">
            <w:pPr>
              <w:pStyle w:val="TableTitle"/>
            </w:pPr>
            <w:r w:rsidRPr="00465BCE">
              <w:t>At 30 June 2017 (including ECEI)</w:t>
            </w:r>
          </w:p>
        </w:tc>
      </w:tr>
      <w:bookmarkEnd w:id="25"/>
      <w:tr w:rsidR="00BB6D88" w14:paraId="0757AD9D" w14:textId="77777777" w:rsidTr="005332B3">
        <w:tc>
          <w:tcPr>
            <w:tcW w:w="5094" w:type="dxa"/>
          </w:tcPr>
          <w:p w14:paraId="54945A05" w14:textId="6409E8C2" w:rsidR="00BB6D88" w:rsidRDefault="00BB6D88" w:rsidP="001E0823">
            <w:pPr>
              <w:pStyle w:val="BodyText"/>
              <w:rPr>
                <w:rStyle w:val="BodyTextBold"/>
              </w:rPr>
            </w:pPr>
            <w:r>
              <w:t>5,284</w:t>
            </w:r>
          </w:p>
        </w:tc>
        <w:tc>
          <w:tcPr>
            <w:tcW w:w="5094" w:type="dxa"/>
          </w:tcPr>
          <w:p w14:paraId="5A4E4270" w14:textId="265C79BF" w:rsidR="00BB6D88" w:rsidRDefault="00BB6D88" w:rsidP="001E0823">
            <w:pPr>
              <w:pStyle w:val="BodyText"/>
              <w:rPr>
                <w:rStyle w:val="BodyTextBold"/>
              </w:rPr>
            </w:pPr>
            <w:r>
              <w:t>16,484 (82 per cent of bilateral estimate)</w:t>
            </w:r>
          </w:p>
        </w:tc>
      </w:tr>
    </w:tbl>
    <w:p w14:paraId="401D22CD" w14:textId="77777777" w:rsidR="00BB6D88" w:rsidRDefault="00BB6D88" w:rsidP="001E0823">
      <w:pPr>
        <w:pStyle w:val="Heading4"/>
      </w:pPr>
      <w:r>
        <w:t>Total payments to participants</w:t>
      </w:r>
    </w:p>
    <w:p w14:paraId="38CCE26C" w14:textId="6FEC8E60" w:rsidR="00BB6D88" w:rsidRDefault="00BB6D88" w:rsidP="001E0823">
      <w:pPr>
        <w:pStyle w:val="BodyText"/>
      </w:pPr>
      <w:r>
        <w:t>At 30 June 2017 a total of $1,377.1 million had been committed since Scheme incepti</w:t>
      </w:r>
      <w:r w:rsidR="00E85C50">
        <w:t>on to participants in Victoria.</w:t>
      </w:r>
      <w:r w:rsidR="00712C48">
        <w:rPr>
          <w:rStyle w:val="FootnoteReference"/>
        </w:rPr>
        <w:footnoteReference w:id="7"/>
      </w:r>
    </w:p>
    <w:p w14:paraId="27171BCF" w14:textId="77777777" w:rsidR="00BB6D88" w:rsidRDefault="00BB6D88" w:rsidP="001E0823">
      <w:pPr>
        <w:pStyle w:val="Heading4"/>
      </w:pPr>
      <w:r>
        <w:t>Providers</w:t>
      </w:r>
    </w:p>
    <w:p w14:paraId="3C928E1F" w14:textId="77777777" w:rsidR="00BB6D88" w:rsidRDefault="00BB6D88" w:rsidP="001E0823">
      <w:pPr>
        <w:pStyle w:val="BodyText"/>
      </w:pPr>
      <w:r>
        <w:t>In 2016-17 registered providers operating in Victoria increased from 896 to 2,532.</w:t>
      </w:r>
    </w:p>
    <w:p w14:paraId="0975B54E" w14:textId="21366475" w:rsidR="00712C48" w:rsidRPr="003B7FF5" w:rsidRDefault="00BB6D88" w:rsidP="001E0823">
      <w:pPr>
        <w:pStyle w:val="Heading4"/>
      </w:pPr>
      <w:r>
        <w:t>Partners in the Community</w:t>
      </w:r>
      <w:r w:rsidR="00712C48" w:rsidRPr="00712C48">
        <w:t xml:space="preserve"> </w:t>
      </w:r>
      <w:r w:rsidR="00ED3FF4">
        <w:t>- Victoria</w:t>
      </w:r>
    </w:p>
    <w:tbl>
      <w:tblPr>
        <w:tblStyle w:val="TableGrid"/>
        <w:tblW w:w="0" w:type="auto"/>
        <w:tblLook w:val="04A0" w:firstRow="1" w:lastRow="0" w:firstColumn="1" w:lastColumn="0" w:noHBand="0" w:noVBand="1"/>
        <w:tblDescription w:val="Partners in the Community - Victoria"/>
      </w:tblPr>
      <w:tblGrid>
        <w:gridCol w:w="2399"/>
        <w:gridCol w:w="2258"/>
        <w:gridCol w:w="2475"/>
        <w:gridCol w:w="2496"/>
      </w:tblGrid>
      <w:tr w:rsidR="00712C48" w:rsidRPr="00B86A86" w14:paraId="49621D3D" w14:textId="77777777" w:rsidTr="005B251B">
        <w:trPr>
          <w:tblHeader/>
        </w:trPr>
        <w:tc>
          <w:tcPr>
            <w:tcW w:w="2519" w:type="dxa"/>
            <w:shd w:val="clear" w:color="auto" w:fill="6B2976" w:themeFill="background2"/>
          </w:tcPr>
          <w:p w14:paraId="03B9269D" w14:textId="77777777" w:rsidR="00712C48" w:rsidRPr="00B86A86" w:rsidRDefault="00712C48" w:rsidP="001E0823">
            <w:pPr>
              <w:pStyle w:val="TableTitle"/>
            </w:pPr>
            <w:bookmarkStart w:id="26" w:name="ColumnTitle_VICPartners"/>
            <w:r w:rsidRPr="00B86A86">
              <w:t>Partner</w:t>
            </w:r>
          </w:p>
        </w:tc>
        <w:tc>
          <w:tcPr>
            <w:tcW w:w="2379" w:type="dxa"/>
            <w:shd w:val="clear" w:color="auto" w:fill="6B2976" w:themeFill="background2"/>
          </w:tcPr>
          <w:p w14:paraId="710B0E21" w14:textId="77777777" w:rsidR="00712C48" w:rsidRPr="00B86A86" w:rsidRDefault="00712C48" w:rsidP="001E0823">
            <w:pPr>
              <w:pStyle w:val="TableTitle"/>
            </w:pPr>
            <w:r w:rsidRPr="00B86A86">
              <w:t>Service area</w:t>
            </w:r>
          </w:p>
        </w:tc>
        <w:tc>
          <w:tcPr>
            <w:tcW w:w="2645" w:type="dxa"/>
            <w:shd w:val="clear" w:color="auto" w:fill="6B2976" w:themeFill="background2"/>
          </w:tcPr>
          <w:p w14:paraId="5029F190" w14:textId="77777777" w:rsidR="00712C48" w:rsidRPr="00B86A86" w:rsidRDefault="00712C48" w:rsidP="001E0823">
            <w:pPr>
              <w:pStyle w:val="TableTitle"/>
            </w:pPr>
            <w:r w:rsidRPr="00B86A86">
              <w:t>Activity start date</w:t>
            </w:r>
          </w:p>
        </w:tc>
        <w:tc>
          <w:tcPr>
            <w:tcW w:w="2645" w:type="dxa"/>
            <w:shd w:val="clear" w:color="auto" w:fill="6B2976" w:themeFill="background2"/>
          </w:tcPr>
          <w:p w14:paraId="7424F89A" w14:textId="77777777" w:rsidR="00712C48" w:rsidRPr="00B86A86" w:rsidRDefault="00712C48" w:rsidP="001E0823">
            <w:pPr>
              <w:pStyle w:val="TableTitle"/>
            </w:pPr>
            <w:r w:rsidRPr="00B86A86">
              <w:t>ECEI/LAC services</w:t>
            </w:r>
          </w:p>
        </w:tc>
      </w:tr>
      <w:bookmarkEnd w:id="26"/>
      <w:tr w:rsidR="00712C48" w14:paraId="6D07F68D" w14:textId="77777777" w:rsidTr="005332B3">
        <w:tc>
          <w:tcPr>
            <w:tcW w:w="2519" w:type="dxa"/>
          </w:tcPr>
          <w:p w14:paraId="54087936" w14:textId="318255DB" w:rsidR="00712C48" w:rsidRDefault="00712C48" w:rsidP="001E0823">
            <w:pPr>
              <w:pStyle w:val="BodyText"/>
              <w:rPr>
                <w:rStyle w:val="BodyTextBold"/>
              </w:rPr>
            </w:pPr>
            <w:r>
              <w:t xml:space="preserve">Brotherhood of St Laurence </w:t>
            </w:r>
          </w:p>
        </w:tc>
        <w:tc>
          <w:tcPr>
            <w:tcW w:w="2379" w:type="dxa"/>
          </w:tcPr>
          <w:p w14:paraId="12956FFF" w14:textId="43760A62" w:rsidR="00712C48" w:rsidRDefault="00712C48" w:rsidP="001E0823">
            <w:pPr>
              <w:pStyle w:val="BodyText"/>
            </w:pPr>
            <w:r>
              <w:t>North East Melbourne</w:t>
            </w:r>
          </w:p>
        </w:tc>
        <w:tc>
          <w:tcPr>
            <w:tcW w:w="2645" w:type="dxa"/>
          </w:tcPr>
          <w:p w14:paraId="4600B9CD" w14:textId="1F5BCA84" w:rsidR="00712C48" w:rsidRDefault="00712C48" w:rsidP="001E0823">
            <w:pPr>
              <w:pStyle w:val="BodyText"/>
              <w:rPr>
                <w:rStyle w:val="BodyTextBold"/>
              </w:rPr>
            </w:pPr>
            <w:r>
              <w:t>July 2016</w:t>
            </w:r>
          </w:p>
        </w:tc>
        <w:tc>
          <w:tcPr>
            <w:tcW w:w="2645" w:type="dxa"/>
          </w:tcPr>
          <w:p w14:paraId="7A6E1AD2" w14:textId="6381BE0F" w:rsidR="00712C48" w:rsidRDefault="00712C48" w:rsidP="001E0823">
            <w:pPr>
              <w:pStyle w:val="BodyText"/>
              <w:rPr>
                <w:rStyle w:val="BodyTextBold"/>
              </w:rPr>
            </w:pPr>
            <w:r>
              <w:t>ECEI &amp; LAC</w:t>
            </w:r>
          </w:p>
        </w:tc>
      </w:tr>
      <w:tr w:rsidR="00712C48" w14:paraId="432ED345" w14:textId="77777777" w:rsidTr="005332B3">
        <w:tc>
          <w:tcPr>
            <w:tcW w:w="2519" w:type="dxa"/>
          </w:tcPr>
          <w:p w14:paraId="658A809F" w14:textId="5CC10546" w:rsidR="00712C48" w:rsidRDefault="00712C48" w:rsidP="001E0823">
            <w:pPr>
              <w:pStyle w:val="BodyText"/>
            </w:pPr>
            <w:r>
              <w:t>Intereach</w:t>
            </w:r>
          </w:p>
        </w:tc>
        <w:tc>
          <w:tcPr>
            <w:tcW w:w="2379" w:type="dxa"/>
          </w:tcPr>
          <w:p w14:paraId="67629093" w14:textId="79D36410" w:rsidR="00712C48" w:rsidRDefault="00712C48" w:rsidP="001E0823">
            <w:pPr>
              <w:pStyle w:val="BodyText"/>
            </w:pPr>
            <w:r>
              <w:t>Loddon</w:t>
            </w:r>
          </w:p>
        </w:tc>
        <w:tc>
          <w:tcPr>
            <w:tcW w:w="2645" w:type="dxa"/>
          </w:tcPr>
          <w:p w14:paraId="0924F7CC" w14:textId="097DA0E6" w:rsidR="00712C48" w:rsidRDefault="00712C48" w:rsidP="001E0823">
            <w:pPr>
              <w:pStyle w:val="BodyText"/>
            </w:pPr>
            <w:r>
              <w:t>Nov 2016</w:t>
            </w:r>
          </w:p>
        </w:tc>
        <w:tc>
          <w:tcPr>
            <w:tcW w:w="2645" w:type="dxa"/>
          </w:tcPr>
          <w:p w14:paraId="27354F45" w14:textId="0D49EF9C" w:rsidR="00712C48" w:rsidRDefault="00712C48" w:rsidP="001E0823">
            <w:pPr>
              <w:pStyle w:val="BodyText"/>
            </w:pPr>
            <w:r>
              <w:t>ECEI &amp; LAC</w:t>
            </w:r>
          </w:p>
        </w:tc>
      </w:tr>
      <w:tr w:rsidR="00712C48" w14:paraId="637C7A8D" w14:textId="77777777" w:rsidTr="005332B3">
        <w:tc>
          <w:tcPr>
            <w:tcW w:w="2519" w:type="dxa"/>
          </w:tcPr>
          <w:p w14:paraId="636977D0" w14:textId="6879E652" w:rsidR="00712C48" w:rsidRDefault="00712C48" w:rsidP="001E0823">
            <w:pPr>
              <w:pStyle w:val="BodyText"/>
            </w:pPr>
            <w:r>
              <w:t xml:space="preserve">Latrobe Community Health Services </w:t>
            </w:r>
          </w:p>
        </w:tc>
        <w:tc>
          <w:tcPr>
            <w:tcW w:w="2379" w:type="dxa"/>
          </w:tcPr>
          <w:p w14:paraId="2785CFE7" w14:textId="77777777" w:rsidR="00712C48" w:rsidRDefault="00712C48" w:rsidP="001E0823">
            <w:pPr>
              <w:pStyle w:val="BodyText"/>
            </w:pPr>
            <w:r>
              <w:t>Ovens Murray</w:t>
            </w:r>
          </w:p>
          <w:p w14:paraId="53858AE9" w14:textId="77777777" w:rsidR="00712C48" w:rsidRDefault="00712C48" w:rsidP="001E0823">
            <w:pPr>
              <w:pStyle w:val="BodyText"/>
            </w:pPr>
            <w:r>
              <w:t>Central Highlands</w:t>
            </w:r>
          </w:p>
          <w:p w14:paraId="452EFD1D" w14:textId="77777777" w:rsidR="00712C48" w:rsidRDefault="00712C48" w:rsidP="001E0823">
            <w:pPr>
              <w:pStyle w:val="BodyText"/>
            </w:pPr>
            <w:r>
              <w:t>Wimmera South West</w:t>
            </w:r>
          </w:p>
          <w:p w14:paraId="36B10DAA" w14:textId="77777777" w:rsidR="00712C48" w:rsidRDefault="00712C48" w:rsidP="001E0823">
            <w:pPr>
              <w:pStyle w:val="BodyText"/>
            </w:pPr>
            <w:r>
              <w:t>Barwon</w:t>
            </w:r>
          </w:p>
          <w:p w14:paraId="4165FB37" w14:textId="77777777" w:rsidR="00712C48" w:rsidRDefault="00712C48" w:rsidP="001E0823">
            <w:pPr>
              <w:pStyle w:val="BodyText"/>
            </w:pPr>
            <w:r>
              <w:t>Inner Gippsland</w:t>
            </w:r>
          </w:p>
          <w:p w14:paraId="00633943" w14:textId="77777777" w:rsidR="00712C48" w:rsidRDefault="00712C48" w:rsidP="001E0823">
            <w:pPr>
              <w:pStyle w:val="BodyText"/>
            </w:pPr>
            <w:r>
              <w:t>Inner East Melbourne</w:t>
            </w:r>
          </w:p>
          <w:p w14:paraId="602659E0" w14:textId="79986F5E" w:rsidR="00712C48" w:rsidRDefault="00712C48" w:rsidP="001E0823">
            <w:pPr>
              <w:pStyle w:val="BodyText"/>
            </w:pPr>
            <w:r>
              <w:t>Outer East Melbourne</w:t>
            </w:r>
          </w:p>
        </w:tc>
        <w:tc>
          <w:tcPr>
            <w:tcW w:w="2645" w:type="dxa"/>
          </w:tcPr>
          <w:p w14:paraId="67F5538C" w14:textId="77777777" w:rsidR="00712C48" w:rsidRDefault="00712C48" w:rsidP="001E0823">
            <w:pPr>
              <w:pStyle w:val="BodyText"/>
            </w:pPr>
            <w:r>
              <w:t>April 2017</w:t>
            </w:r>
          </w:p>
          <w:p w14:paraId="49930763" w14:textId="77777777" w:rsidR="00712C48" w:rsidRDefault="00712C48" w:rsidP="001E0823">
            <w:pPr>
              <w:pStyle w:val="BodyText"/>
            </w:pPr>
            <w:r>
              <w:t>July  2017</w:t>
            </w:r>
          </w:p>
          <w:p w14:paraId="288F3F87" w14:textId="77777777" w:rsidR="00712C48" w:rsidRDefault="00712C48" w:rsidP="001E0823">
            <w:pPr>
              <w:pStyle w:val="BodyText"/>
            </w:pPr>
            <w:r>
              <w:t>April 2017</w:t>
            </w:r>
          </w:p>
          <w:p w14:paraId="1A84DA5D" w14:textId="77777777" w:rsidR="00712C48" w:rsidRDefault="00712C48" w:rsidP="001E0823">
            <w:pPr>
              <w:pStyle w:val="BodyText"/>
            </w:pPr>
            <w:r>
              <w:t>April 2017</w:t>
            </w:r>
          </w:p>
          <w:p w14:paraId="75B9DDBA" w14:textId="77777777" w:rsidR="00712C48" w:rsidRDefault="00712C48" w:rsidP="001E0823">
            <w:pPr>
              <w:pStyle w:val="BodyText"/>
            </w:pPr>
            <w:r>
              <w:t>April 2017</w:t>
            </w:r>
          </w:p>
          <w:p w14:paraId="767C0E65" w14:textId="77777777" w:rsidR="00712C48" w:rsidRDefault="00712C48" w:rsidP="001E0823">
            <w:pPr>
              <w:pStyle w:val="BodyText"/>
            </w:pPr>
            <w:r>
              <w:t>May 2017</w:t>
            </w:r>
          </w:p>
          <w:p w14:paraId="3A52D51F" w14:textId="10413334" w:rsidR="00712C48" w:rsidRDefault="00712C48" w:rsidP="001E0823">
            <w:pPr>
              <w:pStyle w:val="BodyText"/>
            </w:pPr>
            <w:r>
              <w:t>May 2016</w:t>
            </w:r>
          </w:p>
        </w:tc>
        <w:tc>
          <w:tcPr>
            <w:tcW w:w="2645" w:type="dxa"/>
          </w:tcPr>
          <w:p w14:paraId="305604C5" w14:textId="77777777" w:rsidR="00712C48" w:rsidRDefault="00712C48" w:rsidP="001E0823">
            <w:pPr>
              <w:pStyle w:val="BodyText"/>
            </w:pPr>
            <w:r>
              <w:t>LAC</w:t>
            </w:r>
          </w:p>
          <w:p w14:paraId="6F01B9DA" w14:textId="77777777" w:rsidR="00712C48" w:rsidRDefault="00712C48" w:rsidP="001E0823">
            <w:pPr>
              <w:pStyle w:val="BodyText"/>
            </w:pPr>
            <w:r>
              <w:t>ECEI &amp; LAC</w:t>
            </w:r>
          </w:p>
          <w:p w14:paraId="3043DA8E" w14:textId="77777777" w:rsidR="00712C48" w:rsidRDefault="00712C48" w:rsidP="001E0823">
            <w:pPr>
              <w:pStyle w:val="BodyText"/>
            </w:pPr>
            <w:r>
              <w:t>ECEI &amp; LAC</w:t>
            </w:r>
          </w:p>
          <w:p w14:paraId="362444E4" w14:textId="77777777" w:rsidR="00712C48" w:rsidRDefault="00712C48" w:rsidP="001E0823">
            <w:pPr>
              <w:pStyle w:val="BodyText"/>
            </w:pPr>
            <w:r>
              <w:t>LAC</w:t>
            </w:r>
          </w:p>
          <w:p w14:paraId="2873A75C" w14:textId="77777777" w:rsidR="00712C48" w:rsidRDefault="00712C48" w:rsidP="001E0823">
            <w:pPr>
              <w:pStyle w:val="BodyText"/>
            </w:pPr>
            <w:r>
              <w:t>LAC</w:t>
            </w:r>
          </w:p>
          <w:p w14:paraId="77E847AA" w14:textId="77777777" w:rsidR="00712C48" w:rsidRDefault="00712C48" w:rsidP="001E0823">
            <w:pPr>
              <w:pStyle w:val="BodyText"/>
            </w:pPr>
            <w:r>
              <w:t>LAC</w:t>
            </w:r>
          </w:p>
          <w:p w14:paraId="16C6CB93" w14:textId="25123D65" w:rsidR="00712C48" w:rsidRDefault="00712C48" w:rsidP="001E0823">
            <w:pPr>
              <w:pStyle w:val="BodyText"/>
            </w:pPr>
            <w:r>
              <w:t>LAC</w:t>
            </w:r>
          </w:p>
        </w:tc>
      </w:tr>
      <w:tr w:rsidR="00712C48" w14:paraId="2EBAAFC3" w14:textId="77777777" w:rsidTr="005332B3">
        <w:tc>
          <w:tcPr>
            <w:tcW w:w="2519" w:type="dxa"/>
          </w:tcPr>
          <w:p w14:paraId="64A06076" w14:textId="47CA1040" w:rsidR="00712C48" w:rsidRDefault="00712C48" w:rsidP="001E0823">
            <w:pPr>
              <w:pStyle w:val="BodyText"/>
            </w:pPr>
            <w:r>
              <w:t>Merri Health</w:t>
            </w:r>
          </w:p>
        </w:tc>
        <w:tc>
          <w:tcPr>
            <w:tcW w:w="2379" w:type="dxa"/>
          </w:tcPr>
          <w:p w14:paraId="77A180AE" w14:textId="2DDE48CF" w:rsidR="00712C48" w:rsidRDefault="00712C48" w:rsidP="001E0823">
            <w:pPr>
              <w:pStyle w:val="BodyText"/>
            </w:pPr>
            <w:r>
              <w:t>Ovens Murray</w:t>
            </w:r>
          </w:p>
        </w:tc>
        <w:tc>
          <w:tcPr>
            <w:tcW w:w="2645" w:type="dxa"/>
          </w:tcPr>
          <w:p w14:paraId="09D2900C" w14:textId="439BF3B5" w:rsidR="00712C48" w:rsidRDefault="00712C48" w:rsidP="001E0823">
            <w:pPr>
              <w:pStyle w:val="BodyText"/>
            </w:pPr>
            <w:r>
              <w:t>April 2017</w:t>
            </w:r>
          </w:p>
        </w:tc>
        <w:tc>
          <w:tcPr>
            <w:tcW w:w="2645" w:type="dxa"/>
          </w:tcPr>
          <w:p w14:paraId="6DECC126" w14:textId="50E13DAC" w:rsidR="00712C48" w:rsidRDefault="00712C48" w:rsidP="001E0823">
            <w:pPr>
              <w:pStyle w:val="BodyText"/>
            </w:pPr>
            <w:r>
              <w:t>ECEI</w:t>
            </w:r>
          </w:p>
        </w:tc>
      </w:tr>
      <w:tr w:rsidR="00712C48" w14:paraId="4A865200" w14:textId="77777777" w:rsidTr="005332B3">
        <w:tc>
          <w:tcPr>
            <w:tcW w:w="2519" w:type="dxa"/>
          </w:tcPr>
          <w:p w14:paraId="245DC49C" w14:textId="6C07BDEF" w:rsidR="00712C48" w:rsidRDefault="00712C48" w:rsidP="001E0823">
            <w:pPr>
              <w:pStyle w:val="BodyText"/>
            </w:pPr>
            <w:r>
              <w:t xml:space="preserve">Barwon Child, Youth &amp; Family </w:t>
            </w:r>
          </w:p>
        </w:tc>
        <w:tc>
          <w:tcPr>
            <w:tcW w:w="2379" w:type="dxa"/>
          </w:tcPr>
          <w:p w14:paraId="3C4C64D8" w14:textId="000E5A7C" w:rsidR="00712C48" w:rsidRDefault="00712C48" w:rsidP="001E0823">
            <w:pPr>
              <w:pStyle w:val="BodyText"/>
            </w:pPr>
            <w:r>
              <w:t>Barwon</w:t>
            </w:r>
          </w:p>
        </w:tc>
        <w:tc>
          <w:tcPr>
            <w:tcW w:w="2645" w:type="dxa"/>
          </w:tcPr>
          <w:p w14:paraId="59C599F2" w14:textId="41B206D0" w:rsidR="00712C48" w:rsidRDefault="00712C48" w:rsidP="001E0823">
            <w:pPr>
              <w:pStyle w:val="BodyText"/>
            </w:pPr>
            <w:r>
              <w:t>July 2017</w:t>
            </w:r>
          </w:p>
        </w:tc>
        <w:tc>
          <w:tcPr>
            <w:tcW w:w="2645" w:type="dxa"/>
          </w:tcPr>
          <w:p w14:paraId="0CAFACD6" w14:textId="65BC2324" w:rsidR="00712C48" w:rsidRDefault="00712C48" w:rsidP="001E0823">
            <w:pPr>
              <w:pStyle w:val="BodyText"/>
            </w:pPr>
            <w:r>
              <w:t>ECEI</w:t>
            </w:r>
          </w:p>
        </w:tc>
      </w:tr>
      <w:tr w:rsidR="00712C48" w14:paraId="5EC12EE1" w14:textId="77777777" w:rsidTr="005332B3">
        <w:tc>
          <w:tcPr>
            <w:tcW w:w="2519" w:type="dxa"/>
          </w:tcPr>
          <w:p w14:paraId="591600F7" w14:textId="7D9D11C9" w:rsidR="00712C48" w:rsidRDefault="00712C48" w:rsidP="001E0823">
            <w:pPr>
              <w:pStyle w:val="BodyText"/>
            </w:pPr>
            <w:r>
              <w:t>Link Health and Community</w:t>
            </w:r>
          </w:p>
        </w:tc>
        <w:tc>
          <w:tcPr>
            <w:tcW w:w="2379" w:type="dxa"/>
          </w:tcPr>
          <w:p w14:paraId="0DC059F0" w14:textId="77777777" w:rsidR="00712C48" w:rsidRDefault="00712C48" w:rsidP="001E0823">
            <w:pPr>
              <w:pStyle w:val="BodyText"/>
            </w:pPr>
            <w:r>
              <w:t>Inner Gippsland</w:t>
            </w:r>
          </w:p>
          <w:p w14:paraId="274700DD" w14:textId="77777777" w:rsidR="00712C48" w:rsidRDefault="00712C48" w:rsidP="001E0823">
            <w:pPr>
              <w:pStyle w:val="BodyText"/>
            </w:pPr>
            <w:r>
              <w:t>Inner East Melbourne</w:t>
            </w:r>
          </w:p>
          <w:p w14:paraId="3C2FE92F" w14:textId="69F8EC5C" w:rsidR="00712C48" w:rsidRDefault="00712C48" w:rsidP="001E0823">
            <w:pPr>
              <w:pStyle w:val="BodyText"/>
            </w:pPr>
            <w:r>
              <w:lastRenderedPageBreak/>
              <w:t>Outer East Melbourne</w:t>
            </w:r>
          </w:p>
        </w:tc>
        <w:tc>
          <w:tcPr>
            <w:tcW w:w="2645" w:type="dxa"/>
          </w:tcPr>
          <w:p w14:paraId="0D90699B" w14:textId="77777777" w:rsidR="00712C48" w:rsidRDefault="00712C48" w:rsidP="001E0823">
            <w:pPr>
              <w:pStyle w:val="BodyText"/>
            </w:pPr>
            <w:r>
              <w:lastRenderedPageBreak/>
              <w:t>April 2017</w:t>
            </w:r>
          </w:p>
          <w:p w14:paraId="78300D29" w14:textId="77777777" w:rsidR="00712C48" w:rsidRDefault="00712C48" w:rsidP="001E0823">
            <w:pPr>
              <w:pStyle w:val="BodyText"/>
            </w:pPr>
            <w:r>
              <w:t>May 2017</w:t>
            </w:r>
          </w:p>
          <w:p w14:paraId="151187AB" w14:textId="6675E464" w:rsidR="00712C48" w:rsidRDefault="00712C48" w:rsidP="001E0823">
            <w:pPr>
              <w:pStyle w:val="BodyText"/>
            </w:pPr>
            <w:r>
              <w:lastRenderedPageBreak/>
              <w:t>May 2016</w:t>
            </w:r>
          </w:p>
        </w:tc>
        <w:tc>
          <w:tcPr>
            <w:tcW w:w="2645" w:type="dxa"/>
          </w:tcPr>
          <w:p w14:paraId="53C7ABF7" w14:textId="77777777" w:rsidR="00712C48" w:rsidRDefault="00712C48" w:rsidP="001E0823">
            <w:pPr>
              <w:pStyle w:val="BodyText"/>
            </w:pPr>
            <w:r>
              <w:lastRenderedPageBreak/>
              <w:t>ECEI</w:t>
            </w:r>
          </w:p>
          <w:p w14:paraId="2E1D0231" w14:textId="77777777" w:rsidR="00712C48" w:rsidRDefault="00712C48" w:rsidP="001E0823">
            <w:pPr>
              <w:pStyle w:val="BodyText"/>
            </w:pPr>
            <w:r>
              <w:t>ECEI</w:t>
            </w:r>
          </w:p>
          <w:p w14:paraId="5C8E6B8F" w14:textId="29E9D503" w:rsidR="00712C48" w:rsidRDefault="00712C48" w:rsidP="001E0823">
            <w:pPr>
              <w:pStyle w:val="BodyText"/>
            </w:pPr>
            <w:r>
              <w:lastRenderedPageBreak/>
              <w:t>ECEI</w:t>
            </w:r>
          </w:p>
        </w:tc>
      </w:tr>
    </w:tbl>
    <w:p w14:paraId="2B618FC2" w14:textId="1ED67DA4" w:rsidR="00F45AFA" w:rsidRDefault="00F45AFA" w:rsidP="001E0823">
      <w:pPr>
        <w:pStyle w:val="Heading4"/>
      </w:pPr>
    </w:p>
    <w:p w14:paraId="0FAF6A06" w14:textId="77777777" w:rsidR="00F45AFA" w:rsidRDefault="00F45AFA" w:rsidP="001E0823">
      <w:pPr>
        <w:pStyle w:val="Heading4"/>
      </w:pPr>
      <w:r>
        <w:br w:type="page"/>
      </w:r>
      <w:r>
        <w:lastRenderedPageBreak/>
        <w:t>Rollout to date</w:t>
      </w:r>
    </w:p>
    <w:p w14:paraId="3FEDCE54" w14:textId="5783180F" w:rsidR="00F45AFA" w:rsidRPr="00F45AFA" w:rsidRDefault="00F45AFA" w:rsidP="001E0823">
      <w:pPr>
        <w:pStyle w:val="BodyText"/>
        <w:rPr>
          <w:rFonts w:eastAsiaTheme="majorEastAsia" w:cstheme="majorBidi"/>
          <w:b/>
          <w:bCs/>
        </w:rPr>
      </w:pPr>
      <w:r>
        <w:t>The NDIS is rolling out by region across Victoria:</w:t>
      </w:r>
    </w:p>
    <w:p w14:paraId="21113BCB" w14:textId="77777777" w:rsidR="00F45AFA" w:rsidRDefault="00F45AFA" w:rsidP="001E0823">
      <w:pPr>
        <w:pStyle w:val="ListBullet"/>
      </w:pPr>
      <w:r>
        <w:t>July 2013 – Barwon (trial).</w:t>
      </w:r>
    </w:p>
    <w:p w14:paraId="2D2FABF8" w14:textId="77777777" w:rsidR="00F45AFA" w:rsidRDefault="00F45AFA" w:rsidP="001E0823">
      <w:pPr>
        <w:pStyle w:val="ListBullet"/>
      </w:pPr>
      <w:r>
        <w:t>July 2016 – North Eastern Melbourne.</w:t>
      </w:r>
    </w:p>
    <w:p w14:paraId="18E51F0A" w14:textId="77777777" w:rsidR="00F45AFA" w:rsidRDefault="00F45AFA" w:rsidP="001E0823">
      <w:pPr>
        <w:pStyle w:val="ListBullet"/>
      </w:pPr>
      <w:r>
        <w:t>January 2017 – Central Highlands.</w:t>
      </w:r>
    </w:p>
    <w:p w14:paraId="28E48339" w14:textId="77777777" w:rsidR="00F45AFA" w:rsidRDefault="00F45AFA" w:rsidP="001E0823">
      <w:pPr>
        <w:pStyle w:val="ListBullet"/>
      </w:pPr>
      <w:r>
        <w:t>May 2017 – Loddon.</w:t>
      </w:r>
    </w:p>
    <w:p w14:paraId="618AEB36" w14:textId="77777777" w:rsidR="00F45AFA" w:rsidRDefault="00F45AFA" w:rsidP="001E0823">
      <w:pPr>
        <w:pStyle w:val="Heading4"/>
      </w:pPr>
      <w:r>
        <w:t>2016-17 in review</w:t>
      </w:r>
    </w:p>
    <w:p w14:paraId="296E57BA" w14:textId="77777777" w:rsidR="00F45AFA" w:rsidRDefault="00F45AFA" w:rsidP="001E0823">
      <w:pPr>
        <w:pStyle w:val="ListBullet"/>
      </w:pPr>
      <w:r>
        <w:t>Extensive work has been completed in educating service providers about psychosocial disability and support coordination. This has resulted in a growth in the support coordination market, and has strengthened providers’ understanding of the requirements of specialist support coordination for people with psychosocial disability.</w:t>
      </w:r>
    </w:p>
    <w:p w14:paraId="09283DA3" w14:textId="77777777" w:rsidR="00F45AFA" w:rsidRDefault="00F45AFA" w:rsidP="001E0823">
      <w:pPr>
        <w:pStyle w:val="ListBullet"/>
      </w:pPr>
      <w:r>
        <w:t>There has been a focus on community engagement and readiness through events and information sessions including:</w:t>
      </w:r>
    </w:p>
    <w:p w14:paraId="67D13921" w14:textId="77777777" w:rsidR="00F45AFA" w:rsidRDefault="00F45AFA" w:rsidP="001E0823">
      <w:pPr>
        <w:pStyle w:val="ListBullet2"/>
      </w:pPr>
      <w:r>
        <w:t>supporting the Victorian Advocacy League for Individuals with Disability Having a Say Conference in Geelong with more than 900 attendees;</w:t>
      </w:r>
    </w:p>
    <w:p w14:paraId="6089998D" w14:textId="77777777" w:rsidR="00F45AFA" w:rsidRDefault="00F45AFA" w:rsidP="001E0823">
      <w:pPr>
        <w:pStyle w:val="ListBullet2"/>
      </w:pPr>
      <w:r>
        <w:t>an NDIS provider exhibition in Ballarat;</w:t>
      </w:r>
    </w:p>
    <w:p w14:paraId="19D4AC03" w14:textId="77777777" w:rsidR="00F45AFA" w:rsidRDefault="00F45AFA" w:rsidP="001E0823">
      <w:pPr>
        <w:pStyle w:val="ListBullet2"/>
      </w:pPr>
      <w:r>
        <w:t xml:space="preserve">Partners in the Community roadshows in new transition areas to build community awareness and community engagement activities; </w:t>
      </w:r>
    </w:p>
    <w:p w14:paraId="0ED7B740" w14:textId="77777777" w:rsidR="00F45AFA" w:rsidRDefault="00F45AFA" w:rsidP="001E0823">
      <w:pPr>
        <w:pStyle w:val="ListBullet2"/>
      </w:pPr>
      <w:r>
        <w:t>targeted Aboriginal and Torres Strait Islander, and Culturally and Linguistically Diverse (CALD) Community Information Sessions; and</w:t>
      </w:r>
    </w:p>
    <w:p w14:paraId="049DC2A8" w14:textId="77777777" w:rsidR="00F45AFA" w:rsidRDefault="00F45AFA" w:rsidP="001E0823">
      <w:pPr>
        <w:pStyle w:val="ListBullet2"/>
      </w:pPr>
      <w:r>
        <w:t>official launch events in Ararat (Central Highlands) and Bendigo (Loddon).</w:t>
      </w:r>
    </w:p>
    <w:p w14:paraId="3341678C" w14:textId="77777777" w:rsidR="00F45AFA" w:rsidRDefault="00F45AFA" w:rsidP="001E0823">
      <w:pPr>
        <w:pStyle w:val="ListBullet"/>
      </w:pPr>
      <w:r>
        <w:t xml:space="preserve">To assist in a smooth transition to the NDIS in Victoria, people in each area will transition according to an agreed participant phasing plan developed by the Victorian Government and agreed by the Commonwealth. Children on the ECEI waitlist and people on the Disability Support Register who have the most urgent need for supports will enter the Scheme ahead of their geographic area as determined by the Victorian Government. </w:t>
      </w:r>
    </w:p>
    <w:p w14:paraId="6F2E2865" w14:textId="77777777" w:rsidR="00F45AFA" w:rsidRDefault="00F45AFA" w:rsidP="001E0823">
      <w:pPr>
        <w:pStyle w:val="Heading4"/>
      </w:pPr>
      <w:r>
        <w:t>2017-18 priorities</w:t>
      </w:r>
    </w:p>
    <w:p w14:paraId="58D08FEB" w14:textId="77777777" w:rsidR="00F45AFA" w:rsidRDefault="00F45AFA" w:rsidP="001E0823">
      <w:pPr>
        <w:pStyle w:val="ListBullet"/>
      </w:pPr>
      <w:r>
        <w:t>A new Victoria East regional hub will be established in preparation for areas transitioning to the NDIS in 2017-18. This will ensure regional hubs are established in advance, with timely recruitment and onboarding of new staff and community readiness activities such as community and provider information sessions.</w:t>
      </w:r>
    </w:p>
    <w:p w14:paraId="5784DB1B" w14:textId="01A2B8C4" w:rsidR="00076FF2" w:rsidRDefault="00F45AFA" w:rsidP="001E0823">
      <w:pPr>
        <w:pStyle w:val="ListBullet"/>
      </w:pPr>
      <w:r>
        <w:t>The Agency will continue to engage and collaborate in cross-border towns such as Albury, Mildura, Echuca and Mt Gambier to help individuals and providers understand their transition arrangements.</w:t>
      </w:r>
    </w:p>
    <w:p w14:paraId="5A96DC4B" w14:textId="77777777" w:rsidR="00076FF2" w:rsidRDefault="00076FF2" w:rsidP="001E0823">
      <w:r>
        <w:br w:type="page"/>
      </w:r>
    </w:p>
    <w:p w14:paraId="2AA8314B" w14:textId="77777777" w:rsidR="00076FF2" w:rsidRDefault="00076FF2" w:rsidP="001E0823">
      <w:pPr>
        <w:pStyle w:val="Heading3"/>
      </w:pPr>
      <w:r>
        <w:lastRenderedPageBreak/>
        <w:t>Western Australia</w:t>
      </w:r>
    </w:p>
    <w:p w14:paraId="56CC857A" w14:textId="77777777" w:rsidR="00076FF2" w:rsidRDefault="00076FF2" w:rsidP="001E0823">
      <w:pPr>
        <w:pStyle w:val="Intro"/>
      </w:pPr>
      <w:r>
        <w:t>The NDIS trial has been underway at the same time as a State Government version of the trial, known as Western Australia (WA) NDIS (formerly called NDIS My Way).</w:t>
      </w:r>
    </w:p>
    <w:p w14:paraId="76890571" w14:textId="482CBF00" w:rsidR="00376335" w:rsidRDefault="00076FF2" w:rsidP="001E0823">
      <w:pPr>
        <w:pStyle w:val="BodyText"/>
      </w:pPr>
      <w:r>
        <w:t>The WA Government are currently reviewing the WA Bilateral Agreement which establishes a nationally-consistent but state-run Scheme.</w:t>
      </w:r>
    </w:p>
    <w:p w14:paraId="0835A05A" w14:textId="7774BB0C" w:rsidR="00461DA3" w:rsidRPr="009741D8" w:rsidRDefault="00461DA3" w:rsidP="001E0823">
      <w:pPr>
        <w:pStyle w:val="Heading4"/>
      </w:pPr>
      <w:r w:rsidRPr="00461DA3">
        <w:t>Participants with an approved NDIS plan</w:t>
      </w:r>
      <w:r w:rsidR="00117061">
        <w:t xml:space="preserve"> - WA</w:t>
      </w:r>
    </w:p>
    <w:tbl>
      <w:tblPr>
        <w:tblStyle w:val="TableGrid"/>
        <w:tblW w:w="0" w:type="auto"/>
        <w:tblLook w:val="04A0" w:firstRow="1" w:lastRow="0" w:firstColumn="1" w:lastColumn="0" w:noHBand="0" w:noVBand="1"/>
        <w:tblDescription w:val="Participants with an approved NDIS plan - WA"/>
      </w:tblPr>
      <w:tblGrid>
        <w:gridCol w:w="4799"/>
        <w:gridCol w:w="4829"/>
      </w:tblGrid>
      <w:tr w:rsidR="00461DA3" w14:paraId="72D46FCB" w14:textId="77777777" w:rsidTr="005B251B">
        <w:trPr>
          <w:tblHeader/>
        </w:trPr>
        <w:tc>
          <w:tcPr>
            <w:tcW w:w="5094" w:type="dxa"/>
            <w:shd w:val="clear" w:color="auto" w:fill="6B2976" w:themeFill="background2"/>
          </w:tcPr>
          <w:p w14:paraId="0C554D2D" w14:textId="77777777" w:rsidR="00461DA3" w:rsidRPr="00465BCE" w:rsidRDefault="00461DA3" w:rsidP="001E0823">
            <w:pPr>
              <w:pStyle w:val="TableTitle"/>
            </w:pPr>
            <w:bookmarkStart w:id="27" w:name="ColumnTitle_WAParticipants"/>
            <w:r w:rsidRPr="00465BCE">
              <w:t>At end of trial (30 June 2016)</w:t>
            </w:r>
          </w:p>
        </w:tc>
        <w:tc>
          <w:tcPr>
            <w:tcW w:w="5094" w:type="dxa"/>
            <w:shd w:val="clear" w:color="auto" w:fill="6B2976" w:themeFill="background2"/>
          </w:tcPr>
          <w:p w14:paraId="3F7E7ED4" w14:textId="77777777" w:rsidR="00461DA3" w:rsidRPr="00465BCE" w:rsidRDefault="00461DA3" w:rsidP="001E0823">
            <w:pPr>
              <w:pStyle w:val="TableTitle"/>
            </w:pPr>
            <w:r w:rsidRPr="00465BCE">
              <w:t>At 30 June 2017 (including ECEI)</w:t>
            </w:r>
          </w:p>
        </w:tc>
      </w:tr>
      <w:bookmarkEnd w:id="27"/>
      <w:tr w:rsidR="005332B3" w14:paraId="4925097B" w14:textId="77777777" w:rsidTr="005332B3">
        <w:tc>
          <w:tcPr>
            <w:tcW w:w="5094" w:type="dxa"/>
          </w:tcPr>
          <w:p w14:paraId="5AD1A459" w14:textId="2FD33679" w:rsidR="005332B3" w:rsidRDefault="005332B3" w:rsidP="001E0823">
            <w:pPr>
              <w:pStyle w:val="BodyText"/>
              <w:rPr>
                <w:rStyle w:val="BodyTextBold"/>
              </w:rPr>
            </w:pPr>
            <w:r>
              <w:t>2,494</w:t>
            </w:r>
          </w:p>
        </w:tc>
        <w:tc>
          <w:tcPr>
            <w:tcW w:w="5094" w:type="dxa"/>
          </w:tcPr>
          <w:p w14:paraId="379ACFDC" w14:textId="532E669E" w:rsidR="005332B3" w:rsidRDefault="005332B3" w:rsidP="001E0823">
            <w:pPr>
              <w:pStyle w:val="BodyText"/>
              <w:rPr>
                <w:rStyle w:val="BodyTextBold"/>
              </w:rPr>
            </w:pPr>
            <w:r>
              <w:t>3,782 (71 per cent of bilateral estimate)</w:t>
            </w:r>
          </w:p>
        </w:tc>
      </w:tr>
    </w:tbl>
    <w:p w14:paraId="6CC0EB35" w14:textId="77777777" w:rsidR="002310E6" w:rsidRDefault="002310E6" w:rsidP="001E0823">
      <w:pPr>
        <w:pStyle w:val="Heading4"/>
      </w:pPr>
      <w:r>
        <w:t>Total payments to participants</w:t>
      </w:r>
    </w:p>
    <w:p w14:paraId="400C3123" w14:textId="27B3CD5D" w:rsidR="002310E6" w:rsidRDefault="002310E6" w:rsidP="001E0823">
      <w:pPr>
        <w:pStyle w:val="BodyText"/>
      </w:pPr>
      <w:r>
        <w:t>At 30 June 2017 a total of $361.6 million had been committed since Scheme i</w:t>
      </w:r>
      <w:r w:rsidR="0018427A">
        <w:t>nception to participants in WA.</w:t>
      </w:r>
      <w:r w:rsidR="0018427A">
        <w:rPr>
          <w:rStyle w:val="FootnoteReference"/>
        </w:rPr>
        <w:footnoteReference w:id="8"/>
      </w:r>
      <w:r>
        <w:t xml:space="preserve"> </w:t>
      </w:r>
    </w:p>
    <w:p w14:paraId="2EC5E04F" w14:textId="77777777" w:rsidR="002310E6" w:rsidRDefault="002310E6" w:rsidP="001E0823">
      <w:pPr>
        <w:pStyle w:val="Heading4"/>
      </w:pPr>
      <w:r>
        <w:t>Providers</w:t>
      </w:r>
    </w:p>
    <w:p w14:paraId="783B134F" w14:textId="77777777" w:rsidR="002310E6" w:rsidRDefault="002310E6" w:rsidP="001E0823">
      <w:pPr>
        <w:pStyle w:val="BodyText"/>
      </w:pPr>
      <w:r>
        <w:t>In 2016-17 registered providers operating in WA increased from 255 to 756.</w:t>
      </w:r>
    </w:p>
    <w:p w14:paraId="0D60AB06" w14:textId="77777777" w:rsidR="002310E6" w:rsidRDefault="002310E6" w:rsidP="001E0823">
      <w:pPr>
        <w:pStyle w:val="Heading4"/>
      </w:pPr>
      <w:r>
        <w:t>Rollout to date</w:t>
      </w:r>
    </w:p>
    <w:p w14:paraId="508DB941" w14:textId="77777777" w:rsidR="002310E6" w:rsidRDefault="002310E6" w:rsidP="001E0823">
      <w:pPr>
        <w:pStyle w:val="BodyText"/>
      </w:pPr>
      <w:r>
        <w:t>The Perth Hills site has successfully completed three years of trial, including a significant expansion into six new local government areas at the start of 2017.</w:t>
      </w:r>
    </w:p>
    <w:p w14:paraId="6808D5AB" w14:textId="77777777" w:rsidR="002310E6" w:rsidRDefault="002310E6" w:rsidP="001E0823">
      <w:pPr>
        <w:pStyle w:val="ListBullet"/>
      </w:pPr>
      <w:r>
        <w:t>1 July 2014 – people aged under 65 living in the Perth Hills local government areas of Swan, Mundaring and Kalamunda.</w:t>
      </w:r>
    </w:p>
    <w:p w14:paraId="35F9DFE8" w14:textId="77777777" w:rsidR="002310E6" w:rsidRDefault="002310E6" w:rsidP="001E0823">
      <w:pPr>
        <w:pStyle w:val="ListBullet"/>
      </w:pPr>
      <w:r>
        <w:t>1 January 2017 – people aged under 65 living in the suburban local government areas of Bayswater and Bassendean, and the inner-Wheatbelt areas of Chittering, Toodyay, Northam and York.</w:t>
      </w:r>
    </w:p>
    <w:p w14:paraId="7DA042F5" w14:textId="77777777" w:rsidR="00461DA3" w:rsidRDefault="00461DA3" w:rsidP="001E0823"/>
    <w:p w14:paraId="00580871" w14:textId="77777777" w:rsidR="0018427A" w:rsidRDefault="0018427A" w:rsidP="001E0823">
      <w:r>
        <w:br w:type="page"/>
      </w:r>
    </w:p>
    <w:p w14:paraId="75C90FC6" w14:textId="30993376" w:rsidR="0018427A" w:rsidRDefault="0018427A" w:rsidP="001E0823">
      <w:pPr>
        <w:pStyle w:val="Heading4"/>
      </w:pPr>
      <w:r>
        <w:lastRenderedPageBreak/>
        <w:t>2016-17 in review</w:t>
      </w:r>
    </w:p>
    <w:p w14:paraId="3D6F27D3" w14:textId="77777777" w:rsidR="0018427A" w:rsidRDefault="0018427A" w:rsidP="001E0823">
      <w:pPr>
        <w:pStyle w:val="ListBullet"/>
      </w:pPr>
      <w:r>
        <w:t>The Agency has continued to focus on improving access to the NDIS for prospective participants who are poorly connected to traditional disability and mental health services. This has been a multi-faceted approach including weekly co-location at drop-in and street doctor services, and lunchtime forums with general practitioners.</w:t>
      </w:r>
    </w:p>
    <w:p w14:paraId="6C579E18" w14:textId="77777777" w:rsidR="0018427A" w:rsidRDefault="0018427A" w:rsidP="001E0823">
      <w:pPr>
        <w:pStyle w:val="ListBullet"/>
      </w:pPr>
      <w:r>
        <w:t>The Agency established a CALD Reference Group and continued its Aboriginal and Torres Strait Islander Reference Group to ensure the Scheme rolls out in a manner that is culturally appropriate, locally-guided and responsive to community needs.</w:t>
      </w:r>
    </w:p>
    <w:p w14:paraId="7858F3C1" w14:textId="77777777" w:rsidR="0018427A" w:rsidRDefault="0018427A" w:rsidP="001E0823">
      <w:pPr>
        <w:pStyle w:val="ListBullet"/>
      </w:pPr>
      <w:r>
        <w:t>At 30 June 2017 more than 110 residents in psychiatric hostels across the trial site received support to access the NDIS. A summary of the two-year project was presented to the 2017 WA Association for Mental Health Conference held at the Perth Concert Hall. Read Stewart’s story on page 57.</w:t>
      </w:r>
    </w:p>
    <w:p w14:paraId="078C28D4" w14:textId="77777777" w:rsidR="0018427A" w:rsidRDefault="0018427A" w:rsidP="001E0823">
      <w:pPr>
        <w:pStyle w:val="ListBullet"/>
      </w:pPr>
      <w:r>
        <w:t>The School-to-Work project, established in 2016, continued to support participants in Years 10–13 explore future employment options.</w:t>
      </w:r>
    </w:p>
    <w:p w14:paraId="54BB9BA6" w14:textId="4C4890F8" w:rsidR="0018427A" w:rsidRDefault="0018427A" w:rsidP="001E0823">
      <w:pPr>
        <w:pStyle w:val="ListBullet"/>
      </w:pPr>
      <w:r>
        <w:t>More than 200 information and stakeholder engagement sessions were held throughout the year, spanning the new and existing trial site areas.</w:t>
      </w:r>
    </w:p>
    <w:p w14:paraId="3C4F11B0" w14:textId="77777777" w:rsidR="0018427A" w:rsidRDefault="0018427A" w:rsidP="001E0823">
      <w:pPr>
        <w:pStyle w:val="Heading4"/>
      </w:pPr>
      <w:r>
        <w:t>2017-18 priorities</w:t>
      </w:r>
    </w:p>
    <w:p w14:paraId="75D9F393" w14:textId="1EE140D9" w:rsidR="0018427A" w:rsidRDefault="0018427A" w:rsidP="001E0823">
      <w:pPr>
        <w:pStyle w:val="ListBullet"/>
      </w:pPr>
      <w:r>
        <w:t>When decisions are made for the future arrangements in WA the Agency will ensure that the full Scheme NDIS transition in WA is carefully managed so as to minimise the impact for affected participants, providers and staff.</w:t>
      </w:r>
    </w:p>
    <w:p w14:paraId="42817CA7" w14:textId="77777777" w:rsidR="0018427A" w:rsidRDefault="0018427A" w:rsidP="001E0823">
      <w:r>
        <w:br w:type="page"/>
      </w:r>
    </w:p>
    <w:p w14:paraId="3D6A51AA" w14:textId="284A190A" w:rsidR="0018427A" w:rsidRDefault="0018427A" w:rsidP="001E0823">
      <w:pPr>
        <w:pStyle w:val="CaseStudyTitle"/>
      </w:pPr>
      <w:r>
        <w:lastRenderedPageBreak/>
        <w:t>CASE STUDY:</w:t>
      </w:r>
    </w:p>
    <w:p w14:paraId="22E6DCE9" w14:textId="77777777" w:rsidR="0018427A" w:rsidRDefault="0018427A" w:rsidP="001E0823">
      <w:pPr>
        <w:pStyle w:val="Heading3"/>
      </w:pPr>
      <w:r>
        <w:t>Aran</w:t>
      </w:r>
    </w:p>
    <w:p w14:paraId="1A6A3BB7" w14:textId="3A81F6C7" w:rsidR="0018427A" w:rsidRDefault="0018427A" w:rsidP="001E0823">
      <w:pPr>
        <w:pStyle w:val="Intro"/>
      </w:pPr>
      <w:r>
        <w:t>When Aran was born 23 years ago and diagnosed with Down syndrome, his sole sibling - sister Narelle - was adamant that he would never be given a label.</w:t>
      </w:r>
    </w:p>
    <w:p w14:paraId="255EDC40" w14:textId="77777777" w:rsidR="003B2A84" w:rsidRDefault="0018427A" w:rsidP="001E0823">
      <w:pPr>
        <w:pStyle w:val="BodyText"/>
      </w:pPr>
      <w:r>
        <w:t>With the help of his mother, Narelle and an incredibly supportive community in Tasmania’s north, Aran has ma</w:t>
      </w:r>
      <w:r w:rsidR="003B2A84">
        <w:t>de good on his sister’s pledge.</w:t>
      </w:r>
    </w:p>
    <w:p w14:paraId="0BC334E5" w14:textId="48B945FD" w:rsidR="0018427A" w:rsidRDefault="0018427A" w:rsidP="001E0823">
      <w:pPr>
        <w:pStyle w:val="BodyText"/>
      </w:pPr>
      <w:r>
        <w:t>At the World Down Syndrome Swimming Championships in July 2016 he added nine gold medals to an already bulging trophy collection.</w:t>
      </w:r>
    </w:p>
    <w:p w14:paraId="5AD0E299" w14:textId="77777777" w:rsidR="0018427A" w:rsidRDefault="0018427A" w:rsidP="001E0823">
      <w:pPr>
        <w:pStyle w:val="BodyText"/>
      </w:pPr>
      <w:r>
        <w:t>Since joining the NDIS in 2013, Aran’s world has expanded and the Scheme has brought access to occupational support services that has broadened his social circle.</w:t>
      </w:r>
    </w:p>
    <w:p w14:paraId="1A91E445" w14:textId="77777777" w:rsidR="0018427A" w:rsidRDefault="0018427A" w:rsidP="001E0823">
      <w:pPr>
        <w:pStyle w:val="BodyText"/>
      </w:pPr>
      <w:r>
        <w:t>“Monday I do drama and in the afternoons, social,” he said. “Thursdays I go to the gym and do social things”.</w:t>
      </w:r>
    </w:p>
    <w:p w14:paraId="2C7AEA6B" w14:textId="0812EB0D" w:rsidR="0018427A" w:rsidRDefault="0018427A" w:rsidP="001E0823">
      <w:pPr>
        <w:pStyle w:val="BodyText"/>
      </w:pPr>
      <w:r>
        <w:t>Aran works two days each week at a frozen food outlet. He still enjoys swimming immensely, training most days and in April 2017 he received special commendation from the Premier at the Tasmanian Young Achievers Awards in Hobart for his achievements in the pool.</w:t>
      </w:r>
      <w:r>
        <w:cr/>
        <w:t>Aran’s dream of one day living independently is becoming a reality with the help of family and the NDIS. On 30 June 2017 he moved into his new unit, which he is very proud of. It is a short 15 minutes’ walk away from his family.</w:t>
      </w:r>
    </w:p>
    <w:p w14:paraId="526F9CDA" w14:textId="15D97E5D" w:rsidR="00EE6CD5" w:rsidRDefault="0018427A" w:rsidP="001E0823">
      <w:pPr>
        <w:pStyle w:val="BodyText"/>
      </w:pPr>
      <w:r>
        <w:t>“Without help from the NDIS there is no way we could have entertained the thought of Aran living alone,” Narelle said.</w:t>
      </w:r>
    </w:p>
    <w:p w14:paraId="53D175EC" w14:textId="77777777" w:rsidR="00EE6CD5" w:rsidRDefault="00EE6CD5" w:rsidP="001E0823">
      <w:r>
        <w:br w:type="page"/>
      </w:r>
    </w:p>
    <w:p w14:paraId="656D03B6" w14:textId="5A91F57D" w:rsidR="00EE6CD5" w:rsidRDefault="00EE6CD5" w:rsidP="001E0823">
      <w:pPr>
        <w:pStyle w:val="Heading1"/>
      </w:pPr>
      <w:bookmarkStart w:id="28" w:name="_Toc496611875"/>
      <w:r>
        <w:lastRenderedPageBreak/>
        <w:t>Section One</w:t>
      </w:r>
      <w:r>
        <w:br/>
      </w:r>
      <w:r w:rsidRPr="00EE6CD5">
        <w:t>Year one of full Scheme transition</w:t>
      </w:r>
      <w:bookmarkEnd w:id="28"/>
    </w:p>
    <w:p w14:paraId="2C8396C6" w14:textId="77777777" w:rsidR="00EE6CD5" w:rsidRDefault="00EE6CD5" w:rsidP="001E0823">
      <w:pPr>
        <w:rPr>
          <w:rFonts w:eastAsiaTheme="majorEastAsia" w:cstheme="majorBidi"/>
          <w:color w:val="6B2976" w:themeColor="background2"/>
          <w:sz w:val="56"/>
          <w:szCs w:val="32"/>
        </w:rPr>
      </w:pPr>
      <w:r>
        <w:br w:type="page"/>
      </w:r>
    </w:p>
    <w:p w14:paraId="260F7750" w14:textId="77777777" w:rsidR="00EE6CD5" w:rsidRDefault="00EE6CD5" w:rsidP="001E0823">
      <w:pPr>
        <w:pStyle w:val="Heading2"/>
        <w:rPr>
          <w:lang w:val="en-GB"/>
        </w:rPr>
      </w:pPr>
      <w:bookmarkStart w:id="29" w:name="_Toc496611876"/>
      <w:r w:rsidRPr="00EE6CD5">
        <w:rPr>
          <w:lang w:val="en-GB"/>
        </w:rPr>
        <w:lastRenderedPageBreak/>
        <w:t>Chapter 1</w:t>
      </w:r>
      <w:bookmarkEnd w:id="29"/>
      <w:r w:rsidRPr="00EE6CD5">
        <w:rPr>
          <w:lang w:val="en-GB"/>
        </w:rPr>
        <w:t xml:space="preserve"> </w:t>
      </w:r>
    </w:p>
    <w:p w14:paraId="5A005B34" w14:textId="77777777" w:rsidR="00EE6CD5" w:rsidRDefault="00EE6CD5" w:rsidP="001E0823">
      <w:pPr>
        <w:pStyle w:val="Heading3"/>
      </w:pPr>
      <w:r>
        <w:t>Better participant outcomes</w:t>
      </w:r>
    </w:p>
    <w:p w14:paraId="5AB7BCB8" w14:textId="77777777" w:rsidR="00EE6CD5" w:rsidRDefault="00EE6CD5" w:rsidP="001E0823">
      <w:pPr>
        <w:pStyle w:val="Intro"/>
      </w:pPr>
      <w:r>
        <w:t xml:space="preserve">The NDIA helps facilitate independence for participants by supporting their social and economic participation. This assists people with disability to live ordinary and fulfilling lives. This is done against a backdrop of understanding their mainstream and informal supports. </w:t>
      </w:r>
    </w:p>
    <w:p w14:paraId="2DC1EE7A" w14:textId="77777777" w:rsidR="00EE6CD5" w:rsidRDefault="00EE6CD5" w:rsidP="001E0823">
      <w:pPr>
        <w:pStyle w:val="BodyText"/>
      </w:pPr>
      <w:r>
        <w:t xml:space="preserve">The NDIA helps participants achieve this by providing them with funding for reasonable and necessary supports, empowering them to exercise choice and control in the pursuit of their goals and the delivery of their supports. </w:t>
      </w:r>
    </w:p>
    <w:p w14:paraId="11E33BA6" w14:textId="44A888E8" w:rsidR="00EE6CD5" w:rsidRDefault="00EE6CD5" w:rsidP="001E0823">
      <w:pPr>
        <w:pStyle w:val="BodyText"/>
      </w:pPr>
      <w:r>
        <w:t>This Chapter sets out key activities and areas of work undertaken by the Agency in 2016-17 in pursuit of this objective:</w:t>
      </w:r>
    </w:p>
    <w:p w14:paraId="557409E6" w14:textId="75B22061" w:rsidR="00EE6CD5" w:rsidRPr="00EE6CD5" w:rsidRDefault="001C6629" w:rsidP="001E0823">
      <w:pPr>
        <w:pStyle w:val="BodyText"/>
      </w:pPr>
      <w:r>
        <w:t>1.1</w:t>
      </w:r>
      <w:r>
        <w:tab/>
      </w:r>
      <w:r w:rsidR="00EE6CD5" w:rsidRPr="00EE6CD5">
        <w:t xml:space="preserve">improving the experience for participants and their providers; </w:t>
      </w:r>
    </w:p>
    <w:p w14:paraId="5FAC980A" w14:textId="4D911908" w:rsidR="00EE6CD5" w:rsidRPr="00EE6CD5" w:rsidRDefault="001C6629" w:rsidP="001E0823">
      <w:pPr>
        <w:pStyle w:val="BodyText"/>
      </w:pPr>
      <w:r>
        <w:t>1.2</w:t>
      </w:r>
      <w:r>
        <w:tab/>
      </w:r>
      <w:r w:rsidR="00EE6CD5" w:rsidRPr="00EE6CD5">
        <w:t xml:space="preserve">providing early intervention and long-term outcomes for young children through the Early Intervention and </w:t>
      </w:r>
      <w:r>
        <w:br/>
      </w:r>
      <w:r w:rsidR="00EE6CD5" w:rsidRPr="00EE6CD5">
        <w:t>Early Childhood approach;</w:t>
      </w:r>
    </w:p>
    <w:p w14:paraId="7B51AF84" w14:textId="527A220B" w:rsidR="00EE6CD5" w:rsidRPr="00EE6CD5" w:rsidRDefault="001C6629" w:rsidP="001E0823">
      <w:pPr>
        <w:pStyle w:val="BodyText"/>
      </w:pPr>
      <w:r>
        <w:t>1.3</w:t>
      </w:r>
      <w:r>
        <w:tab/>
      </w:r>
      <w:r w:rsidR="00EE6CD5" w:rsidRPr="00EE6CD5">
        <w:t xml:space="preserve">promoting choice and control through self-management of NDIS funds; </w:t>
      </w:r>
    </w:p>
    <w:p w14:paraId="711D96D7" w14:textId="646C0D98" w:rsidR="001C6629" w:rsidRDefault="001C6629" w:rsidP="001E0823">
      <w:pPr>
        <w:pStyle w:val="BodyText"/>
      </w:pPr>
      <w:r>
        <w:t>1.4</w:t>
      </w:r>
      <w:r>
        <w:tab/>
      </w:r>
      <w:r w:rsidR="00EE6CD5" w:rsidRPr="00EE6CD5">
        <w:t>delivering support to people with psychosocial disabilities through better understanding of the NDIS;</w:t>
      </w:r>
      <w:r>
        <w:t xml:space="preserve"> </w:t>
      </w:r>
    </w:p>
    <w:p w14:paraId="03D8F81D" w14:textId="3EF4D2BB" w:rsidR="00EE6CD5" w:rsidRPr="00EE6CD5" w:rsidRDefault="001C6629" w:rsidP="001E0823">
      <w:pPr>
        <w:pStyle w:val="BodyText"/>
      </w:pPr>
      <w:r>
        <w:t>1.5</w:t>
      </w:r>
      <w:r>
        <w:tab/>
      </w:r>
      <w:r w:rsidR="00EE6CD5" w:rsidRPr="00EE6CD5">
        <w:t>creating pathways to employment and improving economic outcomes for young adults through the School Leaver Employment Supports initiative;</w:t>
      </w:r>
    </w:p>
    <w:p w14:paraId="35B31C25" w14:textId="13051B3C" w:rsidR="00EE6CD5" w:rsidRPr="00EE6CD5" w:rsidRDefault="001C6629" w:rsidP="001E0823">
      <w:pPr>
        <w:pStyle w:val="BodyText"/>
      </w:pPr>
      <w:r>
        <w:t>1.6</w:t>
      </w:r>
      <w:r>
        <w:tab/>
      </w:r>
      <w:r w:rsidR="00EE6CD5" w:rsidRPr="00EE6CD5">
        <w:t>supporting NDIS access and meaningful outcomes for diverse communities through targeted strategies; and</w:t>
      </w:r>
    </w:p>
    <w:p w14:paraId="334B8658" w14:textId="05B0D244" w:rsidR="00EE6CD5" w:rsidRPr="00EE6CD5" w:rsidRDefault="001C6629" w:rsidP="001E0823">
      <w:pPr>
        <w:pStyle w:val="BodyText"/>
      </w:pPr>
      <w:r>
        <w:t>1.7</w:t>
      </w:r>
      <w:r>
        <w:tab/>
      </w:r>
      <w:r w:rsidR="00EE6CD5" w:rsidRPr="00EE6CD5">
        <w:t>supporting a more inclusive Australia through Information, Linkages and Capacity Building (ILC).</w:t>
      </w:r>
    </w:p>
    <w:p w14:paraId="0A86EFEB" w14:textId="736D9BB5" w:rsidR="00EE6CD5" w:rsidRDefault="00EE6CD5" w:rsidP="001E0823">
      <w:pPr>
        <w:pStyle w:val="BodyText"/>
      </w:pPr>
      <w:r>
        <w:t>Further information and examples on how the Agency is delivering on each of these activities follows on pages 45 to 61.</w:t>
      </w:r>
    </w:p>
    <w:p w14:paraId="5FAF906C" w14:textId="77777777" w:rsidR="00FA7E0A" w:rsidRDefault="00FA7E0A" w:rsidP="001E0823">
      <w:pPr>
        <w:rPr>
          <w:rFonts w:eastAsiaTheme="majorEastAsia" w:cstheme="majorBidi"/>
          <w:sz w:val="28"/>
        </w:rPr>
      </w:pPr>
      <w:r>
        <w:br w:type="page"/>
      </w:r>
    </w:p>
    <w:p w14:paraId="475ACAE6" w14:textId="7E640F65" w:rsidR="001C6629" w:rsidRDefault="001C6629" w:rsidP="001E0823">
      <w:pPr>
        <w:pStyle w:val="Heading3"/>
      </w:pPr>
      <w:r>
        <w:lastRenderedPageBreak/>
        <w:t>1.1 Improving the experience of participants and providers</w:t>
      </w:r>
    </w:p>
    <w:p w14:paraId="0126A9BB" w14:textId="77777777" w:rsidR="001C6629" w:rsidRDefault="001C6629" w:rsidP="001E0823">
      <w:pPr>
        <w:pStyle w:val="BodyText"/>
      </w:pPr>
      <w:r>
        <w:t xml:space="preserve">Ensuring a quality experience for participants that promotes better outcomes lies at the core of all that the NDIA does. This allows participants to enter the NDIS in a streamlined and efficient way and makes it a value-adding experience. </w:t>
      </w:r>
    </w:p>
    <w:p w14:paraId="434A2C0C" w14:textId="77777777" w:rsidR="001C6629" w:rsidRDefault="001C6629" w:rsidP="001E0823">
      <w:pPr>
        <w:pStyle w:val="BodyText"/>
      </w:pPr>
      <w:r>
        <w:t xml:space="preserve">In April 2017, it became clear that the experience for participants was not aligned to the high standards to which the NDIA aspires. As a consequence, the Board and management of the NDIA initiated a Participant and Provider Pathway Review (the Review). </w:t>
      </w:r>
    </w:p>
    <w:p w14:paraId="0F889C49" w14:textId="77777777" w:rsidR="001C6629" w:rsidRDefault="001C6629" w:rsidP="001E0823">
      <w:pPr>
        <w:pStyle w:val="BodyText"/>
      </w:pPr>
      <w:r>
        <w:t>The Review aims to find strategies and solutions to improve the way the NDIA interacts with participants and providers to make their experience more positive.</w:t>
      </w:r>
    </w:p>
    <w:p w14:paraId="06E045E2" w14:textId="77777777" w:rsidR="001C6629" w:rsidRDefault="001C6629" w:rsidP="001E0823">
      <w:pPr>
        <w:pStyle w:val="BodyText"/>
      </w:pPr>
      <w:r>
        <w:t>From April to June 2017, the Agency worked individually and in workshops with more than 300 participants, providers, peak disability bodies and other stakeholders from all states and territories. Out of that process, 400 specific improvement ideas and 200 solutions have been generated.</w:t>
      </w:r>
    </w:p>
    <w:p w14:paraId="2AA7A7C1" w14:textId="77777777" w:rsidR="009F1F13" w:rsidRDefault="001C6629" w:rsidP="001E0823">
      <w:pPr>
        <w:pStyle w:val="BodyText"/>
      </w:pPr>
      <w:r w:rsidRPr="009F1F13">
        <w:t xml:space="preserve">Initial findings of the Review have identified a range of suggestions to improve the quality of the participant and </w:t>
      </w:r>
      <w:r w:rsidR="009F1F13">
        <w:t>provider experience, including:</w:t>
      </w:r>
    </w:p>
    <w:p w14:paraId="2463FB0B" w14:textId="77777777" w:rsidR="0080557A" w:rsidRDefault="001C6629" w:rsidP="001E0823">
      <w:pPr>
        <w:pStyle w:val="ListBullet"/>
      </w:pPr>
      <w:r>
        <w:t xml:space="preserve">a need to more specifically identify the mainstream and information supports </w:t>
      </w:r>
      <w:r w:rsidR="0080557A">
        <w:t xml:space="preserve">that exist for a participant; </w:t>
      </w:r>
    </w:p>
    <w:p w14:paraId="57D09CD1" w14:textId="77777777" w:rsidR="0080557A" w:rsidRDefault="001C6629" w:rsidP="001E0823">
      <w:pPr>
        <w:pStyle w:val="ListBullet"/>
      </w:pPr>
      <w:r>
        <w:t xml:space="preserve">a greater outcomes focus throughout </w:t>
      </w:r>
      <w:r w:rsidR="0080557A">
        <w:t>a participant’s life;</w:t>
      </w:r>
    </w:p>
    <w:p w14:paraId="3B286AEC" w14:textId="77777777" w:rsidR="0080557A" w:rsidRDefault="001C6629" w:rsidP="001E0823">
      <w:pPr>
        <w:pStyle w:val="ListBullet"/>
      </w:pPr>
      <w:r>
        <w:t>more activ</w:t>
      </w:r>
      <w:r w:rsidR="0080557A">
        <w:t>e involvement with communities;</w:t>
      </w:r>
    </w:p>
    <w:p w14:paraId="711E7106" w14:textId="2B41A5BB" w:rsidR="0080557A" w:rsidRDefault="001C6629" w:rsidP="001E0823">
      <w:pPr>
        <w:pStyle w:val="ListBullet"/>
      </w:pPr>
      <w:r>
        <w:t>more face-to-face (rather than telephone) communications, including pl</w:t>
      </w:r>
      <w:r w:rsidR="0080557A">
        <w:t>anning meetings;</w:t>
      </w:r>
    </w:p>
    <w:p w14:paraId="107FD02D" w14:textId="44967DD8" w:rsidR="0080557A" w:rsidRDefault="001C6629" w:rsidP="001E0823">
      <w:pPr>
        <w:pStyle w:val="ListBullet"/>
      </w:pPr>
      <w:r>
        <w:t>fewer parti</w:t>
      </w:r>
      <w:r w:rsidR="0080557A">
        <w:t>cipant hand-offs between staff;</w:t>
      </w:r>
    </w:p>
    <w:p w14:paraId="6633A411" w14:textId="24A0718E" w:rsidR="001C6629" w:rsidRDefault="001C6629" w:rsidP="001E0823">
      <w:pPr>
        <w:pStyle w:val="ListBullet"/>
      </w:pPr>
      <w:r>
        <w:t>a significant improvement in the quality of the portal; and</w:t>
      </w:r>
    </w:p>
    <w:p w14:paraId="6629FFB5" w14:textId="77777777" w:rsidR="001C6629" w:rsidRDefault="001C6629" w:rsidP="001E0823">
      <w:pPr>
        <w:pStyle w:val="ListBullet"/>
      </w:pPr>
      <w:r>
        <w:t>a more responsive call centre experience.</w:t>
      </w:r>
    </w:p>
    <w:p w14:paraId="7443B34B" w14:textId="77777777" w:rsidR="001C6629" w:rsidRDefault="001C6629" w:rsidP="001E0823">
      <w:pPr>
        <w:pStyle w:val="BodyText"/>
      </w:pPr>
      <w:r>
        <w:t>Starting in the 2017–18 financial year, the NDIA and its Partners will implement a revised and more cohesive end-to-end approach for participants and providers.</w:t>
      </w:r>
    </w:p>
    <w:p w14:paraId="64423DB4" w14:textId="77777777" w:rsidR="001C6629" w:rsidRDefault="001C6629" w:rsidP="001E0823">
      <w:pPr>
        <w:pStyle w:val="BodyText"/>
      </w:pPr>
      <w:r>
        <w:t xml:space="preserve">While full implementation of the Pathway Review recommendations is a priority, timing will depend on retraining employees, implementing system changes and improving communications. The Agency will test any proposed changes with participants and providers to evaluate their effectiveness before implementation on a national basis. The process of implementation will also reflect the severity of a person’s disability as well as an individual’s demographic and geographic situation. </w:t>
      </w:r>
    </w:p>
    <w:p w14:paraId="3D479676" w14:textId="77777777" w:rsidR="00FA7E0A" w:rsidRDefault="00FA7E0A" w:rsidP="001E0823">
      <w:pPr>
        <w:pStyle w:val="BodyText"/>
      </w:pPr>
    </w:p>
    <w:p w14:paraId="000DFE02" w14:textId="77777777" w:rsidR="00FA7E0A" w:rsidRDefault="00FA7E0A" w:rsidP="001E0823">
      <w:pPr>
        <w:pStyle w:val="BodyText"/>
      </w:pPr>
      <w:r>
        <w:t>“Our aim is to deliver a high-quality experience for participants and providers in a way that is consistent with maintaining the Scheme’s financial sustainability. While the NDIS is already changing peoples’ lives for the better, the Pathway Review is an opportunity to collaborate with participants and providers to improve overall outcomes.”</w:t>
      </w:r>
    </w:p>
    <w:p w14:paraId="6B7F2F73" w14:textId="38AEE1F0" w:rsidR="001C6629" w:rsidRPr="003C40B2" w:rsidRDefault="00FA7E0A" w:rsidP="001E0823">
      <w:pPr>
        <w:pStyle w:val="BodyText"/>
        <w:rPr>
          <w:b/>
        </w:rPr>
      </w:pPr>
      <w:r w:rsidRPr="00FA7E0A">
        <w:rPr>
          <w:rStyle w:val="BodyTextBold"/>
        </w:rPr>
        <w:t>– Robert De Luca, NDIA CEO</w:t>
      </w:r>
    </w:p>
    <w:p w14:paraId="0105C1EE" w14:textId="77777777" w:rsidR="0066513A" w:rsidRDefault="0066513A" w:rsidP="001E0823">
      <w:r>
        <w:br w:type="page"/>
      </w:r>
    </w:p>
    <w:p w14:paraId="3341F581" w14:textId="750AE122" w:rsidR="0066513A" w:rsidRDefault="0066513A" w:rsidP="001E0823">
      <w:pPr>
        <w:pStyle w:val="CaseStudyTitle"/>
      </w:pPr>
      <w:r w:rsidRPr="0066513A">
        <w:lastRenderedPageBreak/>
        <w:t>CASE STU</w:t>
      </w:r>
      <w:r>
        <w:t>DY:</w:t>
      </w:r>
    </w:p>
    <w:p w14:paraId="6E148D16" w14:textId="77777777" w:rsidR="0066513A" w:rsidRDefault="0066513A" w:rsidP="001E0823">
      <w:pPr>
        <w:pStyle w:val="Heading3"/>
      </w:pPr>
      <w:r>
        <w:t>Linda</w:t>
      </w:r>
    </w:p>
    <w:p w14:paraId="225ED0C8" w14:textId="6669462E" w:rsidR="0066513A" w:rsidRDefault="0066513A" w:rsidP="001E0823">
      <w:pPr>
        <w:pStyle w:val="Intro"/>
      </w:pPr>
      <w:r w:rsidRPr="0066513A">
        <w:t>Barwon NDIS participant Linda attended two of the Participant and Provider Pathway Review wor</w:t>
      </w:r>
      <w:r>
        <w:t xml:space="preserve">kshops, in Sydney and Geelong. </w:t>
      </w:r>
    </w:p>
    <w:p w14:paraId="3A60E245" w14:textId="0BE5FAAC" w:rsidR="0066513A" w:rsidRPr="0066513A" w:rsidRDefault="0066513A" w:rsidP="001E0823">
      <w:pPr>
        <w:pStyle w:val="BodyText"/>
      </w:pPr>
      <w:r w:rsidRPr="0066513A">
        <w:t>According to Linda, a lack of consistency about what was deemed reasonable and necessary to be funded by the NDIS was a common issue that was raised in both workshops.</w:t>
      </w:r>
    </w:p>
    <w:p w14:paraId="31D544EA" w14:textId="77777777" w:rsidR="0066513A" w:rsidRPr="0066513A" w:rsidRDefault="0066513A" w:rsidP="001E0823">
      <w:pPr>
        <w:pStyle w:val="BodyText"/>
      </w:pPr>
      <w:r w:rsidRPr="0066513A">
        <w:t>She said many participants and their families were also daunted by the process of seeking a review of an NDIA decision.</w:t>
      </w:r>
    </w:p>
    <w:p w14:paraId="5DC1824C" w14:textId="77777777" w:rsidR="0066513A" w:rsidRPr="0066513A" w:rsidRDefault="0066513A" w:rsidP="001E0823">
      <w:pPr>
        <w:pStyle w:val="BodyText"/>
      </w:pPr>
      <w:r w:rsidRPr="0066513A">
        <w:t>“A lot of participants raised issues about how they could lodge a complaint, and the review process. They said it was taking them so long,” Linda said.</w:t>
      </w:r>
    </w:p>
    <w:p w14:paraId="073BE1EA" w14:textId="654B115D" w:rsidR="0066513A" w:rsidRPr="0066513A" w:rsidRDefault="0066513A" w:rsidP="001E0823">
      <w:pPr>
        <w:pStyle w:val="BodyText"/>
      </w:pPr>
      <w:r w:rsidRPr="0066513A">
        <w:t>Linda has been with the NDIS for almost four years. She said that while her NDIS experience has been a relatively smooth one, there was room for improvement.</w:t>
      </w:r>
    </w:p>
    <w:p w14:paraId="1F568096" w14:textId="77777777" w:rsidR="0066513A" w:rsidRPr="0066513A" w:rsidRDefault="0066513A" w:rsidP="001E0823">
      <w:pPr>
        <w:pStyle w:val="BodyText"/>
      </w:pPr>
      <w:r w:rsidRPr="0066513A">
        <w:t>“I have given feedback about the accessibility of NDIS information, including the website, which has improved. I can properly access the website now,” she said.</w:t>
      </w:r>
    </w:p>
    <w:p w14:paraId="548FC545" w14:textId="77777777" w:rsidR="0066513A" w:rsidRPr="0066513A" w:rsidRDefault="0066513A" w:rsidP="001E0823">
      <w:pPr>
        <w:pStyle w:val="BodyText"/>
      </w:pPr>
      <w:r w:rsidRPr="0066513A">
        <w:t>Linda also said it was important for both NDIS planners and participants to do their research before a planning meeting.</w:t>
      </w:r>
    </w:p>
    <w:p w14:paraId="2A8FCC8C" w14:textId="77777777" w:rsidR="0066513A" w:rsidRPr="0066513A" w:rsidRDefault="0066513A" w:rsidP="001E0823">
      <w:pPr>
        <w:pStyle w:val="BodyText"/>
      </w:pPr>
      <w:r w:rsidRPr="0066513A">
        <w:t>“Planners don’t need to have a total understanding of every disability, but they do need to do some research before talking with a blind person, or a person with cerebral palsy for example, before the planning,” Linda said.</w:t>
      </w:r>
    </w:p>
    <w:p w14:paraId="58B1A698" w14:textId="77777777" w:rsidR="002065F3" w:rsidRDefault="0066513A" w:rsidP="001E0823">
      <w:pPr>
        <w:pStyle w:val="BodyText"/>
      </w:pPr>
      <w:r w:rsidRPr="0066513A">
        <w:t>“Participants also need to realise that the NDIS is there for necessary and reasonable support for their disability, not for their medical or education costs.”</w:t>
      </w:r>
    </w:p>
    <w:p w14:paraId="673A753F" w14:textId="77777777" w:rsidR="002065F3" w:rsidRDefault="002065F3" w:rsidP="001E0823">
      <w:r>
        <w:br w:type="page"/>
      </w:r>
    </w:p>
    <w:p w14:paraId="164AC808" w14:textId="77AE376B" w:rsidR="002065F3" w:rsidRDefault="00870B27" w:rsidP="001E0823">
      <w:pPr>
        <w:pStyle w:val="CaseStudyTitle"/>
      </w:pPr>
      <w:r>
        <w:lastRenderedPageBreak/>
        <w:t>CASE STUDY:</w:t>
      </w:r>
    </w:p>
    <w:p w14:paraId="4DE8A5B0" w14:textId="77777777" w:rsidR="002065F3" w:rsidRDefault="002065F3" w:rsidP="001E0823">
      <w:pPr>
        <w:pStyle w:val="Heading3"/>
      </w:pPr>
      <w:r>
        <w:t>Rebecca Fletcher, CEO, Sunshine</w:t>
      </w:r>
    </w:p>
    <w:p w14:paraId="7129260E" w14:textId="77777777" w:rsidR="002065F3" w:rsidRDefault="002065F3" w:rsidP="001E0823">
      <w:pPr>
        <w:pStyle w:val="Intro"/>
      </w:pPr>
      <w:r>
        <w:t>Rebecca Fletcher, CEO of NSW-based disability provider Sunshine, reflects on the NDIS transition and the Sydney Participant and Provider Pathway Review workshop held in April 2017.</w:t>
      </w:r>
    </w:p>
    <w:p w14:paraId="52A5CE1D" w14:textId="77777777" w:rsidR="002065F3" w:rsidRDefault="002065F3" w:rsidP="001E0823">
      <w:pPr>
        <w:pStyle w:val="BodyText"/>
      </w:pPr>
      <w:r>
        <w:t>“Our challenges in relation to transitioning to NDIS are not unique to us, such as pricing, the myplace portal, Quality and Safeguards, housing and workforce shortages.</w:t>
      </w:r>
    </w:p>
    <w:p w14:paraId="3DE0FF15" w14:textId="77777777" w:rsidR="002065F3" w:rsidRDefault="002065F3" w:rsidP="001E0823">
      <w:pPr>
        <w:pStyle w:val="BodyText"/>
      </w:pPr>
      <w:r>
        <w:t>“We have been able to overcome some of these issues by developing a close working relationship with the NDIA team, the planners and the support coordinators. We have also rolled out significant training to our staff to ensure they are up-to-date with information and changes under the NDIS.</w:t>
      </w:r>
    </w:p>
    <w:p w14:paraId="7BA6AC94" w14:textId="77777777" w:rsidR="002065F3" w:rsidRDefault="002065F3" w:rsidP="001E0823">
      <w:pPr>
        <w:pStyle w:val="BodyText"/>
      </w:pPr>
      <w:r>
        <w:t>“One of the key changes from the introduction of the NDIS is the focus on the participant and the ability for the participant to be able to have flexibility and choose their own service provider. To adapt to this change we’ve introduced a number of new initiatives including a bespoke customer service training program for all staff, a significant increase in marketing and social media activity, and a feedback and complaints process. We have also expanded our Client Management System to track achievement of goals.</w:t>
      </w:r>
    </w:p>
    <w:p w14:paraId="4437B5CF" w14:textId="77777777" w:rsidR="002065F3" w:rsidRDefault="002065F3" w:rsidP="001E0823">
      <w:pPr>
        <w:pStyle w:val="BodyText"/>
      </w:pPr>
      <w:r>
        <w:t>“We welcomed the opportunity to participate in the Sydney workshop and the general openness of the NDIA to feedback. This approach led to a free flow of ideas which will hopefully improve the experience for the remaining phases of rollout and for the annual review processes going forward.</w:t>
      </w:r>
    </w:p>
    <w:p w14:paraId="28468C69" w14:textId="77777777" w:rsidR="002065F3" w:rsidRDefault="002065F3" w:rsidP="001E0823">
      <w:pPr>
        <w:pStyle w:val="BodyText"/>
      </w:pPr>
      <w:r>
        <w:t>“Our general approach is that we are all in this together and that we need to continue to work together to make the NDIS a success.</w:t>
      </w:r>
    </w:p>
    <w:p w14:paraId="10374262" w14:textId="5E5F8AB0" w:rsidR="00A03139" w:rsidRDefault="002065F3" w:rsidP="001E0823">
      <w:pPr>
        <w:pStyle w:val="BodyText"/>
      </w:pPr>
      <w:r>
        <w:t>“Despite the difficulties we’ve all experienced with the initial implementation of the NDIS we remain positive about its benefits to people with disability. We continue to believe that the fundamental building blocks of the NDIS are correct and that we all need to work together to find a way to maximise the benefits for participants while developing a system that is practical and financially sustainable for providers and for Australia.”</w:t>
      </w:r>
    </w:p>
    <w:p w14:paraId="12585F14" w14:textId="77777777" w:rsidR="00A03139" w:rsidRDefault="00A03139" w:rsidP="001E0823">
      <w:r>
        <w:br w:type="page"/>
      </w:r>
    </w:p>
    <w:p w14:paraId="489EB7AF" w14:textId="77777777" w:rsidR="00A03139" w:rsidRDefault="00A03139" w:rsidP="001E0823">
      <w:pPr>
        <w:pStyle w:val="Heading3"/>
      </w:pPr>
      <w:r>
        <w:lastRenderedPageBreak/>
        <w:t>1.2 Providing early intervention for young children</w:t>
      </w:r>
    </w:p>
    <w:p w14:paraId="0BF99BFB" w14:textId="77777777" w:rsidR="00A03139" w:rsidRDefault="00A03139" w:rsidP="001E0823">
      <w:pPr>
        <w:pStyle w:val="Intro"/>
      </w:pPr>
      <w:r>
        <w:t xml:space="preserve">The early years are critical in setting up the foundations for how a child learns and develops in later life. The Early Childhood Early Intervention (ECEI) approach has been designed to deliver long-term outcomes for children aged up to six years old with developmental delay or disability. The aim of the ECEI approach is to give children the best possible start in life. </w:t>
      </w:r>
    </w:p>
    <w:p w14:paraId="01E192C7" w14:textId="77777777" w:rsidR="00A03139" w:rsidRDefault="00A03139" w:rsidP="001E0823">
      <w:pPr>
        <w:pStyle w:val="BodyText"/>
      </w:pPr>
      <w:r>
        <w:t xml:space="preserve">Rolling out the approach has been influenced by transitional arrangements agreed at the request of respective states and territories. A full picture of the impact and benefit of this approach will not be possible for some years.  </w:t>
      </w:r>
    </w:p>
    <w:p w14:paraId="21C66B81" w14:textId="6373A096" w:rsidR="00A03139" w:rsidRDefault="00A03139" w:rsidP="001E0823">
      <w:pPr>
        <w:pStyle w:val="BodyText"/>
      </w:pPr>
      <w:r>
        <w:t>ECEI will contribute to greater sustainability by reducing lifetime costs to the Scheme and will also help to build the capacity of the mainstream system.</w:t>
      </w:r>
    </w:p>
    <w:p w14:paraId="65E4857D" w14:textId="1FD8A7B2" w:rsidR="00A03139" w:rsidRDefault="00A03139" w:rsidP="001E0823">
      <w:pPr>
        <w:pStyle w:val="BodyText"/>
      </w:pPr>
      <w:r>
        <w:t>The Agency has worked with some of Australia’s leading early childhood intervention practitioners and researchers to design a best-practice approach that is family-centred and importantly, supports children to achieve good outcomes on a case-by-case basis.</w:t>
      </w:r>
    </w:p>
    <w:p w14:paraId="0DFAC32D" w14:textId="55A62297" w:rsidR="00A03139" w:rsidRDefault="00A03139" w:rsidP="001E0823">
      <w:pPr>
        <w:pStyle w:val="BodyText"/>
      </w:pPr>
      <w:r>
        <w:t xml:space="preserve">“Evidence shows that timely support for a child with developmental delay before the age of six can significantly change that child’s developmental trajectory and overall quality of life,” inaugural NDIA CEO, David Bowen said. </w:t>
      </w:r>
    </w:p>
    <w:p w14:paraId="681E588E" w14:textId="77777777" w:rsidR="00A03139" w:rsidRDefault="00A03139" w:rsidP="001E0823">
      <w:pPr>
        <w:pStyle w:val="BodyText"/>
      </w:pPr>
      <w:r>
        <w:t>“The short, medium and long-term benefits to children from such support are proven to be significant. Effective early intervention also reduces the medium to long-term liability on the NDIS.”</w:t>
      </w:r>
    </w:p>
    <w:p w14:paraId="6F383D2A" w14:textId="77777777" w:rsidR="00A03139" w:rsidRDefault="00A03139" w:rsidP="001E0823">
      <w:pPr>
        <w:pStyle w:val="BodyText"/>
      </w:pPr>
      <w:r>
        <w:t>At 30 June 2017, there were 15 Partners in the Community delivering ECEI services across Tasmania, ACT, Queensland and Victoria, as well as a pilot in the Nepean Blue Mountains region in NSW. There are transitional arrangements in place in South Australia. In remote and very remote areas, there is a community-by-community approach to ECEI. Further Partners delivering ECEI services will be appointed in line with Scheme rollout.</w:t>
      </w:r>
    </w:p>
    <w:p w14:paraId="1E989381" w14:textId="5B8F5E94" w:rsidR="002065F3" w:rsidRDefault="00A03139" w:rsidP="001E0823">
      <w:pPr>
        <w:pStyle w:val="BodyText"/>
      </w:pPr>
      <w:r>
        <w:t>Under the ECEI approach, a child and their family will be referred to a specialist early childhood access Partner who will discuss their needs and determine the appropriate supports to help them achieve their individual goals. Supports may include information services, emotional support or referral to mainstream services, or longer-term more intensive supports as part of a funded NDIS plan.</w:t>
      </w:r>
    </w:p>
    <w:p w14:paraId="4BB2D9D7" w14:textId="77777777" w:rsidR="00B813FD" w:rsidRDefault="00B813FD" w:rsidP="001E0823">
      <w:pPr>
        <w:pStyle w:val="BodyText"/>
      </w:pPr>
    </w:p>
    <w:p w14:paraId="15690588" w14:textId="5C28FB46" w:rsidR="00B813FD" w:rsidRDefault="00B813FD" w:rsidP="001E0823">
      <w:pPr>
        <w:pStyle w:val="Heading4"/>
      </w:pPr>
      <w:r>
        <w:t>Australia’s first national diagnostic guideline for autism led by the Autism CRC</w:t>
      </w:r>
    </w:p>
    <w:p w14:paraId="7905ED86" w14:textId="77777777" w:rsidR="00B813FD" w:rsidRDefault="00B813FD" w:rsidP="001E0823">
      <w:pPr>
        <w:pStyle w:val="BodyText"/>
      </w:pPr>
      <w:r>
        <w:t xml:space="preserve">The Cooperative Research Centre for Living with Autism (Autism CRC) has released the first draft national diagnostic guideline for autism - for consultation and feedback. </w:t>
      </w:r>
    </w:p>
    <w:p w14:paraId="13DA162B" w14:textId="2B3C8479" w:rsidR="00B813FD" w:rsidRDefault="00B813FD" w:rsidP="001E0823">
      <w:pPr>
        <w:pStyle w:val="BodyText"/>
      </w:pPr>
      <w:r>
        <w:t>There is strong evidence to suggest that the way health professionals diagnose autism varies considerably across Australia, both within and between states and territories. The draft guideline aims to create greater consistency in diagnostic practices across the country to ensure individuals with autism and their families can be assured of quality and knowledgeable advice.</w:t>
      </w:r>
    </w:p>
    <w:p w14:paraId="30913DC6" w14:textId="77777777" w:rsidR="00B813FD" w:rsidRDefault="00B813FD" w:rsidP="001E0823">
      <w:pPr>
        <w:pStyle w:val="BodyText"/>
      </w:pPr>
      <w:r>
        <w:t xml:space="preserve">The project, part funded by the NDIA, is led by Professor Andrew Whitehouse, Chief Research Officer at the Autism CRC. </w:t>
      </w:r>
    </w:p>
    <w:p w14:paraId="4EFB99B7" w14:textId="77777777" w:rsidR="00B813FD" w:rsidRDefault="00B813FD" w:rsidP="001E0823">
      <w:pPr>
        <w:pStyle w:val="BodyText"/>
      </w:pPr>
      <w:r>
        <w:t>“Developing a national diagnostic protocol is a critical step to ensuring consistent and equitable access to autism diagnosis across Australia for both children and adults,” Professor Whitehouse said.</w:t>
      </w:r>
    </w:p>
    <w:p w14:paraId="6F2A8BF9" w14:textId="281E7D05" w:rsidR="00D87B4B" w:rsidRDefault="00B813FD" w:rsidP="003C40B2">
      <w:pPr>
        <w:pStyle w:val="BodyText"/>
      </w:pPr>
      <w:r>
        <w:t>While access to the NDIS is not dependent on a diagnosis, the draft guidelines are expected to lead to better evidence around the type of supports that will most benefit a person with autism depending on the functional impact and who is best placed to provide this support – be it the education system, health system, community more generally or the NDIS.</w:t>
      </w:r>
      <w:r w:rsidR="00D87B4B">
        <w:br w:type="page"/>
      </w:r>
    </w:p>
    <w:p w14:paraId="6F1AED53" w14:textId="1F21CFB8" w:rsidR="004572E6" w:rsidRDefault="006A40FA" w:rsidP="001E0823">
      <w:pPr>
        <w:pStyle w:val="CaseStudyTitle"/>
      </w:pPr>
      <w:r>
        <w:lastRenderedPageBreak/>
        <w:t>CASE STUDY:</w:t>
      </w:r>
    </w:p>
    <w:p w14:paraId="770F77AB" w14:textId="77777777" w:rsidR="004572E6" w:rsidRDefault="004572E6" w:rsidP="001E0823">
      <w:pPr>
        <w:pStyle w:val="Heading3"/>
      </w:pPr>
      <w:r>
        <w:t>Alexander</w:t>
      </w:r>
    </w:p>
    <w:p w14:paraId="276ED854" w14:textId="77777777" w:rsidR="004572E6" w:rsidRDefault="004572E6" w:rsidP="001E0823">
      <w:pPr>
        <w:pStyle w:val="Intro"/>
      </w:pPr>
      <w:r>
        <w:t>Mother of three Amy said it was a bittersweet moment when son, Alexander, who has autism, no longer needed NDIS support because he had achieved all his milestones and was now ready for mainstream school. One of the enablers was the connection to access a paediatrician within the health system. This means Alexander will be able to continue with mainstream, ongoing support independent of the NDIS.</w:t>
      </w:r>
    </w:p>
    <w:p w14:paraId="626DD612" w14:textId="77777777" w:rsidR="004572E6" w:rsidRDefault="004572E6" w:rsidP="001E0823">
      <w:pPr>
        <w:pStyle w:val="BodyText"/>
      </w:pPr>
      <w:r>
        <w:t>Amy said while she and her husband were ecstatic with their six-year-old’s progress, they did shed some happy and sad tears.</w:t>
      </w:r>
    </w:p>
    <w:p w14:paraId="2ABA5C4A" w14:textId="77777777" w:rsidR="004572E6" w:rsidRDefault="004572E6" w:rsidP="001E0823">
      <w:pPr>
        <w:pStyle w:val="BodyText"/>
      </w:pPr>
      <w:r>
        <w:t>“It was bittersweet,” Amy confessed. “We were so happy Alex had reached all his milestones and we were self-sufficient, and it was a good feeling to think Alex no longer needed the $10,000 he had left in his budget and it would go towards helping somebody else. But at the same time, we felt a bit sad because it was like losing a family member. Alex’s occupational therapist, Helen, had been working with him for 18 months and she became so important to us.</w:t>
      </w:r>
    </w:p>
    <w:p w14:paraId="4A733E00" w14:textId="77777777" w:rsidR="004572E6" w:rsidRDefault="004572E6" w:rsidP="001E0823">
      <w:pPr>
        <w:pStyle w:val="BodyText"/>
      </w:pPr>
      <w:r>
        <w:t>“Helen, like us, saw him go from a boy who refused to hold anything, not even a pencil, who wouldn’t comply with anything, start to draw and colour-in properly; use scissors to cut out; write his name; write letters and tie his shoe laces – it was just amazing!”</w:t>
      </w:r>
    </w:p>
    <w:p w14:paraId="421E6BE7" w14:textId="77777777" w:rsidR="004572E6" w:rsidRDefault="004572E6" w:rsidP="001E0823">
      <w:pPr>
        <w:pStyle w:val="BodyText"/>
      </w:pPr>
      <w:r>
        <w:t>Amy said they moved the family from Queensland to the ACT two years ago. “Initially we were on Better Start in Queensland and when we announced we were moving to Nicholls, our autism advisor said the NDIS was in so they helped us transition straight away,” Amy said.</w:t>
      </w:r>
    </w:p>
    <w:p w14:paraId="241E57F5" w14:textId="77777777" w:rsidR="004572E6" w:rsidRDefault="004572E6" w:rsidP="001E0823">
      <w:pPr>
        <w:pStyle w:val="BodyText"/>
      </w:pPr>
      <w:r>
        <w:t>“It all happened so smoothly. NDIS staff were wonderful and really accommodating. I was able to do everything over the phone. It was such a relief not to go into an office and have meetings because, at that stage, Alex was very non-compliant.</w:t>
      </w:r>
    </w:p>
    <w:p w14:paraId="3B212014" w14:textId="77777777" w:rsidR="004572E6" w:rsidRDefault="004572E6" w:rsidP="001E0823">
      <w:pPr>
        <w:pStyle w:val="BodyText"/>
      </w:pPr>
      <w:r>
        <w:t>“Just to have NDIS funding to access required supports has been life changing!”</w:t>
      </w:r>
    </w:p>
    <w:p w14:paraId="00D88373" w14:textId="77777777" w:rsidR="004572E6" w:rsidRDefault="004572E6" w:rsidP="001E0823">
      <w:pPr>
        <w:pStyle w:val="BodyText"/>
      </w:pPr>
      <w:r>
        <w:t>“Who knows, in six months Alex may need extra care, it’s great to know we can apply to get back on the Scheme if need be.”</w:t>
      </w:r>
    </w:p>
    <w:p w14:paraId="06286579" w14:textId="41A7D289" w:rsidR="0072737E" w:rsidRDefault="004572E6" w:rsidP="001E0823">
      <w:pPr>
        <w:pStyle w:val="Quote"/>
      </w:pPr>
      <w:r>
        <w:t>Alexander is one of 1,028 NDIS participants who had exited the Scheme at 30 June 2017.</w:t>
      </w:r>
    </w:p>
    <w:p w14:paraId="5E44B99D" w14:textId="77777777" w:rsidR="0072737E" w:rsidRDefault="0072737E" w:rsidP="001E0823">
      <w:pPr>
        <w:rPr>
          <w:color w:val="6B2976" w:themeColor="background2"/>
          <w:sz w:val="22"/>
        </w:rPr>
      </w:pPr>
      <w:r>
        <w:br w:type="page"/>
      </w:r>
    </w:p>
    <w:p w14:paraId="5CC93D6A" w14:textId="77777777" w:rsidR="00D87B4B" w:rsidRDefault="00D87B4B" w:rsidP="001E0823">
      <w:pPr>
        <w:pStyle w:val="Heading3"/>
      </w:pPr>
      <w:r>
        <w:lastRenderedPageBreak/>
        <w:t>1.3 Promoting choice and control through self-management</w:t>
      </w:r>
    </w:p>
    <w:p w14:paraId="5B79B538" w14:textId="77777777" w:rsidR="00D87B4B" w:rsidRDefault="00D87B4B" w:rsidP="001E0823">
      <w:pPr>
        <w:pStyle w:val="BodyText"/>
      </w:pPr>
      <w:r>
        <w:t>The self-management of NDIS funds by participants does, and can, have significant value in achieving the objectives of the Scheme beyond a rights-based perspective. The self-management of funds can:</w:t>
      </w:r>
    </w:p>
    <w:p w14:paraId="32687E52" w14:textId="672A1CDA" w:rsidR="00D87B4B" w:rsidRDefault="00D87B4B" w:rsidP="001E0823">
      <w:pPr>
        <w:pStyle w:val="ListBullet"/>
      </w:pPr>
      <w:r>
        <w:t xml:space="preserve">empower and give independence </w:t>
      </w:r>
    </w:p>
    <w:p w14:paraId="6DC2D638" w14:textId="77777777" w:rsidR="00D87B4B" w:rsidRDefault="00D87B4B" w:rsidP="001E0823">
      <w:pPr>
        <w:pStyle w:val="ListBullet"/>
      </w:pPr>
      <w:r>
        <w:t>to participants;</w:t>
      </w:r>
      <w:r>
        <w:cr/>
        <w:t xml:space="preserve">facilitate innovative support solutions </w:t>
      </w:r>
    </w:p>
    <w:p w14:paraId="66A118A7" w14:textId="77777777" w:rsidR="00D87B4B" w:rsidRDefault="00D87B4B" w:rsidP="001E0823">
      <w:pPr>
        <w:pStyle w:val="ListBullet"/>
      </w:pPr>
      <w:r>
        <w:t>for participants and their families;</w:t>
      </w:r>
    </w:p>
    <w:p w14:paraId="4D3BB7AD" w14:textId="77777777" w:rsidR="00D87B4B" w:rsidRDefault="00D87B4B" w:rsidP="001E0823">
      <w:pPr>
        <w:pStyle w:val="ListBullet"/>
      </w:pPr>
      <w:r>
        <w:t>improve participant and family outcomes;</w:t>
      </w:r>
    </w:p>
    <w:p w14:paraId="07024F1A" w14:textId="77777777" w:rsidR="00D87B4B" w:rsidRDefault="00D87B4B" w:rsidP="001E0823">
      <w:pPr>
        <w:pStyle w:val="ListBullet"/>
      </w:pPr>
      <w:r>
        <w:t>increase value for money purchasing;</w:t>
      </w:r>
    </w:p>
    <w:p w14:paraId="7EA15775" w14:textId="77777777" w:rsidR="00D87B4B" w:rsidRDefault="00D87B4B" w:rsidP="001E0823">
      <w:pPr>
        <w:pStyle w:val="ListBullet"/>
      </w:pPr>
      <w:r>
        <w:t xml:space="preserve">contribute to the sustainability of the Scheme; </w:t>
      </w:r>
    </w:p>
    <w:p w14:paraId="0EA51A7E" w14:textId="77777777" w:rsidR="00D87B4B" w:rsidRDefault="00D87B4B" w:rsidP="001E0823">
      <w:pPr>
        <w:pStyle w:val="ListBullet"/>
      </w:pPr>
      <w:r>
        <w:t>positively disrupt the disability support market;</w:t>
      </w:r>
    </w:p>
    <w:p w14:paraId="6EF61855" w14:textId="77777777" w:rsidR="00D87B4B" w:rsidRDefault="00D87B4B" w:rsidP="001E0823">
      <w:pPr>
        <w:pStyle w:val="ListBullet"/>
      </w:pPr>
      <w:r>
        <w:t>facilitate fiscally sound decision-making by the participant and reduce support needs over a lifetime; and</w:t>
      </w:r>
    </w:p>
    <w:p w14:paraId="7210566F" w14:textId="77777777" w:rsidR="00D87B4B" w:rsidRDefault="00D87B4B" w:rsidP="001E0823">
      <w:pPr>
        <w:pStyle w:val="ListBullet"/>
      </w:pPr>
      <w:r>
        <w:t>transcend crisis-driven disability service systems by rewarding initiative and future planning.</w:t>
      </w:r>
    </w:p>
    <w:p w14:paraId="3B30687B" w14:textId="77777777" w:rsidR="00D87B4B" w:rsidRDefault="00D87B4B" w:rsidP="001E0823">
      <w:pPr>
        <w:pStyle w:val="BodyText"/>
      </w:pPr>
      <w:r>
        <w:t>The Agency has established a dedicated Self-Management Project to ensure a ‘whole of NDIA’ approach to increasing self-management of Scheme funds.</w:t>
      </w:r>
    </w:p>
    <w:p w14:paraId="7FEA7DCD" w14:textId="15C53678" w:rsidR="00D87B4B" w:rsidRDefault="00D87B4B" w:rsidP="001E0823">
      <w:pPr>
        <w:pStyle w:val="BodyText"/>
      </w:pPr>
      <w:r>
        <w:t xml:space="preserve">At 30 June 2017, the distribution of the way NDIS funds were managed was as follows in Table 1, with 16 per cent of participants fully or partly self-managing their supports. </w:t>
      </w:r>
    </w:p>
    <w:p w14:paraId="1C9AAEFF" w14:textId="731966B9" w:rsidR="00D87B4B" w:rsidRPr="009741D8" w:rsidRDefault="00D87B4B" w:rsidP="001E0823">
      <w:pPr>
        <w:pStyle w:val="Heading4tables"/>
      </w:pPr>
      <w:bookmarkStart w:id="30" w:name="_Toc496611799"/>
      <w:r w:rsidRPr="006F059D">
        <w:t>Table 1: Distribution of active participants by method of financial plan management at 30 June 2017</w:t>
      </w:r>
      <w:r>
        <w:rPr>
          <w:rStyle w:val="FootnoteReference"/>
        </w:rPr>
        <w:footnoteReference w:id="9"/>
      </w:r>
      <w:r>
        <w:rPr>
          <w:rStyle w:val="FootnoteReference"/>
        </w:rPr>
        <w:footnoteReference w:id="10"/>
      </w:r>
      <w:bookmarkEnd w:id="30"/>
    </w:p>
    <w:tbl>
      <w:tblPr>
        <w:tblStyle w:val="TableGrid"/>
        <w:tblW w:w="0" w:type="auto"/>
        <w:tblLook w:val="04A0" w:firstRow="1" w:lastRow="0" w:firstColumn="1" w:lastColumn="0" w:noHBand="0" w:noVBand="1"/>
        <w:tblDescription w:val="Table 1: Distribution of active participants by method of financial plan management at 30 June 2017"/>
      </w:tblPr>
      <w:tblGrid>
        <w:gridCol w:w="4807"/>
        <w:gridCol w:w="4821"/>
      </w:tblGrid>
      <w:tr w:rsidR="00D87B4B" w14:paraId="37BDE6FB" w14:textId="77777777" w:rsidTr="005B251B">
        <w:trPr>
          <w:tblHeader/>
        </w:trPr>
        <w:tc>
          <w:tcPr>
            <w:tcW w:w="5094" w:type="dxa"/>
            <w:shd w:val="clear" w:color="auto" w:fill="6B2976" w:themeFill="background2"/>
          </w:tcPr>
          <w:p w14:paraId="75381E9C" w14:textId="0E8E9C3F" w:rsidR="00D87B4B" w:rsidRPr="00D87B4B" w:rsidRDefault="00D87B4B" w:rsidP="001E0823">
            <w:pPr>
              <w:pStyle w:val="TableTitle"/>
            </w:pPr>
            <w:bookmarkStart w:id="31" w:name="Title_Table1"/>
            <w:r w:rsidRPr="00D87B4B">
              <w:t>Method</w:t>
            </w:r>
          </w:p>
        </w:tc>
        <w:tc>
          <w:tcPr>
            <w:tcW w:w="5094" w:type="dxa"/>
            <w:shd w:val="clear" w:color="auto" w:fill="6B2976" w:themeFill="background2"/>
          </w:tcPr>
          <w:p w14:paraId="04FB4CCC" w14:textId="57268B82" w:rsidR="00D87B4B" w:rsidRPr="00D87B4B" w:rsidRDefault="00D87B4B" w:rsidP="001E0823">
            <w:pPr>
              <w:pStyle w:val="TableTitle"/>
            </w:pPr>
            <w:r w:rsidRPr="00D87B4B">
              <w:t>Percentage</w:t>
            </w:r>
          </w:p>
        </w:tc>
      </w:tr>
      <w:bookmarkEnd w:id="31"/>
      <w:tr w:rsidR="00D87B4B" w14:paraId="29386221" w14:textId="77777777" w:rsidTr="00F93D1A">
        <w:tc>
          <w:tcPr>
            <w:tcW w:w="5094" w:type="dxa"/>
          </w:tcPr>
          <w:p w14:paraId="0B52FFDB" w14:textId="59935EBE" w:rsidR="00D87B4B" w:rsidRDefault="00D87B4B" w:rsidP="001E0823">
            <w:pPr>
              <w:pStyle w:val="BodyText"/>
              <w:rPr>
                <w:rStyle w:val="BodyTextBold"/>
              </w:rPr>
            </w:pPr>
            <w:r>
              <w:t>Self-managed fully</w:t>
            </w:r>
          </w:p>
        </w:tc>
        <w:tc>
          <w:tcPr>
            <w:tcW w:w="5094" w:type="dxa"/>
          </w:tcPr>
          <w:p w14:paraId="0A2E31C7" w14:textId="60D8EC8A" w:rsidR="00D87B4B" w:rsidRDefault="00D87B4B" w:rsidP="001E0823">
            <w:pPr>
              <w:pStyle w:val="BodyText"/>
              <w:rPr>
                <w:rStyle w:val="BodyTextBold"/>
              </w:rPr>
            </w:pPr>
            <w:r>
              <w:t>7%</w:t>
            </w:r>
          </w:p>
        </w:tc>
      </w:tr>
      <w:tr w:rsidR="00D87B4B" w14:paraId="0822ADA2" w14:textId="77777777" w:rsidTr="00F93D1A">
        <w:tc>
          <w:tcPr>
            <w:tcW w:w="5094" w:type="dxa"/>
          </w:tcPr>
          <w:p w14:paraId="728F5AEA" w14:textId="7CF74C36" w:rsidR="00D87B4B" w:rsidRDefault="00D87B4B" w:rsidP="001E0823">
            <w:pPr>
              <w:pStyle w:val="BodyText"/>
            </w:pPr>
            <w:r>
              <w:t>Self-managed partly</w:t>
            </w:r>
          </w:p>
        </w:tc>
        <w:tc>
          <w:tcPr>
            <w:tcW w:w="5094" w:type="dxa"/>
          </w:tcPr>
          <w:p w14:paraId="009FA8FD" w14:textId="3633AAE7" w:rsidR="00D87B4B" w:rsidRDefault="00D87B4B" w:rsidP="001E0823">
            <w:pPr>
              <w:pStyle w:val="BodyText"/>
            </w:pPr>
            <w:r>
              <w:t>9%</w:t>
            </w:r>
          </w:p>
        </w:tc>
      </w:tr>
      <w:tr w:rsidR="00D87B4B" w14:paraId="7083E870" w14:textId="77777777" w:rsidTr="00F93D1A">
        <w:tc>
          <w:tcPr>
            <w:tcW w:w="5094" w:type="dxa"/>
          </w:tcPr>
          <w:p w14:paraId="712C8105" w14:textId="77304059" w:rsidR="00D87B4B" w:rsidRDefault="00D87B4B" w:rsidP="001E0823">
            <w:pPr>
              <w:pStyle w:val="BodyText"/>
            </w:pPr>
            <w:r>
              <w:t>Plan-managed</w:t>
            </w:r>
          </w:p>
        </w:tc>
        <w:tc>
          <w:tcPr>
            <w:tcW w:w="5094" w:type="dxa"/>
          </w:tcPr>
          <w:p w14:paraId="535EA244" w14:textId="11218DC5" w:rsidR="00D87B4B" w:rsidRDefault="00D87B4B" w:rsidP="001E0823">
            <w:pPr>
              <w:pStyle w:val="BodyText"/>
            </w:pPr>
            <w:r>
              <w:t>11%</w:t>
            </w:r>
          </w:p>
        </w:tc>
      </w:tr>
      <w:tr w:rsidR="00D87B4B" w14:paraId="4024D53B" w14:textId="77777777" w:rsidTr="00D87B4B">
        <w:tc>
          <w:tcPr>
            <w:tcW w:w="5094" w:type="dxa"/>
            <w:shd w:val="clear" w:color="auto" w:fill="EBE8E2" w:themeFill="text2"/>
          </w:tcPr>
          <w:p w14:paraId="2164549A" w14:textId="4F4886B9" w:rsidR="00D87B4B" w:rsidRPr="00D87B4B" w:rsidRDefault="00D87B4B" w:rsidP="001E0823">
            <w:pPr>
              <w:pStyle w:val="BodyText"/>
              <w:rPr>
                <w:rStyle w:val="BodyTextBold"/>
              </w:rPr>
            </w:pPr>
            <w:r w:rsidRPr="00D87B4B">
              <w:rPr>
                <w:rStyle w:val="BodyTextBold"/>
              </w:rPr>
              <w:t>Agency-managed</w:t>
            </w:r>
          </w:p>
        </w:tc>
        <w:tc>
          <w:tcPr>
            <w:tcW w:w="5094" w:type="dxa"/>
            <w:shd w:val="clear" w:color="auto" w:fill="EBE8E2" w:themeFill="text2"/>
          </w:tcPr>
          <w:p w14:paraId="210E6426" w14:textId="2C653DFA" w:rsidR="00D87B4B" w:rsidRPr="00D87B4B" w:rsidRDefault="00D87B4B" w:rsidP="001E0823">
            <w:pPr>
              <w:pStyle w:val="BodyText"/>
              <w:rPr>
                <w:rStyle w:val="BodyTextBold"/>
              </w:rPr>
            </w:pPr>
            <w:r w:rsidRPr="00D87B4B">
              <w:rPr>
                <w:rStyle w:val="BodyTextBold"/>
              </w:rPr>
              <w:t>73%</w:t>
            </w:r>
          </w:p>
        </w:tc>
      </w:tr>
    </w:tbl>
    <w:p w14:paraId="40402DFC" w14:textId="7D6EA8A8" w:rsidR="00D87B4B" w:rsidRDefault="00D87B4B" w:rsidP="001E0823">
      <w:pPr>
        <w:pStyle w:val="BodyText"/>
      </w:pPr>
      <w:r>
        <w:t>The Independent Advisory Council (IAC) are actively promoting the value of self-management through the establishment of a working group in late 2016.</w:t>
      </w:r>
    </w:p>
    <w:p w14:paraId="77C85C3B" w14:textId="76226A3C" w:rsidR="00F90DA6" w:rsidRDefault="00D87B4B" w:rsidP="001E0823">
      <w:pPr>
        <w:pStyle w:val="BodyText"/>
      </w:pPr>
      <w:r>
        <w:t>All-day workshops in Melbourne on 3 November 2016 and 6 June 2017 included people with a lived experience of self-management (either through the NDIS or similar state and territory schemes), international expert Dr Sam Bennet, staff representatives, the IAC, organisations supporting self-management such as the Community Disability Alliance Hunter (CDAH) and the Growing Space.</w:t>
      </w:r>
    </w:p>
    <w:p w14:paraId="21528612" w14:textId="77777777" w:rsidR="00F90DA6" w:rsidRDefault="00F90DA6" w:rsidP="001E0823">
      <w:r>
        <w:br w:type="page"/>
      </w:r>
    </w:p>
    <w:p w14:paraId="51620459" w14:textId="3096C4B2" w:rsidR="00A74E51" w:rsidRDefault="00A74E51" w:rsidP="001E0823">
      <w:pPr>
        <w:pStyle w:val="Heading3"/>
      </w:pPr>
      <w:r>
        <w:lastRenderedPageBreak/>
        <w:t>1.4 Delivering support to people with psychosocial disabilities</w:t>
      </w:r>
    </w:p>
    <w:p w14:paraId="384D9D21" w14:textId="77777777" w:rsidR="00A74E51" w:rsidRDefault="00A74E51" w:rsidP="001E0823">
      <w:pPr>
        <w:pStyle w:val="BodyText"/>
      </w:pPr>
      <w:r>
        <w:t>The NDIS represents an unprecedented opportunity for Australians with significant and permanent psychosocial disability to have choice and control over their supports.</w:t>
      </w:r>
    </w:p>
    <w:p w14:paraId="6B25886F" w14:textId="77777777" w:rsidR="00A74E51" w:rsidRDefault="00A74E51" w:rsidP="001E0823">
      <w:pPr>
        <w:pStyle w:val="BodyText"/>
      </w:pPr>
      <w:r>
        <w:t xml:space="preserve">For many people with psychosocial disability, their families and carers, the Scheme is very different to the previous approaches to the way they have received supports. </w:t>
      </w:r>
    </w:p>
    <w:p w14:paraId="401B6A59" w14:textId="77777777" w:rsidR="00A74E51" w:rsidRDefault="00A74E51" w:rsidP="001E0823">
      <w:pPr>
        <w:pStyle w:val="BodyText"/>
      </w:pPr>
      <w:r>
        <w:t>In particular, there have been</w:t>
      </w:r>
      <w:r w:rsidRPr="001E0823">
        <w:t xml:space="preserve"> increases</w:t>
      </w:r>
      <w:r>
        <w:t xml:space="preserve"> in the choice of providers and the opportunities to pursue goals and to actively engage with more diverse and inclusive recovery strategies.</w:t>
      </w:r>
    </w:p>
    <w:p w14:paraId="231A64CE" w14:textId="77777777" w:rsidR="00A74E51" w:rsidRDefault="00A74E51" w:rsidP="001E0823">
      <w:pPr>
        <w:pStyle w:val="BodyText"/>
      </w:pPr>
      <w:r>
        <w:t>Products and resources have been developed to assist participants, their families and carers and providers, including:</w:t>
      </w:r>
    </w:p>
    <w:p w14:paraId="6A094205" w14:textId="3D12AE39" w:rsidR="00A74E51" w:rsidRDefault="00A74E51" w:rsidP="001E0823">
      <w:pPr>
        <w:pStyle w:val="ListBullet"/>
      </w:pPr>
      <w:r>
        <w:t>an ‘on the couch’ video – question and answer video about mental health and the NDIS;</w:t>
      </w:r>
    </w:p>
    <w:p w14:paraId="0036BA3F" w14:textId="77777777" w:rsidR="00A74E51" w:rsidRDefault="00A74E51" w:rsidP="001E0823">
      <w:pPr>
        <w:pStyle w:val="ListBullet"/>
      </w:pPr>
      <w:r>
        <w:t>a fact sheet ‘Psychosocial Disability, Recovery and the NDIS’ which was co-designed with consumers with a psychosocial disability and their families and carers; and</w:t>
      </w:r>
    </w:p>
    <w:p w14:paraId="4E93C31A" w14:textId="77777777" w:rsidR="00A74E51" w:rsidRDefault="00A74E51" w:rsidP="001E0823">
      <w:pPr>
        <w:pStyle w:val="ListBullet"/>
      </w:pPr>
      <w:r>
        <w:t>a compilation of tips ‘Completing the Access process’ for communicating about psychosocial disability.</w:t>
      </w:r>
    </w:p>
    <w:p w14:paraId="15B0897A" w14:textId="77777777" w:rsidR="00A74E51" w:rsidRDefault="00A74E51" w:rsidP="001E0823">
      <w:r>
        <w:t>The NDIA recognises the significant number and diversity of individuals with a psychosocial disability. The table below provides the total number and percentage of active participants with approved plans by disability group at 30 June 2017.</w:t>
      </w:r>
    </w:p>
    <w:p w14:paraId="145EB1A6" w14:textId="77777777" w:rsidR="00A74E51" w:rsidRDefault="00A74E51" w:rsidP="001E0823">
      <w:pPr>
        <w:rPr>
          <w:rFonts w:eastAsiaTheme="majorEastAsia" w:cstheme="majorBidi"/>
        </w:rPr>
      </w:pPr>
      <w:r>
        <w:br w:type="page"/>
      </w:r>
    </w:p>
    <w:p w14:paraId="2A9AB85E" w14:textId="2BD7E451" w:rsidR="00A74E51" w:rsidRPr="009741D8" w:rsidRDefault="00A74E51" w:rsidP="00CC53A5">
      <w:pPr>
        <w:pStyle w:val="Heading4tables"/>
      </w:pPr>
      <w:bookmarkStart w:id="32" w:name="_Toc496611800"/>
      <w:r w:rsidRPr="00A74E51">
        <w:lastRenderedPageBreak/>
        <w:t>Table 2: Active participants with approved plans by di</w:t>
      </w:r>
      <w:r>
        <w:t>sability group at 30 June 2017</w:t>
      </w:r>
      <w:r>
        <w:rPr>
          <w:rStyle w:val="FootnoteReference"/>
        </w:rPr>
        <w:footnoteReference w:id="11"/>
      </w:r>
      <w:bookmarkEnd w:id="32"/>
    </w:p>
    <w:tbl>
      <w:tblPr>
        <w:tblStyle w:val="TableGrid"/>
        <w:tblW w:w="0" w:type="auto"/>
        <w:tblLook w:val="04A0" w:firstRow="1" w:lastRow="0" w:firstColumn="1" w:lastColumn="0" w:noHBand="0" w:noVBand="1"/>
        <w:tblDescription w:val="Table 2: Active participants with approved plans by disability group at 30 June 2017"/>
      </w:tblPr>
      <w:tblGrid>
        <w:gridCol w:w="3320"/>
        <w:gridCol w:w="2942"/>
        <w:gridCol w:w="3366"/>
      </w:tblGrid>
      <w:tr w:rsidR="00A74E51" w14:paraId="24717FB5" w14:textId="77777777" w:rsidTr="005B251B">
        <w:trPr>
          <w:tblHeader/>
        </w:trPr>
        <w:tc>
          <w:tcPr>
            <w:tcW w:w="3486" w:type="dxa"/>
            <w:shd w:val="clear" w:color="auto" w:fill="6B2976" w:themeFill="background2"/>
          </w:tcPr>
          <w:p w14:paraId="0C9FA599" w14:textId="3DD728A8" w:rsidR="00A74E51" w:rsidRPr="00D4382B" w:rsidRDefault="00A74E51" w:rsidP="00D4382B">
            <w:pPr>
              <w:pStyle w:val="TableTitle"/>
            </w:pPr>
            <w:bookmarkStart w:id="33" w:name="Title_Table2"/>
            <w:r w:rsidRPr="00D4382B">
              <w:t>Disability</w:t>
            </w:r>
          </w:p>
        </w:tc>
        <w:tc>
          <w:tcPr>
            <w:tcW w:w="3135" w:type="dxa"/>
            <w:shd w:val="clear" w:color="auto" w:fill="6B2976" w:themeFill="background2"/>
          </w:tcPr>
          <w:p w14:paraId="0DE4706A" w14:textId="023F82D0" w:rsidR="00A74E51" w:rsidRPr="00D4382B" w:rsidRDefault="00A74E51" w:rsidP="00D4382B">
            <w:pPr>
              <w:pStyle w:val="TableTitle"/>
            </w:pPr>
            <w:r w:rsidRPr="00D4382B">
              <w:t>Total number</w:t>
            </w:r>
          </w:p>
        </w:tc>
        <w:tc>
          <w:tcPr>
            <w:tcW w:w="3567" w:type="dxa"/>
            <w:shd w:val="clear" w:color="auto" w:fill="6B2976" w:themeFill="background2"/>
          </w:tcPr>
          <w:p w14:paraId="63A0A1F1" w14:textId="1F4EC492" w:rsidR="00A74E51" w:rsidRPr="00D4382B" w:rsidRDefault="00A74E51" w:rsidP="00D4382B">
            <w:pPr>
              <w:pStyle w:val="TableTitle"/>
            </w:pPr>
            <w:r w:rsidRPr="00D4382B">
              <w:t>Percentage (rounded to nearest whole number)</w:t>
            </w:r>
          </w:p>
        </w:tc>
      </w:tr>
      <w:bookmarkEnd w:id="33"/>
      <w:tr w:rsidR="00A74E51" w14:paraId="3FC1F02C" w14:textId="77777777" w:rsidTr="00A74E51">
        <w:tc>
          <w:tcPr>
            <w:tcW w:w="3486" w:type="dxa"/>
          </w:tcPr>
          <w:p w14:paraId="313CFE79" w14:textId="0A5AE8ED" w:rsidR="00A74E51" w:rsidRDefault="00A74E51" w:rsidP="001E0823">
            <w:pPr>
              <w:pStyle w:val="BodyText"/>
              <w:rPr>
                <w:rStyle w:val="BodyTextBold"/>
              </w:rPr>
            </w:pPr>
            <w:r>
              <w:t xml:space="preserve">Intellectual disability </w:t>
            </w:r>
          </w:p>
        </w:tc>
        <w:tc>
          <w:tcPr>
            <w:tcW w:w="3135" w:type="dxa"/>
          </w:tcPr>
          <w:p w14:paraId="521D81F3" w14:textId="5CA670F6" w:rsidR="00A74E51" w:rsidRDefault="00A74E51" w:rsidP="001E0823">
            <w:pPr>
              <w:pStyle w:val="BodyText"/>
            </w:pPr>
            <w:r>
              <w:t>32,144</w:t>
            </w:r>
          </w:p>
        </w:tc>
        <w:tc>
          <w:tcPr>
            <w:tcW w:w="3567" w:type="dxa"/>
          </w:tcPr>
          <w:p w14:paraId="0BFB38E2" w14:textId="0EC8959E" w:rsidR="00A74E51" w:rsidRDefault="00A74E51" w:rsidP="001E0823">
            <w:pPr>
              <w:pStyle w:val="BodyText"/>
              <w:rPr>
                <w:rStyle w:val="BodyTextBold"/>
              </w:rPr>
            </w:pPr>
            <w:r>
              <w:t>36%</w:t>
            </w:r>
          </w:p>
        </w:tc>
      </w:tr>
      <w:tr w:rsidR="00A74E51" w14:paraId="2AA9FD56" w14:textId="77777777" w:rsidTr="00A74E51">
        <w:tc>
          <w:tcPr>
            <w:tcW w:w="3486" w:type="dxa"/>
          </w:tcPr>
          <w:p w14:paraId="0E27990F" w14:textId="38F84D7F" w:rsidR="00A74E51" w:rsidRDefault="00A74E51" w:rsidP="001E0823">
            <w:pPr>
              <w:pStyle w:val="BodyText"/>
            </w:pPr>
            <w:r>
              <w:t xml:space="preserve">Autism </w:t>
            </w:r>
          </w:p>
        </w:tc>
        <w:tc>
          <w:tcPr>
            <w:tcW w:w="3135" w:type="dxa"/>
          </w:tcPr>
          <w:p w14:paraId="4F02D036" w14:textId="28C1E11F" w:rsidR="00A74E51" w:rsidRDefault="00A74E51" w:rsidP="001E0823">
            <w:pPr>
              <w:pStyle w:val="BodyText"/>
            </w:pPr>
            <w:r>
              <w:t>25,542</w:t>
            </w:r>
          </w:p>
        </w:tc>
        <w:tc>
          <w:tcPr>
            <w:tcW w:w="3567" w:type="dxa"/>
          </w:tcPr>
          <w:p w14:paraId="20279C75" w14:textId="09C7F833" w:rsidR="00A74E51" w:rsidRDefault="00A74E51" w:rsidP="001E0823">
            <w:pPr>
              <w:pStyle w:val="BodyText"/>
            </w:pPr>
            <w:r>
              <w:t>29%</w:t>
            </w:r>
          </w:p>
        </w:tc>
      </w:tr>
      <w:tr w:rsidR="00A74E51" w14:paraId="0C91254B" w14:textId="77777777" w:rsidTr="00A74E51">
        <w:tc>
          <w:tcPr>
            <w:tcW w:w="3486" w:type="dxa"/>
          </w:tcPr>
          <w:p w14:paraId="566894FF" w14:textId="5177A70E" w:rsidR="00A74E51" w:rsidRDefault="00A74E51" w:rsidP="001E0823">
            <w:pPr>
              <w:pStyle w:val="BodyText"/>
            </w:pPr>
            <w:r>
              <w:t xml:space="preserve">Psychosocial disability </w:t>
            </w:r>
          </w:p>
        </w:tc>
        <w:tc>
          <w:tcPr>
            <w:tcW w:w="3135" w:type="dxa"/>
          </w:tcPr>
          <w:p w14:paraId="5DBD6F36" w14:textId="7650B4C6" w:rsidR="00A74E51" w:rsidRDefault="00A74E51" w:rsidP="001E0823">
            <w:pPr>
              <w:pStyle w:val="BodyText"/>
            </w:pPr>
            <w:r>
              <w:t>6,093</w:t>
            </w:r>
          </w:p>
        </w:tc>
        <w:tc>
          <w:tcPr>
            <w:tcW w:w="3567" w:type="dxa"/>
          </w:tcPr>
          <w:p w14:paraId="0528E2CA" w14:textId="166FADB0" w:rsidR="00A74E51" w:rsidRDefault="00A74E51" w:rsidP="001E0823">
            <w:pPr>
              <w:pStyle w:val="BodyText"/>
            </w:pPr>
            <w:r>
              <w:t>7%</w:t>
            </w:r>
          </w:p>
        </w:tc>
      </w:tr>
      <w:tr w:rsidR="00A74E51" w14:paraId="60727E6A" w14:textId="77777777" w:rsidTr="00A74E51">
        <w:tc>
          <w:tcPr>
            <w:tcW w:w="3486" w:type="dxa"/>
          </w:tcPr>
          <w:p w14:paraId="5FFF326D" w14:textId="5566E6F1" w:rsidR="00A74E51" w:rsidRDefault="00A74E51" w:rsidP="001E0823">
            <w:pPr>
              <w:pStyle w:val="BodyText"/>
            </w:pPr>
            <w:r>
              <w:t xml:space="preserve">Cerebral palsy </w:t>
            </w:r>
          </w:p>
        </w:tc>
        <w:tc>
          <w:tcPr>
            <w:tcW w:w="3135" w:type="dxa"/>
          </w:tcPr>
          <w:p w14:paraId="57C0F98A" w14:textId="67B6999E" w:rsidR="00A74E51" w:rsidRDefault="00A74E51" w:rsidP="001E0823">
            <w:pPr>
              <w:pStyle w:val="BodyText"/>
            </w:pPr>
            <w:r>
              <w:t>4,339</w:t>
            </w:r>
          </w:p>
        </w:tc>
        <w:tc>
          <w:tcPr>
            <w:tcW w:w="3567" w:type="dxa"/>
          </w:tcPr>
          <w:p w14:paraId="5C3E6340" w14:textId="63303C15" w:rsidR="00A74E51" w:rsidRDefault="00A74E51" w:rsidP="001E0823">
            <w:pPr>
              <w:pStyle w:val="BodyText"/>
            </w:pPr>
            <w:r>
              <w:t>5%</w:t>
            </w:r>
          </w:p>
        </w:tc>
      </w:tr>
      <w:tr w:rsidR="00A74E51" w14:paraId="096323E2" w14:textId="77777777" w:rsidTr="00A74E51">
        <w:tc>
          <w:tcPr>
            <w:tcW w:w="3486" w:type="dxa"/>
          </w:tcPr>
          <w:p w14:paraId="4F859879" w14:textId="4C7DCADE" w:rsidR="00A74E51" w:rsidRDefault="00A74E51" w:rsidP="001E0823">
            <w:pPr>
              <w:pStyle w:val="BodyText"/>
            </w:pPr>
            <w:r>
              <w:t>Other neurological disability</w:t>
            </w:r>
          </w:p>
        </w:tc>
        <w:tc>
          <w:tcPr>
            <w:tcW w:w="3135" w:type="dxa"/>
          </w:tcPr>
          <w:p w14:paraId="174C7C6A" w14:textId="10DC8D4E" w:rsidR="00A74E51" w:rsidRDefault="00A74E51" w:rsidP="001E0823">
            <w:pPr>
              <w:pStyle w:val="BodyText"/>
            </w:pPr>
            <w:r>
              <w:t>4,077</w:t>
            </w:r>
          </w:p>
        </w:tc>
        <w:tc>
          <w:tcPr>
            <w:tcW w:w="3567" w:type="dxa"/>
          </w:tcPr>
          <w:p w14:paraId="53373E70" w14:textId="782596F7" w:rsidR="00A74E51" w:rsidRDefault="00A74E51" w:rsidP="001E0823">
            <w:pPr>
              <w:pStyle w:val="BodyText"/>
            </w:pPr>
            <w:r>
              <w:t>5%</w:t>
            </w:r>
          </w:p>
        </w:tc>
      </w:tr>
      <w:tr w:rsidR="00A74E51" w14:paraId="29E969DD" w14:textId="77777777" w:rsidTr="00A74E51">
        <w:tc>
          <w:tcPr>
            <w:tcW w:w="3486" w:type="dxa"/>
          </w:tcPr>
          <w:p w14:paraId="6B9011AA" w14:textId="551D7352" w:rsidR="00A74E51" w:rsidRDefault="00A74E51" w:rsidP="001E0823">
            <w:pPr>
              <w:pStyle w:val="BodyText"/>
            </w:pPr>
            <w:r>
              <w:t xml:space="preserve">Other physical disability </w:t>
            </w:r>
          </w:p>
        </w:tc>
        <w:tc>
          <w:tcPr>
            <w:tcW w:w="3135" w:type="dxa"/>
          </w:tcPr>
          <w:p w14:paraId="7ADBA03D" w14:textId="65DDF8B6" w:rsidR="00A74E51" w:rsidRDefault="00A74E51" w:rsidP="001E0823">
            <w:pPr>
              <w:pStyle w:val="BodyText"/>
            </w:pPr>
            <w:r>
              <w:t>4,009</w:t>
            </w:r>
          </w:p>
        </w:tc>
        <w:tc>
          <w:tcPr>
            <w:tcW w:w="3567" w:type="dxa"/>
          </w:tcPr>
          <w:p w14:paraId="11028D0A" w14:textId="0F9B5BDA" w:rsidR="00A74E51" w:rsidRDefault="00A74E51" w:rsidP="001E0823">
            <w:pPr>
              <w:pStyle w:val="BodyText"/>
            </w:pPr>
            <w:r>
              <w:t>4%</w:t>
            </w:r>
          </w:p>
        </w:tc>
      </w:tr>
      <w:tr w:rsidR="00A74E51" w14:paraId="1F2C2DA0" w14:textId="77777777" w:rsidTr="00A74E51">
        <w:tc>
          <w:tcPr>
            <w:tcW w:w="3486" w:type="dxa"/>
          </w:tcPr>
          <w:p w14:paraId="0C54D224" w14:textId="561F65BA" w:rsidR="00A74E51" w:rsidRDefault="00A74E51" w:rsidP="001E0823">
            <w:pPr>
              <w:pStyle w:val="BodyText"/>
            </w:pPr>
            <w:r>
              <w:t xml:space="preserve">Acquired Brain Injury (ABI) </w:t>
            </w:r>
          </w:p>
        </w:tc>
        <w:tc>
          <w:tcPr>
            <w:tcW w:w="3135" w:type="dxa"/>
          </w:tcPr>
          <w:p w14:paraId="3764B1A7" w14:textId="0D8E7EDE" w:rsidR="00A74E51" w:rsidRDefault="00A74E51" w:rsidP="001E0823">
            <w:pPr>
              <w:pStyle w:val="BodyText"/>
            </w:pPr>
            <w:r>
              <w:t>2,562</w:t>
            </w:r>
          </w:p>
        </w:tc>
        <w:tc>
          <w:tcPr>
            <w:tcW w:w="3567" w:type="dxa"/>
          </w:tcPr>
          <w:p w14:paraId="2D0E785C" w14:textId="2EA5CC83" w:rsidR="00A74E51" w:rsidRDefault="00A74E51" w:rsidP="001E0823">
            <w:pPr>
              <w:pStyle w:val="BodyText"/>
            </w:pPr>
            <w:r>
              <w:t>3%</w:t>
            </w:r>
          </w:p>
        </w:tc>
      </w:tr>
      <w:tr w:rsidR="00A74E51" w14:paraId="74F0DEF3" w14:textId="77777777" w:rsidTr="00A74E51">
        <w:tc>
          <w:tcPr>
            <w:tcW w:w="3486" w:type="dxa"/>
          </w:tcPr>
          <w:p w14:paraId="244EB715" w14:textId="29A38A78" w:rsidR="00A74E51" w:rsidRDefault="00A74E51" w:rsidP="001E0823">
            <w:pPr>
              <w:pStyle w:val="BodyText"/>
            </w:pPr>
            <w:r>
              <w:t xml:space="preserve">Visual impairment </w:t>
            </w:r>
          </w:p>
        </w:tc>
        <w:tc>
          <w:tcPr>
            <w:tcW w:w="3135" w:type="dxa"/>
          </w:tcPr>
          <w:p w14:paraId="7A910963" w14:textId="0203DF03" w:rsidR="00A74E51" w:rsidRDefault="00A74E51" w:rsidP="001E0823">
            <w:pPr>
              <w:pStyle w:val="BodyText"/>
            </w:pPr>
            <w:r>
              <w:t>2,060</w:t>
            </w:r>
          </w:p>
        </w:tc>
        <w:tc>
          <w:tcPr>
            <w:tcW w:w="3567" w:type="dxa"/>
          </w:tcPr>
          <w:p w14:paraId="7AD2681B" w14:textId="698F1927" w:rsidR="00A74E51" w:rsidRDefault="00A74E51" w:rsidP="001E0823">
            <w:pPr>
              <w:pStyle w:val="BodyText"/>
            </w:pPr>
            <w:r>
              <w:t>2%</w:t>
            </w:r>
          </w:p>
        </w:tc>
      </w:tr>
      <w:tr w:rsidR="00A74E51" w14:paraId="2D4BBFC5" w14:textId="77777777" w:rsidTr="00A74E51">
        <w:tc>
          <w:tcPr>
            <w:tcW w:w="3486" w:type="dxa"/>
          </w:tcPr>
          <w:p w14:paraId="76CBBF05" w14:textId="31C4EDAC" w:rsidR="00A74E51" w:rsidRDefault="00A74E51" w:rsidP="001E0823">
            <w:pPr>
              <w:pStyle w:val="BodyText"/>
            </w:pPr>
            <w:r>
              <w:t xml:space="preserve">Hearing impairment </w:t>
            </w:r>
          </w:p>
        </w:tc>
        <w:tc>
          <w:tcPr>
            <w:tcW w:w="3135" w:type="dxa"/>
          </w:tcPr>
          <w:p w14:paraId="1BD539D1" w14:textId="6ADEBDAB" w:rsidR="00A74E51" w:rsidRDefault="00A74E51" w:rsidP="001E0823">
            <w:pPr>
              <w:pStyle w:val="BodyText"/>
            </w:pPr>
            <w:r>
              <w:t>2,520</w:t>
            </w:r>
          </w:p>
        </w:tc>
        <w:tc>
          <w:tcPr>
            <w:tcW w:w="3567" w:type="dxa"/>
          </w:tcPr>
          <w:p w14:paraId="016C281E" w14:textId="7E1F2F52" w:rsidR="00A74E51" w:rsidRDefault="00A74E51" w:rsidP="001E0823">
            <w:pPr>
              <w:pStyle w:val="BodyText"/>
            </w:pPr>
            <w:r>
              <w:t>3%</w:t>
            </w:r>
          </w:p>
        </w:tc>
      </w:tr>
      <w:tr w:rsidR="00A74E51" w14:paraId="44BE1D4A" w14:textId="77777777" w:rsidTr="00A74E51">
        <w:tc>
          <w:tcPr>
            <w:tcW w:w="3486" w:type="dxa"/>
          </w:tcPr>
          <w:p w14:paraId="6E92AA42" w14:textId="0D6753B4" w:rsidR="00A74E51" w:rsidRDefault="00A74E51" w:rsidP="001E0823">
            <w:pPr>
              <w:pStyle w:val="BodyText"/>
            </w:pPr>
            <w:r>
              <w:t>Other sensory/speech impairment</w:t>
            </w:r>
          </w:p>
        </w:tc>
        <w:tc>
          <w:tcPr>
            <w:tcW w:w="3135" w:type="dxa"/>
          </w:tcPr>
          <w:p w14:paraId="521153AA" w14:textId="5002DE0E" w:rsidR="00A74E51" w:rsidRDefault="00A74E51" w:rsidP="001E0823">
            <w:pPr>
              <w:pStyle w:val="BodyText"/>
            </w:pPr>
            <w:r>
              <w:t>2,478</w:t>
            </w:r>
          </w:p>
        </w:tc>
        <w:tc>
          <w:tcPr>
            <w:tcW w:w="3567" w:type="dxa"/>
          </w:tcPr>
          <w:p w14:paraId="0B9A97CC" w14:textId="190DABBC" w:rsidR="00A74E51" w:rsidRDefault="00A74E51" w:rsidP="001E0823">
            <w:pPr>
              <w:pStyle w:val="BodyText"/>
            </w:pPr>
            <w:r>
              <w:t>3%</w:t>
            </w:r>
          </w:p>
        </w:tc>
      </w:tr>
      <w:tr w:rsidR="00A74E51" w14:paraId="6BAEC7FC" w14:textId="77777777" w:rsidTr="00A74E51">
        <w:trPr>
          <w:trHeight w:val="551"/>
        </w:trPr>
        <w:tc>
          <w:tcPr>
            <w:tcW w:w="3486" w:type="dxa"/>
          </w:tcPr>
          <w:p w14:paraId="09DD459D" w14:textId="3C820D4F" w:rsidR="00A74E51" w:rsidRDefault="00A74E51" w:rsidP="001E0823">
            <w:pPr>
              <w:pStyle w:val="BodyText"/>
            </w:pPr>
            <w:r>
              <w:t xml:space="preserve">Multiple sclerosis </w:t>
            </w:r>
          </w:p>
        </w:tc>
        <w:tc>
          <w:tcPr>
            <w:tcW w:w="3135" w:type="dxa"/>
          </w:tcPr>
          <w:p w14:paraId="4E9978E2" w14:textId="64456A83" w:rsidR="00A74E51" w:rsidRDefault="00A74E51" w:rsidP="001E0823">
            <w:pPr>
              <w:pStyle w:val="BodyText"/>
            </w:pPr>
            <w:r>
              <w:t>1,722</w:t>
            </w:r>
          </w:p>
        </w:tc>
        <w:tc>
          <w:tcPr>
            <w:tcW w:w="3567" w:type="dxa"/>
          </w:tcPr>
          <w:p w14:paraId="08C43EED" w14:textId="5614031F" w:rsidR="00A74E51" w:rsidRDefault="00A74E51" w:rsidP="001E0823">
            <w:pPr>
              <w:pStyle w:val="BodyText"/>
            </w:pPr>
            <w:r>
              <w:t>2%</w:t>
            </w:r>
          </w:p>
        </w:tc>
      </w:tr>
      <w:tr w:rsidR="00A74E51" w14:paraId="61160E4A" w14:textId="77777777" w:rsidTr="00A74E51">
        <w:tc>
          <w:tcPr>
            <w:tcW w:w="3486" w:type="dxa"/>
          </w:tcPr>
          <w:p w14:paraId="634D3386" w14:textId="58C8ACCE" w:rsidR="00A74E51" w:rsidRDefault="00A74E51" w:rsidP="001E0823">
            <w:pPr>
              <w:pStyle w:val="BodyText"/>
            </w:pPr>
            <w:r>
              <w:t>Spinal cord injury</w:t>
            </w:r>
          </w:p>
        </w:tc>
        <w:tc>
          <w:tcPr>
            <w:tcW w:w="3135" w:type="dxa"/>
          </w:tcPr>
          <w:p w14:paraId="784D8C7E" w14:textId="259A2DEF" w:rsidR="00A74E51" w:rsidRDefault="00A74E51" w:rsidP="001E0823">
            <w:pPr>
              <w:pStyle w:val="BodyText"/>
            </w:pPr>
            <w:r>
              <w:t>870</w:t>
            </w:r>
          </w:p>
        </w:tc>
        <w:tc>
          <w:tcPr>
            <w:tcW w:w="3567" w:type="dxa"/>
          </w:tcPr>
          <w:p w14:paraId="23BE92E5" w14:textId="26E0EE29" w:rsidR="00A74E51" w:rsidRDefault="00A74E51" w:rsidP="001E0823">
            <w:pPr>
              <w:pStyle w:val="BodyText"/>
            </w:pPr>
            <w:r>
              <w:t>1%</w:t>
            </w:r>
          </w:p>
        </w:tc>
      </w:tr>
      <w:tr w:rsidR="00A74E51" w14:paraId="6ACAAEA7" w14:textId="77777777" w:rsidTr="00A74E51">
        <w:tc>
          <w:tcPr>
            <w:tcW w:w="3486" w:type="dxa"/>
          </w:tcPr>
          <w:p w14:paraId="01848BEE" w14:textId="1E1D678C" w:rsidR="00A74E51" w:rsidRDefault="00A74E51" w:rsidP="001E0823">
            <w:pPr>
              <w:pStyle w:val="BodyText"/>
            </w:pPr>
            <w:r>
              <w:t>Stroke</w:t>
            </w:r>
          </w:p>
        </w:tc>
        <w:tc>
          <w:tcPr>
            <w:tcW w:w="3135" w:type="dxa"/>
          </w:tcPr>
          <w:p w14:paraId="5A1B7530" w14:textId="691A38BA" w:rsidR="00A74E51" w:rsidRDefault="00A74E51" w:rsidP="001E0823">
            <w:pPr>
              <w:pStyle w:val="BodyText"/>
            </w:pPr>
            <w:r>
              <w:t>989</w:t>
            </w:r>
          </w:p>
        </w:tc>
        <w:tc>
          <w:tcPr>
            <w:tcW w:w="3567" w:type="dxa"/>
          </w:tcPr>
          <w:p w14:paraId="54F8E088" w14:textId="2DFF33BA" w:rsidR="00A74E51" w:rsidRDefault="00A74E51" w:rsidP="001E0823">
            <w:pPr>
              <w:pStyle w:val="BodyText"/>
            </w:pPr>
            <w:r>
              <w:t>1%</w:t>
            </w:r>
          </w:p>
        </w:tc>
      </w:tr>
      <w:tr w:rsidR="00A74E51" w14:paraId="333764DA" w14:textId="77777777" w:rsidTr="00A74E51">
        <w:tc>
          <w:tcPr>
            <w:tcW w:w="3486" w:type="dxa"/>
          </w:tcPr>
          <w:p w14:paraId="5CA8A96F" w14:textId="32703F96" w:rsidR="00A74E51" w:rsidRDefault="00A74E51" w:rsidP="001E0823">
            <w:pPr>
              <w:pStyle w:val="BodyText"/>
            </w:pPr>
            <w:r>
              <w:t>Other</w:t>
            </w:r>
          </w:p>
        </w:tc>
        <w:tc>
          <w:tcPr>
            <w:tcW w:w="3135" w:type="dxa"/>
          </w:tcPr>
          <w:p w14:paraId="3BF6E5B2" w14:textId="17442F3E" w:rsidR="00A74E51" w:rsidRDefault="00A74E51" w:rsidP="001E0823">
            <w:pPr>
              <w:pStyle w:val="BodyText"/>
            </w:pPr>
            <w:r>
              <w:t>205</w:t>
            </w:r>
          </w:p>
        </w:tc>
        <w:tc>
          <w:tcPr>
            <w:tcW w:w="3567" w:type="dxa"/>
          </w:tcPr>
          <w:p w14:paraId="4D78ED60" w14:textId="2DD51785" w:rsidR="00A74E51" w:rsidRDefault="00A74E51" w:rsidP="001E0823">
            <w:pPr>
              <w:pStyle w:val="BodyText"/>
            </w:pPr>
            <w:r>
              <w:t>0%</w:t>
            </w:r>
          </w:p>
        </w:tc>
      </w:tr>
      <w:tr w:rsidR="00A74E51" w14:paraId="72678BC6" w14:textId="77777777" w:rsidTr="00A74E51">
        <w:tc>
          <w:tcPr>
            <w:tcW w:w="3486" w:type="dxa"/>
            <w:shd w:val="clear" w:color="auto" w:fill="EBE8E2" w:themeFill="text2"/>
          </w:tcPr>
          <w:p w14:paraId="375073C8" w14:textId="40E3ED43" w:rsidR="00A74E51" w:rsidRPr="00A74E51" w:rsidRDefault="00A74E51" w:rsidP="001E0823">
            <w:pPr>
              <w:pStyle w:val="BodyText"/>
              <w:rPr>
                <w:rStyle w:val="BodyTextBold"/>
              </w:rPr>
            </w:pPr>
            <w:r w:rsidRPr="00A74E51">
              <w:rPr>
                <w:rStyle w:val="BodyTextBold"/>
              </w:rPr>
              <w:t>Total</w:t>
            </w:r>
          </w:p>
        </w:tc>
        <w:tc>
          <w:tcPr>
            <w:tcW w:w="3135" w:type="dxa"/>
            <w:shd w:val="clear" w:color="auto" w:fill="EBE8E2" w:themeFill="text2"/>
          </w:tcPr>
          <w:p w14:paraId="0E83F371" w14:textId="0311FB29" w:rsidR="00A74E51" w:rsidRPr="00A74E51" w:rsidRDefault="00A74E51" w:rsidP="001E0823">
            <w:pPr>
              <w:pStyle w:val="BodyText"/>
              <w:rPr>
                <w:rStyle w:val="BodyTextBold"/>
              </w:rPr>
            </w:pPr>
            <w:r w:rsidRPr="00A74E51">
              <w:rPr>
                <w:rStyle w:val="BodyTextBold"/>
              </w:rPr>
              <w:t>89,610</w:t>
            </w:r>
          </w:p>
        </w:tc>
        <w:tc>
          <w:tcPr>
            <w:tcW w:w="3567" w:type="dxa"/>
            <w:shd w:val="clear" w:color="auto" w:fill="EBE8E2" w:themeFill="text2"/>
          </w:tcPr>
          <w:p w14:paraId="247688B7" w14:textId="30C420F2" w:rsidR="00A74E51" w:rsidRPr="00A74E51" w:rsidRDefault="00A74E51" w:rsidP="001E0823">
            <w:pPr>
              <w:pStyle w:val="BodyText"/>
              <w:rPr>
                <w:rStyle w:val="BodyTextBold"/>
              </w:rPr>
            </w:pPr>
            <w:r w:rsidRPr="00A74E51">
              <w:rPr>
                <w:rStyle w:val="BodyTextBold"/>
              </w:rPr>
              <w:t>100%</w:t>
            </w:r>
          </w:p>
        </w:tc>
      </w:tr>
    </w:tbl>
    <w:p w14:paraId="62F097BA" w14:textId="77777777" w:rsidR="00A74E51" w:rsidRDefault="00A74E51" w:rsidP="001E0823"/>
    <w:p w14:paraId="7E93B139" w14:textId="77777777" w:rsidR="00A74E51" w:rsidRDefault="00A74E51" w:rsidP="001E0823">
      <w:r>
        <w:br w:type="page"/>
      </w:r>
    </w:p>
    <w:p w14:paraId="07C20CC8" w14:textId="0302D4C4" w:rsidR="00A74E51" w:rsidRDefault="00A74E51" w:rsidP="001E0823">
      <w:pPr>
        <w:pStyle w:val="BodyText"/>
      </w:pPr>
      <w:r>
        <w:lastRenderedPageBreak/>
        <w:t>More specifically, at 30 June 2017, Scheme data showed:</w:t>
      </w:r>
    </w:p>
    <w:p w14:paraId="3A70FA0C" w14:textId="77777777" w:rsidR="00A74E51" w:rsidRDefault="00A74E51" w:rsidP="001E0823">
      <w:pPr>
        <w:pStyle w:val="ListBullet"/>
      </w:pPr>
      <w:r>
        <w:t>11.9 per cent of all participants since Scheme inception who have had their access met had a psychosocial disability and, of these, 6.3 per cent had psychosocial disability recorded as their primary disability.</w:t>
      </w:r>
    </w:p>
    <w:p w14:paraId="1B356A57" w14:textId="77777777" w:rsidR="00A74E51" w:rsidRDefault="00A74E51" w:rsidP="001E0823">
      <w:pPr>
        <w:pStyle w:val="ListBullet"/>
      </w:pPr>
      <w:r>
        <w:t>77 per cent of people with a mental health condition who submitted an access request met the access requirements for psychosocial disability under the Scheme.</w:t>
      </w:r>
    </w:p>
    <w:p w14:paraId="1EA91CD3" w14:textId="7480C5EB" w:rsidR="00A74E51" w:rsidRDefault="00A74E51" w:rsidP="001E0823">
      <w:pPr>
        <w:pStyle w:val="ListBullet"/>
      </w:pPr>
      <w:r>
        <w:t>$412.1 million (5.7 per cent of approved committed supports) has been committed for participants with a primary psychosocial disability and a total of $805.8 million (11.2 per cent of approved committed supports) for participants with any psychosocial disability.</w:t>
      </w:r>
    </w:p>
    <w:p w14:paraId="6B3D461F" w14:textId="58C39847" w:rsidR="00A74E51" w:rsidRDefault="00A74E51" w:rsidP="001E0823">
      <w:pPr>
        <w:pStyle w:val="BodyText"/>
      </w:pPr>
      <w:r>
        <w:t xml:space="preserve">A number of important initiatives were undertaken during the year. One of those was </w:t>
      </w:r>
    </w:p>
    <w:p w14:paraId="28B80E25" w14:textId="77777777" w:rsidR="00A74E51" w:rsidRDefault="00A74E51" w:rsidP="001E0823">
      <w:pPr>
        <w:pStyle w:val="BodyText"/>
      </w:pPr>
      <w:r>
        <w:t xml:space="preserve">a website project focussed on supporting people with severe and persistent mental health issues to better understand the NDIS. </w:t>
      </w:r>
    </w:p>
    <w:p w14:paraId="77FC5211" w14:textId="0B35CD73" w:rsidR="00A74E51" w:rsidRDefault="00A74E51" w:rsidP="001E0823">
      <w:pPr>
        <w:pStyle w:val="BodyText"/>
      </w:pPr>
      <w:r>
        <w:t>The website project, ‘Reimagine: Mental Health, My Recovery and the NDIS’ showcases the comprehensive community support for people with severe and persistent mental illness.</w:t>
      </w:r>
    </w:p>
    <w:p w14:paraId="25E55688" w14:textId="77777777" w:rsidR="00A74E51" w:rsidRDefault="00A74E51" w:rsidP="001E0823">
      <w:pPr>
        <w:pStyle w:val="BodyText"/>
      </w:pPr>
      <w:r>
        <w:t>This project, undertaken with the Mental Health Coordinating Council, provides information relating to psychosocial disability, mainstream and community mental health services and the NDIS in a single online environment.</w:t>
      </w:r>
    </w:p>
    <w:p w14:paraId="1B99AFB0" w14:textId="2A1758AB" w:rsidR="00A74E51" w:rsidRDefault="00A74E51" w:rsidP="001E0823">
      <w:pPr>
        <w:pStyle w:val="BodyText"/>
      </w:pPr>
      <w:r>
        <w:t>The free website was launched on 30 June 2017 under the theme of “Reimagine what life could be”.</w:t>
      </w:r>
    </w:p>
    <w:p w14:paraId="71F5BDCA" w14:textId="77777777" w:rsidR="00A74E51" w:rsidRDefault="00A74E51" w:rsidP="001E0823">
      <w:pPr>
        <w:pStyle w:val="BodyText"/>
      </w:pPr>
      <w:r>
        <w:t>The website encourages visitors to conceptualise the unprecedented opportunity the Scheme presents in enabling secure, ongoing, recovery-oriented community support for people with severe and persistent mental illness.</w:t>
      </w:r>
    </w:p>
    <w:p w14:paraId="7B7ED9D4" w14:textId="77777777" w:rsidR="00A74E51" w:rsidRDefault="00A74E51" w:rsidP="001E0823">
      <w:pPr>
        <w:pStyle w:val="BodyText"/>
      </w:pPr>
      <w:r>
        <w:t>Specifically, the Reimagine website outlines the steps and processes required to apply for NDIS funding and explains the language of the Scheme including psychosocial disability.</w:t>
      </w:r>
    </w:p>
    <w:p w14:paraId="4C778623" w14:textId="77777777" w:rsidR="00A74E51" w:rsidRDefault="00A74E51" w:rsidP="001E0823">
      <w:pPr>
        <w:pStyle w:val="BodyText"/>
      </w:pPr>
      <w:r>
        <w:t>It helps a person prepare for access through interactive activities and assists in identifying goals and aspirations to support the planning process.</w:t>
      </w:r>
    </w:p>
    <w:p w14:paraId="2061CAC1" w14:textId="77777777" w:rsidR="00A74E51" w:rsidRDefault="00A74E51" w:rsidP="001E0823">
      <w:pPr>
        <w:pStyle w:val="BodyText"/>
      </w:pPr>
      <w:r>
        <w:t>It also offers valuable hints and tips from people who have been through these same processes.</w:t>
      </w:r>
    </w:p>
    <w:p w14:paraId="22301B79" w14:textId="62AC0004" w:rsidR="00A74E51" w:rsidRDefault="00A74E51" w:rsidP="001E0823">
      <w:pPr>
        <w:pStyle w:val="BodyText"/>
      </w:pPr>
      <w:r>
        <w:t>Work is currently underway to engage with participants, providers and the mental health sector to improve the experience for participants with psychosocial disability, as part of the Participant and Provider Pathway Review detailed on page 45. This work will ensure that the pathway is designed to better support people with more complex needs.</w:t>
      </w:r>
    </w:p>
    <w:p w14:paraId="057C2325" w14:textId="77777777" w:rsidR="00A74E51" w:rsidRDefault="00A74E51" w:rsidP="001E0823">
      <w:pPr>
        <w:pStyle w:val="BodyText"/>
      </w:pPr>
    </w:p>
    <w:p w14:paraId="1232161A" w14:textId="6ECF809A" w:rsidR="00A74E51" w:rsidRDefault="00A74E51" w:rsidP="001E0823">
      <w:pPr>
        <w:pStyle w:val="CaseStudyTitle"/>
      </w:pPr>
      <w:r>
        <w:t xml:space="preserve">CASE STUDY: </w:t>
      </w:r>
    </w:p>
    <w:p w14:paraId="1D3A9878" w14:textId="77777777" w:rsidR="00A74E51" w:rsidRDefault="00A74E51" w:rsidP="001E0823">
      <w:pPr>
        <w:pStyle w:val="Heading3"/>
      </w:pPr>
      <w:r>
        <w:t>Stewart</w:t>
      </w:r>
    </w:p>
    <w:p w14:paraId="30C5419A" w14:textId="298581CB" w:rsidR="00A74E51" w:rsidRDefault="00A74E51" w:rsidP="001E0823">
      <w:pPr>
        <w:pStyle w:val="Intro"/>
      </w:pPr>
      <w:r>
        <w:t>Having been diagnosed with bipolar disorder in 2003, Stewart spent a year in hospital, including six months in a psychiatric ward.</w:t>
      </w:r>
    </w:p>
    <w:p w14:paraId="1A7282C5" w14:textId="77777777" w:rsidR="00A74E51" w:rsidRDefault="00A74E51" w:rsidP="001E0823">
      <w:pPr>
        <w:pStyle w:val="BodyText"/>
      </w:pPr>
      <w:r>
        <w:t>With the support of the NDIS and Mental Illness Fellowship of Western Australia, Stewart has been able to move out of a psychiatric hostel and into a privately-rented home with fellow NDIS participant Marlene, where they enjoy a simple life. They are saving for a holiday and Stewart is looking forward to adding more plants to the garden – he’s enjoyed gardening since he was a kid and it helps calm him.</w:t>
      </w:r>
    </w:p>
    <w:p w14:paraId="195CE273" w14:textId="77777777" w:rsidR="00A74E51" w:rsidRDefault="00A74E51" w:rsidP="001E0823">
      <w:pPr>
        <w:pStyle w:val="BodyText"/>
      </w:pPr>
      <w:r>
        <w:t>He knows managing his illness will be lifelong.</w:t>
      </w:r>
    </w:p>
    <w:p w14:paraId="360F8088" w14:textId="1B6825BA" w:rsidR="00A74E51" w:rsidRDefault="00A74E51" w:rsidP="001E0823">
      <w:pPr>
        <w:pStyle w:val="BodyText"/>
      </w:pPr>
      <w:r>
        <w:t xml:space="preserve">“It will be a work in progress until I die,” Stewart said. “You ask me about goals? Not very many. </w:t>
      </w:r>
    </w:p>
    <w:p w14:paraId="0BC2A765" w14:textId="77777777" w:rsidR="00A74E51" w:rsidRDefault="00A74E51" w:rsidP="001E0823">
      <w:pPr>
        <w:pStyle w:val="BodyText"/>
      </w:pPr>
      <w:r>
        <w:lastRenderedPageBreak/>
        <w:t>As long as Marlene stays with me and we share this house, that’s all the goals I need.”</w:t>
      </w:r>
    </w:p>
    <w:p w14:paraId="5CB1722F" w14:textId="135CB3FC" w:rsidR="00A74E51" w:rsidRDefault="00A74E51" w:rsidP="001E0823">
      <w:pPr>
        <w:pStyle w:val="BodyText"/>
      </w:pPr>
      <w:r>
        <w:t>Despite this, the Agency equally recognises that much more needs to be done to deliver a quality experience for participants with psychosocial disabilities. This will be a key priority in the coming year.</w:t>
      </w:r>
    </w:p>
    <w:p w14:paraId="667192A0" w14:textId="77777777" w:rsidR="00A74E51" w:rsidRDefault="00A74E51" w:rsidP="001E0823">
      <w:r>
        <w:br w:type="page"/>
      </w:r>
    </w:p>
    <w:p w14:paraId="1CA4A0D4" w14:textId="77777777" w:rsidR="000D27AA" w:rsidRDefault="000D27AA" w:rsidP="001E0823">
      <w:pPr>
        <w:pStyle w:val="Heading3"/>
      </w:pPr>
      <w:r>
        <w:lastRenderedPageBreak/>
        <w:t>1.5 Creating pathways to employment for young adults</w:t>
      </w:r>
    </w:p>
    <w:p w14:paraId="43BDE4B3" w14:textId="72BA9E7C" w:rsidR="000D27AA" w:rsidRDefault="000D27AA" w:rsidP="001E0823">
      <w:pPr>
        <w:pStyle w:val="Intro"/>
      </w:pPr>
      <w:r>
        <w:t xml:space="preserve">Improving the economic outcomes of NDIS participants is an important part of the NDIA’s purpose. </w:t>
      </w:r>
    </w:p>
    <w:p w14:paraId="66FB9146" w14:textId="77777777" w:rsidR="000D27AA" w:rsidRDefault="000D27AA" w:rsidP="001E0823">
      <w:pPr>
        <w:pStyle w:val="BodyText"/>
      </w:pPr>
      <w:r>
        <w:t xml:space="preserve">For high school students with a disability, finding and keeping a job continues to be a major focus of supports under the Scheme. </w:t>
      </w:r>
    </w:p>
    <w:p w14:paraId="4706CC58" w14:textId="0F4E34C7" w:rsidR="000D27AA" w:rsidRDefault="000D27AA" w:rsidP="001E0823">
      <w:pPr>
        <w:pStyle w:val="BodyText"/>
      </w:pPr>
      <w:r>
        <w:t>To support their transition into employment once they have completed studies, the Agency has released a number of new supports under the School Leaver Employment Supports (SLES) initiative.</w:t>
      </w:r>
      <w:r>
        <w:cr/>
        <w:t>SLES offers participants individualised support for up to two years after finishing Year 12 to help them prepare for work and plan their pathway to employment.</w:t>
      </w:r>
    </w:p>
    <w:p w14:paraId="6ADA13BF" w14:textId="77777777" w:rsidR="000D27AA" w:rsidRDefault="000D27AA" w:rsidP="001E0823">
      <w:pPr>
        <w:pStyle w:val="BodyText"/>
      </w:pPr>
      <w:r>
        <w:t>Following successful trials in the ACT and Tasmania in 2015, the initiative is being progressively introduced in other states and territories in line with the approved NDIS phasing arrangements.</w:t>
      </w:r>
    </w:p>
    <w:p w14:paraId="1CC20FA6" w14:textId="583C242F" w:rsidR="000D27AA" w:rsidRDefault="000D27AA" w:rsidP="001E0823">
      <w:pPr>
        <w:pStyle w:val="BodyText"/>
      </w:pPr>
      <w:r>
        <w:t>Between July 2016 and June 2017, SLES became available to Year 12 school leavers in Victoria, NSW and South Australia. Queensland and the Northern Territory will begin their transition in 2018.</w:t>
      </w:r>
    </w:p>
    <w:p w14:paraId="5BDF1FA8" w14:textId="77777777" w:rsidR="000D27AA" w:rsidRDefault="000D27AA" w:rsidP="001E0823">
      <w:pPr>
        <w:pStyle w:val="BodyText"/>
      </w:pPr>
      <w:r>
        <w:t>More than 930 participants have school-leaver supports included in their plan. This number is expected to expand to more than 2,400 participants each year Australia-wide by 2019.</w:t>
      </w:r>
    </w:p>
    <w:p w14:paraId="19CE4D65" w14:textId="77777777" w:rsidR="000D27AA" w:rsidRDefault="000D27AA" w:rsidP="001E0823">
      <w:pPr>
        <w:pStyle w:val="BodyText"/>
      </w:pPr>
      <w:r>
        <w:t>Regional employment champions play an important role in building and developing the understanding of employment outcomes for students transitioning to employment. A one-day training and development workshop was held in April 2017 to help build regional capacity.</w:t>
      </w:r>
    </w:p>
    <w:p w14:paraId="472DC170" w14:textId="77777777" w:rsidR="003D253F" w:rsidRDefault="003D253F" w:rsidP="001E0823">
      <w:pPr>
        <w:pStyle w:val="BodyText"/>
      </w:pPr>
    </w:p>
    <w:p w14:paraId="25848CBA" w14:textId="77777777" w:rsidR="003D253F" w:rsidRDefault="003D253F" w:rsidP="001E0823">
      <w:pPr>
        <w:pStyle w:val="Quote"/>
      </w:pPr>
      <w:r>
        <w:t xml:space="preserve">“When I get my pay cheque, I feel good, happy and excited. Just buy new clothes, buy a car and eventually, buy a house.” </w:t>
      </w:r>
    </w:p>
    <w:p w14:paraId="384A3EEC" w14:textId="27E4951E" w:rsidR="00F315C7" w:rsidRDefault="003D253F" w:rsidP="001E0823">
      <w:pPr>
        <w:pStyle w:val="BodyText"/>
      </w:pPr>
      <w:r>
        <w:t>– Tasmanian NDIS participant, Kaitlyn Wilson. Kaitlyn was placed in employment through the SLES.</w:t>
      </w:r>
    </w:p>
    <w:p w14:paraId="07396AAF" w14:textId="77777777" w:rsidR="00F315C7" w:rsidRDefault="00F315C7" w:rsidP="001E0823">
      <w:r>
        <w:br w:type="page"/>
      </w:r>
    </w:p>
    <w:p w14:paraId="09E857E1" w14:textId="77777777" w:rsidR="00D45CD8" w:rsidRDefault="00D45CD8" w:rsidP="001E0823">
      <w:pPr>
        <w:pStyle w:val="Heading3"/>
      </w:pPr>
      <w:r>
        <w:lastRenderedPageBreak/>
        <w:t>1.6 Supporting meaningful outcomes for diverse communities</w:t>
      </w:r>
    </w:p>
    <w:p w14:paraId="5661F16B" w14:textId="1A6F3BA4" w:rsidR="00D45CD8" w:rsidRDefault="00D45CD8" w:rsidP="001E0823">
      <w:pPr>
        <w:pStyle w:val="Intro"/>
      </w:pPr>
      <w:r>
        <w:t>Throughout 2016-17 the Agency has progressively worked to ensure the Scheme is accessible and supports better outcomes for people with a diverse range of abilities and from a spectrum of population groups.</w:t>
      </w:r>
    </w:p>
    <w:p w14:paraId="06777DCD" w14:textId="77777777" w:rsidR="00D45CD8" w:rsidRDefault="00D45CD8" w:rsidP="001E0823">
      <w:pPr>
        <w:pStyle w:val="BodyText"/>
      </w:pPr>
      <w:r>
        <w:t xml:space="preserve">Where a person lives, their culture and ethnicity, their relationships and the interplay of other social and health issues can impact their access to the NDIS. </w:t>
      </w:r>
    </w:p>
    <w:p w14:paraId="3121D27A" w14:textId="77777777" w:rsidR="00D45CD8" w:rsidRDefault="00D45CD8" w:rsidP="001E0823">
      <w:pPr>
        <w:pStyle w:val="BodyText"/>
      </w:pPr>
      <w:r>
        <w:t xml:space="preserve">In March 2017 the Hon Jane Prentice MP, Assistant Minister for Social Services and Disability Services, released the NDIA’s </w:t>
      </w:r>
      <w:r w:rsidRPr="00D45CD8">
        <w:rPr>
          <w:rStyle w:val="BodyTextItalic"/>
        </w:rPr>
        <w:t>Rural and Remote Strategy and Aboriginal and Torres Strait Islander Engagement Strategy.</w:t>
      </w:r>
    </w:p>
    <w:p w14:paraId="79946437" w14:textId="77777777" w:rsidR="00D45CD8" w:rsidRDefault="00D45CD8" w:rsidP="001E0823">
      <w:pPr>
        <w:pStyle w:val="BodyText"/>
      </w:pPr>
      <w:r>
        <w:t>Throughout 2016 and 2017 the Agency has further progressed the development of specific strategies for other population groups with disability including:</w:t>
      </w:r>
    </w:p>
    <w:p w14:paraId="4CD58046" w14:textId="77777777" w:rsidR="00D45CD8" w:rsidRDefault="00D45CD8" w:rsidP="001E0823">
      <w:pPr>
        <w:pStyle w:val="ListBullet"/>
      </w:pPr>
      <w:r>
        <w:t>culturally and linguistically diverse (CALD) populations;</w:t>
      </w:r>
    </w:p>
    <w:p w14:paraId="35A6E5A8" w14:textId="77777777" w:rsidR="00D45CD8" w:rsidRDefault="00D45CD8" w:rsidP="001E0823">
      <w:pPr>
        <w:pStyle w:val="ListBullet"/>
      </w:pPr>
      <w:r>
        <w:t>the lesbian, gay, bisexual, transgender, intersex, queer, asexual (LGBTIQA+) community; and</w:t>
      </w:r>
    </w:p>
    <w:p w14:paraId="5EC52AE8" w14:textId="77777777" w:rsidR="00D45CD8" w:rsidRDefault="00D45CD8" w:rsidP="001E0823">
      <w:pPr>
        <w:pStyle w:val="ListBullet"/>
      </w:pPr>
      <w:r>
        <w:t>people who are ‘hard to reach’ due to their social, health and welfare circumstances.</w:t>
      </w:r>
    </w:p>
    <w:p w14:paraId="4D0BEE0E" w14:textId="77777777" w:rsidR="00D45CD8" w:rsidRDefault="00D45CD8" w:rsidP="001E0823">
      <w:pPr>
        <w:pStyle w:val="BodyText"/>
      </w:pPr>
      <w:r>
        <w:t>The CALD and LGBTIQA+ Strategies are due to be released during 2017-18. In March 2017, the NDIA partnered with People with Disability Australia to participate in the 2017 Sydney Mardi Gras parade. Read more on page 97.</w:t>
      </w:r>
    </w:p>
    <w:p w14:paraId="3805708D" w14:textId="77777777" w:rsidR="00D45CD8" w:rsidRDefault="00D45CD8" w:rsidP="001E0823">
      <w:pPr>
        <w:pStyle w:val="BodyText"/>
      </w:pPr>
    </w:p>
    <w:p w14:paraId="0276F012" w14:textId="0BBFF458" w:rsidR="001B05B1" w:rsidRDefault="00D45CD8" w:rsidP="001E0823">
      <w:pPr>
        <w:pStyle w:val="Quote"/>
      </w:pPr>
      <w:r>
        <w:t>Average Aboriginal and Torres Strait Islander employment with NDIA Partners in the Community as at 30 June 2017 was 5.8 per cent.</w:t>
      </w:r>
      <w:r>
        <w:rPr>
          <w:rStyle w:val="FootnoteReference"/>
        </w:rPr>
        <w:footnoteReference w:id="12"/>
      </w:r>
    </w:p>
    <w:p w14:paraId="5E0D7D8D" w14:textId="77777777" w:rsidR="001B05B1" w:rsidRDefault="001B05B1" w:rsidP="001E0823">
      <w:pPr>
        <w:rPr>
          <w:color w:val="6B2976" w:themeColor="background2"/>
          <w:sz w:val="22"/>
        </w:rPr>
      </w:pPr>
      <w:r>
        <w:br w:type="page"/>
      </w:r>
    </w:p>
    <w:p w14:paraId="1FD98B85" w14:textId="77777777" w:rsidR="00AD3EA2" w:rsidRDefault="00AD3EA2" w:rsidP="001E0823">
      <w:pPr>
        <w:pStyle w:val="Heading3"/>
      </w:pPr>
      <w:r>
        <w:lastRenderedPageBreak/>
        <w:t xml:space="preserve">1.7 Supporting a more inclusive Australia through ILC </w:t>
      </w:r>
    </w:p>
    <w:p w14:paraId="27795380" w14:textId="77CA2CED" w:rsidR="00AD3EA2" w:rsidRDefault="00AD3EA2" w:rsidP="001E0823">
      <w:pPr>
        <w:pStyle w:val="Intro"/>
      </w:pPr>
      <w:r>
        <w:t>There are 4.3 million people with disability in Australia and 460,000 are expected to become participants in the Scheme. Information, Linkages and Capacity Building (ILC) activities seek to build the capacity of mainstream services and raise awareness about the need to make communities more accessible and inclusive for all people with disability.</w:t>
      </w:r>
    </w:p>
    <w:p w14:paraId="74850EE4" w14:textId="77777777" w:rsidR="00AD3EA2" w:rsidRDefault="00AD3EA2" w:rsidP="001E0823">
      <w:pPr>
        <w:pStyle w:val="BodyText"/>
      </w:pPr>
      <w:r>
        <w:t>During 2016–17, the Agency took a major step towards improving community inclusion for people with disability when the first ILC Grants were awarded. ILC signifies the broader impact of the Scheme beyond funding for individuals.</w:t>
      </w:r>
    </w:p>
    <w:p w14:paraId="2F994647" w14:textId="77777777" w:rsidR="00AD3EA2" w:rsidRDefault="00AD3EA2" w:rsidP="001E0823">
      <w:pPr>
        <w:pStyle w:val="BodyText"/>
      </w:pPr>
      <w:r>
        <w:t>In 2017, the Agency awarded:</w:t>
      </w:r>
    </w:p>
    <w:p w14:paraId="5941BBC8" w14:textId="77777777" w:rsidR="00AD3EA2" w:rsidRDefault="00AD3EA2" w:rsidP="001E0823">
      <w:pPr>
        <w:pStyle w:val="ListBullet"/>
      </w:pPr>
      <w:r>
        <w:t>nearly $14 million to support 39 ILC National Readiness activities across Australia; and</w:t>
      </w:r>
    </w:p>
    <w:p w14:paraId="54C22D8C" w14:textId="49CDC517" w:rsidR="00AD3EA2" w:rsidRDefault="00AD3EA2" w:rsidP="001E0823">
      <w:pPr>
        <w:pStyle w:val="ListBullet"/>
      </w:pPr>
      <w:r>
        <w:t>nearly $3 million to support 22 ILC activities in the ACT through the Jurisdictional Based Grant rounds.</w:t>
      </w:r>
    </w:p>
    <w:p w14:paraId="145944E4" w14:textId="77777777" w:rsidR="00AD3EA2" w:rsidRDefault="00AD3EA2" w:rsidP="001E0823">
      <w:pPr>
        <w:pStyle w:val="BodyText"/>
      </w:pPr>
      <w:r>
        <w:t>Key achievements include developing the foundations of ILC through:</w:t>
      </w:r>
    </w:p>
    <w:p w14:paraId="16988181" w14:textId="77777777" w:rsidR="00AD3EA2" w:rsidRDefault="00AD3EA2" w:rsidP="001E0823">
      <w:pPr>
        <w:pStyle w:val="ListBullet"/>
      </w:pPr>
      <w:r>
        <w:t>the ILC Commissioning Framework (released November 2016);</w:t>
      </w:r>
    </w:p>
    <w:p w14:paraId="39B54C9B" w14:textId="77777777" w:rsidR="00AD3EA2" w:rsidRDefault="00AD3EA2" w:rsidP="001E0823">
      <w:pPr>
        <w:pStyle w:val="ListBullet"/>
      </w:pPr>
      <w:r>
        <w:t>the release of the ILC Toolkit to help organisations prepare for the introduction of ILC;</w:t>
      </w:r>
    </w:p>
    <w:p w14:paraId="3758FD06" w14:textId="77777777" w:rsidR="00E867D6" w:rsidRDefault="00AD3EA2" w:rsidP="001E0823">
      <w:pPr>
        <w:pStyle w:val="ListBullet"/>
      </w:pPr>
      <w:r>
        <w:t>delivering t</w:t>
      </w:r>
      <w:r w:rsidR="00E867D6">
        <w:t>he first ever ILC Grant rounds;</w:t>
      </w:r>
    </w:p>
    <w:p w14:paraId="403EA03D" w14:textId="77777777" w:rsidR="00E867D6" w:rsidRDefault="00E867D6" w:rsidP="001E0823">
      <w:pPr>
        <w:pStyle w:val="ListBullet2"/>
      </w:pPr>
      <w:r>
        <w:t>ILC National Readiness Grants;</w:t>
      </w:r>
    </w:p>
    <w:p w14:paraId="4B9C1072" w14:textId="77777777" w:rsidR="00E867D6" w:rsidRDefault="00AD3EA2" w:rsidP="001E0823">
      <w:pPr>
        <w:pStyle w:val="ListBullet2"/>
      </w:pPr>
      <w:r>
        <w:t>ILC Jurisdictional Based Grants for the ACT, the first jurisdiction to c</w:t>
      </w:r>
      <w:r w:rsidR="00E867D6">
        <w:t>ommence full ILC commissioning;</w:t>
      </w:r>
    </w:p>
    <w:p w14:paraId="2E599AAD" w14:textId="77777777" w:rsidR="00E867D6" w:rsidRDefault="00AD3EA2" w:rsidP="001E0823">
      <w:pPr>
        <w:pStyle w:val="ListBullet"/>
      </w:pPr>
      <w:r>
        <w:t>the formal agreement of all relevant state and territo</w:t>
      </w:r>
      <w:r w:rsidR="00E867D6">
        <w:t>ry ILC Transitional Plans; and</w:t>
      </w:r>
    </w:p>
    <w:p w14:paraId="08062C3C" w14:textId="3E8F9A0B" w:rsidR="00AD3EA2" w:rsidRDefault="00AD3EA2" w:rsidP="001E0823">
      <w:pPr>
        <w:pStyle w:val="ListBullet"/>
      </w:pPr>
      <w:r>
        <w:t xml:space="preserve">work with Partners in the Community </w:t>
      </w:r>
    </w:p>
    <w:p w14:paraId="2A618488" w14:textId="0B69341C" w:rsidR="00AD3EA2" w:rsidRDefault="00AD3EA2" w:rsidP="001E0823">
      <w:pPr>
        <w:pStyle w:val="BodyText"/>
      </w:pPr>
      <w:r>
        <w:t>(Local Area Coordination) to implement the ILC component of their role.</w:t>
      </w:r>
      <w:r>
        <w:cr/>
        <w:t>The ILC Toolkit was developed to help organisations increase their understanding of ILC, to improve their grant management skills and to improve their understanding of, and skills in, measuring outcomes for people with disability.</w:t>
      </w:r>
    </w:p>
    <w:p w14:paraId="7A261BE9" w14:textId="77777777" w:rsidR="00AD3EA2" w:rsidRDefault="00AD3EA2" w:rsidP="001E0823">
      <w:pPr>
        <w:pStyle w:val="BodyText"/>
      </w:pPr>
      <w:r>
        <w:t>Successful projects include an inclusion support program to promote participation of children with disabilities in existing local playgroups, a project to foster more inclusive beaches with surf lifesaving clubs around Australia and the ‘Aboriginal Aunts and Uncles’ mentoring program for young Aboriginal people with disability.</w:t>
      </w:r>
    </w:p>
    <w:p w14:paraId="77DA4618" w14:textId="2309B6ED" w:rsidR="00A74E51" w:rsidRDefault="00AD3EA2" w:rsidP="001E0823">
      <w:pPr>
        <w:pStyle w:val="BodyText"/>
      </w:pPr>
      <w:r>
        <w:t>Throughout 2017-18 the NDIA will continue to increase its work to support the broader disability sector through ILC Grants in a way that is consistent with the NDIS approach.</w:t>
      </w:r>
    </w:p>
    <w:p w14:paraId="026621D8" w14:textId="77777777" w:rsidR="000C10B4" w:rsidRDefault="000C10B4" w:rsidP="001E0823">
      <w:pPr>
        <w:pStyle w:val="BodyText"/>
      </w:pPr>
    </w:p>
    <w:p w14:paraId="6FC5C106" w14:textId="77777777" w:rsidR="000C10B4" w:rsidRDefault="000C10B4" w:rsidP="001E0823">
      <w:r>
        <w:br w:type="page"/>
      </w:r>
    </w:p>
    <w:p w14:paraId="4AE71227" w14:textId="3BF467A1" w:rsidR="000C10B4" w:rsidRDefault="000C10B4" w:rsidP="001E0823">
      <w:pPr>
        <w:pStyle w:val="CaseStudyTitle"/>
      </w:pPr>
      <w:r>
        <w:lastRenderedPageBreak/>
        <w:t>CASE STUDY:</w:t>
      </w:r>
    </w:p>
    <w:p w14:paraId="1DB02F1F" w14:textId="77777777" w:rsidR="000C10B4" w:rsidRDefault="000C10B4" w:rsidP="001E0823">
      <w:pPr>
        <w:pStyle w:val="Heading3"/>
      </w:pPr>
      <w:r>
        <w:t>AllPlay Dance</w:t>
      </w:r>
    </w:p>
    <w:p w14:paraId="0B0C80A5" w14:textId="77777777" w:rsidR="000C10B4" w:rsidRDefault="000C10B4" w:rsidP="001E0823">
      <w:pPr>
        <w:pStyle w:val="BodyText"/>
      </w:pPr>
      <w:r>
        <w:t>AllPlay Dance, a new initiative to give children with disability a chance to express themselves through dance, was awarded $627,000 under the NDIS ILC National Readiness Grants program.</w:t>
      </w:r>
    </w:p>
    <w:p w14:paraId="79AFFF3F" w14:textId="77777777" w:rsidR="000C10B4" w:rsidRDefault="000C10B4" w:rsidP="001E0823">
      <w:pPr>
        <w:pStyle w:val="BodyText"/>
      </w:pPr>
      <w:r>
        <w:t>The Hon Jane Prentice MP, Assistant Minister for Social Services and Disability Services, said the Deakin University-led program gives people with disabilities, particularly children, a chance to access mainstream dance programs and build skills and self-esteem.</w:t>
      </w:r>
    </w:p>
    <w:p w14:paraId="6FE014C3" w14:textId="77777777" w:rsidR="000C10B4" w:rsidRDefault="000C10B4" w:rsidP="001E0823">
      <w:pPr>
        <w:pStyle w:val="BodyText"/>
      </w:pPr>
      <w:r>
        <w:t>“All children love to dance and AllPlay Dance breaks down barriers to enable people with disabilities to have fun and connect to their community,” Assistant Minister Prentice said.</w:t>
      </w:r>
    </w:p>
    <w:p w14:paraId="028966DE" w14:textId="77777777" w:rsidR="000C10B4" w:rsidRDefault="000C10B4" w:rsidP="001E0823">
      <w:pPr>
        <w:pStyle w:val="BodyText"/>
      </w:pPr>
      <w:r>
        <w:t>The inspiration behind AllPlay Dance was Melbourne mother Tabitha, who struggled to find a dance school for her 10-year-old daughter Bianca who has Mowat-Wilson syndrome, a rare genetic disorder.</w:t>
      </w:r>
    </w:p>
    <w:p w14:paraId="55E649BF" w14:textId="2A385478" w:rsidR="000C10B4" w:rsidRDefault="000C10B4" w:rsidP="001E0823">
      <w:pPr>
        <w:pStyle w:val="BodyText"/>
      </w:pPr>
      <w:r>
        <w:t>Tabitha said it was only through sheer perseverance that she found a dance school that would take Bianca on an ‘even ground’.</w:t>
      </w:r>
    </w:p>
    <w:p w14:paraId="7EA809C3" w14:textId="77777777" w:rsidR="000C10B4" w:rsidRDefault="000C10B4" w:rsidP="001E0823">
      <w:pPr>
        <w:pStyle w:val="BodyText"/>
      </w:pPr>
      <w:r>
        <w:t>“With assistance from the NDIS, Bianca now attends dance class once a week and is absolutely thriving – it’s the highlight of her week,” Tabitha said.</w:t>
      </w:r>
    </w:p>
    <w:p w14:paraId="0F8B74D4" w14:textId="77777777" w:rsidR="000C10B4" w:rsidRDefault="000C10B4" w:rsidP="001E0823">
      <w:pPr>
        <w:pStyle w:val="BodyText"/>
      </w:pPr>
      <w:r>
        <w:t>Professor Jane den Hollander, Deakin University Vice-Chancellor, welcomed the Federal Government’s support and said the ILC program was a perfect fit for AllPlay.</w:t>
      </w:r>
    </w:p>
    <w:p w14:paraId="232D1A09" w14:textId="3A645CE7" w:rsidR="00753810" w:rsidRDefault="000C10B4" w:rsidP="001E0823">
      <w:pPr>
        <w:pStyle w:val="BodyText"/>
      </w:pPr>
      <w:r>
        <w:t>“AllPlay Dance will mean more children with a disability can join routine activities in their communities, while Deakin researchers can gather evidence to show why participation is important for all children, regardless of ability.”</w:t>
      </w:r>
    </w:p>
    <w:p w14:paraId="374CE6FB" w14:textId="77777777" w:rsidR="00753810" w:rsidRDefault="00753810" w:rsidP="001E0823">
      <w:r>
        <w:br w:type="page"/>
      </w:r>
    </w:p>
    <w:p w14:paraId="4CDC4C35" w14:textId="2A41F35A" w:rsidR="000C10B4" w:rsidRDefault="00753810" w:rsidP="001E0823">
      <w:pPr>
        <w:pStyle w:val="Heading2"/>
      </w:pPr>
      <w:bookmarkStart w:id="34" w:name="_Toc496611877"/>
      <w:r w:rsidRPr="00753810">
        <w:lastRenderedPageBreak/>
        <w:t>Chapter 2</w:t>
      </w:r>
      <w:bookmarkEnd w:id="34"/>
    </w:p>
    <w:p w14:paraId="4CAEEF48" w14:textId="45F35B6C" w:rsidR="00753810" w:rsidRDefault="00753810" w:rsidP="001E0823">
      <w:pPr>
        <w:pStyle w:val="Heading3"/>
      </w:pPr>
      <w:r>
        <w:t>Supporting a growing market with innovative supports</w:t>
      </w:r>
    </w:p>
    <w:p w14:paraId="6E1E74BF" w14:textId="77777777" w:rsidR="00753810" w:rsidRDefault="00753810" w:rsidP="001E0823">
      <w:pPr>
        <w:pStyle w:val="Intro"/>
      </w:pPr>
      <w:r>
        <w:t>The delivery of the NDIS relies on there being a market of adequate size, quality and innovation to ensure participants can readily access the support they need and exercise choice and control.</w:t>
      </w:r>
    </w:p>
    <w:p w14:paraId="209AD55F" w14:textId="240714C7" w:rsidR="00753810" w:rsidRDefault="00753810" w:rsidP="001E0823">
      <w:pPr>
        <w:pStyle w:val="BodyText"/>
      </w:pPr>
      <w:r>
        <w:t xml:space="preserve">The NDIA will work to support a range of stakeholders such as participants, providers, the Department of Social Services (DSS), and states and territories to ensure that the market is of sufficient scale at a national and local level for participants to utilise their plans and achieve their goals. </w:t>
      </w:r>
    </w:p>
    <w:p w14:paraId="6EF8607F" w14:textId="77777777" w:rsidR="00753810" w:rsidRDefault="00753810" w:rsidP="001E0823">
      <w:pPr>
        <w:pStyle w:val="BodyText"/>
      </w:pPr>
      <w:r>
        <w:t>This Chapter describes key activities undertaken by the Agency in 2016-17 to support the growing disability market through:</w:t>
      </w:r>
    </w:p>
    <w:p w14:paraId="499AD0D0" w14:textId="3D3F479A" w:rsidR="00753810" w:rsidRDefault="00492D12" w:rsidP="001E0823">
      <w:pPr>
        <w:pStyle w:val="BodyText"/>
      </w:pPr>
      <w:r>
        <w:t>2.1</w:t>
      </w:r>
      <w:r>
        <w:tab/>
      </w:r>
      <w:r w:rsidR="00753810">
        <w:t>improving the provider experience, including through registration;</w:t>
      </w:r>
    </w:p>
    <w:p w14:paraId="53498BF6" w14:textId="150996FA" w:rsidR="00753810" w:rsidRDefault="00492D12" w:rsidP="001E0823">
      <w:pPr>
        <w:pStyle w:val="BodyText"/>
      </w:pPr>
      <w:r>
        <w:t>2.2</w:t>
      </w:r>
      <w:r>
        <w:tab/>
      </w:r>
      <w:r w:rsidR="00753810">
        <w:t>establishing the NDIA as market steward through the Market Approach, market position statements and pricing controls; and</w:t>
      </w:r>
    </w:p>
    <w:p w14:paraId="3F217C7E" w14:textId="769F39A9" w:rsidR="00747250" w:rsidRDefault="00492D12" w:rsidP="001E0823">
      <w:pPr>
        <w:pStyle w:val="BodyText"/>
      </w:pPr>
      <w:r>
        <w:t>2.3</w:t>
      </w:r>
      <w:r>
        <w:tab/>
      </w:r>
      <w:r w:rsidR="00753810">
        <w:t>promoting innovation through housing and Assistive Technology.</w:t>
      </w:r>
    </w:p>
    <w:p w14:paraId="55740932" w14:textId="77777777" w:rsidR="00747250" w:rsidRDefault="00747250" w:rsidP="001E0823">
      <w:r>
        <w:br w:type="page"/>
      </w:r>
    </w:p>
    <w:p w14:paraId="08FE749A" w14:textId="77777777" w:rsidR="00717B1A" w:rsidRDefault="00747250" w:rsidP="001E0823">
      <w:pPr>
        <w:pStyle w:val="Heading3"/>
      </w:pPr>
      <w:r>
        <w:lastRenderedPageBreak/>
        <w:t>2.1 Im</w:t>
      </w:r>
      <w:r w:rsidR="00717B1A">
        <w:t>proving the provider experience</w:t>
      </w:r>
    </w:p>
    <w:p w14:paraId="05C01497" w14:textId="3D89661D" w:rsidR="00747250" w:rsidRDefault="00747250" w:rsidP="001E0823">
      <w:pPr>
        <w:pStyle w:val="BodyText"/>
      </w:pPr>
      <w:r>
        <w:t xml:space="preserve">To improve the provider experience, an end-to-end review of the provider pathway was undertaken between April and June 2017. This is detailed further in Chapter 1. </w:t>
      </w:r>
    </w:p>
    <w:p w14:paraId="34E28586" w14:textId="77777777" w:rsidR="00747250" w:rsidRDefault="00747250" w:rsidP="001E0823">
      <w:pPr>
        <w:pStyle w:val="BodyText"/>
      </w:pPr>
      <w:r>
        <w:t>Initial findings have identified a range of ideas that will improve the quality of the provider experience, including improving communications for both existing and new providers.</w:t>
      </w:r>
    </w:p>
    <w:p w14:paraId="59CA2AFA" w14:textId="77777777" w:rsidR="00717B1A" w:rsidRDefault="00747250" w:rsidP="001E0823">
      <w:pPr>
        <w:pStyle w:val="BodyText"/>
      </w:pPr>
      <w:r>
        <w:t xml:space="preserve">To that end, a number of initiatives are already underway to review outcomes and work is progressing </w:t>
      </w:r>
      <w:r w:rsidR="00717B1A">
        <w:t>to improve the provider portal.</w:t>
      </w:r>
    </w:p>
    <w:p w14:paraId="5796160E" w14:textId="0B43AC7C" w:rsidR="00747250" w:rsidRDefault="00747250" w:rsidP="001E0823">
      <w:pPr>
        <w:pStyle w:val="Heading4"/>
      </w:pPr>
      <w:r>
        <w:t>Provider registration and payments</w:t>
      </w:r>
    </w:p>
    <w:p w14:paraId="33D8FA84" w14:textId="77777777" w:rsidR="00747250" w:rsidRDefault="00747250" w:rsidP="001E0823">
      <w:pPr>
        <w:pStyle w:val="BodyText"/>
      </w:pPr>
      <w:r>
        <w:t>The Agency has been developing and implementing business and system process improvements to enhance the provider registration experience and decrease waiting times for processing of provider registration applications.</w:t>
      </w:r>
    </w:p>
    <w:p w14:paraId="260F7538" w14:textId="77777777" w:rsidR="00747250" w:rsidRDefault="00747250" w:rsidP="001E0823">
      <w:pPr>
        <w:pStyle w:val="BodyText"/>
      </w:pPr>
      <w:r>
        <w:t>The Agency ensures providers meet the criteria prescribed by the Scheme rules including that they are accredited against, and compliant with, jurisdictional quality and safeguarding requirements.</w:t>
      </w:r>
    </w:p>
    <w:p w14:paraId="696FBFC0" w14:textId="77777777" w:rsidR="00717B1A" w:rsidRDefault="00717B1A" w:rsidP="001E0823">
      <w:pPr>
        <w:pStyle w:val="BodyText"/>
      </w:pPr>
    </w:p>
    <w:p w14:paraId="69842500" w14:textId="3289BEF6" w:rsidR="00717B1A" w:rsidRDefault="00717B1A" w:rsidP="001E0823">
      <w:pPr>
        <w:pStyle w:val="BodyText"/>
      </w:pPr>
      <w:r>
        <w:t>In 2016–17, the number of providers registered was substantially more than were registered during the three-year trial period:</w:t>
      </w:r>
    </w:p>
    <w:p w14:paraId="0D8C64B1" w14:textId="77777777" w:rsidR="00717B1A" w:rsidRDefault="00717B1A" w:rsidP="001E0823">
      <w:pPr>
        <w:pStyle w:val="ListBullet"/>
      </w:pPr>
      <w:r>
        <w:t>During the three years of trial the provider registration team approved and registered 3,519 entities to become registered providers of supports.</w:t>
      </w:r>
    </w:p>
    <w:p w14:paraId="3E3CBE61" w14:textId="5DFF9F29" w:rsidR="00717B1A" w:rsidRDefault="00717B1A" w:rsidP="001E0823">
      <w:pPr>
        <w:pStyle w:val="ListBullet"/>
      </w:pPr>
      <w:r>
        <w:t>By 30 June 2017, the number of registered providers rose to 8,698, an increase of 5,179 from 30 June 2016.</w:t>
      </w:r>
    </w:p>
    <w:p w14:paraId="6D191749" w14:textId="77777777" w:rsidR="00753810" w:rsidRDefault="00753810" w:rsidP="001E0823"/>
    <w:p w14:paraId="1A0B2322" w14:textId="77777777" w:rsidR="00717B1A" w:rsidRDefault="00717B1A" w:rsidP="001E0823">
      <w:r>
        <w:br w:type="page"/>
      </w:r>
    </w:p>
    <w:p w14:paraId="6DDCAB1F" w14:textId="1286151E" w:rsidR="00F505B9" w:rsidRDefault="00F505B9" w:rsidP="001E0823">
      <w:pPr>
        <w:pStyle w:val="CaseStudyTitle"/>
      </w:pPr>
      <w:r>
        <w:lastRenderedPageBreak/>
        <w:t>CASE STUDY:</w:t>
      </w:r>
    </w:p>
    <w:p w14:paraId="7C632523" w14:textId="77777777" w:rsidR="00F505B9" w:rsidRDefault="00717B1A" w:rsidP="001E0823">
      <w:pPr>
        <w:pStyle w:val="Heading3"/>
      </w:pPr>
      <w:r>
        <w:t>Kid Se</w:t>
      </w:r>
      <w:r w:rsidR="00F505B9">
        <w:t>nse Child Development</w:t>
      </w:r>
    </w:p>
    <w:p w14:paraId="4B26C019" w14:textId="1E1F1142" w:rsidR="00717B1A" w:rsidRPr="00F505B9" w:rsidRDefault="00717B1A" w:rsidP="001E0823">
      <w:pPr>
        <w:pStyle w:val="Intro"/>
      </w:pPr>
      <w:r w:rsidRPr="00F505B9">
        <w:t>South Australian NDIS provider Kid Sense Child Development has navigated the transition to the NDIS and is reaping the rewards of adapting to the new disability market.</w:t>
      </w:r>
    </w:p>
    <w:p w14:paraId="28A4582C" w14:textId="77777777" w:rsidR="00717B1A" w:rsidRDefault="00717B1A" w:rsidP="001E0823">
      <w:pPr>
        <w:pStyle w:val="BodyText"/>
      </w:pPr>
      <w:r>
        <w:t>The Adelaide-based organisation provides more than 28,000 appointments annually to an expanding client base, the majority of whom have an NDIS plan.</w:t>
      </w:r>
    </w:p>
    <w:p w14:paraId="62D39266" w14:textId="77777777" w:rsidR="00F505B9" w:rsidRDefault="00717B1A" w:rsidP="001E0823">
      <w:pPr>
        <w:pStyle w:val="BodyText"/>
      </w:pPr>
      <w:r>
        <w:t>Managing Director Conor McKenna said the Kid Sense workforce is expanding to meet the demand from local parents and child psychology w</w:t>
      </w:r>
      <w:r w:rsidR="00F505B9">
        <w:t>ill be added to their services.</w:t>
      </w:r>
    </w:p>
    <w:p w14:paraId="0612C465" w14:textId="77777777" w:rsidR="00F505B9" w:rsidRDefault="00717B1A" w:rsidP="001E0823">
      <w:pPr>
        <w:pStyle w:val="BodyText"/>
      </w:pPr>
      <w:r>
        <w:t xml:space="preserve">“Our team will have grown from five to 16 since the introduction of the NDIS </w:t>
      </w:r>
      <w:r w:rsidR="00F505B9">
        <w:t>in 2013,” Mr McKenna said.</w:t>
      </w:r>
    </w:p>
    <w:p w14:paraId="3738FA6D" w14:textId="5979EF32" w:rsidR="00717B1A" w:rsidRDefault="00717B1A" w:rsidP="001E0823">
      <w:pPr>
        <w:pStyle w:val="BodyText"/>
      </w:pPr>
      <w:r>
        <w:t>“Our goal is to expand our clinical and operations team to 30 members by June 2018.”</w:t>
      </w:r>
    </w:p>
    <w:p w14:paraId="3A3F8B89" w14:textId="35DA4754" w:rsidR="00717B1A" w:rsidRDefault="00717B1A" w:rsidP="001E0823">
      <w:pPr>
        <w:pStyle w:val="BodyText"/>
      </w:pPr>
      <w:r>
        <w:t>Kid Sense started in 1998 when Founder Joanna Buttfield, at the time working in the US, recognised there were treatments that weren’t offered in Australia. Almost 20 years later, Kid Sense now offers occupational and speech therapy to children with a range of disabilities and developmental challenges in their movement, play, speech, language, learning, attention and behaviour.</w:t>
      </w:r>
    </w:p>
    <w:p w14:paraId="32D8D6DE" w14:textId="77777777" w:rsidR="00717B1A" w:rsidRDefault="00717B1A" w:rsidP="001E0823">
      <w:pPr>
        <w:pStyle w:val="BodyText"/>
      </w:pPr>
      <w:r>
        <w:t xml:space="preserve">The NDIS has been a much-welcomed change for many of Ms Buttfield’s clients. </w:t>
      </w:r>
    </w:p>
    <w:p w14:paraId="43B7E328" w14:textId="77777777" w:rsidR="00717B1A" w:rsidRDefault="00717B1A" w:rsidP="001E0823">
      <w:pPr>
        <w:pStyle w:val="BodyText"/>
      </w:pPr>
      <w:r>
        <w:t xml:space="preserve">“With the NDIS, there’s now funding for kids who’ve been desperately in need of therapy and simply haven’t been able to access it before,” Ms Buttfield said. </w:t>
      </w:r>
    </w:p>
    <w:p w14:paraId="00924D94" w14:textId="77777777" w:rsidR="00717B1A" w:rsidRDefault="00717B1A" w:rsidP="001E0823">
      <w:pPr>
        <w:pStyle w:val="BodyText"/>
      </w:pPr>
      <w:r>
        <w:t>Mr McKenna said the NDIS is a “wonderful opportunity” but the transition has not been without its difficulties.</w:t>
      </w:r>
    </w:p>
    <w:p w14:paraId="07B6C44B" w14:textId="77777777" w:rsidR="00717B1A" w:rsidRDefault="00717B1A" w:rsidP="001E0823">
      <w:pPr>
        <w:pStyle w:val="BodyText"/>
      </w:pPr>
      <w:r>
        <w:t>“As with every new government initiative or funding program, there is a steep learning curve – particularly for the operational support personnel who need to administer the back-end: the signing for services, appointment scheduling, billing the Agency for services rendered and reconciliation of payments,” he said.</w:t>
      </w:r>
    </w:p>
    <w:p w14:paraId="09951418" w14:textId="77777777" w:rsidR="00717B1A" w:rsidRDefault="00717B1A" w:rsidP="001E0823">
      <w:pPr>
        <w:pStyle w:val="BodyText"/>
      </w:pPr>
      <w:r>
        <w:t>“At times, we have experienced a level of frustration with the lack of efficient provider education as well as response times from the Agency regarding clinical and operational matters.”</w:t>
      </w:r>
    </w:p>
    <w:p w14:paraId="37308717" w14:textId="77777777" w:rsidR="00717B1A" w:rsidRDefault="00717B1A" w:rsidP="001E0823">
      <w:pPr>
        <w:pStyle w:val="BodyText"/>
      </w:pPr>
      <w:r>
        <w:t>“This is, however, more than balanced by the friendly, helpful and professional staff.”</w:t>
      </w:r>
    </w:p>
    <w:p w14:paraId="5BBB5F8C" w14:textId="77777777" w:rsidR="00717B1A" w:rsidRDefault="00717B1A" w:rsidP="001E0823">
      <w:pPr>
        <w:pStyle w:val="BodyText"/>
      </w:pPr>
      <w:r>
        <w:t>Kid Sense received a Telstra Business Award in 2017. The team are optimistic about the future and while their vision is ambitious, it is one they wholeheartedly believe in.</w:t>
      </w:r>
    </w:p>
    <w:p w14:paraId="694A8973" w14:textId="6087AE1F" w:rsidR="001E0A02" w:rsidRDefault="00717B1A" w:rsidP="001E0823">
      <w:pPr>
        <w:pStyle w:val="BodyText"/>
      </w:pPr>
      <w:r>
        <w:t>The Kid Sense vision for the future is simple yet compelling: ‘Creating the most trusted brand in child development in Australia.’</w:t>
      </w:r>
    </w:p>
    <w:p w14:paraId="502FB3E7" w14:textId="77777777" w:rsidR="001E0A02" w:rsidRDefault="001E0A02" w:rsidP="001E0823">
      <w:r>
        <w:br w:type="page"/>
      </w:r>
    </w:p>
    <w:p w14:paraId="29265589" w14:textId="77777777" w:rsidR="00434B0D" w:rsidRDefault="00434B0D" w:rsidP="001E0823">
      <w:pPr>
        <w:pStyle w:val="Heading4"/>
      </w:pPr>
      <w:r>
        <w:lastRenderedPageBreak/>
        <w:t>A national commitment to NDIS Quality and Safety</w:t>
      </w:r>
    </w:p>
    <w:p w14:paraId="2CDBB4BE" w14:textId="6DEC55BA" w:rsidR="00434B0D" w:rsidRDefault="00434B0D" w:rsidP="001E0823">
      <w:pPr>
        <w:pStyle w:val="BodyText"/>
      </w:pPr>
      <w:r>
        <w:t>Nationally consistent protections for NDIS participants will be put in place under a Quality and Safeguarding Framework released in February 2017 by the Council of Australian Governments Disability Reform Council.</w:t>
      </w:r>
    </w:p>
    <w:p w14:paraId="03B1A03D" w14:textId="77777777" w:rsidR="00434B0D" w:rsidRDefault="00434B0D" w:rsidP="001E0823">
      <w:pPr>
        <w:pStyle w:val="BodyText"/>
      </w:pPr>
      <w:r>
        <w:t>The Framework is designed to ensure high-quality supports and safe environments for all NDIS participants. The new system will be nationally consistent and establishes the responsibilities of providers and their staff. Key components of the new Framework include:</w:t>
      </w:r>
    </w:p>
    <w:p w14:paraId="505CF503" w14:textId="77777777" w:rsidR="00434B0D" w:rsidRDefault="00434B0D" w:rsidP="001E0823">
      <w:pPr>
        <w:pStyle w:val="ListBullet"/>
      </w:pPr>
      <w:r>
        <w:t xml:space="preserve">worker screening and reducing restrictive practices; </w:t>
      </w:r>
    </w:p>
    <w:p w14:paraId="19305E6A" w14:textId="77777777" w:rsidR="00434B0D" w:rsidRDefault="00434B0D" w:rsidP="001E0823">
      <w:pPr>
        <w:pStyle w:val="ListBullet"/>
      </w:pPr>
      <w:r>
        <w:t>a national complaint and serious incidents system;</w:t>
      </w:r>
    </w:p>
    <w:p w14:paraId="6FA2D8AE" w14:textId="77777777" w:rsidR="00434B0D" w:rsidRDefault="00434B0D" w:rsidP="001E0823">
      <w:pPr>
        <w:pStyle w:val="ListBullet"/>
      </w:pPr>
      <w:r>
        <w:t>NDIS Code of Conduct for providers and their staff; and</w:t>
      </w:r>
    </w:p>
    <w:p w14:paraId="555F72B0" w14:textId="77777777" w:rsidR="00434B0D" w:rsidRDefault="00434B0D" w:rsidP="001E0823">
      <w:pPr>
        <w:pStyle w:val="ListBullet"/>
      </w:pPr>
      <w:r>
        <w:t>a national registrar responsible for registering providers and overseeing their compliance with registration requirements, including compliance with the National Standards for Disability Services and Mental Health Services.</w:t>
      </w:r>
    </w:p>
    <w:p w14:paraId="49BF9DEF" w14:textId="77777777" w:rsidR="00434B0D" w:rsidRDefault="00434B0D" w:rsidP="001E0823">
      <w:pPr>
        <w:pStyle w:val="BodyText"/>
      </w:pPr>
      <w:r>
        <w:t>States and territories will maintain current quality and safeguarding arrangements until the Framework is implemented in their jurisdiction.</w:t>
      </w:r>
    </w:p>
    <w:p w14:paraId="3AC427D6" w14:textId="77777777" w:rsidR="00434B0D" w:rsidRDefault="00434B0D" w:rsidP="001E0823">
      <w:pPr>
        <w:pStyle w:val="BodyText"/>
      </w:pPr>
      <w:r>
        <w:t>In May 2017, the Commonwealth Government announced the establishment of the Independent NDIS Quality and Safeguards Commission to implement the Quality and Safeguarding Framework and oversee the delivery of quality and safe services for all NDIS participants.</w:t>
      </w:r>
    </w:p>
    <w:p w14:paraId="72FFF5DA" w14:textId="0BF34C75" w:rsidR="00995387" w:rsidRDefault="00434B0D" w:rsidP="001E0823">
      <w:pPr>
        <w:pStyle w:val="BodyText"/>
      </w:pPr>
      <w:r>
        <w:t>The Commission will be established in early 2018 and is expected to commence operations in each state and territory by 1 July 2020.</w:t>
      </w:r>
    </w:p>
    <w:p w14:paraId="0FC8CE8B" w14:textId="77777777" w:rsidR="00995387" w:rsidRDefault="00995387" w:rsidP="001E0823">
      <w:r>
        <w:br w:type="page"/>
      </w:r>
    </w:p>
    <w:p w14:paraId="21731F77" w14:textId="77777777" w:rsidR="009C5749" w:rsidRDefault="009C5749" w:rsidP="001E0823">
      <w:pPr>
        <w:pStyle w:val="Heading3"/>
      </w:pPr>
      <w:r>
        <w:lastRenderedPageBreak/>
        <w:t>2.2 Establishing the NDIA as market steward</w:t>
      </w:r>
    </w:p>
    <w:p w14:paraId="26439341" w14:textId="77777777" w:rsidR="009C5749" w:rsidRDefault="009C5749" w:rsidP="001E0823">
      <w:pPr>
        <w:pStyle w:val="Heading4"/>
      </w:pPr>
      <w:r>
        <w:t>Market Approach</w:t>
      </w:r>
    </w:p>
    <w:p w14:paraId="5670F5E6" w14:textId="56E06812" w:rsidR="009C5749" w:rsidRDefault="009C5749" w:rsidP="001E0823">
      <w:pPr>
        <w:pStyle w:val="BodyText"/>
      </w:pPr>
      <w:r>
        <w:t>The NDIS Market Approach (Statement of Opportunity and Intent) was published in November 2016 to outline the role of the Agency as a market steward during transition to full Scheme.</w:t>
      </w:r>
    </w:p>
    <w:p w14:paraId="4696681F" w14:textId="77777777" w:rsidR="009C5749" w:rsidRDefault="009C5749" w:rsidP="001E0823">
      <w:pPr>
        <w:pStyle w:val="BodyText"/>
      </w:pPr>
      <w:r>
        <w:t>The Market Approach outlines how the Agency will work with industry and the wider community, as Scheme stakeholders, to support major growth in the number, range and size of disability support providers and the services they offer. The Agency recognises that for businesses of all sizes and types to confidently and sustainably grow and innovate under the Scheme, they require as much clarity as possible about market development, including what they can expect from the Agency.</w:t>
      </w:r>
    </w:p>
    <w:p w14:paraId="1ACEC378" w14:textId="7A054E28" w:rsidR="009C5749" w:rsidRDefault="009C5749" w:rsidP="001E0823">
      <w:pPr>
        <w:pStyle w:val="BodyText"/>
      </w:pPr>
      <w:r>
        <w:t>Where market problems are observed, such as participants not being able to access services to support the achievement of their goals, the NDIA will consider how to improve the situation and make the right changes. This is an important role in creating a new market (for disability supports) where participants are the customer. Many providers will need to adapt to the new environment where the customer, not the government, decides what is needed.</w:t>
      </w:r>
    </w:p>
    <w:p w14:paraId="092D9A61" w14:textId="77777777" w:rsidR="009C5749" w:rsidRDefault="009C5749" w:rsidP="001E0823">
      <w:pPr>
        <w:pStyle w:val="Heading4"/>
      </w:pPr>
      <w:r>
        <w:t>Market position statements</w:t>
      </w:r>
    </w:p>
    <w:p w14:paraId="35882F2A" w14:textId="77777777" w:rsidR="009C5749" w:rsidRDefault="009C5749" w:rsidP="001E0823">
      <w:pPr>
        <w:pStyle w:val="BodyText"/>
      </w:pPr>
      <w:r>
        <w:t>The final suite of market position statements were delivered in 2016-17; Tasmania in July 2016, the ACT in September 2016 and the Northern Territory in January 2017.</w:t>
      </w:r>
    </w:p>
    <w:p w14:paraId="44863360" w14:textId="77777777" w:rsidR="009C5749" w:rsidRDefault="009C5749" w:rsidP="001E0823">
      <w:pPr>
        <w:pStyle w:val="BodyText"/>
      </w:pPr>
      <w:r>
        <w:t>The statements help providers, as well as participants and intermediaries understand the developing local markets they operate in. This assists these three essential groups to make informed decisions now and to identify challenges and opportunities for the future.</w:t>
      </w:r>
    </w:p>
    <w:p w14:paraId="6B6DD0E6" w14:textId="77777777" w:rsidR="009C5749" w:rsidRDefault="009C5749" w:rsidP="001E0823">
      <w:pPr>
        <w:pStyle w:val="BodyText"/>
      </w:pPr>
      <w:r>
        <w:t>The market position statements provide information down to regional or local government area level and include information on the estimated demand for supports, a picture of market supply and incorporate insights from providers that operate in these local markets.</w:t>
      </w:r>
    </w:p>
    <w:p w14:paraId="68796304" w14:textId="77777777" w:rsidR="00A969BF" w:rsidRDefault="00A969BF" w:rsidP="001E0823">
      <w:pPr>
        <w:pStyle w:val="BodyText"/>
      </w:pPr>
    </w:p>
    <w:p w14:paraId="1B68E217" w14:textId="77777777" w:rsidR="00A969BF" w:rsidRDefault="00A969BF" w:rsidP="001E0823">
      <w:pPr>
        <w:pStyle w:val="Quote"/>
      </w:pPr>
      <w:r>
        <w:t xml:space="preserve">“Across Australia, new providers are emerging to fill gaps in the disability support market. While adapting to a transformation of this size can be challenging, the overwhelming majority of providers are excited about their growth prospects under the NDIS.” </w:t>
      </w:r>
    </w:p>
    <w:p w14:paraId="389449A5" w14:textId="21B644C8" w:rsidR="00A969BF" w:rsidRDefault="00A969BF" w:rsidP="001E0823">
      <w:pPr>
        <w:pStyle w:val="BodyText"/>
      </w:pPr>
      <w:r>
        <w:t>– The Hon Jane Prentice MP, Assistant Minister for Social Services and Disability Services</w:t>
      </w:r>
    </w:p>
    <w:p w14:paraId="4AB13962" w14:textId="13D8750C" w:rsidR="00A969BF" w:rsidRDefault="00A969BF" w:rsidP="001E0823">
      <w:r>
        <w:br w:type="page"/>
      </w:r>
    </w:p>
    <w:p w14:paraId="1803E2C1" w14:textId="77777777" w:rsidR="0068752C" w:rsidRDefault="0068752C" w:rsidP="001E0823">
      <w:pPr>
        <w:pStyle w:val="Heading4"/>
      </w:pPr>
      <w:r>
        <w:lastRenderedPageBreak/>
        <w:t>Pricing</w:t>
      </w:r>
    </w:p>
    <w:p w14:paraId="138BE942" w14:textId="77777777" w:rsidR="0068752C" w:rsidRDefault="00A969BF" w:rsidP="001E0823">
      <w:pPr>
        <w:pStyle w:val="Heading5"/>
      </w:pPr>
      <w:r>
        <w:t>Change</w:t>
      </w:r>
      <w:r w:rsidR="0068752C">
        <w:t>s to price controls for 2017–18</w:t>
      </w:r>
    </w:p>
    <w:p w14:paraId="30FF1D82" w14:textId="77777777" w:rsidR="0068752C" w:rsidRDefault="00A969BF" w:rsidP="001E0823">
      <w:pPr>
        <w:pStyle w:val="BodyText"/>
      </w:pPr>
      <w:r>
        <w:t>Each year pricing arrangements applicable to NDIS supports and services are reviewed by the Agency. This year’s review was focussed on personal care and co</w:t>
      </w:r>
      <w:r w:rsidR="0068752C">
        <w:t>mmunity participation supports.</w:t>
      </w:r>
    </w:p>
    <w:p w14:paraId="0BDAA496" w14:textId="77777777" w:rsidR="00AC2A34" w:rsidRDefault="00A969BF" w:rsidP="001E0823">
      <w:pPr>
        <w:pStyle w:val="BodyText"/>
      </w:pPr>
      <w:r>
        <w:t xml:space="preserve">As part of the review the Agency released a discussion paper in March 2017 and invited submissions from the public. In total, 85 respondents contributed to the review on a range of issues including the hourly rate </w:t>
      </w:r>
      <w:r w:rsidR="00AC2A34">
        <w:t>for attendant care.</w:t>
      </w:r>
    </w:p>
    <w:p w14:paraId="4958DA75" w14:textId="77777777" w:rsidR="00AC2A34" w:rsidRDefault="00A969BF" w:rsidP="001E0823">
      <w:pPr>
        <w:pStyle w:val="BodyText"/>
      </w:pPr>
      <w:r>
        <w:t>The key changes to price controls, which to</w:t>
      </w:r>
      <w:r w:rsidR="00AC2A34">
        <w:t>ok effect on 1 July 2017, were:</w:t>
      </w:r>
    </w:p>
    <w:p w14:paraId="6F30AA5C" w14:textId="77777777" w:rsidR="00AC2A34" w:rsidRDefault="00A969BF" w:rsidP="001E0823">
      <w:pPr>
        <w:pStyle w:val="ListBullet"/>
      </w:pPr>
      <w:r>
        <w:t xml:space="preserve">Changes to maximum prices </w:t>
      </w:r>
      <w:r w:rsidR="00AC2A34">
        <w:t>for NDIS supports and services:</w:t>
      </w:r>
    </w:p>
    <w:p w14:paraId="6F340519" w14:textId="77777777" w:rsidR="00AC2A34" w:rsidRDefault="00A969BF" w:rsidP="001E0823">
      <w:pPr>
        <w:pStyle w:val="ListBullet2"/>
      </w:pPr>
      <w:r>
        <w:t>daily activity and community partici</w:t>
      </w:r>
      <w:r w:rsidR="00AC2A34">
        <w:t>pation;</w:t>
      </w:r>
    </w:p>
    <w:p w14:paraId="737A5466" w14:textId="5B27BF45" w:rsidR="00A969BF" w:rsidRDefault="00A969BF" w:rsidP="001E0823">
      <w:pPr>
        <w:pStyle w:val="ListBullet2"/>
      </w:pPr>
      <w:r>
        <w:t>other supports including those related to Capacity Building; and</w:t>
      </w:r>
    </w:p>
    <w:p w14:paraId="3704C205" w14:textId="77777777" w:rsidR="00A969BF" w:rsidRDefault="00A969BF" w:rsidP="001E0823">
      <w:pPr>
        <w:pStyle w:val="ListBullet2"/>
      </w:pPr>
      <w:r>
        <w:t>capital related supports (Consumer Price Index increase only).</w:t>
      </w:r>
    </w:p>
    <w:p w14:paraId="4C94021F" w14:textId="77777777" w:rsidR="00A969BF" w:rsidRDefault="00A969BF" w:rsidP="001E0823">
      <w:pPr>
        <w:pStyle w:val="ListBullet"/>
      </w:pPr>
      <w:r>
        <w:t>Loadings for Remote and Very Remote Areas:</w:t>
      </w:r>
    </w:p>
    <w:p w14:paraId="652243F7" w14:textId="77777777" w:rsidR="00A969BF" w:rsidRDefault="00A969BF" w:rsidP="001E0823">
      <w:pPr>
        <w:pStyle w:val="ListBullet2"/>
      </w:pPr>
      <w:r>
        <w:t>2017–18 prices will be 20 per cent higher for remote areas and 25 per cent higher for very remote areas, reflecting the most up-to-date loadings from the Independent Hospital Pricing Authority.</w:t>
      </w:r>
    </w:p>
    <w:p w14:paraId="5221785A" w14:textId="77777777" w:rsidR="00AC2A34" w:rsidRDefault="00A969BF" w:rsidP="001E0823">
      <w:pPr>
        <w:pStyle w:val="ListBullet"/>
      </w:pPr>
      <w:r>
        <w:t xml:space="preserve">Therapy </w:t>
      </w:r>
      <w:r w:rsidR="00AC2A34">
        <w:t>services cancellation policies:</w:t>
      </w:r>
    </w:p>
    <w:p w14:paraId="331C16A9" w14:textId="1DCE7C88" w:rsidR="00A969BF" w:rsidRDefault="00A969BF" w:rsidP="001E0823">
      <w:pPr>
        <w:pStyle w:val="ListBullet2"/>
      </w:pPr>
      <w:r>
        <w:t>to improve consistency across support types, providers will be able to charge for up to two participant cancellations for therapeutic supports per annum.</w:t>
      </w:r>
    </w:p>
    <w:p w14:paraId="579E1F2B" w14:textId="77777777" w:rsidR="00A969BF" w:rsidRDefault="00A969BF" w:rsidP="001E0823">
      <w:pPr>
        <w:pStyle w:val="BodyText"/>
      </w:pPr>
      <w:r>
        <w:t>The stakeholder submissions received during the price review will be used to inform future pricing decisions and support other initiatives, such as the NDIS provider benchmarking project.</w:t>
      </w:r>
    </w:p>
    <w:p w14:paraId="720F0E65" w14:textId="681EA34A" w:rsidR="00717B1A" w:rsidRDefault="00A969BF" w:rsidP="001E0823">
      <w:pPr>
        <w:pStyle w:val="BodyText"/>
      </w:pPr>
      <w:r>
        <w:t>While price caps will remain in place during the rapid ramp-up of the Scheme as the market matures, it is envisaged prices will be gradually deregulated and determined by market forces.</w:t>
      </w:r>
    </w:p>
    <w:p w14:paraId="58A789D8" w14:textId="77777777" w:rsidR="00AC2A34" w:rsidRDefault="00AC2A34" w:rsidP="001E0823">
      <w:pPr>
        <w:pStyle w:val="Heading5"/>
      </w:pPr>
    </w:p>
    <w:p w14:paraId="3212D435" w14:textId="67A5A493" w:rsidR="00AC2A34" w:rsidRDefault="00AC2A34" w:rsidP="001E0823">
      <w:pPr>
        <w:pStyle w:val="Heading5"/>
      </w:pPr>
      <w:r>
        <w:t>Independent Pricing Review</w:t>
      </w:r>
    </w:p>
    <w:p w14:paraId="158C3950" w14:textId="7A1F1D92" w:rsidR="00AC2A34" w:rsidRDefault="00AC2A34" w:rsidP="001E0823">
      <w:pPr>
        <w:pStyle w:val="BodyText"/>
      </w:pPr>
      <w:r>
        <w:t>The Agency announced an Independent Pricing Review in June 2017. This was in response to the wide range of pricing issues raised in participant and provider workshops, and in the Productivity Commission’s Review of NDIS costs. McKinsey &amp; Company is undertaking the review and will report key findings by the end of the year.</w:t>
      </w:r>
    </w:p>
    <w:p w14:paraId="16BE52CB" w14:textId="77777777" w:rsidR="00AC2A34" w:rsidRDefault="00AC2A34" w:rsidP="001E0823">
      <w:r>
        <w:br w:type="page"/>
      </w:r>
    </w:p>
    <w:p w14:paraId="21B028BF" w14:textId="77777777" w:rsidR="00BD6A40" w:rsidRDefault="00BD6A40" w:rsidP="001E0823">
      <w:pPr>
        <w:pStyle w:val="Heading3"/>
      </w:pPr>
      <w:r>
        <w:lastRenderedPageBreak/>
        <w:t>2.3 Promoting innovation through housing and Assistive Technology</w:t>
      </w:r>
    </w:p>
    <w:p w14:paraId="696F430B" w14:textId="77777777" w:rsidR="00BD6A40" w:rsidRDefault="00BD6A40" w:rsidP="001E0823">
      <w:pPr>
        <w:pStyle w:val="Heading4"/>
      </w:pPr>
      <w:r>
        <w:t>Housing</w:t>
      </w:r>
    </w:p>
    <w:p w14:paraId="6727C556" w14:textId="77777777" w:rsidR="00BD6A40" w:rsidRDefault="00BD6A40" w:rsidP="001E0823">
      <w:pPr>
        <w:pStyle w:val="Intro"/>
      </w:pPr>
      <w:r>
        <w:t>Specialist Disability Accommodation (SDA) aims to give people with disability the opportunity to be a part of their community, rather than isolated from it.</w:t>
      </w:r>
    </w:p>
    <w:p w14:paraId="5428F40E" w14:textId="1D8971A1" w:rsidR="00BD6A40" w:rsidRDefault="00BD6A40" w:rsidP="001E0823">
      <w:pPr>
        <w:pStyle w:val="BodyText"/>
      </w:pPr>
      <w:r>
        <w:t>SDA supports greater independence for the individual, improved features in their homes and promotes the use of Assistive Technology and the creation of new support models.</w:t>
      </w:r>
    </w:p>
    <w:p w14:paraId="673B3566" w14:textId="77777777" w:rsidR="00BD6A40" w:rsidRDefault="00BD6A40" w:rsidP="001E0823">
      <w:pPr>
        <w:pStyle w:val="BodyText"/>
      </w:pPr>
      <w:r>
        <w:t>It also aims to help people to live in locations that enable them to better access their informal and paid supports.</w:t>
      </w:r>
    </w:p>
    <w:p w14:paraId="04C1892B" w14:textId="75BF986C" w:rsidR="00BD6A40" w:rsidRDefault="00BD6A40" w:rsidP="001E0823">
      <w:pPr>
        <w:pStyle w:val="BodyText"/>
      </w:pPr>
      <w:r>
        <w:t>SDA was implemented as a funded NDIS support on 1 July 2016. It came into full effect from 14 March 2017.</w:t>
      </w:r>
    </w:p>
    <w:p w14:paraId="0FB7F0FE" w14:textId="77777777" w:rsidR="00BD6A40" w:rsidRDefault="00BD6A40" w:rsidP="001E0823">
      <w:pPr>
        <w:pStyle w:val="BodyText"/>
      </w:pPr>
      <w:r>
        <w:t>SDA funding will increase the availability of high-quality, fit-for-purpose homes for people with extreme functional impairments or very high support needs. By increasing the supply of SDA, participants will have choice and control over where they live and who they live with, just like all other members of the community.</w:t>
      </w:r>
    </w:p>
    <w:p w14:paraId="37C4207D" w14:textId="1EA506DC" w:rsidR="00AC2A34" w:rsidRDefault="00BD6A40" w:rsidP="001E0823">
      <w:pPr>
        <w:pStyle w:val="BodyText"/>
      </w:pPr>
      <w:r>
        <w:t>Nonetheless, the NDIA recognises the need to ensure appropriate pricing to encourage a sufficient supply of SDA.</w:t>
      </w:r>
    </w:p>
    <w:p w14:paraId="271E2453" w14:textId="77777777" w:rsidR="00BD6A40" w:rsidRDefault="00BD6A40" w:rsidP="001E0823">
      <w:pPr>
        <w:pStyle w:val="Heading4"/>
      </w:pPr>
      <w:r>
        <w:t>Assistive Technology</w:t>
      </w:r>
    </w:p>
    <w:p w14:paraId="4A643B39" w14:textId="77777777" w:rsidR="00BD6A40" w:rsidRDefault="00BD6A40" w:rsidP="001E0823">
      <w:pPr>
        <w:pStyle w:val="BodyText"/>
      </w:pPr>
      <w:r>
        <w:t>The Agency has been working in the last 12 months to implement the proposed initiatives of the Assistive Technology (AT) Strategy while helping participants and providers to transition to full Scheme.</w:t>
      </w:r>
    </w:p>
    <w:p w14:paraId="0240E6F5" w14:textId="77777777" w:rsidR="00BD6A40" w:rsidRDefault="00BD6A40" w:rsidP="001E0823">
      <w:pPr>
        <w:pStyle w:val="BodyText"/>
      </w:pPr>
      <w:r>
        <w:t>Assistive technologies cover the full spectrum of technology from new and sophisticated devices like specialised apps on smartphones, to simple but effective tools like tactile maps and walking sticks.</w:t>
      </w:r>
    </w:p>
    <w:p w14:paraId="0EE8F20A" w14:textId="77777777" w:rsidR="00BD6A40" w:rsidRDefault="00BD6A40" w:rsidP="001E0823">
      <w:pPr>
        <w:pStyle w:val="BodyText"/>
      </w:pPr>
      <w:r>
        <w:t>Better design and accessibility features are increasingly making universal technologies (e.g. tablet computers) an important assistive technology in the daily lives of people with disability. AT helps people with disability live a more independent and more inclusive life.</w:t>
      </w:r>
    </w:p>
    <w:p w14:paraId="199A237C" w14:textId="77777777" w:rsidR="00BD6A40" w:rsidRDefault="00BD6A40" w:rsidP="001E0823">
      <w:pPr>
        <w:pStyle w:val="BodyText"/>
      </w:pPr>
      <w:r>
        <w:t>Major presentations and workshops explaining the approach to AT have been shared with more than 1,000 providers and participants in the last year.</w:t>
      </w:r>
    </w:p>
    <w:p w14:paraId="494FF8DB" w14:textId="77777777" w:rsidR="00BD6A40" w:rsidRDefault="00BD6A40" w:rsidP="001E0823">
      <w:pPr>
        <w:pStyle w:val="BodyText"/>
      </w:pPr>
      <w:r>
        <w:t>The Agency is focussed on delivering key projects against each of the three proposed initiatives.</w:t>
      </w:r>
    </w:p>
    <w:p w14:paraId="3159D78A" w14:textId="77777777" w:rsidR="00BD6A40" w:rsidRDefault="00BD6A40" w:rsidP="001E0823">
      <w:pPr>
        <w:pStyle w:val="BodyText"/>
      </w:pPr>
      <w:r>
        <w:t>The projects include the AT Innovation Hub Scoping and Feasibility Study, which was completed in 2016. The Agency is developing a plan to implement the recommendations of the study which was completed by the University of Technology Sydney with input from Northcott Innovation. The study included substantial contributions from a range of people with disability.</w:t>
      </w:r>
    </w:p>
    <w:p w14:paraId="683C72D4" w14:textId="77777777" w:rsidR="00BD6A40" w:rsidRDefault="00BD6A40" w:rsidP="001E0823">
      <w:pPr>
        <w:pStyle w:val="BodyText"/>
      </w:pPr>
      <w:r>
        <w:t>Policy guidance continues to be developed and published to support participants in receiving their reasonable and necessary AT supports and services in complex and emerging AT markets, including:</w:t>
      </w:r>
    </w:p>
    <w:p w14:paraId="4D8E819C" w14:textId="77777777" w:rsidR="00BD6A40" w:rsidRDefault="00BD6A40" w:rsidP="001E0823">
      <w:pPr>
        <w:pStyle w:val="ListBullet"/>
      </w:pPr>
      <w:r>
        <w:t xml:space="preserve">release of Assistance Animals Guidance in February 2017; and </w:t>
      </w:r>
    </w:p>
    <w:p w14:paraId="52475959" w14:textId="0D051D09" w:rsidR="00A001A6" w:rsidRDefault="00BD6A40" w:rsidP="001E0823">
      <w:pPr>
        <w:pStyle w:val="ListBullet"/>
      </w:pPr>
      <w:r>
        <w:t>update to the NDIA approach to home modification, particularly for complex home modifications.</w:t>
      </w:r>
    </w:p>
    <w:p w14:paraId="1837A70E" w14:textId="77777777" w:rsidR="00A001A6" w:rsidRDefault="00A001A6" w:rsidP="001E0823">
      <w:r>
        <w:br w:type="page"/>
      </w:r>
    </w:p>
    <w:p w14:paraId="4D88D3C4" w14:textId="77777777" w:rsidR="00A001A6" w:rsidRDefault="00A001A6" w:rsidP="001E0823">
      <w:pPr>
        <w:pStyle w:val="Heading2"/>
      </w:pPr>
      <w:bookmarkStart w:id="35" w:name="_Toc496611878"/>
      <w:r>
        <w:lastRenderedPageBreak/>
        <w:t>Chapter 3</w:t>
      </w:r>
      <w:bookmarkEnd w:id="35"/>
    </w:p>
    <w:p w14:paraId="4AC858D6" w14:textId="0E943D3B" w:rsidR="00A001A6" w:rsidRDefault="00A001A6" w:rsidP="001E0823">
      <w:pPr>
        <w:pStyle w:val="Heading3"/>
      </w:pPr>
      <w:r>
        <w:t>A financially sustainable Scheme</w:t>
      </w:r>
    </w:p>
    <w:p w14:paraId="0304F8B7" w14:textId="77777777" w:rsidR="00A001A6" w:rsidRDefault="00A001A6" w:rsidP="001E0823">
      <w:pPr>
        <w:pStyle w:val="Intro"/>
      </w:pPr>
      <w:r>
        <w:t>Key to the success of the NDIS transition is ensuring the long-term financial sustainability of the Scheme. The financial sustainability of the Scheme relies on the Scheme being able to support people with a disability to achieve social and economic outcomes in a way which represents value for money.</w:t>
      </w:r>
    </w:p>
    <w:p w14:paraId="70C63854" w14:textId="77777777" w:rsidR="00A001A6" w:rsidRDefault="00A001A6" w:rsidP="001E0823">
      <w:pPr>
        <w:pStyle w:val="BodyText"/>
      </w:pPr>
      <w:r>
        <w:t>To achieve these outcomes the NDIA needs to focus on quality plans for participants, and work with the market to implement these plans.</w:t>
      </w:r>
    </w:p>
    <w:p w14:paraId="7F6BE307" w14:textId="77777777" w:rsidR="00A001A6" w:rsidRDefault="00A001A6" w:rsidP="001E0823">
      <w:pPr>
        <w:pStyle w:val="BodyText"/>
      </w:pPr>
      <w:r>
        <w:t xml:space="preserve">The NDIS is based on insurance principles. In particular, financial sustainability is monitored by considering emerging experience and comparing this experience with expectations. The insurance approach allows any differences between emerging experience and expectations to be identified quickly, and management responses put in place if required. </w:t>
      </w:r>
    </w:p>
    <w:p w14:paraId="68F185B1" w14:textId="77777777" w:rsidR="00A001A6" w:rsidRDefault="00A001A6" w:rsidP="001E0823">
      <w:pPr>
        <w:pStyle w:val="BodyText"/>
      </w:pPr>
      <w:r>
        <w:t xml:space="preserve">The financial sustainability of the Scheme is monitored by the Scheme Actuary, and the Annual Financial Sustainability report includes an assessment of the NDIS after the first year of full Scheme transition (see Section 4). </w:t>
      </w:r>
    </w:p>
    <w:p w14:paraId="14A2C4C6" w14:textId="77777777" w:rsidR="00A001A6" w:rsidRDefault="00A001A6" w:rsidP="001E0823">
      <w:pPr>
        <w:pStyle w:val="BodyText"/>
      </w:pPr>
      <w:r>
        <w:t>This Chapter provides a summary of:</w:t>
      </w:r>
    </w:p>
    <w:p w14:paraId="4363A1DE" w14:textId="2AE85C03" w:rsidR="00A001A6" w:rsidRDefault="00BB7F76" w:rsidP="001E0823">
      <w:pPr>
        <w:pStyle w:val="BodyText"/>
      </w:pPr>
      <w:r>
        <w:t>3.1</w:t>
      </w:r>
      <w:r>
        <w:tab/>
      </w:r>
      <w:r w:rsidR="00A001A6">
        <w:t>the initiatives that are underway to ensure the financial sustainability of the NDIS; and</w:t>
      </w:r>
    </w:p>
    <w:p w14:paraId="095E984B" w14:textId="6A2EF6F5" w:rsidR="008A52DA" w:rsidRDefault="00BB7F76" w:rsidP="001E0823">
      <w:pPr>
        <w:pStyle w:val="BodyText"/>
      </w:pPr>
      <w:r>
        <w:t>3.2</w:t>
      </w:r>
      <w:r>
        <w:tab/>
      </w:r>
      <w:r w:rsidR="00A001A6">
        <w:t>the Productivity Commission Review to date.</w:t>
      </w:r>
    </w:p>
    <w:p w14:paraId="26C4FA89" w14:textId="77777777" w:rsidR="008A52DA" w:rsidRDefault="008A52DA" w:rsidP="001E0823">
      <w:r>
        <w:br w:type="page"/>
      </w:r>
    </w:p>
    <w:p w14:paraId="66912B17" w14:textId="4A082EFA" w:rsidR="00BD6A40" w:rsidRDefault="008A52DA" w:rsidP="001E0823">
      <w:pPr>
        <w:pStyle w:val="Heading3"/>
      </w:pPr>
      <w:r w:rsidRPr="008A52DA">
        <w:lastRenderedPageBreak/>
        <w:t>3.1 Managing financial sustainability</w:t>
      </w:r>
    </w:p>
    <w:p w14:paraId="3530A7E6" w14:textId="77777777" w:rsidR="008A52DA" w:rsidRDefault="008A52DA" w:rsidP="001E0823">
      <w:pPr>
        <w:pStyle w:val="BodyText"/>
      </w:pPr>
      <w:r>
        <w:t xml:space="preserve">The NDIS was within budget for the first three years of trial and also for the first year of transition (2016-17). The Productivity Commission estimate of $22 billion a year at full Scheme (2019-20) remains the best estimate of the longer-term cost of a well-managed NDIS. </w:t>
      </w:r>
    </w:p>
    <w:p w14:paraId="26A5F042" w14:textId="77777777" w:rsidR="008A52DA" w:rsidRDefault="008A52DA" w:rsidP="001E0823">
      <w:pPr>
        <w:pStyle w:val="BodyText"/>
      </w:pPr>
      <w:r>
        <w:t>Monitoring of financial sustainability has indicated the following:</w:t>
      </w:r>
    </w:p>
    <w:p w14:paraId="46FED550" w14:textId="77777777" w:rsidR="008A52DA" w:rsidRDefault="008A52DA" w:rsidP="001E0823">
      <w:pPr>
        <w:pStyle w:val="ListBullet"/>
      </w:pPr>
      <w:r>
        <w:t xml:space="preserve">Higher than expected numbers of children are entering the Scheme (0-18 year olds). </w:t>
      </w:r>
    </w:p>
    <w:p w14:paraId="394A46E3" w14:textId="77777777" w:rsidR="008A52DA" w:rsidRDefault="008A52DA" w:rsidP="001E0823">
      <w:pPr>
        <w:pStyle w:val="ListBullet"/>
      </w:pPr>
      <w:r>
        <w:t xml:space="preserve">Plan budgets are increasing over and above the impacts of inflation and ageing. </w:t>
      </w:r>
    </w:p>
    <w:p w14:paraId="718E50B9" w14:textId="77777777" w:rsidR="008A52DA" w:rsidRDefault="008A52DA" w:rsidP="001E0823">
      <w:pPr>
        <w:pStyle w:val="ListBullet"/>
      </w:pPr>
      <w:r>
        <w:t xml:space="preserve">Higher than expected numbers of individuals are continuing to approach the Scheme in sites that commenced during the trial period. </w:t>
      </w:r>
    </w:p>
    <w:p w14:paraId="7BBBB660" w14:textId="77777777" w:rsidR="008A52DA" w:rsidRDefault="008A52DA" w:rsidP="001E0823">
      <w:pPr>
        <w:pStyle w:val="ListBullet"/>
      </w:pPr>
      <w:r>
        <w:t xml:space="preserve">Lower than expected numbers of children are exiting the Scheme and being supported in mainstream and community settings. </w:t>
      </w:r>
    </w:p>
    <w:p w14:paraId="6B5073BD" w14:textId="77777777" w:rsidR="008A52DA" w:rsidRDefault="008A52DA" w:rsidP="001E0823">
      <w:pPr>
        <w:pStyle w:val="ListBullet"/>
      </w:pPr>
      <w:r>
        <w:t xml:space="preserve">A mismatch exists to some extent between benchmark package costs (typical support packages) and actual plan budgets. </w:t>
      </w:r>
    </w:p>
    <w:p w14:paraId="0C4EE8FD" w14:textId="4A3322FF" w:rsidR="008A52DA" w:rsidRDefault="008A52DA" w:rsidP="001E0823">
      <w:pPr>
        <w:pStyle w:val="ListBullet"/>
      </w:pPr>
      <w:r>
        <w:t>Boundaries between the NDIS and other mainstream supports are not always well-defined (for example in the areas of health and mental health).</w:t>
      </w:r>
    </w:p>
    <w:p w14:paraId="4A4CE6A9" w14:textId="77777777" w:rsidR="008A52DA" w:rsidRDefault="008A52DA" w:rsidP="001E0823">
      <w:pPr>
        <w:pStyle w:val="BodyText"/>
      </w:pPr>
      <w:r>
        <w:t>Differences from expectations are not unexpected in the early stages of the Scheme, and the insurance approach has allowed these differences to be identified early. Importantly the Participant and Provider Pathway Review that is currently being undertaken recognises financial sustainability as a critical factor in the success of the Scheme, and improved pathways are being designed considering insurance principles. Some specific initiatives already underway to manage financial sustainability are outlined below.</w:t>
      </w:r>
    </w:p>
    <w:p w14:paraId="0339B671" w14:textId="77777777" w:rsidR="008A52DA" w:rsidRDefault="008A52DA" w:rsidP="001E0823">
      <w:pPr>
        <w:pStyle w:val="Heading4"/>
      </w:pPr>
      <w:r>
        <w:t xml:space="preserve">Managing early intervention </w:t>
      </w:r>
    </w:p>
    <w:p w14:paraId="36FF108D" w14:textId="5818C6BF" w:rsidR="008A52DA" w:rsidRDefault="008A52DA" w:rsidP="001E0823">
      <w:pPr>
        <w:pStyle w:val="BodyText"/>
      </w:pPr>
      <w:r>
        <w:t xml:space="preserve">The Agency implemented the Early Childhood Early Intervention (ECEI) approach (detailed on page 50) in response to higher than expected numbers of children entering the Scheme. While it is still too early to assess the impact of the ECEI approach, it is expected that it will provide a meaningful benefit for children with disabilities. The approach aims to both assist with Scheme sustainability by reducing lifetime costs and help build the capacity of the mainstream and community systems.  </w:t>
      </w:r>
    </w:p>
    <w:p w14:paraId="59A9DEA3" w14:textId="7CC7B7B7" w:rsidR="009B0DA8" w:rsidRDefault="009B0DA8" w:rsidP="001E0823">
      <w:pPr>
        <w:pStyle w:val="Heading4"/>
      </w:pPr>
      <w:r>
        <w:t>Ref</w:t>
      </w:r>
      <w:r w:rsidR="001E3DFA">
        <w:t xml:space="preserve">ining typical support packages </w:t>
      </w:r>
      <w:r>
        <w:t>and the planning process</w:t>
      </w:r>
    </w:p>
    <w:p w14:paraId="709A0D11" w14:textId="14DFDBFF" w:rsidR="009B0DA8" w:rsidRDefault="009B0DA8" w:rsidP="001E0823">
      <w:pPr>
        <w:pStyle w:val="BodyText"/>
      </w:pPr>
      <w:r>
        <w:t>The typical support package and planning process is a method for better aligning a participant’s support need with their funded support when they first enter the Scheme. The Agency will continue to refine this process to ensure that appropriate assessment tools and questions are used during the planning process. This approach assists with financial sustainability as plan budgets will be more in line with benchmark amounts and plan inflation will also be more in line with expectations.</w:t>
      </w:r>
    </w:p>
    <w:p w14:paraId="1B590135" w14:textId="77777777" w:rsidR="001E3DFA" w:rsidRDefault="001E3DFA" w:rsidP="001E0823">
      <w:pPr>
        <w:pStyle w:val="Heading4"/>
      </w:pPr>
      <w:r>
        <w:t>Reviewing plans</w:t>
      </w:r>
    </w:p>
    <w:p w14:paraId="3DBCB641" w14:textId="77777777" w:rsidR="001E3DFA" w:rsidRDefault="009B0DA8" w:rsidP="001E0823">
      <w:pPr>
        <w:pStyle w:val="BodyText"/>
      </w:pPr>
      <w:r>
        <w:t xml:space="preserve">The Agency is implementing a plan review strategy which aims to align better plan budgets to support need and typical support packages for participants already in the Scheme. The strategy also aims to apply a risk-based approach to plan duration. Some plans will require earlier review than others based on the characteristics of participants and the supports in plans. For example, children receiving early intervention support may require earlier review to understand progression against outcomes, compared with some participants whose disability and circumstances are unlikely to change in the near future. </w:t>
      </w:r>
    </w:p>
    <w:p w14:paraId="28B4B5A6" w14:textId="0BA8B2C2" w:rsidR="001E3DFA" w:rsidRPr="001E3DFA" w:rsidRDefault="009B0DA8" w:rsidP="001E0823">
      <w:pPr>
        <w:pStyle w:val="Heading4"/>
      </w:pPr>
      <w:r w:rsidRPr="001E3DFA">
        <w:t>Providing q</w:t>
      </w:r>
      <w:r w:rsidR="001E3DFA" w:rsidRPr="001E3DFA">
        <w:t>uality assurance</w:t>
      </w:r>
    </w:p>
    <w:p w14:paraId="5A5FD3B1" w14:textId="61DE7977" w:rsidR="009B0DA8" w:rsidRDefault="009B0DA8" w:rsidP="001E0823">
      <w:pPr>
        <w:pStyle w:val="BodyText"/>
      </w:pPr>
      <w:r>
        <w:t>The Agency is implementing additional quality assurance processes so decisions are consistent, equitable and sustainable. The Agency is undertaking file reviews and audits to assist in understanding differences between emerging experience and expectations. This assists in developing management responses to financial sustainability.</w:t>
      </w:r>
    </w:p>
    <w:p w14:paraId="29492676" w14:textId="77777777" w:rsidR="009B0DA8" w:rsidRDefault="009B0DA8" w:rsidP="001E0823">
      <w:pPr>
        <w:pStyle w:val="Heading4"/>
      </w:pPr>
      <w:r>
        <w:lastRenderedPageBreak/>
        <w:t>Improving training</w:t>
      </w:r>
    </w:p>
    <w:p w14:paraId="76554BB0" w14:textId="77777777" w:rsidR="009B0DA8" w:rsidRDefault="009B0DA8" w:rsidP="001E0823">
      <w:pPr>
        <w:pStyle w:val="BodyText"/>
      </w:pPr>
      <w:r>
        <w:t>Staff and Partner training on core capabilities is ongoing and includes training on insurance principles, Scheme sustainability, reasonable and necessary decision-making, typical support packages, and quality.</w:t>
      </w:r>
    </w:p>
    <w:p w14:paraId="2B91ECE9" w14:textId="77777777" w:rsidR="00E76765" w:rsidRDefault="00E76765" w:rsidP="001E0823">
      <w:pPr>
        <w:pStyle w:val="Heading4"/>
      </w:pPr>
      <w:r>
        <w:t>Mainstream interfaces</w:t>
      </w:r>
    </w:p>
    <w:p w14:paraId="231936FE" w14:textId="63667415" w:rsidR="002075E1" w:rsidRDefault="009B0DA8" w:rsidP="001E0823">
      <w:pPr>
        <w:pStyle w:val="BodyText"/>
      </w:pPr>
      <w:r>
        <w:t>As recognised by the Productivity Commission, clarifying boundary issues with mainstream services, including those that exist in the areas of health and mental health, will be essential. The state, territory and Commonwealth governments are responsible for implementing the National Disability Strategy which aims to remove barriers for people with a disability accessing mainstream services. The Agency will encourage the use of mainstream and community supports in the planning process to achieve both better outcomes for participants, and also financial sustainability.</w:t>
      </w:r>
    </w:p>
    <w:p w14:paraId="6C802B1C" w14:textId="77777777" w:rsidR="002075E1" w:rsidRDefault="002075E1" w:rsidP="001E0823">
      <w:r>
        <w:br w:type="page"/>
      </w:r>
    </w:p>
    <w:p w14:paraId="3DF7B84F" w14:textId="6C09B6A7" w:rsidR="009B0DA8" w:rsidRDefault="002075E1" w:rsidP="001E0823">
      <w:pPr>
        <w:pStyle w:val="Heading3"/>
      </w:pPr>
      <w:r w:rsidRPr="002075E1">
        <w:lastRenderedPageBreak/>
        <w:t>3.2 Productivity Commission Review of NDIS Costs</w:t>
      </w:r>
    </w:p>
    <w:p w14:paraId="5BE70B36" w14:textId="77777777" w:rsidR="002075E1" w:rsidRDefault="002075E1" w:rsidP="001E0823">
      <w:pPr>
        <w:pStyle w:val="Intro"/>
      </w:pPr>
      <w:r>
        <w:t>On 20 January 2017, the Commonwealth Government announced a Productivity Commission Review into NDIS costs, consistent with the Heads of Agreements with the states and territories and the Commonwealth. The Productivity Commission had always planned to conduct a review in 2017 to ensure the NDIS was operating sustainably and providing the best outcomes for participants.</w:t>
      </w:r>
    </w:p>
    <w:p w14:paraId="7DD5AC5F" w14:textId="15368650" w:rsidR="002075E1" w:rsidRDefault="002075E1" w:rsidP="001E0823">
      <w:pPr>
        <w:pStyle w:val="BodyText"/>
      </w:pPr>
      <w:r>
        <w:t xml:space="preserve">The Agency made a submission to the Productivity Commission in March 2017. At 30 June 2017 more than 200 submissions to the Review had been presented from a range of stakeholders including the Department of Social Services (DSS), service providers, community groups, peak bodies, and individual participants and their families. </w:t>
      </w:r>
    </w:p>
    <w:p w14:paraId="0942B199" w14:textId="77777777" w:rsidR="002075E1" w:rsidRDefault="002075E1" w:rsidP="001E0823">
      <w:pPr>
        <w:pStyle w:val="BodyText"/>
      </w:pPr>
      <w:r>
        <w:t>The level of public engagement in the Productivity Commission demonstrates the high level of public resolve to make the NDIS a success.</w:t>
      </w:r>
    </w:p>
    <w:p w14:paraId="5EA40270" w14:textId="77777777" w:rsidR="002075E1" w:rsidRDefault="002075E1" w:rsidP="001E0823">
      <w:pPr>
        <w:pStyle w:val="BodyText"/>
      </w:pPr>
      <w:r>
        <w:t>The review is intended to inform the final design of the full Scheme by focussing on updating initial cost projections estimated by the Productivity Commission and by providing advice on longer-term projections and overall sustainability issues.</w:t>
      </w:r>
    </w:p>
    <w:p w14:paraId="54FE63F2" w14:textId="77777777" w:rsidR="002075E1" w:rsidRDefault="002075E1" w:rsidP="001E0823">
      <w:pPr>
        <w:pStyle w:val="BodyText"/>
      </w:pPr>
      <w:r>
        <w:t xml:space="preserve">A preliminary position paper of the Productivity Commission published in June 2017 sought feedback on the Commission’s preliminary conclusions, and any additional issues for consideration before the public release of the final study report in October 2017. </w:t>
      </w:r>
    </w:p>
    <w:p w14:paraId="3E4D0BE9" w14:textId="77777777" w:rsidR="002075E1" w:rsidRDefault="002075E1" w:rsidP="001E0823">
      <w:pPr>
        <w:pStyle w:val="BodyText"/>
      </w:pPr>
      <w:r>
        <w:t>The position paper raised a number of concerns in relation to the experience of NDIS participants and providers. As highlighted throughout this report, the Productivity Commission’s concerns are consistent with those raised by the Agency and the Agency has commenced a number of initiatives in response to these issues, for example through the Participant and Provider Pathway Review and Independent Pricing Review.</w:t>
      </w:r>
    </w:p>
    <w:p w14:paraId="4BB119B5" w14:textId="20734CBB" w:rsidR="00066D7B" w:rsidRDefault="002075E1" w:rsidP="001E0823">
      <w:pPr>
        <w:pStyle w:val="BodyText"/>
      </w:pPr>
      <w:r>
        <w:t>On 17 July 2017, the Agency made a submission in response to the position paper. The response notes that the Agency generally agrees with the findings and recommendations of the paper, and that many of these are already being addressed, but that it disagrees with the proposals for an independent pricing regulator and for informal carer payments.</w:t>
      </w:r>
    </w:p>
    <w:p w14:paraId="02536A3E" w14:textId="77777777" w:rsidR="00066D7B" w:rsidRDefault="00066D7B" w:rsidP="001E0823">
      <w:r>
        <w:br w:type="page"/>
      </w:r>
    </w:p>
    <w:p w14:paraId="6A12CD47" w14:textId="5A4431D5" w:rsidR="00C75786" w:rsidRDefault="00C75786" w:rsidP="001E0823">
      <w:pPr>
        <w:pStyle w:val="CaseStudyTitle"/>
      </w:pPr>
      <w:r>
        <w:lastRenderedPageBreak/>
        <w:t>CASE STUDY:</w:t>
      </w:r>
    </w:p>
    <w:p w14:paraId="42EFFAAC" w14:textId="77777777" w:rsidR="00C75786" w:rsidRDefault="00C75786" w:rsidP="001E0823">
      <w:pPr>
        <w:pStyle w:val="Heading3"/>
      </w:pPr>
      <w:r>
        <w:t>Rohan’s story</w:t>
      </w:r>
    </w:p>
    <w:p w14:paraId="0CA32FC0" w14:textId="0538A780" w:rsidR="00066D7B" w:rsidRDefault="00066D7B" w:rsidP="001E0823">
      <w:pPr>
        <w:pStyle w:val="Intro"/>
      </w:pPr>
      <w:r>
        <w:t xml:space="preserve">Ipswich NDIS participant Rohan joined the NDIS in May 2017, along with his younger brother Bryn. Rohan has Asperger’s Syndrome and motor dyspraxia, as well as other physical and cognitive issues. Rohan has found comfort and a creative outlet in writing fantasy stories, and here he shares his story in his own words. </w:t>
      </w:r>
    </w:p>
    <w:p w14:paraId="6B6B949E" w14:textId="77777777" w:rsidR="00066D7B" w:rsidRDefault="00066D7B" w:rsidP="001E0823">
      <w:pPr>
        <w:pStyle w:val="BodyText"/>
      </w:pPr>
      <w:r>
        <w:t xml:space="preserve">“My name is Rohan and I am 10 years old. I have Asperger’s, which is a type of autism. Having autism has affected my life in lots of ways, both positive and negative. </w:t>
      </w:r>
    </w:p>
    <w:p w14:paraId="19315043" w14:textId="77777777" w:rsidR="00066D7B" w:rsidRDefault="00066D7B" w:rsidP="001E0823">
      <w:pPr>
        <w:pStyle w:val="BodyText"/>
      </w:pPr>
      <w:r>
        <w:t>“Before I started doing home-school I always had bullies. In primary school they made me feel like I was just a backdrop in a movie and they were the stars.</w:t>
      </w:r>
    </w:p>
    <w:p w14:paraId="13E0CC52" w14:textId="77777777" w:rsidR="00066D7B" w:rsidRDefault="00066D7B" w:rsidP="001E0823">
      <w:pPr>
        <w:pStyle w:val="BodyText"/>
      </w:pPr>
      <w:r>
        <w:t>“I have come to realise since then that all of my bullies were wrong. Their actions now can just be brushed off like fine dust.</w:t>
      </w:r>
    </w:p>
    <w:p w14:paraId="320B1F2F" w14:textId="77777777" w:rsidR="00066D7B" w:rsidRDefault="00066D7B" w:rsidP="001E0823">
      <w:pPr>
        <w:pStyle w:val="BodyText"/>
      </w:pPr>
      <w:r>
        <w:t xml:space="preserve">“I know Asperger’s makes me unique and special in ways that will leave an important mark on the world. </w:t>
      </w:r>
    </w:p>
    <w:p w14:paraId="6FB82D28" w14:textId="77777777" w:rsidR="00066D7B" w:rsidRDefault="00066D7B" w:rsidP="001E0823">
      <w:pPr>
        <w:pStyle w:val="BodyText"/>
      </w:pPr>
      <w:r>
        <w:t xml:space="preserve">“I have many dreams and I am so excited that I am in the NDIS because the help I get will propel me towards those dreams so that I can make them real. </w:t>
      </w:r>
    </w:p>
    <w:p w14:paraId="57242383" w14:textId="31AF6562" w:rsidR="00866A03" w:rsidRDefault="00066D7B" w:rsidP="001E0823">
      <w:pPr>
        <w:pStyle w:val="BodyText"/>
      </w:pPr>
      <w:r>
        <w:t>“I would like to feel strong and healthy in my body, but my biggest heart’s desire is for people to be able to read and enjoy my stories. I want my name to be beside J.K Rowling, Stephen King, Roald Dahl, Dr. Seuss and all of the greats.”</w:t>
      </w:r>
    </w:p>
    <w:p w14:paraId="30D13A4B" w14:textId="77777777" w:rsidR="00866A03" w:rsidRDefault="00866A03" w:rsidP="001E0823">
      <w:r>
        <w:br w:type="page"/>
      </w:r>
    </w:p>
    <w:p w14:paraId="6524AB06" w14:textId="77777777" w:rsidR="00866A03" w:rsidRDefault="00866A03" w:rsidP="001E0823">
      <w:pPr>
        <w:pStyle w:val="Heading2"/>
      </w:pPr>
      <w:bookmarkStart w:id="36" w:name="_Toc496611879"/>
      <w:r>
        <w:lastRenderedPageBreak/>
        <w:t>Chapter 4</w:t>
      </w:r>
      <w:bookmarkEnd w:id="36"/>
    </w:p>
    <w:p w14:paraId="4AC1E5FD" w14:textId="77777777" w:rsidR="00866A03" w:rsidRDefault="00866A03" w:rsidP="001E0823">
      <w:pPr>
        <w:pStyle w:val="Heading3"/>
      </w:pPr>
      <w:r>
        <w:t>Building a high-performing Agency</w:t>
      </w:r>
    </w:p>
    <w:p w14:paraId="0BA0E877" w14:textId="77777777" w:rsidR="00866A03" w:rsidRDefault="00866A03" w:rsidP="001E0823">
      <w:pPr>
        <w:pStyle w:val="Intro"/>
      </w:pPr>
      <w:r>
        <w:t>The NDIA aspires to be a high-performing organisation that delivers on its commitment to make the NDIS a reality for people across Australia. The aim is to build a truly inclusive and culturally-attuned Agency by removing barriers so all employees can reach their full potential.</w:t>
      </w:r>
    </w:p>
    <w:p w14:paraId="3702D0A2" w14:textId="77777777" w:rsidR="00866A03" w:rsidRDefault="00866A03" w:rsidP="001E0823">
      <w:pPr>
        <w:pStyle w:val="BodyText"/>
      </w:pPr>
      <w:r>
        <w:t>The NDIA is new and still maturing, and continues to establish work practices and programs to ensure staff are supported, particularly employees with disability. The Agency is dependent upon the skills and capabilities of its Partners in the Community and respects the knowledge, connections and experience they bring to the task ahead.</w:t>
      </w:r>
    </w:p>
    <w:p w14:paraId="020AA18F" w14:textId="77777777" w:rsidR="00866A03" w:rsidRDefault="00866A03" w:rsidP="001E0823">
      <w:pPr>
        <w:pStyle w:val="BodyText"/>
      </w:pPr>
      <w:r>
        <w:t>This Chapter details the work undertaken by the Agency to help it to become a high-performing organisation. The Agency aims to achieve this by:</w:t>
      </w:r>
    </w:p>
    <w:p w14:paraId="6CE4A218" w14:textId="77777777" w:rsidR="00866A03" w:rsidRDefault="00866A03" w:rsidP="001E0823">
      <w:pPr>
        <w:pStyle w:val="BodyText"/>
      </w:pPr>
      <w:r>
        <w:t>4.1</w:t>
      </w:r>
      <w:r>
        <w:tab/>
        <w:t xml:space="preserve">creating an expanding and diverse workforce; </w:t>
      </w:r>
    </w:p>
    <w:p w14:paraId="1A2B66F0" w14:textId="77777777" w:rsidR="00866A03" w:rsidRDefault="00866A03" w:rsidP="001E0823">
      <w:pPr>
        <w:pStyle w:val="BodyText"/>
      </w:pPr>
      <w:r>
        <w:t>4.2</w:t>
      </w:r>
      <w:r>
        <w:tab/>
        <w:t>organising staff to deliver results;</w:t>
      </w:r>
    </w:p>
    <w:p w14:paraId="0E18C51B" w14:textId="77777777" w:rsidR="00866A03" w:rsidRDefault="00866A03" w:rsidP="001E0823">
      <w:pPr>
        <w:pStyle w:val="BodyText"/>
      </w:pPr>
      <w:r>
        <w:t>4.3</w:t>
      </w:r>
      <w:r>
        <w:tab/>
        <w:t>developing staff capability and capacity;</w:t>
      </w:r>
    </w:p>
    <w:p w14:paraId="674E4DF6" w14:textId="77777777" w:rsidR="00866A03" w:rsidRDefault="00866A03" w:rsidP="001E0823">
      <w:pPr>
        <w:pStyle w:val="BodyText"/>
      </w:pPr>
      <w:r>
        <w:t>4.4</w:t>
      </w:r>
      <w:r>
        <w:tab/>
        <w:t>establishing a high-value Partner network; and</w:t>
      </w:r>
    </w:p>
    <w:p w14:paraId="64B93EE9" w14:textId="5F38416F" w:rsidR="002A0474" w:rsidRDefault="00866A03" w:rsidP="001E0823">
      <w:pPr>
        <w:pStyle w:val="BodyText"/>
      </w:pPr>
      <w:r>
        <w:t>4.5</w:t>
      </w:r>
      <w:r>
        <w:tab/>
        <w:t>building stakeholder confidence and trust.</w:t>
      </w:r>
    </w:p>
    <w:p w14:paraId="0C331F63" w14:textId="77777777" w:rsidR="002A0474" w:rsidRDefault="002A0474" w:rsidP="001E0823">
      <w:r>
        <w:br w:type="page"/>
      </w:r>
    </w:p>
    <w:p w14:paraId="6A050FB3" w14:textId="575E8B38" w:rsidR="002075E1" w:rsidRDefault="00B45F6F" w:rsidP="001E0823">
      <w:pPr>
        <w:pStyle w:val="Heading3"/>
      </w:pPr>
      <w:r>
        <w:lastRenderedPageBreak/>
        <w:t>4.1 Creating an expanding and diverse workforce</w:t>
      </w:r>
    </w:p>
    <w:p w14:paraId="16E66D13" w14:textId="77777777" w:rsidR="00B45F6F" w:rsidRDefault="00B45F6F" w:rsidP="001E0823">
      <w:pPr>
        <w:pStyle w:val="Intro"/>
      </w:pPr>
      <w:r>
        <w:t>To fulfil its purpose, the NDIA must have a capable and committed workforce, including skilful and passionate leaders, who are empowered to deliver the Scheme.</w:t>
      </w:r>
    </w:p>
    <w:p w14:paraId="20F33A23" w14:textId="77777777" w:rsidR="00B45F6F" w:rsidRDefault="00B45F6F" w:rsidP="001E0823">
      <w:pPr>
        <w:pStyle w:val="BodyText"/>
      </w:pPr>
      <w:r>
        <w:t xml:space="preserve">During 2016–17 the NDIA grew rapidly to meet its bilateral obligations and operational requirements. </w:t>
      </w:r>
    </w:p>
    <w:p w14:paraId="07E428F0" w14:textId="77777777" w:rsidR="00B45F6F" w:rsidRDefault="00B45F6F" w:rsidP="001E0823">
      <w:pPr>
        <w:pStyle w:val="BodyText"/>
      </w:pPr>
      <w:r>
        <w:t xml:space="preserve">At 30 June 2017, the Agency had 1,950 employees across 79 sites and the national office, employed under the </w:t>
      </w:r>
      <w:r w:rsidRPr="00B45F6F">
        <w:rPr>
          <w:rStyle w:val="BodyTextItalic"/>
        </w:rPr>
        <w:t>Public Service Act 1999</w:t>
      </w:r>
      <w:r>
        <w:t xml:space="preserve"> (PS Act). Strategic workforce planning is critical in ensuring the NDIA attracts and retains the required workforce.</w:t>
      </w:r>
    </w:p>
    <w:p w14:paraId="610FDA7A" w14:textId="3014BCEF" w:rsidR="00B45F6F" w:rsidRDefault="00B45F6F" w:rsidP="001E0823">
      <w:pPr>
        <w:pStyle w:val="BodyText"/>
      </w:pPr>
      <w:r>
        <w:t>The NDIA is also focussed on ensuring it is an employer of choice for people with disability, and on becoming a leading organisation for access and inclusion.</w:t>
      </w:r>
    </w:p>
    <w:p w14:paraId="69DC5BA2" w14:textId="77777777" w:rsidR="007A661D" w:rsidRDefault="007A661D" w:rsidP="001E0823">
      <w:pPr>
        <w:pStyle w:val="BodyText"/>
      </w:pPr>
    </w:p>
    <w:p w14:paraId="1CB09253" w14:textId="77777777" w:rsidR="007A661D" w:rsidRDefault="007A661D" w:rsidP="001E0823">
      <w:pPr>
        <w:pStyle w:val="Heading4"/>
      </w:pPr>
      <w:r>
        <w:t>Workforce expansion</w:t>
      </w:r>
    </w:p>
    <w:p w14:paraId="3CEA3AE4" w14:textId="77777777" w:rsidR="007A661D" w:rsidRDefault="007A661D" w:rsidP="001E0823">
      <w:pPr>
        <w:pStyle w:val="Intro"/>
      </w:pPr>
      <w:r>
        <w:t>The NDIA workforce is enhanced by the unique mix of experience and knowledge, with employees coming from across policy, program, operational service delivery agencies in Commonwealth and state governments, as well as the private and the not-for-profit sectors.</w:t>
      </w:r>
    </w:p>
    <w:p w14:paraId="00E21446" w14:textId="77777777" w:rsidR="007A661D" w:rsidRDefault="007A661D" w:rsidP="001E0823">
      <w:pPr>
        <w:pStyle w:val="BodyText"/>
      </w:pPr>
      <w:r>
        <w:t>Under the Bilateral Agreements, the NDIA has an obligation to offer state and territory based employees first opportunity to apply for any new ongoing roles within their respective state or territory. This process is to be completed prior to any external recruitment. This process is commonly known as “first offer” and has shaped the profile of the NDIA workforce and allows the Agency to benefit from a wealth of existing knowledge and experience.</w:t>
      </w:r>
    </w:p>
    <w:p w14:paraId="310F1B75" w14:textId="2B9D164C" w:rsidR="00244B62" w:rsidRDefault="007A661D" w:rsidP="001E0823">
      <w:pPr>
        <w:pStyle w:val="BodyText"/>
      </w:pPr>
      <w:r>
        <w:t>As a geographically-diverse workforce, Agency staff and Partners in the Community work across state and territory boundaries and throughout rural and remote regions. The Agency’s national office staff are predominantly based in Geelong, however the national office also has a presence in Sydney and Canberra.</w:t>
      </w:r>
    </w:p>
    <w:p w14:paraId="446D1D54" w14:textId="77777777" w:rsidR="00244B62" w:rsidRPr="00244B62" w:rsidRDefault="00244B62" w:rsidP="001E0823"/>
    <w:p w14:paraId="2A1582CC" w14:textId="77777777" w:rsidR="00244B62" w:rsidRDefault="00244B62" w:rsidP="001E0823">
      <w:pPr>
        <w:pStyle w:val="BodyText"/>
      </w:pPr>
      <w:r w:rsidRPr="00244B62">
        <w:t>In 2016-17:</w:t>
      </w:r>
    </w:p>
    <w:p w14:paraId="290AF071" w14:textId="4973D703" w:rsidR="00244B62" w:rsidRDefault="00244B62" w:rsidP="001E0823">
      <w:pPr>
        <w:pStyle w:val="ListBullet"/>
      </w:pPr>
      <w:r w:rsidRPr="00244B62">
        <w:t>466</w:t>
      </w:r>
      <w:r>
        <w:t xml:space="preserve"> </w:t>
      </w:r>
      <w:r w:rsidR="00A208AA">
        <w:t>e</w:t>
      </w:r>
      <w:r w:rsidRPr="00244B62">
        <w:t>xternal recruitment processes were conducted for 1,194 potential vacancies.</w:t>
      </w:r>
    </w:p>
    <w:p w14:paraId="06D1BEF0" w14:textId="06320226" w:rsidR="00244B62" w:rsidRDefault="00244B62" w:rsidP="001E0823">
      <w:pPr>
        <w:pStyle w:val="ListBullet"/>
      </w:pPr>
      <w:r w:rsidRPr="00244B62">
        <w:t>377</w:t>
      </w:r>
      <w:r>
        <w:t xml:space="preserve"> </w:t>
      </w:r>
      <w:r w:rsidR="00A208AA">
        <w:t>n</w:t>
      </w:r>
      <w:r w:rsidRPr="00244B62">
        <w:t>ew employees from a non-APS backg</w:t>
      </w:r>
      <w:r>
        <w:t>round started with the Agency.</w:t>
      </w:r>
      <w:r>
        <w:rPr>
          <w:rStyle w:val="FootnoteReference"/>
        </w:rPr>
        <w:footnoteReference w:id="13"/>
      </w:r>
    </w:p>
    <w:p w14:paraId="6EB40A6E" w14:textId="7408CD3D" w:rsidR="00244B62" w:rsidRDefault="00A208AA" w:rsidP="001E0823">
      <w:pPr>
        <w:pStyle w:val="ListBullet"/>
      </w:pPr>
      <w:r w:rsidRPr="00A208AA">
        <w:t>69</w:t>
      </w:r>
      <w:r>
        <w:t xml:space="preserve"> n</w:t>
      </w:r>
      <w:r w:rsidRPr="00A208AA">
        <w:t>ew employees identified with disability.</w:t>
      </w:r>
    </w:p>
    <w:p w14:paraId="132F3959" w14:textId="452DB3A8" w:rsidR="00A208AA" w:rsidRDefault="00A208AA" w:rsidP="001E0823">
      <w:pPr>
        <w:pStyle w:val="ListBullet"/>
      </w:pPr>
      <w:r>
        <w:t>29 new employees identified as Aboriginal and Torres Strait Islander.</w:t>
      </w:r>
    </w:p>
    <w:p w14:paraId="316E1DB6" w14:textId="39D0BFD4" w:rsidR="00A208AA" w:rsidRDefault="00A208AA" w:rsidP="001E0823">
      <w:pPr>
        <w:pStyle w:val="ListBullet"/>
      </w:pPr>
      <w:r>
        <w:t>23,865 applications for recruitment were received:</w:t>
      </w:r>
    </w:p>
    <w:p w14:paraId="512C8092" w14:textId="77777777" w:rsidR="00A208AA" w:rsidRDefault="00A208AA" w:rsidP="001E0823">
      <w:pPr>
        <w:pStyle w:val="ListBullet2"/>
      </w:pPr>
      <w:r>
        <w:t>880 identified as Aboriginal or Torres Strait Islander (3.7 per cent).</w:t>
      </w:r>
    </w:p>
    <w:p w14:paraId="6288F480" w14:textId="77777777" w:rsidR="00A208AA" w:rsidRDefault="00A208AA" w:rsidP="001E0823">
      <w:pPr>
        <w:pStyle w:val="ListBullet2"/>
      </w:pPr>
      <w:r>
        <w:t>2,730 identified as a person with disability (11.4 per cent).</w:t>
      </w:r>
    </w:p>
    <w:p w14:paraId="669ACBA0" w14:textId="6D31DD50" w:rsidR="008536E3" w:rsidRDefault="00A208AA" w:rsidP="001E0823">
      <w:pPr>
        <w:pStyle w:val="ListBullet2"/>
      </w:pPr>
      <w:r>
        <w:t>2,191 opted into RecruitAbility scheme (80.2 per cent of those eligible).</w:t>
      </w:r>
    </w:p>
    <w:p w14:paraId="2D043DA6" w14:textId="77777777" w:rsidR="008536E3" w:rsidRDefault="008536E3" w:rsidP="001E0823">
      <w:r>
        <w:br w:type="page"/>
      </w:r>
    </w:p>
    <w:p w14:paraId="419870E9" w14:textId="17FEAE8E" w:rsidR="008536E3" w:rsidRDefault="008536E3" w:rsidP="001E0823">
      <w:pPr>
        <w:pStyle w:val="Heading4"/>
      </w:pPr>
      <w:r>
        <w:lastRenderedPageBreak/>
        <w:t>Attracting and retaining talent</w:t>
      </w:r>
    </w:p>
    <w:p w14:paraId="103077B5" w14:textId="77777777" w:rsidR="008536E3" w:rsidRDefault="008536E3" w:rsidP="001E0823">
      <w:pPr>
        <w:pStyle w:val="BodyText"/>
      </w:pPr>
      <w:r>
        <w:t>In the past year, the Agency was recognised as the seventh most appealing Australian employer of choice out of a pool of 150 employers at the Randstad Awards.</w:t>
      </w:r>
    </w:p>
    <w:p w14:paraId="2E6D2529" w14:textId="77777777" w:rsidR="008536E3" w:rsidRDefault="008536E3" w:rsidP="001E0823">
      <w:pPr>
        <w:pStyle w:val="BodyText"/>
      </w:pPr>
      <w:r>
        <w:t>The Agency is committed to attracting and retaining the best people to deliver the NDIS. The Agency is also investing in talent development, performance and succession planning processes to ensure it not only attracts the right talent but also grows and develops staff from within.</w:t>
      </w:r>
    </w:p>
    <w:p w14:paraId="2C375789" w14:textId="77777777" w:rsidR="008536E3" w:rsidRDefault="008536E3" w:rsidP="001E0823">
      <w:pPr>
        <w:pStyle w:val="BodyText"/>
      </w:pPr>
      <w:r>
        <w:t xml:space="preserve">In 2016–17 the Agency confirmed its commitment to leadership capability in its Leadership Framework. The Leadership Framework defines the capabilities, behaviours and attributes required of the Agency’s leaders to deliver a quality, high-performing, sustainable Scheme. The Agency also encourages formal and informal learning and development to develop staff capability and capacity, with initiatives detailed on page 91. </w:t>
      </w:r>
    </w:p>
    <w:p w14:paraId="6225DABD" w14:textId="77777777" w:rsidR="008536E3" w:rsidRDefault="008536E3" w:rsidP="001E0823">
      <w:pPr>
        <w:pStyle w:val="Heading4"/>
      </w:pPr>
      <w:r>
        <w:t>Diversity and inclusion</w:t>
      </w:r>
    </w:p>
    <w:p w14:paraId="614578CC" w14:textId="77777777" w:rsidR="008536E3" w:rsidRDefault="008536E3" w:rsidP="001E0823">
      <w:pPr>
        <w:pStyle w:val="BodyText"/>
      </w:pPr>
      <w:r>
        <w:t xml:space="preserve">The Agency is committed to becoming a leading public sector Agency for access and inclusion, and achieving a diverse workforce that is reflective of the communities it serves. The Agency is determined to be an employer of choice and to create a safe and inclusive environment that keeps its people engaged and committed. </w:t>
      </w:r>
    </w:p>
    <w:p w14:paraId="413818C7" w14:textId="77777777" w:rsidR="008536E3" w:rsidRDefault="008536E3" w:rsidP="001E0823">
      <w:pPr>
        <w:pStyle w:val="Heading5"/>
      </w:pPr>
      <w:r>
        <w:t>People with disability</w:t>
      </w:r>
    </w:p>
    <w:p w14:paraId="201B6F00" w14:textId="12B1743D" w:rsidR="008536E3" w:rsidRDefault="008536E3" w:rsidP="001E0823">
      <w:pPr>
        <w:pStyle w:val="ListBullet"/>
      </w:pPr>
      <w:r>
        <w:t>In 2016–17, 14.4 per cent (280) of the Agency workforce identified as having a disability. This compares with an average a</w:t>
      </w:r>
      <w:r w:rsidR="00E22019">
        <w:t>cross the APS of 3.7 per cent.</w:t>
      </w:r>
      <w:r w:rsidR="00E22019">
        <w:rPr>
          <w:rStyle w:val="FootnoteReference"/>
        </w:rPr>
        <w:footnoteReference w:id="14"/>
      </w:r>
      <w:r>
        <w:t xml:space="preserve"> The Agency’s target is 15 per cent of its workforce identifying as having a disability. </w:t>
      </w:r>
    </w:p>
    <w:p w14:paraId="577E0B45" w14:textId="77777777" w:rsidR="008536E3" w:rsidRDefault="008536E3" w:rsidP="001E0823">
      <w:pPr>
        <w:pStyle w:val="ListBullet"/>
      </w:pPr>
      <w:r>
        <w:t>At 30 June 2017 the Agency had 75 staff accessing 83 different licenses from nine different assistive technology software products. These products assist staff with blindness or low vision, mobility, dexterity, cognitive and learning impairments.</w:t>
      </w:r>
    </w:p>
    <w:p w14:paraId="5B302DAA" w14:textId="207B4632" w:rsidR="008536E3" w:rsidRDefault="008536E3" w:rsidP="001E0823">
      <w:pPr>
        <w:pStyle w:val="Heading5"/>
      </w:pPr>
      <w:r>
        <w:t xml:space="preserve">Aboriginal and Torres Strait Islander employment </w:t>
      </w:r>
    </w:p>
    <w:p w14:paraId="6254B8F5" w14:textId="77777777" w:rsidR="008536E3" w:rsidRDefault="008536E3" w:rsidP="001E0823">
      <w:pPr>
        <w:pStyle w:val="BodyText"/>
      </w:pPr>
      <w:r>
        <w:t xml:space="preserve">At 30 June 2017, 2.7 per cent (53) of the Agency’s employees identified as Aboriginal and Torres Strait Islander. The Australian Government has set the Agency a target of 2.5 per cent of Indigenous representation by 2018. In the People Strategy 2017–19, the Agency has set this target at three per cent.  </w:t>
      </w:r>
    </w:p>
    <w:p w14:paraId="31B9FFE7" w14:textId="77777777" w:rsidR="008536E3" w:rsidRDefault="008536E3" w:rsidP="001E0823">
      <w:pPr>
        <w:pStyle w:val="Heading5"/>
      </w:pPr>
      <w:r>
        <w:t xml:space="preserve">Maintaining a gender balance </w:t>
      </w:r>
    </w:p>
    <w:p w14:paraId="03D81AB8" w14:textId="77777777" w:rsidR="008536E3" w:rsidRDefault="008536E3" w:rsidP="001E0823">
      <w:pPr>
        <w:pStyle w:val="ListBullet"/>
      </w:pPr>
      <w:r>
        <w:t>At June 2017, 73.6 per cent of the Agency’s workforce was female, compared to an APS average of 59 per cent.</w:t>
      </w:r>
    </w:p>
    <w:p w14:paraId="644645F6" w14:textId="69560F73" w:rsidR="008536E3" w:rsidRDefault="008536E3" w:rsidP="001E0823">
      <w:pPr>
        <w:pStyle w:val="BodyText"/>
      </w:pPr>
      <w:r>
        <w:t xml:space="preserve">The Agency currently has good female representation across the Agency and at 30 June 2017: </w:t>
      </w:r>
    </w:p>
    <w:p w14:paraId="76F6D40B" w14:textId="77777777" w:rsidR="008536E3" w:rsidRDefault="008536E3" w:rsidP="001E0823">
      <w:pPr>
        <w:pStyle w:val="ListBullet"/>
      </w:pPr>
      <w:r>
        <w:t>62 per cent of 321 executive level employees were women.</w:t>
      </w:r>
    </w:p>
    <w:p w14:paraId="7631967D" w14:textId="77777777" w:rsidR="008536E3" w:rsidRDefault="008536E3" w:rsidP="001E0823">
      <w:pPr>
        <w:pStyle w:val="ListBullet"/>
      </w:pPr>
      <w:r>
        <w:t>51 per cent of Senior Executive Service (SES) staff employees were female.</w:t>
      </w:r>
    </w:p>
    <w:p w14:paraId="67673A36" w14:textId="77777777" w:rsidR="008536E3" w:rsidRDefault="008536E3" w:rsidP="001E0823">
      <w:pPr>
        <w:pStyle w:val="ListBullet"/>
      </w:pPr>
      <w:r>
        <w:t>Of 280 employees with disability, 67 per cent were women:</w:t>
      </w:r>
    </w:p>
    <w:p w14:paraId="7E310CBE" w14:textId="77777777" w:rsidR="008536E3" w:rsidRDefault="008536E3" w:rsidP="001E0823">
      <w:pPr>
        <w:pStyle w:val="ListBullet2"/>
      </w:pPr>
      <w:r>
        <w:t>165 work under the APS classification.</w:t>
      </w:r>
    </w:p>
    <w:p w14:paraId="3AC2E124" w14:textId="77777777" w:rsidR="008536E3" w:rsidRDefault="008536E3" w:rsidP="001E0823">
      <w:pPr>
        <w:pStyle w:val="ListBullet2"/>
      </w:pPr>
      <w:r>
        <w:t>21 were executive level employees.</w:t>
      </w:r>
    </w:p>
    <w:p w14:paraId="6143EF54" w14:textId="77777777" w:rsidR="008536E3" w:rsidRDefault="008536E3" w:rsidP="001E0823">
      <w:pPr>
        <w:pStyle w:val="ListBullet2"/>
      </w:pPr>
      <w:r>
        <w:t>Two were in the SES.</w:t>
      </w:r>
    </w:p>
    <w:p w14:paraId="06414DC6" w14:textId="77777777" w:rsidR="008536E3" w:rsidRDefault="008536E3" w:rsidP="001E0823">
      <w:pPr>
        <w:pStyle w:val="BodyText"/>
      </w:pPr>
      <w:r>
        <w:t>The Agency is committed to ensuring the views and experience of employees with lived experience of disability are respected. In 2016-17 the Agency continued the Staff Participant Network (SPN) for NDIS staff members who are also NDIS participants, or family or carers of NDIS participants to share ideas and experiences to inform the NDIS rollout. The Agency received accreditation as a ‘disability confident recruiter’ through the Australian Network on Disability and is the first Commonwealth Agency to obtain this.</w:t>
      </w:r>
    </w:p>
    <w:p w14:paraId="125159C2" w14:textId="77777777" w:rsidR="008536E3" w:rsidRDefault="008536E3" w:rsidP="001E0823">
      <w:pPr>
        <w:pStyle w:val="BodyText"/>
      </w:pPr>
      <w:r>
        <w:lastRenderedPageBreak/>
        <w:t xml:space="preserve">Lived experience of disability is also considered in the Agency’s approach to recruitment. The Australian Public Service Commission (APSC) RecruitAbility Scheme is applied to all advertised vacancies and affirmative measures and identified positions are used to attract and employ people with disability and also Aboriginal and/or Torres Strait Islander persons. Where possible, a person with disability is included on recruitment interview panels, to reaffirm the Agency’s commitment to employing people with disability and to ensure people with disability are represented. </w:t>
      </w:r>
    </w:p>
    <w:p w14:paraId="55ED1D20" w14:textId="77777777" w:rsidR="008536E3" w:rsidRDefault="008536E3" w:rsidP="001E0823">
      <w:pPr>
        <w:pStyle w:val="BodyText"/>
      </w:pPr>
      <w:r>
        <w:t>The Agency has trained Aboriginal and Torres Strait Islander employees for selection panels when specific affirmative measures provisions apply.</w:t>
      </w:r>
    </w:p>
    <w:p w14:paraId="7659DFAE" w14:textId="77777777" w:rsidR="00E22019" w:rsidRDefault="008536E3" w:rsidP="001E0823">
      <w:pPr>
        <w:pStyle w:val="BodyText"/>
      </w:pPr>
      <w:r>
        <w:t xml:space="preserve">The Agency launched the first Reconciliation Action Plan (RAP) on 13 July 2016. The RAP was developed by a working group comprised of Indigenous and non-Indigenous staff. This was in addition to launching the Aboriginal and Torres Strait Islander Employee Network, which will provide peer support for Aboriginal and Torres Strait Islander employees and offer a forum to discuss workforce matters for Aboriginal and Torres Strait Islander employees. Online Aboriginal and Torres Strait Islander Cultural Awareness Training was introduced in July 2016 to increase cultural awareness, knowledge and understanding of </w:t>
      </w:r>
      <w:r w:rsidR="00E22019">
        <w:t>the First Peoples of Australia.</w:t>
      </w:r>
    </w:p>
    <w:p w14:paraId="2502D85C" w14:textId="77777777" w:rsidR="00E22019" w:rsidRDefault="008536E3" w:rsidP="001E0823">
      <w:pPr>
        <w:pStyle w:val="BodyText"/>
      </w:pPr>
      <w:r>
        <w:t>See Appendix 1 for Agency sta</w:t>
      </w:r>
      <w:r w:rsidR="00E22019">
        <w:t>ffing statistics:</w:t>
      </w:r>
    </w:p>
    <w:p w14:paraId="59DC7714" w14:textId="77777777" w:rsidR="00E22019" w:rsidRDefault="008536E3" w:rsidP="001E0823">
      <w:pPr>
        <w:pStyle w:val="ListBullet"/>
      </w:pPr>
      <w:r w:rsidRPr="00E22019">
        <w:t xml:space="preserve">Table 10: Agency staff by employment type </w:t>
      </w:r>
      <w:r w:rsidR="00E22019">
        <w:t>and level 2016–17.</w:t>
      </w:r>
    </w:p>
    <w:p w14:paraId="0F7892DC" w14:textId="77777777" w:rsidR="00E22019" w:rsidRDefault="008536E3" w:rsidP="001E0823">
      <w:pPr>
        <w:pStyle w:val="ListBullet"/>
      </w:pPr>
      <w:r w:rsidRPr="00E22019">
        <w:t xml:space="preserve">Table 11: Agency staff by substantive classification (headcount), 2015-16 </w:t>
      </w:r>
      <w:r w:rsidR="00E22019">
        <w:t>and 2016-17.</w:t>
      </w:r>
    </w:p>
    <w:p w14:paraId="1E33989F" w14:textId="77777777" w:rsidR="00E22019" w:rsidRDefault="008536E3" w:rsidP="001E0823">
      <w:pPr>
        <w:pStyle w:val="ListBullet"/>
      </w:pPr>
      <w:r w:rsidRPr="00E22019">
        <w:t>Table 12: Agency staff attributes, 2015-16 and 2016-17.</w:t>
      </w:r>
    </w:p>
    <w:p w14:paraId="5AAB0028" w14:textId="3C72DAA9" w:rsidR="00A208AA" w:rsidRDefault="008536E3" w:rsidP="001E0823">
      <w:pPr>
        <w:pStyle w:val="ListBullet"/>
      </w:pPr>
      <w:r w:rsidRPr="00E22019">
        <w:t>Table 13: Agency employees who identify as Aboriginal and Torres Strait Islander (headcount), 2015-16 and 2016-17.</w:t>
      </w:r>
    </w:p>
    <w:p w14:paraId="44872FBB" w14:textId="113EF493" w:rsidR="00E22019" w:rsidRDefault="00E22019" w:rsidP="001E0823">
      <w:r>
        <w:br w:type="page"/>
      </w:r>
    </w:p>
    <w:p w14:paraId="1A109F43" w14:textId="3B23CB0C" w:rsidR="00E22019" w:rsidRDefault="003536AE" w:rsidP="001E0823">
      <w:pPr>
        <w:pStyle w:val="CaseStudyTitle"/>
      </w:pPr>
      <w:r>
        <w:lastRenderedPageBreak/>
        <w:t>CASE STUDY:</w:t>
      </w:r>
    </w:p>
    <w:p w14:paraId="0ABA8DEE" w14:textId="77777777" w:rsidR="00E22019" w:rsidRDefault="00E22019" w:rsidP="001E0823">
      <w:pPr>
        <w:pStyle w:val="Heading3"/>
      </w:pPr>
      <w:r>
        <w:t>Graeme Dargie</w:t>
      </w:r>
    </w:p>
    <w:p w14:paraId="31E3ACF7" w14:textId="77777777" w:rsidR="00E22019" w:rsidRDefault="00E22019" w:rsidP="001E0823">
      <w:pPr>
        <w:pStyle w:val="Intro"/>
      </w:pPr>
      <w:r>
        <w:t>Graeme Dargie’s first experience with the NDIS was as the parent of a son with disability. Intrigued by the focus on choice and control for participants, he made enquiries about how he could get involved.</w:t>
      </w:r>
    </w:p>
    <w:p w14:paraId="066F60D7" w14:textId="77777777" w:rsidR="00E22019" w:rsidRDefault="00E22019" w:rsidP="001E0823">
      <w:pPr>
        <w:pStyle w:val="BodyText"/>
      </w:pPr>
      <w:r>
        <w:t>“I have worked as a psychologist and many other roles in the disability field for more than 25 years and this new model really demonstrated a strong empowerment approach,” said the Planning and Support Coordinator from the Perth Hills NDIS Trial Site.</w:t>
      </w:r>
    </w:p>
    <w:p w14:paraId="79E2DB2A" w14:textId="77777777" w:rsidR="00E22019" w:rsidRDefault="00E22019" w:rsidP="001E0823">
      <w:pPr>
        <w:pStyle w:val="BodyText"/>
      </w:pPr>
      <w:r>
        <w:t>“I have a disability myself and found that my lived experience was valued by the Agency.”</w:t>
      </w:r>
    </w:p>
    <w:p w14:paraId="5F946F45" w14:textId="673153F6" w:rsidR="00E22019" w:rsidRDefault="00E22019" w:rsidP="001E0823">
      <w:pPr>
        <w:pStyle w:val="BodyText"/>
      </w:pPr>
      <w:r>
        <w:t>Graeme spent six months as Chairperson of the NDIA’s Staff Participant Network (SPN), a forum open to staff who are NDIS participants, or are a parent, family member or carer of a participant. The network provides valuable advice to influence NDIA operations.</w:t>
      </w:r>
    </w:p>
    <w:p w14:paraId="5C7D876D" w14:textId="77777777" w:rsidR="00E22019" w:rsidRDefault="00E22019" w:rsidP="001E0823">
      <w:pPr>
        <w:pStyle w:val="BodyText"/>
      </w:pPr>
      <w:r>
        <w:t>“I really enjoyed my time as Chairperson of the SPN,” Graeme said. “I felt this was a good chance to bring issues forward for discussion and comment on the direction of our Agency.”</w:t>
      </w:r>
    </w:p>
    <w:p w14:paraId="56C146E0" w14:textId="77777777" w:rsidR="00E22019" w:rsidRDefault="00E22019" w:rsidP="001E0823">
      <w:pPr>
        <w:pStyle w:val="BodyText"/>
      </w:pPr>
      <w:r>
        <w:t>He said changes to the Agency’s operations and the Scheme were directly felt by staff like himself working directly with participants.</w:t>
      </w:r>
    </w:p>
    <w:p w14:paraId="401D8611" w14:textId="77777777" w:rsidR="003536AE" w:rsidRDefault="00E22019" w:rsidP="001E0823">
      <w:pPr>
        <w:pStyle w:val="BodyText"/>
      </w:pPr>
      <w:r>
        <w:t>“I think as a Planner, the greatest thing I have had to deal with is a huge, constant ch</w:t>
      </w:r>
      <w:r w:rsidR="003536AE">
        <w:t>ange environment,” Graeme said.</w:t>
      </w:r>
    </w:p>
    <w:p w14:paraId="66E8C8A9" w14:textId="52BDF377" w:rsidR="00E22019" w:rsidRDefault="00E22019" w:rsidP="001E0823">
      <w:pPr>
        <w:pStyle w:val="BodyText"/>
      </w:pPr>
      <w:r>
        <w:t>“It has been important to appreciate we started in a trial environment where we were learning the best way of doing things. It takes a certain resilience to accept and adopt some of the changes, and it takes good leadership to keep the team focussed on the achievements of the Scheme.</w:t>
      </w:r>
    </w:p>
    <w:p w14:paraId="37396480" w14:textId="484A513C" w:rsidR="003536AE" w:rsidRDefault="00E22019" w:rsidP="001E0823">
      <w:pPr>
        <w:pStyle w:val="BodyText"/>
      </w:pPr>
      <w:r>
        <w:t>“I think the biggest inspiration that I have experienced as a father of a participant, a participant myself and a planner is the stories and achievements participants have experienced coming into the Scheme.”</w:t>
      </w:r>
    </w:p>
    <w:p w14:paraId="661B3E57" w14:textId="77777777" w:rsidR="003536AE" w:rsidRDefault="003536AE" w:rsidP="001E0823">
      <w:r>
        <w:br w:type="page"/>
      </w:r>
    </w:p>
    <w:p w14:paraId="79C2FBFF" w14:textId="28C02DAC" w:rsidR="00E22019" w:rsidRDefault="00EF009B" w:rsidP="001E0823">
      <w:pPr>
        <w:pStyle w:val="Heading3"/>
      </w:pPr>
      <w:r>
        <w:lastRenderedPageBreak/>
        <w:t>4.2 Organising staff to deliver results</w:t>
      </w:r>
    </w:p>
    <w:p w14:paraId="6C268C53" w14:textId="77777777" w:rsidR="00EF009B" w:rsidRDefault="00EF009B" w:rsidP="001E0823">
      <w:pPr>
        <w:pStyle w:val="Intro"/>
      </w:pPr>
      <w:r>
        <w:t xml:space="preserve">The NDIA aspires to be an operationally-excellent organisation. The unprecedented growth in the NDIS has necessitated rapid Agency growth and build-up of human resources frameworks and processes. </w:t>
      </w:r>
    </w:p>
    <w:p w14:paraId="6FA4EFA8" w14:textId="1DE22CF6" w:rsidR="00EF009B" w:rsidRDefault="00EF009B" w:rsidP="001E0823">
      <w:pPr>
        <w:pStyle w:val="BodyText"/>
      </w:pPr>
      <w:r>
        <w:t>In 2017, the Agency delivered a new People Strategy and a new Enterprise Agreement. These underpin the Agency’s vision for how it will operate in the final years of transition to full Scheme and the employment conditions that will enable staff to deliver better outcomes for participants and other stakeholders.</w:t>
      </w:r>
    </w:p>
    <w:p w14:paraId="2E7CF2B8" w14:textId="3402CD47" w:rsidR="00EF009B" w:rsidRDefault="00EF009B" w:rsidP="001E0823">
      <w:pPr>
        <w:pStyle w:val="Heading4"/>
      </w:pPr>
      <w:r>
        <w:t>People Strategy 2017–19</w:t>
      </w:r>
    </w:p>
    <w:p w14:paraId="0A784621" w14:textId="77777777" w:rsidR="00EF009B" w:rsidRDefault="00EF009B" w:rsidP="001E0823">
      <w:pPr>
        <w:pStyle w:val="BodyText"/>
      </w:pPr>
      <w:r>
        <w:t xml:space="preserve">In February 2017, the NDIA released the refreshed People Strategy 2017–19. The Strategy informs how the Agency will support its people to meet Agency objectives by 2020 and become a world leading NDIS. </w:t>
      </w:r>
    </w:p>
    <w:p w14:paraId="227BF6A1" w14:textId="77777777" w:rsidR="00EF009B" w:rsidRDefault="00EF009B" w:rsidP="001E0823">
      <w:pPr>
        <w:pStyle w:val="BodyText"/>
      </w:pPr>
      <w:r>
        <w:t>The Strategy will support the NDIA to prepare for anticipated future changes and to further define, source and build the capability of its people to deliver the Scheme.</w:t>
      </w:r>
    </w:p>
    <w:p w14:paraId="4B176570" w14:textId="08B13770" w:rsidR="00EF009B" w:rsidRDefault="00EF009B" w:rsidP="001E0823">
      <w:pPr>
        <w:pStyle w:val="Heading4"/>
      </w:pPr>
      <w:r>
        <w:t>NDIA Enterprise Agreement (EA) 2017–2019</w:t>
      </w:r>
    </w:p>
    <w:p w14:paraId="5B9B6835" w14:textId="77777777" w:rsidR="00EF009B" w:rsidRDefault="00EF009B" w:rsidP="001E0823">
      <w:pPr>
        <w:pStyle w:val="BodyText"/>
      </w:pPr>
      <w:r>
        <w:t>The NDIA’s inaugural EA came into effect on 28 February 2017 for a three year period. Between 1 July 2016 and 27 February 2017 the Australian Department of Families, Housing, Community Services and Indigenous Affairs (FaHCSIA) EA 2012–14 had continued to be applied to non-Senior Executive Services (SES) staff.</w:t>
      </w:r>
    </w:p>
    <w:p w14:paraId="73F99005" w14:textId="77777777" w:rsidR="00EF009B" w:rsidRDefault="00EF009B" w:rsidP="001E0823">
      <w:pPr>
        <w:pStyle w:val="BodyText"/>
      </w:pPr>
      <w:r>
        <w:t>The new EA was an important milestone as it was developed for NDIA staff, by NDIA staff, after an extensive consultation and bargaining period. It was developed with conditions that are important for individuals and the Agency, such as certainty of entitlements and conditions; building an inclusive culture; and supporting an agile, flexible service delivery agency.</w:t>
      </w:r>
    </w:p>
    <w:p w14:paraId="08E3A6EC" w14:textId="3D3C8F9C" w:rsidR="00F23011" w:rsidRDefault="00EF009B" w:rsidP="001E0823">
      <w:pPr>
        <w:pStyle w:val="BodyText"/>
      </w:pPr>
      <w:r>
        <w:t>Both the FaHCSIA EA 2012-14 and NDIA EA 2017-19 agreements allow for Individual Flexibility Arrangements (IFAs) to vary conditions in the agreements. At 30 June 2017, 1,907 employees were covered by the agreement of which 18 were the subject of IFAs.</w:t>
      </w:r>
    </w:p>
    <w:p w14:paraId="575E2E7C" w14:textId="77777777" w:rsidR="00F23011" w:rsidRDefault="00F23011" w:rsidP="001E0823">
      <w:r>
        <w:br w:type="page"/>
      </w:r>
    </w:p>
    <w:p w14:paraId="1758BE3F" w14:textId="6FE08197" w:rsidR="00F23011" w:rsidRDefault="00F23011" w:rsidP="001E0823">
      <w:pPr>
        <w:pStyle w:val="Heading3"/>
      </w:pPr>
      <w:r>
        <w:lastRenderedPageBreak/>
        <w:t xml:space="preserve">4.3 Developing staff capability and capacity </w:t>
      </w:r>
    </w:p>
    <w:p w14:paraId="42872425" w14:textId="77777777" w:rsidR="00F23011" w:rsidRDefault="00F23011" w:rsidP="001E0823">
      <w:pPr>
        <w:pStyle w:val="Intro"/>
      </w:pPr>
      <w:r>
        <w:t xml:space="preserve">By building the capability and capacity of its people, the NDIA is cultivating a culture of continuous improvement. Employees are provided opportunities to grow their capabilities through a mix of on-the-job, collaborative and more structured learning opportunities. </w:t>
      </w:r>
    </w:p>
    <w:p w14:paraId="55826E31" w14:textId="77777777" w:rsidR="00F23011" w:rsidRDefault="00F23011" w:rsidP="001E0823">
      <w:pPr>
        <w:pStyle w:val="BodyText"/>
      </w:pPr>
      <w:r>
        <w:t xml:space="preserve">A 100-day performance development program allows all staff members to reflect on their performance and how it aligns to Agency goals. </w:t>
      </w:r>
    </w:p>
    <w:p w14:paraId="07CA23F9" w14:textId="77777777" w:rsidR="00F23011" w:rsidRDefault="00F23011" w:rsidP="001E0823">
      <w:pPr>
        <w:pStyle w:val="BodyText"/>
      </w:pPr>
      <w:r>
        <w:t xml:space="preserve">The Agency also manages a dedicated Graduate program, aimed at fostering the next generation of Agency leaders. </w:t>
      </w:r>
    </w:p>
    <w:p w14:paraId="70D2B696" w14:textId="77777777" w:rsidR="00F23011" w:rsidRDefault="00F23011" w:rsidP="001E0823">
      <w:pPr>
        <w:pStyle w:val="Heading4"/>
      </w:pPr>
      <w:r>
        <w:t>Learning and development</w:t>
      </w:r>
    </w:p>
    <w:p w14:paraId="0A8D9B12" w14:textId="77777777" w:rsidR="002E27BE" w:rsidRDefault="00F23011" w:rsidP="001E0823">
      <w:pPr>
        <w:pStyle w:val="BodyText"/>
      </w:pPr>
      <w:r>
        <w:t>With the pace of transition and the rapid growth in Agency staff, the Agency acknowledges the need to improve its training and investme</w:t>
      </w:r>
      <w:r w:rsidR="002E27BE">
        <w:t xml:space="preserve">nts in capability development. </w:t>
      </w:r>
    </w:p>
    <w:p w14:paraId="592FE4C2" w14:textId="77777777" w:rsidR="002E27BE" w:rsidRDefault="00F23011" w:rsidP="001E0823">
      <w:pPr>
        <w:pStyle w:val="BodyText"/>
      </w:pPr>
      <w:r>
        <w:t>The Agency has focussed learning and development on Scheme sustainability and participant experience and improving training materials.</w:t>
      </w:r>
    </w:p>
    <w:p w14:paraId="4759A508" w14:textId="77777777" w:rsidR="002E27BE" w:rsidRDefault="00F23011" w:rsidP="001E0823">
      <w:pPr>
        <w:pStyle w:val="BodyText"/>
      </w:pPr>
      <w:r>
        <w:t>Key f</w:t>
      </w:r>
      <w:r w:rsidR="002E27BE">
        <w:t>ocus areas in 2016-17 included:</w:t>
      </w:r>
    </w:p>
    <w:p w14:paraId="2586CF86" w14:textId="77777777" w:rsidR="002E27BE" w:rsidRDefault="00F23011" w:rsidP="001E0823">
      <w:pPr>
        <w:pStyle w:val="ListBullet"/>
      </w:pPr>
      <w:r w:rsidRPr="002E27BE">
        <w:rPr>
          <w:rStyle w:val="BodyTextBold"/>
        </w:rPr>
        <w:t>Induction</w:t>
      </w:r>
      <w:r>
        <w:t xml:space="preserve"> – design and implementation of a six-week induct</w:t>
      </w:r>
      <w:r w:rsidR="002E27BE">
        <w:t>ion framework for new starters.</w:t>
      </w:r>
    </w:p>
    <w:p w14:paraId="1B81E3FC" w14:textId="77777777" w:rsidR="002E27BE" w:rsidRDefault="00F23011" w:rsidP="001E0823">
      <w:pPr>
        <w:pStyle w:val="ListBullet"/>
      </w:pPr>
      <w:r w:rsidRPr="002E27BE">
        <w:rPr>
          <w:rStyle w:val="BodyTextBold"/>
        </w:rPr>
        <w:t>Mandatory learning program</w:t>
      </w:r>
      <w:r>
        <w:t xml:space="preserve"> – online mandatory learning courses aimed at building knowledge in key aspects of being a public servant. These courses include:</w:t>
      </w:r>
    </w:p>
    <w:p w14:paraId="11C42B4E" w14:textId="77777777" w:rsidR="002E27BE" w:rsidRDefault="00F23011" w:rsidP="001E0823">
      <w:pPr>
        <w:pStyle w:val="ListBullet2"/>
      </w:pPr>
      <w:r>
        <w:t>Australian Public Service Values, Employment Principles and Code of Conduct;</w:t>
      </w:r>
    </w:p>
    <w:p w14:paraId="1B9CFFD7" w14:textId="77777777" w:rsidR="002E27BE" w:rsidRDefault="00F23011" w:rsidP="001E0823">
      <w:pPr>
        <w:pStyle w:val="ListBullet2"/>
      </w:pPr>
      <w:r>
        <w:t>Fraud Awareness;</w:t>
      </w:r>
    </w:p>
    <w:p w14:paraId="59560310" w14:textId="77777777" w:rsidR="002E27BE" w:rsidRDefault="00F23011" w:rsidP="001E0823">
      <w:pPr>
        <w:pStyle w:val="ListBullet2"/>
      </w:pPr>
      <w:r>
        <w:t>Information Handling;</w:t>
      </w:r>
    </w:p>
    <w:p w14:paraId="6A0BFFCC" w14:textId="77777777" w:rsidR="002E27BE" w:rsidRDefault="00F23011" w:rsidP="001E0823">
      <w:pPr>
        <w:pStyle w:val="ListBullet2"/>
      </w:pPr>
      <w:r>
        <w:t>Security Awareness; and</w:t>
      </w:r>
    </w:p>
    <w:p w14:paraId="36BA2FCD" w14:textId="696121D4" w:rsidR="00F23011" w:rsidRDefault="00F23011" w:rsidP="001E0823">
      <w:pPr>
        <w:pStyle w:val="ListBullet2"/>
      </w:pPr>
      <w:r>
        <w:t>Work Health and Safety for Employees.</w:t>
      </w:r>
    </w:p>
    <w:p w14:paraId="1FC8A983" w14:textId="77777777" w:rsidR="00F23011" w:rsidRDefault="00F23011" w:rsidP="001E0823">
      <w:pPr>
        <w:pStyle w:val="ListBullet"/>
      </w:pPr>
      <w:r w:rsidRPr="002E27BE">
        <w:rPr>
          <w:rStyle w:val="BodyTextBold"/>
        </w:rPr>
        <w:t>Disability confidence</w:t>
      </w:r>
      <w:r>
        <w:t xml:space="preserve"> – implementation of a disability awareness program, ‘Disability Awareness at the NDIA’ for all new starters.</w:t>
      </w:r>
    </w:p>
    <w:p w14:paraId="701BB87D" w14:textId="77777777" w:rsidR="00F23011" w:rsidRDefault="00F23011" w:rsidP="001E0823">
      <w:pPr>
        <w:pStyle w:val="ListBullet"/>
      </w:pPr>
      <w:r w:rsidRPr="002E27BE">
        <w:rPr>
          <w:rStyle w:val="BodyTextBold"/>
        </w:rPr>
        <w:t>Participant Pathway learning program</w:t>
      </w:r>
      <w:r>
        <w:t xml:space="preserve"> – the Participant Pathway training aims to improve familiarity and understanding of the fundamental elements of participant service delivery; pre-planning, plan implementation and plan review.</w:t>
      </w:r>
    </w:p>
    <w:p w14:paraId="72819290" w14:textId="77777777" w:rsidR="00F23011" w:rsidRDefault="00F23011" w:rsidP="001E0823">
      <w:pPr>
        <w:pStyle w:val="ListBullet"/>
      </w:pPr>
      <w:r w:rsidRPr="002E27BE">
        <w:rPr>
          <w:rStyle w:val="BodyTextBold"/>
        </w:rPr>
        <w:t>Leadership and Management Capability</w:t>
      </w:r>
      <w:r>
        <w:t xml:space="preserve"> – launch of the Progressive Leadership Series, providing leaders with the opportunity to attend events on coaching, resilience, executive writing, and leadership and management essentials.</w:t>
      </w:r>
    </w:p>
    <w:p w14:paraId="1623895A" w14:textId="77777777" w:rsidR="00904562" w:rsidRDefault="00904562" w:rsidP="001E0823">
      <w:pPr>
        <w:pStyle w:val="BodyText"/>
      </w:pPr>
      <w:r>
        <w:t>In 2016–17, more than 40,000 structured learning courses were completed via the learning management system, LEAP.</w:t>
      </w:r>
    </w:p>
    <w:p w14:paraId="6C59110B" w14:textId="77777777" w:rsidR="00904562" w:rsidRDefault="00904562" w:rsidP="001E0823">
      <w:pPr>
        <w:pStyle w:val="BodyText"/>
        <w:rPr>
          <w:spacing w:val="-1"/>
        </w:rPr>
      </w:pPr>
      <w:r>
        <w:t>Staff also accessed external learning opportunities through organisations such as the Australian Public Service Commission (APSC), Australian Human Resources Institute, Australian and New Zealand School of Government, Institute of Public Administration Australia and Jawun.</w:t>
      </w:r>
    </w:p>
    <w:p w14:paraId="2FEFBA8C" w14:textId="77777777" w:rsidR="00904562" w:rsidRDefault="00904562" w:rsidP="001E0823">
      <w:pPr>
        <w:pStyle w:val="Heading4"/>
      </w:pPr>
      <w:r>
        <w:t>Performance management</w:t>
      </w:r>
    </w:p>
    <w:p w14:paraId="1AD467E6" w14:textId="77777777" w:rsidR="00904562" w:rsidRDefault="00904562" w:rsidP="001E0823">
      <w:pPr>
        <w:pStyle w:val="BodyText"/>
      </w:pPr>
      <w:r>
        <w:t>The Agency has embedded a strong approach to performance development that supports flexibility and agility in the Agency’s workforce in its dynamic, fast-paced operating environment.</w:t>
      </w:r>
    </w:p>
    <w:p w14:paraId="61A2B0A1" w14:textId="77777777" w:rsidR="00904562" w:rsidRDefault="00904562" w:rsidP="001E0823">
      <w:pPr>
        <w:pStyle w:val="BodyText"/>
      </w:pPr>
      <w:r>
        <w:t xml:space="preserve">The Performance Development Framework (PDF) assists in aligning individual performance with the Agency’s leadership culture and drives the Agency’s strategic priorities. </w:t>
      </w:r>
    </w:p>
    <w:p w14:paraId="395EF4AB" w14:textId="1272B1E1" w:rsidR="00904562" w:rsidRDefault="00904562" w:rsidP="001E0823">
      <w:pPr>
        <w:pStyle w:val="BodyText"/>
      </w:pPr>
      <w:r>
        <w:t>As part of performance development, every employee needs to have a 100 day plan based on team goals and the NDIA Corporate Plan. The 100 day plan cycle is underpinned by regular and ongoing communications and performance conversations between leaders and their team members.</w:t>
      </w:r>
    </w:p>
    <w:p w14:paraId="0ADD1858" w14:textId="77777777" w:rsidR="00904562" w:rsidRDefault="00904562" w:rsidP="001E0823">
      <w:pPr>
        <w:pStyle w:val="BodyText"/>
      </w:pPr>
      <w:r>
        <w:lastRenderedPageBreak/>
        <w:t>No performance pay arrangements apply.</w:t>
      </w:r>
    </w:p>
    <w:p w14:paraId="5EFBA1BD" w14:textId="77777777" w:rsidR="00904562" w:rsidRDefault="00904562" w:rsidP="001E0823">
      <w:pPr>
        <w:pStyle w:val="Heading4"/>
      </w:pPr>
      <w:r>
        <w:t>Graduate program</w:t>
      </w:r>
    </w:p>
    <w:p w14:paraId="7678AB38" w14:textId="1690C787" w:rsidR="00904562" w:rsidRDefault="00904562" w:rsidP="001E0823">
      <w:pPr>
        <w:pStyle w:val="BodyText"/>
      </w:pPr>
      <w:r>
        <w:t>The Agency supported the APSC Graduate Development Program, recruiting and supporting 12 graduates through a 10-month development program.</w:t>
      </w:r>
    </w:p>
    <w:p w14:paraId="0E4D8233" w14:textId="77777777" w:rsidR="00904562" w:rsidRDefault="00904562" w:rsidP="001E0823">
      <w:pPr>
        <w:pStyle w:val="BodyText"/>
      </w:pPr>
      <w:r>
        <w:t>The Agency also supports the Commonwealth Government and APSC’s commitment to building Aboriginal and Torres Strait Islander workforce engagement, engaging two participants in the Indigenous Australian Government Development Program in 2016–17.</w:t>
      </w:r>
    </w:p>
    <w:p w14:paraId="4E88A5EF" w14:textId="77777777" w:rsidR="00904562" w:rsidRDefault="00904562" w:rsidP="001E0823">
      <w:pPr>
        <w:pStyle w:val="BodyText"/>
      </w:pPr>
      <w:r>
        <w:t>Graduates undertake two five-month workplace rotations and formal development via the APSC Graduate Development Program.</w:t>
      </w:r>
    </w:p>
    <w:p w14:paraId="6B529FA2" w14:textId="77777777" w:rsidR="00904562" w:rsidRDefault="00904562" w:rsidP="001E0823">
      <w:pPr>
        <w:pStyle w:val="BodyText"/>
      </w:pPr>
      <w:r>
        <w:t>The success of the inaugural graduate program in 2016 has seen retention of all 12 graduates.</w:t>
      </w:r>
    </w:p>
    <w:p w14:paraId="0AE36541" w14:textId="03DB82EC" w:rsidR="001223F5" w:rsidRDefault="00904562" w:rsidP="001E0823">
      <w:pPr>
        <w:pStyle w:val="BodyText"/>
      </w:pPr>
      <w:r>
        <w:t>The 2017 graduate cohort commenced in February 2017, again comprising 12 graduates. Additional development opportunities for graduates include working with a planner, a day of volunteer work with a local disability organisation and a formal mentoring arrangement with one of the SES officers. Of the 12 graduates recruited to the 2017 cohort, 40 per cent identify as having disability and eight were previously volunteers with organisations providing services to people with disability, indicating the Agency is attracting socially-minded and community-engaged applicants.</w:t>
      </w:r>
    </w:p>
    <w:p w14:paraId="173A3E07" w14:textId="77777777" w:rsidR="001223F5" w:rsidRDefault="001223F5" w:rsidP="001E0823">
      <w:r>
        <w:br w:type="page"/>
      </w:r>
    </w:p>
    <w:p w14:paraId="52A61E73" w14:textId="40BB1591" w:rsidR="001223F5" w:rsidRDefault="001223F5" w:rsidP="001E0823">
      <w:pPr>
        <w:pStyle w:val="Heading3"/>
      </w:pPr>
      <w:r>
        <w:lastRenderedPageBreak/>
        <w:t>4.4 Establishing a high-value Partner network</w:t>
      </w:r>
    </w:p>
    <w:p w14:paraId="49EB1444" w14:textId="77777777" w:rsidR="001223F5" w:rsidRDefault="001223F5" w:rsidP="001E0823">
      <w:pPr>
        <w:pStyle w:val="Intro"/>
      </w:pPr>
      <w:r>
        <w:t>The growing network of Partners in the Community (Partners) continues to be critical to the delivery of the NDIS.</w:t>
      </w:r>
    </w:p>
    <w:p w14:paraId="5A756385" w14:textId="77777777" w:rsidR="001223F5" w:rsidRDefault="001223F5" w:rsidP="001E0823">
      <w:pPr>
        <w:pStyle w:val="BodyText"/>
      </w:pPr>
      <w:r>
        <w:t>Partners are suitably experienced and qualified organisations chosen for their strong local knowledge and understanding of people with disability or developmental delay.</w:t>
      </w:r>
    </w:p>
    <w:p w14:paraId="6477D7F4" w14:textId="77777777" w:rsidR="001223F5" w:rsidRDefault="001223F5" w:rsidP="001E0823">
      <w:pPr>
        <w:pStyle w:val="BodyText"/>
      </w:pPr>
      <w:r>
        <w:t>The Agency works with these Partners at a local level throughout Australia to deliver Early Childhood Early Intervention (ECEI) and Local Area Coordination (LAC) services.</w:t>
      </w:r>
    </w:p>
    <w:p w14:paraId="64A4A865" w14:textId="77777777" w:rsidR="001223F5" w:rsidRDefault="001223F5" w:rsidP="001E0823">
      <w:pPr>
        <w:pStyle w:val="BodyText"/>
      </w:pPr>
      <w:r>
        <w:t xml:space="preserve">Partners in the Community delivering ECEI services are experienced in providing early childhood intervention services. ECEI supports children aged 0–6 years who have a developmental delay or disability and their families and carers. </w:t>
      </w:r>
    </w:p>
    <w:p w14:paraId="1BDD1518" w14:textId="77777777" w:rsidR="001223F5" w:rsidRDefault="001223F5" w:rsidP="001E0823">
      <w:pPr>
        <w:pStyle w:val="BodyText"/>
      </w:pPr>
      <w:r>
        <w:t>Partners in the Community delivering  LAC services assist people with disability aged seven and above to understand and access the NDIS, develop and refine their plans and link them to community and mainstream services. They also work within the local community to ensure inclusiveness for people with disability.</w:t>
      </w:r>
    </w:p>
    <w:p w14:paraId="0B7EEA80" w14:textId="77777777" w:rsidR="001223F5" w:rsidRDefault="001223F5" w:rsidP="001E0823">
      <w:pPr>
        <w:pStyle w:val="BodyText"/>
      </w:pPr>
      <w:r>
        <w:t xml:space="preserve">In 2016-17, the Agency funded 21 Partners in the Community to deliver ECEI and LAC services via $116 million of grants and contracts. </w:t>
      </w:r>
    </w:p>
    <w:p w14:paraId="1EF6ED7E" w14:textId="77777777" w:rsidR="001223F5" w:rsidRDefault="001223F5" w:rsidP="001E0823">
      <w:pPr>
        <w:pStyle w:val="BodyText"/>
      </w:pPr>
      <w:r>
        <w:t xml:space="preserve">The Agency established a National Partner Network to assist with the sharing of knowledge and experience between the Agency and Partners. </w:t>
      </w:r>
    </w:p>
    <w:p w14:paraId="752E14A9" w14:textId="0201CF12" w:rsidR="00904562" w:rsidRDefault="001223F5" w:rsidP="001E0823">
      <w:pPr>
        <w:pStyle w:val="BodyText"/>
      </w:pPr>
      <w:r>
        <w:t>Partners are also focussed on reaching their cultural diversity and disability employment target of 15 per cent of employees having a disability. Many Partners have already exceeded this goal.</w:t>
      </w:r>
    </w:p>
    <w:p w14:paraId="5F8826A0" w14:textId="77777777" w:rsidR="00954C29" w:rsidRDefault="00954C29" w:rsidP="001E0823">
      <w:pPr>
        <w:pStyle w:val="BodyText"/>
      </w:pPr>
    </w:p>
    <w:p w14:paraId="6DF7B5E0" w14:textId="4E5CB7F6" w:rsidR="00954C29" w:rsidRDefault="00954C29" w:rsidP="001E0823">
      <w:pPr>
        <w:pStyle w:val="CaseStudyTitle"/>
      </w:pPr>
      <w:r>
        <w:t xml:space="preserve">CASE STUDY: </w:t>
      </w:r>
    </w:p>
    <w:p w14:paraId="530952CD" w14:textId="77777777" w:rsidR="00954C29" w:rsidRDefault="00954C29" w:rsidP="001E0823">
      <w:pPr>
        <w:pStyle w:val="Heading3"/>
      </w:pPr>
      <w:r>
        <w:t>BUSHkids</w:t>
      </w:r>
    </w:p>
    <w:p w14:paraId="27BA6933" w14:textId="77777777" w:rsidR="00954C29" w:rsidRDefault="00954C29" w:rsidP="001E0823">
      <w:pPr>
        <w:pStyle w:val="Intro"/>
      </w:pPr>
      <w:r>
        <w:t>The Royal Queensland Bush Children’s Health Scheme, known as BUSHkids, commenced from 1 April 2017 as a Partner in the Community delivering Early Childhood Early Intervention services in Bundaberg.</w:t>
      </w:r>
    </w:p>
    <w:p w14:paraId="3562A47E" w14:textId="77777777" w:rsidR="00954C29" w:rsidRDefault="00954C29" w:rsidP="001E0823">
      <w:pPr>
        <w:pStyle w:val="BodyText"/>
      </w:pPr>
      <w:r>
        <w:t>Queensland Government disability clients in the Bundaberg area will begin to enter the NDIS from September 2017.</w:t>
      </w:r>
    </w:p>
    <w:p w14:paraId="42256C0A" w14:textId="560A4982" w:rsidR="00954C29" w:rsidRDefault="00954C29" w:rsidP="001E0823">
      <w:pPr>
        <w:pStyle w:val="BodyText"/>
      </w:pPr>
      <w:r>
        <w:t>“So far, the transition to becoming an ECEI Partner has been smooth and we are on track to delivering great ECEI services in Bundaberg,” said BUSHkids Clinical Services Manager Susan Harrison.</w:t>
      </w:r>
    </w:p>
    <w:p w14:paraId="30AE8F7B" w14:textId="77777777" w:rsidR="00954C29" w:rsidRDefault="00954C29" w:rsidP="001E0823">
      <w:pPr>
        <w:pStyle w:val="BodyText"/>
      </w:pPr>
      <w:r>
        <w:t>“We really appreciate the collaborative partnership developing between BUSHkids and the NDIA and believe this approach will yield the best results for Bundaberg families.”</w:t>
      </w:r>
    </w:p>
    <w:p w14:paraId="13B9A7B8" w14:textId="33C31EFA" w:rsidR="00954C29" w:rsidRPr="00904562" w:rsidRDefault="00954C29" w:rsidP="001E0823">
      <w:pPr>
        <w:pStyle w:val="BodyText"/>
      </w:pPr>
      <w:r>
        <w:t>BUSHkids has more than 80 years’ experience working with children and families across rural, regional and remote areas of Queensland; in partnering with the NDIA, BUSHkids has been able to continue building its workforce with a focus on local expertise in the Bundaberg region.</w:t>
      </w:r>
    </w:p>
    <w:p w14:paraId="4AB5D86C" w14:textId="63B2E4B4" w:rsidR="00954C29" w:rsidRDefault="00954C29" w:rsidP="001E0823">
      <w:r>
        <w:br w:type="page"/>
      </w:r>
    </w:p>
    <w:p w14:paraId="142FCCC7" w14:textId="002DF07F" w:rsidR="002021DA" w:rsidRDefault="002021DA" w:rsidP="001E0823">
      <w:pPr>
        <w:pStyle w:val="Heading3"/>
      </w:pPr>
      <w:r>
        <w:lastRenderedPageBreak/>
        <w:t>4.5 Building stakeholder confidence and trust</w:t>
      </w:r>
    </w:p>
    <w:p w14:paraId="08CFA2BF" w14:textId="77777777" w:rsidR="002021DA" w:rsidRDefault="002021DA" w:rsidP="001E0823">
      <w:pPr>
        <w:pStyle w:val="Intro"/>
      </w:pPr>
      <w:r>
        <w:t>The way the NDIA approaches its work and interacts with the community it serves is important.</w:t>
      </w:r>
    </w:p>
    <w:p w14:paraId="20A3328F" w14:textId="77777777" w:rsidR="002021DA" w:rsidRDefault="002021DA" w:rsidP="001E0823">
      <w:pPr>
        <w:pStyle w:val="BodyText"/>
      </w:pPr>
      <w:r>
        <w:t xml:space="preserve">As referenced in Chapter 1, the Participant and Provider Pathway Review provides an important opportunity for the Agency to reassess its interactions with participants and providers. It also provides an opportunity to build community confidence in the Agency’s ability to deliver quality outcomes for NDIS participants. </w:t>
      </w:r>
    </w:p>
    <w:p w14:paraId="2FD76221" w14:textId="77777777" w:rsidR="002021DA" w:rsidRDefault="002021DA" w:rsidP="001E0823">
      <w:pPr>
        <w:pStyle w:val="BodyText"/>
      </w:pPr>
      <w:r>
        <w:t>Beyond the review, the Agency is focussed on building and maintaining strong relationships, and responsive, transparent communications with key stakeholders.</w:t>
      </w:r>
    </w:p>
    <w:p w14:paraId="74DC5F15" w14:textId="77777777" w:rsidR="002021DA" w:rsidRDefault="002021DA" w:rsidP="001E0823">
      <w:pPr>
        <w:pStyle w:val="BodyText"/>
      </w:pPr>
      <w:r>
        <w:t>During the 2016-17 financial year, the Agency and Partners connected with the community through strategic engagement, events and communications.</w:t>
      </w:r>
    </w:p>
    <w:p w14:paraId="45389354" w14:textId="77777777" w:rsidR="002021DA" w:rsidRDefault="002021DA" w:rsidP="001E0823">
      <w:pPr>
        <w:pStyle w:val="BodyText"/>
      </w:pPr>
      <w:r>
        <w:t xml:space="preserve">The NDIA’s engagement strategy outlines how the Agency aspires to build and drive deep relationships with key stakeholders, particularly with the disability sector. As part of this, the Agency runs a CEO Forum every six to eight weeks, which brings together CEOs from 24 key disability peak bodies. This forum is an opportunity to provide updates on the progress and challenges of implementing the NDIS, as well as to listen to feedback from the sector regarding their experiences of the NDIS. </w:t>
      </w:r>
    </w:p>
    <w:p w14:paraId="65300590" w14:textId="4AFAB8C5" w:rsidR="002021DA" w:rsidRDefault="002021DA" w:rsidP="001E0823">
      <w:pPr>
        <w:pStyle w:val="BodyText"/>
      </w:pPr>
      <w:r>
        <w:t>In 2016-17, an average of 75 events were either run or attended by NDIA regional teams each week.</w:t>
      </w:r>
    </w:p>
    <w:p w14:paraId="7160A129" w14:textId="06EE0432" w:rsidR="002021DA" w:rsidRDefault="002021DA" w:rsidP="001E0823">
      <w:pPr>
        <w:pStyle w:val="BodyText"/>
      </w:pPr>
      <w:r>
        <w:t>Three interactive webinars were held for participants and the most popular, ‘Developing and starting your first plan’ had 3,271 registrants. More than 550 comments and questions were submitted during the webinar.</w:t>
      </w:r>
      <w:r>
        <w:cr/>
        <w:t>Eight NDIS information sessions co-hosted by Members of Parliament were held between April and June 2017, with more than 700 people attending.</w:t>
      </w:r>
    </w:p>
    <w:p w14:paraId="2313A120" w14:textId="77777777" w:rsidR="002021DA" w:rsidRDefault="002021DA" w:rsidP="001E0823">
      <w:pPr>
        <w:pStyle w:val="BodyText"/>
      </w:pPr>
      <w:r>
        <w:t xml:space="preserve">The Agency recognises that incorporating the perspectives, opinions and experiences of people with disability and other stakeholders will lead to the best Scheme possible. The Agency is progressing work to provide more opportunities to include the experience and expertise of stakeholders, including participants and providers, in projects and processes that matter to them. </w:t>
      </w:r>
    </w:p>
    <w:p w14:paraId="43190C96" w14:textId="77777777" w:rsidR="002021DA" w:rsidRDefault="002021DA" w:rsidP="001E0823">
      <w:pPr>
        <w:pStyle w:val="BodyText"/>
      </w:pPr>
      <w:r>
        <w:t>Some of the key areas of work in 2016-17 were:</w:t>
      </w:r>
    </w:p>
    <w:p w14:paraId="3304A6AB" w14:textId="77777777" w:rsidR="002021DA" w:rsidRDefault="002021DA" w:rsidP="001E0823">
      <w:pPr>
        <w:pStyle w:val="ListBullet"/>
      </w:pPr>
      <w:r w:rsidRPr="002021DA">
        <w:rPr>
          <w:rStyle w:val="BodyTextBold"/>
        </w:rPr>
        <w:t>Participant and stakeholder workshops</w:t>
      </w:r>
      <w:r>
        <w:t xml:space="preserve"> – testing the usability of processes such as service bookings in partnership with participants.</w:t>
      </w:r>
    </w:p>
    <w:p w14:paraId="547AAF3C" w14:textId="77777777" w:rsidR="002021DA" w:rsidRDefault="002021DA" w:rsidP="001E0823">
      <w:pPr>
        <w:pStyle w:val="ListBullet"/>
      </w:pPr>
      <w:r w:rsidRPr="002021DA">
        <w:rPr>
          <w:rStyle w:val="BodyTextBold"/>
        </w:rPr>
        <w:t xml:space="preserve">Employment </w:t>
      </w:r>
      <w:r>
        <w:t>– establishing the Agency’s Employment Steering Committee and addressing the interface between NDIS funded supports and Disability Employment Services to improve employment outcomes for people with disability.</w:t>
      </w:r>
    </w:p>
    <w:p w14:paraId="60FCBD7B" w14:textId="74239FF1" w:rsidR="00EF009B" w:rsidRDefault="002021DA" w:rsidP="001E0823">
      <w:pPr>
        <w:pStyle w:val="ListBullet"/>
      </w:pPr>
      <w:r w:rsidRPr="002021DA">
        <w:rPr>
          <w:rStyle w:val="BodyTextBold"/>
        </w:rPr>
        <w:t>Carers</w:t>
      </w:r>
      <w:r>
        <w:t xml:space="preserve"> – acknowledging the essential role of carers by developing specific carer-related training for staff.</w:t>
      </w:r>
    </w:p>
    <w:p w14:paraId="6CBCCACD" w14:textId="77777777" w:rsidR="003C4036" w:rsidRDefault="003C4036" w:rsidP="001E0823">
      <w:pPr>
        <w:pStyle w:val="Heading4"/>
      </w:pPr>
      <w:r>
        <w:t xml:space="preserve">Improving ICT systems and processes to deliver quality outcomes </w:t>
      </w:r>
    </w:p>
    <w:p w14:paraId="21BD13B5" w14:textId="77777777" w:rsidR="003C4036" w:rsidRDefault="003C4036" w:rsidP="001E0823">
      <w:pPr>
        <w:pStyle w:val="BodyText"/>
      </w:pPr>
      <w:r>
        <w:t xml:space="preserve">The NDIA is committed to building effective systems and processes, including Information and Communication Technology (ICT), to execute its goals. This will enable the NDIA to inspire community confidence in its ability, and the ability of its systems, to deliver the Scheme. </w:t>
      </w:r>
    </w:p>
    <w:p w14:paraId="6DA9DCB2" w14:textId="77777777" w:rsidR="003C4036" w:rsidRDefault="003C4036" w:rsidP="001E0823">
      <w:pPr>
        <w:pStyle w:val="BodyText"/>
      </w:pPr>
      <w:r>
        <w:t xml:space="preserve">The Agency has been working with the Department of Human Services (DHS) to optimise its ICT systems to support full Scheme operations and payment accuracy. A particular focus has been improving the functionality and user experience of the participant and provider myplace portals. </w:t>
      </w:r>
    </w:p>
    <w:p w14:paraId="28847F9E" w14:textId="77777777" w:rsidR="003C4036" w:rsidRDefault="003C4036" w:rsidP="001E0823">
      <w:pPr>
        <w:pStyle w:val="BodyText"/>
      </w:pPr>
      <w:r>
        <w:t xml:space="preserve">The Participant and Provider Pathway Review is providing invaluable insight into how the Agency’s systems can be improved, from an end-user’s perspective. </w:t>
      </w:r>
    </w:p>
    <w:p w14:paraId="7E209A0D" w14:textId="77777777" w:rsidR="003C4036" w:rsidRDefault="003C4036" w:rsidP="001E0823">
      <w:pPr>
        <w:pStyle w:val="BodyText"/>
      </w:pPr>
      <w:r>
        <w:t>Key ICT projects and process improvements during the year included:</w:t>
      </w:r>
    </w:p>
    <w:p w14:paraId="43C2D3C4" w14:textId="77777777" w:rsidR="003C4036" w:rsidRDefault="003C4036" w:rsidP="001E0823">
      <w:pPr>
        <w:pStyle w:val="ListBullet"/>
      </w:pPr>
      <w:r>
        <w:t>system changes to the online participant and provider portals with a focus on improved functionality and a positive user experience;</w:t>
      </w:r>
    </w:p>
    <w:p w14:paraId="2442E789" w14:textId="3EB4BAE9" w:rsidR="003C4036" w:rsidRDefault="003C4036" w:rsidP="001E0823">
      <w:pPr>
        <w:pStyle w:val="ListBullet"/>
      </w:pPr>
      <w:r>
        <w:lastRenderedPageBreak/>
        <w:t>enhancements to address identified business process gaps to improve the experience for participants, providers and staff;</w:t>
      </w:r>
    </w:p>
    <w:p w14:paraId="35B94ABC" w14:textId="77777777" w:rsidR="003C4036" w:rsidRDefault="003C4036" w:rsidP="001E0823">
      <w:pPr>
        <w:pStyle w:val="ListBullet"/>
      </w:pPr>
      <w:r>
        <w:t xml:space="preserve">expanding the operating hours of the NDIS Contact Centre to 8am – 11pm local times, Monday to Friday; and </w:t>
      </w:r>
    </w:p>
    <w:p w14:paraId="41648818" w14:textId="68F620CE" w:rsidR="003C4036" w:rsidRPr="003C4036" w:rsidRDefault="003C4036" w:rsidP="001E0823">
      <w:pPr>
        <w:pStyle w:val="ListBullet"/>
      </w:pPr>
      <w:r w:rsidRPr="003C4036">
        <w:t>embedding more rigour to test ICT functionality for system updates. These quality co</w:t>
      </w:r>
      <w:r>
        <w:t xml:space="preserve">ntrol processes will be phased </w:t>
      </w:r>
      <w:r w:rsidRPr="003C4036">
        <w:t xml:space="preserve">in progressively </w:t>
      </w:r>
      <w:r>
        <w:t xml:space="preserve">during the first quarter </w:t>
      </w:r>
      <w:r w:rsidRPr="003C4036">
        <w:t>of 2017–18.</w:t>
      </w:r>
    </w:p>
    <w:p w14:paraId="48C5C594" w14:textId="77777777" w:rsidR="003C4036" w:rsidRDefault="003C4036" w:rsidP="001E0823">
      <w:pPr>
        <w:pStyle w:val="Heading4"/>
      </w:pPr>
      <w:r>
        <w:t>MP events</w:t>
      </w:r>
    </w:p>
    <w:p w14:paraId="663995D5" w14:textId="77777777" w:rsidR="003C4036" w:rsidRDefault="003C4036" w:rsidP="001E0823">
      <w:pPr>
        <w:pStyle w:val="BodyText"/>
      </w:pPr>
      <w:r>
        <w:t>The Agency continued to strengthen its links with elected representatives. Senators and Members of Parliament (MPs) were offered the opportunity to host or attend an NDIS information session, in partnership with the NDIA, for their constituents.</w:t>
      </w:r>
    </w:p>
    <w:p w14:paraId="4A35E8C4" w14:textId="77777777" w:rsidR="003C4036" w:rsidRDefault="003C4036" w:rsidP="001E0823">
      <w:pPr>
        <w:pStyle w:val="BodyText"/>
      </w:pPr>
      <w:r>
        <w:t>Eight of these events were held in the 2016–17 financial year with more than 700 people attending.</w:t>
      </w:r>
    </w:p>
    <w:p w14:paraId="112F7F9F" w14:textId="77777777" w:rsidR="003C4036" w:rsidRDefault="003C4036" w:rsidP="001E0823">
      <w:pPr>
        <w:pStyle w:val="BodyText"/>
      </w:pPr>
      <w:r>
        <w:t>Post-event evaluations have shown people value the opportunity to speak face-to-face with NDIA staff, Partners and their local representative about the Scheme and their personal circumstances.</w:t>
      </w:r>
    </w:p>
    <w:p w14:paraId="663FB720" w14:textId="77777777" w:rsidR="003C4036" w:rsidRDefault="003C4036" w:rsidP="001E0823">
      <w:pPr>
        <w:pStyle w:val="BodyText"/>
      </w:pPr>
      <w:r>
        <w:t>Zoe Neville, parent of NDIS participant Ruthie, attended the Albury MP event. “I think people should go in feeling relaxed and feeling confident that this is going to make their lives better, because it really has changed our lives,” she said.</w:t>
      </w:r>
    </w:p>
    <w:p w14:paraId="15B19EDA" w14:textId="67A5E6EC" w:rsidR="00AB5EEC" w:rsidRDefault="003C4036" w:rsidP="001E0823">
      <w:pPr>
        <w:pStyle w:val="BodyText"/>
      </w:pPr>
      <w:r>
        <w:t>These events complement a number of initiatives undertaken by the Agency, working in conjunction with the state, territory and Commonwealth governments, to build community awareness and understanding of the NDIS. This includes working with the Parliamentary Joint Standing Committee on the NDIS and holding NDIS information sessions in partnership with state and territory governments to assist local communities to prepare for the NDIS.</w:t>
      </w:r>
    </w:p>
    <w:p w14:paraId="6298D30F" w14:textId="77777777" w:rsidR="00AB5EEC" w:rsidRDefault="00AB5EEC" w:rsidP="001E0823">
      <w:r>
        <w:br w:type="page"/>
      </w:r>
    </w:p>
    <w:p w14:paraId="18C978D2" w14:textId="77777777" w:rsidR="00AB5EEC" w:rsidRDefault="00AB5EEC" w:rsidP="001E0823">
      <w:pPr>
        <w:pStyle w:val="Heading3"/>
      </w:pPr>
      <w:r>
        <w:lastRenderedPageBreak/>
        <w:t>Mardi Gras</w:t>
      </w:r>
    </w:p>
    <w:p w14:paraId="042CC50B" w14:textId="77777777" w:rsidR="00AB5EEC" w:rsidRDefault="00AB5EEC" w:rsidP="001E0823">
      <w:pPr>
        <w:pStyle w:val="Intro"/>
      </w:pPr>
      <w:r>
        <w:t>In March 2017, the NDIA partnered with People with Disability Australia (PWDA) to participate in the 2017 Sydney Mardi Gras parade.</w:t>
      </w:r>
    </w:p>
    <w:p w14:paraId="448FE5AD" w14:textId="77777777" w:rsidR="00AB5EEC" w:rsidRDefault="00AB5EEC" w:rsidP="001E0823">
      <w:pPr>
        <w:pStyle w:val="BodyText"/>
      </w:pPr>
      <w:r>
        <w:t>The NDIS and Mardi Gras event are perfectly aligned. Both are about building a more inclusive Australia. The partnership with PWDA demonstrates the Agency’s commitment to empowering LGBTIQA+ people with disability to live the life they choose. Agency staff walked side-by-side with PWDA members wearing purple NDIS shirts and wigs. The event reached thousands of people online through live social media and videos made from the parade.</w:t>
      </w:r>
    </w:p>
    <w:p w14:paraId="6F92A3E1" w14:textId="5F6AFDE7" w:rsidR="003C4036" w:rsidRDefault="00AB5EEC" w:rsidP="001E0823">
      <w:pPr>
        <w:pStyle w:val="BodyText"/>
      </w:pPr>
      <w:r>
        <w:t>The Agency recognises the power of partnering with established disability and community groups to reach new audiences, and in the past year has worked with organisations such as the Raising Children Network, the Royal College of General Practitioners and the Australian Paralympic Committee.</w:t>
      </w:r>
    </w:p>
    <w:p w14:paraId="3CAE8541" w14:textId="77777777" w:rsidR="00AB5EEC" w:rsidRDefault="00AB5EEC" w:rsidP="001E0823"/>
    <w:p w14:paraId="5A33449D" w14:textId="6E459B57" w:rsidR="00EC6022" w:rsidRDefault="00EC6022" w:rsidP="001E0823">
      <w:pPr>
        <w:pStyle w:val="CaseStudyTitle"/>
      </w:pPr>
      <w:r>
        <w:t>CASE STUDY:</w:t>
      </w:r>
    </w:p>
    <w:p w14:paraId="14C3A97A" w14:textId="7BDC1E29" w:rsidR="00EC6022" w:rsidRDefault="00EC6022" w:rsidP="001E0823">
      <w:pPr>
        <w:pStyle w:val="Heading3"/>
      </w:pPr>
      <w:r>
        <w:t>Maryanne Diamond AO</w:t>
      </w:r>
    </w:p>
    <w:p w14:paraId="31496F8F" w14:textId="77777777" w:rsidR="00EC6022" w:rsidRDefault="00EC6022" w:rsidP="001E0823">
      <w:pPr>
        <w:pStyle w:val="Intro"/>
      </w:pPr>
      <w:r>
        <w:t>Maryanne Diamond AO was one of four finalists in the 2017 Victorian Australian of the Year Awards. It’s the latest in a long list of accolades for the NDIA’s General Manager, Community Linkages and Engagement Division.</w:t>
      </w:r>
    </w:p>
    <w:p w14:paraId="69498A4D" w14:textId="77777777" w:rsidR="00EC6022" w:rsidRDefault="00EC6022" w:rsidP="001E0823">
      <w:pPr>
        <w:pStyle w:val="BodyText"/>
      </w:pPr>
      <w:r>
        <w:t>Maryanne, who is blind and has a son who is vision impaired, was made an Officer in the Order of Australia in 2014. Two years later she received the Louis Braille Medal, the most prestigious honour given by the World Blind Union. Both acknowledge Maryanne’s leadership in the Marrakesh Treaty, a landmark shift in copyright restrictions geared towards ending the “book famine”.</w:t>
      </w:r>
    </w:p>
    <w:p w14:paraId="454BA582" w14:textId="77777777" w:rsidR="00EC6022" w:rsidRDefault="00EC6022" w:rsidP="001E0823">
      <w:pPr>
        <w:pStyle w:val="BodyText"/>
      </w:pPr>
      <w:r>
        <w:t>Maryanne’s work advocates for accessible versions – such as braille, audio books, large print – of literature to be made available to the world’s blind and visually impaired, less than seven per cent of whom have been able to enjoy these fundamental resources.</w:t>
      </w:r>
    </w:p>
    <w:p w14:paraId="02193789" w14:textId="77777777" w:rsidR="00EC6022" w:rsidRDefault="00EC6022" w:rsidP="001E0823">
      <w:pPr>
        <w:pStyle w:val="BodyText"/>
      </w:pPr>
      <w:r>
        <w:t>Accessibility is a key principle Maryanne brought with her when she joined the NDIA in late 2015, following a seven-year tenure at Vision Australia. Maryanne uses a range of different technologies, including braille and the computer software JAWS, which allow her to download books and newspapers and work. Her experience, both personal and professional, has been crucial in NDIA communication with people of a wide range of abilities.</w:t>
      </w:r>
    </w:p>
    <w:p w14:paraId="1C7424F0" w14:textId="77777777" w:rsidR="00EC6022" w:rsidRDefault="00EC6022" w:rsidP="001E0823">
      <w:pPr>
        <w:pStyle w:val="BodyText"/>
      </w:pPr>
      <w:r>
        <w:t>“Working with stakeholders is key to the success of the NDIS,” Maryanne said.</w:t>
      </w:r>
    </w:p>
    <w:p w14:paraId="2EB9DE70" w14:textId="77777777" w:rsidR="00EC6022" w:rsidRDefault="00EC6022" w:rsidP="001E0823">
      <w:pPr>
        <w:pStyle w:val="BodyText"/>
      </w:pPr>
      <w:r>
        <w:t>“Supporting the inclusion of a range of voices and hearing emerging issues straight from the source is important so we can improve and deliver the best Scheme possible.”</w:t>
      </w:r>
    </w:p>
    <w:p w14:paraId="2B97319A" w14:textId="77777777" w:rsidR="00EC6022" w:rsidRDefault="00EC6022" w:rsidP="001E0823">
      <w:pPr>
        <w:pStyle w:val="BodyText"/>
      </w:pPr>
      <w:r>
        <w:t>Maryanne is the most senior NDIA staff member with a disability, and she is committed to communicating the message that the NDIS is a journey that will take time, yet ultimately change lives. She has become a key spokesperson in community events and with the media.</w:t>
      </w:r>
    </w:p>
    <w:p w14:paraId="62569C49" w14:textId="77777777" w:rsidR="00EC6022" w:rsidRDefault="00EC6022" w:rsidP="001E0823">
      <w:pPr>
        <w:pStyle w:val="BodyText"/>
      </w:pPr>
      <w:r>
        <w:t>“The NDIS is about putting people in charge of their own lives and future – it is about empowerment, decision-making and choice and control,” Maryanne said.</w:t>
      </w:r>
    </w:p>
    <w:p w14:paraId="2FB69754" w14:textId="77777777" w:rsidR="00EC6022" w:rsidRDefault="00EC6022" w:rsidP="001E0823">
      <w:pPr>
        <w:pStyle w:val="BodyText"/>
      </w:pPr>
      <w:r>
        <w:t>“That’s a really big shift for people with disability and the sector. Any transformational change has problems – you don’t press a button on day one and it’s all fine.”</w:t>
      </w:r>
    </w:p>
    <w:p w14:paraId="0E3ADF77" w14:textId="43EE1F59" w:rsidR="004B7862" w:rsidRDefault="00EC6022" w:rsidP="001E0823">
      <w:pPr>
        <w:pStyle w:val="BodyText"/>
      </w:pPr>
      <w:r>
        <w:lastRenderedPageBreak/>
        <w:t>“I can understand the frustrations of the individuals who have been finding the transition difficult. For many people with disabilities life’s always difficult. To add change and unexpected problems, it is adding a huge amount of stress to people who don’t need it. I have a lot of sympathy.”</w:t>
      </w:r>
    </w:p>
    <w:p w14:paraId="2135604B" w14:textId="77777777" w:rsidR="004B7862" w:rsidRDefault="004B7862" w:rsidP="001E0823">
      <w:r>
        <w:br w:type="page"/>
      </w:r>
    </w:p>
    <w:p w14:paraId="17BBD140" w14:textId="77777777" w:rsidR="004B7862" w:rsidRDefault="004B7862" w:rsidP="001E0823">
      <w:pPr>
        <w:pStyle w:val="Heading1"/>
      </w:pPr>
      <w:bookmarkStart w:id="37" w:name="_Toc496611880"/>
      <w:r>
        <w:lastRenderedPageBreak/>
        <w:t>S</w:t>
      </w:r>
      <w:r w:rsidRPr="00346FBF">
        <w:t xml:space="preserve">ection </w:t>
      </w:r>
      <w:r>
        <w:t>T</w:t>
      </w:r>
      <w:r w:rsidRPr="00346FBF">
        <w:t>wo</w:t>
      </w:r>
      <w:r>
        <w:t xml:space="preserve"> </w:t>
      </w:r>
      <w:r>
        <w:br/>
      </w:r>
      <w:r w:rsidRPr="00346FBF">
        <w:t>Performance Report</w:t>
      </w:r>
      <w:bookmarkEnd w:id="37"/>
    </w:p>
    <w:p w14:paraId="1B5739FA" w14:textId="77777777" w:rsidR="004B7862" w:rsidRDefault="004B7862" w:rsidP="001E0823">
      <w:pPr>
        <w:rPr>
          <w:rFonts w:eastAsiaTheme="majorEastAsia" w:cstheme="majorBidi"/>
          <w:color w:val="6B2976" w:themeColor="background2"/>
          <w:sz w:val="56"/>
          <w:szCs w:val="32"/>
        </w:rPr>
      </w:pPr>
      <w:r>
        <w:br w:type="page"/>
      </w:r>
    </w:p>
    <w:p w14:paraId="7C57E85C" w14:textId="77777777" w:rsidR="004B7862" w:rsidRDefault="004B7862" w:rsidP="001E0823">
      <w:pPr>
        <w:pStyle w:val="Heading2"/>
      </w:pPr>
      <w:bookmarkStart w:id="38" w:name="_Toc496611881"/>
      <w:r>
        <w:lastRenderedPageBreak/>
        <w:t>Performance statements authority</w:t>
      </w:r>
      <w:bookmarkEnd w:id="38"/>
    </w:p>
    <w:p w14:paraId="537A08A2" w14:textId="77777777" w:rsidR="004B7862" w:rsidRDefault="004B7862" w:rsidP="001E0823">
      <w:pPr>
        <w:pStyle w:val="Intro"/>
      </w:pPr>
      <w:r>
        <w:t xml:space="preserve">I, Helen Nugent, as Chairman of the accountable authority of the National Disability Insurance Agency, present the 2016–17 annual performance statements of the National Disability Insurance Agency, as required under paragraph 39(1)(a) of the </w:t>
      </w:r>
      <w:r w:rsidRPr="00346FBF">
        <w:rPr>
          <w:rStyle w:val="IntroItalic"/>
        </w:rPr>
        <w:t>Public Governance, Performance and Accountability Act 2013</w:t>
      </w:r>
      <w:r>
        <w:t xml:space="preserve"> (PGPA Act) and the </w:t>
      </w:r>
      <w:r w:rsidRPr="00346FBF">
        <w:rPr>
          <w:rStyle w:val="IntroItalic"/>
        </w:rPr>
        <w:t>National Disability Insurance Scheme Act 2013</w:t>
      </w:r>
      <w:r>
        <w:t xml:space="preserve"> (NDIS Act). </w:t>
      </w:r>
    </w:p>
    <w:p w14:paraId="0BAA0865" w14:textId="77777777" w:rsidR="004B7862" w:rsidRDefault="004B7862" w:rsidP="001E0823">
      <w:pPr>
        <w:pStyle w:val="BodyText"/>
      </w:pPr>
      <w:r>
        <w:t>In my opinion, these annual performance statements are based on properly maintained records, accurately reflect the performance of the entity, and comply with subsection 39(2) of the PGPA Act.</w:t>
      </w:r>
    </w:p>
    <w:p w14:paraId="1510C07E" w14:textId="77777777" w:rsidR="004B7862" w:rsidRDefault="004B7862" w:rsidP="001E0823">
      <w:pPr>
        <w:pStyle w:val="BodyText"/>
        <w:rPr>
          <w:rStyle w:val="BodyTextBold"/>
        </w:rPr>
      </w:pPr>
      <w:r w:rsidRPr="00346FBF">
        <w:rPr>
          <w:rStyle w:val="BodyTextBold"/>
        </w:rPr>
        <w:t>Dr Helen Nugent AO</w:t>
      </w:r>
    </w:p>
    <w:p w14:paraId="3EB56549" w14:textId="77777777" w:rsidR="004B7862" w:rsidRDefault="004B7862" w:rsidP="001E0823">
      <w:pPr>
        <w:pStyle w:val="Heading2"/>
      </w:pPr>
      <w:bookmarkStart w:id="39" w:name="_Toc496611882"/>
      <w:r>
        <w:lastRenderedPageBreak/>
        <w:t>Performance statement</w:t>
      </w:r>
      <w:bookmarkEnd w:id="39"/>
    </w:p>
    <w:p w14:paraId="4FFB6E3F" w14:textId="77777777" w:rsidR="004B7862" w:rsidRDefault="004B7862" w:rsidP="001E0823">
      <w:pPr>
        <w:pStyle w:val="BodyText"/>
      </w:pPr>
      <w:r>
        <w:t xml:space="preserve">The National Disability Insurance Agency’s (NDIA or Agency) mission is to build and manage a world leading National Disability Insurance Scheme (NDIS or Scheme) for all Australians. Its vision is to optimise social and economic independence and participation for people with disability. </w:t>
      </w:r>
    </w:p>
    <w:p w14:paraId="7BC140B9" w14:textId="07374B71" w:rsidR="004B7862" w:rsidRDefault="004B7862" w:rsidP="001E0823">
      <w:pPr>
        <w:pStyle w:val="BodyText"/>
      </w:pPr>
      <w:r>
        <w:t>The past year has been one of rapid change and expansion</w:t>
      </w:r>
      <w:r w:rsidRPr="00856E7A">
        <w:t>. More than 90,000 Australians with disability now have an approved NDIS plan.</w:t>
      </w:r>
      <w:r w:rsidR="00856E7A" w:rsidRPr="00856E7A">
        <w:rPr>
          <w:rStyle w:val="FootnoteReference"/>
        </w:rPr>
        <w:footnoteReference w:id="15"/>
      </w:r>
      <w:r>
        <w:t xml:space="preserve"> The challenges inherent in the sheer size and pace of transition have resulted in a participant and provider experience that is not consistent with the high standards to which the NDIA aspires. As acknowledged earlier in this Annual Report, the NDIA has learnt from these challenges and is well advanced in redesigning the participant and provider pathway, following extensive consultation with key stakeholders. While high-level agreement now exists on the proposed pathways, further discussions on the detail will occur before the revised pathways are finalised.</w:t>
      </w:r>
    </w:p>
    <w:p w14:paraId="3FDCF13E" w14:textId="77777777" w:rsidR="004B7862" w:rsidRDefault="004B7862" w:rsidP="001E0823">
      <w:pPr>
        <w:pStyle w:val="BodyText"/>
      </w:pPr>
      <w:r>
        <w:t>These statements provide information on how the NDIA has performed against the goals outlined in its 2016-21 Corporate Plan.17 The period covered by these statements is 1 July 2016 to 30 June 2017.</w:t>
      </w:r>
    </w:p>
    <w:p w14:paraId="1A1FB111" w14:textId="77777777" w:rsidR="004B7862" w:rsidRDefault="004B7862" w:rsidP="001E0823">
      <w:pPr>
        <w:pStyle w:val="BodyText"/>
      </w:pPr>
      <w:r>
        <w:t>The Corporate Plan sets three goals for the Scheme:</w:t>
      </w:r>
    </w:p>
    <w:p w14:paraId="4CD88EF9" w14:textId="77777777" w:rsidR="004B7862" w:rsidRDefault="004B7862" w:rsidP="001E0823">
      <w:pPr>
        <w:pStyle w:val="ListBullet"/>
      </w:pPr>
      <w:r w:rsidRPr="0015251A">
        <w:rPr>
          <w:rStyle w:val="BodyTextBold"/>
        </w:rPr>
        <w:t>Goal 1</w:t>
      </w:r>
      <w:r>
        <w:t xml:space="preserve"> - People with disability are in control and have choices consistent with the United Nations Convention on the Rights of Persons with Disabilities.</w:t>
      </w:r>
    </w:p>
    <w:p w14:paraId="2AF1D055" w14:textId="77777777" w:rsidR="004B7862" w:rsidRDefault="004B7862" w:rsidP="001E0823">
      <w:pPr>
        <w:pStyle w:val="ListBullet"/>
      </w:pPr>
      <w:r w:rsidRPr="0015251A">
        <w:rPr>
          <w:rStyle w:val="BodyTextBold"/>
        </w:rPr>
        <w:t>Goal 2</w:t>
      </w:r>
      <w:r>
        <w:t xml:space="preserve"> - The National Disability Insurance Scheme is financially sustainable and governed using insurance principles.</w:t>
      </w:r>
    </w:p>
    <w:p w14:paraId="19D2199C" w14:textId="77777777" w:rsidR="004B7862" w:rsidRDefault="004B7862" w:rsidP="001E0823">
      <w:pPr>
        <w:pStyle w:val="ListBullet"/>
      </w:pPr>
      <w:r w:rsidRPr="0015251A">
        <w:rPr>
          <w:rStyle w:val="BodyTextBold"/>
        </w:rPr>
        <w:t>Goal 3</w:t>
      </w:r>
      <w:r>
        <w:t xml:space="preserve"> - The community has ownership, confidence and pride in the National Disability Insurance Scheme and the National Disability Insurance Agency.</w:t>
      </w:r>
    </w:p>
    <w:p w14:paraId="2C2D2926" w14:textId="0F6ECF96" w:rsidR="004B7862" w:rsidRDefault="004B7862" w:rsidP="001E0823">
      <w:pPr>
        <w:pStyle w:val="BodyText"/>
      </w:pPr>
      <w:r>
        <w:t>Each goal is to be achieved through three corresponding strategies. In turn, each strategy is implemented through a number of activities as listed in the Corporate Plan.</w:t>
      </w:r>
      <w:r w:rsidR="00856E7A">
        <w:rPr>
          <w:rStyle w:val="FootnoteReference"/>
        </w:rPr>
        <w:footnoteReference w:id="16"/>
      </w:r>
      <w:r>
        <w:t xml:space="preserve">  </w:t>
      </w:r>
    </w:p>
    <w:p w14:paraId="5B90687A" w14:textId="73116F3A" w:rsidR="004B7862" w:rsidRDefault="004B7862" w:rsidP="001E0823">
      <w:pPr>
        <w:pStyle w:val="BodyText"/>
      </w:pPr>
      <w:r w:rsidRPr="00856E7A">
        <w:t xml:space="preserve">These annual performance statements provide performance information for the past year against each of the Corporate Plan’s goals and strategies. In addition, the </w:t>
      </w:r>
      <w:r w:rsidRPr="00856E7A">
        <w:rPr>
          <w:rStyle w:val="BodyTextItalic"/>
        </w:rPr>
        <w:t>Public Governance, Performance Accountability Rule 2014</w:t>
      </w:r>
      <w:r w:rsidRPr="00856E7A">
        <w:t xml:space="preserve"> (PGPA Rule)</w:t>
      </w:r>
      <w:r w:rsidR="00856E7A" w:rsidRPr="00856E7A">
        <w:rPr>
          <w:rStyle w:val="FootnoteReference"/>
        </w:rPr>
        <w:footnoteReference w:id="17"/>
      </w:r>
      <w:r w:rsidR="00856E7A" w:rsidRPr="00856E7A">
        <w:rPr>
          <w:rStyle w:val="FootnoteReference"/>
        </w:rPr>
        <w:t xml:space="preserve"> </w:t>
      </w:r>
      <w:r w:rsidRPr="00856E7A">
        <w:t>requires the NDIA to report on its performance against the single outcome</w:t>
      </w:r>
      <w:r w:rsidR="00856E7A" w:rsidRPr="00856E7A">
        <w:rPr>
          <w:rStyle w:val="FootnoteReference"/>
        </w:rPr>
        <w:footnoteReference w:id="18"/>
      </w:r>
      <w:r w:rsidRPr="00856E7A">
        <w:t xml:space="preserve"> (and three associated programs)</w:t>
      </w:r>
      <w:r w:rsidR="00856E7A" w:rsidRPr="00856E7A">
        <w:rPr>
          <w:rStyle w:val="FootnoteReference"/>
        </w:rPr>
        <w:footnoteReference w:id="19"/>
      </w:r>
      <w:r w:rsidRPr="00856E7A">
        <w:t xml:space="preserve"> in the Portfolio Budget Statement 2016-17 for the Social Services portfolio (PB Statements). Reporting on these programs is integrated throughout the Performance Statements under the relevant goals or strategies.</w:t>
      </w:r>
    </w:p>
    <w:p w14:paraId="4E04E9B6" w14:textId="77777777" w:rsidR="004B7862" w:rsidRDefault="004B7862" w:rsidP="001E0823">
      <w:pPr>
        <w:pStyle w:val="BodyText"/>
      </w:pPr>
      <w:r>
        <w:t>In 2016-17, the first year of transition to full Scheme, the NDIA has collected baseline data using the NDIS Outcomes Framework - the Agency’s mechanism for measuring success for people with disability in areas like choice and control, social inclusion, education, employment, health and housing. At this stage, only cross-sectional (baseline) analysis is possible since longitudinal data is yet to be captured. When the Scheme operates for a longer period, long-term data will provide the ability to measure and report at a more granular level.</w:t>
      </w:r>
    </w:p>
    <w:p w14:paraId="2D86B958" w14:textId="77777777" w:rsidR="004B7862" w:rsidRDefault="004B7862" w:rsidP="001E0823">
      <w:pPr>
        <w:pStyle w:val="Intro"/>
      </w:pPr>
      <w:r w:rsidRPr="003279B7">
        <w:rPr>
          <w:rStyle w:val="Heading3Char"/>
        </w:rPr>
        <w:lastRenderedPageBreak/>
        <w:t>Goal 1:</w:t>
      </w:r>
      <w:r>
        <w:t xml:space="preserve"> </w:t>
      </w:r>
      <w:r>
        <w:cr/>
      </w:r>
      <w:r w:rsidRPr="003279B7">
        <w:t>People with disability are in control and have choices consistent with the United Nations Convention on the Rights of Persons with Disabilities</w:t>
      </w:r>
    </w:p>
    <w:p w14:paraId="248130B9" w14:textId="5281F714" w:rsidR="004B7862" w:rsidRDefault="004B7862" w:rsidP="001E0823">
      <w:pPr>
        <w:pStyle w:val="BodyText"/>
      </w:pPr>
      <w:r w:rsidRPr="00F93D1A">
        <w:t>The intended outcome of Goal 1 is that ‘people with disability plan and exercise choice and achieve their goals for independence, social and economic participation, increased self-determination and self-management.</w:t>
      </w:r>
      <w:r w:rsidRPr="00F93D1A">
        <w:rPr>
          <w:rStyle w:val="FootnoteReference"/>
        </w:rPr>
        <w:t>’</w:t>
      </w:r>
      <w:r w:rsidR="00856E7A" w:rsidRPr="00F93D1A">
        <w:rPr>
          <w:rStyle w:val="FootnoteReference"/>
        </w:rPr>
        <w:footnoteReference w:id="20"/>
      </w:r>
      <w:r>
        <w:t xml:space="preserve">  </w:t>
      </w:r>
    </w:p>
    <w:p w14:paraId="0B36F530" w14:textId="329AE97F" w:rsidR="004B7862" w:rsidRDefault="004B7862" w:rsidP="001E0823">
      <w:pPr>
        <w:pStyle w:val="BodyText"/>
      </w:pPr>
      <w:r w:rsidRPr="00F93D1A">
        <w:t xml:space="preserve">Under Goal 1, the NDIA also reports on the performance criteria under </w:t>
      </w:r>
      <w:r w:rsidRPr="00F93D1A">
        <w:rPr>
          <w:rStyle w:val="BodyTextItalic"/>
        </w:rPr>
        <w:t>Program 1.1 - Reasonable and necessary care and support for participants</w:t>
      </w:r>
      <w:r w:rsidRPr="00F93D1A">
        <w:t xml:space="preserve"> under the PB Statements relating to the number of participants.</w:t>
      </w:r>
      <w:r w:rsidR="00F93D1A" w:rsidRPr="00F93D1A">
        <w:rPr>
          <w:rStyle w:val="FootnoteReference"/>
        </w:rPr>
        <w:footnoteReference w:id="21"/>
      </w:r>
      <w:r>
        <w:t xml:space="preserve"> </w:t>
      </w:r>
    </w:p>
    <w:p w14:paraId="5668ECF5" w14:textId="77777777" w:rsidR="004B7862" w:rsidRDefault="004B7862" w:rsidP="001E0823">
      <w:pPr>
        <w:pStyle w:val="Heading4"/>
      </w:pPr>
      <w:r>
        <w:t xml:space="preserve">Strategy 1.1  </w:t>
      </w:r>
    </w:p>
    <w:p w14:paraId="12574787" w14:textId="29E52C0F" w:rsidR="004B7862" w:rsidRDefault="004B7862" w:rsidP="001E0823">
      <w:pPr>
        <w:pStyle w:val="BodyText"/>
      </w:pPr>
      <w:r w:rsidRPr="00F93D1A">
        <w:t>Strategy 1.1 is to ‘build the capacity of people with disability to exercise choice and control in the pursuit of their goals’.</w:t>
      </w:r>
      <w:r w:rsidR="00F93D1A" w:rsidRPr="00F93D1A">
        <w:rPr>
          <w:rStyle w:val="FootnoteReference"/>
        </w:rPr>
        <w:footnoteReference w:id="22"/>
      </w:r>
      <w:r>
        <w:t xml:space="preserve">  </w:t>
      </w:r>
    </w:p>
    <w:p w14:paraId="395FB553" w14:textId="77777777" w:rsidR="004B7862" w:rsidRDefault="004B7862" w:rsidP="001E0823">
      <w:pPr>
        <w:pStyle w:val="BodyText"/>
      </w:pPr>
      <w:r>
        <w:t xml:space="preserve">Over the year, the Agency focussed on building the capacity to deliver the following activities as identified in the Corporate Plan: </w:t>
      </w:r>
    </w:p>
    <w:p w14:paraId="27BBFC3B" w14:textId="77777777" w:rsidR="004B7862" w:rsidRDefault="004B7862" w:rsidP="001E0823">
      <w:pPr>
        <w:pStyle w:val="ListBullet"/>
      </w:pPr>
      <w:r>
        <w:t>encouraging, enabling and challenging participants to take control and self-manage their supports (with support from family and carers where needed);</w:t>
      </w:r>
    </w:p>
    <w:p w14:paraId="71C83D6B" w14:textId="77777777" w:rsidR="004B7862" w:rsidRDefault="004B7862" w:rsidP="001E0823">
      <w:pPr>
        <w:pStyle w:val="ListBullet"/>
      </w:pPr>
      <w:r>
        <w:t>supporting people with disability to make informed choices in all their dealings, including through information, capability and linkage;</w:t>
      </w:r>
    </w:p>
    <w:p w14:paraId="29E937D8" w14:textId="77777777" w:rsidR="004B7862" w:rsidRDefault="004B7862" w:rsidP="001E0823">
      <w:pPr>
        <w:pStyle w:val="ListBullet"/>
      </w:pPr>
      <w:r>
        <w:t>providing certainty of supports for participants including early intervention supports, through adequate funding and underwriting of the Scheme; and</w:t>
      </w:r>
    </w:p>
    <w:p w14:paraId="73102A9D" w14:textId="77777777" w:rsidR="004B7862" w:rsidRDefault="004B7862" w:rsidP="001E0823">
      <w:pPr>
        <w:pStyle w:val="ListBullet"/>
      </w:pPr>
      <w:r>
        <w:t>delivering the Agency’s market stewardship functions to facilitate the development of a diverse and competitive market.</w:t>
      </w:r>
    </w:p>
    <w:p w14:paraId="4E3FBE5F" w14:textId="77777777" w:rsidR="004B7862" w:rsidRPr="00F93D1A" w:rsidRDefault="004B7862" w:rsidP="001E0823">
      <w:pPr>
        <w:pStyle w:val="Heading5"/>
      </w:pPr>
      <w:r w:rsidRPr="00F93D1A">
        <w:t xml:space="preserve">Key performance measures for Strategy 1.1 </w:t>
      </w:r>
    </w:p>
    <w:p w14:paraId="7E772DBB" w14:textId="53FCDC52" w:rsidR="004B7862" w:rsidRPr="00F93D1A" w:rsidRDefault="004B7862" w:rsidP="001E0823">
      <w:pPr>
        <w:pStyle w:val="ListBullet"/>
      </w:pPr>
      <w:r w:rsidRPr="00F93D1A">
        <w:t>The NDIS aims to improve the choice and control available to people with disability. In 2016-17, 60,357 participants entered the Scheme and received an approved plan. In addition, 6,134 children were supported in the Early Childhood Early Intervention (ECEI) approach. At 30 June 2017, this has resulted in 90,638 participants in total. This represents 83 per cent of the cumulative bilateral estimate of states and territories at 30 June 2017.</w:t>
      </w:r>
      <w:r w:rsidR="00F93D1A" w:rsidRPr="00F93D1A">
        <w:rPr>
          <w:rStyle w:val="FootnoteReference"/>
        </w:rPr>
        <w:footnoteReference w:id="23"/>
      </w:r>
      <w:r w:rsidRPr="00F93D1A">
        <w:t xml:space="preserve"> </w:t>
      </w:r>
    </w:p>
    <w:p w14:paraId="3D225C5D" w14:textId="77777777" w:rsidR="004B7862" w:rsidRDefault="004B7862" w:rsidP="001E0823">
      <w:pPr>
        <w:pStyle w:val="ListBullet"/>
      </w:pPr>
      <w:r>
        <w:t>At 30 June 2017, $370 million was allocated to current plans for active early intervention participants (eight per cent of the total).</w:t>
      </w:r>
    </w:p>
    <w:p w14:paraId="6A3E3852" w14:textId="77777777" w:rsidR="004B7862" w:rsidRPr="00F93D1A" w:rsidRDefault="004B7862" w:rsidP="001E0823">
      <w:pPr>
        <w:pStyle w:val="ListBullet"/>
      </w:pPr>
      <w:r>
        <w:t xml:space="preserve">The NDIS encourages participants to take control and self-manage their supports when they consider it appropriate. Seven per cent of participants are self-managed fully; nine per cent are partly self-managed; 11 per cent managed with the assistance of a plan manager; and 73 per cent are Agency-managed. The </w:t>
      </w:r>
      <w:r w:rsidRPr="00F93D1A">
        <w:t>Agency has set a target of 18 per cent of participants being fully or partly self-managed by 30 June 2018.</w:t>
      </w:r>
    </w:p>
    <w:p w14:paraId="70038823" w14:textId="13C345B7" w:rsidR="004B7862" w:rsidRPr="00A56F20" w:rsidRDefault="004B7862" w:rsidP="001E0823">
      <w:pPr>
        <w:pStyle w:val="ListBullet"/>
      </w:pPr>
      <w:r w:rsidRPr="00A56F20">
        <w:t>The baseline data captured during this first year of transition (2016-17) shows that 46 per cent of participants choose who supports them.</w:t>
      </w:r>
      <w:r w:rsidR="00F93D1A" w:rsidRPr="00A56F20">
        <w:rPr>
          <w:rStyle w:val="FootnoteReference"/>
        </w:rPr>
        <w:footnoteReference w:id="24"/>
      </w:r>
    </w:p>
    <w:p w14:paraId="528AAB90" w14:textId="0647DEA1" w:rsidR="004B7862" w:rsidRPr="00A56F20" w:rsidRDefault="004B7862" w:rsidP="001E0823">
      <w:pPr>
        <w:pStyle w:val="ListBullet"/>
      </w:pPr>
      <w:r w:rsidRPr="00A56F20">
        <w:lastRenderedPageBreak/>
        <w:t>A healthy, innovative and efficient market of supports is also needed to support a culture of choice and control for a full range of disability services.</w:t>
      </w:r>
      <w:r w:rsidR="00F93D1A" w:rsidRPr="00A56F20">
        <w:rPr>
          <w:rStyle w:val="FootnoteReference"/>
        </w:rPr>
        <w:footnoteReference w:id="25"/>
      </w:r>
      <w:r w:rsidRPr="00A56F20">
        <w:t xml:space="preserve"> Market growth over the year resulted in:</w:t>
      </w:r>
    </w:p>
    <w:p w14:paraId="2CE48F1A" w14:textId="77777777" w:rsidR="004B7862" w:rsidRPr="00A56F20" w:rsidRDefault="004B7862" w:rsidP="001E0823">
      <w:pPr>
        <w:pStyle w:val="ListBullet2"/>
      </w:pPr>
      <w:r w:rsidRPr="00A56F20">
        <w:t>8,698 registered providers approved to deliver disability supports to NDIS participants in at least one registration group at 30 June 2017. This is an increase of 5,179 registered providers from 30 June 2016; and</w:t>
      </w:r>
    </w:p>
    <w:p w14:paraId="57529F7A" w14:textId="77777777" w:rsidR="004B7862" w:rsidRDefault="004B7862" w:rsidP="001E0823">
      <w:pPr>
        <w:pStyle w:val="ListBullet2"/>
      </w:pPr>
      <w:r>
        <w:t>1,763 providers assisting with providing more choice and control as they are providing new types of supports to participants.</w:t>
      </w:r>
    </w:p>
    <w:p w14:paraId="17BCECA8" w14:textId="77777777" w:rsidR="004B7862" w:rsidRDefault="004B7862" w:rsidP="001E0823">
      <w:pPr>
        <w:pStyle w:val="Heading4"/>
      </w:pPr>
      <w:r>
        <w:t>Strategy 1.2</w:t>
      </w:r>
    </w:p>
    <w:p w14:paraId="45CF9AA2" w14:textId="182FAA9D" w:rsidR="004B7862" w:rsidRDefault="004B7862" w:rsidP="001E0823">
      <w:pPr>
        <w:pStyle w:val="BodyText"/>
      </w:pPr>
      <w:r w:rsidRPr="00F93D1A">
        <w:t>Strategy 1.2 is to ‘promote the independence and social and economic participation of all people with disability and especially those who are vulnerable or marginalised’.</w:t>
      </w:r>
      <w:r w:rsidR="00F93D1A" w:rsidRPr="00F93D1A">
        <w:rPr>
          <w:rStyle w:val="FootnoteReference"/>
        </w:rPr>
        <w:footnoteReference w:id="26"/>
      </w:r>
      <w:r>
        <w:t xml:space="preserve"> </w:t>
      </w:r>
    </w:p>
    <w:p w14:paraId="486C1C22" w14:textId="77777777" w:rsidR="004B7862" w:rsidRDefault="004B7862" w:rsidP="001E0823">
      <w:pPr>
        <w:pStyle w:val="BodyText"/>
      </w:pPr>
      <w:r>
        <w:t xml:space="preserve">Over the year, the Agency focussed on building the capacity to deliver the following activities, as identified in the Corporate Plan: </w:t>
      </w:r>
    </w:p>
    <w:p w14:paraId="768011AD" w14:textId="77777777" w:rsidR="004B7862" w:rsidRDefault="004B7862" w:rsidP="001E0823">
      <w:pPr>
        <w:pStyle w:val="ListBullet"/>
      </w:pPr>
      <w:r>
        <w:t>reaching out and supporting participants to contribute to social and economic life guided by the principles in the NDIS Outcomes Framework;</w:t>
      </w:r>
    </w:p>
    <w:p w14:paraId="2A330512" w14:textId="77777777" w:rsidR="004B7862" w:rsidRDefault="004B7862" w:rsidP="001E0823">
      <w:pPr>
        <w:pStyle w:val="ListBullet"/>
      </w:pPr>
      <w:r>
        <w:t>providing participants, their families and carers, with certainty of the care and support that is needed over a lifetime;</w:t>
      </w:r>
    </w:p>
    <w:p w14:paraId="02565AAF" w14:textId="77777777" w:rsidR="004B7862" w:rsidRDefault="004B7862" w:rsidP="001E0823">
      <w:pPr>
        <w:pStyle w:val="ListBullet"/>
      </w:pPr>
      <w:r>
        <w:t>ensuring the decisions and preferences of people with disability are respected and they are afforded the dignity of risk where it is their choice; and</w:t>
      </w:r>
    </w:p>
    <w:p w14:paraId="45E1A891" w14:textId="77777777" w:rsidR="004B7862" w:rsidRDefault="004B7862" w:rsidP="001E0823">
      <w:pPr>
        <w:pStyle w:val="ListBullet"/>
      </w:pPr>
      <w:r>
        <w:t>assisting people with disability (with support from their families and carers, where needed) to have the skills and confidence to participate in, and contribute to, community life and to protect their lives.</w:t>
      </w:r>
    </w:p>
    <w:p w14:paraId="7D0C96F8" w14:textId="77777777" w:rsidR="004B7862" w:rsidRDefault="004B7862" w:rsidP="001E0823">
      <w:pPr>
        <w:pStyle w:val="Heading5"/>
      </w:pPr>
      <w:r w:rsidRPr="00035581">
        <w:t>Key performance measures for Strategy 1.2</w:t>
      </w:r>
      <w:r>
        <w:t xml:space="preserve"> </w:t>
      </w:r>
    </w:p>
    <w:p w14:paraId="6708A632" w14:textId="77777777" w:rsidR="004B7862" w:rsidRDefault="004B7862" w:rsidP="001E0823">
      <w:pPr>
        <w:pStyle w:val="BodyText"/>
      </w:pPr>
      <w:r>
        <w:t>The Agency captured data during 2016-17 to establish social and economic baseline levels for 98 per cent of participants prior to entering the Scheme. The Agency will use this data to measure the impact of the Scheme in assisting with progress toward outcomes in future years. The baseline data identified that before joining the NDIS:</w:t>
      </w:r>
    </w:p>
    <w:p w14:paraId="51DCC0FA" w14:textId="77777777" w:rsidR="004B7862" w:rsidRPr="00A56F20" w:rsidRDefault="004B7862" w:rsidP="001E0823">
      <w:pPr>
        <w:pStyle w:val="ListBullet"/>
      </w:pPr>
      <w:r>
        <w:t xml:space="preserve">participants want to undertake courses and training, with 32 per cent of participants over 25 years of age </w:t>
      </w:r>
      <w:r w:rsidRPr="00A56F20">
        <w:t>saying they were unable to do a course or training they wanted to do in the last 12 months;</w:t>
      </w:r>
    </w:p>
    <w:p w14:paraId="1CE4177B" w14:textId="2E8A774A" w:rsidR="004B7862" w:rsidRDefault="004B7862" w:rsidP="001E0823">
      <w:pPr>
        <w:pStyle w:val="ListBullet"/>
      </w:pPr>
      <w:r w:rsidRPr="00A56F20">
        <w:t>twenty-six per cent of participants over 25 years of age had a paid job in 2016-17, which can be benchmarked against the 76 per cent general employment to population ratio</w:t>
      </w:r>
      <w:r w:rsidR="00A56F20" w:rsidRPr="00A56F20">
        <w:rPr>
          <w:rStyle w:val="FootnoteReference"/>
        </w:rPr>
        <w:footnoteReference w:id="27"/>
      </w:r>
      <w:r w:rsidRPr="00A56F20">
        <w:t>;</w:t>
      </w:r>
      <w:r>
        <w:t xml:space="preserve"> and</w:t>
      </w:r>
    </w:p>
    <w:p w14:paraId="7565894B" w14:textId="77777777" w:rsidR="004B7862" w:rsidRDefault="004B7862" w:rsidP="001E0823">
      <w:pPr>
        <w:pStyle w:val="ListBullet"/>
      </w:pPr>
      <w:r>
        <w:t>thirty-six per cent of participants over 25 years of age had been actively involved in a community, cultural or religious group in the last 12 months.</w:t>
      </w:r>
    </w:p>
    <w:p w14:paraId="53510A9D" w14:textId="77777777" w:rsidR="004B7862" w:rsidRDefault="004B7862" w:rsidP="001E0823">
      <w:pPr>
        <w:pStyle w:val="Heading4"/>
      </w:pPr>
      <w:r>
        <w:t>Strategy 1.3</w:t>
      </w:r>
    </w:p>
    <w:p w14:paraId="6711195A" w14:textId="6E8CCA95" w:rsidR="004B7862" w:rsidRDefault="004B7862" w:rsidP="001E0823">
      <w:pPr>
        <w:pStyle w:val="BodyText"/>
      </w:pPr>
      <w:r w:rsidRPr="00A56F20">
        <w:t>Strategy 1.3 is to ‘recognise, nurture and uphold informal support and care arrangements, especially for children and vulnerable adults’.</w:t>
      </w:r>
      <w:r w:rsidR="00A56F20" w:rsidRPr="00A56F20">
        <w:rPr>
          <w:rStyle w:val="FootnoteReference"/>
        </w:rPr>
        <w:footnoteReference w:id="28"/>
      </w:r>
      <w:r>
        <w:t xml:space="preserve"> </w:t>
      </w:r>
    </w:p>
    <w:p w14:paraId="16067641" w14:textId="77777777" w:rsidR="004B7862" w:rsidRDefault="004B7862" w:rsidP="001E0823">
      <w:pPr>
        <w:pStyle w:val="BodyText"/>
      </w:pPr>
      <w:r>
        <w:t>Over the year, the Agency focussed on building capacity to deliver the following activities as identified in the Corporate Plan:</w:t>
      </w:r>
    </w:p>
    <w:p w14:paraId="10F345F3" w14:textId="77777777" w:rsidR="004B7862" w:rsidRDefault="004B7862" w:rsidP="001E0823">
      <w:pPr>
        <w:pStyle w:val="ListBullet"/>
      </w:pPr>
      <w:r>
        <w:t>adopting a flexible approach in planning to take account of the needs and aspirations of participants, their families and carers, and the evolution of available supports;</w:t>
      </w:r>
    </w:p>
    <w:p w14:paraId="5FCF46CE" w14:textId="77777777" w:rsidR="004B7862" w:rsidRDefault="004B7862" w:rsidP="001E0823">
      <w:pPr>
        <w:pStyle w:val="ListBullet"/>
      </w:pPr>
      <w:r>
        <w:lastRenderedPageBreak/>
        <w:t xml:space="preserve">recognising and supporting sustainable care by carers, families and other significant persons by building a more inclusive community and providing opportunities </w:t>
      </w:r>
      <w:r>
        <w:br/>
        <w:t>to share and learn from one another;</w:t>
      </w:r>
    </w:p>
    <w:p w14:paraId="2DDC2A46" w14:textId="77777777" w:rsidR="004B7862" w:rsidRDefault="004B7862" w:rsidP="001E0823">
      <w:pPr>
        <w:pStyle w:val="ListBullet"/>
      </w:pPr>
      <w:r>
        <w:t>building community capacity and supports for people with disability who do not receive funded supports; and</w:t>
      </w:r>
    </w:p>
    <w:p w14:paraId="724E864F" w14:textId="77777777" w:rsidR="004B7862" w:rsidRDefault="004B7862" w:rsidP="001E0823">
      <w:pPr>
        <w:pStyle w:val="ListBullet"/>
      </w:pPr>
      <w:r>
        <w:t>developing positive relationships and informal support arrangements for people who do not have these relationships and/or arrangements.</w:t>
      </w:r>
    </w:p>
    <w:p w14:paraId="49837E75" w14:textId="77777777" w:rsidR="004B7862" w:rsidRDefault="004B7862" w:rsidP="001E0823">
      <w:pPr>
        <w:pStyle w:val="Heading5"/>
      </w:pPr>
      <w:r>
        <w:t>Key performance measures for Strategy 1.3</w:t>
      </w:r>
    </w:p>
    <w:p w14:paraId="54972EC9" w14:textId="77777777" w:rsidR="004B7862" w:rsidRDefault="004B7862" w:rsidP="001E0823">
      <w:pPr>
        <w:pStyle w:val="ListBullet"/>
      </w:pPr>
      <w:r>
        <w:t>Individual planning sessions occur for 100 per cent of participants.</w:t>
      </w:r>
    </w:p>
    <w:p w14:paraId="46EABE85" w14:textId="77777777" w:rsidR="004B7862" w:rsidRPr="00A56F20" w:rsidRDefault="004B7862" w:rsidP="001E0823">
      <w:pPr>
        <w:pStyle w:val="ListBullet"/>
      </w:pPr>
      <w:r>
        <w:t xml:space="preserve">Information Linkages and Capability building (ILC) is the component of the NDIS that provides information, linkages and referrals to efficiently and effectively connect people with disability, their families and carers, with appropriate disability, community and mainstream supports. ILC also helps to ensure that the NDIS establishes and facilitates capacity building supports for people with disability, their families, and carers that </w:t>
      </w:r>
      <w:r w:rsidRPr="00A56F20">
        <w:t xml:space="preserve">are not directly tied to a person through an individually funded package. </w:t>
      </w:r>
    </w:p>
    <w:p w14:paraId="369BC491" w14:textId="550797B2" w:rsidR="004B7862" w:rsidRDefault="004B7862" w:rsidP="001E0823">
      <w:pPr>
        <w:pStyle w:val="ListBullet"/>
      </w:pPr>
      <w:r w:rsidRPr="00A56F20">
        <w:t>The NDIS aims to support care arrangements that are sustainable and forward looking.</w:t>
      </w:r>
      <w:r w:rsidR="00A56F20" w:rsidRPr="00A56F20">
        <w:rPr>
          <w:rStyle w:val="FootnoteReference"/>
        </w:rPr>
        <w:footnoteReference w:id="29"/>
      </w:r>
      <w:r w:rsidRPr="00A56F20">
        <w:t xml:space="preserve"> As participants</w:t>
      </w:r>
      <w:r>
        <w:t xml:space="preserve"> spend longer in the Scheme, the NDIS expects to see indications that this is occurring. The baseline data captured during this first year of transition shows: </w:t>
      </w:r>
    </w:p>
    <w:p w14:paraId="10D0B6C3" w14:textId="77777777" w:rsidR="004B7862" w:rsidRDefault="004B7862" w:rsidP="001E0823">
      <w:pPr>
        <w:pStyle w:val="ListBullet2"/>
      </w:pPr>
      <w:r>
        <w:t>seventy-one per cent of families and carers rate their health as good or very good or excellent;</w:t>
      </w:r>
    </w:p>
    <w:p w14:paraId="32000047" w14:textId="77777777" w:rsidR="004B7862" w:rsidRDefault="004B7862" w:rsidP="001E0823">
      <w:pPr>
        <w:pStyle w:val="ListBullet2"/>
      </w:pPr>
      <w:r>
        <w:t>thirty-six per cent of families and carers have made plans for when they are no longer able to care for their family members with disability; and</w:t>
      </w:r>
    </w:p>
    <w:p w14:paraId="4517686D" w14:textId="77777777" w:rsidR="004B7862" w:rsidRDefault="004B7862" w:rsidP="001E0823">
      <w:pPr>
        <w:pStyle w:val="ListBullet2"/>
      </w:pPr>
      <w:r>
        <w:t>forty-three per cent of families and carers say they are able to work as much as they want.</w:t>
      </w:r>
    </w:p>
    <w:p w14:paraId="2E0E0620" w14:textId="77777777" w:rsidR="004B7862" w:rsidRDefault="004B7862" w:rsidP="001E0823">
      <w:pPr>
        <w:pStyle w:val="Heading4"/>
        <w:rPr>
          <w:lang w:val="en-GB"/>
        </w:rPr>
      </w:pPr>
      <w:r w:rsidRPr="00266028">
        <w:rPr>
          <w:lang w:val="en-GB"/>
        </w:rPr>
        <w:t>Commentary:</w:t>
      </w:r>
    </w:p>
    <w:p w14:paraId="6B0DBC02" w14:textId="77777777" w:rsidR="004B7862" w:rsidRDefault="004B7862" w:rsidP="001E0823">
      <w:pPr>
        <w:pStyle w:val="BodyText"/>
      </w:pPr>
      <w:r w:rsidRPr="00266028">
        <w:rPr>
          <w:lang w:val="en-GB"/>
        </w:rPr>
        <w:t>As the Agency continues to gather data to track social and economic outcomes the success of the Scheme in delivering its objectives will become more apparent. This includes establishing mechanisms to assess the adequacy of funding for participants in the context of the achievement of individual outcomes and monitoring success in supporting dignity of risk where it is a participant’s choice.</w:t>
      </w:r>
    </w:p>
    <w:p w14:paraId="08F29663" w14:textId="77777777" w:rsidR="004B7862" w:rsidRDefault="004B7862" w:rsidP="001E0823">
      <w:pPr>
        <w:pStyle w:val="BodyText"/>
      </w:pPr>
    </w:p>
    <w:p w14:paraId="5D7FF89A" w14:textId="77777777" w:rsidR="004B7862" w:rsidRDefault="004B7862" w:rsidP="001E0823">
      <w:pPr>
        <w:pStyle w:val="Intro"/>
      </w:pPr>
      <w:r w:rsidRPr="00266028">
        <w:rPr>
          <w:rStyle w:val="Heading3Char"/>
        </w:rPr>
        <w:t xml:space="preserve">Goal 2: </w:t>
      </w:r>
      <w:r w:rsidRPr="00266028">
        <w:rPr>
          <w:rStyle w:val="Heading3Char"/>
        </w:rPr>
        <w:cr/>
      </w:r>
      <w:r>
        <w:t>The National Disability Insurance Scheme is financially sustainable and governed using insurance principles</w:t>
      </w:r>
    </w:p>
    <w:p w14:paraId="11712555" w14:textId="31DA2AB0" w:rsidR="004B7862" w:rsidRPr="00A56F20" w:rsidRDefault="004B7862" w:rsidP="001E0823">
      <w:pPr>
        <w:pStyle w:val="BodyText"/>
      </w:pPr>
      <w:r w:rsidRPr="00A56F20">
        <w:t>To achieve Goal 2, the Scheme’s ‘short-term and long-term costs should be estimated and managed using actuarial evidence’,</w:t>
      </w:r>
      <w:r w:rsidR="00A56F20" w:rsidRPr="00A56F20">
        <w:rPr>
          <w:rStyle w:val="FootnoteReference"/>
        </w:rPr>
        <w:footnoteReference w:id="30"/>
      </w:r>
      <w:r w:rsidRPr="00A56F20">
        <w:t xml:space="preserve"> in line with the Agency’s insurance principles. </w:t>
      </w:r>
    </w:p>
    <w:p w14:paraId="3CB1EB3F" w14:textId="121079FB" w:rsidR="004B7862" w:rsidRDefault="004B7862" w:rsidP="001E0823">
      <w:pPr>
        <w:pStyle w:val="BodyText"/>
      </w:pPr>
      <w:r w:rsidRPr="00A56F20">
        <w:t>Under Goal 2, the NDIA also reports on performance criteria under Program 1.1 - Reasonable and necessary care and support for participants</w:t>
      </w:r>
      <w:r w:rsidR="00A56F20" w:rsidRPr="00A56F20">
        <w:rPr>
          <w:rStyle w:val="FootnoteReference"/>
        </w:rPr>
        <w:footnoteReference w:id="31"/>
      </w:r>
      <w:r w:rsidRPr="00A56F20">
        <w:t xml:space="preserve"> (relating to costs of supports) and Program 1.3 – Agency Costs</w:t>
      </w:r>
      <w:r w:rsidR="00A56F20" w:rsidRPr="00A56F20">
        <w:rPr>
          <w:rStyle w:val="FootnoteReference"/>
        </w:rPr>
        <w:footnoteReference w:id="32"/>
      </w:r>
      <w:r w:rsidRPr="00A56F20">
        <w:t xml:space="preserve"> under the PB Statements.</w:t>
      </w:r>
      <w:r w:rsidR="00A56F20" w:rsidRPr="00A56F20">
        <w:rPr>
          <w:rStyle w:val="FootnoteReference"/>
        </w:rPr>
        <w:footnoteReference w:id="33"/>
      </w:r>
      <w:r>
        <w:t xml:space="preserve"> </w:t>
      </w:r>
    </w:p>
    <w:p w14:paraId="109AA0AA" w14:textId="77777777" w:rsidR="004B7862" w:rsidRPr="00A56F20" w:rsidRDefault="004B7862" w:rsidP="001E0823">
      <w:pPr>
        <w:pStyle w:val="Heading4"/>
      </w:pPr>
      <w:r w:rsidRPr="00A56F20">
        <w:lastRenderedPageBreak/>
        <w:t>Strategy 2.1</w:t>
      </w:r>
    </w:p>
    <w:p w14:paraId="171245E5" w14:textId="55C8221E" w:rsidR="004B7862" w:rsidRDefault="004B7862" w:rsidP="001E0823">
      <w:pPr>
        <w:pStyle w:val="BodyText"/>
      </w:pPr>
      <w:r w:rsidRPr="00A56F20">
        <w:t>Strategy 2.1 is to ‘base governance and operations on strong insurance principles using comprehensive and reliable data’.</w:t>
      </w:r>
      <w:r w:rsidR="00A56F20" w:rsidRPr="00A56F20">
        <w:rPr>
          <w:rStyle w:val="FootnoteReference"/>
        </w:rPr>
        <w:footnoteReference w:id="34"/>
      </w:r>
      <w:r>
        <w:t xml:space="preserve">  </w:t>
      </w:r>
    </w:p>
    <w:p w14:paraId="33101525" w14:textId="77777777" w:rsidR="004B7862" w:rsidRDefault="004B7862" w:rsidP="001E0823">
      <w:pPr>
        <w:pStyle w:val="BodyText"/>
      </w:pPr>
      <w:r>
        <w:t xml:space="preserve">Over the year, the Agency focussed on building the capacity to deliver the following activities as identified in the Corporate Plan: </w:t>
      </w:r>
    </w:p>
    <w:p w14:paraId="0B07F3B4" w14:textId="77777777" w:rsidR="004B7862" w:rsidRDefault="004B7862" w:rsidP="001E0823">
      <w:pPr>
        <w:pStyle w:val="ListBullet"/>
      </w:pPr>
      <w:r>
        <w:t>basing Agency decision-making on actuarial advice and best available evidence;</w:t>
      </w:r>
    </w:p>
    <w:p w14:paraId="4B1CE9E7" w14:textId="77777777" w:rsidR="004B7862" w:rsidRDefault="004B7862" w:rsidP="001E0823">
      <w:pPr>
        <w:pStyle w:val="ListBullet"/>
      </w:pPr>
      <w:r>
        <w:t>establishing effective estimation and management of short-term and long-term costs;</w:t>
      </w:r>
    </w:p>
    <w:p w14:paraId="2F460E86" w14:textId="77777777" w:rsidR="004B7862" w:rsidRDefault="004B7862" w:rsidP="001E0823">
      <w:pPr>
        <w:pStyle w:val="ListBullet"/>
      </w:pPr>
      <w:r>
        <w:t xml:space="preserve">operating within the funding envelope approved by governments as informed by Productivity Commission estimates; and </w:t>
      </w:r>
    </w:p>
    <w:p w14:paraId="2DA7E8B9" w14:textId="77777777" w:rsidR="004B7862" w:rsidRDefault="004B7862" w:rsidP="001E0823">
      <w:pPr>
        <w:pStyle w:val="ListBullet"/>
      </w:pPr>
      <w:r>
        <w:t>identifying and managing financial risks of the Scheme.</w:t>
      </w:r>
    </w:p>
    <w:p w14:paraId="1D97C3F8" w14:textId="77777777" w:rsidR="004B7862" w:rsidRPr="00A56F20" w:rsidRDefault="004B7862" w:rsidP="001E0823">
      <w:pPr>
        <w:pStyle w:val="Heading5"/>
      </w:pPr>
      <w:r>
        <w:t xml:space="preserve">Key </w:t>
      </w:r>
      <w:r w:rsidRPr="00A56F20">
        <w:t>performance measures for Strategy 2.1</w:t>
      </w:r>
    </w:p>
    <w:p w14:paraId="6245D4DD" w14:textId="1F2C854E" w:rsidR="004B7862" w:rsidRPr="00A56F20" w:rsidRDefault="004B7862" w:rsidP="001E0823">
      <w:pPr>
        <w:pStyle w:val="ListBullet"/>
      </w:pPr>
      <w:r w:rsidRPr="00A56F20">
        <w:t>Scheme costs were within the bilateral estimates and actuarial forecasts – as required under the PB Statements.</w:t>
      </w:r>
      <w:r w:rsidR="00A56F20" w:rsidRPr="00A56F20">
        <w:rPr>
          <w:rStyle w:val="FootnoteReference"/>
        </w:rPr>
        <w:footnoteReference w:id="35"/>
      </w:r>
      <w:r w:rsidRPr="00A56F20">
        <w:t xml:space="preserve"> The Productivity Commission has also noted that Scheme costs are broadly on track with the NDIA’s long-term modelling.</w:t>
      </w:r>
      <w:r w:rsidR="00A56F20" w:rsidRPr="00A56F20">
        <w:rPr>
          <w:rStyle w:val="FootnoteReference"/>
        </w:rPr>
        <w:footnoteReference w:id="36"/>
      </w:r>
      <w:r w:rsidRPr="00A56F20">
        <w:t xml:space="preserve"> </w:t>
      </w:r>
    </w:p>
    <w:p w14:paraId="2C03FEF9" w14:textId="312F00A1" w:rsidR="004B7862" w:rsidRDefault="004B7862" w:rsidP="001E0823">
      <w:pPr>
        <w:pStyle w:val="ListBullet"/>
      </w:pPr>
      <w:r w:rsidRPr="00A56F20">
        <w:t>The NDIA is on-track to decrease operating costs from 23.7 per cent of Scheme costs to the targeted 6.4 per cent by 2019-20.</w:t>
      </w:r>
      <w:r w:rsidR="00A56F20" w:rsidRPr="00A56F20">
        <w:rPr>
          <w:rStyle w:val="FootnoteReference"/>
        </w:rPr>
        <w:footnoteReference w:id="37"/>
      </w:r>
      <w:r w:rsidRPr="00A56F20">
        <w:t xml:space="preserve"> At the end of full Scheme rollout average costs are expected to sit at the lower end of the band</w:t>
      </w:r>
      <w:r>
        <w:t xml:space="preserve"> of the Productivity Commission proposed funding target of seven to 10 per cent of package costs. </w:t>
      </w:r>
    </w:p>
    <w:p w14:paraId="30596462" w14:textId="0C80DFA9" w:rsidR="004B7862" w:rsidRPr="00A56F20" w:rsidRDefault="004B7862" w:rsidP="001E0823">
      <w:pPr>
        <w:pStyle w:val="ListBullet"/>
      </w:pPr>
      <w:r w:rsidRPr="00A56F20">
        <w:t>The NDIS undertakes actuarial analysis and reporting, along with targeted research and evaluation to effectively implement the Scheme’s insurance principles.</w:t>
      </w:r>
      <w:r w:rsidR="00A56F20" w:rsidRPr="00A56F20">
        <w:rPr>
          <w:rStyle w:val="FootnoteReference"/>
        </w:rPr>
        <w:footnoteReference w:id="38"/>
      </w:r>
      <w:r w:rsidRPr="00A56F20">
        <w:t xml:space="preserve"> </w:t>
      </w:r>
    </w:p>
    <w:p w14:paraId="706CD9D7" w14:textId="77777777" w:rsidR="004B7862" w:rsidRPr="00A56F20" w:rsidRDefault="004B7862" w:rsidP="001E0823">
      <w:pPr>
        <w:pStyle w:val="ListBullet"/>
      </w:pPr>
      <w:r w:rsidRPr="00A56F20">
        <w:t>The NDIA has produced long-term modelling of Scheme costs based on actuarial analysis and reporting.</w:t>
      </w:r>
    </w:p>
    <w:p w14:paraId="1AEE0FEF" w14:textId="77777777" w:rsidR="004B7862" w:rsidRDefault="004B7862" w:rsidP="001E0823">
      <w:pPr>
        <w:pStyle w:val="ListBullet"/>
      </w:pPr>
      <w:r w:rsidRPr="00A56F20">
        <w:t>The NDIA has invested in targeted research. As an example</w:t>
      </w:r>
      <w:r>
        <w:t>, it has recently invested in the development of nationally consistent Autism guidelines with the Cooperative Research Centre for Living with Autism.</w:t>
      </w:r>
    </w:p>
    <w:p w14:paraId="39E5FCFF" w14:textId="77777777" w:rsidR="004B7862" w:rsidRDefault="004B7862" w:rsidP="001E0823">
      <w:pPr>
        <w:pStyle w:val="ListBullet"/>
      </w:pPr>
      <w:r>
        <w:t>Using the NDIS Outcome Framework, the NDIA has collected participant, families and carers baseline data on 98 per cent of participants who received their first plan in 2016-17.</w:t>
      </w:r>
    </w:p>
    <w:p w14:paraId="47278CD1" w14:textId="77777777" w:rsidR="004B7862" w:rsidRDefault="004B7862" w:rsidP="001E0823">
      <w:pPr>
        <w:pStyle w:val="ListBullet"/>
      </w:pPr>
      <w:r>
        <w:t>The Scheme Actuary attends Executive Management Group meetings as an observer to ensure that governance and operations are based on strong insurance principles. In addition, the Scheme Actuary attends the NDIA Board’s Sustainability Committee monthly meetings.</w:t>
      </w:r>
    </w:p>
    <w:p w14:paraId="53520105" w14:textId="77777777" w:rsidR="004B7862" w:rsidRPr="00A56F20" w:rsidRDefault="004B7862" w:rsidP="001E0823">
      <w:pPr>
        <w:pStyle w:val="Heading4"/>
      </w:pPr>
      <w:r w:rsidRPr="00A56F20">
        <w:t>Strategy 2.2</w:t>
      </w:r>
    </w:p>
    <w:p w14:paraId="0BFE0785" w14:textId="250AAD9E" w:rsidR="004B7862" w:rsidRPr="00A56F20" w:rsidRDefault="004B7862" w:rsidP="001E0823">
      <w:pPr>
        <w:pStyle w:val="BodyText"/>
      </w:pPr>
      <w:r w:rsidRPr="00A56F20">
        <w:t>Strategy 2.2 is to ‘invest, including through intervention, in a lifetime approach.’</w:t>
      </w:r>
      <w:r w:rsidR="00A56F20" w:rsidRPr="00A56F20">
        <w:rPr>
          <w:rStyle w:val="FootnoteReference"/>
        </w:rPr>
        <w:footnoteReference w:id="39"/>
      </w:r>
      <w:r w:rsidRPr="00A56F20">
        <w:t xml:space="preserve"> This involves focussing on lifetime value for Scheme participants and seeking to maximise opportunities for early investment in independence, and social and economic participation with the most cost-effective allocation of resources.</w:t>
      </w:r>
    </w:p>
    <w:p w14:paraId="2B731F9B" w14:textId="77777777" w:rsidR="004B7862" w:rsidRPr="00A56F20" w:rsidRDefault="004B7862" w:rsidP="001E0823">
      <w:pPr>
        <w:pStyle w:val="BodyText"/>
      </w:pPr>
      <w:r w:rsidRPr="00A56F20">
        <w:t xml:space="preserve">Over the year, the Agency focussed on building the capacity to deliver the following activities as identified in the Corporate Plan: </w:t>
      </w:r>
    </w:p>
    <w:p w14:paraId="7A90502D" w14:textId="77777777" w:rsidR="004B7862" w:rsidRPr="00A56F20" w:rsidRDefault="004B7862" w:rsidP="001E0823">
      <w:pPr>
        <w:pStyle w:val="ListBullet"/>
      </w:pPr>
      <w:r w:rsidRPr="00A56F20">
        <w:t>investing early to deliver improved and sustainable outcomes and to reduce long-term costs;</w:t>
      </w:r>
    </w:p>
    <w:p w14:paraId="0D60CA82" w14:textId="77777777" w:rsidR="004B7862" w:rsidRPr="00A56F20" w:rsidRDefault="004B7862" w:rsidP="001E0823">
      <w:pPr>
        <w:pStyle w:val="ListBullet"/>
      </w:pPr>
      <w:r w:rsidRPr="00A56F20">
        <w:t>designing and funding reasonable and necessary packages of supports for participants which encourage creativity and effectiveness;</w:t>
      </w:r>
    </w:p>
    <w:p w14:paraId="55458FF4" w14:textId="77777777" w:rsidR="004B7862" w:rsidRPr="00A56F20" w:rsidRDefault="004B7862" w:rsidP="001E0823">
      <w:pPr>
        <w:pStyle w:val="ListBullet"/>
      </w:pPr>
      <w:r w:rsidRPr="00A56F20">
        <w:lastRenderedPageBreak/>
        <w:t>developing effective interfaces with complementary mainstream service systems that will meet changing needs and deliver best outcomes over a lifetime for participants; and</w:t>
      </w:r>
    </w:p>
    <w:p w14:paraId="68B05C5B" w14:textId="77777777" w:rsidR="004B7862" w:rsidRPr="00A56F20" w:rsidRDefault="004B7862" w:rsidP="001E0823">
      <w:pPr>
        <w:pStyle w:val="ListBullet"/>
      </w:pPr>
      <w:r w:rsidRPr="00A56F20">
        <w:t>utilising available general and community supports for all people with disability first.</w:t>
      </w:r>
    </w:p>
    <w:p w14:paraId="50D3EB4B" w14:textId="77777777" w:rsidR="004B7862" w:rsidRPr="00A56F20" w:rsidRDefault="004B7862" w:rsidP="001E0823">
      <w:pPr>
        <w:pStyle w:val="Heading5"/>
      </w:pPr>
      <w:r w:rsidRPr="00A56F20">
        <w:t>Key performance measures for Strategy 2.2</w:t>
      </w:r>
    </w:p>
    <w:p w14:paraId="6CF68D16" w14:textId="77777777" w:rsidR="004B7862" w:rsidRPr="00A56F20" w:rsidRDefault="004B7862" w:rsidP="001E0823">
      <w:pPr>
        <w:pStyle w:val="ListBullet"/>
      </w:pPr>
      <w:r w:rsidRPr="00A56F20">
        <w:t xml:space="preserve">Twenty-four per cent of all participants have entered the Scheme under early intervention criteria this year. </w:t>
      </w:r>
    </w:p>
    <w:p w14:paraId="498F73F6" w14:textId="77777777" w:rsidR="004B7862" w:rsidRPr="00A56F20" w:rsidRDefault="004B7862" w:rsidP="001E0823">
      <w:pPr>
        <w:pStyle w:val="ListBullet"/>
      </w:pPr>
      <w:r w:rsidRPr="00A56F20">
        <w:t>Ninety-eight per cent of current plans include funding for capacity building supports. Capacity building supports are aimed at increasing the capacity of participants, their families and carers, to achieve social and economic outcomes.</w:t>
      </w:r>
    </w:p>
    <w:p w14:paraId="1F607EA8" w14:textId="77777777" w:rsidR="004B7862" w:rsidRPr="00A56F20" w:rsidRDefault="004B7862" w:rsidP="001E0823">
      <w:pPr>
        <w:pStyle w:val="Heading4"/>
      </w:pPr>
      <w:r w:rsidRPr="00A56F20">
        <w:t>Strategy 2.3</w:t>
      </w:r>
    </w:p>
    <w:p w14:paraId="53E7C826" w14:textId="410FF1C1" w:rsidR="004B7862" w:rsidRDefault="004B7862" w:rsidP="001E0823">
      <w:pPr>
        <w:pStyle w:val="BodyText"/>
      </w:pPr>
      <w:r w:rsidRPr="00A56F20">
        <w:t>Strategy 2.3 is for the Agency to ‘drive support services and workforce to be high-quality, effective, efficient and responsive to the diversity of Scheme participants, so as to create a new, dynamic and non-inflationary market for disability supports.’</w:t>
      </w:r>
      <w:r w:rsidR="00A56F20" w:rsidRPr="00A56F20">
        <w:rPr>
          <w:rStyle w:val="FootnoteReference"/>
        </w:rPr>
        <w:footnoteReference w:id="40"/>
      </w:r>
      <w:r>
        <w:t xml:space="preserve"> </w:t>
      </w:r>
    </w:p>
    <w:p w14:paraId="7DF640D4" w14:textId="77777777" w:rsidR="004B7862" w:rsidRDefault="004B7862" w:rsidP="001E0823">
      <w:pPr>
        <w:pStyle w:val="BodyText"/>
      </w:pPr>
      <w:r>
        <w:t xml:space="preserve">Over the year, the Agency focussed on building the capacity to deliver the following activities as identified in the Corporate Plan: </w:t>
      </w:r>
    </w:p>
    <w:p w14:paraId="6B21FBD9" w14:textId="77777777" w:rsidR="004B7862" w:rsidRDefault="004B7862" w:rsidP="001E0823">
      <w:pPr>
        <w:pStyle w:val="ListBullet"/>
      </w:pPr>
      <w:r>
        <w:t>investing significantly in research and adopting a risk based, fair and minimalist approach to regulation;</w:t>
      </w:r>
    </w:p>
    <w:p w14:paraId="11C7B756" w14:textId="77777777" w:rsidR="004B7862" w:rsidRDefault="004B7862" w:rsidP="001E0823">
      <w:pPr>
        <w:pStyle w:val="ListBullet"/>
      </w:pPr>
      <w:r>
        <w:t>supporting a robust and dynamic market where all providers deliver high-quality and effective support to participants with diverse disabilities across Australia, including rural and remote areas; and</w:t>
      </w:r>
    </w:p>
    <w:p w14:paraId="35D10954" w14:textId="77777777" w:rsidR="004B7862" w:rsidRDefault="004B7862" w:rsidP="001E0823">
      <w:pPr>
        <w:pStyle w:val="ListBullet"/>
      </w:pPr>
      <w:r>
        <w:t>influencing the market to ensure current and new support workers are retained and attracted to diverse and flexible opportunities and careers in a rapidly expanding disability sector.</w:t>
      </w:r>
    </w:p>
    <w:p w14:paraId="2F5FA000" w14:textId="77777777" w:rsidR="004B7862" w:rsidRDefault="004B7862" w:rsidP="001E0823">
      <w:pPr>
        <w:pStyle w:val="Heading5"/>
      </w:pPr>
      <w:r>
        <w:t>Key performance measures for Strategy 2.3</w:t>
      </w:r>
    </w:p>
    <w:p w14:paraId="0289FA98" w14:textId="77777777" w:rsidR="004B7862" w:rsidRPr="00A56F20" w:rsidRDefault="004B7862" w:rsidP="001E0823">
      <w:pPr>
        <w:pStyle w:val="ListBullet"/>
      </w:pPr>
      <w:r>
        <w:t xml:space="preserve">The Agency has developed an integrated assurance approach in 2016-17 to support the Agency’s rapid growth and changing risk profile. The approach aligns assurance activities under a single umbrella within the enterprise risk management framework. This risk-based approach guides the Agency’s assurance in </w:t>
      </w:r>
      <w:r w:rsidRPr="00A56F20">
        <w:t>relation to market operations, including provider audits.</w:t>
      </w:r>
    </w:p>
    <w:p w14:paraId="025F3D7D" w14:textId="3C433304" w:rsidR="004B7862" w:rsidRPr="00A56F20" w:rsidRDefault="004B7862" w:rsidP="001E0823">
      <w:pPr>
        <w:pStyle w:val="ListBullet"/>
      </w:pPr>
      <w:r w:rsidRPr="00A56F20">
        <w:t>The NDIA has a role in influencing the market to ensure that ‘a healthy market is developing that increases the mix of support options and innovative approaches.’</w:t>
      </w:r>
      <w:r w:rsidR="00A56F20" w:rsidRPr="00A56F20">
        <w:rPr>
          <w:rStyle w:val="FootnoteReference"/>
        </w:rPr>
        <w:footnoteReference w:id="41"/>
      </w:r>
      <w:r w:rsidRPr="00A56F20">
        <w:t xml:space="preserve"> In 2016-17:</w:t>
      </w:r>
    </w:p>
    <w:p w14:paraId="1AC69498" w14:textId="77777777" w:rsidR="004B7862" w:rsidRDefault="004B7862" w:rsidP="001E0823">
      <w:pPr>
        <w:pStyle w:val="ListBullet2"/>
      </w:pPr>
      <w:r w:rsidRPr="00A56F20">
        <w:t>the number of registered providers grew from 3,519 to 8,698 over the year, including 3,512 individuals/sole traders</w:t>
      </w:r>
      <w:r>
        <w:t xml:space="preserve"> and 5,186 companies;</w:t>
      </w:r>
    </w:p>
    <w:p w14:paraId="4F3F4DD3" w14:textId="77777777" w:rsidR="004B7862" w:rsidRDefault="004B7862" w:rsidP="001E0823">
      <w:pPr>
        <w:pStyle w:val="ListBullet2"/>
      </w:pPr>
      <w:r>
        <w:t>participants are supported by, on average, 1.49 providers with 0.5 new providers per participant in the fourth quarter of 2016-17; and</w:t>
      </w:r>
    </w:p>
    <w:p w14:paraId="4A997C35" w14:textId="77777777" w:rsidR="004B7862" w:rsidRDefault="004B7862" w:rsidP="001E0823">
      <w:pPr>
        <w:pStyle w:val="ListBullet2"/>
      </w:pPr>
      <w:r>
        <w:t>there were 3,291 new providers delivering supports to participants.</w:t>
      </w:r>
    </w:p>
    <w:p w14:paraId="7D3ECDF3" w14:textId="77777777" w:rsidR="004B7862" w:rsidRDefault="004B7862" w:rsidP="001E0823">
      <w:pPr>
        <w:pStyle w:val="Heading4"/>
      </w:pPr>
      <w:r>
        <w:t>Commentary:</w:t>
      </w:r>
    </w:p>
    <w:p w14:paraId="6D6FD52A" w14:textId="77777777" w:rsidR="004B7862" w:rsidRDefault="004B7862" w:rsidP="001E0823">
      <w:pPr>
        <w:pStyle w:val="BodyText"/>
      </w:pPr>
      <w:r>
        <w:t>Currently, the Productivity Commission’s estimate of $22 billion a year at full Scheme remains the best estimate of the long-term costs of a well-managed Scheme. Actuarial work continues to verify the long-term costs of the NDIS. This includes managing already identified costs pressures, such as higher than expected numbers of children entering the Scheme and increasing package costs over and above the impacts of inflation and ageing. Deliberate interventions, such as the ECEI approach, will make a difference to the lives of those with disability and help manage the Scheme’s long-term sustainability.</w:t>
      </w:r>
    </w:p>
    <w:p w14:paraId="7651B00E" w14:textId="77777777" w:rsidR="004B7862" w:rsidRDefault="004B7862" w:rsidP="001E0823">
      <w:pPr>
        <w:pStyle w:val="BodyText"/>
      </w:pPr>
      <w:r>
        <w:lastRenderedPageBreak/>
        <w:t>The NDIA is actively supporting DSS in the establishment of the new National Disability Insurance Scheme Quality and Safeguards Commission. These arrangements will support NDIS participants to exercise choice and control, ensure appropriate safeguards are in place for NDIS supports, and establish expectations for providers and their staff to deliver quality support. States and territories will maintain current quality and safeguarding arrangements in the meantime.</w:t>
      </w:r>
    </w:p>
    <w:p w14:paraId="36DBF668" w14:textId="77777777" w:rsidR="004B7862" w:rsidRDefault="004B7862" w:rsidP="001E0823">
      <w:pPr>
        <w:pStyle w:val="BodyText"/>
      </w:pPr>
      <w:r>
        <w:t>The NDIA Board and Management has commissioned an Independent Review of Pricing that will make recommendations about future pricing options, taking into consideration the need for prices to facilitate market growth. This review is integral to the NDIA’s commitment to grow the market for disability supports and services with a view to establishing</w:t>
      </w:r>
      <w:r w:rsidRPr="0024538D">
        <w:t xml:space="preserve"> a balance between demand and supply.</w:t>
      </w:r>
    </w:p>
    <w:p w14:paraId="2F88CE39" w14:textId="77777777" w:rsidR="004B7862" w:rsidRDefault="004B7862" w:rsidP="001E0823">
      <w:pPr>
        <w:pStyle w:val="Heading3"/>
      </w:pPr>
      <w:r>
        <w:t>Goal 3:</w:t>
      </w:r>
    </w:p>
    <w:p w14:paraId="2E5C1D66" w14:textId="77777777" w:rsidR="004B7862" w:rsidRPr="00A56F20" w:rsidRDefault="004B7862" w:rsidP="001E0823">
      <w:pPr>
        <w:pStyle w:val="Intro"/>
      </w:pPr>
      <w:r>
        <w:t xml:space="preserve">The community has ownership, confidence and pride in the National Disability Insurance </w:t>
      </w:r>
      <w:r w:rsidRPr="00A56F20">
        <w:t>Scheme and the National Disability Insurance Agency</w:t>
      </w:r>
    </w:p>
    <w:p w14:paraId="1EE0B0D7" w14:textId="659C0AD7" w:rsidR="004B7862" w:rsidRPr="00A56F20" w:rsidRDefault="004B7862" w:rsidP="001E0823">
      <w:pPr>
        <w:pStyle w:val="BodyText"/>
      </w:pPr>
      <w:r w:rsidRPr="00A56F20">
        <w:t>The NDIS has ‘overwhelming support’ from various stakeholders as stated by the Productivity Commission in June 2017</w:t>
      </w:r>
      <w:r w:rsidRPr="00A56F20">
        <w:rPr>
          <w:rStyle w:val="FootnoteReference"/>
        </w:rPr>
        <w:t>.</w:t>
      </w:r>
      <w:r w:rsidR="00A56F20" w:rsidRPr="00A56F20">
        <w:rPr>
          <w:rStyle w:val="FootnoteReference"/>
        </w:rPr>
        <w:footnoteReference w:id="42"/>
      </w:r>
    </w:p>
    <w:p w14:paraId="2CECF954" w14:textId="0580B46D" w:rsidR="004B7862" w:rsidRPr="00A56F20" w:rsidRDefault="004B7862" w:rsidP="001E0823">
      <w:pPr>
        <w:pStyle w:val="BodyText"/>
      </w:pPr>
      <w:r w:rsidRPr="00A56F20">
        <w:t xml:space="preserve">Under Goal 3, the NDIA also reports on the performance criteria under </w:t>
      </w:r>
      <w:r w:rsidRPr="00A56F20">
        <w:rPr>
          <w:rStyle w:val="BodyTextItalic"/>
        </w:rPr>
        <w:t>Program 1.2 – Community Inclusion and Community Development Grants</w:t>
      </w:r>
      <w:r w:rsidRPr="00A56F20">
        <w:t xml:space="preserve"> of the PB Statement.</w:t>
      </w:r>
      <w:r w:rsidR="00A56F20" w:rsidRPr="00A56F20">
        <w:rPr>
          <w:rStyle w:val="FootnoteReference"/>
        </w:rPr>
        <w:footnoteReference w:id="43"/>
      </w:r>
    </w:p>
    <w:p w14:paraId="1A25E176" w14:textId="77777777" w:rsidR="004B7862" w:rsidRPr="00A56F20" w:rsidRDefault="004B7862" w:rsidP="001E0823">
      <w:pPr>
        <w:pStyle w:val="Heading4"/>
      </w:pPr>
      <w:r w:rsidRPr="00A56F20">
        <w:t>Strategy 3.1</w:t>
      </w:r>
    </w:p>
    <w:p w14:paraId="3A472C75" w14:textId="0040E878" w:rsidR="004B7862" w:rsidRPr="00A56F20" w:rsidRDefault="004B7862" w:rsidP="001E0823">
      <w:pPr>
        <w:pStyle w:val="BodyText"/>
      </w:pPr>
      <w:r w:rsidRPr="00A56F20">
        <w:t>The Agency aims to ‘respect and actively seek the views of people with disability, their families, carers and other significant persons in the design and evaluation of supports and services to participants.’</w:t>
      </w:r>
      <w:r w:rsidR="00A56F20" w:rsidRPr="00A56F20">
        <w:rPr>
          <w:rStyle w:val="FootnoteReference"/>
        </w:rPr>
        <w:footnoteReference w:id="44"/>
      </w:r>
      <w:r w:rsidRPr="00A56F20">
        <w:t xml:space="preserve"> </w:t>
      </w:r>
    </w:p>
    <w:p w14:paraId="57814E02" w14:textId="77777777" w:rsidR="004B7862" w:rsidRDefault="004B7862" w:rsidP="001E0823">
      <w:pPr>
        <w:pStyle w:val="BodyText"/>
      </w:pPr>
      <w:r w:rsidRPr="00A56F20">
        <w:t>Over the year, the Agency focussed on building the capacity to deliver the following activities as identified in the Corporate Plan:</w:t>
      </w:r>
      <w:r>
        <w:t xml:space="preserve"> </w:t>
      </w:r>
    </w:p>
    <w:p w14:paraId="169A83D6" w14:textId="77777777" w:rsidR="004B7862" w:rsidRDefault="004B7862" w:rsidP="001E0823">
      <w:pPr>
        <w:pStyle w:val="ListBullet"/>
      </w:pPr>
      <w:r>
        <w:t>involving people with disability, their families, carers and other significant persons in the design and evaluation of supports and services to participants;</w:t>
      </w:r>
    </w:p>
    <w:p w14:paraId="40C06BCE" w14:textId="77777777" w:rsidR="004B7862" w:rsidRDefault="004B7862" w:rsidP="001E0823">
      <w:pPr>
        <w:pStyle w:val="ListBullet"/>
      </w:pPr>
      <w:r>
        <w:t>supporting a culture of service that is open, accountable and welcomes feedback;</w:t>
      </w:r>
    </w:p>
    <w:p w14:paraId="30F4871E" w14:textId="77777777" w:rsidR="004B7862" w:rsidRDefault="004B7862" w:rsidP="001E0823">
      <w:pPr>
        <w:pStyle w:val="ListBullet"/>
      </w:pPr>
      <w:r>
        <w:t>building confidence in the Scheme and its administration by working constructively with the disability sector; and</w:t>
      </w:r>
    </w:p>
    <w:p w14:paraId="2FF0561A" w14:textId="77777777" w:rsidR="004B7862" w:rsidRDefault="004B7862" w:rsidP="001E0823">
      <w:pPr>
        <w:pStyle w:val="ListBullet"/>
      </w:pPr>
      <w:r>
        <w:t>being the employer of choice for people with disability.</w:t>
      </w:r>
    </w:p>
    <w:p w14:paraId="3223F2DF" w14:textId="77777777" w:rsidR="004B7862" w:rsidRDefault="004B7862" w:rsidP="001E0823">
      <w:pPr>
        <w:pStyle w:val="Heading5"/>
      </w:pPr>
      <w:r>
        <w:t>Key performance measures for Strategy 3.1</w:t>
      </w:r>
    </w:p>
    <w:p w14:paraId="28291D2B" w14:textId="77777777" w:rsidR="004B7862" w:rsidRDefault="004B7862" w:rsidP="001E0823">
      <w:pPr>
        <w:pStyle w:val="ListBullet"/>
      </w:pPr>
      <w:r>
        <w:t xml:space="preserve">Participant satisfaction continued to be above 84 per cent across the year – as outlined in Figure 4 above. This was lower than the satisfaction levels during the trial period and reflects the pressures created by the speed of the rollout this year. </w:t>
      </w:r>
    </w:p>
    <w:p w14:paraId="4C50D163" w14:textId="77777777" w:rsidR="004B7862" w:rsidRDefault="004B7862" w:rsidP="001E0823">
      <w:pPr>
        <w:pStyle w:val="ListBullet"/>
      </w:pPr>
      <w:r>
        <w:t>The NDIA established a new consultative team and held three workshops to seek the views of people with disability in 2016-17. In addition, the consultative team actively sought the views of people with disability, their families, carers and other significant persons in the design and evaluation of supports and services to participants through:</w:t>
      </w:r>
    </w:p>
    <w:p w14:paraId="537DA9D7" w14:textId="77777777" w:rsidR="004B7862" w:rsidRDefault="004B7862" w:rsidP="001E0823">
      <w:pPr>
        <w:pStyle w:val="ListBullet2"/>
      </w:pPr>
      <w:r>
        <w:t>fifteen individual peak body meetings and forums; and</w:t>
      </w:r>
    </w:p>
    <w:p w14:paraId="16E98602" w14:textId="77777777" w:rsidR="004B7862" w:rsidRDefault="004B7862" w:rsidP="001E0823">
      <w:pPr>
        <w:pStyle w:val="ListBullet2"/>
      </w:pPr>
      <w:r>
        <w:t>five major representations at external key stakeholder or government forums.</w:t>
      </w:r>
    </w:p>
    <w:p w14:paraId="17C6B998" w14:textId="77777777" w:rsidR="004B7862" w:rsidRDefault="004B7862" w:rsidP="001E0823">
      <w:pPr>
        <w:pStyle w:val="ListBullet"/>
      </w:pPr>
      <w:r>
        <w:lastRenderedPageBreak/>
        <w:t>The NDIA has surveyed 98 per cent of participants entering the Scheme in 2016-17, to establish baseline data relating to participant goals using the NDIS Outcomes Framework.</w:t>
      </w:r>
    </w:p>
    <w:p w14:paraId="3DCABEE8" w14:textId="77777777" w:rsidR="004B7862" w:rsidRDefault="004B7862" w:rsidP="001E0823">
      <w:pPr>
        <w:pStyle w:val="ListBullet"/>
      </w:pPr>
      <w:r>
        <w:t>The Administrative Appeals Tribunal (AAT) can, in response to applications, review decisions made by the Agency under the NDIS Act, including decisions about whether a person meets the access criteria to become a participant in the Scheme, the supports provided under the Scheme and the registration of providers of support. Total applications for the AAT for the year equated to 0.21 per cent per cent of active participants (see page 141).</w:t>
      </w:r>
    </w:p>
    <w:p w14:paraId="260A9716" w14:textId="77777777" w:rsidR="004B7862" w:rsidRDefault="004B7862" w:rsidP="001E0823">
      <w:pPr>
        <w:pStyle w:val="ListBullet"/>
      </w:pPr>
      <w:r>
        <w:t xml:space="preserve">The NDIA received 4,968 complaints in 2016-17, with 75 per cent of the complaints closed at 30 June 2017. </w:t>
      </w:r>
    </w:p>
    <w:p w14:paraId="7F52E16F" w14:textId="77777777" w:rsidR="004B7862" w:rsidRPr="00B522C6" w:rsidRDefault="004B7862" w:rsidP="001E0823">
      <w:pPr>
        <w:pStyle w:val="Heading4"/>
      </w:pPr>
      <w:r w:rsidRPr="00B522C6">
        <w:t>Strategy 3.2</w:t>
      </w:r>
    </w:p>
    <w:p w14:paraId="299F533D" w14:textId="50B8CE44" w:rsidR="004B7862" w:rsidRPr="00B522C6" w:rsidRDefault="004B7862" w:rsidP="001E0823">
      <w:pPr>
        <w:pStyle w:val="BodyText"/>
      </w:pPr>
      <w:r w:rsidRPr="00B522C6">
        <w:t>Strategy 3.2 is for the Agency to ‘work constructively with governments, peak disability organisations and Agency partners.’</w:t>
      </w:r>
      <w:r w:rsidR="00B522C6" w:rsidRPr="00B522C6">
        <w:rPr>
          <w:rStyle w:val="FootnoteReference"/>
        </w:rPr>
        <w:footnoteReference w:id="45"/>
      </w:r>
    </w:p>
    <w:p w14:paraId="604924FF" w14:textId="77777777" w:rsidR="004B7862" w:rsidRPr="00B522C6" w:rsidRDefault="004B7862" w:rsidP="001E0823">
      <w:pPr>
        <w:pStyle w:val="BodyText"/>
      </w:pPr>
      <w:r w:rsidRPr="00B522C6">
        <w:t xml:space="preserve">Over the year, the Agency focussed on building the capacity to deliver the following activities as identified in the Corporate Plan: </w:t>
      </w:r>
    </w:p>
    <w:p w14:paraId="711D42AB" w14:textId="77777777" w:rsidR="004B7862" w:rsidRPr="00B522C6" w:rsidRDefault="004B7862" w:rsidP="001E0823">
      <w:pPr>
        <w:pStyle w:val="ListBullet"/>
      </w:pPr>
      <w:r w:rsidRPr="00B522C6">
        <w:t>faithfully representing the interests of people with disability in contributing to the development of policy, service delivery and physical and social infrastructure;</w:t>
      </w:r>
    </w:p>
    <w:p w14:paraId="0A9399E1" w14:textId="77777777" w:rsidR="004B7862" w:rsidRPr="00B522C6" w:rsidRDefault="004B7862" w:rsidP="001E0823">
      <w:pPr>
        <w:pStyle w:val="ListBullet"/>
      </w:pPr>
      <w:r w:rsidRPr="00B522C6">
        <w:t>acknowledging the role of participating governments as reputational and fiscal shareholders in the Scheme;</w:t>
      </w:r>
    </w:p>
    <w:p w14:paraId="5B82F4AC" w14:textId="77777777" w:rsidR="004B7862" w:rsidRPr="00B522C6" w:rsidRDefault="004B7862" w:rsidP="001E0823">
      <w:pPr>
        <w:pStyle w:val="ListBullet"/>
      </w:pPr>
      <w:r w:rsidRPr="00B522C6">
        <w:t>being transparent through the timely provision of information and data to governments in relation to the performance, expenditure and activities of the Scheme; and</w:t>
      </w:r>
    </w:p>
    <w:p w14:paraId="49F16391" w14:textId="77777777" w:rsidR="004B7862" w:rsidRPr="00B522C6" w:rsidRDefault="004B7862" w:rsidP="001E0823">
      <w:pPr>
        <w:pStyle w:val="ListBullet"/>
      </w:pPr>
      <w:r w:rsidRPr="00B522C6">
        <w:t>working with local governments to build on their local connections and knowledge to build opportunities.</w:t>
      </w:r>
    </w:p>
    <w:p w14:paraId="4C859FE5" w14:textId="77777777" w:rsidR="004B7862" w:rsidRPr="00B522C6" w:rsidRDefault="004B7862" w:rsidP="001E0823">
      <w:pPr>
        <w:pStyle w:val="Heading5"/>
      </w:pPr>
      <w:r w:rsidRPr="00B522C6">
        <w:t>Key performance measures for Strategy 3.2</w:t>
      </w:r>
    </w:p>
    <w:p w14:paraId="3D53F573" w14:textId="0AA44670" w:rsidR="004B7862" w:rsidRPr="00B522C6" w:rsidRDefault="004B7862" w:rsidP="001E0823">
      <w:pPr>
        <w:pStyle w:val="ListBullet"/>
      </w:pPr>
      <w:r w:rsidRPr="00B522C6">
        <w:t>The Scheme’s performance is transparent to the community,</w:t>
      </w:r>
      <w:r w:rsidR="00B522C6" w:rsidRPr="00B522C6">
        <w:rPr>
          <w:rStyle w:val="FootnoteReference"/>
        </w:rPr>
        <w:footnoteReference w:id="46"/>
      </w:r>
      <w:r w:rsidRPr="00B522C6">
        <w:t xml:space="preserve"> including through the release of 71 public documents in 2016-17. These include the 2015-16 Annual Report and four NDIA Quarterly Reports to COAG Disability Reform Council (CDRC). </w:t>
      </w:r>
    </w:p>
    <w:p w14:paraId="58FC0DC6" w14:textId="77777777" w:rsidR="004B7862" w:rsidRPr="00B522C6" w:rsidRDefault="004B7862" w:rsidP="001E0823">
      <w:pPr>
        <w:pStyle w:val="ListBullet"/>
      </w:pPr>
      <w:r w:rsidRPr="00B522C6">
        <w:t>The NDIA has worked directly and extensively with participants and providers to identify solutions to improve the participant and provider experience from initial access, planning and the ongoing plan review process.</w:t>
      </w:r>
    </w:p>
    <w:p w14:paraId="58A94C54" w14:textId="70124850" w:rsidR="004B7862" w:rsidRPr="00B522C6" w:rsidRDefault="004B7862" w:rsidP="001E0823">
      <w:pPr>
        <w:pStyle w:val="ListBullet"/>
      </w:pPr>
      <w:r w:rsidRPr="00B522C6">
        <w:t>The NDIA has continued to expand its presence across the country to meet ongoing operational requirements, including engaging face-to-face with participants. In 2016-17, six standalone service delivery sites and 39 co-located service delivery sites have been established, bringing the total number of sites across Australia to 79. All service delivery sites planned for 2016-17, to support the bilateral estimates, were in operation at 30 June 2017.</w:t>
      </w:r>
      <w:r w:rsidR="00B522C6" w:rsidRPr="00B522C6">
        <w:rPr>
          <w:rStyle w:val="FootnoteReference"/>
        </w:rPr>
        <w:footnoteReference w:id="47"/>
      </w:r>
      <w:r w:rsidRPr="00B522C6">
        <w:t xml:space="preserve"> </w:t>
      </w:r>
    </w:p>
    <w:p w14:paraId="71E225D4" w14:textId="77777777" w:rsidR="004B7862" w:rsidRDefault="004B7862" w:rsidP="001E0823">
      <w:pPr>
        <w:pStyle w:val="ListBullet"/>
      </w:pPr>
      <w:r>
        <w:t xml:space="preserve">The Agency is building its capacity to influence policy development and social infrastructure. The NDIA has attended the following quarterly intergovernmental meetings in 2016-17: Secretaries NDIS Committee, Senior Officials Working Group and COAG Disability Reform Council meetings. </w:t>
      </w:r>
    </w:p>
    <w:p w14:paraId="0BD224C3" w14:textId="77777777" w:rsidR="004B7862" w:rsidRDefault="004B7862" w:rsidP="001E0823">
      <w:pPr>
        <w:pStyle w:val="ListBullet"/>
      </w:pPr>
      <w:r>
        <w:t>The Agency participates in tripartite meetings with the Commonwealth and individual states and territories on a fortnightly or monthly basis.</w:t>
      </w:r>
    </w:p>
    <w:p w14:paraId="17D9124D" w14:textId="77777777" w:rsidR="004B7862" w:rsidRDefault="004B7862" w:rsidP="001E0823">
      <w:pPr>
        <w:pStyle w:val="ListBullet"/>
      </w:pPr>
      <w:r>
        <w:t>The Agency has held six CEO forums with CEOs from across the disability sector.</w:t>
      </w:r>
    </w:p>
    <w:p w14:paraId="7D9FD60E" w14:textId="77777777" w:rsidR="004B7862" w:rsidRDefault="004B7862" w:rsidP="001E0823">
      <w:pPr>
        <w:pStyle w:val="ListBullet"/>
      </w:pPr>
      <w:r>
        <w:t>The NDIA funded 21 Partners in the Community to deliver ECEI and LAC services via $116 million of grants and contracts in 2016-17.</w:t>
      </w:r>
    </w:p>
    <w:p w14:paraId="77E3DF3A" w14:textId="77777777" w:rsidR="004B7862" w:rsidRDefault="004B7862" w:rsidP="001E0823">
      <w:pPr>
        <w:pStyle w:val="ListBullet"/>
      </w:pPr>
      <w:r>
        <w:lastRenderedPageBreak/>
        <w:t>The Agency is in the early stages of engaging with local government to leverage local connections and knowledge.</w:t>
      </w:r>
    </w:p>
    <w:p w14:paraId="7BF7B5EB" w14:textId="77777777" w:rsidR="004B7862" w:rsidRPr="002552B7" w:rsidRDefault="004B7862" w:rsidP="001E0823">
      <w:pPr>
        <w:pStyle w:val="Heading4"/>
      </w:pPr>
      <w:r w:rsidRPr="002552B7">
        <w:t>Strategy 3.3</w:t>
      </w:r>
    </w:p>
    <w:p w14:paraId="690AF054" w14:textId="1CF68915" w:rsidR="004B7862" w:rsidRPr="00B522C6" w:rsidRDefault="004B7862" w:rsidP="001E0823">
      <w:pPr>
        <w:pStyle w:val="BodyText"/>
      </w:pPr>
      <w:r w:rsidRPr="00B522C6">
        <w:t>Strategy 3.3 is to ‘raise community awareness and knowledge of how to support people with disability’.</w:t>
      </w:r>
      <w:r w:rsidR="00B522C6" w:rsidRPr="00B522C6">
        <w:rPr>
          <w:rStyle w:val="FootnoteReference"/>
        </w:rPr>
        <w:footnoteReference w:id="48"/>
      </w:r>
      <w:r w:rsidRPr="00B522C6">
        <w:t xml:space="preserve"> </w:t>
      </w:r>
    </w:p>
    <w:p w14:paraId="63B2BF60" w14:textId="77777777" w:rsidR="004B7862" w:rsidRDefault="004B7862" w:rsidP="001E0823">
      <w:pPr>
        <w:pStyle w:val="BodyText"/>
      </w:pPr>
      <w:r w:rsidRPr="00B522C6">
        <w:t>Over the year, the Agency focussed on building the capacity to deliver the following activities as</w:t>
      </w:r>
      <w:r>
        <w:t xml:space="preserve"> identified in the Corporate Plan through: </w:t>
      </w:r>
    </w:p>
    <w:p w14:paraId="5B649F30" w14:textId="77777777" w:rsidR="004B7862" w:rsidRDefault="004B7862" w:rsidP="001E0823">
      <w:pPr>
        <w:pStyle w:val="ListBullet"/>
      </w:pPr>
      <w:r>
        <w:t>building awareness in the community of the value of including people with disability in all social, education and economic activities;</w:t>
      </w:r>
    </w:p>
    <w:p w14:paraId="3E3BE20F" w14:textId="77777777" w:rsidR="004B7862" w:rsidRDefault="004B7862" w:rsidP="001E0823">
      <w:pPr>
        <w:pStyle w:val="ListBullet"/>
      </w:pPr>
      <w:r>
        <w:t>providing accessible, accurate, timely, authoritative and multi-media information to the community;</w:t>
      </w:r>
    </w:p>
    <w:p w14:paraId="1A5C2953" w14:textId="77777777" w:rsidR="004B7862" w:rsidRDefault="004B7862" w:rsidP="001E0823">
      <w:pPr>
        <w:pStyle w:val="ListBullet"/>
      </w:pPr>
      <w:r>
        <w:t>demonstrating the capacities and employability of people with disability and those with lived experience of disability by being a leading employer; and</w:t>
      </w:r>
    </w:p>
    <w:p w14:paraId="5CAA20C1" w14:textId="77777777" w:rsidR="004B7862" w:rsidRDefault="004B7862" w:rsidP="001E0823">
      <w:pPr>
        <w:pStyle w:val="ListBullet"/>
      </w:pPr>
      <w:r>
        <w:t>being a leader in diversity through exemplary employment and communication practices.</w:t>
      </w:r>
    </w:p>
    <w:p w14:paraId="05B77085" w14:textId="77777777" w:rsidR="004B7862" w:rsidRDefault="004B7862" w:rsidP="001E0823">
      <w:pPr>
        <w:pStyle w:val="Heading5"/>
      </w:pPr>
      <w:r>
        <w:t>Key performance measures for Strategy 3.3</w:t>
      </w:r>
    </w:p>
    <w:p w14:paraId="69646113" w14:textId="77777777" w:rsidR="004B7862" w:rsidRPr="004C249C" w:rsidRDefault="004B7862" w:rsidP="001E0823">
      <w:pPr>
        <w:pStyle w:val="ListBullet"/>
      </w:pPr>
      <w:r>
        <w:t xml:space="preserve">The NDIA has utilised $33,736,808 of ILC funding committed in 2016-17. There were also 73 Community Inclusion and Capability Development grants awarded, totalling $34,055,105, in 2016-17 to help build </w:t>
      </w:r>
      <w:r w:rsidRPr="004C249C">
        <w:t>capacity for social inclusion and participation for people with disability within their local community.</w:t>
      </w:r>
    </w:p>
    <w:p w14:paraId="4AED1009" w14:textId="343F98EA" w:rsidR="004B7862" w:rsidRPr="004C249C" w:rsidRDefault="004B7862" w:rsidP="001E0823">
      <w:pPr>
        <w:pStyle w:val="ListBullet"/>
      </w:pPr>
      <w:r w:rsidRPr="004C249C">
        <w:t>The NDIA aims to ensure that people with disability are welcomed in the community and can readily access support from mainstream services:</w:t>
      </w:r>
      <w:r w:rsidR="004C249C" w:rsidRPr="004C249C">
        <w:rPr>
          <w:rStyle w:val="FootnoteReference"/>
        </w:rPr>
        <w:footnoteReference w:id="49"/>
      </w:r>
      <w:r w:rsidRPr="004C249C">
        <w:rPr>
          <w:rStyle w:val="FootnoteReference"/>
        </w:rPr>
        <w:t xml:space="preserve"> </w:t>
      </w:r>
    </w:p>
    <w:p w14:paraId="038D05F6" w14:textId="77777777" w:rsidR="004B7862" w:rsidRDefault="004B7862" w:rsidP="001E0823">
      <w:pPr>
        <w:pStyle w:val="ListBullet2"/>
      </w:pPr>
      <w:r>
        <w:t>thirty-six per cent of participants over 25 years of age with a first plan approved from 1 July 2016 said they had been involved in a community, cultural or religious group in the last 12 months; and</w:t>
      </w:r>
    </w:p>
    <w:p w14:paraId="542A55EE" w14:textId="77777777" w:rsidR="004B7862" w:rsidRDefault="004B7862" w:rsidP="001E0823">
      <w:pPr>
        <w:pStyle w:val="ListBullet2"/>
      </w:pPr>
      <w:r>
        <w:t>eighty-two per cent of participants with a first plan approved from 1 July 2016 access mainstream services.</w:t>
      </w:r>
    </w:p>
    <w:p w14:paraId="772F61B3" w14:textId="77777777" w:rsidR="004B7862" w:rsidRDefault="004B7862" w:rsidP="001E0823">
      <w:pPr>
        <w:pStyle w:val="ListBullet"/>
      </w:pPr>
      <w:r>
        <w:t>The Agency continued to use social media as a strategic communications tool to engage with its diverse audience in a relevant and timely way.</w:t>
      </w:r>
    </w:p>
    <w:p w14:paraId="6FC412D9" w14:textId="77777777" w:rsidR="004B7862" w:rsidRDefault="004B7862" w:rsidP="001E0823">
      <w:pPr>
        <w:pStyle w:val="ListBullet"/>
      </w:pPr>
      <w:r>
        <w:t xml:space="preserve">Engagement levels increased across the NDIA’s key channels – YouTube and Facebook. Video played a lead role, with the number of videos released on NDIS TV (the Agency’s YouTube channel) and Facebook increasing by 113 per cent to 66 videos during the period. </w:t>
      </w:r>
    </w:p>
    <w:p w14:paraId="501414BA" w14:textId="77777777" w:rsidR="004B7862" w:rsidRDefault="004B7862" w:rsidP="001E0823">
      <w:pPr>
        <w:pStyle w:val="ListBullet"/>
      </w:pPr>
      <w:r>
        <w:t xml:space="preserve">In May 2017, the NDIA was presented with an award from the Australian Not-For-Profit Technology Awards in the best government agency category. The award acknowledged the quality of the NDIA’s website content and outstanding use of animation and participant story telling through video. </w:t>
      </w:r>
    </w:p>
    <w:p w14:paraId="2D6C1430" w14:textId="77777777" w:rsidR="004B7862" w:rsidRDefault="004B7862" w:rsidP="001E0823">
      <w:pPr>
        <w:pStyle w:val="ListBullet"/>
      </w:pPr>
      <w:r>
        <w:t>Over 14 per cent of the Agency’s workforce identified as having a disability, as at 30 June 2017.</w:t>
      </w:r>
    </w:p>
    <w:p w14:paraId="264F4F81" w14:textId="77777777" w:rsidR="004B7862" w:rsidRDefault="004B7862" w:rsidP="001E0823">
      <w:pPr>
        <w:pStyle w:val="Heading4"/>
      </w:pPr>
      <w:r>
        <w:t xml:space="preserve">Commentary: </w:t>
      </w:r>
    </w:p>
    <w:p w14:paraId="4BA9C814" w14:textId="77777777" w:rsidR="004B7862" w:rsidRDefault="004B7862" w:rsidP="001E0823">
      <w:pPr>
        <w:pStyle w:val="BodyText"/>
      </w:pPr>
      <w:r>
        <w:t xml:space="preserve">Despite slightly lower participant satisfaction levels this year, compared to the trial period, commitment to the NDIS and the principles of choice and control from the broader community remain strong. </w:t>
      </w:r>
    </w:p>
    <w:p w14:paraId="4B6D744B" w14:textId="77777777" w:rsidR="004B7862" w:rsidRDefault="004B7862" w:rsidP="001E0823">
      <w:pPr>
        <w:pStyle w:val="BodyText"/>
      </w:pPr>
      <w:r>
        <w:t xml:space="preserve">The NDIA has met with over 300 participants, carers, families, and providers to identify solutions to improve the participant and provider experience from initial access, planning and the ongoing plan review process. On a broader level, the Agency placed a greater focus on consultation and community engagement in 2016-17. </w:t>
      </w:r>
    </w:p>
    <w:p w14:paraId="41133098" w14:textId="77777777" w:rsidR="004B7862" w:rsidRDefault="004B7862" w:rsidP="001E0823">
      <w:pPr>
        <w:pStyle w:val="Heading2"/>
      </w:pPr>
      <w:bookmarkStart w:id="40" w:name="_Toc496611883"/>
      <w:r>
        <w:lastRenderedPageBreak/>
        <w:t>Financial performance 2016-17</w:t>
      </w:r>
      <w:bookmarkEnd w:id="40"/>
    </w:p>
    <w:p w14:paraId="183C1EC6" w14:textId="77777777" w:rsidR="004B7862" w:rsidRDefault="004B7862" w:rsidP="001E0823">
      <w:pPr>
        <w:pStyle w:val="Intro"/>
      </w:pPr>
      <w:r>
        <w:t>This section of the Annual Report provides a summary of the financial performance of the Agency in 2016-17.</w:t>
      </w:r>
    </w:p>
    <w:p w14:paraId="55754674" w14:textId="77777777" w:rsidR="004B7862" w:rsidRDefault="004B7862" w:rsidP="001E0823">
      <w:pPr>
        <w:pStyle w:val="BodyText"/>
      </w:pPr>
      <w:r>
        <w:t>Overall, the Agency recorded a surplus of $617 million. Revenue and Expenses by Programs are discussed below. A full set of audited financial statements for 2016-17 have been included in Section 4.</w:t>
      </w:r>
    </w:p>
    <w:p w14:paraId="0F1CB6A5" w14:textId="77777777" w:rsidR="004B7862" w:rsidRDefault="004B7862" w:rsidP="00842DE8">
      <w:pPr>
        <w:pStyle w:val="Heading4tables"/>
      </w:pPr>
      <w:bookmarkStart w:id="41" w:name="_Toc496611801"/>
      <w:r>
        <w:t>Table 3: Actual costs 2016-17</w:t>
      </w:r>
      <w:bookmarkEnd w:id="41"/>
    </w:p>
    <w:tbl>
      <w:tblPr>
        <w:tblStyle w:val="TableGrid"/>
        <w:tblW w:w="0" w:type="auto"/>
        <w:tblLook w:val="04A0" w:firstRow="1" w:lastRow="0" w:firstColumn="1" w:lastColumn="0" w:noHBand="0" w:noVBand="1"/>
        <w:tblDescription w:val="Table 3: Actual costs 2016-17"/>
      </w:tblPr>
      <w:tblGrid>
        <w:gridCol w:w="4831"/>
        <w:gridCol w:w="4797"/>
      </w:tblGrid>
      <w:tr w:rsidR="004B7862" w14:paraId="11CA97C6" w14:textId="77777777" w:rsidTr="00D4382B">
        <w:trPr>
          <w:tblHeader/>
        </w:trPr>
        <w:tc>
          <w:tcPr>
            <w:tcW w:w="4831" w:type="dxa"/>
            <w:shd w:val="clear" w:color="auto" w:fill="6B2976" w:themeFill="background2"/>
          </w:tcPr>
          <w:p w14:paraId="5B979DFF" w14:textId="77777777" w:rsidR="004B7862" w:rsidRPr="00465BCE" w:rsidRDefault="004B7862" w:rsidP="001E0823">
            <w:pPr>
              <w:pStyle w:val="TableTitle"/>
            </w:pPr>
            <w:bookmarkStart w:id="42" w:name="Title_Table3"/>
            <w:r w:rsidRPr="00D536D9">
              <w:t>Program</w:t>
            </w:r>
          </w:p>
        </w:tc>
        <w:tc>
          <w:tcPr>
            <w:tcW w:w="4797" w:type="dxa"/>
            <w:shd w:val="clear" w:color="auto" w:fill="6B2976" w:themeFill="background2"/>
          </w:tcPr>
          <w:p w14:paraId="62953978" w14:textId="77777777" w:rsidR="004B7862" w:rsidRPr="00465BCE" w:rsidRDefault="004B7862" w:rsidP="001E0823">
            <w:pPr>
              <w:pStyle w:val="TableTitle"/>
            </w:pPr>
            <w:r>
              <w:t xml:space="preserve">2016-17 </w:t>
            </w:r>
            <w:r>
              <w:br/>
              <w:t>$M</w:t>
            </w:r>
          </w:p>
        </w:tc>
      </w:tr>
      <w:bookmarkEnd w:id="42"/>
      <w:tr w:rsidR="004B7862" w14:paraId="03D56BDD" w14:textId="77777777" w:rsidTr="00D4382B">
        <w:tc>
          <w:tcPr>
            <w:tcW w:w="4831" w:type="dxa"/>
          </w:tcPr>
          <w:p w14:paraId="242D3EFA" w14:textId="77777777" w:rsidR="004B7862" w:rsidRDefault="004B7862" w:rsidP="001E0823">
            <w:pPr>
              <w:pStyle w:val="BodyText"/>
              <w:rPr>
                <w:rStyle w:val="BodyTextBold"/>
              </w:rPr>
            </w:pPr>
            <w:r>
              <w:t>Program 1.1: Reasonable and necessary care and support for participants</w:t>
            </w:r>
          </w:p>
        </w:tc>
        <w:tc>
          <w:tcPr>
            <w:tcW w:w="4797" w:type="dxa"/>
          </w:tcPr>
          <w:p w14:paraId="76D5D190" w14:textId="77777777" w:rsidR="004B7862" w:rsidRDefault="004B7862" w:rsidP="001E0823">
            <w:pPr>
              <w:pStyle w:val="BodyText"/>
              <w:rPr>
                <w:rStyle w:val="BodyTextBold"/>
              </w:rPr>
            </w:pPr>
            <w:r>
              <w:t>2,243.2</w:t>
            </w:r>
          </w:p>
        </w:tc>
      </w:tr>
      <w:tr w:rsidR="004B7862" w14:paraId="49BA2C5C" w14:textId="77777777" w:rsidTr="00D4382B">
        <w:tc>
          <w:tcPr>
            <w:tcW w:w="4831" w:type="dxa"/>
          </w:tcPr>
          <w:p w14:paraId="2D97BC27" w14:textId="77777777" w:rsidR="004B7862" w:rsidRDefault="004B7862" w:rsidP="001E0823">
            <w:pPr>
              <w:pStyle w:val="BodyText"/>
            </w:pPr>
            <w:r>
              <w:t>Program 1.2: Community inclusion and capacity development grants</w:t>
            </w:r>
          </w:p>
        </w:tc>
        <w:tc>
          <w:tcPr>
            <w:tcW w:w="4797" w:type="dxa"/>
          </w:tcPr>
          <w:p w14:paraId="3119E6DB" w14:textId="77777777" w:rsidR="004B7862" w:rsidRDefault="004B7862" w:rsidP="001E0823">
            <w:pPr>
              <w:pStyle w:val="BodyText"/>
            </w:pPr>
            <w:r>
              <w:t>33.5</w:t>
            </w:r>
          </w:p>
        </w:tc>
      </w:tr>
      <w:tr w:rsidR="004B7862" w14:paraId="1CDB8750" w14:textId="77777777" w:rsidTr="00D4382B">
        <w:tc>
          <w:tcPr>
            <w:tcW w:w="4831" w:type="dxa"/>
          </w:tcPr>
          <w:p w14:paraId="0644A63C" w14:textId="77777777" w:rsidR="004B7862" w:rsidRDefault="004B7862" w:rsidP="001E0823">
            <w:pPr>
              <w:pStyle w:val="BodyText"/>
            </w:pPr>
            <w:r>
              <w:t>Program 1.3: Agency costs</w:t>
            </w:r>
          </w:p>
        </w:tc>
        <w:tc>
          <w:tcPr>
            <w:tcW w:w="4797" w:type="dxa"/>
          </w:tcPr>
          <w:p w14:paraId="12A9F2FD" w14:textId="77777777" w:rsidR="004B7862" w:rsidRDefault="004B7862" w:rsidP="001E0823">
            <w:pPr>
              <w:pStyle w:val="BodyText"/>
            </w:pPr>
            <w:r>
              <w:t>580.0</w:t>
            </w:r>
          </w:p>
        </w:tc>
      </w:tr>
      <w:tr w:rsidR="004B7862" w14:paraId="1F88E855" w14:textId="77777777" w:rsidTr="00D4382B">
        <w:tc>
          <w:tcPr>
            <w:tcW w:w="4831" w:type="dxa"/>
          </w:tcPr>
          <w:p w14:paraId="2CE2D2C4" w14:textId="77777777" w:rsidR="004B7862" w:rsidRPr="00D536D9" w:rsidRDefault="004B7862" w:rsidP="001E0823">
            <w:pPr>
              <w:pStyle w:val="BodyText"/>
              <w:rPr>
                <w:rStyle w:val="BodyTextBold"/>
              </w:rPr>
            </w:pPr>
            <w:r w:rsidRPr="00D536D9">
              <w:rPr>
                <w:rStyle w:val="BodyTextBold"/>
              </w:rPr>
              <w:t>Total</w:t>
            </w:r>
          </w:p>
        </w:tc>
        <w:tc>
          <w:tcPr>
            <w:tcW w:w="4797" w:type="dxa"/>
          </w:tcPr>
          <w:p w14:paraId="14BC86B7" w14:textId="77777777" w:rsidR="004B7862" w:rsidRPr="00D536D9" w:rsidRDefault="004B7862" w:rsidP="001E0823">
            <w:pPr>
              <w:pStyle w:val="BodyText"/>
              <w:rPr>
                <w:rStyle w:val="BodyTextBold"/>
              </w:rPr>
            </w:pPr>
            <w:r w:rsidRPr="00D536D9">
              <w:rPr>
                <w:rStyle w:val="BodyTextBold"/>
              </w:rPr>
              <w:t>2,856.7</w:t>
            </w:r>
          </w:p>
        </w:tc>
      </w:tr>
    </w:tbl>
    <w:p w14:paraId="6245D427" w14:textId="77777777" w:rsidR="004B7862" w:rsidRDefault="004B7862" w:rsidP="001E0823">
      <w:pPr>
        <w:pStyle w:val="BodyText"/>
      </w:pPr>
      <w:r>
        <w:br/>
      </w:r>
      <w:r w:rsidRPr="00D536D9">
        <w:t>Note: Discrepancies in totals may exist due to rounding. The estimates include notional costs of transition to full Scheme over the forward estimates period. State and territory contributions to the trial phase of the Scheme have been agreed in the context of the Intergovernmental Agreement on the National Disability Insurance Scheme Launch. Negotiations on transition to full Scheme are ongoing.</w:t>
      </w:r>
    </w:p>
    <w:p w14:paraId="2BE8BCC1" w14:textId="77777777" w:rsidR="004B7862" w:rsidRDefault="004B7862" w:rsidP="001E0823">
      <w:pPr>
        <w:pStyle w:val="Heading3"/>
      </w:pPr>
      <w:r>
        <w:t>Ratio of operating expenses to Scheme costs</w:t>
      </w:r>
    </w:p>
    <w:p w14:paraId="1A9DF0C3" w14:textId="77777777" w:rsidR="004B7862" w:rsidRDefault="004B7862" w:rsidP="001E0823">
      <w:pPr>
        <w:pStyle w:val="BodyText"/>
      </w:pPr>
      <w:r>
        <w:t xml:space="preserve">The ratio of operating expenses to Scheme costs has decreased to 25.9 per cent when compared to last year’s ratio of 33.3 per cent. </w:t>
      </w:r>
    </w:p>
    <w:p w14:paraId="382A289B" w14:textId="77777777" w:rsidR="004B7862" w:rsidRDefault="004B7862" w:rsidP="001E0823">
      <w:pPr>
        <w:pStyle w:val="Heading3"/>
      </w:pPr>
      <w:r>
        <w:t>Financial performance</w:t>
      </w:r>
    </w:p>
    <w:p w14:paraId="44648BE3" w14:textId="77777777" w:rsidR="004B7862" w:rsidRDefault="004B7862" w:rsidP="001E0823">
      <w:pPr>
        <w:pStyle w:val="BodyText"/>
      </w:pPr>
      <w:r>
        <w:t>The Agency received an unmodified audit opinion on the 2016-17 financial statements from the Australian National Audit Office.</w:t>
      </w:r>
    </w:p>
    <w:p w14:paraId="60576B8A" w14:textId="77777777" w:rsidR="004B7862" w:rsidRDefault="004B7862" w:rsidP="001E0823">
      <w:pPr>
        <w:pStyle w:val="Heading3"/>
      </w:pPr>
      <w:r>
        <w:t>Funding</w:t>
      </w:r>
    </w:p>
    <w:p w14:paraId="14C57270" w14:textId="77777777" w:rsidR="004B7862" w:rsidRDefault="004B7862" w:rsidP="001E0823">
      <w:pPr>
        <w:pStyle w:val="BodyText"/>
      </w:pPr>
      <w:r>
        <w:t>The Agency is funded through a combination of cash and in-kind contributions as agreed between Commonwealth, state and territory governments.</w:t>
      </w:r>
    </w:p>
    <w:p w14:paraId="75C3FC57" w14:textId="77777777" w:rsidR="004B7862" w:rsidRDefault="004B7862" w:rsidP="001E0823">
      <w:pPr>
        <w:pStyle w:val="BodyText"/>
      </w:pPr>
      <w:r>
        <w:t>In 2016-17, states and territories contributed $1,376.5 million for reasonable and necessary support for participants and the Commonwealth contributed $1,714.7 million. The Commonwealth’s contribution included $873.4 million for reasonable and necessary support for participants, $33.3 million for grants, $691.8 million for Agency operating costs and $116.2 million in capital funding.</w:t>
      </w:r>
    </w:p>
    <w:p w14:paraId="7AB484A5" w14:textId="77777777" w:rsidR="004B7862" w:rsidRDefault="004B7862" w:rsidP="001E0823">
      <w:pPr>
        <w:pStyle w:val="BodyText"/>
      </w:pPr>
      <w:r>
        <w:t>The Agency also received $475.5 million of in-kind (non-cash) income from governments in the form of existing programs that are transitioning into the Scheme.</w:t>
      </w:r>
    </w:p>
    <w:p w14:paraId="7A51B5A2" w14:textId="77777777" w:rsidR="004B7862" w:rsidRDefault="004B7862" w:rsidP="001E0823">
      <w:pPr>
        <w:pStyle w:val="Heading3"/>
      </w:pPr>
      <w:r>
        <w:lastRenderedPageBreak/>
        <w:cr/>
        <w:t>Financial performance 2016-17</w:t>
      </w:r>
    </w:p>
    <w:p w14:paraId="2BB20642" w14:textId="77777777" w:rsidR="004B7862" w:rsidRDefault="004B7862" w:rsidP="001E0823">
      <w:pPr>
        <w:pStyle w:val="BodyText"/>
      </w:pPr>
      <w:r>
        <w:t>The Agency ended 2016-17 with an operating surplus of $617 million, compared to a surplus of $15.8 million in 2015-16.</w:t>
      </w:r>
    </w:p>
    <w:p w14:paraId="67A6D5EF" w14:textId="77777777" w:rsidR="004B7862" w:rsidRDefault="004B7862" w:rsidP="001E0823">
      <w:pPr>
        <w:pStyle w:val="BodyText"/>
      </w:pPr>
      <w:r>
        <w:t>Highlights:</w:t>
      </w:r>
    </w:p>
    <w:p w14:paraId="066A285D" w14:textId="77777777" w:rsidR="004B7862" w:rsidRDefault="004B7862" w:rsidP="001E0823">
      <w:pPr>
        <w:pStyle w:val="ListBullet"/>
      </w:pPr>
      <w:r>
        <w:t xml:space="preserve">The Agency incurred $2,243.2 million in expenses related to Program 1.1. This included $2,238.2 million for participant plan expenses and $5.0 million impairment expense recognised against cash advances made to participants in previous financial years. </w:t>
      </w:r>
    </w:p>
    <w:p w14:paraId="319B38E6" w14:textId="77777777" w:rsidR="004B7862" w:rsidRDefault="004B7862" w:rsidP="001E0823">
      <w:pPr>
        <w:pStyle w:val="ListBullet"/>
      </w:pPr>
      <w:r>
        <w:t>Total grant expenses recorded by the Agency in 2016-17 were $39.1 million. $33.5 million of this is directly related to Program 1.2. The remaining $5.6 million of grants provided include sponsorships and other grants and are attributable to Program 1.3.</w:t>
      </w:r>
    </w:p>
    <w:p w14:paraId="2AE2A37A" w14:textId="77777777" w:rsidR="004B7862" w:rsidRDefault="004B7862" w:rsidP="001E0823">
      <w:pPr>
        <w:pStyle w:val="ListBullet"/>
      </w:pPr>
      <w:r>
        <w:t>In addition to the $5.6 million grant expenses, the Agency recorded $574.4 million in operating expenses for the Agency, which includes $125.7 million of community partnership costs. These costs relate to Program 1.3.</w:t>
      </w:r>
    </w:p>
    <w:p w14:paraId="53A64394" w14:textId="77777777" w:rsidR="004B7862" w:rsidRDefault="004B7862" w:rsidP="001E0823">
      <w:pPr>
        <w:pStyle w:val="Heading3"/>
      </w:pPr>
      <w:r>
        <w:t>Forward position</w:t>
      </w:r>
    </w:p>
    <w:p w14:paraId="2C7B70D0" w14:textId="77777777" w:rsidR="004B7862" w:rsidRDefault="004B7862" w:rsidP="001E0823">
      <w:pPr>
        <w:pStyle w:val="BodyText"/>
      </w:pPr>
      <w:r>
        <w:t xml:space="preserve">In 2017–18 total expenses are forecast to exceed $9.1 billion including $8.0 billion to be incurred in providing reasonable and necessary supports of Scheme participants. </w:t>
      </w:r>
    </w:p>
    <w:p w14:paraId="16A3B28F" w14:textId="77777777" w:rsidR="004B7862" w:rsidRDefault="004B7862" w:rsidP="001E0823">
      <w:pPr>
        <w:pStyle w:val="Heading2"/>
      </w:pPr>
      <w:bookmarkStart w:id="43" w:name="_Toc496611884"/>
      <w:r>
        <w:lastRenderedPageBreak/>
        <w:t>Statement of financial position</w:t>
      </w:r>
      <w:bookmarkEnd w:id="43"/>
    </w:p>
    <w:p w14:paraId="2105C702" w14:textId="77777777" w:rsidR="004B7862" w:rsidRDefault="004B7862" w:rsidP="001E0823">
      <w:pPr>
        <w:pStyle w:val="Heading3"/>
      </w:pPr>
      <w:r>
        <w:t>Equity</w:t>
      </w:r>
    </w:p>
    <w:p w14:paraId="75B04DE6" w14:textId="77777777" w:rsidR="004B7862" w:rsidRDefault="004B7862" w:rsidP="001E0823">
      <w:pPr>
        <w:pStyle w:val="BodyText"/>
      </w:pPr>
      <w:r>
        <w:t>The total equity of the Agency at 30 June 2017 was $862.5 million, representing contributed equity of $205.7 million, reserves of $5.6 million and retained surplus of $651.2 million.</w:t>
      </w:r>
    </w:p>
    <w:p w14:paraId="07A956E9" w14:textId="77777777" w:rsidR="004B7862" w:rsidRDefault="004B7862" w:rsidP="001E0823">
      <w:pPr>
        <w:pStyle w:val="Heading3"/>
      </w:pPr>
      <w:r w:rsidRPr="009755FC">
        <w:t>As</w:t>
      </w:r>
      <w:r>
        <w:t>sets</w:t>
      </w:r>
    </w:p>
    <w:p w14:paraId="0677E0EB" w14:textId="77777777" w:rsidR="004B7862" w:rsidRDefault="004B7862" w:rsidP="001E0823">
      <w:pPr>
        <w:pStyle w:val="BodyText"/>
      </w:pPr>
      <w:r>
        <w:t xml:space="preserve">Total assets held by the Agency as at 30 June 2017 were $1.6 billion. </w:t>
      </w:r>
    </w:p>
    <w:p w14:paraId="3FFC5AA8" w14:textId="77777777" w:rsidR="004B7862" w:rsidRDefault="004B7862" w:rsidP="001E0823">
      <w:pPr>
        <w:pStyle w:val="Heading3"/>
      </w:pPr>
      <w:r>
        <w:t>Liabilities</w:t>
      </w:r>
    </w:p>
    <w:p w14:paraId="4F2EBD37" w14:textId="77777777" w:rsidR="004B7862" w:rsidRDefault="004B7862" w:rsidP="001E0823">
      <w:pPr>
        <w:pStyle w:val="BodyText"/>
      </w:pPr>
      <w:r>
        <w:t>The Agency’s total liabilities as at 30 June 2017 were $709.5 million.</w:t>
      </w:r>
    </w:p>
    <w:p w14:paraId="4F1DCD2F" w14:textId="77777777" w:rsidR="004B7862" w:rsidRDefault="004B7862" w:rsidP="001E0823">
      <w:pPr>
        <w:pStyle w:val="BodyText"/>
      </w:pPr>
      <w:r>
        <w:t xml:space="preserve">The Agency has sufficient cash reserves to pay its debts as and when they fall due. </w:t>
      </w:r>
    </w:p>
    <w:p w14:paraId="4555549F" w14:textId="77777777" w:rsidR="004B7862" w:rsidRPr="009755FC" w:rsidRDefault="004B7862" w:rsidP="00842DE8">
      <w:pPr>
        <w:pStyle w:val="Heading4tables"/>
      </w:pPr>
      <w:bookmarkStart w:id="44" w:name="_Toc496611802"/>
      <w:r w:rsidRPr="009755FC">
        <w:t>Table 4: Expenses and grants 2013-14 to 2020-21</w:t>
      </w:r>
      <w:bookmarkEnd w:id="44"/>
    </w:p>
    <w:tbl>
      <w:tblPr>
        <w:tblStyle w:val="TableGrid"/>
        <w:tblW w:w="0" w:type="auto"/>
        <w:tblLook w:val="04A0" w:firstRow="1" w:lastRow="0" w:firstColumn="1" w:lastColumn="0" w:noHBand="0" w:noVBand="1"/>
        <w:tblDescription w:val="Table 4: Expenses and grants 2013-14 to 2020-21"/>
      </w:tblPr>
      <w:tblGrid>
        <w:gridCol w:w="2609"/>
        <w:gridCol w:w="2569"/>
        <w:gridCol w:w="2210"/>
        <w:gridCol w:w="2240"/>
      </w:tblGrid>
      <w:tr w:rsidR="004B7862" w14:paraId="5A25C021" w14:textId="77777777" w:rsidTr="00364DAF">
        <w:trPr>
          <w:tblHeader/>
        </w:trPr>
        <w:tc>
          <w:tcPr>
            <w:tcW w:w="2780" w:type="dxa"/>
            <w:shd w:val="clear" w:color="auto" w:fill="6B2976" w:themeFill="background2"/>
          </w:tcPr>
          <w:p w14:paraId="759C3BB7" w14:textId="77777777" w:rsidR="004B7862" w:rsidRPr="00465BCE" w:rsidRDefault="004B7862" w:rsidP="001E0823">
            <w:pPr>
              <w:pStyle w:val="TableTitle"/>
            </w:pPr>
            <w:bookmarkStart w:id="45" w:name="Title_Table4"/>
          </w:p>
        </w:tc>
        <w:tc>
          <w:tcPr>
            <w:tcW w:w="2718" w:type="dxa"/>
            <w:shd w:val="clear" w:color="auto" w:fill="6B2976" w:themeFill="background2"/>
          </w:tcPr>
          <w:p w14:paraId="05ABC129" w14:textId="77777777" w:rsidR="004B7862" w:rsidRPr="009755FC" w:rsidRDefault="004B7862" w:rsidP="001E0823">
            <w:pPr>
              <w:pStyle w:val="TableTitle"/>
            </w:pPr>
            <w:r w:rsidRPr="009755FC">
              <w:t xml:space="preserve">Operating </w:t>
            </w:r>
            <w:r w:rsidRPr="009755FC">
              <w:br/>
              <w:t xml:space="preserve">Expenses </w:t>
            </w:r>
            <w:r w:rsidRPr="009755FC">
              <w:br/>
              <w:t>($000)</w:t>
            </w:r>
          </w:p>
        </w:tc>
        <w:tc>
          <w:tcPr>
            <w:tcW w:w="2345" w:type="dxa"/>
            <w:shd w:val="clear" w:color="auto" w:fill="6B2976" w:themeFill="background2"/>
          </w:tcPr>
          <w:p w14:paraId="291E081B" w14:textId="77777777" w:rsidR="004B7862" w:rsidRPr="009755FC" w:rsidRDefault="004B7862" w:rsidP="001E0823">
            <w:pPr>
              <w:pStyle w:val="TableTitle"/>
            </w:pPr>
            <w:r w:rsidRPr="009755FC">
              <w:t xml:space="preserve">CICD </w:t>
            </w:r>
            <w:r w:rsidRPr="009755FC">
              <w:br/>
              <w:t xml:space="preserve">Grants </w:t>
            </w:r>
            <w:r w:rsidRPr="009755FC">
              <w:br/>
              <w:t>($000)</w:t>
            </w:r>
          </w:p>
        </w:tc>
        <w:tc>
          <w:tcPr>
            <w:tcW w:w="2345" w:type="dxa"/>
            <w:shd w:val="clear" w:color="auto" w:fill="6B2976" w:themeFill="background2"/>
          </w:tcPr>
          <w:p w14:paraId="0029AEDB" w14:textId="77777777" w:rsidR="004B7862" w:rsidRPr="009755FC" w:rsidRDefault="004B7862" w:rsidP="001E0823">
            <w:pPr>
              <w:pStyle w:val="TableTitle"/>
            </w:pPr>
            <w:r w:rsidRPr="009755FC">
              <w:t xml:space="preserve">Participant </w:t>
            </w:r>
            <w:r w:rsidRPr="009755FC">
              <w:br/>
              <w:t xml:space="preserve">Plan Expenses </w:t>
            </w:r>
            <w:r w:rsidRPr="009755FC">
              <w:br/>
              <w:t>($000)</w:t>
            </w:r>
          </w:p>
        </w:tc>
      </w:tr>
      <w:bookmarkEnd w:id="45"/>
      <w:tr w:rsidR="004B7862" w14:paraId="1371EEAC" w14:textId="77777777" w:rsidTr="00F93D1A">
        <w:tc>
          <w:tcPr>
            <w:tcW w:w="2780" w:type="dxa"/>
          </w:tcPr>
          <w:p w14:paraId="75489125" w14:textId="77777777" w:rsidR="004B7862" w:rsidRDefault="004B7862" w:rsidP="001E0823">
            <w:pPr>
              <w:pStyle w:val="BodyText"/>
              <w:rPr>
                <w:rStyle w:val="BodyTextBold"/>
              </w:rPr>
            </w:pPr>
            <w:r>
              <w:t>2013-14 Actual</w:t>
            </w:r>
          </w:p>
        </w:tc>
        <w:tc>
          <w:tcPr>
            <w:tcW w:w="2718" w:type="dxa"/>
          </w:tcPr>
          <w:p w14:paraId="7BF53AE3" w14:textId="77777777" w:rsidR="004B7862" w:rsidRDefault="004B7862" w:rsidP="001E0823">
            <w:pPr>
              <w:pStyle w:val="BodyText"/>
              <w:rPr>
                <w:rStyle w:val="BodyTextBold"/>
              </w:rPr>
            </w:pPr>
            <w:r>
              <w:t>123,180</w:t>
            </w:r>
          </w:p>
        </w:tc>
        <w:tc>
          <w:tcPr>
            <w:tcW w:w="2345" w:type="dxa"/>
          </w:tcPr>
          <w:p w14:paraId="09E11FD0" w14:textId="77777777" w:rsidR="004B7862" w:rsidRDefault="004B7862" w:rsidP="001E0823">
            <w:pPr>
              <w:pStyle w:val="BodyText"/>
            </w:pPr>
            <w:r>
              <w:t>4,515</w:t>
            </w:r>
          </w:p>
        </w:tc>
        <w:tc>
          <w:tcPr>
            <w:tcW w:w="2345" w:type="dxa"/>
          </w:tcPr>
          <w:p w14:paraId="1C8E2018" w14:textId="77777777" w:rsidR="004B7862" w:rsidRDefault="004B7862" w:rsidP="001E0823">
            <w:pPr>
              <w:pStyle w:val="BodyText"/>
            </w:pPr>
            <w:r>
              <w:t>130,861</w:t>
            </w:r>
          </w:p>
        </w:tc>
      </w:tr>
      <w:tr w:rsidR="004B7862" w14:paraId="1872F735" w14:textId="77777777" w:rsidTr="00F93D1A">
        <w:tc>
          <w:tcPr>
            <w:tcW w:w="2780" w:type="dxa"/>
          </w:tcPr>
          <w:p w14:paraId="14DDE792" w14:textId="77777777" w:rsidR="004B7862" w:rsidRDefault="004B7862" w:rsidP="001E0823">
            <w:pPr>
              <w:pStyle w:val="BodyText"/>
            </w:pPr>
            <w:r>
              <w:t>2014-15 Actual</w:t>
            </w:r>
          </w:p>
        </w:tc>
        <w:tc>
          <w:tcPr>
            <w:tcW w:w="2718" w:type="dxa"/>
          </w:tcPr>
          <w:p w14:paraId="20099087" w14:textId="77777777" w:rsidR="004B7862" w:rsidRDefault="004B7862" w:rsidP="001E0823">
            <w:pPr>
              <w:pStyle w:val="BodyText"/>
            </w:pPr>
            <w:r>
              <w:t>169,841</w:t>
            </w:r>
          </w:p>
        </w:tc>
        <w:tc>
          <w:tcPr>
            <w:tcW w:w="2345" w:type="dxa"/>
          </w:tcPr>
          <w:p w14:paraId="29FA3F45" w14:textId="77777777" w:rsidR="004B7862" w:rsidRDefault="004B7862" w:rsidP="001E0823">
            <w:pPr>
              <w:pStyle w:val="BodyText"/>
            </w:pPr>
            <w:r>
              <w:t>14,928</w:t>
            </w:r>
          </w:p>
        </w:tc>
        <w:tc>
          <w:tcPr>
            <w:tcW w:w="2345" w:type="dxa"/>
          </w:tcPr>
          <w:p w14:paraId="005A04B3" w14:textId="77777777" w:rsidR="004B7862" w:rsidRDefault="004B7862" w:rsidP="001E0823">
            <w:pPr>
              <w:pStyle w:val="BodyText"/>
            </w:pPr>
            <w:r>
              <w:t>451,293</w:t>
            </w:r>
          </w:p>
        </w:tc>
      </w:tr>
      <w:tr w:rsidR="004B7862" w14:paraId="5B48E565" w14:textId="77777777" w:rsidTr="00F93D1A">
        <w:tc>
          <w:tcPr>
            <w:tcW w:w="2780" w:type="dxa"/>
          </w:tcPr>
          <w:p w14:paraId="0D827E3B" w14:textId="77777777" w:rsidR="004B7862" w:rsidRDefault="004B7862" w:rsidP="001E0823">
            <w:pPr>
              <w:pStyle w:val="BodyText"/>
            </w:pPr>
            <w:r>
              <w:t>2015-16 Actual</w:t>
            </w:r>
          </w:p>
        </w:tc>
        <w:tc>
          <w:tcPr>
            <w:tcW w:w="2718" w:type="dxa"/>
          </w:tcPr>
          <w:p w14:paraId="62315456" w14:textId="77777777" w:rsidR="004B7862" w:rsidRDefault="004B7862" w:rsidP="001E0823">
            <w:pPr>
              <w:pStyle w:val="BodyText"/>
            </w:pPr>
            <w:r>
              <w:t>266,709</w:t>
            </w:r>
          </w:p>
        </w:tc>
        <w:tc>
          <w:tcPr>
            <w:tcW w:w="2345" w:type="dxa"/>
          </w:tcPr>
          <w:p w14:paraId="197D4E67" w14:textId="77777777" w:rsidR="004B7862" w:rsidRDefault="004B7862" w:rsidP="001E0823">
            <w:pPr>
              <w:pStyle w:val="BodyText"/>
            </w:pPr>
            <w:r>
              <w:t>7,008</w:t>
            </w:r>
          </w:p>
        </w:tc>
        <w:tc>
          <w:tcPr>
            <w:tcW w:w="2345" w:type="dxa"/>
          </w:tcPr>
          <w:p w14:paraId="77358554" w14:textId="77777777" w:rsidR="004B7862" w:rsidRDefault="004B7862" w:rsidP="001E0823">
            <w:pPr>
              <w:pStyle w:val="BodyText"/>
            </w:pPr>
            <w:r>
              <w:t>800,520</w:t>
            </w:r>
          </w:p>
        </w:tc>
      </w:tr>
      <w:tr w:rsidR="004B7862" w14:paraId="5CB6601E" w14:textId="77777777" w:rsidTr="00F93D1A">
        <w:tc>
          <w:tcPr>
            <w:tcW w:w="2780" w:type="dxa"/>
          </w:tcPr>
          <w:p w14:paraId="16953387" w14:textId="77777777" w:rsidR="004B7862" w:rsidRPr="00D536D9" w:rsidRDefault="004B7862" w:rsidP="001E0823">
            <w:pPr>
              <w:pStyle w:val="BodyText"/>
              <w:rPr>
                <w:rStyle w:val="BodyTextBold"/>
              </w:rPr>
            </w:pPr>
            <w:r>
              <w:t>2016-17 Actual</w:t>
            </w:r>
          </w:p>
        </w:tc>
        <w:tc>
          <w:tcPr>
            <w:tcW w:w="2718" w:type="dxa"/>
          </w:tcPr>
          <w:p w14:paraId="74E681BB" w14:textId="77777777" w:rsidR="004B7862" w:rsidRPr="00D536D9" w:rsidRDefault="004B7862" w:rsidP="001E0823">
            <w:pPr>
              <w:pStyle w:val="BodyText"/>
              <w:rPr>
                <w:rStyle w:val="BodyTextBold"/>
              </w:rPr>
            </w:pPr>
            <w:r>
              <w:t>580,083</w:t>
            </w:r>
          </w:p>
        </w:tc>
        <w:tc>
          <w:tcPr>
            <w:tcW w:w="2345" w:type="dxa"/>
          </w:tcPr>
          <w:p w14:paraId="4A0BCBE8" w14:textId="77777777" w:rsidR="004B7862" w:rsidRPr="00D536D9" w:rsidRDefault="004B7862" w:rsidP="001E0823">
            <w:pPr>
              <w:pStyle w:val="BodyText"/>
              <w:rPr>
                <w:rStyle w:val="BodyTextBold"/>
              </w:rPr>
            </w:pPr>
            <w:r>
              <w:t>33,503</w:t>
            </w:r>
          </w:p>
        </w:tc>
        <w:tc>
          <w:tcPr>
            <w:tcW w:w="2345" w:type="dxa"/>
          </w:tcPr>
          <w:p w14:paraId="419A6F8E" w14:textId="77777777" w:rsidR="004B7862" w:rsidRPr="00D536D9" w:rsidRDefault="004B7862" w:rsidP="001E0823">
            <w:pPr>
              <w:pStyle w:val="BodyText"/>
              <w:rPr>
                <w:rStyle w:val="BodyTextBold"/>
              </w:rPr>
            </w:pPr>
            <w:r>
              <w:t>2,243,103</w:t>
            </w:r>
          </w:p>
        </w:tc>
      </w:tr>
      <w:tr w:rsidR="004B7862" w14:paraId="5A9AF645" w14:textId="77777777" w:rsidTr="00F93D1A">
        <w:tc>
          <w:tcPr>
            <w:tcW w:w="2780" w:type="dxa"/>
          </w:tcPr>
          <w:p w14:paraId="5B924E51" w14:textId="77777777" w:rsidR="004B7862" w:rsidRDefault="004B7862" w:rsidP="001E0823">
            <w:pPr>
              <w:pStyle w:val="BodyText"/>
            </w:pPr>
            <w:r>
              <w:t>2017-18 Estimate</w:t>
            </w:r>
          </w:p>
        </w:tc>
        <w:tc>
          <w:tcPr>
            <w:tcW w:w="2718" w:type="dxa"/>
          </w:tcPr>
          <w:p w14:paraId="16D35717" w14:textId="77777777" w:rsidR="004B7862" w:rsidRPr="00D536D9" w:rsidRDefault="004B7862" w:rsidP="001E0823">
            <w:pPr>
              <w:pStyle w:val="BodyText"/>
              <w:rPr>
                <w:rStyle w:val="BodyTextBold"/>
              </w:rPr>
            </w:pPr>
            <w:r>
              <w:t>1,033,017</w:t>
            </w:r>
          </w:p>
        </w:tc>
        <w:tc>
          <w:tcPr>
            <w:tcW w:w="2345" w:type="dxa"/>
          </w:tcPr>
          <w:p w14:paraId="44C0C2C8" w14:textId="77777777" w:rsidR="004B7862" w:rsidRPr="00D536D9" w:rsidRDefault="004B7862" w:rsidP="001E0823">
            <w:pPr>
              <w:pStyle w:val="BodyText"/>
              <w:rPr>
                <w:rStyle w:val="BodyTextBold"/>
              </w:rPr>
            </w:pPr>
            <w:r>
              <w:t>68,871</w:t>
            </w:r>
          </w:p>
        </w:tc>
        <w:tc>
          <w:tcPr>
            <w:tcW w:w="2345" w:type="dxa"/>
          </w:tcPr>
          <w:p w14:paraId="31FD39B1" w14:textId="77777777" w:rsidR="004B7862" w:rsidRPr="00D536D9" w:rsidRDefault="004B7862" w:rsidP="001E0823">
            <w:pPr>
              <w:pStyle w:val="BodyText"/>
              <w:rPr>
                <w:rStyle w:val="BodyTextBold"/>
              </w:rPr>
            </w:pPr>
            <w:r>
              <w:t>8,045,077</w:t>
            </w:r>
          </w:p>
        </w:tc>
      </w:tr>
      <w:tr w:rsidR="004B7862" w14:paraId="205949E2" w14:textId="77777777" w:rsidTr="00F93D1A">
        <w:tc>
          <w:tcPr>
            <w:tcW w:w="2780" w:type="dxa"/>
          </w:tcPr>
          <w:p w14:paraId="05E68D09" w14:textId="77777777" w:rsidR="004B7862" w:rsidRDefault="004B7862" w:rsidP="001E0823">
            <w:pPr>
              <w:pStyle w:val="BodyText"/>
            </w:pPr>
            <w:r>
              <w:t>2018-19 Estimate</w:t>
            </w:r>
          </w:p>
        </w:tc>
        <w:tc>
          <w:tcPr>
            <w:tcW w:w="2718" w:type="dxa"/>
          </w:tcPr>
          <w:p w14:paraId="78BD4F2F" w14:textId="77777777" w:rsidR="004B7862" w:rsidRPr="00D536D9" w:rsidRDefault="004B7862" w:rsidP="001E0823">
            <w:pPr>
              <w:pStyle w:val="BodyText"/>
              <w:rPr>
                <w:rStyle w:val="BodyTextBold"/>
              </w:rPr>
            </w:pPr>
            <w:r>
              <w:t>1,393,872</w:t>
            </w:r>
          </w:p>
        </w:tc>
        <w:tc>
          <w:tcPr>
            <w:tcW w:w="2345" w:type="dxa"/>
          </w:tcPr>
          <w:p w14:paraId="1193B1C4" w14:textId="77777777" w:rsidR="004B7862" w:rsidRPr="00D536D9" w:rsidRDefault="004B7862" w:rsidP="001E0823">
            <w:pPr>
              <w:pStyle w:val="BodyText"/>
              <w:rPr>
                <w:rStyle w:val="BodyTextBold"/>
              </w:rPr>
            </w:pPr>
            <w:r>
              <w:t>105,264</w:t>
            </w:r>
          </w:p>
        </w:tc>
        <w:tc>
          <w:tcPr>
            <w:tcW w:w="2345" w:type="dxa"/>
          </w:tcPr>
          <w:p w14:paraId="6A17710F" w14:textId="77777777" w:rsidR="004B7862" w:rsidRPr="00D536D9" w:rsidRDefault="004B7862" w:rsidP="001E0823">
            <w:pPr>
              <w:pStyle w:val="BodyText"/>
              <w:rPr>
                <w:rStyle w:val="BodyTextBold"/>
              </w:rPr>
            </w:pPr>
            <w:r>
              <w:t>14,267,086</w:t>
            </w:r>
          </w:p>
        </w:tc>
      </w:tr>
      <w:tr w:rsidR="004B7862" w14:paraId="6E0CE412" w14:textId="77777777" w:rsidTr="00F93D1A">
        <w:tc>
          <w:tcPr>
            <w:tcW w:w="2780" w:type="dxa"/>
          </w:tcPr>
          <w:p w14:paraId="1C741921" w14:textId="77777777" w:rsidR="004B7862" w:rsidRDefault="004B7862" w:rsidP="001E0823">
            <w:pPr>
              <w:pStyle w:val="BodyText"/>
            </w:pPr>
            <w:r>
              <w:t>2019-20 Estimate</w:t>
            </w:r>
          </w:p>
        </w:tc>
        <w:tc>
          <w:tcPr>
            <w:tcW w:w="2718" w:type="dxa"/>
          </w:tcPr>
          <w:p w14:paraId="2CF4B90B" w14:textId="77777777" w:rsidR="004B7862" w:rsidRPr="00D536D9" w:rsidRDefault="004B7862" w:rsidP="001E0823">
            <w:pPr>
              <w:pStyle w:val="BodyText"/>
              <w:rPr>
                <w:rStyle w:val="BodyTextBold"/>
              </w:rPr>
            </w:pPr>
            <w:r>
              <w:t>1,143,913</w:t>
            </w:r>
          </w:p>
        </w:tc>
        <w:tc>
          <w:tcPr>
            <w:tcW w:w="2345" w:type="dxa"/>
          </w:tcPr>
          <w:p w14:paraId="436B9B5C" w14:textId="77777777" w:rsidR="004B7862" w:rsidRPr="00D536D9" w:rsidRDefault="004B7862" w:rsidP="001E0823">
            <w:pPr>
              <w:pStyle w:val="BodyText"/>
              <w:rPr>
                <w:rStyle w:val="BodyTextBold"/>
              </w:rPr>
            </w:pPr>
            <w:r>
              <w:t>119,348</w:t>
            </w:r>
          </w:p>
        </w:tc>
        <w:tc>
          <w:tcPr>
            <w:tcW w:w="2345" w:type="dxa"/>
          </w:tcPr>
          <w:p w14:paraId="1233F363" w14:textId="77777777" w:rsidR="004B7862" w:rsidRPr="00D536D9" w:rsidRDefault="004B7862" w:rsidP="001E0823">
            <w:pPr>
              <w:pStyle w:val="BodyText"/>
              <w:rPr>
                <w:rStyle w:val="BodyTextBold"/>
              </w:rPr>
            </w:pPr>
            <w:r>
              <w:t>17,855,828</w:t>
            </w:r>
          </w:p>
        </w:tc>
      </w:tr>
      <w:tr w:rsidR="004B7862" w14:paraId="0D08CD26" w14:textId="77777777" w:rsidTr="00F93D1A">
        <w:tc>
          <w:tcPr>
            <w:tcW w:w="2780" w:type="dxa"/>
          </w:tcPr>
          <w:p w14:paraId="7F966ED6" w14:textId="77777777" w:rsidR="004B7862" w:rsidRDefault="004B7862" w:rsidP="001E0823">
            <w:pPr>
              <w:pStyle w:val="BodyText"/>
            </w:pPr>
            <w:r>
              <w:t>2020-21 Estimate</w:t>
            </w:r>
          </w:p>
        </w:tc>
        <w:tc>
          <w:tcPr>
            <w:tcW w:w="2718" w:type="dxa"/>
          </w:tcPr>
          <w:p w14:paraId="492701F3" w14:textId="77777777" w:rsidR="004B7862" w:rsidRPr="00D536D9" w:rsidRDefault="004B7862" w:rsidP="001E0823">
            <w:pPr>
              <w:pStyle w:val="BodyText"/>
              <w:rPr>
                <w:rStyle w:val="BodyTextBold"/>
              </w:rPr>
            </w:pPr>
            <w:r>
              <w:t>1,096,187</w:t>
            </w:r>
          </w:p>
        </w:tc>
        <w:tc>
          <w:tcPr>
            <w:tcW w:w="2345" w:type="dxa"/>
          </w:tcPr>
          <w:p w14:paraId="7882AB01" w14:textId="77777777" w:rsidR="004B7862" w:rsidRPr="00D536D9" w:rsidRDefault="004B7862" w:rsidP="001E0823">
            <w:pPr>
              <w:pStyle w:val="BodyText"/>
              <w:rPr>
                <w:rStyle w:val="BodyTextBold"/>
              </w:rPr>
            </w:pPr>
            <w:r>
              <w:t>118,603</w:t>
            </w:r>
          </w:p>
        </w:tc>
        <w:tc>
          <w:tcPr>
            <w:tcW w:w="2345" w:type="dxa"/>
          </w:tcPr>
          <w:p w14:paraId="47E73C80" w14:textId="77777777" w:rsidR="004B7862" w:rsidRPr="00D536D9" w:rsidRDefault="004B7862" w:rsidP="001E0823">
            <w:pPr>
              <w:pStyle w:val="BodyText"/>
              <w:rPr>
                <w:rStyle w:val="BodyTextBold"/>
              </w:rPr>
            </w:pPr>
            <w:r>
              <w:t>19,165,494</w:t>
            </w:r>
          </w:p>
        </w:tc>
      </w:tr>
    </w:tbl>
    <w:p w14:paraId="25B2EBB2" w14:textId="77777777" w:rsidR="004B7862" w:rsidRDefault="004B7862" w:rsidP="001E0823">
      <w:pPr>
        <w:pStyle w:val="CaseStudyTitle"/>
      </w:pPr>
    </w:p>
    <w:p w14:paraId="5C08CAAD" w14:textId="77777777" w:rsidR="004B7862" w:rsidRDefault="004B7862" w:rsidP="001E0823">
      <w:pPr>
        <w:rPr>
          <w:rFonts w:eastAsiaTheme="majorEastAsia" w:cstheme="majorBidi"/>
          <w:color w:val="6B2976" w:themeColor="background2"/>
        </w:rPr>
      </w:pPr>
      <w:r>
        <w:br w:type="page"/>
      </w:r>
    </w:p>
    <w:p w14:paraId="585445D5" w14:textId="77777777" w:rsidR="004B7862" w:rsidRDefault="004B7862" w:rsidP="001E0823">
      <w:pPr>
        <w:pStyle w:val="CaseStudyTitle"/>
      </w:pPr>
      <w:r>
        <w:lastRenderedPageBreak/>
        <w:t>Case study:</w:t>
      </w:r>
    </w:p>
    <w:p w14:paraId="3407E74D" w14:textId="77777777" w:rsidR="004B7862" w:rsidRDefault="004B7862" w:rsidP="001E0823">
      <w:pPr>
        <w:pStyle w:val="Heading3"/>
      </w:pPr>
      <w:r>
        <w:t>Lisa and Austin</w:t>
      </w:r>
    </w:p>
    <w:p w14:paraId="2E415688" w14:textId="77777777" w:rsidR="004B7862" w:rsidRDefault="004B7862" w:rsidP="001E0823">
      <w:pPr>
        <w:pStyle w:val="Intro"/>
      </w:pPr>
      <w:r>
        <w:t>Mum Lisa knows firsthand that transitioning to the NDIS can be tricky; especially when you’re juggling three children and a university degree.</w:t>
      </w:r>
    </w:p>
    <w:p w14:paraId="1BA165EB" w14:textId="77777777" w:rsidR="004B7862" w:rsidRDefault="004B7862" w:rsidP="001E0823">
      <w:pPr>
        <w:pStyle w:val="BodyText"/>
      </w:pPr>
      <w:r>
        <w:t>“It (the NDIS) was difficult and hard for me to set up because I was at uni full-time, the kids were doing Jiu Jitsu, and I had constant other children’s appointments,” Lisa said.</w:t>
      </w:r>
    </w:p>
    <w:p w14:paraId="19CF98ED" w14:textId="77777777" w:rsidR="004B7862" w:rsidRDefault="004B7862" w:rsidP="001E0823">
      <w:pPr>
        <w:pStyle w:val="BodyText"/>
      </w:pPr>
      <w:r>
        <w:t>“I know setting up to be part of the NDIS is a long, hard road but when you get there, it’s easier and it’s so good – it’s just so worth it!”</w:t>
      </w:r>
    </w:p>
    <w:p w14:paraId="4C2A8A8C" w14:textId="77777777" w:rsidR="004B7862" w:rsidRDefault="004B7862" w:rsidP="001E0823">
      <w:pPr>
        <w:pStyle w:val="BodyText"/>
      </w:pPr>
      <w:r>
        <w:t>Lisa’s eldest son, 14 year-old Austin, was born with a rare chromosomal disorder which caused Duane syndrome – a congenital eye disorder leaving him with blurry vision, as well as two forms of epilepsy.</w:t>
      </w:r>
    </w:p>
    <w:p w14:paraId="1711FD85" w14:textId="77777777" w:rsidR="004B7862" w:rsidRDefault="004B7862" w:rsidP="001E0823">
      <w:pPr>
        <w:pStyle w:val="BodyText"/>
      </w:pPr>
      <w:r>
        <w:t xml:space="preserve">“Austin’s condition makes it hard for him to function but since he’s been part of the NDIS, he’s really improved,” she said. </w:t>
      </w:r>
    </w:p>
    <w:p w14:paraId="283796EF" w14:textId="77777777" w:rsidR="004B7862" w:rsidRDefault="004B7862" w:rsidP="001E0823">
      <w:pPr>
        <w:pStyle w:val="BodyText"/>
      </w:pPr>
      <w:r>
        <w:t>“I get one-on-one in-home support for Austin, a few hours a week.</w:t>
      </w:r>
    </w:p>
    <w:p w14:paraId="77A60A77" w14:textId="77777777" w:rsidR="004B7862" w:rsidRDefault="004B7862" w:rsidP="001E0823">
      <w:pPr>
        <w:pStyle w:val="BodyText"/>
      </w:pPr>
      <w:r>
        <w:t>“I engaged a local support provider because I wanted to choose a qualified female support worker – someone he would love and relate to. We hit the jackpot with Emma who can stop and take her time with him in the morning, where I can’t, and he’s not having me do everything for him, it’s giving him more independence.”</w:t>
      </w:r>
    </w:p>
    <w:p w14:paraId="37EC678C" w14:textId="77777777" w:rsidR="004B7862" w:rsidRDefault="004B7862" w:rsidP="001E0823">
      <w:pPr>
        <w:pStyle w:val="Heading1"/>
      </w:pPr>
      <w:bookmarkStart w:id="46" w:name="_Toc496611885"/>
      <w:r>
        <w:lastRenderedPageBreak/>
        <w:t>S</w:t>
      </w:r>
      <w:r w:rsidRPr="000D5DD0">
        <w:t xml:space="preserve">ection </w:t>
      </w:r>
      <w:r>
        <w:t>T</w:t>
      </w:r>
      <w:r w:rsidRPr="000D5DD0">
        <w:t>hree</w:t>
      </w:r>
      <w:r>
        <w:br/>
      </w:r>
      <w:r w:rsidRPr="000D5DD0">
        <w:t>Governance</w:t>
      </w:r>
      <w:bookmarkEnd w:id="46"/>
    </w:p>
    <w:p w14:paraId="034D4A7E" w14:textId="77777777" w:rsidR="004B7862" w:rsidRDefault="004B7862" w:rsidP="001E0823">
      <w:pPr>
        <w:rPr>
          <w:rFonts w:eastAsiaTheme="majorEastAsia" w:cstheme="majorBidi"/>
          <w:color w:val="6B2976" w:themeColor="background2"/>
          <w:sz w:val="56"/>
          <w:szCs w:val="32"/>
        </w:rPr>
      </w:pPr>
      <w:r>
        <w:br w:type="page"/>
      </w:r>
    </w:p>
    <w:p w14:paraId="472F7513" w14:textId="77777777" w:rsidR="004B7862" w:rsidRDefault="004B7862" w:rsidP="001E0823">
      <w:pPr>
        <w:pStyle w:val="Intro"/>
      </w:pPr>
      <w:r>
        <w:lastRenderedPageBreak/>
        <w:t xml:space="preserve">The Agency is meeting its legislated objectives in two broad ways through the </w:t>
      </w:r>
      <w:r w:rsidRPr="000D5DD0">
        <w:rPr>
          <w:rStyle w:val="IntroItalic"/>
        </w:rPr>
        <w:t xml:space="preserve">National Disability Insurance Scheme Act 2013 </w:t>
      </w:r>
      <w:r>
        <w:t>by:</w:t>
      </w:r>
    </w:p>
    <w:p w14:paraId="02AB47AE" w14:textId="77777777" w:rsidR="004B7862" w:rsidRDefault="004B7862" w:rsidP="001E0823">
      <w:pPr>
        <w:pStyle w:val="ListBullet"/>
      </w:pPr>
      <w:r>
        <w:t>creating the Scheme, which is based on insurance principles; and</w:t>
      </w:r>
    </w:p>
    <w:p w14:paraId="7FE9864B" w14:textId="77777777" w:rsidR="004B7862" w:rsidRDefault="004B7862" w:rsidP="001E0823">
      <w:pPr>
        <w:pStyle w:val="ListBullet"/>
      </w:pPr>
      <w:r>
        <w:t>increasing the capacity of the entire Australian community, including providers of mainstream health, education and social services, community organisations, businesses and employers, to play its part. The Agency’s functions include developing and improving the disability sector by encouraging innovation, research and contemporary best practice.</w:t>
      </w:r>
    </w:p>
    <w:p w14:paraId="3CD1F245" w14:textId="77777777" w:rsidR="004B7862" w:rsidRDefault="004B7862" w:rsidP="001E0823">
      <w:pPr>
        <w:pStyle w:val="Intro"/>
      </w:pPr>
      <w:r>
        <w:t>The NDIA is committed to delivery on both of these objectives.</w:t>
      </w:r>
    </w:p>
    <w:p w14:paraId="5D4817C2" w14:textId="77777777" w:rsidR="004B7862" w:rsidRDefault="004B7862" w:rsidP="001E0823">
      <w:pPr>
        <w:pStyle w:val="Heading2"/>
      </w:pPr>
      <w:bookmarkStart w:id="47" w:name="_Toc496611886"/>
      <w:r>
        <w:lastRenderedPageBreak/>
        <w:t>Governance arrangements</w:t>
      </w:r>
      <w:bookmarkEnd w:id="47"/>
    </w:p>
    <w:p w14:paraId="31C44D63" w14:textId="77777777" w:rsidR="004B7862" w:rsidRDefault="004B7862" w:rsidP="001E0823">
      <w:pPr>
        <w:pStyle w:val="Intro"/>
      </w:pPr>
      <w:r>
        <w:t>The governance for the NDIA is set out in the NDIS Act. Key elements of the Agency’s governance are below:</w:t>
      </w:r>
    </w:p>
    <w:p w14:paraId="52D9959F" w14:textId="77777777" w:rsidR="004B7862" w:rsidRDefault="004B7862" w:rsidP="001E0823">
      <w:pPr>
        <w:pStyle w:val="ListBullet"/>
      </w:pPr>
      <w:r>
        <w:t xml:space="preserve">The Scheme is administered by the </w:t>
      </w:r>
      <w:r w:rsidRPr="00DD13D9">
        <w:rPr>
          <w:rStyle w:val="BodyTextBold"/>
        </w:rPr>
        <w:t>National Disability Insurance Scheme Launch Transition Agency</w:t>
      </w:r>
      <w:r>
        <w:t xml:space="preserve"> (National Disability Insurance Agency or the Agency), which has been established under Commonwealth legislation, the </w:t>
      </w:r>
      <w:r w:rsidRPr="00DD13D9">
        <w:rPr>
          <w:rStyle w:val="BodyTextItalic"/>
        </w:rPr>
        <w:t>National Disability Insurance Scheme Act 2013</w:t>
      </w:r>
      <w:r>
        <w:t xml:space="preserve"> (NDIS Act). </w:t>
      </w:r>
    </w:p>
    <w:p w14:paraId="004DD99F" w14:textId="77777777" w:rsidR="004B7862" w:rsidRDefault="004B7862" w:rsidP="001E0823">
      <w:pPr>
        <w:pStyle w:val="ListBullet2"/>
      </w:pPr>
      <w:r>
        <w:t xml:space="preserve">The Agency is an independent statutory agency whose role is to implement the NDIS. The NDIA holds all funds contributed by the Commonwealth, states and territories in a single pool, manages Scheme funds, administers access to the Scheme and approves the payment of individualised support packages. </w:t>
      </w:r>
    </w:p>
    <w:p w14:paraId="45A2489B" w14:textId="77777777" w:rsidR="004B7862" w:rsidRDefault="004B7862" w:rsidP="001E0823">
      <w:pPr>
        <w:pStyle w:val="ListBullet"/>
      </w:pPr>
      <w:r>
        <w:t xml:space="preserve">The </w:t>
      </w:r>
      <w:r w:rsidRPr="00DD13D9">
        <w:rPr>
          <w:rStyle w:val="BodyTextBold"/>
        </w:rPr>
        <w:t>Board of the Agency</w:t>
      </w:r>
      <w:r>
        <w:t xml:space="preserve"> is responsible for ensuring that the Agency performs its functions in an appropriate, efficient and effective manner. The Board determines the objectives, strategies and policies to be followed by the Agency. The Board manages its costs and liabilities from year to year including through the development of a reserve and investment of funds. Board membership is determined by the responsible Commonwealth Minister in consultation with the states and territories.</w:t>
      </w:r>
    </w:p>
    <w:p w14:paraId="7DC843B7" w14:textId="77777777" w:rsidR="004B7862" w:rsidRDefault="004B7862" w:rsidP="001E0823">
      <w:pPr>
        <w:pStyle w:val="ListBullet"/>
      </w:pPr>
      <w:r>
        <w:t xml:space="preserve">The </w:t>
      </w:r>
      <w:r w:rsidRPr="00DD13D9">
        <w:rPr>
          <w:rStyle w:val="BodyTextBold"/>
        </w:rPr>
        <w:t>Independent Advisory Council</w:t>
      </w:r>
      <w:r>
        <w:t xml:space="preserve"> (IAC) provides the Board with independent advice, on its own initiative or at the written request of the Board, which the Board must have regard to when performing its functions. The IAC is composed of people with disability, service providers and carers, and brings the crucial perspectives of these stakeholders to the work of the NDIA and the design of the Scheme.</w:t>
      </w:r>
    </w:p>
    <w:p w14:paraId="06DAB0CE" w14:textId="77777777" w:rsidR="004B7862" w:rsidRDefault="004B7862" w:rsidP="001E0823">
      <w:pPr>
        <w:pStyle w:val="ListBullet"/>
      </w:pPr>
      <w:r w:rsidRPr="00DD13D9">
        <w:rPr>
          <w:rStyle w:val="BodyTextBold"/>
        </w:rPr>
        <w:t>Responsible Ministers:</w:t>
      </w:r>
      <w:r>
        <w:t xml:space="preserve"> The Hon Christian Porter MP, Minister for Social Services, has ministerial responsibility for the Agency, including the exercise of specific powers under the NDIS Act. Minister Porter was appointed as Minister for Social Services on 21 September 2015, with responsibility for disability. The Hon Jane Prentice MP is the Assistant Minister for Social Services and Disability Services, appointed on 18 February 2016. Assistant Minister Prentice is responsible for assisting Minister Porter with the transition of the NDIS to full Scheme. </w:t>
      </w:r>
    </w:p>
    <w:p w14:paraId="0EBD82EA" w14:textId="77777777" w:rsidR="004B7862" w:rsidRDefault="004B7862" w:rsidP="001E0823">
      <w:pPr>
        <w:pStyle w:val="ListBullet"/>
      </w:pPr>
      <w:r>
        <w:t xml:space="preserve">The </w:t>
      </w:r>
      <w:r w:rsidRPr="00DD13D9">
        <w:rPr>
          <w:rStyle w:val="BodyTextBold"/>
        </w:rPr>
        <w:t>Council of Australian Governments (COAG) Disability Reform Council (DRC)</w:t>
      </w:r>
      <w:r>
        <w:t xml:space="preserve"> is made up of Commonwealth, state and territory treasurers and ministers for disability, and is chaired by the Minister for Social Services. It is the decision-making body on Scheme policy issues. The DRC oversees the implementation of the Scheme. It makes recommendations to COAG on the transition to full Scheme.</w:t>
      </w:r>
    </w:p>
    <w:p w14:paraId="175407B4" w14:textId="77777777" w:rsidR="004B7862" w:rsidRDefault="004B7862" w:rsidP="001E0823">
      <w:pPr>
        <w:pStyle w:val="Heading3"/>
      </w:pPr>
      <w:r>
        <w:t>Ministerial Statements</w:t>
      </w:r>
    </w:p>
    <w:p w14:paraId="0DB83CD1" w14:textId="77777777" w:rsidR="004B7862" w:rsidRDefault="004B7862" w:rsidP="001E0823">
      <w:pPr>
        <w:pStyle w:val="BodyText"/>
      </w:pPr>
      <w:r>
        <w:t xml:space="preserve">In March 2017, the Minister for Social Services, the Hon Christian Porter MP provided NDIA Chairman, Dr Helen Nugent AO, with a Statement of Strategic Guidance (the Statement) in accordance with section </w:t>
      </w:r>
      <w:r w:rsidRPr="00DD13D9">
        <w:t xml:space="preserve">125 of the </w:t>
      </w:r>
      <w:r w:rsidRPr="00DD13D9">
        <w:rPr>
          <w:rStyle w:val="BodyTextItalic"/>
        </w:rPr>
        <w:t xml:space="preserve">National Disability Insurance Scheme Act 2013. </w:t>
      </w:r>
    </w:p>
    <w:p w14:paraId="7001C8C8" w14:textId="77777777" w:rsidR="004B7862" w:rsidRDefault="004B7862" w:rsidP="001E0823">
      <w:pPr>
        <w:pStyle w:val="BodyText"/>
      </w:pPr>
      <w:r>
        <w:t>The Statement sets out the Council of Australian Governments Disability Reform Council’s expectations for the NDIA Board in delivering and implementing the NDIS. The Statement is publicly available on the NDIS website.</w:t>
      </w:r>
    </w:p>
    <w:p w14:paraId="0F809CF7" w14:textId="77777777" w:rsidR="004B7862" w:rsidRDefault="004B7862" w:rsidP="001E0823">
      <w:pPr>
        <w:pStyle w:val="Heading2"/>
      </w:pPr>
      <w:bookmarkStart w:id="48" w:name="_Toc496611887"/>
      <w:r w:rsidRPr="00DD13D9">
        <w:lastRenderedPageBreak/>
        <w:t>Agency Board</w:t>
      </w:r>
      <w:bookmarkEnd w:id="48"/>
    </w:p>
    <w:p w14:paraId="54127065" w14:textId="77777777" w:rsidR="004B7862" w:rsidRDefault="004B7862" w:rsidP="001E0823">
      <w:pPr>
        <w:pStyle w:val="Intro"/>
      </w:pPr>
      <w:r>
        <w:t>The Board is responsible for setting the Agency’s strategic direction and for the performance of Agency functions under the NDIS Act.</w:t>
      </w:r>
    </w:p>
    <w:p w14:paraId="626EA32A" w14:textId="77777777" w:rsidR="004B7862" w:rsidRDefault="004B7862" w:rsidP="001E0823">
      <w:pPr>
        <w:pStyle w:val="BodyText"/>
      </w:pPr>
      <w:r>
        <w:t xml:space="preserve">The Board has obligations as the accountable authority under the </w:t>
      </w:r>
      <w:r w:rsidRPr="00DD13D9">
        <w:rPr>
          <w:rStyle w:val="BodyTextItalic"/>
        </w:rPr>
        <w:t xml:space="preserve">Public Governance, Performance and Accountability (PGPA) </w:t>
      </w:r>
      <w:r>
        <w:t xml:space="preserve">Act 2013. Board members are appointed on a part-time basis for up to three years. Appointments are made by the Commonwealth Minister for Social Services and the appointment process is coordinated by the Department of Social Services. </w:t>
      </w:r>
    </w:p>
    <w:p w14:paraId="49765F3E" w14:textId="77777777" w:rsidR="004B7862" w:rsidRDefault="004B7862" w:rsidP="001E0823">
      <w:pPr>
        <w:pStyle w:val="BodyText"/>
      </w:pPr>
      <w:r>
        <w:t>Under the PGPA Act, members are required to disclose to the Minister any material personal interest in a matter that relates to the affairs of the authority. Board members are asked at each meeting whether a conflict arises between standing interests and the interests of the Agency, and to make a declaration of any interest.</w:t>
      </w:r>
    </w:p>
    <w:p w14:paraId="5D30B752" w14:textId="77777777" w:rsidR="004B7862" w:rsidRDefault="004B7862" w:rsidP="001E0823">
      <w:pPr>
        <w:pStyle w:val="Heading3"/>
      </w:pPr>
      <w:r>
        <w:t>Inaugural Board</w:t>
      </w:r>
    </w:p>
    <w:p w14:paraId="30F5B0E9" w14:textId="77777777" w:rsidR="004B7862" w:rsidRDefault="004B7862" w:rsidP="001E0823">
      <w:pPr>
        <w:pStyle w:val="BodyText"/>
      </w:pPr>
      <w:r>
        <w:t>The inaugural NDIA Board consisted of a Chair and eight members. Commonwealth legislation was passed in May 2016 to increase the size of the Board by three members, to be constituted of the Chair and 11 members.</w:t>
      </w:r>
    </w:p>
    <w:p w14:paraId="5C90B89A" w14:textId="77777777" w:rsidR="004B7862" w:rsidRDefault="004B7862" w:rsidP="001E0823">
      <w:pPr>
        <w:pStyle w:val="BodyText"/>
      </w:pPr>
      <w:r>
        <w:t>The terms of four outgoing Board members, including inaugural Chair Mr Bruce Bonyhady AM, ended on 31 December 2016.</w:t>
      </w:r>
    </w:p>
    <w:p w14:paraId="3706E39B" w14:textId="77777777" w:rsidR="004B7862" w:rsidRDefault="004B7862" w:rsidP="001E0823">
      <w:pPr>
        <w:pStyle w:val="Heading2"/>
      </w:pPr>
      <w:bookmarkStart w:id="49" w:name="_Toc496611888"/>
      <w:r w:rsidRPr="00DD13D9">
        <w:lastRenderedPageBreak/>
        <w:t>Board Members</w:t>
      </w:r>
      <w:bookmarkEnd w:id="49"/>
    </w:p>
    <w:p w14:paraId="1E568E39" w14:textId="77777777" w:rsidR="004B7862" w:rsidRDefault="004B7862" w:rsidP="001E0823">
      <w:pPr>
        <w:pStyle w:val="Intro"/>
      </w:pPr>
      <w:r w:rsidRPr="00DD13D9">
        <w:t>A person is eligible for appointment as a Board member only if the Minister is satisfied that the person has the skills, experience or knowledge in the provision or use of disability services; the operation of insurance schemes, compensation schemes or schemes with long</w:t>
      </w:r>
      <w:r w:rsidRPr="00DD13D9">
        <w:rPr>
          <w:rFonts w:ascii="MS Mincho" w:eastAsia="MS Mincho" w:hAnsi="MS Mincho" w:cs="MS Mincho"/>
        </w:rPr>
        <w:t>‑</w:t>
      </w:r>
      <w:r w:rsidRPr="00DD13D9">
        <w:t>term liabilities; financial management; or corporate governance.</w:t>
      </w:r>
    </w:p>
    <w:p w14:paraId="799ADD2C" w14:textId="77777777" w:rsidR="004B7862" w:rsidRDefault="004B7862" w:rsidP="001E0823">
      <w:pPr>
        <w:pStyle w:val="Heading3"/>
      </w:pPr>
      <w:r>
        <w:t>Dr Helen Nugent AO, Chairman</w:t>
      </w:r>
    </w:p>
    <w:p w14:paraId="4523D13A" w14:textId="77777777" w:rsidR="004B7862" w:rsidRDefault="004B7862" w:rsidP="001E0823">
      <w:pPr>
        <w:pStyle w:val="BodyText"/>
      </w:pPr>
      <w:r>
        <w:t xml:space="preserve">Dr Helen Nugent AO brings significant expertise to her role as Chairman of the Board. She has a strong background in financial services, particularly in insurance amongst other appointments, and is also the Chairman of Australian Rail Track Corporation and Ausgrid, and is Non-Executive Director for Insurance Australia Group Limited (IAG). </w:t>
      </w:r>
    </w:p>
    <w:p w14:paraId="0A1E7BCF" w14:textId="77777777" w:rsidR="004B7862" w:rsidRDefault="004B7862" w:rsidP="001E0823">
      <w:pPr>
        <w:pStyle w:val="BodyText"/>
      </w:pPr>
      <w:r>
        <w:t>In 2004, Dr Nugent was made an Officer of the Order of Australia for services to business, the arts and the community, and is currently the Chairman of the National Portrait Gallery of Australia. She holds a Bachelor of Arts (Hons) and a Doctorate of Philosophy from the University of Queensland, as well as an MBA (with Distinction) from the Harvard Business School.</w:t>
      </w:r>
    </w:p>
    <w:p w14:paraId="4E807097" w14:textId="77777777" w:rsidR="004B7862" w:rsidRDefault="004B7862" w:rsidP="001E0823">
      <w:pPr>
        <w:pStyle w:val="BodyText"/>
      </w:pPr>
      <w:r>
        <w:t>Dr Nugent is also Chairman of the Board’s People and Remuneration Committee. She routinely attends meetings of all other Committees.</w:t>
      </w:r>
    </w:p>
    <w:p w14:paraId="306C3A22" w14:textId="77777777" w:rsidR="004B7862" w:rsidRDefault="004B7862" w:rsidP="001E0823">
      <w:pPr>
        <w:pStyle w:val="Heading3"/>
      </w:pPr>
      <w:r>
        <w:t>Ms Sandra Birkensleigh</w:t>
      </w:r>
    </w:p>
    <w:p w14:paraId="42FEE5B2" w14:textId="77777777" w:rsidR="004B7862" w:rsidRDefault="004B7862" w:rsidP="001E0823">
      <w:pPr>
        <w:pStyle w:val="BodyText"/>
      </w:pPr>
      <w:r>
        <w:t xml:space="preserve">Ms Sandra Birkensleigh is an experienced Non-Executive Director, bringing extensive experience in financial service and insurance industries to the Agency. She currently holds board positions with MLC Insurance Ltd, Auswide Bank Limited, Horizon Oil Limited, 7-11 Holdings Limited (and its subsidiaries) and Sunshine Coast Children’s Therapy Centre. She chairs the Audit Committee for each of these organisations. Ms Birkensleigh is also a member of the Council of the University of the Sunshine Coast and an independent member of the Audit Committee of the Reserve Bank of Australia, and the Chair of the Audit and Risk Committee for the Public Trustee of Queensland. She was formerly a partner with PricewaterhouseCoopers including their Governance, Risk and Compliance practice. </w:t>
      </w:r>
    </w:p>
    <w:p w14:paraId="47BEB21C" w14:textId="77777777" w:rsidR="004B7862" w:rsidRDefault="004B7862" w:rsidP="001E0823">
      <w:pPr>
        <w:pStyle w:val="BodyText"/>
      </w:pPr>
      <w:r>
        <w:t>Ms Birkensleigh is Chairman of the Board Audit Committee.</w:t>
      </w:r>
    </w:p>
    <w:p w14:paraId="79C3AAD8" w14:textId="77777777" w:rsidR="004B7862" w:rsidRDefault="004B7862" w:rsidP="001E0823">
      <w:pPr>
        <w:pStyle w:val="Heading3"/>
      </w:pPr>
      <w:r>
        <w:t>Professor Rhonda Galbally AO</w:t>
      </w:r>
    </w:p>
    <w:p w14:paraId="627E1608" w14:textId="77777777" w:rsidR="004B7862" w:rsidRDefault="004B7862" w:rsidP="001E0823">
      <w:pPr>
        <w:pStyle w:val="BodyText"/>
      </w:pPr>
      <w:r>
        <w:t>Professor Rhonda Galbally AO has been a member of the Board since its inception and was heavily involved in the creation of the Scheme. Professor Galbally has vast experience in health development, disability, and social and housing policy, having in the past served as Chair of the National People with Disabilities and Carer Council. She was previously a CEO, Chair Board Director and member of government, working in both non-government and private entities.</w:t>
      </w:r>
    </w:p>
    <w:p w14:paraId="1A200A99" w14:textId="77777777" w:rsidR="004B7862" w:rsidRDefault="004B7862" w:rsidP="001E0823">
      <w:pPr>
        <w:pStyle w:val="BodyText"/>
      </w:pPr>
      <w:r>
        <w:t>Professor Galbally is a member of the Board’s Sustainability Committee, and Principal Member of the Independent Advisory Council.</w:t>
      </w:r>
    </w:p>
    <w:p w14:paraId="5A435351" w14:textId="77777777" w:rsidR="004B7862" w:rsidRDefault="004B7862" w:rsidP="001E0823">
      <w:pPr>
        <w:pStyle w:val="Heading3"/>
      </w:pPr>
      <w:r>
        <w:t>Mr Glenn Keys AO</w:t>
      </w:r>
    </w:p>
    <w:p w14:paraId="63E02C0E" w14:textId="77777777" w:rsidR="004B7862" w:rsidRDefault="004B7862" w:rsidP="001E0823">
      <w:pPr>
        <w:pStyle w:val="BodyText"/>
      </w:pPr>
      <w:r>
        <w:t xml:space="preserve">Mr Glenn Keys AO has been a member of the NDIS Board since the Scheme’s inception. He has long been involved in efforts to improve the lives of people with disability, including through his involvement in the </w:t>
      </w:r>
      <w:r>
        <w:lastRenderedPageBreak/>
        <w:t xml:space="preserve">Special Olympics, the Down Syndrome Association and the disability housing sector. He has a background in the health sector as the co-founder and co-executive Chairman of Aspen Medical, and the Founder and Chairman for Project Independence, an initiative offering home ownership to people with disability. He was awarded an Officer in the General division (AO) in the 2017 Queen’s Birthday Honours list for his distinguished service to disability, business and commerce and as an advocate for corporate social responsibility. Mr Keys was named 2015 Australian Capital Territory Australian of the Year. </w:t>
      </w:r>
    </w:p>
    <w:p w14:paraId="2A0708ED" w14:textId="77777777" w:rsidR="004B7862" w:rsidRDefault="004B7862" w:rsidP="001E0823">
      <w:pPr>
        <w:pStyle w:val="BodyText"/>
      </w:pPr>
      <w:r>
        <w:t xml:space="preserve">He is a member of the Board’s ICT Committee and has a child with an intellectual disability. </w:t>
      </w:r>
    </w:p>
    <w:p w14:paraId="6AEE3EE4" w14:textId="77777777" w:rsidR="004B7862" w:rsidRDefault="004B7862" w:rsidP="001E0823">
      <w:pPr>
        <w:pStyle w:val="Heading3"/>
      </w:pPr>
      <w:r>
        <w:t>Ms Robyn Kruk AM</w:t>
      </w:r>
    </w:p>
    <w:p w14:paraId="50EFA604" w14:textId="77777777" w:rsidR="004B7862" w:rsidRDefault="004B7862" w:rsidP="001E0823">
      <w:pPr>
        <w:pStyle w:val="BodyText"/>
      </w:pPr>
      <w:r>
        <w:t>Ms Robyn Kruk AM has extensive experience as Chief Executive of national and state policy, regulatory and service delivery agencies, including NSW Health and Premier and Cabinet. She established and served as inaugural CEO/Commissioner of the National Mental Health Commission. Ms Kruk is currently Chair, Board Director or member of international, national and state statutory, non-government and private entities in healthcare and emergency services, quality and safety, governance and mental healthcare.</w:t>
      </w:r>
    </w:p>
    <w:p w14:paraId="14C0C498" w14:textId="77777777" w:rsidR="004B7862" w:rsidRDefault="004B7862" w:rsidP="001E0823">
      <w:pPr>
        <w:pStyle w:val="BodyText"/>
      </w:pPr>
      <w:r>
        <w:t>Ms Kruk is a member of the Board’s Risk Committee and People and Remuneration Committee.</w:t>
      </w:r>
    </w:p>
    <w:p w14:paraId="4242A63A" w14:textId="77777777" w:rsidR="004B7862" w:rsidRDefault="004B7862" w:rsidP="001E0823">
      <w:pPr>
        <w:pStyle w:val="Heading3"/>
      </w:pPr>
      <w:r>
        <w:t>Mr John Langoulant AO</w:t>
      </w:r>
    </w:p>
    <w:p w14:paraId="11EFE2F4" w14:textId="77777777" w:rsidR="004B7862" w:rsidRDefault="004B7862" w:rsidP="001E0823">
      <w:pPr>
        <w:pStyle w:val="BodyText"/>
      </w:pPr>
      <w:r>
        <w:t>Mr John Langoulant AO has extensive experience across many areas of public policy development and implementation as the Western Australian Under Treasurer. He is also Chairman of government statutory authorities and member of several government special Councils and Inquiries. Mr Langoulant is also actively involved as a Non-Executive Director in several private and not-for-profit organisations.</w:t>
      </w:r>
    </w:p>
    <w:p w14:paraId="3AE262FD" w14:textId="77777777" w:rsidR="004B7862" w:rsidRDefault="004B7862" w:rsidP="001E0823">
      <w:pPr>
        <w:pStyle w:val="BodyText"/>
      </w:pPr>
      <w:r>
        <w:t>Mr John Langoulant is a member of the Board’s Audit Committee as well as being a Non-Executive Director since January 2017.</w:t>
      </w:r>
    </w:p>
    <w:p w14:paraId="19FC4E2B" w14:textId="77777777" w:rsidR="004B7862" w:rsidRDefault="004B7862" w:rsidP="001E0823">
      <w:pPr>
        <w:pStyle w:val="Heading3"/>
      </w:pPr>
      <w:r>
        <w:t>Mr Martin Laverty</w:t>
      </w:r>
    </w:p>
    <w:p w14:paraId="7F4F7B51" w14:textId="77777777" w:rsidR="004B7862" w:rsidRDefault="004B7862" w:rsidP="001E0823">
      <w:pPr>
        <w:pStyle w:val="BodyText"/>
      </w:pPr>
      <w:r>
        <w:t xml:space="preserve">Mr Martin Laverty is CEO of the Royal Flying Doctor Service of Australia. He is a member of the NSW Public Service Commission Board, the Australian Charities and Not-for-Profit Commission Board, and chairs the Commonwealth’s General Aviation Board. He is a former CEO of the hospital and aged care group, Catholic Health Australia. Mr Laverty is also a former Board Chair of two disability service organisations, Sunshine and Challenge Southern Highlands, and is a former Director of the New South Wales Muscular Dystrophy Association. </w:t>
      </w:r>
      <w:r>
        <w:cr/>
        <w:t>A lawyer by training, Mr Laverty is a member of the Board’s Audit and Risk Committees.</w:t>
      </w:r>
    </w:p>
    <w:p w14:paraId="273ADF5E" w14:textId="77777777" w:rsidR="004B7862" w:rsidRDefault="004B7862" w:rsidP="001E0823">
      <w:pPr>
        <w:pStyle w:val="Heading3"/>
      </w:pPr>
      <w:r>
        <w:t>Mr Jim Minto</w:t>
      </w:r>
    </w:p>
    <w:p w14:paraId="1897E641" w14:textId="77777777" w:rsidR="004B7862" w:rsidRDefault="004B7862" w:rsidP="001E0823">
      <w:pPr>
        <w:pStyle w:val="BodyText"/>
      </w:pPr>
      <w:r>
        <w:t>Mr Jim Minto is a Non-Executive Director of Singapore based Dai-ichi Life Asia Pacific, a Non-Executive Director of Equity Trustees Limited and Independent Chairman of New Zealand-based life insurer Partners Life Limited. He retired as Group CEO and Managing Director of life insurer TAL (formerly TOWER Australia) in March 2015. He had been in that role since November 2006 and prior to that was Group CEO of the Trans-Tasman TOWER Limited Group. Mr Minto has extensive experience in the financial services sector. A Chartered Accountant, Mr Minto retired in 2015 as Chair of the Association of Superannuation Funds of Australia and was a panel member of the Australian Government’s Review of Natural Disasters Insurance in 2011.</w:t>
      </w:r>
    </w:p>
    <w:p w14:paraId="1668FB92" w14:textId="77777777" w:rsidR="004B7862" w:rsidRDefault="004B7862" w:rsidP="001E0823">
      <w:pPr>
        <w:pStyle w:val="BodyText"/>
      </w:pPr>
      <w:r>
        <w:t>Mr Minto is Chairman of the Board’s Risk Committee.</w:t>
      </w:r>
    </w:p>
    <w:p w14:paraId="5487CD1B" w14:textId="77777777" w:rsidR="004B7862" w:rsidRDefault="004B7862" w:rsidP="001E0823">
      <w:pPr>
        <w:pStyle w:val="Heading3"/>
      </w:pPr>
      <w:r>
        <w:lastRenderedPageBreak/>
        <w:t>Mr Paul O’Sullivan</w:t>
      </w:r>
    </w:p>
    <w:p w14:paraId="78D46011" w14:textId="77777777" w:rsidR="004B7862" w:rsidRDefault="004B7862" w:rsidP="001E0823">
      <w:pPr>
        <w:pStyle w:val="BodyText"/>
      </w:pPr>
      <w:r>
        <w:t>Mr Paul O’Sullivan has been Chairman of Optus since October 2014. Mr O’Sullivan is a member of the Board of Commissioners of Telkomsel – Indonesia’s largest mobile communications company. He is a Director of Coca-Cola Amatil Limited; Healthscope, one of Australia’s leading private healthcare operations and HOOQ Pte Ltd, a joint venture between Singtel, Warner Bros and Sony Pictures Entertainment. Mr O’Sullivan is also a Board Member of the St George and Sutherland Medical Research Foundation and a member of the Advisory Board of the UNSW Bright Alliance.</w:t>
      </w:r>
    </w:p>
    <w:p w14:paraId="06767586" w14:textId="77777777" w:rsidR="004B7862" w:rsidRDefault="004B7862" w:rsidP="001E0823">
      <w:pPr>
        <w:pStyle w:val="BodyText"/>
      </w:pPr>
      <w:r>
        <w:t>Mr O’Sullivan is Chairman of the Board’s ICT Committee and a member of the Risk and People and Remuneration Committees.</w:t>
      </w:r>
    </w:p>
    <w:p w14:paraId="09874736" w14:textId="77777777" w:rsidR="004B7862" w:rsidRDefault="004B7862" w:rsidP="001E0823">
      <w:pPr>
        <w:pStyle w:val="Heading3"/>
      </w:pPr>
      <w:r>
        <w:t>Ms Estelle Pearson</w:t>
      </w:r>
    </w:p>
    <w:p w14:paraId="25C39891" w14:textId="77777777" w:rsidR="004B7862" w:rsidRDefault="004B7862" w:rsidP="001E0823">
      <w:pPr>
        <w:pStyle w:val="BodyText"/>
      </w:pPr>
      <w:r>
        <w:t>Ms Estelle Pearson has extensive experience in the insurance and injury compensation sector having worked as an Actuary and consultant in this sector since 1989. She is currently a Director of Finity Consulting Pty Limited, an actuarial and consulting firm and was previously on the Council of the Actuaries Institute, serving as President in 2015.</w:t>
      </w:r>
    </w:p>
    <w:p w14:paraId="5BC0C41F" w14:textId="77777777" w:rsidR="004B7862" w:rsidRDefault="004B7862" w:rsidP="001E0823">
      <w:pPr>
        <w:pStyle w:val="BodyText"/>
      </w:pPr>
      <w:r>
        <w:t>Ms Pearson is a member of the Board’s Sustainability Committee and a member of the Audit Committee.</w:t>
      </w:r>
    </w:p>
    <w:p w14:paraId="0D30C41D" w14:textId="77777777" w:rsidR="004B7862" w:rsidRDefault="004B7862" w:rsidP="001E0823">
      <w:pPr>
        <w:pStyle w:val="Heading3"/>
      </w:pPr>
      <w:r>
        <w:t>Ms Andrea Staines</w:t>
      </w:r>
    </w:p>
    <w:p w14:paraId="22E040C3" w14:textId="77777777" w:rsidR="004B7862" w:rsidRDefault="004B7862" w:rsidP="001E0823">
      <w:pPr>
        <w:pStyle w:val="BodyText"/>
      </w:pPr>
      <w:r>
        <w:t>Ms Andrea Staines is a Non-Executive Director with ten years’ experience on listed, unlisted, government and for-purpose Boards in the care, infrastructure and transport arenas. Ms Staines is on the Board of UnitingCare Queensland, and was previously on the boards of Goodstart and Early Learning Services. Her executive career was in airlines. She was a member of Qantas ExCo, as CEO Australian Airlines (mark II), an Asia-Australia subsidiary which she co-launched. Previously, Ms Staines worked in finance and strategy at Qantas and at American Airlines’ Dallas headquarters.</w:t>
      </w:r>
    </w:p>
    <w:p w14:paraId="10214379" w14:textId="77777777" w:rsidR="004B7862" w:rsidRDefault="004B7862" w:rsidP="001E0823">
      <w:pPr>
        <w:pStyle w:val="BodyText"/>
      </w:pPr>
      <w:r>
        <w:t>Ms Staines is a member of the Board’s ICT and Audit Committees.</w:t>
      </w:r>
    </w:p>
    <w:p w14:paraId="67262922" w14:textId="77777777" w:rsidR="004B7862" w:rsidRDefault="004B7862" w:rsidP="001E0823">
      <w:pPr>
        <w:pStyle w:val="Heading3"/>
      </w:pPr>
      <w:r>
        <w:t>Mr John Walsh AM</w:t>
      </w:r>
    </w:p>
    <w:p w14:paraId="3E04F5B0" w14:textId="77777777" w:rsidR="004B7862" w:rsidRDefault="004B7862" w:rsidP="001E0823">
      <w:pPr>
        <w:pStyle w:val="BodyText"/>
      </w:pPr>
      <w:r>
        <w:t>Mr John Walsh AM is one of Australia’s leading actuaries. He is a retired Partner of PricewaterhouseCoopers, where he worked for over 20 years in the areas of social policy and funding across accident compensation, health and disability. He has personal experience of disability, having lived with quadriplegia following a rugby league accident in his early-twenties. Mr Walsh is also a Board member of the Australian Commission for Safety and Quality in Healthcare.</w:t>
      </w:r>
    </w:p>
    <w:p w14:paraId="5F522FD6" w14:textId="77777777" w:rsidR="004B7862" w:rsidRDefault="004B7862" w:rsidP="001E0823">
      <w:pPr>
        <w:pStyle w:val="BodyText"/>
      </w:pPr>
      <w:r>
        <w:t>He is currently Chair of the Board’s Sustainability Committee and a member of the Board’s ICT Committee.</w:t>
      </w:r>
    </w:p>
    <w:p w14:paraId="6F0208D8" w14:textId="77777777" w:rsidR="004B7862" w:rsidRDefault="004B7862" w:rsidP="001E0823">
      <w:pPr>
        <w:pStyle w:val="Heading3"/>
      </w:pPr>
      <w:r>
        <w:t>Previous Board Members (1 July 2016 to 31 December 2016)</w:t>
      </w:r>
    </w:p>
    <w:p w14:paraId="3C1A3A15" w14:textId="77777777" w:rsidR="004B7862" w:rsidRDefault="004B7862" w:rsidP="001E0823">
      <w:pPr>
        <w:pStyle w:val="Heading4"/>
      </w:pPr>
      <w:r>
        <w:t>Mr Bruce Bonyhady AM (Chair)</w:t>
      </w:r>
    </w:p>
    <w:p w14:paraId="55331BF5" w14:textId="77777777" w:rsidR="004B7862" w:rsidRDefault="004B7862" w:rsidP="001E0823">
      <w:pPr>
        <w:pStyle w:val="BodyText"/>
      </w:pPr>
      <w:r>
        <w:t>Mr Bruce Bonyhady AM was the inaugural Chairman of the Board. Mr Bonyhady has worked for over 25 years to improve the lives of people with disability and is widely regarded as one of the driving forces behind the creation of the Scheme. Mr Bonyhady’s term of office expired on 30 December 2016.</w:t>
      </w:r>
    </w:p>
    <w:p w14:paraId="24C46829" w14:textId="77777777" w:rsidR="004B7862" w:rsidRDefault="004B7862" w:rsidP="001E0823">
      <w:pPr>
        <w:pStyle w:val="Heading4"/>
      </w:pPr>
      <w:r>
        <w:lastRenderedPageBreak/>
        <w:t>Ms Fiona Payne</w:t>
      </w:r>
    </w:p>
    <w:p w14:paraId="1DDCC4CA" w14:textId="77777777" w:rsidR="004B7862" w:rsidRDefault="004B7862" w:rsidP="001E0823">
      <w:pPr>
        <w:pStyle w:val="BodyText"/>
      </w:pPr>
      <w:r>
        <w:t>Ms Fiona Payne has more than 25 years’ experience on boards and committees in the community sector. Ms Payne was a member of the Board’s Sustainability Committee and ICT Committee and has a son with a vision impairment. Ms Payne’s term of office expired on 30 December 2016.</w:t>
      </w:r>
    </w:p>
    <w:p w14:paraId="39762F55" w14:textId="77777777" w:rsidR="004B7862" w:rsidRDefault="004B7862" w:rsidP="001E0823">
      <w:pPr>
        <w:pStyle w:val="Heading4"/>
      </w:pPr>
      <w:r>
        <w:t>Ms Geraldine Harwood</w:t>
      </w:r>
    </w:p>
    <w:p w14:paraId="0602A154" w14:textId="77777777" w:rsidR="004B7862" w:rsidRDefault="004B7862" w:rsidP="001E0823">
      <w:pPr>
        <w:pStyle w:val="BodyText"/>
      </w:pPr>
      <w:r>
        <w:t>Ms Geraldine Harwood brought many years of expertise across the disability sector in Tasmania to the NDIA. Ms Harwood was a member of the Board’s Audit, Risk and Finance Committee. Ms Harwood’s term of office expired on 30 December 2016.</w:t>
      </w:r>
    </w:p>
    <w:p w14:paraId="2DF3D800" w14:textId="77777777" w:rsidR="004B7862" w:rsidRDefault="004B7862" w:rsidP="001E0823">
      <w:pPr>
        <w:pStyle w:val="Heading4"/>
      </w:pPr>
      <w:r>
        <w:t>Mr John Hill PSM</w:t>
      </w:r>
    </w:p>
    <w:p w14:paraId="7EB25296" w14:textId="77777777" w:rsidR="004B7862" w:rsidRDefault="004B7862" w:rsidP="001E0823">
      <w:pPr>
        <w:pStyle w:val="BodyText"/>
      </w:pPr>
      <w:r>
        <w:t>Mr John Hill is a former Deputy Under Treasurer with the South Australian Department of Treasury and Finance bringing extensive knowledge of government and financial matters to the Scheme. Mr Hill was Chair of the Agency’s Board Audit, Risk and Finance Committee, and a member of the Sustainability Committee. Mr Hill’s term of office expired on 30 December 2016.</w:t>
      </w:r>
    </w:p>
    <w:p w14:paraId="1A17357D" w14:textId="77777777" w:rsidR="004B7862" w:rsidRDefault="004B7862" w:rsidP="001E0823">
      <w:pPr>
        <w:pStyle w:val="BodyText"/>
        <w:rPr>
          <w:rStyle w:val="BodyTextBold"/>
        </w:rPr>
      </w:pPr>
      <w:r w:rsidRPr="00AC4864">
        <w:rPr>
          <w:rStyle w:val="BodyTextBold"/>
        </w:rPr>
        <w:t>Board members’ positions, terms and meetings attended are detailed in Appendix 2.</w:t>
      </w:r>
    </w:p>
    <w:p w14:paraId="076BAC98" w14:textId="77777777" w:rsidR="004B7862" w:rsidRDefault="004B7862" w:rsidP="001E0823">
      <w:pPr>
        <w:pStyle w:val="Heading2"/>
      </w:pPr>
      <w:bookmarkStart w:id="50" w:name="_Toc496611889"/>
      <w:r w:rsidRPr="00931BD3">
        <w:lastRenderedPageBreak/>
        <w:t>Board committees</w:t>
      </w:r>
      <w:bookmarkEnd w:id="50"/>
    </w:p>
    <w:p w14:paraId="48C8EED4" w14:textId="77777777" w:rsidR="004B7862" w:rsidRDefault="004B7862" w:rsidP="001E0823">
      <w:pPr>
        <w:pStyle w:val="BodyText"/>
      </w:pPr>
      <w:r>
        <w:t>There are a number of Board committees in place to ensure that the NDIA meets its governance requirements. In February 2017, the structure of the Board committees was expanded to include five committees.</w:t>
      </w:r>
    </w:p>
    <w:p w14:paraId="5F7F09EA" w14:textId="4BBDDBED" w:rsidR="004B7862" w:rsidRDefault="004B7862" w:rsidP="00842DE8">
      <w:pPr>
        <w:pStyle w:val="Heading4tables"/>
      </w:pPr>
      <w:bookmarkStart w:id="51" w:name="_Toc496611803"/>
      <w:r>
        <w:t>Table 5: NDIA Board committees 2016-17 financial year</w:t>
      </w:r>
      <w:bookmarkEnd w:id="51"/>
    </w:p>
    <w:tbl>
      <w:tblPr>
        <w:tblStyle w:val="TableGrid"/>
        <w:tblW w:w="0" w:type="auto"/>
        <w:tblLook w:val="04A0" w:firstRow="1" w:lastRow="0" w:firstColumn="1" w:lastColumn="0" w:noHBand="0" w:noVBand="1"/>
        <w:tblDescription w:val="Table 5: NDIA Board committees 2016-17 financial year"/>
      </w:tblPr>
      <w:tblGrid>
        <w:gridCol w:w="4814"/>
        <w:gridCol w:w="4814"/>
      </w:tblGrid>
      <w:tr w:rsidR="004B7862" w14:paraId="0EEEFE47" w14:textId="77777777" w:rsidTr="003F47B7">
        <w:trPr>
          <w:tblHeader/>
        </w:trPr>
        <w:tc>
          <w:tcPr>
            <w:tcW w:w="5094" w:type="dxa"/>
            <w:shd w:val="clear" w:color="auto" w:fill="6B2976" w:themeFill="background2"/>
          </w:tcPr>
          <w:p w14:paraId="27AC3A1D" w14:textId="77777777" w:rsidR="004B7862" w:rsidRPr="00465BCE" w:rsidRDefault="004B7862" w:rsidP="001E0823">
            <w:pPr>
              <w:pStyle w:val="TableTitle"/>
            </w:pPr>
            <w:bookmarkStart w:id="52" w:name="Title_Table5"/>
            <w:r>
              <w:t>July 2016 – February 2017</w:t>
            </w:r>
          </w:p>
        </w:tc>
        <w:tc>
          <w:tcPr>
            <w:tcW w:w="5094" w:type="dxa"/>
            <w:shd w:val="clear" w:color="auto" w:fill="6B2976" w:themeFill="background2"/>
          </w:tcPr>
          <w:p w14:paraId="153E37CA" w14:textId="77777777" w:rsidR="004B7862" w:rsidRPr="00465BCE" w:rsidRDefault="004B7862" w:rsidP="001E0823">
            <w:pPr>
              <w:pStyle w:val="TableTitle"/>
            </w:pPr>
            <w:r>
              <w:t>February 2017 – June 2017</w:t>
            </w:r>
          </w:p>
        </w:tc>
      </w:tr>
      <w:bookmarkEnd w:id="52"/>
      <w:tr w:rsidR="004B7862" w14:paraId="681F6B15" w14:textId="77777777" w:rsidTr="00F93D1A">
        <w:tc>
          <w:tcPr>
            <w:tcW w:w="5094" w:type="dxa"/>
          </w:tcPr>
          <w:p w14:paraId="019D9E9F" w14:textId="77777777" w:rsidR="004B7862" w:rsidRDefault="004B7862" w:rsidP="001E0823">
            <w:pPr>
              <w:pStyle w:val="BodyText"/>
              <w:rPr>
                <w:rStyle w:val="BodyTextBold"/>
              </w:rPr>
            </w:pPr>
            <w:r>
              <w:t>Audit, Risk and Finance Committee</w:t>
            </w:r>
          </w:p>
        </w:tc>
        <w:tc>
          <w:tcPr>
            <w:tcW w:w="5094" w:type="dxa"/>
          </w:tcPr>
          <w:p w14:paraId="16DAEF6A" w14:textId="77777777" w:rsidR="004B7862" w:rsidRDefault="004B7862" w:rsidP="001E0823">
            <w:pPr>
              <w:pStyle w:val="BodyText"/>
              <w:rPr>
                <w:rStyle w:val="BodyTextBold"/>
              </w:rPr>
            </w:pPr>
            <w:r>
              <w:t>Audit Committee</w:t>
            </w:r>
          </w:p>
        </w:tc>
      </w:tr>
      <w:tr w:rsidR="004B7862" w14:paraId="3C12FC7B" w14:textId="77777777" w:rsidTr="00F93D1A">
        <w:tc>
          <w:tcPr>
            <w:tcW w:w="5094" w:type="dxa"/>
          </w:tcPr>
          <w:p w14:paraId="185BE51A" w14:textId="77777777" w:rsidR="004B7862" w:rsidRDefault="004B7862" w:rsidP="001E0823">
            <w:pPr>
              <w:pStyle w:val="BodyText"/>
            </w:pPr>
            <w:r>
              <w:t>Sustainability Committee</w:t>
            </w:r>
          </w:p>
        </w:tc>
        <w:tc>
          <w:tcPr>
            <w:tcW w:w="5094" w:type="dxa"/>
          </w:tcPr>
          <w:p w14:paraId="1870D7C9" w14:textId="77777777" w:rsidR="004B7862" w:rsidRDefault="004B7862" w:rsidP="001E0823">
            <w:pPr>
              <w:pStyle w:val="BodyText"/>
            </w:pPr>
            <w:r>
              <w:t>Sustainability Committee</w:t>
            </w:r>
          </w:p>
        </w:tc>
      </w:tr>
      <w:tr w:rsidR="004B7862" w14:paraId="1362BFA3" w14:textId="77777777" w:rsidTr="00F93D1A">
        <w:tc>
          <w:tcPr>
            <w:tcW w:w="5094" w:type="dxa"/>
          </w:tcPr>
          <w:p w14:paraId="3F6CD8F2" w14:textId="77777777" w:rsidR="004B7862" w:rsidRDefault="004B7862" w:rsidP="001E0823">
            <w:pPr>
              <w:pStyle w:val="BodyText"/>
            </w:pPr>
            <w:r>
              <w:t>Information and Communication Technology (ICT) Committee</w:t>
            </w:r>
          </w:p>
        </w:tc>
        <w:tc>
          <w:tcPr>
            <w:tcW w:w="5094" w:type="dxa"/>
          </w:tcPr>
          <w:p w14:paraId="4DCB82B9" w14:textId="77777777" w:rsidR="004B7862" w:rsidRDefault="004B7862" w:rsidP="001E0823">
            <w:pPr>
              <w:pStyle w:val="BodyText"/>
            </w:pPr>
            <w:r>
              <w:t>Information and Communication Technology (ICT) Committee</w:t>
            </w:r>
          </w:p>
        </w:tc>
      </w:tr>
      <w:tr w:rsidR="004B7862" w14:paraId="29D4888A" w14:textId="77777777" w:rsidTr="00F93D1A">
        <w:tc>
          <w:tcPr>
            <w:tcW w:w="5094" w:type="dxa"/>
          </w:tcPr>
          <w:p w14:paraId="4E5E8E2E" w14:textId="77777777" w:rsidR="004B7862" w:rsidRPr="00D536D9" w:rsidRDefault="004B7862" w:rsidP="001E0823">
            <w:pPr>
              <w:pStyle w:val="BodyText"/>
              <w:rPr>
                <w:rStyle w:val="BodyTextBold"/>
              </w:rPr>
            </w:pPr>
          </w:p>
        </w:tc>
        <w:tc>
          <w:tcPr>
            <w:tcW w:w="5094" w:type="dxa"/>
          </w:tcPr>
          <w:p w14:paraId="1C815CDF" w14:textId="77777777" w:rsidR="004B7862" w:rsidRPr="00D536D9" w:rsidRDefault="004B7862" w:rsidP="001E0823">
            <w:pPr>
              <w:pStyle w:val="BodyText"/>
              <w:rPr>
                <w:rStyle w:val="BodyTextBold"/>
              </w:rPr>
            </w:pPr>
            <w:r>
              <w:t>Risk Committee</w:t>
            </w:r>
          </w:p>
        </w:tc>
      </w:tr>
      <w:tr w:rsidR="004B7862" w14:paraId="5ECC72C5" w14:textId="77777777" w:rsidTr="00F93D1A">
        <w:tc>
          <w:tcPr>
            <w:tcW w:w="5094" w:type="dxa"/>
          </w:tcPr>
          <w:p w14:paraId="5986F271" w14:textId="77777777" w:rsidR="004B7862" w:rsidRPr="00D536D9" w:rsidRDefault="004B7862" w:rsidP="001E0823">
            <w:pPr>
              <w:pStyle w:val="BodyText"/>
              <w:rPr>
                <w:rStyle w:val="BodyTextBold"/>
              </w:rPr>
            </w:pPr>
          </w:p>
        </w:tc>
        <w:tc>
          <w:tcPr>
            <w:tcW w:w="5094" w:type="dxa"/>
          </w:tcPr>
          <w:p w14:paraId="290FD0DD" w14:textId="77777777" w:rsidR="004B7862" w:rsidRPr="00D536D9" w:rsidRDefault="004B7862" w:rsidP="001E0823">
            <w:pPr>
              <w:pStyle w:val="BodyText"/>
              <w:rPr>
                <w:rStyle w:val="BodyTextBold"/>
              </w:rPr>
            </w:pPr>
            <w:r>
              <w:t>People and Remuneration Committee</w:t>
            </w:r>
          </w:p>
        </w:tc>
      </w:tr>
    </w:tbl>
    <w:p w14:paraId="645BCA27" w14:textId="77777777" w:rsidR="004B7862" w:rsidRPr="00931BD3" w:rsidRDefault="004B7862" w:rsidP="001E0823"/>
    <w:p w14:paraId="30672B29" w14:textId="77777777" w:rsidR="004B7862" w:rsidRDefault="004B7862" w:rsidP="001E0823">
      <w:pPr>
        <w:pStyle w:val="Heading3"/>
      </w:pPr>
      <w:r>
        <w:t>Audit Committee</w:t>
      </w:r>
    </w:p>
    <w:p w14:paraId="00EF9A71" w14:textId="77777777" w:rsidR="004B7862" w:rsidRDefault="004B7862" w:rsidP="001E0823">
      <w:pPr>
        <w:pStyle w:val="BodyText"/>
      </w:pPr>
      <w:r>
        <w:t xml:space="preserve">The Audit Committee was established in compliance with section 45 of the PGPA Act and assists the Board in the management and oversight of the quality and integrity of the accounting, auditing and financial reporting of the NDIA. </w:t>
      </w:r>
    </w:p>
    <w:p w14:paraId="03048CAA" w14:textId="77777777" w:rsidR="004B7862" w:rsidRDefault="004B7862" w:rsidP="001E0823">
      <w:pPr>
        <w:pStyle w:val="BodyText"/>
      </w:pPr>
      <w:r>
        <w:t>Board members on the Committee are Ms Sandra Birkensleigh (Chairman), Mr John Langoulant AO, Mr Martin Laverty and Ms Estelle Pearson. The Audit Committee also has two independent members, Ms Marian Micalizzi and Ms Helen Williams AO.</w:t>
      </w:r>
    </w:p>
    <w:p w14:paraId="6094FE4B" w14:textId="77777777" w:rsidR="004B7862" w:rsidRDefault="004B7862" w:rsidP="001E0823">
      <w:pPr>
        <w:pStyle w:val="BodyText"/>
      </w:pPr>
      <w:r>
        <w:t>The Australian National Audit Office (ANAO) attends Audit Committee meetings as external auditor, along with appointed internal auditors.</w:t>
      </w:r>
    </w:p>
    <w:p w14:paraId="4EEC72D9" w14:textId="77777777" w:rsidR="004B7862" w:rsidRDefault="004B7862" w:rsidP="001E0823">
      <w:pPr>
        <w:pStyle w:val="Heading3"/>
      </w:pPr>
      <w:r>
        <w:t>Sustainability Committee</w:t>
      </w:r>
    </w:p>
    <w:p w14:paraId="5FFEDA21" w14:textId="77777777" w:rsidR="004B7862" w:rsidRDefault="004B7862" w:rsidP="001E0823">
      <w:pPr>
        <w:pStyle w:val="BodyText"/>
      </w:pPr>
      <w:r>
        <w:t xml:space="preserve">The Sustainability Committee’s objective is to provide advice in assessing, monitoring, reporting on and managing the financial sustainability of the NDIS. </w:t>
      </w:r>
    </w:p>
    <w:p w14:paraId="4F030206" w14:textId="77777777" w:rsidR="004B7862" w:rsidRDefault="004B7862" w:rsidP="001E0823">
      <w:pPr>
        <w:pStyle w:val="BodyText"/>
      </w:pPr>
      <w:r>
        <w:t>Board members on the Committee are Mr John Walsh AM (Chairman), Professor Rhonda Galbally AO, Mr Jim Minto and Ms Estelle Pearson. The Committee includes one external member, Mr Tom Karp.</w:t>
      </w:r>
      <w:r>
        <w:cr/>
        <w:t xml:space="preserve">Previous members of the Sustainability Committee in the 2016-17 financial year were </w:t>
      </w:r>
    </w:p>
    <w:p w14:paraId="41717872" w14:textId="77777777" w:rsidR="004B7862" w:rsidRDefault="004B7862" w:rsidP="001E0823">
      <w:pPr>
        <w:pStyle w:val="BodyText"/>
      </w:pPr>
      <w:r>
        <w:t>Mr John Hill PSM and Ms Fiona Payne, and external member Mr Peter Whiteford.</w:t>
      </w:r>
    </w:p>
    <w:p w14:paraId="39268634" w14:textId="77777777" w:rsidR="004B7862" w:rsidRDefault="004B7862" w:rsidP="001E0823">
      <w:pPr>
        <w:pStyle w:val="Heading3"/>
      </w:pPr>
      <w:r>
        <w:t xml:space="preserve">Information and Communication Technology Committee </w:t>
      </w:r>
    </w:p>
    <w:p w14:paraId="15F75C19" w14:textId="77777777" w:rsidR="004B7862" w:rsidRDefault="004B7862" w:rsidP="001E0823">
      <w:pPr>
        <w:pStyle w:val="BodyText"/>
      </w:pPr>
      <w:r>
        <w:t>The Information and Communication Technology (ICT) Committee assists the Board in the management and oversight of the Agency’s ICT solutions including providing input to the Board on the design, development, delivery and performance of the ICT strategy and systems.</w:t>
      </w:r>
    </w:p>
    <w:p w14:paraId="4D94F170" w14:textId="77777777" w:rsidR="004B7862" w:rsidRDefault="004B7862" w:rsidP="001E0823">
      <w:pPr>
        <w:pStyle w:val="BodyText"/>
      </w:pPr>
      <w:r>
        <w:lastRenderedPageBreak/>
        <w:t>Board members on the ICT Committee are Mr Paul O’Sullivan (Chairman), Mr Glenn Keys AO (previous Chairman), Ms Andrea Staines and Mr John Walsh AM. The committee has two independent members, Mr Serdar Avsar and Ms Helen Williams AO.</w:t>
      </w:r>
    </w:p>
    <w:p w14:paraId="65FF4507" w14:textId="77777777" w:rsidR="004B7862" w:rsidRDefault="004B7862" w:rsidP="001E0823">
      <w:pPr>
        <w:pStyle w:val="BodyText"/>
      </w:pPr>
      <w:r>
        <w:t>Former board member Ms Fiona Payne was a member of the ICT Committee.</w:t>
      </w:r>
    </w:p>
    <w:p w14:paraId="0D081A9A" w14:textId="77777777" w:rsidR="004B7862" w:rsidRDefault="004B7862" w:rsidP="001E0823">
      <w:pPr>
        <w:pStyle w:val="Heading3"/>
      </w:pPr>
      <w:r>
        <w:t>Risk Committee</w:t>
      </w:r>
    </w:p>
    <w:p w14:paraId="0AF13F7E" w14:textId="77777777" w:rsidR="004B7862" w:rsidRDefault="004B7862" w:rsidP="001E0823">
      <w:pPr>
        <w:pStyle w:val="BodyText"/>
      </w:pPr>
      <w:r>
        <w:t>The Risk Committee assists the Board in the management and oversight of the Agency’s approach to risk management. The role of the Risk Committee is to advise the Board in relation to the development and implementation of the NDIA’s overall risk management approach.</w:t>
      </w:r>
    </w:p>
    <w:p w14:paraId="641D8B6E" w14:textId="77777777" w:rsidR="004B7862" w:rsidRDefault="004B7862" w:rsidP="001E0823">
      <w:pPr>
        <w:pStyle w:val="BodyText"/>
      </w:pPr>
      <w:r>
        <w:t>Board members on the Risk Committee are Mr Jim Minto (Chairman), Ms Robyn Kruk AM, Mr Martin Laverty and Mr Paul O’Sullivan.</w:t>
      </w:r>
    </w:p>
    <w:p w14:paraId="5C7ADFD0" w14:textId="77777777" w:rsidR="004B7862" w:rsidRDefault="004B7862" w:rsidP="001E0823">
      <w:pPr>
        <w:pStyle w:val="Heading3"/>
      </w:pPr>
      <w:r>
        <w:t>People and Remuneration Committee</w:t>
      </w:r>
    </w:p>
    <w:p w14:paraId="70E91B22" w14:textId="77777777" w:rsidR="004B7862" w:rsidRDefault="004B7862" w:rsidP="001E0823">
      <w:pPr>
        <w:pStyle w:val="BodyText"/>
      </w:pPr>
      <w:r>
        <w:t>The People and Remuneration Committee’s role includes supporting the Agency to attract, retain and develop high-performing employees, overseeing strategies, frameworks and programs related to people and remuneration and providing recommendations to the Board on CEO succession planning.</w:t>
      </w:r>
    </w:p>
    <w:p w14:paraId="39C2C8C2" w14:textId="77777777" w:rsidR="004B7862" w:rsidRDefault="004B7862" w:rsidP="001E0823">
      <w:pPr>
        <w:pStyle w:val="BodyText"/>
      </w:pPr>
      <w:r>
        <w:t>Board members on the People and Remuneration Committee are Dr Helen Nugent AO (Chairman), Professor Rhonda Galbally AO, Ms Robyn Kruk AM and Mr Paul O’Sullivan.</w:t>
      </w:r>
    </w:p>
    <w:p w14:paraId="009C996A" w14:textId="77777777" w:rsidR="004B7862" w:rsidRDefault="004B7862" w:rsidP="001E0823">
      <w:pPr>
        <w:pStyle w:val="Heading3"/>
      </w:pPr>
      <w:r>
        <w:t xml:space="preserve">Audit, Risk and Finance Committee </w:t>
      </w:r>
    </w:p>
    <w:p w14:paraId="12B6304E" w14:textId="77777777" w:rsidR="004B7862" w:rsidRDefault="004B7862" w:rsidP="001E0823">
      <w:pPr>
        <w:pStyle w:val="BodyText"/>
      </w:pPr>
      <w:r>
        <w:t xml:space="preserve">The Audit, Risk and Finance Committee (ARFC) operated until 31 December 2016, when it was replaced by a dedicated Audit Committee and Risk Committee. </w:t>
      </w:r>
      <w:r>
        <w:cr/>
        <w:t xml:space="preserve">Board members on the Audit, Risk and Finance Committee were Mr John Hill PSM (Chair), </w:t>
      </w:r>
    </w:p>
    <w:p w14:paraId="7267EE09" w14:textId="77777777" w:rsidR="004B7862" w:rsidRDefault="004B7862" w:rsidP="001E0823">
      <w:pPr>
        <w:pStyle w:val="BodyText"/>
      </w:pPr>
      <w:r>
        <w:t xml:space="preserve">Ms Geraldine Harwood and Mr Martin Laverty. The ARFC also had two independent members, Ms Marian Micalizzi and Ms Helen Williams AO. </w:t>
      </w:r>
    </w:p>
    <w:p w14:paraId="1823C279" w14:textId="77777777" w:rsidR="004B7862" w:rsidRDefault="004B7862" w:rsidP="001E0823">
      <w:pPr>
        <w:pStyle w:val="Heading2"/>
      </w:pPr>
      <w:bookmarkStart w:id="53" w:name="_Toc496611890"/>
      <w:r w:rsidRPr="00D1070F">
        <w:lastRenderedPageBreak/>
        <w:t>Independent Advisory Council</w:t>
      </w:r>
      <w:bookmarkEnd w:id="53"/>
    </w:p>
    <w:p w14:paraId="2EE86D1B" w14:textId="77777777" w:rsidR="004B7862" w:rsidRDefault="004B7862" w:rsidP="001E0823">
      <w:pPr>
        <w:pStyle w:val="BodyText"/>
      </w:pPr>
      <w:r>
        <w:t>The Independent Advisory Council (IAC) continues to play an integral role in bringing the views of participants, families and experts in the disability sector to the heart of the NDIS by providing independent advice based on the experience of its members and their networks. IAC members include people with disability, carers, advocates, disability experts and academics.</w:t>
      </w:r>
    </w:p>
    <w:p w14:paraId="25AE73C9" w14:textId="77777777" w:rsidR="004B7862" w:rsidRDefault="004B7862" w:rsidP="001E0823">
      <w:pPr>
        <w:pStyle w:val="BodyText"/>
      </w:pPr>
      <w:r>
        <w:t>During 2016–17, IAC advice to the Board consisted of:</w:t>
      </w:r>
    </w:p>
    <w:p w14:paraId="309CAABB" w14:textId="77777777" w:rsidR="004B7862" w:rsidRDefault="004B7862" w:rsidP="001E0823">
      <w:pPr>
        <w:pStyle w:val="ListBullet"/>
      </w:pPr>
      <w:r>
        <w:t>how to best work with, and benefit, people with intellectual disability;</w:t>
      </w:r>
    </w:p>
    <w:p w14:paraId="054E9111" w14:textId="77777777" w:rsidR="004B7862" w:rsidRDefault="004B7862" w:rsidP="001E0823">
      <w:pPr>
        <w:pStyle w:val="ListBullet"/>
      </w:pPr>
      <w:r>
        <w:t>equitable access to the NDIS by people with cognitive impairment on the margins of society;</w:t>
      </w:r>
    </w:p>
    <w:p w14:paraId="321FF771" w14:textId="77777777" w:rsidR="004B7862" w:rsidRDefault="004B7862" w:rsidP="001E0823">
      <w:pPr>
        <w:pStyle w:val="ListBullet"/>
      </w:pPr>
      <w:r>
        <w:t>equitable access to the NDIS by people with cognitive disability in touch with the criminal justice system;</w:t>
      </w:r>
    </w:p>
    <w:p w14:paraId="0F6481B8" w14:textId="77777777" w:rsidR="004B7862" w:rsidRDefault="004B7862" w:rsidP="001E0823">
      <w:pPr>
        <w:pStyle w:val="ListBullet"/>
      </w:pPr>
      <w:r>
        <w:t>building capacity and reducing vulnerability of participants who are isolated from the community, such as those in residential and day services or institutions; and</w:t>
      </w:r>
    </w:p>
    <w:p w14:paraId="1DD13741" w14:textId="77777777" w:rsidR="004B7862" w:rsidRDefault="004B7862" w:rsidP="001E0823">
      <w:pPr>
        <w:pStyle w:val="ListBullet"/>
      </w:pPr>
      <w:r>
        <w:t>enhancing personal safeguards.</w:t>
      </w:r>
    </w:p>
    <w:p w14:paraId="7E41700F" w14:textId="77777777" w:rsidR="004B7862" w:rsidRDefault="004B7862" w:rsidP="001E0823">
      <w:pPr>
        <w:pStyle w:val="BodyText"/>
      </w:pPr>
      <w:r>
        <w:t xml:space="preserve">In addition, the Advisory Council produced numerous discussion papers and reports relating to the themes of self-determination, capacity building, independence, social and economic participation and inclusion, reducing vulnerability and enabling positive risk, and equity.  </w:t>
      </w:r>
    </w:p>
    <w:p w14:paraId="2F74D92D" w14:textId="77777777" w:rsidR="004B7862" w:rsidRDefault="004B7862" w:rsidP="001E0823">
      <w:pPr>
        <w:pStyle w:val="BodyText"/>
      </w:pPr>
      <w:r>
        <w:t>The Advisory Council made submissions to the Senate Community Affairs Committee into the delivery of outcomes under the National Disability Strategy 2010–2020 to build inclusive and accessible communities, and to the Joint Standing Committee on services under the NDIS for people with psychosocial disabilities related to a mental health condition.</w:t>
      </w:r>
    </w:p>
    <w:p w14:paraId="30BC5237" w14:textId="77777777" w:rsidR="004B7862" w:rsidRDefault="004B7862" w:rsidP="001E0823">
      <w:pPr>
        <w:pStyle w:val="BodyText"/>
      </w:pPr>
      <w:r>
        <w:t>The term of the inaugural IAC expired on 30 June 2017. The members of this Advisory Council consisted of:</w:t>
      </w:r>
    </w:p>
    <w:p w14:paraId="43AACAAB" w14:textId="77777777" w:rsidR="004B7862" w:rsidRPr="00D1070F" w:rsidRDefault="004B7862" w:rsidP="001E0823">
      <w:pPr>
        <w:pStyle w:val="BodyText"/>
        <w:rPr>
          <w:rStyle w:val="BodyTextBold"/>
          <w:b w:val="0"/>
        </w:rPr>
      </w:pPr>
      <w:r w:rsidRPr="00D1070F">
        <w:rPr>
          <w:rStyle w:val="BodyTextBold"/>
        </w:rPr>
        <w:t>Professor Rhonda Galbally AO (Principal Member)</w:t>
      </w:r>
      <w:r w:rsidRPr="00D1070F">
        <w:rPr>
          <w:rStyle w:val="BodyTextBold"/>
        </w:rPr>
        <w:br/>
        <w:t>Dr Ken Baker AM</w:t>
      </w:r>
      <w:r w:rsidRPr="00D1070F">
        <w:rPr>
          <w:rStyle w:val="BodyTextBold"/>
        </w:rPr>
        <w:br/>
        <w:t xml:space="preserve">Dr Dean Barton-Smith AM </w:t>
      </w:r>
      <w:r w:rsidRPr="00D1070F">
        <w:rPr>
          <w:rStyle w:val="BodyTextBold"/>
        </w:rPr>
        <w:br/>
        <w:t>Ms Jennifer Cullen</w:t>
      </w:r>
      <w:r w:rsidRPr="00D1070F">
        <w:rPr>
          <w:rStyle w:val="BodyTextBold"/>
        </w:rPr>
        <w:br/>
        <w:t>Mr Kurt Fearnley OAM*</w:t>
      </w:r>
      <w:r w:rsidRPr="00D1070F">
        <w:rPr>
          <w:rStyle w:val="BodyTextBold"/>
        </w:rPr>
        <w:br/>
        <w:t>Ms Sylvana Mahmic</w:t>
      </w:r>
      <w:r w:rsidRPr="00D1070F">
        <w:rPr>
          <w:rStyle w:val="BodyTextBold"/>
        </w:rPr>
        <w:br/>
        <w:t>Ms Janet Meagher AM</w:t>
      </w:r>
      <w:r w:rsidRPr="00D1070F">
        <w:rPr>
          <w:rStyle w:val="BodyTextBold"/>
        </w:rPr>
        <w:br/>
        <w:t>Ms Joan McKenna-Kerr</w:t>
      </w:r>
      <w:r w:rsidRPr="00D1070F">
        <w:rPr>
          <w:rStyle w:val="BodyTextBold"/>
        </w:rPr>
        <w:br/>
        <w:t>Dr Gerry Naughtin</w:t>
      </w:r>
      <w:r w:rsidRPr="00D1070F">
        <w:rPr>
          <w:rStyle w:val="BodyTextBold"/>
        </w:rPr>
        <w:br/>
        <w:t>Mr Michael Taggart</w:t>
      </w:r>
      <w:r w:rsidRPr="00D1070F">
        <w:rPr>
          <w:rStyle w:val="BodyTextBold"/>
        </w:rPr>
        <w:br/>
        <w:t xml:space="preserve">Mr Dale Reardon </w:t>
      </w:r>
    </w:p>
    <w:p w14:paraId="0A2DCEED" w14:textId="77777777" w:rsidR="004B7862" w:rsidRDefault="004B7862" w:rsidP="001E0823">
      <w:pPr>
        <w:pStyle w:val="BodyText"/>
      </w:pPr>
      <w:r>
        <w:t>(*Mr Fearnley resigned from the Independent Advisory Council on 5 May 2016)</w:t>
      </w:r>
    </w:p>
    <w:p w14:paraId="1A68148B" w14:textId="77777777" w:rsidR="004B7862" w:rsidRDefault="004B7862" w:rsidP="001E0823">
      <w:pPr>
        <w:pStyle w:val="BodyText"/>
      </w:pPr>
      <w:r>
        <w:t>Each of the foundation members are to be thanked for their hard work and detailed contributions to the Advisory Council’s advice and for assisting the Advisory Council to work effectively and productively as a group over the past four years.</w:t>
      </w:r>
    </w:p>
    <w:p w14:paraId="25E8E60C" w14:textId="77777777" w:rsidR="004B7862" w:rsidRDefault="004B7862" w:rsidP="001E0823">
      <w:pPr>
        <w:pStyle w:val="BodyText"/>
      </w:pPr>
      <w:r>
        <w:t>From 1 July 2017, there will be an expanded Advisory Council in place, ensuring broader representation for people with disability during this critical period for the NDIS. For the first time, the Advisory Council will include representatives with intellectual disability and deaf blindness. Professor Rhonda Galbally AO will continue in her role as Principal Member of the Advisory Council.</w:t>
      </w:r>
    </w:p>
    <w:p w14:paraId="72CE341F" w14:textId="77777777" w:rsidR="004B7862" w:rsidRDefault="004B7862" w:rsidP="001E0823">
      <w:pPr>
        <w:pStyle w:val="Heading3"/>
      </w:pPr>
      <w:r>
        <w:t>Vale Lois Gatley</w:t>
      </w:r>
    </w:p>
    <w:p w14:paraId="6BB27A54" w14:textId="77777777" w:rsidR="004B7862" w:rsidRDefault="004B7862" w:rsidP="001E0823">
      <w:pPr>
        <w:pStyle w:val="BodyText"/>
      </w:pPr>
      <w:r>
        <w:t>The Board, IAC and NDIA staff paid tribute to inaugural NDIS Independent Advisory Council member, Ms Lois Gatley who passed away on 23 July 2016. Ms Gatley was a dedicated advocate for the NDIS, people with disability and carers and will be remembered as a determined and compassionate colleague.</w:t>
      </w:r>
    </w:p>
    <w:p w14:paraId="390BC61A" w14:textId="77777777" w:rsidR="004B7862" w:rsidRDefault="004B7862" w:rsidP="001E0823">
      <w:pPr>
        <w:pStyle w:val="Heading2"/>
      </w:pPr>
      <w:bookmarkStart w:id="54" w:name="_Toc496611891"/>
      <w:r w:rsidRPr="00D1070F">
        <w:lastRenderedPageBreak/>
        <w:t>Executive Management Group</w:t>
      </w:r>
      <w:bookmarkEnd w:id="54"/>
    </w:p>
    <w:p w14:paraId="13BBA858" w14:textId="77777777" w:rsidR="004B7862" w:rsidRDefault="004B7862" w:rsidP="001E0823">
      <w:pPr>
        <w:pStyle w:val="Intro"/>
      </w:pPr>
      <w:r>
        <w:t>The Executive Management Group (EMG) leads NDIA staff and Partners to deliver a high-quality experience for participants and produce better outcomes.</w:t>
      </w:r>
    </w:p>
    <w:p w14:paraId="2135E3BB" w14:textId="77777777" w:rsidR="004B7862" w:rsidRDefault="004B7862" w:rsidP="001E0823">
      <w:pPr>
        <w:pStyle w:val="BodyText"/>
      </w:pPr>
      <w:r>
        <w:t xml:space="preserve">The EMG is made up of the Chief Executive Officer (CEO), the Chief Operating Officer (COO) and three Deputy CEOs. It is the primary forum for operational decision-making, and providing strategic advice to the Board. </w:t>
      </w:r>
    </w:p>
    <w:p w14:paraId="2B6E3368" w14:textId="77777777" w:rsidR="004B7862" w:rsidRDefault="004B7862" w:rsidP="001E0823">
      <w:pPr>
        <w:pStyle w:val="BodyText"/>
      </w:pPr>
      <w:r>
        <w:t xml:space="preserve">The EMG is chaired by the CEO and reports to the Board. </w:t>
      </w:r>
    </w:p>
    <w:p w14:paraId="3DB6F8A5" w14:textId="77777777" w:rsidR="004B7862" w:rsidRDefault="004B7862" w:rsidP="001E0823">
      <w:pPr>
        <w:pStyle w:val="BodyText"/>
      </w:pPr>
      <w:r>
        <w:t>The purpose of the EMG is to:</w:t>
      </w:r>
    </w:p>
    <w:p w14:paraId="2F6D9FF1" w14:textId="77777777" w:rsidR="004B7862" w:rsidRDefault="004B7862" w:rsidP="001E0823">
      <w:pPr>
        <w:pStyle w:val="ListBullet"/>
      </w:pPr>
      <w:r>
        <w:t>advise the CEO on overall strategic direction, priorities, management and performance;</w:t>
      </w:r>
    </w:p>
    <w:p w14:paraId="1B9DBDC4" w14:textId="77777777" w:rsidR="004B7862" w:rsidRDefault="004B7862" w:rsidP="001E0823">
      <w:pPr>
        <w:pStyle w:val="ListBullet"/>
      </w:pPr>
      <w:r>
        <w:t>oversee the Agency’s financial position by allocating resources and monitoring performance and risk;</w:t>
      </w:r>
    </w:p>
    <w:p w14:paraId="0D85BA2F" w14:textId="77777777" w:rsidR="004B7862" w:rsidRDefault="004B7862" w:rsidP="001E0823">
      <w:pPr>
        <w:pStyle w:val="ListBullet"/>
      </w:pPr>
      <w:r>
        <w:t>oversee EMG governance committees; and</w:t>
      </w:r>
    </w:p>
    <w:p w14:paraId="5E445678" w14:textId="77777777" w:rsidR="004B7862" w:rsidRDefault="004B7862" w:rsidP="001E0823">
      <w:pPr>
        <w:pStyle w:val="ListBullet"/>
      </w:pPr>
      <w:r>
        <w:t>ensure the Agency meets its regulatory requirements.</w:t>
      </w:r>
    </w:p>
    <w:p w14:paraId="7EB618AD" w14:textId="77777777" w:rsidR="004B7862" w:rsidRDefault="004B7862" w:rsidP="001E0823">
      <w:pPr>
        <w:pStyle w:val="BodyText"/>
      </w:pPr>
      <w:r>
        <w:t>In addition, the Agency has internal committees that provide coordinated decision-making on matters relating to people and culture, operational policy and transition to full Scheme.</w:t>
      </w:r>
    </w:p>
    <w:p w14:paraId="2ADD91F2" w14:textId="77777777" w:rsidR="004B7862" w:rsidRDefault="004B7862" w:rsidP="001E0823">
      <w:pPr>
        <w:pStyle w:val="Heading3"/>
      </w:pPr>
      <w:r w:rsidRPr="00A635DA">
        <w:t>Executive team</w:t>
      </w:r>
    </w:p>
    <w:p w14:paraId="1134B660" w14:textId="77777777" w:rsidR="004B7862" w:rsidRPr="00A635DA" w:rsidRDefault="004B7862" w:rsidP="001E0823">
      <w:pPr>
        <w:pStyle w:val="Heading4"/>
      </w:pPr>
      <w:r w:rsidRPr="00A635DA">
        <w:t>Chief Executive Officer (from 28 August 2017)</w:t>
      </w:r>
      <w:r w:rsidRPr="00A635DA">
        <w:br/>
        <w:t>Robert De Luca</w:t>
      </w:r>
    </w:p>
    <w:p w14:paraId="2E4542F7" w14:textId="77777777" w:rsidR="004B7862" w:rsidRPr="00A635DA" w:rsidRDefault="004B7862" w:rsidP="001E0823">
      <w:pPr>
        <w:pStyle w:val="BodyText"/>
      </w:pPr>
      <w:r w:rsidRPr="00A635DA">
        <w:t>Robert De Luca joined the NDIA as CEO on 28 August 2017. Mr De Luca was previously Managing Director of BankWest. During Mr De Luca’s time as Managing Director, BankWest invested significantly in improving the experience of its one million customers.</w:t>
      </w:r>
    </w:p>
    <w:p w14:paraId="3226B926" w14:textId="77777777" w:rsidR="004B7862" w:rsidRPr="00A635DA" w:rsidRDefault="004B7862" w:rsidP="001E0823">
      <w:pPr>
        <w:pStyle w:val="BodyText"/>
      </w:pPr>
      <w:r w:rsidRPr="00A635DA">
        <w:t xml:space="preserve">Under his leadership, BankWest won the AIM WA WestBusiness Pinnacle Award for Corporate Social Responsibility Excellence in 2016 and WGEA Employer of Choice for Gender Equality. </w:t>
      </w:r>
    </w:p>
    <w:p w14:paraId="1299C238" w14:textId="77777777" w:rsidR="004B7862" w:rsidRDefault="004B7862" w:rsidP="001E0823">
      <w:pPr>
        <w:pStyle w:val="BodyText"/>
      </w:pPr>
      <w:r w:rsidRPr="00A635DA">
        <w:t>Mr De Luca has an extensive background in financial services, change management, and a strong and ongoing focus on the customer experience and equality in all his roles. He is married with three children, and is defined by his family, values and</w:t>
      </w:r>
      <w:r>
        <w:t xml:space="preserve"> passion to make a difference. </w:t>
      </w:r>
    </w:p>
    <w:p w14:paraId="2FBCA8E6" w14:textId="77777777" w:rsidR="004B7862" w:rsidRPr="00A635DA" w:rsidRDefault="004B7862" w:rsidP="001E0823">
      <w:pPr>
        <w:pStyle w:val="Heading4"/>
      </w:pPr>
      <w:r w:rsidRPr="00A635DA">
        <w:t xml:space="preserve">Chief Executive Officer (until 28 August 2017) </w:t>
      </w:r>
      <w:r>
        <w:br/>
      </w:r>
      <w:r w:rsidRPr="00A635DA">
        <w:t>David Bowen</w:t>
      </w:r>
    </w:p>
    <w:p w14:paraId="73A84F20" w14:textId="77777777" w:rsidR="004B7862" w:rsidRPr="00A635DA" w:rsidRDefault="004B7862" w:rsidP="001E0823">
      <w:pPr>
        <w:pStyle w:val="BodyText"/>
      </w:pPr>
      <w:r w:rsidRPr="00A635DA">
        <w:t>David Bowen was NDIA CEO until August 2017. He was appointed when the Agency was established in May 2013. Prior to this, he worked as a consultant to the Commonwealth Treasury and DSS on the NDIS. He was a member of the Independent Panel advising the Productivity Commission on its review of the formation of the NDIS and was Chair of the National Injury Insurance Advisory Committee until his appointment as CEO of the NDIA.</w:t>
      </w:r>
    </w:p>
    <w:p w14:paraId="1AF07B15" w14:textId="77777777" w:rsidR="004B7862" w:rsidRDefault="004B7862" w:rsidP="001E0823">
      <w:pPr>
        <w:pStyle w:val="BodyText"/>
      </w:pPr>
      <w:r w:rsidRPr="00A635DA">
        <w:t>Mr Bowen has had close to 30 years’ experience in personal injury insurance issues. He was General Manager of the NSW Motor Accident Authority from 1998 to 2010 and during that time established the NSW Lifetime Care and Support Authority.</w:t>
      </w:r>
    </w:p>
    <w:p w14:paraId="16AEA33B" w14:textId="77777777" w:rsidR="004B7862" w:rsidRDefault="004B7862" w:rsidP="001E0823">
      <w:pPr>
        <w:pStyle w:val="Heading4"/>
      </w:pPr>
      <w:r>
        <w:t>Chief Operating Officer (until 29 September 2017)</w:t>
      </w:r>
      <w:r>
        <w:br/>
        <w:t>Grant Tidswell PSM</w:t>
      </w:r>
    </w:p>
    <w:p w14:paraId="44B8D6AA" w14:textId="77777777" w:rsidR="004B7862" w:rsidRDefault="004B7862" w:rsidP="001E0823">
      <w:pPr>
        <w:pStyle w:val="BodyText"/>
      </w:pPr>
      <w:r>
        <w:t xml:space="preserve">Grant Tidswell was the Chief Operating Officer (COO) until September 2017. Mr Tidswell commenced with the Agency in August 2016 and was responsible for ensuring the successful transition to full Scheme. Mr Tidswell’s permanent position is with the Department of Human Services (DHS) as the Deputy Secretary </w:t>
      </w:r>
      <w:r>
        <w:lastRenderedPageBreak/>
        <w:t>responsible for the Department’s operational capability that delivers face-to-face, telephony and claim processing services across Australia for the Medicare, Child Support and Centrelink programs.</w:t>
      </w:r>
    </w:p>
    <w:p w14:paraId="0210157F" w14:textId="77777777" w:rsidR="004B7862" w:rsidRDefault="004B7862" w:rsidP="001E0823">
      <w:pPr>
        <w:pStyle w:val="BodyText"/>
      </w:pPr>
      <w:r>
        <w:t>Mr Tidswell led Centrelink’s operational response to a number of emergencies, notably the flood and cyclone emergencies across Australia in early 2011, the Victorian bushfires in 2009 and the Northern Territory Emergency Response. For his work in response to the Victorian Bushfire crisis, he was awarded the Public Service Medal in the Queen’s Birthday Honours List in June 2010.</w:t>
      </w:r>
    </w:p>
    <w:p w14:paraId="3E156588" w14:textId="77777777" w:rsidR="004B7862" w:rsidRDefault="004B7862" w:rsidP="001E0823">
      <w:pPr>
        <w:pStyle w:val="Heading4"/>
      </w:pPr>
      <w:r>
        <w:t>Acting Deputy Chief Executive Officer, Participants and Planning</w:t>
      </w:r>
      <w:r>
        <w:br/>
        <w:t>Stephanie Gunn</w:t>
      </w:r>
    </w:p>
    <w:p w14:paraId="55E4D552" w14:textId="77777777" w:rsidR="004B7862" w:rsidRDefault="004B7862" w:rsidP="001E0823">
      <w:pPr>
        <w:pStyle w:val="BodyText"/>
      </w:pPr>
      <w:r>
        <w:t>Stephanie Gunn joined the Agency in 2012 and has held a number of different roles across operational design and service delivery. Through her lived experience with disability, she has developed a passion for inclusive communities. She has led the Agency’s work on building the capacity of communities to be more inclusive of people with disability and how to create opportunities for people with disability in their community.</w:t>
      </w:r>
    </w:p>
    <w:p w14:paraId="46D87D23" w14:textId="77777777" w:rsidR="004B7862" w:rsidRDefault="004B7862" w:rsidP="001E0823">
      <w:pPr>
        <w:pStyle w:val="BodyText"/>
      </w:pPr>
      <w:r>
        <w:t xml:space="preserve">Ms Gunn was appointed Acting Deputy CEO, Participants and Planning in February 2017. She oversees regional sites, continual refinement of the participant experience, ensuring work practices preserve the financial sustainability of the Scheme and embedding the approach to Partners in the delivery of the government-agreed implementation schedules. Ms Gunn has worked at a senior executive level in a number of federal Australian agencies including a core role in the establishment of the National Blood Authority. </w:t>
      </w:r>
    </w:p>
    <w:p w14:paraId="7A457317" w14:textId="77777777" w:rsidR="004B7862" w:rsidRDefault="004B7862" w:rsidP="001E0823">
      <w:pPr>
        <w:pStyle w:val="Heading4"/>
      </w:pPr>
      <w:r>
        <w:t>Acting Deputy Chief Executive Officer, Markets and Supports</w:t>
      </w:r>
      <w:r>
        <w:br/>
        <w:t>Vicki Rundle PSM</w:t>
      </w:r>
    </w:p>
    <w:p w14:paraId="555D2F37" w14:textId="77777777" w:rsidR="004B7862" w:rsidRDefault="004B7862" w:rsidP="001E0823">
      <w:pPr>
        <w:pStyle w:val="BodyText"/>
      </w:pPr>
      <w:r>
        <w:t>Vicki Rundle joined the NDIA in October 2015 from the Commonwealth Department of Employment. Ms Rundle led the early rollout of the NDIS for NSW, ACT, SA and Tasmania, then moved into a national operations and coordination role until early February 2017 when she assumed the role as Acting Deputy Chief Executive Officer for the Markets and Supports Division.</w:t>
      </w:r>
    </w:p>
    <w:p w14:paraId="72E9468A" w14:textId="77777777" w:rsidR="004B7862" w:rsidRDefault="004B7862" w:rsidP="001E0823">
      <w:pPr>
        <w:pStyle w:val="BodyText"/>
      </w:pPr>
      <w:r>
        <w:t>Ms Rundle has worked in senior executive roles across the Commonwealth and state government in a range of health and human services across policy, service delivery reform and corporate roles. She was awarded a Public Service Medal in the 2013 Australia Day Honours List for her work on the COAG national early childhood quality reforms.</w:t>
      </w:r>
    </w:p>
    <w:p w14:paraId="7A441C1B" w14:textId="77777777" w:rsidR="004B7862" w:rsidRDefault="004B7862" w:rsidP="001E0823">
      <w:pPr>
        <w:pStyle w:val="BodyText"/>
      </w:pPr>
      <w:r>
        <w:t>Ms Rundle is a Graduate Member of the Australian Institute of Company Directors, and a qualified coach recognised by the Institute of Executive Coaching and Leadership.</w:t>
      </w:r>
    </w:p>
    <w:p w14:paraId="21F7414E" w14:textId="77777777" w:rsidR="004B7862" w:rsidRDefault="004B7862" w:rsidP="001E0823">
      <w:pPr>
        <w:pStyle w:val="Heading4"/>
      </w:pPr>
      <w:r>
        <w:t>Acting Deputy Chief Executive Officer, Governance and Stakeholder Relations</w:t>
      </w:r>
      <w:r>
        <w:br/>
        <w:t>Margaret McKinnon</w:t>
      </w:r>
    </w:p>
    <w:p w14:paraId="25910CCD" w14:textId="77777777" w:rsidR="004B7862" w:rsidRDefault="004B7862" w:rsidP="001E0823">
      <w:pPr>
        <w:pStyle w:val="BodyText"/>
      </w:pPr>
      <w:r>
        <w:t>Margaret McKinnon joined the NDIA in May 2017 from the Department of Social Services (DSS). In her former role with DSS, she worked on policy responsibility for NDIS markets and workforce and the establishment of the national quality and safeguards arrangements for the NDIS at full Scheme. Prior to this, she ran a range of corporate functions in the Department.</w:t>
      </w:r>
    </w:p>
    <w:p w14:paraId="48A4E88B" w14:textId="77777777" w:rsidR="004B7862" w:rsidRDefault="004B7862" w:rsidP="001E0823">
      <w:pPr>
        <w:pStyle w:val="BodyText"/>
      </w:pPr>
      <w:r>
        <w:t>Ms McKinnon has worked in a number of senior executive roles in the Commonwealth Education and Employment portfolios including as Group Manager of Job Services Australia – the privatised employment network. She was previously responsible for policy and programs dealing with the Vocational Education and Training and Schools sector as well market development for Australia’s education engagement internationally.</w:t>
      </w:r>
    </w:p>
    <w:p w14:paraId="7979EEB0" w14:textId="77777777" w:rsidR="004B7862" w:rsidRDefault="004B7862" w:rsidP="001E0823">
      <w:pPr>
        <w:pStyle w:val="Heading4"/>
      </w:pPr>
      <w:r>
        <w:t>Previous EMG members</w:t>
      </w:r>
    </w:p>
    <w:p w14:paraId="55C6E01B" w14:textId="77777777" w:rsidR="004B7862" w:rsidRDefault="004B7862" w:rsidP="001E0823">
      <w:pPr>
        <w:pStyle w:val="Heading5"/>
      </w:pPr>
      <w:r>
        <w:t>Louise Glanville</w:t>
      </w:r>
    </w:p>
    <w:p w14:paraId="4990438D" w14:textId="77777777" w:rsidR="004B7862" w:rsidRDefault="004B7862" w:rsidP="001E0823">
      <w:pPr>
        <w:pStyle w:val="BodyText"/>
      </w:pPr>
      <w:r>
        <w:t>Former Deputy CEO, Governance and Stakeholder Relations, Louise Glanville departed the NDIA in May 2017.</w:t>
      </w:r>
    </w:p>
    <w:p w14:paraId="3E7C4699" w14:textId="77777777" w:rsidR="004B7862" w:rsidRDefault="004B7862" w:rsidP="001E0823">
      <w:pPr>
        <w:pStyle w:val="Heading5"/>
      </w:pPr>
      <w:r>
        <w:lastRenderedPageBreak/>
        <w:t>Ian Maynard</w:t>
      </w:r>
    </w:p>
    <w:p w14:paraId="40AD3545" w14:textId="77777777" w:rsidR="004B7862" w:rsidRDefault="004B7862" w:rsidP="001E0823">
      <w:pPr>
        <w:pStyle w:val="BodyText"/>
      </w:pPr>
      <w:r>
        <w:t>Former Deputy CEO, Operations, Ian Maynard departed the NDIA in February 2017.</w:t>
      </w:r>
    </w:p>
    <w:p w14:paraId="4FE1822A" w14:textId="77777777" w:rsidR="004B7862" w:rsidRDefault="004B7862" w:rsidP="001E0823">
      <w:pPr>
        <w:pStyle w:val="Heading5"/>
      </w:pPr>
      <w:r>
        <w:t>Carolyn Smith</w:t>
      </w:r>
    </w:p>
    <w:p w14:paraId="194B66E4" w14:textId="77777777" w:rsidR="004B7862" w:rsidRDefault="004B7862" w:rsidP="001E0823">
      <w:pPr>
        <w:pStyle w:val="BodyText"/>
      </w:pPr>
      <w:r>
        <w:t xml:space="preserve">Former Deputy CEO, Organisational Capability, Carolyn Smith departed the NDIA in September 2016. </w:t>
      </w:r>
    </w:p>
    <w:p w14:paraId="7CB7064D" w14:textId="77777777" w:rsidR="004B7862" w:rsidRDefault="004B7862" w:rsidP="001E0823">
      <w:pPr>
        <w:pStyle w:val="Heading4"/>
      </w:pPr>
      <w:r>
        <w:t>The Scheme Actuary, Chief Risk Officer and Advisor to the Chief Operating Officer also attend EMG meetings as observers:</w:t>
      </w:r>
    </w:p>
    <w:p w14:paraId="1479B122" w14:textId="77777777" w:rsidR="004B7862" w:rsidRDefault="004B7862" w:rsidP="001E0823">
      <w:pPr>
        <w:pStyle w:val="ListBullet"/>
      </w:pPr>
      <w:r>
        <w:t>Scheme Actuary, Sarah Johnson.</w:t>
      </w:r>
    </w:p>
    <w:p w14:paraId="1B8D3441" w14:textId="77777777" w:rsidR="004B7862" w:rsidRDefault="004B7862" w:rsidP="001E0823">
      <w:pPr>
        <w:pStyle w:val="ListBullet"/>
      </w:pPr>
      <w:r>
        <w:t>Chief Risk Officer, Paul O’Connor.</w:t>
      </w:r>
    </w:p>
    <w:p w14:paraId="131A5F5B" w14:textId="77777777" w:rsidR="004B7862" w:rsidRDefault="004B7862" w:rsidP="001E0823">
      <w:pPr>
        <w:pStyle w:val="ListBullet"/>
      </w:pPr>
      <w:r>
        <w:t>Advisor to the Chief Operating Officer, Carolyn Hogg.</w:t>
      </w:r>
    </w:p>
    <w:p w14:paraId="75C8F34F" w14:textId="77777777" w:rsidR="004B7862" w:rsidRDefault="004B7862" w:rsidP="001E0823">
      <w:pPr>
        <w:pStyle w:val="Heading3"/>
      </w:pPr>
      <w:r>
        <w:t>Sarah Johnson, Actuary of the Year</w:t>
      </w:r>
    </w:p>
    <w:p w14:paraId="392B01F4" w14:textId="77777777" w:rsidR="004B7862" w:rsidRDefault="004B7862" w:rsidP="001E0823">
      <w:pPr>
        <w:pStyle w:val="Intro"/>
      </w:pPr>
      <w:r>
        <w:t>Sarah Johnson has been recognised for her vital role in the formation of the NDIS and was named 2016 Actuary of the Year by the Actuaries Institute. The award, presented in September 2016, acknowledges her important work in ensuring the sustainability of the Scheme.</w:t>
      </w:r>
    </w:p>
    <w:p w14:paraId="41F6C8FA" w14:textId="77777777" w:rsidR="004B7862" w:rsidRDefault="004B7862" w:rsidP="001E0823">
      <w:pPr>
        <w:pStyle w:val="BodyText"/>
      </w:pPr>
      <w:r>
        <w:t xml:space="preserve">Ms Johnson was appointed as the Scheme Actuary of the NDIS in November 2013. In this role, she is responsible for assessing and reporting on the financial sustainability of the Scheme so that management and the Board </w:t>
      </w:r>
      <w:r>
        <w:br/>
        <w:t>can make informed decisions about the Scheme’s continuing sustainability and direction.</w:t>
      </w:r>
    </w:p>
    <w:p w14:paraId="338908C5" w14:textId="77777777" w:rsidR="004B7862" w:rsidRDefault="004B7862" w:rsidP="001E0823">
      <w:pPr>
        <w:pStyle w:val="BodyText"/>
      </w:pPr>
      <w:r>
        <w:t>“The award is a fitting recognition of the important role Ms Johnson has played in creating the world-class insurance Scheme,” David Bowen said.</w:t>
      </w:r>
    </w:p>
    <w:p w14:paraId="2B224143" w14:textId="77777777" w:rsidR="004B7862" w:rsidRDefault="004B7862" w:rsidP="001E0823">
      <w:pPr>
        <w:pStyle w:val="BodyText"/>
      </w:pPr>
      <w:r>
        <w:t>“We have a huge responsibility in ensuring the long-term sustainability of the NDIS to ensure the Scheme is in place to support generations to come. Sarah’s contribution as Scheme Actuary to this goal is critical.”</w:t>
      </w:r>
    </w:p>
    <w:p w14:paraId="5C2E7D0E" w14:textId="77777777" w:rsidR="004B7862" w:rsidRDefault="004B7862" w:rsidP="001E0823">
      <w:pPr>
        <w:pStyle w:val="Heading2"/>
      </w:pPr>
      <w:bookmarkStart w:id="55" w:name="_Toc496611892"/>
      <w:r w:rsidRPr="005C2AA0">
        <w:lastRenderedPageBreak/>
        <w:t>Reportable items</w:t>
      </w:r>
      <w:bookmarkEnd w:id="55"/>
    </w:p>
    <w:p w14:paraId="7E807A7E" w14:textId="77777777" w:rsidR="004B7862" w:rsidRDefault="004B7862" w:rsidP="001E0823">
      <w:pPr>
        <w:pStyle w:val="Heading3"/>
      </w:pPr>
      <w:r>
        <w:t>Human Rights Complaints</w:t>
      </w:r>
    </w:p>
    <w:p w14:paraId="21E83002" w14:textId="77777777" w:rsidR="004B7862" w:rsidRDefault="004B7862" w:rsidP="001E0823">
      <w:pPr>
        <w:pStyle w:val="BodyText"/>
      </w:pPr>
      <w:r>
        <w:t xml:space="preserve">The Australian Human Rights Commission (AHRC) can investigate and conciliate complaints about breaches of human rights law, including the Disability Discrimination Act 1992. The AHRC received one complaint in which the Agency was named as a party. </w:t>
      </w:r>
    </w:p>
    <w:p w14:paraId="6386767F" w14:textId="77777777" w:rsidR="004B7862" w:rsidRDefault="004B7862" w:rsidP="001E0823">
      <w:pPr>
        <w:pStyle w:val="BodyText"/>
      </w:pPr>
      <w:r>
        <w:t>The complaint has now been concluded.</w:t>
      </w:r>
    </w:p>
    <w:p w14:paraId="387CC1B3" w14:textId="77777777" w:rsidR="004B7862" w:rsidRDefault="004B7862" w:rsidP="001E0823">
      <w:pPr>
        <w:pStyle w:val="Heading3"/>
      </w:pPr>
      <w:r>
        <w:t xml:space="preserve">Administrative Appeals Tribunal </w:t>
      </w:r>
    </w:p>
    <w:p w14:paraId="251FC885" w14:textId="77777777" w:rsidR="004B7862" w:rsidRDefault="004B7862" w:rsidP="001E0823">
      <w:pPr>
        <w:pStyle w:val="BodyText"/>
      </w:pPr>
      <w:r>
        <w:t>The Administrative Appeals Tribunal (AAT) can, in response to applications, review decisions made by the Agency under the National Disability Insurance Scheme Act 2013 (NDIS Act), including decisions about whether a person meets the access criteria to become a participant in the Scheme, the supports provided under the Scheme and the registration of providers of support.</w:t>
      </w:r>
    </w:p>
    <w:p w14:paraId="4F5C5DA6" w14:textId="77777777" w:rsidR="004B7862" w:rsidRDefault="004B7862" w:rsidP="001E0823">
      <w:pPr>
        <w:pStyle w:val="BodyText"/>
      </w:pPr>
      <w:r>
        <w:t xml:space="preserve">At 30 June 2017, 55 of the 186 applications for review received in 2016–17 had been finalised, and 131 matters remained undecided. One of the undecided matters has been to hearing and a decision was pending at 30 June 2017. </w:t>
      </w:r>
    </w:p>
    <w:p w14:paraId="25818026" w14:textId="77777777" w:rsidR="004B7862" w:rsidRDefault="004B7862" w:rsidP="001E0823">
      <w:pPr>
        <w:pStyle w:val="BodyText"/>
      </w:pPr>
      <w:r>
        <w:t xml:space="preserve">Of the 55 finalised matters, 12 were varied by the AAT with the agreement of the Agency and the applicant, 19 were dismissed by the AAT because they were outside the AAT’s jurisdiction and 21 were withdrawn by the applicant. Three matters proceeded to a hearing, where the AAT affirmed two decisions of the Agency and one decision was varied by agreement. </w:t>
      </w:r>
    </w:p>
    <w:p w14:paraId="741DF949" w14:textId="77777777" w:rsidR="004B7862" w:rsidRDefault="004B7862" w:rsidP="001E0823">
      <w:pPr>
        <w:pStyle w:val="BodyText"/>
      </w:pPr>
      <w:r>
        <w:t>Refer to Appendix 3 for a list of Administrative Appeals Tribunal reviews heard in 2016-17.</w:t>
      </w:r>
    </w:p>
    <w:p w14:paraId="3CF14A4C" w14:textId="77777777" w:rsidR="004B7862" w:rsidRDefault="004B7862" w:rsidP="001E0823">
      <w:pPr>
        <w:pStyle w:val="BodyText"/>
      </w:pPr>
      <w:r>
        <w:t>In 2016-17, there were nine matters heard by the AAT. Eight of these matters were decided, of which six had a decision published by the AAT. One decision was pending as at 30 June 2017.</w:t>
      </w:r>
    </w:p>
    <w:p w14:paraId="0FBC2B4A" w14:textId="77777777" w:rsidR="004B7862" w:rsidRDefault="004B7862" w:rsidP="007A04CE">
      <w:pPr>
        <w:pStyle w:val="Heading4tables"/>
      </w:pPr>
      <w:bookmarkStart w:id="56" w:name="_Toc496611804"/>
      <w:r w:rsidRPr="00C46664">
        <w:t>Table 6: AAT reviews - comparison in years 2013-14, 2014-15, 2015-16 and 2016-17</w:t>
      </w:r>
      <w:bookmarkEnd w:id="56"/>
    </w:p>
    <w:tbl>
      <w:tblPr>
        <w:tblStyle w:val="TableGrid"/>
        <w:tblW w:w="0" w:type="auto"/>
        <w:tblLook w:val="04A0" w:firstRow="1" w:lastRow="0" w:firstColumn="1" w:lastColumn="0" w:noHBand="0" w:noVBand="1"/>
        <w:tblDescription w:val="Table 6: AAT reviews - comparison in years 2013-14, 2014-15, 2015-16 and 2016-17"/>
      </w:tblPr>
      <w:tblGrid>
        <w:gridCol w:w="1001"/>
        <w:gridCol w:w="1435"/>
        <w:gridCol w:w="1746"/>
        <w:gridCol w:w="1592"/>
        <w:gridCol w:w="1859"/>
        <w:gridCol w:w="1995"/>
      </w:tblGrid>
      <w:tr w:rsidR="004B7862" w14:paraId="18866295" w14:textId="77777777" w:rsidTr="003F47B7">
        <w:trPr>
          <w:tblHeader/>
        </w:trPr>
        <w:tc>
          <w:tcPr>
            <w:tcW w:w="1055" w:type="dxa"/>
            <w:shd w:val="clear" w:color="auto" w:fill="6B2976" w:themeFill="background2"/>
          </w:tcPr>
          <w:p w14:paraId="40D57C04" w14:textId="77777777" w:rsidR="004B7862" w:rsidRPr="00465BCE" w:rsidRDefault="004B7862" w:rsidP="001E0823">
            <w:pPr>
              <w:pStyle w:val="TableTitle"/>
            </w:pPr>
            <w:bookmarkStart w:id="57" w:name="Title_Table6"/>
            <w:r w:rsidRPr="00C46664">
              <w:t>Year</w:t>
            </w:r>
          </w:p>
        </w:tc>
        <w:tc>
          <w:tcPr>
            <w:tcW w:w="1492" w:type="dxa"/>
            <w:shd w:val="clear" w:color="auto" w:fill="6B2976" w:themeFill="background2"/>
          </w:tcPr>
          <w:p w14:paraId="59037FE4" w14:textId="77777777" w:rsidR="004B7862" w:rsidRPr="00C46664" w:rsidRDefault="004B7862" w:rsidP="001E0823">
            <w:pPr>
              <w:pStyle w:val="TableTitle"/>
            </w:pPr>
            <w:r>
              <w:t xml:space="preserve">Reviews related </w:t>
            </w:r>
            <w:r w:rsidRPr="00C46664">
              <w:t>to access decisions</w:t>
            </w:r>
          </w:p>
        </w:tc>
        <w:tc>
          <w:tcPr>
            <w:tcW w:w="1876" w:type="dxa"/>
            <w:shd w:val="clear" w:color="auto" w:fill="6B2976" w:themeFill="background2"/>
          </w:tcPr>
          <w:p w14:paraId="764E30E1" w14:textId="77777777" w:rsidR="004B7862" w:rsidRPr="00C46664" w:rsidRDefault="004B7862" w:rsidP="001E0823">
            <w:pPr>
              <w:pStyle w:val="TableTitle"/>
            </w:pPr>
            <w:r w:rsidRPr="00C46664">
              <w:t>Reviews related to supports funded under NDIS plans</w:t>
            </w:r>
          </w:p>
        </w:tc>
        <w:tc>
          <w:tcPr>
            <w:tcW w:w="1701" w:type="dxa"/>
            <w:shd w:val="clear" w:color="auto" w:fill="6B2976" w:themeFill="background2"/>
          </w:tcPr>
          <w:p w14:paraId="30B62CE3" w14:textId="77777777" w:rsidR="004B7862" w:rsidRPr="00C46664" w:rsidRDefault="004B7862" w:rsidP="001E0823">
            <w:pPr>
              <w:pStyle w:val="TableTitle"/>
            </w:pPr>
            <w:r w:rsidRPr="00C46664">
              <w:t xml:space="preserve">Reviews related to a decision </w:t>
            </w:r>
            <w:r w:rsidRPr="00C46664">
              <w:br/>
              <w:t xml:space="preserve">not to conduct </w:t>
            </w:r>
            <w:r w:rsidRPr="00C46664">
              <w:br/>
              <w:t xml:space="preserve">a plan review </w:t>
            </w:r>
          </w:p>
        </w:tc>
        <w:tc>
          <w:tcPr>
            <w:tcW w:w="1951" w:type="dxa"/>
            <w:shd w:val="clear" w:color="auto" w:fill="6B2976" w:themeFill="background2"/>
          </w:tcPr>
          <w:p w14:paraId="57E4D1C3" w14:textId="77777777" w:rsidR="004B7862" w:rsidRPr="00C46664" w:rsidRDefault="004B7862" w:rsidP="001E0823">
            <w:pPr>
              <w:pStyle w:val="TableTitle"/>
            </w:pPr>
            <w:r w:rsidRPr="00C46664">
              <w:t>Total new applications for year for review of Agency decisions</w:t>
            </w:r>
          </w:p>
        </w:tc>
        <w:tc>
          <w:tcPr>
            <w:tcW w:w="2113" w:type="dxa"/>
            <w:shd w:val="clear" w:color="auto" w:fill="6B2976" w:themeFill="background2"/>
          </w:tcPr>
          <w:p w14:paraId="005002C1" w14:textId="77777777" w:rsidR="004B7862" w:rsidRPr="00C46664" w:rsidRDefault="004B7862" w:rsidP="001E0823">
            <w:pPr>
              <w:pStyle w:val="TableTitle"/>
            </w:pPr>
            <w:r>
              <w:t xml:space="preserve">Total applications </w:t>
            </w:r>
            <w:r w:rsidRPr="00C46664">
              <w:t>for AAT for year as percentage of active participants</w:t>
            </w:r>
          </w:p>
        </w:tc>
      </w:tr>
      <w:bookmarkEnd w:id="57"/>
      <w:tr w:rsidR="004B7862" w14:paraId="38B501B8" w14:textId="77777777" w:rsidTr="00F93D1A">
        <w:tc>
          <w:tcPr>
            <w:tcW w:w="1055" w:type="dxa"/>
          </w:tcPr>
          <w:p w14:paraId="7680B802" w14:textId="77777777" w:rsidR="004B7862" w:rsidRPr="00C46664" w:rsidRDefault="004B7862" w:rsidP="001E0823">
            <w:pPr>
              <w:pStyle w:val="BodyText"/>
            </w:pPr>
            <w:r w:rsidRPr="00C46664">
              <w:t>2016-17</w:t>
            </w:r>
          </w:p>
        </w:tc>
        <w:tc>
          <w:tcPr>
            <w:tcW w:w="1492" w:type="dxa"/>
          </w:tcPr>
          <w:p w14:paraId="432010AE" w14:textId="77777777" w:rsidR="004B7862" w:rsidRDefault="004B7862" w:rsidP="001E0823">
            <w:pPr>
              <w:pStyle w:val="BodyText"/>
              <w:rPr>
                <w:rStyle w:val="BodyTextBold"/>
              </w:rPr>
            </w:pPr>
            <w:r>
              <w:t>42</w:t>
            </w:r>
          </w:p>
        </w:tc>
        <w:tc>
          <w:tcPr>
            <w:tcW w:w="1876" w:type="dxa"/>
          </w:tcPr>
          <w:p w14:paraId="402CBB1A" w14:textId="77777777" w:rsidR="004B7862" w:rsidRDefault="004B7862" w:rsidP="001E0823">
            <w:pPr>
              <w:pStyle w:val="BodyText"/>
            </w:pPr>
            <w:r>
              <w:t>130</w:t>
            </w:r>
          </w:p>
        </w:tc>
        <w:tc>
          <w:tcPr>
            <w:tcW w:w="1701" w:type="dxa"/>
          </w:tcPr>
          <w:p w14:paraId="0F12B0C3" w14:textId="77777777" w:rsidR="004B7862" w:rsidRDefault="004B7862" w:rsidP="001E0823">
            <w:pPr>
              <w:pStyle w:val="BodyText"/>
            </w:pPr>
            <w:r>
              <w:t>14</w:t>
            </w:r>
          </w:p>
        </w:tc>
        <w:tc>
          <w:tcPr>
            <w:tcW w:w="1951" w:type="dxa"/>
          </w:tcPr>
          <w:p w14:paraId="5B13D3EC" w14:textId="77777777" w:rsidR="004B7862" w:rsidRDefault="004B7862" w:rsidP="001E0823">
            <w:pPr>
              <w:pStyle w:val="BodyText"/>
            </w:pPr>
            <w:r>
              <w:t>186</w:t>
            </w:r>
          </w:p>
        </w:tc>
        <w:tc>
          <w:tcPr>
            <w:tcW w:w="2113" w:type="dxa"/>
          </w:tcPr>
          <w:p w14:paraId="22B5EF96" w14:textId="77777777" w:rsidR="004B7862" w:rsidRDefault="004B7862" w:rsidP="001E0823">
            <w:pPr>
              <w:pStyle w:val="BodyText"/>
            </w:pPr>
            <w:r>
              <w:t>0.21%</w:t>
            </w:r>
          </w:p>
        </w:tc>
      </w:tr>
      <w:tr w:rsidR="004B7862" w14:paraId="7EB28AFA" w14:textId="77777777" w:rsidTr="00F93D1A">
        <w:tc>
          <w:tcPr>
            <w:tcW w:w="1055" w:type="dxa"/>
          </w:tcPr>
          <w:p w14:paraId="130FBA7A" w14:textId="77777777" w:rsidR="004B7862" w:rsidRPr="00C46664" w:rsidRDefault="004B7862" w:rsidP="001E0823">
            <w:pPr>
              <w:pStyle w:val="BodyText"/>
            </w:pPr>
            <w:r w:rsidRPr="00C46664">
              <w:t>2015-16</w:t>
            </w:r>
          </w:p>
        </w:tc>
        <w:tc>
          <w:tcPr>
            <w:tcW w:w="1492" w:type="dxa"/>
          </w:tcPr>
          <w:p w14:paraId="5D718A7F" w14:textId="77777777" w:rsidR="004B7862" w:rsidRDefault="004B7862" w:rsidP="001E0823">
            <w:pPr>
              <w:pStyle w:val="BodyText"/>
            </w:pPr>
            <w:r>
              <w:t>10</w:t>
            </w:r>
          </w:p>
        </w:tc>
        <w:tc>
          <w:tcPr>
            <w:tcW w:w="1876" w:type="dxa"/>
          </w:tcPr>
          <w:p w14:paraId="67DB2278" w14:textId="77777777" w:rsidR="004B7862" w:rsidRDefault="004B7862" w:rsidP="001E0823">
            <w:pPr>
              <w:pStyle w:val="BodyText"/>
            </w:pPr>
            <w:r>
              <w:t>33</w:t>
            </w:r>
          </w:p>
        </w:tc>
        <w:tc>
          <w:tcPr>
            <w:tcW w:w="1701" w:type="dxa"/>
          </w:tcPr>
          <w:p w14:paraId="5CC64ADB" w14:textId="77777777" w:rsidR="004B7862" w:rsidRDefault="004B7862" w:rsidP="001E0823">
            <w:pPr>
              <w:pStyle w:val="BodyText"/>
            </w:pPr>
            <w:r>
              <w:t>3</w:t>
            </w:r>
          </w:p>
        </w:tc>
        <w:tc>
          <w:tcPr>
            <w:tcW w:w="1951" w:type="dxa"/>
          </w:tcPr>
          <w:p w14:paraId="3E3297AA" w14:textId="77777777" w:rsidR="004B7862" w:rsidRDefault="004B7862" w:rsidP="001E0823">
            <w:pPr>
              <w:pStyle w:val="BodyText"/>
            </w:pPr>
            <w:r>
              <w:t>46</w:t>
            </w:r>
          </w:p>
        </w:tc>
        <w:tc>
          <w:tcPr>
            <w:tcW w:w="2113" w:type="dxa"/>
          </w:tcPr>
          <w:p w14:paraId="35F12203" w14:textId="77777777" w:rsidR="004B7862" w:rsidRDefault="004B7862" w:rsidP="001E0823">
            <w:pPr>
              <w:pStyle w:val="BodyText"/>
            </w:pPr>
            <w:r>
              <w:t>0.15%</w:t>
            </w:r>
          </w:p>
        </w:tc>
      </w:tr>
      <w:tr w:rsidR="004B7862" w14:paraId="5FAA9F84" w14:textId="77777777" w:rsidTr="00F93D1A">
        <w:tc>
          <w:tcPr>
            <w:tcW w:w="1055" w:type="dxa"/>
          </w:tcPr>
          <w:p w14:paraId="228A9A60" w14:textId="77777777" w:rsidR="004B7862" w:rsidRPr="00C46664" w:rsidRDefault="004B7862" w:rsidP="001E0823">
            <w:pPr>
              <w:pStyle w:val="BodyText"/>
            </w:pPr>
            <w:r w:rsidRPr="00C46664">
              <w:t>2014-15</w:t>
            </w:r>
          </w:p>
        </w:tc>
        <w:tc>
          <w:tcPr>
            <w:tcW w:w="1492" w:type="dxa"/>
          </w:tcPr>
          <w:p w14:paraId="3A510A99" w14:textId="77777777" w:rsidR="004B7862" w:rsidRDefault="004B7862" w:rsidP="001E0823">
            <w:pPr>
              <w:pStyle w:val="BodyText"/>
            </w:pPr>
            <w:r>
              <w:t>7</w:t>
            </w:r>
          </w:p>
        </w:tc>
        <w:tc>
          <w:tcPr>
            <w:tcW w:w="1876" w:type="dxa"/>
          </w:tcPr>
          <w:p w14:paraId="5210727D" w14:textId="77777777" w:rsidR="004B7862" w:rsidRDefault="004B7862" w:rsidP="001E0823">
            <w:pPr>
              <w:pStyle w:val="BodyText"/>
            </w:pPr>
            <w:r>
              <w:t>12</w:t>
            </w:r>
          </w:p>
        </w:tc>
        <w:tc>
          <w:tcPr>
            <w:tcW w:w="1701" w:type="dxa"/>
          </w:tcPr>
          <w:p w14:paraId="5C04F642" w14:textId="77777777" w:rsidR="004B7862" w:rsidRDefault="004B7862" w:rsidP="001E0823">
            <w:pPr>
              <w:pStyle w:val="BodyText"/>
            </w:pPr>
            <w:r>
              <w:t>0</w:t>
            </w:r>
          </w:p>
        </w:tc>
        <w:tc>
          <w:tcPr>
            <w:tcW w:w="1951" w:type="dxa"/>
          </w:tcPr>
          <w:p w14:paraId="45681B71" w14:textId="77777777" w:rsidR="004B7862" w:rsidRDefault="004B7862" w:rsidP="001E0823">
            <w:pPr>
              <w:pStyle w:val="BodyText"/>
            </w:pPr>
            <w:r>
              <w:t>19</w:t>
            </w:r>
          </w:p>
        </w:tc>
        <w:tc>
          <w:tcPr>
            <w:tcW w:w="2113" w:type="dxa"/>
          </w:tcPr>
          <w:p w14:paraId="45F1933F" w14:textId="77777777" w:rsidR="004B7862" w:rsidRDefault="004B7862" w:rsidP="001E0823">
            <w:pPr>
              <w:pStyle w:val="BodyText"/>
            </w:pPr>
            <w:r>
              <w:t>0.11%</w:t>
            </w:r>
          </w:p>
        </w:tc>
      </w:tr>
      <w:tr w:rsidR="004B7862" w14:paraId="46E80359" w14:textId="77777777" w:rsidTr="00F93D1A">
        <w:tc>
          <w:tcPr>
            <w:tcW w:w="1055" w:type="dxa"/>
          </w:tcPr>
          <w:p w14:paraId="2FB67DAB" w14:textId="77777777" w:rsidR="004B7862" w:rsidRPr="00C46664" w:rsidRDefault="004B7862" w:rsidP="001E0823">
            <w:pPr>
              <w:pStyle w:val="BodyText"/>
            </w:pPr>
            <w:r w:rsidRPr="00C46664">
              <w:t>2013-14</w:t>
            </w:r>
          </w:p>
        </w:tc>
        <w:tc>
          <w:tcPr>
            <w:tcW w:w="1492" w:type="dxa"/>
          </w:tcPr>
          <w:p w14:paraId="06FFE67C" w14:textId="77777777" w:rsidR="004B7862" w:rsidRPr="00D536D9" w:rsidRDefault="004B7862" w:rsidP="001E0823">
            <w:pPr>
              <w:pStyle w:val="BodyText"/>
              <w:rPr>
                <w:rStyle w:val="BodyTextBold"/>
              </w:rPr>
            </w:pPr>
            <w:r>
              <w:t>9</w:t>
            </w:r>
          </w:p>
        </w:tc>
        <w:tc>
          <w:tcPr>
            <w:tcW w:w="1876" w:type="dxa"/>
          </w:tcPr>
          <w:p w14:paraId="2239E2F6" w14:textId="77777777" w:rsidR="004B7862" w:rsidRPr="00D536D9" w:rsidRDefault="004B7862" w:rsidP="001E0823">
            <w:pPr>
              <w:pStyle w:val="BodyText"/>
              <w:rPr>
                <w:rStyle w:val="BodyTextBold"/>
              </w:rPr>
            </w:pPr>
            <w:r>
              <w:t>9</w:t>
            </w:r>
          </w:p>
        </w:tc>
        <w:tc>
          <w:tcPr>
            <w:tcW w:w="1701" w:type="dxa"/>
          </w:tcPr>
          <w:p w14:paraId="21C4CEE3" w14:textId="77777777" w:rsidR="004B7862" w:rsidRPr="00D536D9" w:rsidRDefault="004B7862" w:rsidP="001E0823">
            <w:pPr>
              <w:pStyle w:val="BodyText"/>
              <w:rPr>
                <w:rStyle w:val="BodyTextBold"/>
              </w:rPr>
            </w:pPr>
            <w:r>
              <w:t>0</w:t>
            </w:r>
          </w:p>
        </w:tc>
        <w:tc>
          <w:tcPr>
            <w:tcW w:w="1951" w:type="dxa"/>
          </w:tcPr>
          <w:p w14:paraId="164193F0" w14:textId="77777777" w:rsidR="004B7862" w:rsidRDefault="004B7862" w:rsidP="001E0823">
            <w:pPr>
              <w:pStyle w:val="BodyText"/>
            </w:pPr>
            <w:r>
              <w:t>18</w:t>
            </w:r>
          </w:p>
        </w:tc>
        <w:tc>
          <w:tcPr>
            <w:tcW w:w="2113" w:type="dxa"/>
          </w:tcPr>
          <w:p w14:paraId="6CD51DE0" w14:textId="77777777" w:rsidR="004B7862" w:rsidRDefault="004B7862" w:rsidP="001E0823">
            <w:pPr>
              <w:pStyle w:val="BodyText"/>
            </w:pPr>
            <w:r>
              <w:t>0.25%</w:t>
            </w:r>
          </w:p>
        </w:tc>
      </w:tr>
    </w:tbl>
    <w:p w14:paraId="4DD5599A" w14:textId="77777777" w:rsidR="004B7862" w:rsidRPr="00C46664" w:rsidRDefault="004B7862" w:rsidP="001E0823"/>
    <w:p w14:paraId="0CDB54D8" w14:textId="77777777" w:rsidR="004B7862" w:rsidRDefault="004B7862" w:rsidP="001E0823">
      <w:pPr>
        <w:rPr>
          <w:rFonts w:eastAsiaTheme="majorEastAsia" w:cstheme="majorBidi"/>
          <w:sz w:val="28"/>
        </w:rPr>
      </w:pPr>
      <w:r>
        <w:br w:type="page"/>
      </w:r>
    </w:p>
    <w:p w14:paraId="5552AB86" w14:textId="77777777" w:rsidR="004B7862" w:rsidRDefault="004B7862" w:rsidP="001E0823">
      <w:pPr>
        <w:pStyle w:val="Heading3"/>
      </w:pPr>
      <w:r>
        <w:lastRenderedPageBreak/>
        <w:t>Federal Court of Australia appeals</w:t>
      </w:r>
    </w:p>
    <w:p w14:paraId="5F8B1157" w14:textId="77777777" w:rsidR="004B7862" w:rsidRDefault="004B7862" w:rsidP="001E0823">
      <w:pPr>
        <w:pStyle w:val="BodyText"/>
      </w:pPr>
      <w:r>
        <w:t>The Agency has had two Federal Court of Australia and one full Federal Court Appeal. One appeal, Mr Liam McGarrigle (VID962/2016), was regarding funding the full reasonable and necessary costs of transport to attend supported employment and a day program; and one appeal, Mr Christopher Nairn (VID329/2017), was regarding a Plan review under section 48(2) of the NDIS Act on a question of the AAT’s jurisdiction under section 99(f) to conduct a review of the statement of participant supports.</w:t>
      </w:r>
    </w:p>
    <w:p w14:paraId="75251264" w14:textId="77777777" w:rsidR="004B7862" w:rsidRDefault="004B7862" w:rsidP="001E0823">
      <w:pPr>
        <w:pStyle w:val="Heading4"/>
      </w:pPr>
      <w:r>
        <w:t xml:space="preserve">Appeal ruling as test case </w:t>
      </w:r>
    </w:p>
    <w:p w14:paraId="2A3F73BA" w14:textId="77777777" w:rsidR="004B7862" w:rsidRDefault="004B7862" w:rsidP="001E0823">
      <w:pPr>
        <w:pStyle w:val="BodyText"/>
      </w:pPr>
      <w:r>
        <w:t>In March 2017, the NDIA decided to appeal the Federal Court decision in relation to the case of Mr Liam McGarrigle.</w:t>
      </w:r>
    </w:p>
    <w:p w14:paraId="5F47618A" w14:textId="77777777" w:rsidR="004B7862" w:rsidRDefault="004B7862" w:rsidP="001E0823">
      <w:pPr>
        <w:pStyle w:val="BodyText"/>
      </w:pPr>
      <w:r>
        <w:t xml:space="preserve">While it is intended that the Scheme will fund reasonable and necessary supports, the NDIS Act specifically requires the Agency to “take into account what is reasonable to expect families, carers, informal networks and the community to provide” amongst other criteria when determining what supports are reasonable and necessary to fund. </w:t>
      </w:r>
    </w:p>
    <w:p w14:paraId="5075C319" w14:textId="77777777" w:rsidR="004B7862" w:rsidRDefault="004B7862" w:rsidP="001E0823">
      <w:pPr>
        <w:pStyle w:val="BodyText"/>
      </w:pPr>
      <w:r>
        <w:t xml:space="preserve">The NDIA decided to ask the Federal Court for the fullest clarity, given the implications for the future sustainability of the Scheme. </w:t>
      </w:r>
    </w:p>
    <w:p w14:paraId="50CA795C" w14:textId="77777777" w:rsidR="004B7862" w:rsidRDefault="004B7862" w:rsidP="001E0823">
      <w:pPr>
        <w:pStyle w:val="BodyText"/>
      </w:pPr>
      <w:r>
        <w:t>Maintaining the financial sustainability of the Scheme is central to delivering the Scheme to all of those who need it now and in the years to come.</w:t>
      </w:r>
    </w:p>
    <w:p w14:paraId="029EB21D" w14:textId="77777777" w:rsidR="004B7862" w:rsidRDefault="004B7862" w:rsidP="001E0823">
      <w:pPr>
        <w:pStyle w:val="BodyText"/>
      </w:pPr>
      <w:r>
        <w:t>Due to the case having implications beyond this distinct matter, the Agency agreed to pay the reasonable legal costs of the appeal for Mr McGarrigle, regardless of the outcome.</w:t>
      </w:r>
    </w:p>
    <w:p w14:paraId="1D23C766" w14:textId="77777777" w:rsidR="004B7862" w:rsidRDefault="004B7862" w:rsidP="001E0823">
      <w:pPr>
        <w:pStyle w:val="BodyText"/>
      </w:pPr>
      <w:r>
        <w:t xml:space="preserve">In August 2017, the Federal Court determined the case should be remitted back to the AAT for a further hearing. </w:t>
      </w:r>
    </w:p>
    <w:p w14:paraId="00A544C4" w14:textId="77777777" w:rsidR="004B7862" w:rsidRDefault="004B7862" w:rsidP="001E0823">
      <w:pPr>
        <w:pStyle w:val="BodyText"/>
      </w:pPr>
      <w:r>
        <w:t xml:space="preserve">The NDIA welcomes the opportunity for a full and detailed discussion of the matter before the AAT. </w:t>
      </w:r>
    </w:p>
    <w:p w14:paraId="5F4BB9DD" w14:textId="77777777" w:rsidR="004B7862" w:rsidRDefault="004B7862" w:rsidP="001E0823">
      <w:pPr>
        <w:pStyle w:val="Heading3"/>
      </w:pPr>
      <w:r>
        <w:t xml:space="preserve">Parliamentary Joint Standing Committee on the National Disability Insurance Scheme </w:t>
      </w:r>
    </w:p>
    <w:p w14:paraId="772648FF" w14:textId="77777777" w:rsidR="004B7862" w:rsidRDefault="004B7862" w:rsidP="001E0823">
      <w:pPr>
        <w:pStyle w:val="BodyText"/>
      </w:pPr>
      <w:r>
        <w:t xml:space="preserve">On 1 September 2016, the House of Representatives established the Joint Standing Committee on the NDIS with a membership of five senators and five members. The Committee is tasked with inquiring into the following: </w:t>
      </w:r>
    </w:p>
    <w:p w14:paraId="12CB51A8" w14:textId="77777777" w:rsidR="004B7862" w:rsidRDefault="004B7862" w:rsidP="001E0823">
      <w:pPr>
        <w:pStyle w:val="ListBullet"/>
      </w:pPr>
      <w:r>
        <w:t xml:space="preserve">the implementation, performance and governance of the NDIS; </w:t>
      </w:r>
    </w:p>
    <w:p w14:paraId="1D08469E" w14:textId="77777777" w:rsidR="004B7862" w:rsidRDefault="004B7862" w:rsidP="001E0823">
      <w:pPr>
        <w:pStyle w:val="ListBullet"/>
      </w:pPr>
      <w:r>
        <w:t xml:space="preserve">the administration and expenditure of the NDIS; and </w:t>
      </w:r>
    </w:p>
    <w:p w14:paraId="6189D1CB" w14:textId="77777777" w:rsidR="004B7862" w:rsidRDefault="004B7862" w:rsidP="001E0823">
      <w:pPr>
        <w:pStyle w:val="ListBullet"/>
      </w:pPr>
      <w:r>
        <w:t>such other matters in relation to the NDIS as may be referred to it by either House of the Parliament.</w:t>
      </w:r>
    </w:p>
    <w:p w14:paraId="7F425400" w14:textId="77777777" w:rsidR="004B7862" w:rsidRDefault="004B7862" w:rsidP="001E0823">
      <w:pPr>
        <w:pStyle w:val="BodyText"/>
      </w:pPr>
      <w:r>
        <w:t xml:space="preserve">After 30 June each year, the Committee is required to present an annual progress report to Parliament on the activities of the Committee during the year, in addition to other reports on any other matters it considers relevant. </w:t>
      </w:r>
    </w:p>
    <w:p w14:paraId="2E9D7C7C" w14:textId="77777777" w:rsidR="004B7862" w:rsidRDefault="004B7862" w:rsidP="001E0823">
      <w:pPr>
        <w:pStyle w:val="BodyText"/>
      </w:pPr>
      <w:r>
        <w:t>The Committee is currently conducting four inquiries with reports due in late 2017:</w:t>
      </w:r>
    </w:p>
    <w:p w14:paraId="6ABD7DE1" w14:textId="77777777" w:rsidR="004B7862" w:rsidRDefault="004B7862" w:rsidP="001E0823">
      <w:pPr>
        <w:pStyle w:val="ListBullet"/>
      </w:pPr>
      <w:r>
        <w:t>the provision of hearing services under the NDIS;</w:t>
      </w:r>
    </w:p>
    <w:p w14:paraId="029322F8" w14:textId="77777777" w:rsidR="004B7862" w:rsidRDefault="004B7862" w:rsidP="001E0823">
      <w:pPr>
        <w:pStyle w:val="ListBullet"/>
      </w:pPr>
      <w:r>
        <w:t>the provision of services under the NDIS for people with psychosocial disabilities related to a mental health condition;</w:t>
      </w:r>
    </w:p>
    <w:p w14:paraId="61B12BBB" w14:textId="77777777" w:rsidR="004B7862" w:rsidRDefault="004B7862" w:rsidP="001E0823">
      <w:pPr>
        <w:pStyle w:val="ListBullet"/>
      </w:pPr>
      <w:r>
        <w:t xml:space="preserve">transitional arrangements for the NDIS; and </w:t>
      </w:r>
    </w:p>
    <w:p w14:paraId="64E78225" w14:textId="77777777" w:rsidR="004B7862" w:rsidRDefault="004B7862" w:rsidP="001E0823">
      <w:pPr>
        <w:pStyle w:val="ListBullet"/>
      </w:pPr>
      <w:r>
        <w:t xml:space="preserve">provision of services under the NDIS Early Childhood Early Intervention Approach. </w:t>
      </w:r>
    </w:p>
    <w:p w14:paraId="2078B4C9" w14:textId="77777777" w:rsidR="004B7862" w:rsidRDefault="004B7862" w:rsidP="001E0823">
      <w:pPr>
        <w:pStyle w:val="BodyText"/>
      </w:pPr>
      <w:r>
        <w:t xml:space="preserve">The Committee did not table a progress report in 2016 due to the Federal Election. </w:t>
      </w:r>
    </w:p>
    <w:p w14:paraId="51BC59B6" w14:textId="77777777" w:rsidR="004B7862" w:rsidRDefault="004B7862" w:rsidP="001E0823">
      <w:pPr>
        <w:pStyle w:val="Heading3"/>
      </w:pPr>
      <w:r>
        <w:lastRenderedPageBreak/>
        <w:t>Australian National Audit Office Performance Audit Reports</w:t>
      </w:r>
    </w:p>
    <w:p w14:paraId="41CA7B07" w14:textId="77777777" w:rsidR="004B7862" w:rsidRDefault="004B7862" w:rsidP="001E0823">
      <w:pPr>
        <w:pStyle w:val="BodyText"/>
      </w:pPr>
      <w:r>
        <w:t xml:space="preserve">The Auditor-General is responsible for providing auditing services (both financial and performance) to the Parliament and public sector entities, supported by the Australian National Audit Office (ANAO). The ANAO’s five-year audit strategy from 2015 for the NDIS includes a series of potential performance audits over the forward period. </w:t>
      </w:r>
    </w:p>
    <w:p w14:paraId="0FDE8234" w14:textId="77777777" w:rsidR="004B7862" w:rsidRDefault="004B7862" w:rsidP="001E0823">
      <w:pPr>
        <w:pStyle w:val="BodyText"/>
      </w:pPr>
    </w:p>
    <w:p w14:paraId="6635C361" w14:textId="77777777" w:rsidR="004B7862" w:rsidRDefault="004B7862" w:rsidP="001E0823">
      <w:pPr>
        <w:pStyle w:val="BodyText"/>
      </w:pPr>
      <w:r>
        <w:t xml:space="preserve">The first phase of performance audits included an assessment of the management of the approach taken to transitioning the disability services market to the NDIS market arrangements. The ANAO tabled its report in Parliament in November 2016. The audit focussed jointly on the Agency and DSS. The audit found that DSS and the Agency had established the building blocks for a successful transition of the disability services market to the NDIS, but some risks and gaps remained. </w:t>
      </w:r>
    </w:p>
    <w:p w14:paraId="37954CCF" w14:textId="77777777" w:rsidR="004B7862" w:rsidRDefault="004B7862" w:rsidP="001E0823">
      <w:pPr>
        <w:pStyle w:val="BodyText"/>
      </w:pPr>
      <w:r>
        <w:t>While the report contained no findings or subsequent action items for the Agency, the Agency and DSS continue to work with state and territory governments to implement the Bilateral Agreements to transition to a full Scheme NDIS. Each Bilateral Agreement includes a System and Sector Readiness Schedule, which sets out agreed activities to prepare the market and workforce and respond to any sector or system readiness issues in each state or territory.</w:t>
      </w:r>
    </w:p>
    <w:p w14:paraId="75B0829A" w14:textId="77777777" w:rsidR="004B7862" w:rsidRDefault="004B7862" w:rsidP="001E0823">
      <w:pPr>
        <w:pStyle w:val="BodyText"/>
      </w:pPr>
      <w:r>
        <w:t>A second performance audit is being undertaken. Its focus is decision-making controls for financial sustainability. This is being undertaken in three tranches. Fieldwork for the first tranche – access decisions – commenced in early 2017. Its focus is to assess the effectiveness of controls being implemented and/or developed by the NDIA to ensure that NDIA access decisions are consistent with legislative and other requirements. The final report is expected to be tabled in Parliament in late 2017.</w:t>
      </w:r>
    </w:p>
    <w:p w14:paraId="0F8F533F" w14:textId="77777777" w:rsidR="004B7862" w:rsidRDefault="004B7862" w:rsidP="001E0823">
      <w:pPr>
        <w:pStyle w:val="Heading3"/>
      </w:pPr>
      <w:r>
        <w:t>Freedom of information</w:t>
      </w:r>
    </w:p>
    <w:p w14:paraId="087950C3" w14:textId="77777777" w:rsidR="004B7862" w:rsidRDefault="004B7862" w:rsidP="001E0823">
      <w:pPr>
        <w:pStyle w:val="BodyText"/>
      </w:pPr>
      <w:r>
        <w:t xml:space="preserve">Entities subject to the </w:t>
      </w:r>
      <w:r w:rsidRPr="00C46664">
        <w:rPr>
          <w:rStyle w:val="BodyTextItalic"/>
        </w:rPr>
        <w:t>Freedom of Information Act 1982</w:t>
      </w:r>
      <w:r>
        <w:t xml:space="preserve"> (FOI Act) are required to publish information to the public as part of the Information Publication Scheme (IPS). This requirement is in Part II of the FOI Act and has replaced the former requirement to publish a section 8 statement in an Annual Report. The Agency has displayed on its website a plan showing what information it publishes in accordance with the IPS requirements. </w:t>
      </w:r>
    </w:p>
    <w:p w14:paraId="311BF726" w14:textId="77777777" w:rsidR="004B7862" w:rsidRDefault="004B7862" w:rsidP="001E0823">
      <w:pPr>
        <w:pStyle w:val="BodyText"/>
      </w:pPr>
      <w:r>
        <w:t>Under the FOI Act a person may seek access to information that is held by the Agency that concerns them or is otherwise appropriate for public release.</w:t>
      </w:r>
    </w:p>
    <w:p w14:paraId="18E52A06" w14:textId="77777777" w:rsidR="004B7862" w:rsidRDefault="004B7862" w:rsidP="001E0823">
      <w:pPr>
        <w:pStyle w:val="BodyText"/>
      </w:pPr>
      <w:r>
        <w:t>During 2016–17, the Agency received 84 freedom of information requests for access to copies of documents. There were six requests for internal review of an access decision. In 2016–17, the Agency received notification that one request is subject to a review by the Office of Australian Information Commissioner (OAIC).</w:t>
      </w:r>
    </w:p>
    <w:p w14:paraId="2A89EB04" w14:textId="77777777" w:rsidR="004B7862" w:rsidRDefault="004B7862" w:rsidP="001E0823">
      <w:pPr>
        <w:pStyle w:val="Heading3"/>
      </w:pPr>
      <w:r>
        <w:t>Ombudsman complaints</w:t>
      </w:r>
    </w:p>
    <w:p w14:paraId="0809D332" w14:textId="77777777" w:rsidR="004B7862" w:rsidRDefault="004B7862" w:rsidP="001E0823">
      <w:pPr>
        <w:pStyle w:val="BodyText"/>
      </w:pPr>
      <w:r>
        <w:t xml:space="preserve">The Agency is a prescribed authority for the purposes of the Ombudsman Act 1976 (Ombudsman Act) and accordingly, the Commonwealth Ombudsman may investigate complaints from individuals, groups or organisations about the administrative actions of the Agency. Section 8 of the Ombudsman Act requires the Ombudsman to inform the principal officer of the Agency before commencing an investigation and to conduct such an investigation in private. The Ombudsman may conduct an investigation in any such manner, and make any inquiry as he or she thinks fit. The Agency may be requested to provide assistance and information relevant to an investigation. The Ombudsman may inform the relevant Minister and bring the conduct to the notice of the principal officer of the Agency. </w:t>
      </w:r>
    </w:p>
    <w:p w14:paraId="7BF7D75D" w14:textId="77777777" w:rsidR="004B7862" w:rsidRDefault="004B7862" w:rsidP="001E0823">
      <w:pPr>
        <w:pStyle w:val="BodyText"/>
      </w:pPr>
      <w:r>
        <w:lastRenderedPageBreak/>
        <w:t>The Commonwealth Ombudsman progressed 131 section 8 investigations about the Agency during 2016–17. The Agency provided file material and responses to the Ombudsman’s questions. The Ombudsman closed 60 of the matters. Of the 131 investigations, 38 were finalised without further action.</w:t>
      </w:r>
    </w:p>
    <w:p w14:paraId="6E0DFF72" w14:textId="77777777" w:rsidR="004B7862" w:rsidRDefault="004B7862" w:rsidP="001E0823">
      <w:pPr>
        <w:pStyle w:val="Heading3"/>
      </w:pPr>
      <w:r>
        <w:t>Privacy Act</w:t>
      </w:r>
    </w:p>
    <w:p w14:paraId="2A0DB193" w14:textId="77777777" w:rsidR="004B7862" w:rsidRDefault="004B7862" w:rsidP="001E0823">
      <w:pPr>
        <w:pStyle w:val="BodyText"/>
      </w:pPr>
      <w:r>
        <w:t>The Agency complies with its privacy obligations as required under both the Privacy Act 1988 and the NDIS Act.</w:t>
      </w:r>
    </w:p>
    <w:p w14:paraId="6A62234D" w14:textId="77777777" w:rsidR="004B7862" w:rsidRDefault="004B7862" w:rsidP="001E0823">
      <w:pPr>
        <w:pStyle w:val="BodyText"/>
      </w:pPr>
      <w:r>
        <w:t>Compliance includes the Agency ensuring its practices and procedures are consistent with requirements under the Australian Privacy Principles, such as having an established privacy policy and maintaining a privacy incident and complaints register.</w:t>
      </w:r>
    </w:p>
    <w:p w14:paraId="51F12513" w14:textId="77777777" w:rsidR="004B7862" w:rsidRDefault="004B7862" w:rsidP="001E0823">
      <w:pPr>
        <w:pStyle w:val="BodyText"/>
      </w:pPr>
    </w:p>
    <w:p w14:paraId="2B283D85" w14:textId="77777777" w:rsidR="004B7862" w:rsidRDefault="004B7862" w:rsidP="001E0823">
      <w:pPr>
        <w:pStyle w:val="BodyText"/>
      </w:pPr>
      <w:r>
        <w:t>The Agency actively promotes privacy awareness through the appointment of a Privacy Contact Officer and through the ongoing development of training materials for Agency staff. Advice is also provided to staff regarding the Agency’s privacy obligations under law, particularly as it relates to ensuring promotion of one of the general principles guiding actions under the NDIS Act, which is to ensure that people with disability have their privacy and dignity respected.</w:t>
      </w:r>
    </w:p>
    <w:p w14:paraId="41CCD535" w14:textId="77777777" w:rsidR="004B7862" w:rsidRDefault="004B7862" w:rsidP="001E0823">
      <w:pPr>
        <w:pStyle w:val="BodyText"/>
      </w:pPr>
      <w:r>
        <w:t>During 2016-17, the Agency responded to one privacy complaint lodged with the OAIC.</w:t>
      </w:r>
    </w:p>
    <w:p w14:paraId="6A1C2D70" w14:textId="77777777" w:rsidR="004B7862" w:rsidRDefault="004B7862" w:rsidP="001E0823">
      <w:pPr>
        <w:pStyle w:val="Heading3"/>
      </w:pPr>
      <w:r>
        <w:t>NDIA property</w:t>
      </w:r>
    </w:p>
    <w:p w14:paraId="56082410" w14:textId="77777777" w:rsidR="004B7862" w:rsidRDefault="004B7862" w:rsidP="001E0823">
      <w:pPr>
        <w:pStyle w:val="BodyText"/>
      </w:pPr>
      <w:r>
        <w:t>The Agency continues to expand its presence and property across the country. Co-location of public-facing service delivery centres and non-public facing offices with other government services and agencies is a key strategy to ensure property locations are in the most appropriate and accessible areas for participants and staff. Standalone NDIS sites have been chosen only when co-location options are not available.</w:t>
      </w:r>
    </w:p>
    <w:p w14:paraId="115C55C1" w14:textId="77777777" w:rsidR="004B7862" w:rsidRDefault="004B7862" w:rsidP="001E0823">
      <w:pPr>
        <w:pStyle w:val="BodyText"/>
      </w:pPr>
      <w:r>
        <w:t>In line with the Bilateral Agreements signed with state and territory governments, the NDIA established six standalone service delivery sites and 39 co-located service delivery sites in 2016-17, bringing the total number of sites to 79 across Australia.</w:t>
      </w:r>
    </w:p>
    <w:p w14:paraId="1E527BB9" w14:textId="77777777" w:rsidR="004B7862" w:rsidRDefault="004B7862" w:rsidP="001E0823">
      <w:pPr>
        <w:pStyle w:val="BodyText"/>
      </w:pPr>
      <w:r>
        <w:t>As part of identifying these sites, the NDIA worked collaboratively with the Department of Human Services (DHS), Australian Taxation Office, Department of the Prime Minister and Cabinet and other Commonwealth, state and territory government agencies to maximise the number of co-located NDIS offices.</w:t>
      </w:r>
    </w:p>
    <w:p w14:paraId="5D611AEF" w14:textId="77777777" w:rsidR="004B7862" w:rsidRDefault="004B7862" w:rsidP="001E0823">
      <w:pPr>
        <w:pStyle w:val="BodyText"/>
      </w:pPr>
      <w:r>
        <w:t>Preparation is also underway with DHS for future sites required to achieve full Scheme rollout. The Agency ensures properties are accessible for people with disability. All sites are designed with consideration of the three key elements of accessible design: equity, independence and dignity.</w:t>
      </w:r>
    </w:p>
    <w:p w14:paraId="71531B89" w14:textId="77777777" w:rsidR="004B7862" w:rsidRDefault="004B7862" w:rsidP="001E0823">
      <w:pPr>
        <w:pStyle w:val="Heading4"/>
      </w:pPr>
      <w:r>
        <w:t>New national office</w:t>
      </w:r>
    </w:p>
    <w:p w14:paraId="1C54595F" w14:textId="77777777" w:rsidR="004B7862" w:rsidRDefault="004B7862" w:rsidP="001E0823">
      <w:pPr>
        <w:pStyle w:val="BodyText"/>
      </w:pPr>
      <w:r>
        <w:t>In May 2017, the Agency reached a new milestone in the development of its Geelong national office with the signing of a Construction Agreement. Through a joint venture with DHS, construction is expected to be completed in late 2018.</w:t>
      </w:r>
    </w:p>
    <w:p w14:paraId="6AF55C10" w14:textId="77777777" w:rsidR="004B7862" w:rsidRDefault="004B7862" w:rsidP="001E0823">
      <w:pPr>
        <w:pStyle w:val="BodyText"/>
      </w:pPr>
      <w:r>
        <w:t>The new building is expected to increase the efficiency of head office operations, and make it easier for staff across Australia to engage with national office staff.</w:t>
      </w:r>
    </w:p>
    <w:p w14:paraId="61D9C7BF" w14:textId="77777777" w:rsidR="004B7862" w:rsidRDefault="004B7862" w:rsidP="001E0823">
      <w:pPr>
        <w:pStyle w:val="Heading3"/>
      </w:pPr>
      <w:r>
        <w:t>Ecological and sustainable development</w:t>
      </w:r>
    </w:p>
    <w:p w14:paraId="7AD0E6FD" w14:textId="77777777" w:rsidR="004B7862" w:rsidRDefault="004B7862" w:rsidP="001E0823">
      <w:pPr>
        <w:pStyle w:val="BodyText"/>
      </w:pPr>
      <w:r>
        <w:t>The Agency has continued to introduce ecological and sustainable measures that reduce energy and consumption costs at each of its sites including:</w:t>
      </w:r>
    </w:p>
    <w:p w14:paraId="3B3A7ABC" w14:textId="77777777" w:rsidR="004B7862" w:rsidRDefault="004B7862" w:rsidP="001E0823">
      <w:pPr>
        <w:pStyle w:val="ListBullet"/>
      </w:pPr>
      <w:r>
        <w:lastRenderedPageBreak/>
        <w:t>installing energy-efficient T5 fluorescent lights and LEDs for open-plan areas and meeting rooms together with motion sensor control for the lighting;</w:t>
      </w:r>
    </w:p>
    <w:p w14:paraId="4D835DD4" w14:textId="77777777" w:rsidR="004B7862" w:rsidRDefault="004B7862" w:rsidP="001E0823">
      <w:pPr>
        <w:pStyle w:val="ListBullet"/>
      </w:pPr>
      <w:r>
        <w:t>installing energy-efficient variable refrigerant flow air-conditioning systems that are operated via time clock;</w:t>
      </w:r>
    </w:p>
    <w:p w14:paraId="43B37E8F" w14:textId="77777777" w:rsidR="004B7862" w:rsidRDefault="004B7862" w:rsidP="001E0823">
      <w:pPr>
        <w:pStyle w:val="ListBullet"/>
      </w:pPr>
      <w:r>
        <w:t>installing low-flow sanitary fixtures; and</w:t>
      </w:r>
    </w:p>
    <w:p w14:paraId="580B070B" w14:textId="77777777" w:rsidR="004B7862" w:rsidRDefault="004B7862" w:rsidP="001E0823">
      <w:pPr>
        <w:pStyle w:val="ListBullet"/>
      </w:pPr>
      <w:r>
        <w:t>supplying general waste and recyclable waste bins to suit the size of the tenancy.</w:t>
      </w:r>
    </w:p>
    <w:p w14:paraId="3A1A1BB2" w14:textId="77777777" w:rsidR="004B7862" w:rsidRDefault="004B7862" w:rsidP="001E0823">
      <w:pPr>
        <w:pStyle w:val="BodyText"/>
      </w:pPr>
      <w:r>
        <w:t xml:space="preserve">The new national office, currently under construction, will meet or exceed the Government’s 5 star National Australian Built Environment Rating System requirement when completed.  </w:t>
      </w:r>
    </w:p>
    <w:p w14:paraId="16A54852" w14:textId="77777777" w:rsidR="004B7862" w:rsidRDefault="004B7862" w:rsidP="001E0823">
      <w:pPr>
        <w:pStyle w:val="Heading4"/>
      </w:pPr>
      <w:r>
        <w:t>Fleet vehicles</w:t>
      </w:r>
    </w:p>
    <w:p w14:paraId="5DD41E4C" w14:textId="77777777" w:rsidR="004B7862" w:rsidRDefault="004B7862" w:rsidP="001E0823">
      <w:pPr>
        <w:pStyle w:val="BodyText"/>
      </w:pPr>
      <w:r>
        <w:t>The Whole of Government arrangement for fleet vehicle selection has undergone a significant change as the motor industry no longer builds Australian made vehicles. The Agency has been proactive in moving to a wholly hybrid passenger vehicle base where available. The vehicles use both a conventional engine and electric motor to achieve significantly better fuel efficiency than their non-hybrid counterparts. In terms of greenhouse emissions, the hybrid vehicles selected reduce tailpipe CO2 emissions and stationary noise and will considerably reduce annual fuel costs. The selection of four wheel drive vehicles is still limited to petrol and diesel options as no hybrid option is available. The Agency’s total fleet number has increased from 91 in 2015-16 to 151 in 2016-17.</w:t>
      </w:r>
    </w:p>
    <w:p w14:paraId="2D9B1F67" w14:textId="77777777" w:rsidR="004B7862" w:rsidRDefault="004B7862" w:rsidP="001E0823">
      <w:pPr>
        <w:pStyle w:val="Heading3"/>
      </w:pPr>
      <w:r>
        <w:t>Workplace health and safety</w:t>
      </w:r>
    </w:p>
    <w:p w14:paraId="33108B6F" w14:textId="77777777" w:rsidR="004B7862" w:rsidRDefault="004B7862" w:rsidP="001E0823">
      <w:pPr>
        <w:pStyle w:val="BodyText"/>
      </w:pPr>
      <w:r>
        <w:t>The NDIA acknowledges its responsibilities under the Work Health and Safety Act 2011 (WHS Act), the Safety, Rehabilitation and Compensation Act 1988 and anti-discrimination legislation.</w:t>
      </w:r>
    </w:p>
    <w:p w14:paraId="1CC1F313" w14:textId="77777777" w:rsidR="004B7862" w:rsidRDefault="004B7862" w:rsidP="001E0823">
      <w:pPr>
        <w:pStyle w:val="BodyText"/>
      </w:pPr>
      <w:r>
        <w:t>The Agency takes all reasonably practicable measures to protect the health, safety and welfare of its workers while at work, including providing a safe work environment. The NDIA’s Work Health and Safety Policy and Health and Safety Management Arrangements promote consultation, prevention and early intervention, and are aligned with a steadfast commitment to safeguard and value Agency employees.</w:t>
      </w:r>
    </w:p>
    <w:p w14:paraId="5796D9E5" w14:textId="77777777" w:rsidR="004B7862" w:rsidRDefault="004B7862" w:rsidP="001E0823">
      <w:pPr>
        <w:pStyle w:val="BodyText"/>
      </w:pPr>
      <w:r>
        <w:t>The NDIA recognises that effective health and safety management systems are good business practice and contribute to reducing work-related injury and illness occurrences and costs. The Agency also supports access to information about overall health and wellbeing for staff.</w:t>
      </w:r>
    </w:p>
    <w:p w14:paraId="513216A8" w14:textId="77777777" w:rsidR="004B7862" w:rsidRDefault="004B7862" w:rsidP="001E0823">
      <w:pPr>
        <w:pStyle w:val="BodyText"/>
      </w:pPr>
      <w:r>
        <w:t>Specific actions in 2016–17 included:</w:t>
      </w:r>
    </w:p>
    <w:p w14:paraId="099C1D86" w14:textId="77777777" w:rsidR="004B7862" w:rsidRDefault="004B7862" w:rsidP="001E0823">
      <w:pPr>
        <w:pStyle w:val="ListBullet"/>
      </w:pPr>
      <w:r>
        <w:t xml:space="preserve">development of a Health and Safety Management Plan with extensive staff consultation, which provides a structured approach to achieve the objectives of </w:t>
      </w:r>
    </w:p>
    <w:p w14:paraId="45256623" w14:textId="77777777" w:rsidR="004B7862" w:rsidRDefault="004B7862" w:rsidP="001E0823">
      <w:pPr>
        <w:pStyle w:val="ListBullet"/>
      </w:pPr>
      <w:r>
        <w:t>the Agency’s Work Health and Safety (WHS) Policy;</w:t>
      </w:r>
    </w:p>
    <w:p w14:paraId="46CC18FE" w14:textId="77777777" w:rsidR="004B7862" w:rsidRDefault="004B7862" w:rsidP="001E0823">
      <w:pPr>
        <w:pStyle w:val="ListBullet"/>
      </w:pPr>
      <w:r>
        <w:t>enhancing the Rehabilitation Management System documentation to better support health and wellbeing, and injury and illness management;</w:t>
      </w:r>
    </w:p>
    <w:p w14:paraId="1EE79EAB" w14:textId="77777777" w:rsidR="004B7862" w:rsidRDefault="004B7862" w:rsidP="001E0823">
      <w:pPr>
        <w:pStyle w:val="ListBullet"/>
      </w:pPr>
      <w:r>
        <w:t>improving WHS risk management by establishing reporting and trend analysis against metrics;</w:t>
      </w:r>
    </w:p>
    <w:p w14:paraId="36BECA28" w14:textId="77777777" w:rsidR="004B7862" w:rsidRDefault="004B7862" w:rsidP="001E0823">
      <w:pPr>
        <w:pStyle w:val="ListBullet"/>
      </w:pPr>
      <w:r>
        <w:t>re-launching the Wellness and Culture Champions Network nationally;</w:t>
      </w:r>
    </w:p>
    <w:p w14:paraId="505E37AC" w14:textId="77777777" w:rsidR="004B7862" w:rsidRDefault="004B7862" w:rsidP="001E0823">
      <w:pPr>
        <w:pStyle w:val="ListBullet"/>
      </w:pPr>
      <w:r>
        <w:t>delivery of prevention of psychosocial injury training nationwide; and</w:t>
      </w:r>
    </w:p>
    <w:p w14:paraId="498AA4D7" w14:textId="77777777" w:rsidR="004B7862" w:rsidRDefault="004B7862" w:rsidP="001E0823">
      <w:pPr>
        <w:pStyle w:val="ListBullet"/>
      </w:pPr>
      <w:r>
        <w:t>availability of the National Influenza Vaccination Program, which 640 staff accessed.</w:t>
      </w:r>
    </w:p>
    <w:p w14:paraId="66E2A066" w14:textId="77777777" w:rsidR="004B7862" w:rsidRDefault="004B7862" w:rsidP="001E0823">
      <w:pPr>
        <w:pStyle w:val="BodyText"/>
      </w:pPr>
      <w:r>
        <w:t>In 2016–17, the Agency reported eight incidents to Comcare pursuant to section 38 of the WHS Act. Comcare deemed two of those incidents as “not notifiable”. The Agency undertook four investigations under Part 10 of the WHS Act.</w:t>
      </w:r>
    </w:p>
    <w:p w14:paraId="1F305029" w14:textId="77777777" w:rsidR="004B7862" w:rsidRDefault="004B7862" w:rsidP="001E0823">
      <w:pPr>
        <w:pStyle w:val="BodyText"/>
      </w:pPr>
      <w:r>
        <w:t xml:space="preserve">The WHS Act requires the Agency to provide statistics of any notifiable incidents of which it became aware of during the year that arose out of the conduct of business or undertakings by the entity, and any investigations conducted and notices given. </w:t>
      </w:r>
    </w:p>
    <w:p w14:paraId="1B7FE5FA" w14:textId="77777777" w:rsidR="004B7862" w:rsidRDefault="004B7862" w:rsidP="001E0823">
      <w:pPr>
        <w:pStyle w:val="BodyText"/>
      </w:pPr>
      <w:r>
        <w:t xml:space="preserve">Refer to Appendix 4 for a summary of incidents pursuant to section 38 of the WHS Act. </w:t>
      </w:r>
    </w:p>
    <w:p w14:paraId="14A65A53" w14:textId="77777777" w:rsidR="004B7862" w:rsidRDefault="004B7862" w:rsidP="001E0823">
      <w:pPr>
        <w:pStyle w:val="Heading3"/>
      </w:pPr>
      <w:r>
        <w:lastRenderedPageBreak/>
        <w:t>Purchasing arrangements</w:t>
      </w:r>
    </w:p>
    <w:p w14:paraId="4CE3E5F6" w14:textId="77777777" w:rsidR="004B7862" w:rsidRDefault="004B7862" w:rsidP="001E0823">
      <w:pPr>
        <w:pStyle w:val="BodyText"/>
      </w:pPr>
      <w:r>
        <w:t xml:space="preserve">The majority of the Agency’s corporate and ICT services are provided by DHS through shared services arrangements. </w:t>
      </w:r>
    </w:p>
    <w:p w14:paraId="5DF9F6F7" w14:textId="77777777" w:rsidR="004B7862" w:rsidRDefault="004B7862" w:rsidP="001E0823">
      <w:pPr>
        <w:pStyle w:val="BodyText"/>
      </w:pPr>
      <w:r>
        <w:t xml:space="preserve">These arrangements are governed by the ICT Services Schedule, the Business Services Schedule and the Shared Services Schedule, as agreed by the Agency and DHS. </w:t>
      </w:r>
    </w:p>
    <w:p w14:paraId="59845173" w14:textId="77777777" w:rsidR="004B7862" w:rsidRDefault="004B7862" w:rsidP="001E0823">
      <w:pPr>
        <w:pStyle w:val="BodyText"/>
      </w:pPr>
      <w:r>
        <w:t>The services provided through shared service arrangements with DHS include:</w:t>
      </w:r>
    </w:p>
    <w:p w14:paraId="44357BF3" w14:textId="77777777" w:rsidR="004B7862" w:rsidRDefault="004B7862" w:rsidP="001E0823">
      <w:pPr>
        <w:pStyle w:val="ListBullet"/>
      </w:pPr>
      <w:r w:rsidRPr="00C46664">
        <w:rPr>
          <w:rStyle w:val="BodyTextBold"/>
        </w:rPr>
        <w:t>People Services</w:t>
      </w:r>
      <w:r>
        <w:t xml:space="preserve"> – payroll, travel and accessibility support.</w:t>
      </w:r>
    </w:p>
    <w:p w14:paraId="52E0E494" w14:textId="77777777" w:rsidR="004B7862" w:rsidRDefault="004B7862" w:rsidP="001E0823">
      <w:pPr>
        <w:pStyle w:val="ListBullet"/>
      </w:pPr>
      <w:r w:rsidRPr="00C46664">
        <w:rPr>
          <w:rStyle w:val="BodyTextBold"/>
        </w:rPr>
        <w:t>Financial Services</w:t>
      </w:r>
      <w:r>
        <w:t xml:space="preserve"> – asset management and accounting operations.</w:t>
      </w:r>
    </w:p>
    <w:p w14:paraId="18ADF0AA" w14:textId="77777777" w:rsidR="004B7862" w:rsidRDefault="004B7862" w:rsidP="001E0823">
      <w:pPr>
        <w:pStyle w:val="ListBullet"/>
      </w:pPr>
      <w:r w:rsidRPr="00C46664">
        <w:rPr>
          <w:rStyle w:val="BodyTextBold"/>
        </w:rPr>
        <w:t>ICT Business Services</w:t>
      </w:r>
      <w:r>
        <w:t xml:space="preserve"> – staff, participant and provider portals, Enterprise Data Warehouse.</w:t>
      </w:r>
    </w:p>
    <w:p w14:paraId="63F656A3" w14:textId="77777777" w:rsidR="004B7862" w:rsidRDefault="004B7862" w:rsidP="001E0823">
      <w:pPr>
        <w:pStyle w:val="ListBullet"/>
      </w:pPr>
      <w:r w:rsidRPr="00C46664">
        <w:rPr>
          <w:rStyle w:val="BodyTextBold"/>
        </w:rPr>
        <w:t>ICT Infrastructure Services</w:t>
      </w:r>
      <w:r>
        <w:t xml:space="preserve"> – Network, Desktop and End User Computing services.</w:t>
      </w:r>
    </w:p>
    <w:p w14:paraId="7C66A3D9" w14:textId="77777777" w:rsidR="004B7862" w:rsidRDefault="004B7862" w:rsidP="001E0823">
      <w:pPr>
        <w:pStyle w:val="ListBullet"/>
      </w:pPr>
      <w:r w:rsidRPr="00C46664">
        <w:rPr>
          <w:rStyle w:val="BodyTextBold"/>
        </w:rPr>
        <w:t>Other Corporate Services</w:t>
      </w:r>
      <w:r>
        <w:t xml:space="preserve"> – security, fleet, records management, procurement and stationery.</w:t>
      </w:r>
    </w:p>
    <w:p w14:paraId="08A8A69C" w14:textId="77777777" w:rsidR="004B7862" w:rsidRDefault="004B7862" w:rsidP="001E0823">
      <w:pPr>
        <w:pStyle w:val="BodyText"/>
      </w:pPr>
      <w:r>
        <w:t>These shared service arrangements also enable the delivery of contact centre services on behalf of the Agency. As the current provider of these functions, DHS ensures resources are in place to respond to participants and providers calling the Agency’s 1800 number.</w:t>
      </w:r>
    </w:p>
    <w:p w14:paraId="490C5C01" w14:textId="77777777" w:rsidR="004B7862" w:rsidRDefault="004B7862" w:rsidP="001E0823">
      <w:pPr>
        <w:pStyle w:val="BodyText"/>
      </w:pPr>
      <w:r>
        <w:t>The Agency also has a Memorandum of Understanding with DSS for the provision of library and limited ICT services.</w:t>
      </w:r>
    </w:p>
    <w:p w14:paraId="7A326814" w14:textId="77777777" w:rsidR="004B7862" w:rsidRDefault="004B7862" w:rsidP="001E0823">
      <w:pPr>
        <w:pStyle w:val="BodyText"/>
      </w:pPr>
      <w:r>
        <w:t>The Agency has Bilateral Agreements with states and territories that outline how the Scheme is expected to operate in sites including the roles and responsibilities of the Commonwealth and respective state and territory governments.</w:t>
      </w:r>
    </w:p>
    <w:p w14:paraId="7ACFBFAC" w14:textId="77777777" w:rsidR="004B7862" w:rsidRDefault="004B7862" w:rsidP="001E0823">
      <w:pPr>
        <w:pStyle w:val="Heading3"/>
      </w:pPr>
      <w:r>
        <w:t>Advertising and market research</w:t>
      </w:r>
    </w:p>
    <w:p w14:paraId="0EF925CB" w14:textId="77777777" w:rsidR="004B7862" w:rsidRDefault="004B7862" w:rsidP="001E0823">
      <w:pPr>
        <w:pStyle w:val="BodyText"/>
      </w:pPr>
      <w:r>
        <w:t xml:space="preserve">The organisations listed below provided advertising and market research services to the Agency in 2016-17. Under section 311A of the Commonwealth Electoral Act 1918, only payments above $13,000 (inclusive of GST) are listed below. </w:t>
      </w:r>
    </w:p>
    <w:p w14:paraId="072B9D6A" w14:textId="77777777" w:rsidR="004B7862" w:rsidRDefault="004B7862" w:rsidP="007A04CE">
      <w:pPr>
        <w:pStyle w:val="Heading4tables"/>
      </w:pPr>
      <w:bookmarkStart w:id="58" w:name="_Toc496611805"/>
      <w:r w:rsidRPr="00207CE8">
        <w:t>Table 7: Payments to market research and polling organisations in 2016-17</w:t>
      </w:r>
      <w:bookmarkEnd w:id="58"/>
    </w:p>
    <w:tbl>
      <w:tblPr>
        <w:tblStyle w:val="TableGrid"/>
        <w:tblW w:w="10201" w:type="dxa"/>
        <w:tblLook w:val="04A0" w:firstRow="1" w:lastRow="0" w:firstColumn="1" w:lastColumn="0" w:noHBand="0" w:noVBand="1"/>
        <w:tblDescription w:val="Table 7: Payments to market research and polling organisations in 2016-17"/>
      </w:tblPr>
      <w:tblGrid>
        <w:gridCol w:w="4248"/>
        <w:gridCol w:w="2551"/>
        <w:gridCol w:w="3402"/>
      </w:tblGrid>
      <w:tr w:rsidR="004B7862" w14:paraId="0C200D2E" w14:textId="77777777" w:rsidTr="003F47B7">
        <w:trPr>
          <w:tblHeader/>
        </w:trPr>
        <w:tc>
          <w:tcPr>
            <w:tcW w:w="4248" w:type="dxa"/>
            <w:shd w:val="clear" w:color="auto" w:fill="6B2976" w:themeFill="background2"/>
          </w:tcPr>
          <w:p w14:paraId="2F42959E" w14:textId="77777777" w:rsidR="004B7862" w:rsidRPr="00207CE8" w:rsidRDefault="004B7862" w:rsidP="001E0823">
            <w:pPr>
              <w:pStyle w:val="TableTitle"/>
            </w:pPr>
            <w:bookmarkStart w:id="59" w:name="Title_Table7"/>
            <w:r w:rsidRPr="00207CE8">
              <w:t>Provider name</w:t>
            </w:r>
          </w:p>
        </w:tc>
        <w:tc>
          <w:tcPr>
            <w:tcW w:w="2551" w:type="dxa"/>
            <w:shd w:val="clear" w:color="auto" w:fill="6B2976" w:themeFill="background2"/>
          </w:tcPr>
          <w:p w14:paraId="2872AB63" w14:textId="77777777" w:rsidR="004B7862" w:rsidRPr="009755FC" w:rsidRDefault="004B7862" w:rsidP="001E0823">
            <w:pPr>
              <w:pStyle w:val="TableTitle"/>
            </w:pPr>
            <w:r w:rsidRPr="00207CE8">
              <w:t>Service provided</w:t>
            </w:r>
          </w:p>
        </w:tc>
        <w:tc>
          <w:tcPr>
            <w:tcW w:w="3402" w:type="dxa"/>
            <w:shd w:val="clear" w:color="auto" w:fill="6B2976" w:themeFill="background2"/>
          </w:tcPr>
          <w:p w14:paraId="5225B866" w14:textId="77777777" w:rsidR="004B7862" w:rsidRPr="009755FC" w:rsidRDefault="004B7862" w:rsidP="001E0823">
            <w:pPr>
              <w:pStyle w:val="TableTitle"/>
            </w:pPr>
            <w:r w:rsidRPr="00207CE8">
              <w:t>Amount paid $ (incl GST)</w:t>
            </w:r>
          </w:p>
        </w:tc>
      </w:tr>
      <w:bookmarkEnd w:id="59"/>
      <w:tr w:rsidR="004B7862" w14:paraId="7CCF8CB0" w14:textId="77777777" w:rsidTr="00F93D1A">
        <w:tc>
          <w:tcPr>
            <w:tcW w:w="4248" w:type="dxa"/>
          </w:tcPr>
          <w:p w14:paraId="44A6554F" w14:textId="77777777" w:rsidR="004B7862" w:rsidRPr="00207CE8" w:rsidRDefault="004B7862" w:rsidP="001E0823">
            <w:pPr>
              <w:pStyle w:val="BodyText"/>
            </w:pPr>
            <w:r w:rsidRPr="00207CE8">
              <w:t>Arc Research</w:t>
            </w:r>
          </w:p>
        </w:tc>
        <w:tc>
          <w:tcPr>
            <w:tcW w:w="2551" w:type="dxa"/>
          </w:tcPr>
          <w:p w14:paraId="3C2388FF" w14:textId="77777777" w:rsidR="004B7862" w:rsidRDefault="004B7862" w:rsidP="001E0823">
            <w:pPr>
              <w:pStyle w:val="BodyText"/>
            </w:pPr>
            <w:r>
              <w:t xml:space="preserve">Market research </w:t>
            </w:r>
          </w:p>
        </w:tc>
        <w:tc>
          <w:tcPr>
            <w:tcW w:w="3402" w:type="dxa"/>
          </w:tcPr>
          <w:p w14:paraId="3A4B7B8C" w14:textId="77777777" w:rsidR="004B7862" w:rsidRDefault="004B7862" w:rsidP="001E0823">
            <w:pPr>
              <w:pStyle w:val="BodyText"/>
            </w:pPr>
            <w:r>
              <w:t>161,040.00</w:t>
            </w:r>
          </w:p>
        </w:tc>
      </w:tr>
      <w:tr w:rsidR="004B7862" w14:paraId="138DA10C" w14:textId="77777777" w:rsidTr="00F93D1A">
        <w:tc>
          <w:tcPr>
            <w:tcW w:w="4248" w:type="dxa"/>
          </w:tcPr>
          <w:p w14:paraId="41552C2E" w14:textId="77777777" w:rsidR="004B7862" w:rsidRPr="00207CE8" w:rsidRDefault="004B7862" w:rsidP="001E0823">
            <w:pPr>
              <w:pStyle w:val="BodyText"/>
            </w:pPr>
            <w:r w:rsidRPr="00207CE8">
              <w:t>Crosby Textor</w:t>
            </w:r>
          </w:p>
        </w:tc>
        <w:tc>
          <w:tcPr>
            <w:tcW w:w="2551" w:type="dxa"/>
          </w:tcPr>
          <w:p w14:paraId="7B8CBE71" w14:textId="77777777" w:rsidR="004B7862" w:rsidRDefault="004B7862" w:rsidP="001E0823">
            <w:pPr>
              <w:pStyle w:val="BodyText"/>
            </w:pPr>
            <w:r>
              <w:t xml:space="preserve">Market research </w:t>
            </w:r>
          </w:p>
        </w:tc>
        <w:tc>
          <w:tcPr>
            <w:tcW w:w="3402" w:type="dxa"/>
          </w:tcPr>
          <w:p w14:paraId="6172FE2B" w14:textId="77777777" w:rsidR="004B7862" w:rsidRDefault="004B7862" w:rsidP="001E0823">
            <w:pPr>
              <w:pStyle w:val="BodyText"/>
            </w:pPr>
            <w:r>
              <w:t>138,358.00</w:t>
            </w:r>
          </w:p>
        </w:tc>
      </w:tr>
    </w:tbl>
    <w:p w14:paraId="3B6812A4" w14:textId="77777777" w:rsidR="004B7862" w:rsidRPr="00207CE8" w:rsidRDefault="004B7862" w:rsidP="001E0823"/>
    <w:p w14:paraId="229FE9C8" w14:textId="77777777" w:rsidR="004B7862" w:rsidRDefault="004B7862" w:rsidP="007A04CE">
      <w:pPr>
        <w:pStyle w:val="Heading4tables"/>
      </w:pPr>
      <w:bookmarkStart w:id="60" w:name="_Toc496611806"/>
      <w:r w:rsidRPr="00207CE8">
        <w:t>Table 8: Payments to direct mail organisations in 2016-17:</w:t>
      </w:r>
      <w:bookmarkEnd w:id="60"/>
    </w:p>
    <w:tbl>
      <w:tblPr>
        <w:tblStyle w:val="TableGrid"/>
        <w:tblW w:w="10201" w:type="dxa"/>
        <w:tblLook w:val="04A0" w:firstRow="1" w:lastRow="0" w:firstColumn="1" w:lastColumn="0" w:noHBand="0" w:noVBand="1"/>
        <w:tblDescription w:val="Table 8: Payments to direct mail organisations in 2016-17:"/>
      </w:tblPr>
      <w:tblGrid>
        <w:gridCol w:w="4248"/>
        <w:gridCol w:w="2551"/>
        <w:gridCol w:w="3402"/>
      </w:tblGrid>
      <w:tr w:rsidR="004B7862" w14:paraId="36031CC5" w14:textId="77777777" w:rsidTr="003F47B7">
        <w:trPr>
          <w:tblHeader/>
        </w:trPr>
        <w:tc>
          <w:tcPr>
            <w:tcW w:w="4248" w:type="dxa"/>
            <w:shd w:val="clear" w:color="auto" w:fill="6B2976" w:themeFill="background2"/>
          </w:tcPr>
          <w:p w14:paraId="6BD86D14" w14:textId="77777777" w:rsidR="004B7862" w:rsidRPr="00207CE8" w:rsidRDefault="004B7862" w:rsidP="001E0823">
            <w:pPr>
              <w:pStyle w:val="TableTitle"/>
            </w:pPr>
            <w:bookmarkStart w:id="61" w:name="Title_Table8"/>
            <w:r w:rsidRPr="00207CE8">
              <w:t>Provider name</w:t>
            </w:r>
          </w:p>
        </w:tc>
        <w:tc>
          <w:tcPr>
            <w:tcW w:w="2551" w:type="dxa"/>
            <w:shd w:val="clear" w:color="auto" w:fill="6B2976" w:themeFill="background2"/>
          </w:tcPr>
          <w:p w14:paraId="68DD86C8" w14:textId="77777777" w:rsidR="004B7862" w:rsidRPr="009755FC" w:rsidRDefault="004B7862" w:rsidP="001E0823">
            <w:pPr>
              <w:pStyle w:val="TableTitle"/>
            </w:pPr>
            <w:r w:rsidRPr="00207CE8">
              <w:t>Service provided</w:t>
            </w:r>
          </w:p>
        </w:tc>
        <w:tc>
          <w:tcPr>
            <w:tcW w:w="3402" w:type="dxa"/>
            <w:shd w:val="clear" w:color="auto" w:fill="6B2976" w:themeFill="background2"/>
          </w:tcPr>
          <w:p w14:paraId="1588A3DD" w14:textId="77777777" w:rsidR="004B7862" w:rsidRPr="009755FC" w:rsidRDefault="004B7862" w:rsidP="001E0823">
            <w:pPr>
              <w:pStyle w:val="TableTitle"/>
            </w:pPr>
            <w:r w:rsidRPr="00207CE8">
              <w:t>Amount paid $ (incl GST)</w:t>
            </w:r>
          </w:p>
        </w:tc>
      </w:tr>
      <w:bookmarkEnd w:id="61"/>
      <w:tr w:rsidR="004B7862" w14:paraId="1CF58A6C" w14:textId="77777777" w:rsidTr="00F93D1A">
        <w:tc>
          <w:tcPr>
            <w:tcW w:w="4248" w:type="dxa"/>
          </w:tcPr>
          <w:p w14:paraId="30736FFC" w14:textId="77777777" w:rsidR="004B7862" w:rsidRPr="00207CE8" w:rsidRDefault="004B7862" w:rsidP="001E0823">
            <w:pPr>
              <w:pStyle w:val="BodyText"/>
            </w:pPr>
            <w:r w:rsidRPr="00207CE8">
              <w:t>Carbine Media Pty Ltd</w:t>
            </w:r>
          </w:p>
        </w:tc>
        <w:tc>
          <w:tcPr>
            <w:tcW w:w="2551" w:type="dxa"/>
          </w:tcPr>
          <w:p w14:paraId="579BD5C9" w14:textId="77777777" w:rsidR="004B7862" w:rsidRDefault="004B7862" w:rsidP="001E0823">
            <w:pPr>
              <w:pStyle w:val="BodyText"/>
            </w:pPr>
            <w:r>
              <w:t xml:space="preserve">Direct Mail </w:t>
            </w:r>
          </w:p>
        </w:tc>
        <w:tc>
          <w:tcPr>
            <w:tcW w:w="3402" w:type="dxa"/>
          </w:tcPr>
          <w:p w14:paraId="1065658D" w14:textId="77777777" w:rsidR="004B7862" w:rsidRDefault="004B7862" w:rsidP="001E0823">
            <w:pPr>
              <w:pStyle w:val="BodyText"/>
            </w:pPr>
            <w:r>
              <w:t>14,300.00</w:t>
            </w:r>
          </w:p>
        </w:tc>
      </w:tr>
      <w:tr w:rsidR="004B7862" w14:paraId="07067B16" w14:textId="77777777" w:rsidTr="00F93D1A">
        <w:tc>
          <w:tcPr>
            <w:tcW w:w="4248" w:type="dxa"/>
          </w:tcPr>
          <w:p w14:paraId="12CC0D8E" w14:textId="77777777" w:rsidR="004B7862" w:rsidRPr="00207CE8" w:rsidRDefault="004B7862" w:rsidP="001E0823">
            <w:pPr>
              <w:pStyle w:val="BodyText"/>
            </w:pPr>
            <w:r w:rsidRPr="00207CE8">
              <w:t>Carbine Media Pty Ltd</w:t>
            </w:r>
          </w:p>
        </w:tc>
        <w:tc>
          <w:tcPr>
            <w:tcW w:w="2551" w:type="dxa"/>
          </w:tcPr>
          <w:p w14:paraId="3930BC88" w14:textId="77777777" w:rsidR="004B7862" w:rsidRDefault="004B7862" w:rsidP="001E0823">
            <w:pPr>
              <w:pStyle w:val="BodyText"/>
            </w:pPr>
            <w:r>
              <w:t xml:space="preserve">Direct Mail </w:t>
            </w:r>
          </w:p>
        </w:tc>
        <w:tc>
          <w:tcPr>
            <w:tcW w:w="3402" w:type="dxa"/>
          </w:tcPr>
          <w:p w14:paraId="1DBD6CDF" w14:textId="77777777" w:rsidR="004B7862" w:rsidRDefault="004B7862" w:rsidP="001E0823">
            <w:pPr>
              <w:pStyle w:val="BodyText"/>
            </w:pPr>
            <w:r>
              <w:t>14,300.00</w:t>
            </w:r>
          </w:p>
        </w:tc>
      </w:tr>
    </w:tbl>
    <w:p w14:paraId="1EACA6D4" w14:textId="77777777" w:rsidR="004B7862" w:rsidRPr="00207CE8" w:rsidRDefault="004B7862" w:rsidP="001E0823"/>
    <w:p w14:paraId="6088D075" w14:textId="77777777" w:rsidR="004B7862" w:rsidRDefault="004B7862" w:rsidP="007A04CE">
      <w:pPr>
        <w:pStyle w:val="Heading4tables"/>
      </w:pPr>
      <w:bookmarkStart w:id="62" w:name="_Toc496611807"/>
      <w:r w:rsidRPr="00207CE8">
        <w:lastRenderedPageBreak/>
        <w:t>Table 9: Payments to media advertising organisations in 2016-17:</w:t>
      </w:r>
      <w:bookmarkEnd w:id="62"/>
    </w:p>
    <w:tbl>
      <w:tblPr>
        <w:tblStyle w:val="TableGrid"/>
        <w:tblW w:w="10201" w:type="dxa"/>
        <w:tblLook w:val="04A0" w:firstRow="1" w:lastRow="0" w:firstColumn="1" w:lastColumn="0" w:noHBand="0" w:noVBand="1"/>
        <w:tblDescription w:val="Table 9: Payments to media advertising organisations in 2016-17:"/>
      </w:tblPr>
      <w:tblGrid>
        <w:gridCol w:w="4248"/>
        <w:gridCol w:w="2551"/>
        <w:gridCol w:w="3402"/>
      </w:tblGrid>
      <w:tr w:rsidR="004B7862" w14:paraId="4830B175" w14:textId="77777777" w:rsidTr="003F47B7">
        <w:trPr>
          <w:tblHeader/>
        </w:trPr>
        <w:tc>
          <w:tcPr>
            <w:tcW w:w="4248" w:type="dxa"/>
            <w:shd w:val="clear" w:color="auto" w:fill="6B2976" w:themeFill="background2"/>
          </w:tcPr>
          <w:p w14:paraId="7BB1F03E" w14:textId="77777777" w:rsidR="004B7862" w:rsidRPr="00207CE8" w:rsidRDefault="004B7862" w:rsidP="001E0823">
            <w:pPr>
              <w:pStyle w:val="TableTitle"/>
            </w:pPr>
            <w:bookmarkStart w:id="63" w:name="Title_Table9"/>
            <w:r w:rsidRPr="00207CE8">
              <w:t>Provider name</w:t>
            </w:r>
          </w:p>
        </w:tc>
        <w:tc>
          <w:tcPr>
            <w:tcW w:w="2551" w:type="dxa"/>
            <w:shd w:val="clear" w:color="auto" w:fill="6B2976" w:themeFill="background2"/>
          </w:tcPr>
          <w:p w14:paraId="745A6F42" w14:textId="77777777" w:rsidR="004B7862" w:rsidRPr="009755FC" w:rsidRDefault="004B7862" w:rsidP="001E0823">
            <w:pPr>
              <w:pStyle w:val="TableTitle"/>
            </w:pPr>
            <w:r w:rsidRPr="00207CE8">
              <w:t>Service provided</w:t>
            </w:r>
          </w:p>
        </w:tc>
        <w:tc>
          <w:tcPr>
            <w:tcW w:w="3402" w:type="dxa"/>
            <w:shd w:val="clear" w:color="auto" w:fill="6B2976" w:themeFill="background2"/>
          </w:tcPr>
          <w:p w14:paraId="4C6B372E" w14:textId="77777777" w:rsidR="004B7862" w:rsidRPr="009755FC" w:rsidRDefault="004B7862" w:rsidP="001E0823">
            <w:pPr>
              <w:pStyle w:val="TableTitle"/>
            </w:pPr>
            <w:r w:rsidRPr="00207CE8">
              <w:t>Amount paid $ (incl GST)</w:t>
            </w:r>
          </w:p>
        </w:tc>
      </w:tr>
      <w:bookmarkEnd w:id="63"/>
      <w:tr w:rsidR="004B7862" w14:paraId="0F08A9F6" w14:textId="77777777" w:rsidTr="00F93D1A">
        <w:tc>
          <w:tcPr>
            <w:tcW w:w="4248" w:type="dxa"/>
          </w:tcPr>
          <w:p w14:paraId="0F14B5DD" w14:textId="77777777" w:rsidR="004B7862" w:rsidRPr="00207CE8" w:rsidRDefault="004B7862" w:rsidP="001E0823">
            <w:pPr>
              <w:pStyle w:val="BodyText"/>
            </w:pPr>
            <w:r w:rsidRPr="00207CE8">
              <w:t>Dentsu Mitchell Media Australia Pty Ltd</w:t>
            </w:r>
          </w:p>
        </w:tc>
        <w:tc>
          <w:tcPr>
            <w:tcW w:w="2551" w:type="dxa"/>
          </w:tcPr>
          <w:p w14:paraId="2891A964" w14:textId="77777777" w:rsidR="004B7862" w:rsidRDefault="004B7862" w:rsidP="001E0823">
            <w:pPr>
              <w:pStyle w:val="BodyText"/>
            </w:pPr>
            <w:r>
              <w:t>Advertising</w:t>
            </w:r>
          </w:p>
        </w:tc>
        <w:tc>
          <w:tcPr>
            <w:tcW w:w="3402" w:type="dxa"/>
          </w:tcPr>
          <w:p w14:paraId="771C2D74" w14:textId="77777777" w:rsidR="004B7862" w:rsidRDefault="004B7862" w:rsidP="001E0823">
            <w:pPr>
              <w:pStyle w:val="BodyText"/>
            </w:pPr>
            <w:r>
              <w:t>13,706.54</w:t>
            </w:r>
          </w:p>
        </w:tc>
      </w:tr>
      <w:tr w:rsidR="004B7862" w14:paraId="425ECC23" w14:textId="77777777" w:rsidTr="00F93D1A">
        <w:tc>
          <w:tcPr>
            <w:tcW w:w="4248" w:type="dxa"/>
          </w:tcPr>
          <w:p w14:paraId="5A6D0EB8" w14:textId="77777777" w:rsidR="004B7862" w:rsidRPr="00207CE8" w:rsidRDefault="004B7862" w:rsidP="001E0823">
            <w:pPr>
              <w:pStyle w:val="BodyText"/>
            </w:pPr>
            <w:r w:rsidRPr="00207CE8">
              <w:t>Dentsu Mitchell Media Australia Pty Ltd</w:t>
            </w:r>
          </w:p>
        </w:tc>
        <w:tc>
          <w:tcPr>
            <w:tcW w:w="2551" w:type="dxa"/>
          </w:tcPr>
          <w:p w14:paraId="24DA8635" w14:textId="77777777" w:rsidR="004B7862" w:rsidRDefault="004B7862" w:rsidP="001E0823">
            <w:pPr>
              <w:pStyle w:val="BodyText"/>
            </w:pPr>
            <w:r>
              <w:t>Advertising</w:t>
            </w:r>
          </w:p>
        </w:tc>
        <w:tc>
          <w:tcPr>
            <w:tcW w:w="3402" w:type="dxa"/>
          </w:tcPr>
          <w:p w14:paraId="6E5B5F2A" w14:textId="77777777" w:rsidR="004B7862" w:rsidRDefault="004B7862" w:rsidP="001E0823">
            <w:pPr>
              <w:pStyle w:val="BodyText"/>
            </w:pPr>
            <w:r>
              <w:t>23,302.53</w:t>
            </w:r>
          </w:p>
        </w:tc>
      </w:tr>
      <w:tr w:rsidR="004B7862" w14:paraId="411242AC" w14:textId="77777777" w:rsidTr="00F93D1A">
        <w:tc>
          <w:tcPr>
            <w:tcW w:w="4248" w:type="dxa"/>
          </w:tcPr>
          <w:p w14:paraId="49CA3A8C" w14:textId="77777777" w:rsidR="004B7862" w:rsidRPr="00207CE8" w:rsidRDefault="004B7862" w:rsidP="001E0823">
            <w:pPr>
              <w:pStyle w:val="BodyText"/>
            </w:pPr>
            <w:r w:rsidRPr="00207CE8">
              <w:t>Dentsu Mitchell Media Australia Pty Ltd</w:t>
            </w:r>
          </w:p>
        </w:tc>
        <w:tc>
          <w:tcPr>
            <w:tcW w:w="2551" w:type="dxa"/>
          </w:tcPr>
          <w:p w14:paraId="6E34F2E9" w14:textId="77777777" w:rsidR="004B7862" w:rsidRDefault="004B7862" w:rsidP="001E0823">
            <w:pPr>
              <w:pStyle w:val="BodyText"/>
            </w:pPr>
            <w:r>
              <w:t>Advertising</w:t>
            </w:r>
          </w:p>
        </w:tc>
        <w:tc>
          <w:tcPr>
            <w:tcW w:w="3402" w:type="dxa"/>
          </w:tcPr>
          <w:p w14:paraId="0057BDA0" w14:textId="77777777" w:rsidR="004B7862" w:rsidRDefault="004B7862" w:rsidP="001E0823">
            <w:pPr>
              <w:pStyle w:val="BodyText"/>
            </w:pPr>
            <w:r>
              <w:t>16,863.11</w:t>
            </w:r>
          </w:p>
        </w:tc>
      </w:tr>
      <w:tr w:rsidR="004B7862" w14:paraId="03177B28" w14:textId="77777777" w:rsidTr="00F93D1A">
        <w:tc>
          <w:tcPr>
            <w:tcW w:w="4248" w:type="dxa"/>
          </w:tcPr>
          <w:p w14:paraId="74948604" w14:textId="77777777" w:rsidR="004B7862" w:rsidRPr="00207CE8" w:rsidRDefault="004B7862" w:rsidP="001E0823">
            <w:pPr>
              <w:pStyle w:val="BodyText"/>
            </w:pPr>
            <w:r w:rsidRPr="00207CE8">
              <w:t>Dentsu Mitchell Media Australia Pty Ltd</w:t>
            </w:r>
          </w:p>
        </w:tc>
        <w:tc>
          <w:tcPr>
            <w:tcW w:w="2551" w:type="dxa"/>
          </w:tcPr>
          <w:p w14:paraId="00E64543" w14:textId="77777777" w:rsidR="004B7862" w:rsidRDefault="004B7862" w:rsidP="001E0823">
            <w:pPr>
              <w:pStyle w:val="BodyText"/>
            </w:pPr>
            <w:r>
              <w:t>Advertising</w:t>
            </w:r>
          </w:p>
        </w:tc>
        <w:tc>
          <w:tcPr>
            <w:tcW w:w="3402" w:type="dxa"/>
          </w:tcPr>
          <w:p w14:paraId="1CFBCDEB" w14:textId="77777777" w:rsidR="004B7862" w:rsidRDefault="004B7862" w:rsidP="001E0823">
            <w:pPr>
              <w:pStyle w:val="BodyText"/>
            </w:pPr>
            <w:r>
              <w:t>85,758.98</w:t>
            </w:r>
          </w:p>
        </w:tc>
      </w:tr>
    </w:tbl>
    <w:p w14:paraId="36DC50C9" w14:textId="77777777" w:rsidR="004B7862" w:rsidRPr="00207CE8" w:rsidRDefault="004B7862" w:rsidP="001E0823"/>
    <w:p w14:paraId="3D140766" w14:textId="77777777" w:rsidR="004B7862" w:rsidRDefault="004B7862" w:rsidP="001E0823">
      <w:pPr>
        <w:pStyle w:val="Heading3"/>
      </w:pPr>
      <w:r>
        <w:t>Grants programs</w:t>
      </w:r>
    </w:p>
    <w:p w14:paraId="446CBB15" w14:textId="77777777" w:rsidR="004B7862" w:rsidRDefault="004B7862" w:rsidP="001E0823">
      <w:pPr>
        <w:pStyle w:val="BodyText"/>
      </w:pPr>
      <w:r>
        <w:t xml:space="preserve">Three types of grants were administered by the Agency in the 2016-17 financial year: </w:t>
      </w:r>
    </w:p>
    <w:p w14:paraId="1A51E51B" w14:textId="77777777" w:rsidR="004B7862" w:rsidRDefault="004B7862" w:rsidP="001E0823">
      <w:pPr>
        <w:pStyle w:val="ListBullet"/>
      </w:pPr>
      <w:r>
        <w:t xml:space="preserve">Community Inclusion and Capacity Development grants, including Information, Linkages and Capacity Building Grants – read more about ILC in Chapter 1. </w:t>
      </w:r>
    </w:p>
    <w:p w14:paraId="52CEF36E" w14:textId="77777777" w:rsidR="004B7862" w:rsidRDefault="004B7862" w:rsidP="001E0823">
      <w:pPr>
        <w:pStyle w:val="ListBullet"/>
      </w:pPr>
      <w:r>
        <w:t xml:space="preserve">Grants to support Partners in the Community – Local Area Coordination and Early Childhood Early Intervention activities. </w:t>
      </w:r>
    </w:p>
    <w:p w14:paraId="685DACC2" w14:textId="77777777" w:rsidR="004B7862" w:rsidRDefault="004B7862" w:rsidP="001E0823">
      <w:pPr>
        <w:pStyle w:val="ListBullet"/>
      </w:pPr>
      <w:r>
        <w:t xml:space="preserve">Miscellaneous NDIA grants. </w:t>
      </w:r>
    </w:p>
    <w:p w14:paraId="6CB97A98" w14:textId="77777777" w:rsidR="004B7862" w:rsidRDefault="004B7862" w:rsidP="001E0823">
      <w:pPr>
        <w:pStyle w:val="Heading3"/>
      </w:pPr>
      <w:r>
        <w:t xml:space="preserve">Internal Audit and Risk Management </w:t>
      </w:r>
    </w:p>
    <w:p w14:paraId="22A11D8B" w14:textId="77777777" w:rsidR="004B7862" w:rsidRDefault="004B7862" w:rsidP="001E0823">
      <w:pPr>
        <w:pStyle w:val="Heading4"/>
      </w:pPr>
      <w:r>
        <w:t xml:space="preserve">Internal audit </w:t>
      </w:r>
    </w:p>
    <w:p w14:paraId="19F72EF2" w14:textId="77777777" w:rsidR="004B7862" w:rsidRDefault="004B7862" w:rsidP="001E0823">
      <w:pPr>
        <w:pStyle w:val="BodyText"/>
      </w:pPr>
      <w:r>
        <w:t xml:space="preserve">The Agency had an internal audit program in place throughout 2016-17. The risk-based program assists the Agency to identify and strengthen potential weaknesses across the control and governance processes in place to manage the Agency’s risks. </w:t>
      </w:r>
    </w:p>
    <w:p w14:paraId="3AD0BE66" w14:textId="77777777" w:rsidR="004B7862" w:rsidRDefault="004B7862" w:rsidP="001E0823">
      <w:pPr>
        <w:pStyle w:val="BodyText"/>
      </w:pPr>
      <w:r>
        <w:t xml:space="preserve">The objectives of the Agency’s internal audit program are to provide assurance to the CEO and Board that the Agency’s financial and operational controls are functioning efficiently, effectively, economically and ethically whilst assisting management to improve the Agency’s business performance. </w:t>
      </w:r>
    </w:p>
    <w:p w14:paraId="752529A4" w14:textId="77777777" w:rsidR="004B7862" w:rsidRDefault="004B7862" w:rsidP="001E0823">
      <w:pPr>
        <w:pStyle w:val="BodyText"/>
      </w:pPr>
      <w:r>
        <w:t>The Board’s Audit Committee has overall responsibility for the internal audit program, including determining the audits to be conducted, receiving reports, and monitoring management action taken to address audit findings. The 2016–17 internal audit program focussed on transition to full Scheme, and included learning and development, Agency’s costing, program reporting, property management, data integrity and the Partners in the Community sourcing processes.</w:t>
      </w:r>
    </w:p>
    <w:p w14:paraId="2DBB6992" w14:textId="77777777" w:rsidR="004B7862" w:rsidRDefault="004B7862" w:rsidP="001E0823">
      <w:pPr>
        <w:pStyle w:val="Heading4"/>
      </w:pPr>
      <w:r>
        <w:t xml:space="preserve">Risk management </w:t>
      </w:r>
    </w:p>
    <w:p w14:paraId="09CDDC96" w14:textId="77777777" w:rsidR="004B7862" w:rsidRDefault="004B7862" w:rsidP="001E0823">
      <w:pPr>
        <w:pStyle w:val="BodyText"/>
      </w:pPr>
      <w:r>
        <w:t xml:space="preserve">The approach adopted by the Board is set out in the Agency’s risk management strategy that has been developed to comply with the NDIS Risk Management Rules 2013 (RMR). Consistent with the RMR, and reflecting the insurance basis of the Scheme, the Board uses the Australian Prudential Regulation Authority’s Prudential Risk Standard (CPS220) as the standard by which risk management activities are assessed in the Agency. </w:t>
      </w:r>
    </w:p>
    <w:p w14:paraId="3994121A" w14:textId="77777777" w:rsidR="004B7862" w:rsidRDefault="004B7862" w:rsidP="001E0823">
      <w:pPr>
        <w:pStyle w:val="BodyText"/>
      </w:pPr>
      <w:r>
        <w:t xml:space="preserve">The risk management strategy: </w:t>
      </w:r>
    </w:p>
    <w:p w14:paraId="00873E59" w14:textId="77777777" w:rsidR="004B7862" w:rsidRDefault="004B7862" w:rsidP="001E0823">
      <w:pPr>
        <w:pStyle w:val="ListBullet"/>
      </w:pPr>
      <w:r>
        <w:t>outlines the risk governance relationship between the Board, committees of the Board and Agency senior management;</w:t>
      </w:r>
    </w:p>
    <w:p w14:paraId="5F6F9A12" w14:textId="77777777" w:rsidR="004B7862" w:rsidRDefault="004B7862" w:rsidP="001E0823">
      <w:pPr>
        <w:pStyle w:val="ListBullet"/>
      </w:pPr>
      <w:r>
        <w:t>sets out specific risk management roles and responsibilities; and</w:t>
      </w:r>
    </w:p>
    <w:p w14:paraId="57769827" w14:textId="77777777" w:rsidR="004B7862" w:rsidRDefault="004B7862" w:rsidP="001E0823">
      <w:pPr>
        <w:pStyle w:val="ListBullet"/>
      </w:pPr>
      <w:r>
        <w:lastRenderedPageBreak/>
        <w:t xml:space="preserve">describes the processes for identifying and assessing risks, for how the Agency raises staff risk awareness and develops an appropriate risk culture, and for the annual review process by which the Agency assesses the effectiveness of its risk management framework. </w:t>
      </w:r>
    </w:p>
    <w:p w14:paraId="7BB7FFE2" w14:textId="77777777" w:rsidR="004B7862" w:rsidRDefault="004B7862" w:rsidP="001E0823">
      <w:pPr>
        <w:pStyle w:val="BodyText"/>
      </w:pPr>
      <w:r>
        <w:t xml:space="preserve">The Board and the Agency focus on early risk identification, mitigation and monitoring, in particular for strategic risks that could materially impact on the success of the Scheme. </w:t>
      </w:r>
    </w:p>
    <w:p w14:paraId="5CE07AA2" w14:textId="77777777" w:rsidR="004B7862" w:rsidRDefault="004B7862" w:rsidP="001E0823">
      <w:pPr>
        <w:pStyle w:val="BodyText"/>
      </w:pPr>
      <w:r>
        <w:t xml:space="preserve">The Agency has in place a Chief Risk Officer and associated Enterprise Risk team, who report directly to the CEO. The Agency’s approach to risk can be explained as follows: </w:t>
      </w:r>
    </w:p>
    <w:p w14:paraId="2ACD8AAB" w14:textId="77777777" w:rsidR="004B7862" w:rsidRDefault="004B7862" w:rsidP="001E0823">
      <w:pPr>
        <w:pStyle w:val="ListBullet"/>
      </w:pPr>
      <w:r>
        <w:t>The Board sets the strategic intent through the Corporate Plan and determines the Agency’s strategic risks, approves the risk management strategy and risk appetite statements. The Board oversees the building of an appropriate risk culture and provides a risk management declaration.</w:t>
      </w:r>
    </w:p>
    <w:p w14:paraId="2A4D9897" w14:textId="77777777" w:rsidR="004B7862" w:rsidRDefault="004B7862" w:rsidP="001E0823">
      <w:pPr>
        <w:pStyle w:val="ListBullet"/>
      </w:pPr>
      <w:r>
        <w:t>The Board’s Risk Committee oversees the risk management strategy, its implementation and the regular review of its efficiency and effectiveness. It formulates draft risk appetite statements and tolerances for Board approval, and notifies the Board of any significant breach of, or material deviation from, the risk management strategy or framework.</w:t>
      </w:r>
    </w:p>
    <w:p w14:paraId="7DE3A3DB" w14:textId="77777777" w:rsidR="004B7862" w:rsidRDefault="004B7862" w:rsidP="001E0823">
      <w:pPr>
        <w:pStyle w:val="ListBullet"/>
      </w:pPr>
      <w:r>
        <w:t xml:space="preserve">The Board’s Audit Committee provides assurance of the Agency’s internal control environment. </w:t>
      </w:r>
    </w:p>
    <w:p w14:paraId="211201F2" w14:textId="77777777" w:rsidR="004B7862" w:rsidRDefault="004B7862" w:rsidP="001E0823">
      <w:pPr>
        <w:pStyle w:val="ListBullet"/>
      </w:pPr>
      <w:r>
        <w:t xml:space="preserve">The Board’s Sustainability Committee assesses, monitors, reports and manages Scheme financial sustainability including oversight of risks to Scheme. </w:t>
      </w:r>
    </w:p>
    <w:p w14:paraId="4AE15E48" w14:textId="77777777" w:rsidR="004B7862" w:rsidRDefault="004B7862" w:rsidP="001E0823">
      <w:pPr>
        <w:pStyle w:val="ListBullet"/>
      </w:pPr>
      <w:r>
        <w:t xml:space="preserve">The NDIS Act establishes the role of the Scheme Actuary who is responsible for assessing the financial sustainability of the Scheme and identifying recommendations to manage or address these risks. The Scheme Actuary prepares an annual sustainability report which includes a discussion of the Agency’s risk management arrangements and any recommendations in relation to inadequacies. This can be viewed in Section 4. </w:t>
      </w:r>
    </w:p>
    <w:p w14:paraId="42EAC0EE" w14:textId="77777777" w:rsidR="004B7862" w:rsidRDefault="004B7862" w:rsidP="001E0823">
      <w:pPr>
        <w:pStyle w:val="ListBullet"/>
      </w:pPr>
      <w:r>
        <w:t xml:space="preserve">In addition, the Chief Risk Officer assists the Board and its executive by providing objective risk review, oversight, monitoring and reporting. This oversight role has independent reporting access to the Board through the Risk Committee. </w:t>
      </w:r>
    </w:p>
    <w:p w14:paraId="42F83CF5" w14:textId="77777777" w:rsidR="004B7862" w:rsidRDefault="004B7862" w:rsidP="001E0823">
      <w:pPr>
        <w:pStyle w:val="Heading4"/>
      </w:pPr>
      <w:r>
        <w:t xml:space="preserve">Operational implementation </w:t>
      </w:r>
    </w:p>
    <w:p w14:paraId="48475C51" w14:textId="77777777" w:rsidR="004B7862" w:rsidRDefault="004B7862" w:rsidP="001E0823">
      <w:pPr>
        <w:pStyle w:val="BodyText"/>
      </w:pPr>
      <w:r>
        <w:t>Operational and project risks are monitored and managed by the Agency’s senior executives regularly. Senior executives are supported in this task by an Agency-wide framework which facilitates the identification and reporting of risks for consideration and action. Oversight is provided by the senior executive Enterprise Risk Committee.</w:t>
      </w:r>
    </w:p>
    <w:p w14:paraId="74AD7D0B" w14:textId="77777777" w:rsidR="004B7862" w:rsidRDefault="004B7862" w:rsidP="001E0823">
      <w:pPr>
        <w:pStyle w:val="Heading3"/>
      </w:pPr>
      <w:r>
        <w:t xml:space="preserve">Indemnities and insurance </w:t>
      </w:r>
    </w:p>
    <w:p w14:paraId="3EA3053C" w14:textId="77777777" w:rsidR="004B7862" w:rsidRDefault="004B7862" w:rsidP="001E0823">
      <w:pPr>
        <w:pStyle w:val="BodyText"/>
      </w:pPr>
      <w:r>
        <w:t xml:space="preserve">The NDIA purchased directors’ and officers’ liability insurance from Comcover for 2016-17 and the premium paid for this cover was $567,903. No legal claims were made against any senior manager of the NDIA during 2016-17. </w:t>
      </w:r>
    </w:p>
    <w:p w14:paraId="0F0C9A8D" w14:textId="77777777" w:rsidR="004B7862" w:rsidRDefault="004B7862" w:rsidP="001E0823">
      <w:pPr>
        <w:pStyle w:val="Heading1"/>
      </w:pPr>
      <w:bookmarkStart w:id="64" w:name="_Toc496611893"/>
      <w:r>
        <w:lastRenderedPageBreak/>
        <w:t>Section Four</w:t>
      </w:r>
      <w:r>
        <w:br/>
        <w:t>Sustainability and Financial Performance</w:t>
      </w:r>
      <w:bookmarkEnd w:id="64"/>
      <w:r>
        <w:t xml:space="preserve"> </w:t>
      </w:r>
    </w:p>
    <w:p w14:paraId="7191DF32" w14:textId="77777777" w:rsidR="004B7862" w:rsidRDefault="004B7862" w:rsidP="001E0823">
      <w:pPr>
        <w:rPr>
          <w:rFonts w:eastAsiaTheme="majorEastAsia" w:cstheme="majorBidi"/>
          <w:color w:val="6B2976" w:themeColor="background2"/>
          <w:sz w:val="56"/>
          <w:szCs w:val="32"/>
        </w:rPr>
      </w:pPr>
      <w:r>
        <w:br w:type="page"/>
      </w:r>
    </w:p>
    <w:p w14:paraId="042C886A" w14:textId="77777777" w:rsidR="004B7862" w:rsidRDefault="004B7862" w:rsidP="001E0823">
      <w:pPr>
        <w:pStyle w:val="Intro"/>
      </w:pPr>
      <w:r w:rsidRPr="00D14B4D">
        <w:lastRenderedPageBreak/>
        <w:t>This annual financial sustainability report is required under section 180B of the NDIS Act. This report provides an assessment of the financial sustainability of the NDIS after the first year of transition to full Scheme, following the three year trial period.</w:t>
      </w:r>
    </w:p>
    <w:p w14:paraId="3B79F8BD" w14:textId="77777777" w:rsidR="004B7862" w:rsidRDefault="004B7862" w:rsidP="001E0823">
      <w:pPr>
        <w:pStyle w:val="Heading2"/>
      </w:pPr>
      <w:bookmarkStart w:id="65" w:name="_Toc496611894"/>
      <w:r>
        <w:lastRenderedPageBreak/>
        <w:t>Summary of National Disability Insurance Scheme Financial Sustainability Report 2016-17</w:t>
      </w:r>
      <w:bookmarkEnd w:id="65"/>
      <w:r>
        <w:t xml:space="preserve"> </w:t>
      </w:r>
    </w:p>
    <w:p w14:paraId="51484745" w14:textId="77777777" w:rsidR="004B7862" w:rsidRDefault="004B7862" w:rsidP="001E0823">
      <w:pPr>
        <w:pStyle w:val="BodyText"/>
      </w:pPr>
      <w:r>
        <w:t>Sarah Johnson BCom FIAA, Scheme Actuary, September 2017</w:t>
      </w:r>
    </w:p>
    <w:p w14:paraId="5CE30F63" w14:textId="77777777" w:rsidR="004B7862" w:rsidRDefault="004B7862" w:rsidP="001E0823">
      <w:pPr>
        <w:pStyle w:val="Heading3"/>
      </w:pPr>
      <w:r>
        <w:t>The Scheme at 30 June 2017</w:t>
      </w:r>
    </w:p>
    <w:p w14:paraId="0DD22355" w14:textId="77777777" w:rsidR="004B7862" w:rsidRDefault="004B7862" w:rsidP="001E0823">
      <w:pPr>
        <w:pStyle w:val="BodyText"/>
      </w:pPr>
      <w:r>
        <w:t>The NDIS has nearly tripled in size in the year to 30 June 2017, with the number of participants who had an approved plan increasing from 30,281 to 90,638. Of these, 89,610 remained active participants as at 30 June 2017. There were a further 6,134 Early Childhood Early Intervention (ECEI) gateway referrals identified.</w:t>
      </w:r>
    </w:p>
    <w:p w14:paraId="51A2299A" w14:textId="77777777" w:rsidR="004B7862" w:rsidRDefault="004B7862" w:rsidP="001E0823">
      <w:pPr>
        <w:pStyle w:val="BodyText"/>
      </w:pPr>
      <w:r>
        <w:t>The Scheme participant population is equivalent to about a fifth of the expected full Scheme population at 30 June 2020 and about 83 per cent of the bilateral estimate at 30 June 2017, including participants in the ECEI gateway.</w:t>
      </w:r>
    </w:p>
    <w:p w14:paraId="5522DBDA" w14:textId="77777777" w:rsidR="004B7862" w:rsidRDefault="004B7862" w:rsidP="001E0823">
      <w:pPr>
        <w:pStyle w:val="BodyText"/>
      </w:pPr>
      <w:r>
        <w:t>As at 30 June 2017, $7.3 billion of support has been committed to participants since the inception of the Scheme, of which $1.5 billion relates to supports committed during the trial period, $3.2 billion relates to supports committed during 2016-17 and $2.6 billion relates to supports committed in 2017-18 and beyond.</w:t>
      </w:r>
    </w:p>
    <w:p w14:paraId="35590B0B" w14:textId="77777777" w:rsidR="004B7862" w:rsidRDefault="004B7862" w:rsidP="001E0823">
      <w:pPr>
        <w:pStyle w:val="BodyText"/>
      </w:pPr>
      <w:r>
        <w:t>Not all committed support in plans is being used by participants. The utilisation of committed supports has been around 64 per cent for supports committed in 2013-14 and around 75 per cent for supports committed from 2014-15 to 2016-17, with utilisation rates varying across states/territories, and generally being lower for a participant’s first plan.</w:t>
      </w:r>
    </w:p>
    <w:p w14:paraId="34097E76" w14:textId="77777777" w:rsidR="004B7862" w:rsidRDefault="004B7862" w:rsidP="001E0823">
      <w:pPr>
        <w:pStyle w:val="BodyText"/>
      </w:pPr>
      <w:r>
        <w:t>Comparison between the revenue received during 2016-17 from both the Commonwealth and state/territory governments (the “funding envelope”) and the amount of support used by participants, results in a projected accounting surplus of about 11 per cent of the funding envelope. The relatively low levels of utilisation to date has meant that the Scheme has operated within the funding envelope. However, if as expected, the utilisation of committed supports within the Scheme increases over time, without the management action described below, pressure could be put on the Scheme.</w:t>
      </w:r>
    </w:p>
    <w:p w14:paraId="6B454A0F" w14:textId="77777777" w:rsidR="004B7862" w:rsidRDefault="004B7862" w:rsidP="001E0823">
      <w:pPr>
        <w:pStyle w:val="BodyText"/>
      </w:pPr>
      <w:r>
        <w:t>Baseline data from the short-form outcomes framework questionnaires was collected during 2016-17, revealing that participants generally want more choice and control in their life. They also have low levels of employment and community participation. Families and carers would like to work more and see their family and friends more often. This information will enable the assessment of changes in a participant’s outcomes over time.</w:t>
      </w:r>
    </w:p>
    <w:p w14:paraId="5C370F71" w14:textId="77777777" w:rsidR="004B7862" w:rsidRDefault="004B7862" w:rsidP="001E0823">
      <w:pPr>
        <w:pStyle w:val="BodyText"/>
      </w:pPr>
      <w:r>
        <w:t>Approximately 85 per cent of participants reported that they were satisfied with the planning process during 2016-17, reflecting a rating of the process as either good or very good. This result is relatively high, but is a reduction from the 95 per cent reported during trial, indicating that improvements could be made to the current planning process.</w:t>
      </w:r>
    </w:p>
    <w:p w14:paraId="475854C4" w14:textId="77777777" w:rsidR="004B7862" w:rsidRDefault="004B7862" w:rsidP="001E0823">
      <w:pPr>
        <w:pStyle w:val="Heading3"/>
      </w:pPr>
      <w:r>
        <w:t>Current pressures</w:t>
      </w:r>
    </w:p>
    <w:p w14:paraId="22B8C091" w14:textId="77777777" w:rsidR="004B7862" w:rsidRDefault="004B7862" w:rsidP="001E0823">
      <w:pPr>
        <w:pStyle w:val="BodyText"/>
      </w:pPr>
      <w:r>
        <w:t>Whilst the Scheme cost was within the funding envelope for the first four years, there are some current pressures which require management responses. These pressures are very similar to those reported in last year’s financial sustainability report, and include:</w:t>
      </w:r>
    </w:p>
    <w:p w14:paraId="24C03A97" w14:textId="77777777" w:rsidR="004B7862" w:rsidRDefault="004B7862" w:rsidP="001E0823">
      <w:pPr>
        <w:pStyle w:val="ListBullet"/>
      </w:pPr>
      <w:r>
        <w:t>higher than expected numbers of children entering the Scheme, especially for children with developmental delay and autism;</w:t>
      </w:r>
    </w:p>
    <w:p w14:paraId="7D948A5E" w14:textId="77777777" w:rsidR="004B7862" w:rsidRDefault="004B7862" w:rsidP="001E0823">
      <w:pPr>
        <w:pStyle w:val="ListBullet"/>
      </w:pPr>
      <w:r>
        <w:lastRenderedPageBreak/>
        <w:t>increasing package amounts over and above the impacts of inflation and ageing (“super imposed” inflation);</w:t>
      </w:r>
    </w:p>
    <w:p w14:paraId="468D3E58" w14:textId="77777777" w:rsidR="004B7862" w:rsidRDefault="004B7862" w:rsidP="001E0823">
      <w:pPr>
        <w:pStyle w:val="ListBullet"/>
      </w:pPr>
      <w:r>
        <w:t>potential participants continuing to approach the Scheme, even for the most mature trial sites;</w:t>
      </w:r>
    </w:p>
    <w:p w14:paraId="339D9C19" w14:textId="77777777" w:rsidR="004B7862" w:rsidRDefault="004B7862" w:rsidP="001E0823">
      <w:pPr>
        <w:pStyle w:val="ListBullet"/>
      </w:pPr>
      <w:r>
        <w:t>lower than expected numbers of participants exiting the Scheme, specifically for those who have entered the Scheme via the early intervention pathway;</w:t>
      </w:r>
    </w:p>
    <w:p w14:paraId="407A34A9" w14:textId="77777777" w:rsidR="004B7862" w:rsidRDefault="004B7862" w:rsidP="001E0823">
      <w:pPr>
        <w:pStyle w:val="ListBullet"/>
      </w:pPr>
      <w:r>
        <w:t>a mismatch between benchmark package costs and actual package costs, especially for higher functioning participants; and</w:t>
      </w:r>
    </w:p>
    <w:p w14:paraId="2B431F79" w14:textId="77777777" w:rsidR="004B7862" w:rsidRDefault="004B7862" w:rsidP="001E0823">
      <w:pPr>
        <w:pStyle w:val="ListBullet"/>
      </w:pPr>
      <w:r>
        <w:t>higher than expected costs of shared supported accommodation.</w:t>
      </w:r>
    </w:p>
    <w:p w14:paraId="491B23E6" w14:textId="77777777" w:rsidR="004B7862" w:rsidRDefault="004B7862" w:rsidP="001E0823">
      <w:pPr>
        <w:pStyle w:val="Heading3"/>
      </w:pPr>
      <w:r>
        <w:t>NDIS insurance approach</w:t>
      </w:r>
    </w:p>
    <w:p w14:paraId="313CF836" w14:textId="77777777" w:rsidR="004B7862" w:rsidRDefault="004B7862" w:rsidP="001E0823">
      <w:pPr>
        <w:pStyle w:val="BodyText"/>
      </w:pPr>
      <w:r>
        <w:t>The NDIS insurance approach allows pressures on the Scheme to be identified early and management responses put in place to respond to these pressures. Specifically, data is collected on participants (including the characteristics of the participants, costs and outcomes), and this actual experience is compared with the baseline projection. This actuarial monitoring occurs continuously and allows management to implement strategies as required.</w:t>
      </w:r>
    </w:p>
    <w:p w14:paraId="0B0AF84D" w14:textId="77777777" w:rsidR="004B7862" w:rsidRDefault="004B7862" w:rsidP="001E0823">
      <w:pPr>
        <w:pStyle w:val="BodyText"/>
      </w:pPr>
      <w:r>
        <w:t>It is not unreasonable that some emerging pressures are evident after four years of the NDIS. This is common in any statutory insurance or social welfare reform, and also reflects the fast paced implementation of the NDIS over the past year. The current pressures reflect the original commitments, as the pace of implementation and learning from this implementation, will assist with management responses.</w:t>
      </w:r>
    </w:p>
    <w:p w14:paraId="3EE45CCB" w14:textId="77777777" w:rsidR="004B7862" w:rsidRDefault="004B7862" w:rsidP="001E0823">
      <w:pPr>
        <w:pStyle w:val="Heading3"/>
      </w:pPr>
      <w:r>
        <w:t>Management responses</w:t>
      </w:r>
    </w:p>
    <w:p w14:paraId="59C8A1C6" w14:textId="77777777" w:rsidR="004B7862" w:rsidRDefault="004B7862" w:rsidP="001E0823">
      <w:pPr>
        <w:pStyle w:val="BodyText"/>
      </w:pPr>
      <w:r>
        <w:t>Importantly data and evidence is available to understand what is driving these pressures and operational responses are underway to address the cost pressures. All else being equal, if these responses are as effective as expected, the pressures identified should be mitigated, and it is reasonable to expect financial sustainability throughout transition and full Scheme.</w:t>
      </w:r>
    </w:p>
    <w:p w14:paraId="00F31475" w14:textId="77777777" w:rsidR="004B7862" w:rsidRDefault="004B7862" w:rsidP="001E0823">
      <w:pPr>
        <w:pStyle w:val="BodyText"/>
      </w:pPr>
      <w:r>
        <w:t>A number of specific initiatives have been developed:</w:t>
      </w:r>
    </w:p>
    <w:p w14:paraId="086472B9" w14:textId="77777777" w:rsidR="004B7862" w:rsidRDefault="004B7862" w:rsidP="001E0823">
      <w:pPr>
        <w:pStyle w:val="ListBullet"/>
      </w:pPr>
      <w:r>
        <w:t xml:space="preserve">The </w:t>
      </w:r>
      <w:r w:rsidRPr="00D14B4D">
        <w:rPr>
          <w:rStyle w:val="BodyTextBold"/>
        </w:rPr>
        <w:t>ECEI approach</w:t>
      </w:r>
      <w:r>
        <w:t xml:space="preserve"> is being progressively rolled out. The ECEI approach provides a gateway to the NDIS for children aged 0-6 years, which aims to ensure only children meeting the eligibly criteria for the NDIS enter as participants. The gateway also provides support for children to access mainstream and community services when they do not meet the criteria, but need some support to access these services.</w:t>
      </w:r>
    </w:p>
    <w:p w14:paraId="1091C8C0" w14:textId="77777777" w:rsidR="004B7862" w:rsidRDefault="004B7862" w:rsidP="001E0823">
      <w:pPr>
        <w:pStyle w:val="ListBullet"/>
      </w:pPr>
      <w:r>
        <w:t xml:space="preserve">The </w:t>
      </w:r>
      <w:r w:rsidRPr="00D14B4D">
        <w:rPr>
          <w:rStyle w:val="BodyTextBold"/>
        </w:rPr>
        <w:t>reference package and guided planning process</w:t>
      </w:r>
      <w:r>
        <w:t xml:space="preserve"> is a method to better align the level of function and need with support packages for participants when they first enter the Scheme and for a participant’s plan review. This process is well underway, but ongoing refinement of this process to ensure the right assessment tools and questions are used also is critical. Importantly, this process assists in determining the reasonable and necessary support package, enabling participants to plan their supports to be able to meet their goals. </w:t>
      </w:r>
    </w:p>
    <w:p w14:paraId="43CF2CCD" w14:textId="77777777" w:rsidR="004B7862" w:rsidRDefault="004B7862" w:rsidP="001E0823">
      <w:pPr>
        <w:pStyle w:val="ListBullet"/>
      </w:pPr>
      <w:r>
        <w:t xml:space="preserve">A detailed </w:t>
      </w:r>
      <w:r w:rsidRPr="00D14B4D">
        <w:rPr>
          <w:rStyle w:val="BodyTextBold"/>
        </w:rPr>
        <w:t>plan review strategy</w:t>
      </w:r>
      <w:r>
        <w:t xml:space="preserve"> has been developed with the aim of better aligning a participant’s plan to the Scheme’s growing evidence base of typical support packages to ensure plan reviews are fair, equitable and sustainable while also reflecting individual needs and circumstances. The review strategy also provides better alignment of plan duration to the nature of supports within a plan, for example allowing longer plan durations if participants live in a stable, supported environment and have predictable support needs.</w:t>
      </w:r>
    </w:p>
    <w:p w14:paraId="7DF69BC2" w14:textId="77777777" w:rsidR="004B7862" w:rsidRDefault="004B7862" w:rsidP="001E0823">
      <w:pPr>
        <w:pStyle w:val="ListBullet"/>
      </w:pPr>
      <w:r>
        <w:t xml:space="preserve">A </w:t>
      </w:r>
      <w:r w:rsidRPr="00D14B4D">
        <w:rPr>
          <w:rStyle w:val="BodyTextBold"/>
        </w:rPr>
        <w:t>sustainability and quality team</w:t>
      </w:r>
      <w:r>
        <w:t xml:space="preserve"> has been established to build awareness of sustainability and quality within the Agency and to develop strategies to ensure a balance in meeting bilateral estimates and building the Scheme in a sustainable manner. This manifests itself through targeted file reviews and audits, staff training programs and monitoring.</w:t>
      </w:r>
    </w:p>
    <w:p w14:paraId="78C25D8E" w14:textId="77777777" w:rsidR="004B7862" w:rsidRDefault="004B7862" w:rsidP="001E0823">
      <w:pPr>
        <w:pStyle w:val="ListBullet"/>
      </w:pPr>
      <w:r>
        <w:lastRenderedPageBreak/>
        <w:t xml:space="preserve">A </w:t>
      </w:r>
      <w:r w:rsidRPr="00D14B4D">
        <w:rPr>
          <w:rStyle w:val="BodyTextBold"/>
        </w:rPr>
        <w:t>Participant and Provider Pathway Review</w:t>
      </w:r>
      <w:r>
        <w:t xml:space="preserve"> is underway following stakeholder feedback that the experience of participants and providers was not meeting the high standards to which the Agency aspires. The Review has involved workshops and discussions with people with disability, carers and providers to help understand the key issues. The key principles for designing the revised pathway and to address the identified issues include:</w:t>
      </w:r>
    </w:p>
    <w:p w14:paraId="538C08FF" w14:textId="77777777" w:rsidR="004B7862" w:rsidRDefault="004B7862" w:rsidP="001E0823">
      <w:pPr>
        <w:pStyle w:val="ListBullet2"/>
      </w:pPr>
      <w:r>
        <w:t>a stronger focus on the disability ecosystem, including mainstream services, disability organisations and community supports;</w:t>
      </w:r>
    </w:p>
    <w:p w14:paraId="3E41F494" w14:textId="77777777" w:rsidR="004B7862" w:rsidRDefault="004B7862" w:rsidP="001E0823">
      <w:pPr>
        <w:pStyle w:val="ListBullet2"/>
      </w:pPr>
      <w:r>
        <w:t>NDIS communication which emphasises the objectives and role of the Scheme to support people with permanent and significant disability with a clear focus on outcomes and goals during discussion of planning or funded supports; information provided that is clear and consistent, and is available in accessible formats, such as braille and Easy English;</w:t>
      </w:r>
    </w:p>
    <w:p w14:paraId="0350B8B9" w14:textId="77777777" w:rsidR="004B7862" w:rsidRDefault="004B7862" w:rsidP="001E0823">
      <w:pPr>
        <w:pStyle w:val="ListBullet2"/>
      </w:pPr>
      <w:r>
        <w:t>participants have a consistent point of contact, with an emphasis on helping participants to use all supports (not just funded) to achieve outcomes and where face-to-face engagement is the default, depending on individual preference;</w:t>
      </w:r>
    </w:p>
    <w:p w14:paraId="4ACB3459" w14:textId="77777777" w:rsidR="004B7862" w:rsidRDefault="004B7862" w:rsidP="001E0823">
      <w:pPr>
        <w:pStyle w:val="ListBullet2"/>
      </w:pPr>
      <w:r>
        <w:t xml:space="preserve">planning is done by a capable planner who understands the participant’s specific disability and who is supported by data and business intelligence; and </w:t>
      </w:r>
    </w:p>
    <w:p w14:paraId="70A41B70" w14:textId="77777777" w:rsidR="004B7862" w:rsidRDefault="004B7862" w:rsidP="001E0823">
      <w:pPr>
        <w:pStyle w:val="ListBullet2"/>
      </w:pPr>
      <w:r>
        <w:t>design of easy-to-use portal and tools, with simplified processes for common tasks, for example making changes to plans which do not change value.</w:t>
      </w:r>
    </w:p>
    <w:p w14:paraId="62BD981D" w14:textId="77777777" w:rsidR="004B7862" w:rsidRDefault="004B7862" w:rsidP="001E0823">
      <w:pPr>
        <w:pStyle w:val="ListBullet"/>
      </w:pPr>
      <w:r>
        <w:t>A business intelligence strategy has been developed to progressively deliver a foundational business intelligence capability within the Scheme based on strong insurance principles using comprehensive and reliable data. There are a number of projects underway which will increase the Agency’s business intelligence capability, including the refinement of governance processes for data management, improved gateway interfaces with business partners and channels, participant analytics for assistance in participant pathway redesign and analytics to help participants, families and carers to maximise opportunities at plan review.</w:t>
      </w:r>
    </w:p>
    <w:p w14:paraId="1E817744" w14:textId="77777777" w:rsidR="004B7862" w:rsidRDefault="004B7862" w:rsidP="001E0823">
      <w:pPr>
        <w:pStyle w:val="BodyText"/>
      </w:pPr>
      <w:r>
        <w:t>In summary, it is important that the Agency maintains a continued focus on the collection of quality data to monitor the effectiveness of management responses. It is also important that appropriate risk-based assurance reviews are performed to help the Agency better understand the current pressures. Ongoing training is also required to put Scheme sustainability at the core of the Agency’s business processes. Lastly, the Participant and Provider Pathway Review is designing processes to ensure quality plans, an outcomes-based focus and financial sustainability. It is critical that the capacity and capability of the Agency be supported to implement the redesigned pathways.</w:t>
      </w:r>
    </w:p>
    <w:p w14:paraId="1975FBC7" w14:textId="2441B989" w:rsidR="007E5B73" w:rsidRDefault="007E5B73" w:rsidP="007E5B73">
      <w:pPr>
        <w:pStyle w:val="Heading1"/>
      </w:pPr>
      <w:bookmarkStart w:id="66" w:name="_Toc496611895"/>
      <w:r>
        <w:lastRenderedPageBreak/>
        <w:t>Financial statements for the period ending 30 June 2017</w:t>
      </w:r>
      <w:bookmarkEnd w:id="66"/>
    </w:p>
    <w:p w14:paraId="7944CC1C" w14:textId="5F5752CB" w:rsidR="00C32CBD" w:rsidRDefault="00C32CBD">
      <w:pPr>
        <w:spacing w:before="0" w:after="0" w:line="240" w:lineRule="auto"/>
      </w:pPr>
      <w:r>
        <w:br w:type="page"/>
      </w:r>
    </w:p>
    <w:p w14:paraId="5046ECA8" w14:textId="0EF89F4D" w:rsidR="00C32CBD" w:rsidRPr="005E5430" w:rsidRDefault="00C32CBD" w:rsidP="00C32CBD">
      <w:pPr>
        <w:spacing w:line="240" w:lineRule="auto"/>
        <w:sectPr w:rsidR="00C32CBD" w:rsidRPr="005E5430" w:rsidSect="00C32CBD">
          <w:footerReference w:type="even" r:id="rId8"/>
          <w:footerReference w:type="default" r:id="rId9"/>
          <w:pgSz w:w="11906" w:h="16838" w:code="9"/>
          <w:pgMar w:top="1134" w:right="1134" w:bottom="1134" w:left="1134" w:header="958" w:footer="737" w:gutter="0"/>
          <w:cols w:space="708"/>
          <w:docGrid w:linePitch="360"/>
        </w:sectPr>
      </w:pPr>
    </w:p>
    <w:p w14:paraId="4BF1B6F5" w14:textId="77777777" w:rsidR="00C32CBD" w:rsidRPr="00E42114" w:rsidRDefault="00C32CBD" w:rsidP="00C32CBD">
      <w:pPr>
        <w:spacing w:line="240" w:lineRule="auto"/>
      </w:pPr>
    </w:p>
    <w:p w14:paraId="1304B6B7" w14:textId="77777777" w:rsidR="00C32CBD" w:rsidRDefault="00C32CBD" w:rsidP="00C32CBD">
      <w:pPr>
        <w:spacing w:line="240" w:lineRule="auto"/>
      </w:pPr>
    </w:p>
    <w:p w14:paraId="36E23890" w14:textId="77777777" w:rsidR="00C32CBD" w:rsidRPr="00BA6414" w:rsidRDefault="00C32CBD" w:rsidP="00C32CBD">
      <w:pPr>
        <w:pStyle w:val="PolicytextDept"/>
      </w:pPr>
    </w:p>
    <w:p w14:paraId="1FA0BAFD" w14:textId="67D0473F" w:rsidR="00C32CBD" w:rsidRPr="00BA6414" w:rsidRDefault="00C32CBD" w:rsidP="00C32CBD">
      <w:pPr>
        <w:pStyle w:val="PolicytextDept"/>
      </w:pPr>
      <w:r w:rsidRPr="00BA6414">
        <w:t xml:space="preserve">In our opinion, the attached financial statements for the </w:t>
      </w:r>
      <w:r>
        <w:t>period</w:t>
      </w:r>
      <w:r w:rsidRPr="00BA6414">
        <w:t xml:space="preserve"> ended </w:t>
      </w:r>
      <w:r>
        <w:t>30 June</w:t>
      </w:r>
      <w:r w:rsidR="005B7E5D">
        <w:t xml:space="preserve"> 2017</w:t>
      </w:r>
      <w:r w:rsidRPr="00BA6414">
        <w:t xml:space="preserve"> comply with subsection 42(2) of the </w:t>
      </w:r>
      <w:r w:rsidRPr="00785732">
        <w:rPr>
          <w:i/>
        </w:rPr>
        <w:t>Public Governance, Performance and Accountability Act 2013</w:t>
      </w:r>
      <w:r w:rsidRPr="00BA6414">
        <w:t xml:space="preserve"> (PGPA Act), and are based on properly maintained financial records as per subsection 41(2) of the PGPA Act.</w:t>
      </w:r>
    </w:p>
    <w:p w14:paraId="74324B1B" w14:textId="0415A90A" w:rsidR="00C32CBD" w:rsidRPr="00BA6414" w:rsidRDefault="00C32CBD" w:rsidP="00C32CBD">
      <w:pPr>
        <w:pStyle w:val="PolicytextDept"/>
      </w:pPr>
      <w:r w:rsidRPr="00BA6414">
        <w:t>In our opinion, at the date of this statement, there are reasonable grounds to believe that the</w:t>
      </w:r>
      <w:r w:rsidR="005B7E5D">
        <w:t xml:space="preserve"> National Disability Insurance Scheme Launch Transition Agency </w:t>
      </w:r>
      <w:r w:rsidRPr="00BA6414">
        <w:t>will be able to pay its debts as and when they fall due.</w:t>
      </w:r>
    </w:p>
    <w:p w14:paraId="48784AC9" w14:textId="77777777" w:rsidR="00C32CBD" w:rsidRPr="00BA6414" w:rsidRDefault="00C32CBD" w:rsidP="00C32CBD">
      <w:pPr>
        <w:pStyle w:val="PolicytextDept"/>
      </w:pPr>
      <w:r>
        <w:t>This statement is made in accordance with a resolution of the directors.</w:t>
      </w:r>
    </w:p>
    <w:p w14:paraId="49D9E426" w14:textId="77777777" w:rsidR="00C32CBD" w:rsidRPr="00BA6414" w:rsidRDefault="00C32CBD" w:rsidP="00C32CBD">
      <w:pPr>
        <w:pStyle w:val="PolicytextDept"/>
      </w:pPr>
    </w:p>
    <w:p w14:paraId="47126B8F" w14:textId="77777777" w:rsidR="00C32CBD" w:rsidRPr="00BA6414" w:rsidRDefault="00C32CBD" w:rsidP="00C32CBD">
      <w:pPr>
        <w:pStyle w:val="PolicytextDept"/>
      </w:pPr>
    </w:p>
    <w:p w14:paraId="28B51A0D" w14:textId="77777777" w:rsidR="00C32CBD" w:rsidRDefault="00C32CBD" w:rsidP="00C32CBD">
      <w:pPr>
        <w:pStyle w:val="PolicytextDept"/>
      </w:pPr>
      <w:r>
        <w:t>Signed………………………………                                        Signed………………………………</w:t>
      </w:r>
    </w:p>
    <w:p w14:paraId="46B53B0A" w14:textId="77777777" w:rsidR="00C32CBD" w:rsidRDefault="00C32CBD" w:rsidP="00C32CBD">
      <w:pPr>
        <w:pStyle w:val="PolicytextDept"/>
      </w:pPr>
      <w:r>
        <w:t>Helen Nugent AO                                                                  Robert De Luca</w:t>
      </w:r>
    </w:p>
    <w:p w14:paraId="31A6D210" w14:textId="77777777" w:rsidR="00C32CBD" w:rsidRDefault="00C32CBD" w:rsidP="00C32CBD">
      <w:pPr>
        <w:pStyle w:val="PolicytextDept"/>
      </w:pPr>
      <w:r>
        <w:t>Chairman                                                                              Chief Executive Officer</w:t>
      </w:r>
    </w:p>
    <w:p w14:paraId="67D58B13" w14:textId="77777777" w:rsidR="00C32CBD" w:rsidRDefault="00C32CBD" w:rsidP="00C32CBD">
      <w:pPr>
        <w:pStyle w:val="PolicytextDept"/>
      </w:pPr>
      <w:r>
        <w:t>9 October 2017                                                                     9 October 2017</w:t>
      </w:r>
    </w:p>
    <w:p w14:paraId="06453AE3" w14:textId="77777777" w:rsidR="00C32CBD" w:rsidRDefault="00C32CBD" w:rsidP="00C32CBD">
      <w:pPr>
        <w:pStyle w:val="PolicytextDept"/>
      </w:pPr>
    </w:p>
    <w:p w14:paraId="28F0C7EB" w14:textId="77777777" w:rsidR="00C32CBD" w:rsidRDefault="00C32CBD" w:rsidP="00C32CBD">
      <w:pPr>
        <w:pStyle w:val="PolicytextDept"/>
      </w:pPr>
      <w:r>
        <w:t>Signed………………………………                                       Signed………………………………</w:t>
      </w:r>
    </w:p>
    <w:p w14:paraId="383257B7" w14:textId="77777777" w:rsidR="00C32CBD" w:rsidRDefault="00C32CBD" w:rsidP="00C32CBD">
      <w:pPr>
        <w:pStyle w:val="PolicytextDept"/>
      </w:pPr>
      <w:r>
        <w:t>Steve Jennaway                                                                   Sandra Birkensleigh</w:t>
      </w:r>
    </w:p>
    <w:p w14:paraId="7E5BDD0C" w14:textId="77777777" w:rsidR="00C32CBD" w:rsidRDefault="00C32CBD" w:rsidP="00C32CBD">
      <w:pPr>
        <w:pStyle w:val="PolicytextDept"/>
      </w:pPr>
      <w:r>
        <w:t>Chief Financial Officer                                                          Chair, Audit Committee</w:t>
      </w:r>
    </w:p>
    <w:p w14:paraId="253BFFD6" w14:textId="77777777" w:rsidR="00C32CBD" w:rsidRDefault="00C32CBD" w:rsidP="00C32CBD">
      <w:pPr>
        <w:pStyle w:val="PolicytextDept"/>
      </w:pPr>
      <w:r>
        <w:t>9 October 2017                                                                    9 October 2017</w:t>
      </w:r>
    </w:p>
    <w:p w14:paraId="09D26C91" w14:textId="77777777" w:rsidR="00C32CBD" w:rsidRDefault="00C32CBD" w:rsidP="00C32CBD">
      <w:pPr>
        <w:pStyle w:val="PolicytextDept"/>
      </w:pPr>
    </w:p>
    <w:p w14:paraId="689BB683" w14:textId="77777777" w:rsidR="00C32CBD" w:rsidRPr="005E5430" w:rsidRDefault="00C32CBD" w:rsidP="00C32CBD">
      <w:pPr>
        <w:pStyle w:val="ReferenceText"/>
      </w:pPr>
    </w:p>
    <w:p w14:paraId="38B5B680" w14:textId="77777777" w:rsidR="00C32CBD" w:rsidRPr="005E5430" w:rsidRDefault="00C32CBD" w:rsidP="00C32CBD">
      <w:pPr>
        <w:spacing w:line="240" w:lineRule="auto"/>
      </w:pPr>
    </w:p>
    <w:p w14:paraId="2E273075" w14:textId="77777777" w:rsidR="00C32CBD" w:rsidRPr="005E5430" w:rsidRDefault="00C32CBD" w:rsidP="00C32CBD">
      <w:pPr>
        <w:spacing w:line="240" w:lineRule="auto"/>
      </w:pPr>
    </w:p>
    <w:p w14:paraId="307AB7D2" w14:textId="77777777" w:rsidR="00C32CBD" w:rsidRPr="005E5430" w:rsidRDefault="00C32CBD" w:rsidP="00C32CBD">
      <w:pPr>
        <w:spacing w:line="240" w:lineRule="auto"/>
      </w:pPr>
    </w:p>
    <w:p w14:paraId="6EEAB96B" w14:textId="77777777" w:rsidR="00C32CBD" w:rsidRPr="005E5430" w:rsidRDefault="00C32CBD" w:rsidP="00C32CBD">
      <w:pPr>
        <w:spacing w:line="240" w:lineRule="auto"/>
      </w:pPr>
    </w:p>
    <w:p w14:paraId="3DD83EAC" w14:textId="77777777" w:rsidR="00C32CBD" w:rsidRPr="005E5430" w:rsidRDefault="00C32CBD" w:rsidP="00C32CBD">
      <w:pPr>
        <w:spacing w:line="240" w:lineRule="auto"/>
        <w:sectPr w:rsidR="00C32CBD" w:rsidRPr="005E5430" w:rsidSect="00C32CBD">
          <w:headerReference w:type="even" r:id="rId10"/>
          <w:headerReference w:type="default" r:id="rId11"/>
          <w:headerReference w:type="first" r:id="rId12"/>
          <w:pgSz w:w="11906" w:h="16838" w:code="9"/>
          <w:pgMar w:top="1134" w:right="1134" w:bottom="1134" w:left="1134" w:header="958" w:footer="737" w:gutter="0"/>
          <w:cols w:space="708"/>
          <w:docGrid w:linePitch="360"/>
        </w:sectPr>
      </w:pPr>
    </w:p>
    <w:tbl>
      <w:tblPr>
        <w:tblW w:w="9087" w:type="dxa"/>
        <w:tblInd w:w="80" w:type="dxa"/>
        <w:tblLayout w:type="fixed"/>
        <w:tblLook w:val="04A0" w:firstRow="1" w:lastRow="0" w:firstColumn="1" w:lastColumn="0" w:noHBand="0" w:noVBand="1"/>
      </w:tblPr>
      <w:tblGrid>
        <w:gridCol w:w="4164"/>
        <w:gridCol w:w="1000"/>
        <w:gridCol w:w="1140"/>
        <w:gridCol w:w="236"/>
        <w:gridCol w:w="1108"/>
        <w:gridCol w:w="236"/>
        <w:gridCol w:w="1203"/>
      </w:tblGrid>
      <w:tr w:rsidR="00C32CBD" w14:paraId="25421BB9" w14:textId="77777777" w:rsidTr="00320D09">
        <w:trPr>
          <w:trHeight w:val="480"/>
        </w:trPr>
        <w:tc>
          <w:tcPr>
            <w:tcW w:w="4164" w:type="dxa"/>
            <w:tcBorders>
              <w:top w:val="single" w:sz="8" w:space="0" w:color="008000"/>
              <w:left w:val="nil"/>
              <w:bottom w:val="nil"/>
              <w:right w:val="nil"/>
            </w:tcBorders>
            <w:shd w:val="clear" w:color="FFFFFF" w:fill="FFFFFF"/>
            <w:noWrap/>
            <w:vAlign w:val="bottom"/>
            <w:hideMark/>
          </w:tcPr>
          <w:p w14:paraId="2BE92F9E" w14:textId="77777777" w:rsidR="00C32CBD" w:rsidRDefault="00C32CBD" w:rsidP="00320D09">
            <w:pPr>
              <w:rPr>
                <w:rFonts w:cs="Arial"/>
                <w:sz w:val="18"/>
                <w:szCs w:val="18"/>
              </w:rPr>
            </w:pPr>
            <w:bookmarkStart w:id="67" w:name="Note_DPLTABLE1" w:colFirst="0" w:colLast="0"/>
            <w:r>
              <w:rPr>
                <w:rFonts w:cs="Arial"/>
                <w:sz w:val="18"/>
                <w:szCs w:val="18"/>
              </w:rPr>
              <w:lastRenderedPageBreak/>
              <w:t> </w:t>
            </w:r>
          </w:p>
        </w:tc>
        <w:tc>
          <w:tcPr>
            <w:tcW w:w="1000" w:type="dxa"/>
            <w:tcBorders>
              <w:top w:val="single" w:sz="8" w:space="0" w:color="008000"/>
              <w:left w:val="nil"/>
              <w:bottom w:val="nil"/>
              <w:right w:val="nil"/>
            </w:tcBorders>
            <w:shd w:val="clear" w:color="FFFFFF" w:fill="FFFFFF"/>
            <w:noWrap/>
            <w:vAlign w:val="bottom"/>
            <w:hideMark/>
          </w:tcPr>
          <w:p w14:paraId="2BD47FCA" w14:textId="77777777" w:rsidR="00C32CBD" w:rsidRDefault="00C32CBD" w:rsidP="00320D09">
            <w:pPr>
              <w:rPr>
                <w:rFonts w:cs="Arial"/>
                <w:sz w:val="18"/>
                <w:szCs w:val="18"/>
              </w:rPr>
            </w:pPr>
            <w:r>
              <w:rPr>
                <w:rFonts w:cs="Arial"/>
                <w:sz w:val="18"/>
                <w:szCs w:val="18"/>
              </w:rPr>
              <w:t> </w:t>
            </w:r>
          </w:p>
        </w:tc>
        <w:tc>
          <w:tcPr>
            <w:tcW w:w="1140" w:type="dxa"/>
            <w:tcBorders>
              <w:top w:val="single" w:sz="8" w:space="0" w:color="008000"/>
              <w:left w:val="nil"/>
              <w:bottom w:val="nil"/>
              <w:right w:val="nil"/>
            </w:tcBorders>
            <w:shd w:val="clear" w:color="FFFFFF" w:fill="FFFFFF"/>
            <w:noWrap/>
            <w:vAlign w:val="bottom"/>
            <w:hideMark/>
          </w:tcPr>
          <w:p w14:paraId="1237357D" w14:textId="77777777" w:rsidR="00C32CBD" w:rsidRDefault="00C32CBD" w:rsidP="00320D09">
            <w:pPr>
              <w:jc w:val="right"/>
              <w:rPr>
                <w:rFonts w:cs="Arial"/>
                <w:b/>
                <w:bCs/>
                <w:sz w:val="18"/>
                <w:szCs w:val="18"/>
              </w:rPr>
            </w:pPr>
            <w:r>
              <w:rPr>
                <w:rFonts w:cs="Arial"/>
                <w:b/>
                <w:bCs/>
                <w:sz w:val="18"/>
                <w:szCs w:val="18"/>
              </w:rPr>
              <w:t> </w:t>
            </w:r>
          </w:p>
        </w:tc>
        <w:tc>
          <w:tcPr>
            <w:tcW w:w="236" w:type="dxa"/>
            <w:tcBorders>
              <w:top w:val="single" w:sz="8" w:space="0" w:color="008000"/>
              <w:left w:val="nil"/>
              <w:bottom w:val="nil"/>
              <w:right w:val="nil"/>
            </w:tcBorders>
            <w:shd w:val="clear" w:color="FFFFFF" w:fill="FFFFFF"/>
            <w:noWrap/>
            <w:vAlign w:val="bottom"/>
            <w:hideMark/>
          </w:tcPr>
          <w:p w14:paraId="6B0BAC5D" w14:textId="77777777" w:rsidR="00C32CBD" w:rsidRDefault="00C32CBD" w:rsidP="00320D09">
            <w:pPr>
              <w:rPr>
                <w:rFonts w:cs="Arial"/>
                <w:sz w:val="18"/>
                <w:szCs w:val="18"/>
              </w:rPr>
            </w:pPr>
            <w:r>
              <w:rPr>
                <w:rFonts w:cs="Arial"/>
                <w:sz w:val="18"/>
                <w:szCs w:val="18"/>
              </w:rPr>
              <w:t> </w:t>
            </w:r>
          </w:p>
        </w:tc>
        <w:tc>
          <w:tcPr>
            <w:tcW w:w="1108" w:type="dxa"/>
            <w:tcBorders>
              <w:top w:val="single" w:sz="8" w:space="0" w:color="008000"/>
              <w:left w:val="nil"/>
              <w:bottom w:val="nil"/>
              <w:right w:val="nil"/>
            </w:tcBorders>
            <w:shd w:val="clear" w:color="FFFFFF" w:fill="FFFFFF"/>
            <w:noWrap/>
            <w:vAlign w:val="bottom"/>
            <w:hideMark/>
          </w:tcPr>
          <w:p w14:paraId="39E04F37" w14:textId="77777777" w:rsidR="00C32CBD" w:rsidRDefault="00C32CBD" w:rsidP="00320D09">
            <w:pPr>
              <w:jc w:val="right"/>
              <w:rPr>
                <w:rFonts w:cs="Arial"/>
                <w:sz w:val="18"/>
                <w:szCs w:val="18"/>
              </w:rPr>
            </w:pPr>
            <w:r>
              <w:rPr>
                <w:rFonts w:cs="Arial"/>
                <w:sz w:val="18"/>
                <w:szCs w:val="18"/>
              </w:rPr>
              <w:t> </w:t>
            </w:r>
          </w:p>
        </w:tc>
        <w:tc>
          <w:tcPr>
            <w:tcW w:w="236" w:type="dxa"/>
            <w:tcBorders>
              <w:top w:val="single" w:sz="8" w:space="0" w:color="008000"/>
              <w:left w:val="nil"/>
              <w:bottom w:val="nil"/>
              <w:right w:val="nil"/>
            </w:tcBorders>
            <w:shd w:val="clear" w:color="FFFFFF" w:fill="FFFFFF"/>
            <w:noWrap/>
            <w:vAlign w:val="bottom"/>
            <w:hideMark/>
          </w:tcPr>
          <w:p w14:paraId="6D4BCC51" w14:textId="77777777" w:rsidR="00C32CBD" w:rsidRDefault="00C32CBD" w:rsidP="00320D09">
            <w:pPr>
              <w:rPr>
                <w:rFonts w:cs="Arial"/>
                <w:sz w:val="18"/>
                <w:szCs w:val="18"/>
              </w:rPr>
            </w:pPr>
            <w:r>
              <w:rPr>
                <w:rFonts w:cs="Arial"/>
                <w:sz w:val="18"/>
                <w:szCs w:val="18"/>
              </w:rPr>
              <w:t> </w:t>
            </w:r>
          </w:p>
        </w:tc>
        <w:tc>
          <w:tcPr>
            <w:tcW w:w="1203" w:type="dxa"/>
            <w:tcBorders>
              <w:top w:val="single" w:sz="8" w:space="0" w:color="008000"/>
              <w:left w:val="nil"/>
              <w:bottom w:val="nil"/>
              <w:right w:val="nil"/>
            </w:tcBorders>
            <w:shd w:val="clear" w:color="FFFFFF" w:fill="FFFFFF"/>
            <w:vAlign w:val="bottom"/>
            <w:hideMark/>
          </w:tcPr>
          <w:p w14:paraId="0FEA2961" w14:textId="77777777" w:rsidR="00C32CBD" w:rsidRDefault="00C32CBD" w:rsidP="00320D09">
            <w:pPr>
              <w:jc w:val="right"/>
              <w:rPr>
                <w:rFonts w:cs="Arial"/>
                <w:color w:val="008000"/>
                <w:sz w:val="18"/>
                <w:szCs w:val="18"/>
              </w:rPr>
            </w:pPr>
            <w:r>
              <w:rPr>
                <w:rFonts w:cs="Arial"/>
                <w:color w:val="008000"/>
                <w:sz w:val="18"/>
                <w:szCs w:val="18"/>
              </w:rPr>
              <w:t>Original</w:t>
            </w:r>
            <w:r>
              <w:rPr>
                <w:rFonts w:cs="Arial"/>
                <w:color w:val="008000"/>
                <w:sz w:val="18"/>
                <w:szCs w:val="18"/>
              </w:rPr>
              <w:br/>
              <w:t>Budget</w:t>
            </w:r>
          </w:p>
        </w:tc>
      </w:tr>
      <w:bookmarkEnd w:id="67"/>
      <w:tr w:rsidR="00C32CBD" w14:paraId="3611D3AC" w14:textId="77777777" w:rsidTr="00320D09">
        <w:trPr>
          <w:trHeight w:val="255"/>
        </w:trPr>
        <w:tc>
          <w:tcPr>
            <w:tcW w:w="4164" w:type="dxa"/>
            <w:tcBorders>
              <w:top w:val="nil"/>
              <w:left w:val="nil"/>
              <w:bottom w:val="nil"/>
              <w:right w:val="nil"/>
            </w:tcBorders>
            <w:shd w:val="clear" w:color="FFFFFF" w:fill="FFFFFF"/>
            <w:noWrap/>
            <w:vAlign w:val="bottom"/>
            <w:hideMark/>
          </w:tcPr>
          <w:p w14:paraId="742E457F" w14:textId="77777777" w:rsidR="00C32CBD" w:rsidRDefault="00C32CBD" w:rsidP="00320D09">
            <w:pPr>
              <w:rPr>
                <w:rFonts w:cs="Arial"/>
                <w:sz w:val="18"/>
                <w:szCs w:val="18"/>
              </w:rPr>
            </w:pPr>
            <w:r>
              <w:rPr>
                <w:rFonts w:cs="Arial"/>
                <w:sz w:val="18"/>
                <w:szCs w:val="18"/>
              </w:rPr>
              <w:t> </w:t>
            </w:r>
          </w:p>
        </w:tc>
        <w:tc>
          <w:tcPr>
            <w:tcW w:w="1000" w:type="dxa"/>
            <w:tcBorders>
              <w:top w:val="nil"/>
              <w:left w:val="nil"/>
              <w:bottom w:val="nil"/>
              <w:right w:val="nil"/>
            </w:tcBorders>
            <w:shd w:val="clear" w:color="FFFFFF" w:fill="FFFFFF"/>
            <w:noWrap/>
            <w:vAlign w:val="bottom"/>
            <w:hideMark/>
          </w:tcPr>
          <w:p w14:paraId="2E2D094E" w14:textId="77777777" w:rsidR="00C32CBD" w:rsidRDefault="00C32CBD" w:rsidP="00320D09">
            <w:pPr>
              <w:rPr>
                <w:rFonts w:cs="Arial"/>
                <w:sz w:val="18"/>
                <w:szCs w:val="18"/>
              </w:rPr>
            </w:pPr>
            <w:r>
              <w:rPr>
                <w:rFonts w:cs="Arial"/>
                <w:sz w:val="18"/>
                <w:szCs w:val="18"/>
              </w:rPr>
              <w:t> </w:t>
            </w:r>
          </w:p>
        </w:tc>
        <w:tc>
          <w:tcPr>
            <w:tcW w:w="1140" w:type="dxa"/>
            <w:tcBorders>
              <w:top w:val="nil"/>
              <w:left w:val="nil"/>
              <w:bottom w:val="nil"/>
              <w:right w:val="nil"/>
            </w:tcBorders>
            <w:shd w:val="clear" w:color="FFFFFF" w:fill="FFFFFF"/>
            <w:noWrap/>
            <w:vAlign w:val="bottom"/>
            <w:hideMark/>
          </w:tcPr>
          <w:p w14:paraId="10CACC08" w14:textId="77777777" w:rsidR="00C32CBD" w:rsidRDefault="00C32CBD" w:rsidP="00320D09">
            <w:pPr>
              <w:jc w:val="right"/>
              <w:rPr>
                <w:rFonts w:cs="Arial"/>
                <w:b/>
                <w:bCs/>
                <w:sz w:val="18"/>
                <w:szCs w:val="18"/>
              </w:rPr>
            </w:pPr>
            <w:r>
              <w:rPr>
                <w:rFonts w:cs="Arial"/>
                <w:b/>
                <w:bCs/>
                <w:sz w:val="18"/>
                <w:szCs w:val="18"/>
              </w:rPr>
              <w:t>2017</w:t>
            </w:r>
          </w:p>
        </w:tc>
        <w:tc>
          <w:tcPr>
            <w:tcW w:w="236" w:type="dxa"/>
            <w:tcBorders>
              <w:top w:val="nil"/>
              <w:left w:val="nil"/>
              <w:bottom w:val="nil"/>
              <w:right w:val="nil"/>
            </w:tcBorders>
            <w:shd w:val="clear" w:color="FFFFFF" w:fill="FFFFFF"/>
            <w:noWrap/>
            <w:vAlign w:val="bottom"/>
            <w:hideMark/>
          </w:tcPr>
          <w:p w14:paraId="4F020873" w14:textId="77777777" w:rsidR="00C32CBD" w:rsidRDefault="00C32CBD" w:rsidP="00320D09">
            <w:pPr>
              <w:rPr>
                <w:rFonts w:cs="Arial"/>
                <w:sz w:val="18"/>
                <w:szCs w:val="18"/>
              </w:rPr>
            </w:pPr>
            <w:r>
              <w:rPr>
                <w:rFonts w:cs="Arial"/>
                <w:sz w:val="18"/>
                <w:szCs w:val="18"/>
              </w:rPr>
              <w:t> </w:t>
            </w:r>
          </w:p>
        </w:tc>
        <w:tc>
          <w:tcPr>
            <w:tcW w:w="1108" w:type="dxa"/>
            <w:tcBorders>
              <w:top w:val="nil"/>
              <w:left w:val="nil"/>
              <w:bottom w:val="nil"/>
              <w:right w:val="nil"/>
            </w:tcBorders>
            <w:shd w:val="clear" w:color="FFFFFF" w:fill="FFFFFF"/>
            <w:noWrap/>
            <w:vAlign w:val="bottom"/>
            <w:hideMark/>
          </w:tcPr>
          <w:p w14:paraId="1C0B10CD" w14:textId="77777777" w:rsidR="00C32CBD" w:rsidRDefault="00C32CBD" w:rsidP="00320D09">
            <w:pPr>
              <w:jc w:val="right"/>
              <w:rPr>
                <w:rFonts w:cs="Arial"/>
                <w:sz w:val="18"/>
                <w:szCs w:val="18"/>
              </w:rPr>
            </w:pPr>
            <w:r>
              <w:rPr>
                <w:rFonts w:cs="Arial"/>
                <w:sz w:val="18"/>
                <w:szCs w:val="18"/>
              </w:rPr>
              <w:t>2016</w:t>
            </w:r>
          </w:p>
        </w:tc>
        <w:tc>
          <w:tcPr>
            <w:tcW w:w="236" w:type="dxa"/>
            <w:tcBorders>
              <w:top w:val="nil"/>
              <w:left w:val="nil"/>
              <w:bottom w:val="nil"/>
              <w:right w:val="nil"/>
            </w:tcBorders>
            <w:shd w:val="clear" w:color="FFFFFF" w:fill="FFFFFF"/>
            <w:noWrap/>
            <w:vAlign w:val="bottom"/>
            <w:hideMark/>
          </w:tcPr>
          <w:p w14:paraId="6F9046F6" w14:textId="77777777" w:rsidR="00C32CBD" w:rsidRDefault="00C32CBD" w:rsidP="00320D09">
            <w:pPr>
              <w:rPr>
                <w:rFonts w:cs="Arial"/>
                <w:sz w:val="18"/>
                <w:szCs w:val="18"/>
              </w:rPr>
            </w:pPr>
            <w:r>
              <w:rPr>
                <w:rFonts w:cs="Arial"/>
                <w:sz w:val="18"/>
                <w:szCs w:val="18"/>
              </w:rPr>
              <w:t> </w:t>
            </w:r>
          </w:p>
        </w:tc>
        <w:tc>
          <w:tcPr>
            <w:tcW w:w="1203" w:type="dxa"/>
            <w:tcBorders>
              <w:top w:val="nil"/>
              <w:left w:val="nil"/>
              <w:bottom w:val="nil"/>
              <w:right w:val="nil"/>
            </w:tcBorders>
            <w:shd w:val="clear" w:color="FFFFFF" w:fill="FFFFFF"/>
            <w:noWrap/>
            <w:vAlign w:val="bottom"/>
            <w:hideMark/>
          </w:tcPr>
          <w:p w14:paraId="0CFF37F1" w14:textId="77777777" w:rsidR="00C32CBD" w:rsidRDefault="00C32CBD" w:rsidP="00320D09">
            <w:pPr>
              <w:jc w:val="right"/>
              <w:rPr>
                <w:rFonts w:cs="Arial"/>
                <w:color w:val="008000"/>
                <w:sz w:val="18"/>
                <w:szCs w:val="18"/>
              </w:rPr>
            </w:pPr>
            <w:r>
              <w:rPr>
                <w:rFonts w:cs="Arial"/>
                <w:color w:val="008000"/>
                <w:sz w:val="18"/>
                <w:szCs w:val="18"/>
              </w:rPr>
              <w:t>2017</w:t>
            </w:r>
          </w:p>
        </w:tc>
      </w:tr>
      <w:tr w:rsidR="00C32CBD" w14:paraId="6FD48C34" w14:textId="77777777" w:rsidTr="00320D09">
        <w:trPr>
          <w:trHeight w:val="270"/>
        </w:trPr>
        <w:tc>
          <w:tcPr>
            <w:tcW w:w="4164" w:type="dxa"/>
            <w:tcBorders>
              <w:top w:val="nil"/>
              <w:left w:val="nil"/>
              <w:bottom w:val="single" w:sz="8" w:space="0" w:color="008000"/>
              <w:right w:val="nil"/>
            </w:tcBorders>
            <w:shd w:val="clear" w:color="FFFFFF" w:fill="FFFFFF"/>
            <w:noWrap/>
            <w:vAlign w:val="bottom"/>
            <w:hideMark/>
          </w:tcPr>
          <w:p w14:paraId="64F22D06" w14:textId="77777777" w:rsidR="00C32CBD" w:rsidRDefault="00C32CBD" w:rsidP="00320D09">
            <w:pPr>
              <w:rPr>
                <w:rFonts w:cs="Arial"/>
                <w:sz w:val="18"/>
                <w:szCs w:val="18"/>
              </w:rPr>
            </w:pPr>
            <w:r>
              <w:rPr>
                <w:rFonts w:cs="Arial"/>
                <w:sz w:val="18"/>
                <w:szCs w:val="18"/>
              </w:rPr>
              <w:t> </w:t>
            </w:r>
          </w:p>
        </w:tc>
        <w:tc>
          <w:tcPr>
            <w:tcW w:w="1000" w:type="dxa"/>
            <w:tcBorders>
              <w:top w:val="nil"/>
              <w:left w:val="nil"/>
              <w:bottom w:val="single" w:sz="8" w:space="0" w:color="008000"/>
              <w:right w:val="nil"/>
            </w:tcBorders>
            <w:shd w:val="clear" w:color="FFFFFF" w:fill="FFFFFF"/>
            <w:noWrap/>
            <w:vAlign w:val="bottom"/>
            <w:hideMark/>
          </w:tcPr>
          <w:p w14:paraId="39B61A38" w14:textId="77777777" w:rsidR="00C32CBD" w:rsidRDefault="00C32CBD" w:rsidP="00320D09">
            <w:pPr>
              <w:jc w:val="center"/>
              <w:rPr>
                <w:rFonts w:cs="Arial"/>
                <w:b/>
                <w:bCs/>
                <w:sz w:val="18"/>
                <w:szCs w:val="18"/>
              </w:rPr>
            </w:pPr>
            <w:r>
              <w:rPr>
                <w:rFonts w:cs="Arial"/>
                <w:b/>
                <w:bCs/>
                <w:sz w:val="18"/>
                <w:szCs w:val="18"/>
              </w:rPr>
              <w:t>Notes</w:t>
            </w:r>
          </w:p>
        </w:tc>
        <w:tc>
          <w:tcPr>
            <w:tcW w:w="1140" w:type="dxa"/>
            <w:tcBorders>
              <w:top w:val="nil"/>
              <w:left w:val="nil"/>
              <w:bottom w:val="single" w:sz="8" w:space="0" w:color="008000"/>
              <w:right w:val="nil"/>
            </w:tcBorders>
            <w:shd w:val="clear" w:color="FFFFFF" w:fill="FFFFFF"/>
            <w:noWrap/>
            <w:vAlign w:val="bottom"/>
            <w:hideMark/>
          </w:tcPr>
          <w:p w14:paraId="1A18A46C" w14:textId="77777777" w:rsidR="00C32CBD" w:rsidRDefault="00C32CBD" w:rsidP="00320D09">
            <w:pPr>
              <w:jc w:val="right"/>
              <w:rPr>
                <w:rFonts w:cs="Arial"/>
                <w:b/>
                <w:bCs/>
                <w:sz w:val="18"/>
                <w:szCs w:val="18"/>
              </w:rPr>
            </w:pPr>
            <w:r>
              <w:rPr>
                <w:rFonts w:cs="Arial"/>
                <w:b/>
                <w:bCs/>
                <w:sz w:val="18"/>
                <w:szCs w:val="18"/>
              </w:rPr>
              <w:t>$'000</w:t>
            </w:r>
          </w:p>
        </w:tc>
        <w:tc>
          <w:tcPr>
            <w:tcW w:w="236" w:type="dxa"/>
            <w:tcBorders>
              <w:top w:val="nil"/>
              <w:left w:val="nil"/>
              <w:bottom w:val="single" w:sz="8" w:space="0" w:color="008000"/>
              <w:right w:val="nil"/>
            </w:tcBorders>
            <w:shd w:val="clear" w:color="FFFFFF" w:fill="FFFFFF"/>
            <w:noWrap/>
            <w:vAlign w:val="bottom"/>
            <w:hideMark/>
          </w:tcPr>
          <w:p w14:paraId="3E68810D" w14:textId="77777777" w:rsidR="00C32CBD" w:rsidRDefault="00C32CBD" w:rsidP="00320D09">
            <w:pPr>
              <w:rPr>
                <w:rFonts w:cs="Arial"/>
                <w:sz w:val="18"/>
                <w:szCs w:val="18"/>
              </w:rPr>
            </w:pPr>
            <w:r>
              <w:rPr>
                <w:rFonts w:cs="Arial"/>
                <w:sz w:val="18"/>
                <w:szCs w:val="18"/>
              </w:rPr>
              <w:t> </w:t>
            </w:r>
          </w:p>
        </w:tc>
        <w:tc>
          <w:tcPr>
            <w:tcW w:w="1108" w:type="dxa"/>
            <w:tcBorders>
              <w:top w:val="nil"/>
              <w:left w:val="nil"/>
              <w:bottom w:val="single" w:sz="8" w:space="0" w:color="008000"/>
              <w:right w:val="nil"/>
            </w:tcBorders>
            <w:shd w:val="clear" w:color="FFFFFF" w:fill="FFFFFF"/>
            <w:noWrap/>
            <w:vAlign w:val="bottom"/>
            <w:hideMark/>
          </w:tcPr>
          <w:p w14:paraId="4A2BA3F1" w14:textId="77777777" w:rsidR="00C32CBD" w:rsidRDefault="00C32CBD" w:rsidP="00320D09">
            <w:pPr>
              <w:jc w:val="right"/>
              <w:rPr>
                <w:rFonts w:cs="Arial"/>
                <w:sz w:val="18"/>
                <w:szCs w:val="18"/>
              </w:rPr>
            </w:pPr>
            <w:r>
              <w:rPr>
                <w:rFonts w:cs="Arial"/>
                <w:sz w:val="18"/>
                <w:szCs w:val="18"/>
              </w:rPr>
              <w:t>$'000</w:t>
            </w:r>
          </w:p>
        </w:tc>
        <w:tc>
          <w:tcPr>
            <w:tcW w:w="236" w:type="dxa"/>
            <w:tcBorders>
              <w:top w:val="nil"/>
              <w:left w:val="nil"/>
              <w:bottom w:val="single" w:sz="8" w:space="0" w:color="008000"/>
              <w:right w:val="nil"/>
            </w:tcBorders>
            <w:shd w:val="clear" w:color="FFFFFF" w:fill="FFFFFF"/>
            <w:noWrap/>
            <w:vAlign w:val="bottom"/>
            <w:hideMark/>
          </w:tcPr>
          <w:p w14:paraId="073D34B0" w14:textId="77777777" w:rsidR="00C32CBD" w:rsidRDefault="00C32CBD" w:rsidP="00320D09">
            <w:pPr>
              <w:rPr>
                <w:rFonts w:cs="Arial"/>
                <w:sz w:val="18"/>
                <w:szCs w:val="18"/>
              </w:rPr>
            </w:pPr>
            <w:r>
              <w:rPr>
                <w:rFonts w:cs="Arial"/>
                <w:sz w:val="18"/>
                <w:szCs w:val="18"/>
              </w:rPr>
              <w:t> </w:t>
            </w:r>
          </w:p>
        </w:tc>
        <w:tc>
          <w:tcPr>
            <w:tcW w:w="1203" w:type="dxa"/>
            <w:tcBorders>
              <w:top w:val="nil"/>
              <w:left w:val="nil"/>
              <w:bottom w:val="single" w:sz="8" w:space="0" w:color="008000"/>
              <w:right w:val="nil"/>
            </w:tcBorders>
            <w:shd w:val="clear" w:color="FFFFFF" w:fill="FFFFFF"/>
            <w:noWrap/>
            <w:vAlign w:val="bottom"/>
            <w:hideMark/>
          </w:tcPr>
          <w:p w14:paraId="521AF923" w14:textId="77777777" w:rsidR="00C32CBD" w:rsidRDefault="00C32CBD" w:rsidP="00320D09">
            <w:pPr>
              <w:jc w:val="right"/>
              <w:rPr>
                <w:rFonts w:cs="Arial"/>
                <w:color w:val="008000"/>
                <w:sz w:val="18"/>
                <w:szCs w:val="18"/>
              </w:rPr>
            </w:pPr>
            <w:r>
              <w:rPr>
                <w:rFonts w:cs="Arial"/>
                <w:color w:val="008000"/>
                <w:sz w:val="18"/>
                <w:szCs w:val="18"/>
              </w:rPr>
              <w:t>$'000</w:t>
            </w:r>
          </w:p>
        </w:tc>
      </w:tr>
      <w:tr w:rsidR="00C32CBD" w14:paraId="4BFD725E" w14:textId="77777777" w:rsidTr="00320D09">
        <w:trPr>
          <w:trHeight w:val="255"/>
        </w:trPr>
        <w:tc>
          <w:tcPr>
            <w:tcW w:w="4164" w:type="dxa"/>
            <w:tcBorders>
              <w:top w:val="nil"/>
              <w:left w:val="nil"/>
              <w:bottom w:val="nil"/>
              <w:right w:val="nil"/>
            </w:tcBorders>
            <w:shd w:val="clear" w:color="FFFFFF" w:fill="FFFFFF"/>
            <w:noWrap/>
            <w:vAlign w:val="bottom"/>
            <w:hideMark/>
          </w:tcPr>
          <w:p w14:paraId="48139496" w14:textId="77777777" w:rsidR="00C32CBD" w:rsidRDefault="00C32CBD" w:rsidP="00320D09">
            <w:pPr>
              <w:rPr>
                <w:rFonts w:cs="Arial"/>
                <w:b/>
                <w:bCs/>
                <w:sz w:val="18"/>
                <w:szCs w:val="18"/>
              </w:rPr>
            </w:pPr>
            <w:r>
              <w:rPr>
                <w:rFonts w:cs="Arial"/>
                <w:b/>
                <w:bCs/>
                <w:sz w:val="18"/>
                <w:szCs w:val="18"/>
              </w:rPr>
              <w:t>NET COST OF SERVICES</w:t>
            </w:r>
          </w:p>
        </w:tc>
        <w:tc>
          <w:tcPr>
            <w:tcW w:w="1000" w:type="dxa"/>
            <w:tcBorders>
              <w:top w:val="nil"/>
              <w:left w:val="nil"/>
              <w:bottom w:val="nil"/>
              <w:right w:val="nil"/>
            </w:tcBorders>
            <w:shd w:val="clear" w:color="FFFFFF" w:fill="FFFFFF"/>
            <w:noWrap/>
            <w:vAlign w:val="bottom"/>
            <w:hideMark/>
          </w:tcPr>
          <w:p w14:paraId="32381556" w14:textId="77777777" w:rsidR="00C32CBD" w:rsidRDefault="00C32CBD" w:rsidP="00320D09">
            <w:pPr>
              <w:jc w:val="center"/>
              <w:rPr>
                <w:rFonts w:cs="Arial"/>
                <w:b/>
                <w:bCs/>
                <w:sz w:val="18"/>
                <w:szCs w:val="18"/>
              </w:rPr>
            </w:pPr>
            <w:r>
              <w:rPr>
                <w:rFonts w:cs="Arial"/>
                <w:b/>
                <w:bCs/>
                <w:sz w:val="18"/>
                <w:szCs w:val="18"/>
              </w:rPr>
              <w:t> </w:t>
            </w:r>
          </w:p>
        </w:tc>
        <w:tc>
          <w:tcPr>
            <w:tcW w:w="1140" w:type="dxa"/>
            <w:tcBorders>
              <w:top w:val="nil"/>
              <w:left w:val="nil"/>
              <w:bottom w:val="nil"/>
              <w:right w:val="nil"/>
            </w:tcBorders>
            <w:shd w:val="clear" w:color="FFFFFF" w:fill="FFFFFF"/>
            <w:noWrap/>
            <w:vAlign w:val="bottom"/>
            <w:hideMark/>
          </w:tcPr>
          <w:p w14:paraId="2C974BBA" w14:textId="77777777" w:rsidR="00C32CBD" w:rsidRDefault="00C32CBD" w:rsidP="00320D09">
            <w:pPr>
              <w:jc w:val="right"/>
              <w:rPr>
                <w:rFonts w:cs="Arial"/>
                <w:b/>
                <w:bCs/>
                <w:sz w:val="18"/>
                <w:szCs w:val="18"/>
              </w:rPr>
            </w:pPr>
            <w:r>
              <w:rPr>
                <w:rFonts w:cs="Arial"/>
                <w:b/>
                <w:bCs/>
                <w:sz w:val="18"/>
                <w:szCs w:val="18"/>
              </w:rPr>
              <w:t> </w:t>
            </w:r>
          </w:p>
        </w:tc>
        <w:tc>
          <w:tcPr>
            <w:tcW w:w="236" w:type="dxa"/>
            <w:tcBorders>
              <w:top w:val="nil"/>
              <w:left w:val="nil"/>
              <w:bottom w:val="nil"/>
              <w:right w:val="nil"/>
            </w:tcBorders>
            <w:shd w:val="clear" w:color="FFFFFF" w:fill="FFFFFF"/>
            <w:noWrap/>
            <w:vAlign w:val="bottom"/>
            <w:hideMark/>
          </w:tcPr>
          <w:p w14:paraId="4340DCFC" w14:textId="77777777" w:rsidR="00C32CBD" w:rsidRDefault="00C32CBD" w:rsidP="00320D09">
            <w:pPr>
              <w:rPr>
                <w:rFonts w:cs="Arial"/>
                <w:sz w:val="18"/>
                <w:szCs w:val="18"/>
              </w:rPr>
            </w:pPr>
            <w:r>
              <w:rPr>
                <w:rFonts w:cs="Arial"/>
                <w:sz w:val="18"/>
                <w:szCs w:val="18"/>
              </w:rPr>
              <w:t> </w:t>
            </w:r>
          </w:p>
        </w:tc>
        <w:tc>
          <w:tcPr>
            <w:tcW w:w="1108" w:type="dxa"/>
            <w:tcBorders>
              <w:top w:val="nil"/>
              <w:left w:val="nil"/>
              <w:bottom w:val="nil"/>
              <w:right w:val="nil"/>
            </w:tcBorders>
            <w:shd w:val="clear" w:color="FFFFFF" w:fill="FFFFFF"/>
            <w:noWrap/>
            <w:vAlign w:val="bottom"/>
            <w:hideMark/>
          </w:tcPr>
          <w:p w14:paraId="2A6A9527" w14:textId="77777777" w:rsidR="00C32CBD" w:rsidRDefault="00C32CBD" w:rsidP="00320D09">
            <w:pPr>
              <w:jc w:val="right"/>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55E8B855" w14:textId="77777777" w:rsidR="00C32CBD" w:rsidRDefault="00C32CBD" w:rsidP="00320D09">
            <w:pPr>
              <w:rPr>
                <w:rFonts w:cs="Arial"/>
                <w:sz w:val="18"/>
                <w:szCs w:val="18"/>
              </w:rPr>
            </w:pPr>
            <w:r>
              <w:rPr>
                <w:rFonts w:cs="Arial"/>
                <w:sz w:val="18"/>
                <w:szCs w:val="18"/>
              </w:rPr>
              <w:t> </w:t>
            </w:r>
          </w:p>
        </w:tc>
        <w:tc>
          <w:tcPr>
            <w:tcW w:w="1203" w:type="dxa"/>
            <w:tcBorders>
              <w:top w:val="nil"/>
              <w:left w:val="nil"/>
              <w:bottom w:val="nil"/>
              <w:right w:val="nil"/>
            </w:tcBorders>
            <w:shd w:val="clear" w:color="FFFFFF" w:fill="FFFFFF"/>
            <w:noWrap/>
            <w:vAlign w:val="bottom"/>
            <w:hideMark/>
          </w:tcPr>
          <w:p w14:paraId="5BF47370" w14:textId="77777777" w:rsidR="00C32CBD" w:rsidRDefault="00C32CBD" w:rsidP="00320D09">
            <w:pPr>
              <w:jc w:val="right"/>
              <w:rPr>
                <w:rFonts w:cs="Arial"/>
                <w:sz w:val="18"/>
                <w:szCs w:val="18"/>
              </w:rPr>
            </w:pPr>
            <w:r>
              <w:rPr>
                <w:rFonts w:cs="Arial"/>
                <w:sz w:val="18"/>
                <w:szCs w:val="18"/>
              </w:rPr>
              <w:t> </w:t>
            </w:r>
          </w:p>
        </w:tc>
      </w:tr>
      <w:tr w:rsidR="00C32CBD" w14:paraId="4D34F678" w14:textId="77777777" w:rsidTr="00320D09">
        <w:trPr>
          <w:trHeight w:val="255"/>
        </w:trPr>
        <w:tc>
          <w:tcPr>
            <w:tcW w:w="4164" w:type="dxa"/>
            <w:tcBorders>
              <w:top w:val="nil"/>
              <w:left w:val="nil"/>
              <w:bottom w:val="nil"/>
              <w:right w:val="nil"/>
            </w:tcBorders>
            <w:shd w:val="clear" w:color="FFFFFF" w:fill="FFFFFF"/>
            <w:vAlign w:val="bottom"/>
            <w:hideMark/>
          </w:tcPr>
          <w:p w14:paraId="55196274" w14:textId="77777777" w:rsidR="00C32CBD" w:rsidRDefault="00C32CBD" w:rsidP="00320D09">
            <w:pPr>
              <w:rPr>
                <w:rFonts w:cs="Arial"/>
                <w:b/>
                <w:bCs/>
                <w:sz w:val="18"/>
                <w:szCs w:val="18"/>
              </w:rPr>
            </w:pPr>
            <w:r>
              <w:rPr>
                <w:rFonts w:cs="Arial"/>
                <w:b/>
                <w:bCs/>
                <w:sz w:val="18"/>
                <w:szCs w:val="18"/>
              </w:rPr>
              <w:t>Expenses</w:t>
            </w:r>
          </w:p>
        </w:tc>
        <w:tc>
          <w:tcPr>
            <w:tcW w:w="1000" w:type="dxa"/>
            <w:tcBorders>
              <w:top w:val="nil"/>
              <w:left w:val="nil"/>
              <w:bottom w:val="nil"/>
              <w:right w:val="nil"/>
            </w:tcBorders>
            <w:shd w:val="clear" w:color="FFFFFF" w:fill="FFFFFF"/>
            <w:noWrap/>
            <w:vAlign w:val="bottom"/>
            <w:hideMark/>
          </w:tcPr>
          <w:p w14:paraId="49E2E1F8" w14:textId="77777777" w:rsidR="00C32CBD" w:rsidRDefault="00C32CBD" w:rsidP="00320D09">
            <w:pPr>
              <w:jc w:val="center"/>
              <w:rPr>
                <w:rFonts w:cs="Arial"/>
                <w:sz w:val="18"/>
                <w:szCs w:val="18"/>
              </w:rPr>
            </w:pPr>
            <w:r>
              <w:rPr>
                <w:rFonts w:cs="Arial"/>
                <w:sz w:val="18"/>
                <w:szCs w:val="18"/>
              </w:rPr>
              <w:t> </w:t>
            </w:r>
          </w:p>
        </w:tc>
        <w:tc>
          <w:tcPr>
            <w:tcW w:w="1140" w:type="dxa"/>
            <w:tcBorders>
              <w:top w:val="nil"/>
              <w:left w:val="nil"/>
              <w:bottom w:val="nil"/>
              <w:right w:val="nil"/>
            </w:tcBorders>
            <w:shd w:val="clear" w:color="FFFFFF" w:fill="FFFFFF"/>
            <w:noWrap/>
            <w:vAlign w:val="bottom"/>
            <w:hideMark/>
          </w:tcPr>
          <w:p w14:paraId="2003BB2A" w14:textId="77777777" w:rsidR="00C32CBD" w:rsidRDefault="00C32CBD" w:rsidP="00320D09">
            <w:pPr>
              <w:jc w:val="right"/>
              <w:rPr>
                <w:rFonts w:cs="Arial"/>
                <w:b/>
                <w:bCs/>
                <w:sz w:val="18"/>
                <w:szCs w:val="18"/>
              </w:rPr>
            </w:pPr>
            <w:r>
              <w:rPr>
                <w:rFonts w:cs="Arial"/>
                <w:b/>
                <w:bCs/>
                <w:sz w:val="18"/>
                <w:szCs w:val="18"/>
              </w:rPr>
              <w:t> </w:t>
            </w:r>
          </w:p>
        </w:tc>
        <w:tc>
          <w:tcPr>
            <w:tcW w:w="236" w:type="dxa"/>
            <w:tcBorders>
              <w:top w:val="nil"/>
              <w:left w:val="nil"/>
              <w:bottom w:val="nil"/>
              <w:right w:val="nil"/>
            </w:tcBorders>
            <w:shd w:val="clear" w:color="FFFFFF" w:fill="FFFFFF"/>
            <w:noWrap/>
            <w:vAlign w:val="bottom"/>
            <w:hideMark/>
          </w:tcPr>
          <w:p w14:paraId="4A300C74" w14:textId="77777777" w:rsidR="00C32CBD" w:rsidRDefault="00C32CBD" w:rsidP="00320D09">
            <w:pPr>
              <w:rPr>
                <w:rFonts w:cs="Arial"/>
                <w:sz w:val="18"/>
                <w:szCs w:val="18"/>
              </w:rPr>
            </w:pPr>
            <w:r>
              <w:rPr>
                <w:rFonts w:cs="Arial"/>
                <w:sz w:val="18"/>
                <w:szCs w:val="18"/>
              </w:rPr>
              <w:t> </w:t>
            </w:r>
          </w:p>
        </w:tc>
        <w:tc>
          <w:tcPr>
            <w:tcW w:w="1108" w:type="dxa"/>
            <w:tcBorders>
              <w:top w:val="nil"/>
              <w:left w:val="nil"/>
              <w:bottom w:val="nil"/>
              <w:right w:val="nil"/>
            </w:tcBorders>
            <w:shd w:val="clear" w:color="FFFFFF" w:fill="FFFFFF"/>
            <w:noWrap/>
            <w:vAlign w:val="bottom"/>
            <w:hideMark/>
          </w:tcPr>
          <w:p w14:paraId="305AA1F2" w14:textId="77777777" w:rsidR="00C32CBD" w:rsidRDefault="00C32CBD" w:rsidP="00320D09">
            <w:pPr>
              <w:jc w:val="right"/>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200398A8" w14:textId="77777777" w:rsidR="00C32CBD" w:rsidRDefault="00C32CBD" w:rsidP="00320D09">
            <w:pPr>
              <w:rPr>
                <w:rFonts w:cs="Arial"/>
                <w:sz w:val="18"/>
                <w:szCs w:val="18"/>
              </w:rPr>
            </w:pPr>
            <w:r>
              <w:rPr>
                <w:rFonts w:cs="Arial"/>
                <w:sz w:val="18"/>
                <w:szCs w:val="18"/>
              </w:rPr>
              <w:t> </w:t>
            </w:r>
          </w:p>
        </w:tc>
        <w:tc>
          <w:tcPr>
            <w:tcW w:w="1203" w:type="dxa"/>
            <w:tcBorders>
              <w:top w:val="nil"/>
              <w:left w:val="nil"/>
              <w:bottom w:val="nil"/>
              <w:right w:val="nil"/>
            </w:tcBorders>
            <w:shd w:val="clear" w:color="FFFFFF" w:fill="FFFFFF"/>
            <w:noWrap/>
            <w:vAlign w:val="bottom"/>
            <w:hideMark/>
          </w:tcPr>
          <w:p w14:paraId="45043368" w14:textId="77777777" w:rsidR="00C32CBD" w:rsidRDefault="00C32CBD" w:rsidP="00320D09">
            <w:pPr>
              <w:jc w:val="right"/>
              <w:rPr>
                <w:rFonts w:cs="Arial"/>
                <w:sz w:val="18"/>
                <w:szCs w:val="18"/>
              </w:rPr>
            </w:pPr>
            <w:r>
              <w:rPr>
                <w:rFonts w:cs="Arial"/>
                <w:sz w:val="18"/>
                <w:szCs w:val="18"/>
              </w:rPr>
              <w:t> </w:t>
            </w:r>
          </w:p>
        </w:tc>
      </w:tr>
      <w:tr w:rsidR="00C32CBD" w14:paraId="6B8FF4EA" w14:textId="77777777" w:rsidTr="00320D09">
        <w:trPr>
          <w:trHeight w:val="255"/>
        </w:trPr>
        <w:tc>
          <w:tcPr>
            <w:tcW w:w="4164" w:type="dxa"/>
            <w:tcBorders>
              <w:top w:val="nil"/>
              <w:left w:val="nil"/>
              <w:bottom w:val="nil"/>
              <w:right w:val="nil"/>
            </w:tcBorders>
            <w:shd w:val="clear" w:color="FFFFFF" w:fill="FFFFFF"/>
            <w:vAlign w:val="bottom"/>
            <w:hideMark/>
          </w:tcPr>
          <w:p w14:paraId="03E043B2" w14:textId="77777777" w:rsidR="00C32CBD" w:rsidRDefault="00C32CBD" w:rsidP="00320D09">
            <w:pPr>
              <w:ind w:firstLineChars="100" w:firstLine="180"/>
              <w:rPr>
                <w:rFonts w:cs="Arial"/>
                <w:sz w:val="18"/>
                <w:szCs w:val="18"/>
              </w:rPr>
            </w:pPr>
            <w:r>
              <w:rPr>
                <w:rFonts w:cs="Arial"/>
                <w:sz w:val="18"/>
                <w:szCs w:val="18"/>
              </w:rPr>
              <w:t>Employee benefits</w:t>
            </w:r>
          </w:p>
        </w:tc>
        <w:tc>
          <w:tcPr>
            <w:tcW w:w="1000" w:type="dxa"/>
            <w:tcBorders>
              <w:top w:val="nil"/>
              <w:left w:val="nil"/>
              <w:bottom w:val="nil"/>
              <w:right w:val="nil"/>
            </w:tcBorders>
            <w:shd w:val="clear" w:color="FFFFFF" w:fill="FFFFFF"/>
            <w:noWrap/>
            <w:vAlign w:val="bottom"/>
            <w:hideMark/>
          </w:tcPr>
          <w:p w14:paraId="4D91BEEF" w14:textId="77777777" w:rsidR="00C32CBD" w:rsidRDefault="00C32CBD" w:rsidP="00320D09">
            <w:pPr>
              <w:jc w:val="center"/>
              <w:rPr>
                <w:rFonts w:cs="Arial"/>
                <w:sz w:val="18"/>
                <w:szCs w:val="18"/>
              </w:rPr>
            </w:pPr>
            <w:r>
              <w:rPr>
                <w:rFonts w:cs="Arial"/>
                <w:sz w:val="18"/>
                <w:szCs w:val="18"/>
              </w:rPr>
              <w:t>1.1A</w:t>
            </w:r>
          </w:p>
        </w:tc>
        <w:tc>
          <w:tcPr>
            <w:tcW w:w="1140" w:type="dxa"/>
            <w:tcBorders>
              <w:top w:val="nil"/>
              <w:left w:val="nil"/>
              <w:bottom w:val="nil"/>
              <w:right w:val="nil"/>
            </w:tcBorders>
            <w:shd w:val="clear" w:color="FFFFFF" w:fill="FFFFFF"/>
            <w:noWrap/>
            <w:vAlign w:val="bottom"/>
            <w:hideMark/>
          </w:tcPr>
          <w:p w14:paraId="6B56A44C" w14:textId="77777777" w:rsidR="00C32CBD" w:rsidRDefault="00C32CBD" w:rsidP="00320D09">
            <w:pPr>
              <w:jc w:val="right"/>
              <w:rPr>
                <w:rFonts w:cs="Arial"/>
                <w:b/>
                <w:bCs/>
                <w:sz w:val="18"/>
                <w:szCs w:val="18"/>
              </w:rPr>
            </w:pPr>
            <w:r>
              <w:rPr>
                <w:rFonts w:cs="Arial"/>
                <w:b/>
                <w:bCs/>
                <w:sz w:val="18"/>
                <w:szCs w:val="18"/>
              </w:rPr>
              <w:t>175,013</w:t>
            </w:r>
          </w:p>
        </w:tc>
        <w:tc>
          <w:tcPr>
            <w:tcW w:w="236" w:type="dxa"/>
            <w:tcBorders>
              <w:top w:val="nil"/>
              <w:left w:val="nil"/>
              <w:bottom w:val="nil"/>
              <w:right w:val="nil"/>
            </w:tcBorders>
            <w:shd w:val="clear" w:color="FFFFFF" w:fill="FFFFFF"/>
            <w:noWrap/>
            <w:vAlign w:val="bottom"/>
            <w:hideMark/>
          </w:tcPr>
          <w:p w14:paraId="75E9F0C4" w14:textId="77777777" w:rsidR="00C32CBD" w:rsidRDefault="00C32CBD" w:rsidP="00320D09">
            <w:pPr>
              <w:rPr>
                <w:rFonts w:cs="Arial"/>
                <w:sz w:val="18"/>
                <w:szCs w:val="18"/>
              </w:rPr>
            </w:pPr>
            <w:r>
              <w:rPr>
                <w:rFonts w:cs="Arial"/>
                <w:sz w:val="18"/>
                <w:szCs w:val="18"/>
              </w:rPr>
              <w:t> </w:t>
            </w:r>
          </w:p>
        </w:tc>
        <w:tc>
          <w:tcPr>
            <w:tcW w:w="1108" w:type="dxa"/>
            <w:tcBorders>
              <w:top w:val="nil"/>
              <w:left w:val="nil"/>
              <w:bottom w:val="nil"/>
              <w:right w:val="nil"/>
            </w:tcBorders>
            <w:shd w:val="clear" w:color="FFFFFF" w:fill="FFFFFF"/>
            <w:noWrap/>
            <w:vAlign w:val="bottom"/>
            <w:hideMark/>
          </w:tcPr>
          <w:p w14:paraId="2AC68478" w14:textId="77777777" w:rsidR="00C32CBD" w:rsidRDefault="00C32CBD" w:rsidP="00320D09">
            <w:pPr>
              <w:jc w:val="right"/>
              <w:rPr>
                <w:rFonts w:cs="Arial"/>
                <w:sz w:val="18"/>
                <w:szCs w:val="18"/>
              </w:rPr>
            </w:pPr>
            <w:r>
              <w:rPr>
                <w:rFonts w:cs="Arial"/>
                <w:sz w:val="18"/>
                <w:szCs w:val="18"/>
              </w:rPr>
              <w:t>115,464</w:t>
            </w:r>
          </w:p>
        </w:tc>
        <w:tc>
          <w:tcPr>
            <w:tcW w:w="236" w:type="dxa"/>
            <w:tcBorders>
              <w:top w:val="nil"/>
              <w:left w:val="nil"/>
              <w:bottom w:val="nil"/>
              <w:right w:val="nil"/>
            </w:tcBorders>
            <w:shd w:val="clear" w:color="FFFFFF" w:fill="FFFFFF"/>
            <w:noWrap/>
            <w:vAlign w:val="bottom"/>
            <w:hideMark/>
          </w:tcPr>
          <w:p w14:paraId="1CD4AD69" w14:textId="77777777" w:rsidR="00C32CBD" w:rsidRDefault="00C32CBD" w:rsidP="00320D09">
            <w:pPr>
              <w:rPr>
                <w:rFonts w:cs="Arial"/>
                <w:sz w:val="18"/>
                <w:szCs w:val="18"/>
              </w:rPr>
            </w:pPr>
            <w:r>
              <w:rPr>
                <w:rFonts w:cs="Arial"/>
                <w:sz w:val="18"/>
                <w:szCs w:val="18"/>
              </w:rPr>
              <w:t> </w:t>
            </w:r>
          </w:p>
        </w:tc>
        <w:tc>
          <w:tcPr>
            <w:tcW w:w="1203" w:type="dxa"/>
            <w:tcBorders>
              <w:top w:val="nil"/>
              <w:left w:val="nil"/>
              <w:bottom w:val="nil"/>
              <w:right w:val="nil"/>
            </w:tcBorders>
            <w:shd w:val="clear" w:color="FFFFFF" w:fill="FFFFFF"/>
            <w:noWrap/>
            <w:vAlign w:val="bottom"/>
            <w:hideMark/>
          </w:tcPr>
          <w:p w14:paraId="260D695E" w14:textId="77777777" w:rsidR="00C32CBD" w:rsidRDefault="00C32CBD" w:rsidP="00320D09">
            <w:pPr>
              <w:jc w:val="right"/>
              <w:rPr>
                <w:rFonts w:cs="Arial"/>
                <w:sz w:val="18"/>
                <w:szCs w:val="18"/>
              </w:rPr>
            </w:pPr>
            <w:r>
              <w:rPr>
                <w:rFonts w:cs="Arial"/>
                <w:sz w:val="18"/>
                <w:szCs w:val="18"/>
              </w:rPr>
              <w:t>184,442</w:t>
            </w:r>
          </w:p>
        </w:tc>
      </w:tr>
      <w:tr w:rsidR="00C32CBD" w14:paraId="4F2BBE60" w14:textId="77777777" w:rsidTr="00320D09">
        <w:trPr>
          <w:trHeight w:val="255"/>
        </w:trPr>
        <w:tc>
          <w:tcPr>
            <w:tcW w:w="4164" w:type="dxa"/>
            <w:tcBorders>
              <w:top w:val="nil"/>
              <w:left w:val="nil"/>
              <w:bottom w:val="nil"/>
              <w:right w:val="nil"/>
            </w:tcBorders>
            <w:shd w:val="clear" w:color="FFFFFF" w:fill="FFFFFF"/>
            <w:vAlign w:val="bottom"/>
            <w:hideMark/>
          </w:tcPr>
          <w:p w14:paraId="0CB3B6F0" w14:textId="77777777" w:rsidR="00C32CBD" w:rsidRDefault="00C32CBD" w:rsidP="00320D09">
            <w:pPr>
              <w:ind w:firstLineChars="100" w:firstLine="180"/>
              <w:rPr>
                <w:rFonts w:cs="Arial"/>
                <w:sz w:val="18"/>
                <w:szCs w:val="18"/>
              </w:rPr>
            </w:pPr>
            <w:r>
              <w:rPr>
                <w:rFonts w:cs="Arial"/>
                <w:sz w:val="18"/>
                <w:szCs w:val="18"/>
              </w:rPr>
              <w:t>Suppliers</w:t>
            </w:r>
          </w:p>
        </w:tc>
        <w:tc>
          <w:tcPr>
            <w:tcW w:w="1000" w:type="dxa"/>
            <w:tcBorders>
              <w:top w:val="nil"/>
              <w:left w:val="nil"/>
              <w:bottom w:val="nil"/>
              <w:right w:val="nil"/>
            </w:tcBorders>
            <w:shd w:val="clear" w:color="FFFFFF" w:fill="FFFFFF"/>
            <w:noWrap/>
            <w:vAlign w:val="bottom"/>
            <w:hideMark/>
          </w:tcPr>
          <w:p w14:paraId="657DC776" w14:textId="77777777" w:rsidR="00C32CBD" w:rsidRDefault="00C32CBD" w:rsidP="00320D09">
            <w:pPr>
              <w:jc w:val="center"/>
              <w:rPr>
                <w:rFonts w:cs="Arial"/>
                <w:sz w:val="18"/>
                <w:szCs w:val="18"/>
              </w:rPr>
            </w:pPr>
            <w:r>
              <w:rPr>
                <w:rFonts w:cs="Arial"/>
                <w:sz w:val="18"/>
                <w:szCs w:val="18"/>
              </w:rPr>
              <w:t>1.1B</w:t>
            </w:r>
          </w:p>
        </w:tc>
        <w:tc>
          <w:tcPr>
            <w:tcW w:w="1140" w:type="dxa"/>
            <w:tcBorders>
              <w:top w:val="nil"/>
              <w:left w:val="nil"/>
              <w:bottom w:val="nil"/>
              <w:right w:val="nil"/>
            </w:tcBorders>
            <w:shd w:val="clear" w:color="FFFFFF" w:fill="FFFFFF"/>
            <w:noWrap/>
            <w:vAlign w:val="bottom"/>
            <w:hideMark/>
          </w:tcPr>
          <w:p w14:paraId="2559F580" w14:textId="77777777" w:rsidR="00C32CBD" w:rsidRDefault="00C32CBD" w:rsidP="00320D09">
            <w:pPr>
              <w:jc w:val="right"/>
              <w:rPr>
                <w:rFonts w:cs="Arial"/>
                <w:b/>
                <w:bCs/>
                <w:sz w:val="18"/>
                <w:szCs w:val="18"/>
              </w:rPr>
            </w:pPr>
            <w:r>
              <w:rPr>
                <w:rFonts w:cs="Arial"/>
                <w:b/>
                <w:bCs/>
                <w:sz w:val="18"/>
                <w:szCs w:val="18"/>
              </w:rPr>
              <w:t>262,653</w:t>
            </w:r>
          </w:p>
        </w:tc>
        <w:tc>
          <w:tcPr>
            <w:tcW w:w="236" w:type="dxa"/>
            <w:tcBorders>
              <w:top w:val="nil"/>
              <w:left w:val="nil"/>
              <w:bottom w:val="nil"/>
              <w:right w:val="nil"/>
            </w:tcBorders>
            <w:shd w:val="clear" w:color="FFFFFF" w:fill="FFFFFF"/>
            <w:noWrap/>
            <w:vAlign w:val="bottom"/>
            <w:hideMark/>
          </w:tcPr>
          <w:p w14:paraId="072BFE1B" w14:textId="77777777" w:rsidR="00C32CBD" w:rsidRDefault="00C32CBD" w:rsidP="00320D09">
            <w:pPr>
              <w:rPr>
                <w:rFonts w:cs="Arial"/>
                <w:sz w:val="18"/>
                <w:szCs w:val="18"/>
              </w:rPr>
            </w:pPr>
            <w:r>
              <w:rPr>
                <w:rFonts w:cs="Arial"/>
                <w:sz w:val="18"/>
                <w:szCs w:val="18"/>
              </w:rPr>
              <w:t> </w:t>
            </w:r>
          </w:p>
        </w:tc>
        <w:tc>
          <w:tcPr>
            <w:tcW w:w="1108" w:type="dxa"/>
            <w:tcBorders>
              <w:top w:val="nil"/>
              <w:left w:val="nil"/>
              <w:bottom w:val="nil"/>
              <w:right w:val="nil"/>
            </w:tcBorders>
            <w:shd w:val="clear" w:color="FFFFFF" w:fill="FFFFFF"/>
            <w:noWrap/>
            <w:vAlign w:val="bottom"/>
            <w:hideMark/>
          </w:tcPr>
          <w:p w14:paraId="3DBFF3AD" w14:textId="77777777" w:rsidR="00C32CBD" w:rsidRDefault="00C32CBD" w:rsidP="00320D09">
            <w:pPr>
              <w:jc w:val="right"/>
              <w:rPr>
                <w:rFonts w:cs="Arial"/>
                <w:sz w:val="18"/>
                <w:szCs w:val="18"/>
              </w:rPr>
            </w:pPr>
            <w:r>
              <w:rPr>
                <w:rFonts w:cs="Arial"/>
                <w:sz w:val="18"/>
                <w:szCs w:val="18"/>
              </w:rPr>
              <w:t>114,490</w:t>
            </w:r>
          </w:p>
        </w:tc>
        <w:tc>
          <w:tcPr>
            <w:tcW w:w="236" w:type="dxa"/>
            <w:tcBorders>
              <w:top w:val="nil"/>
              <w:left w:val="nil"/>
              <w:bottom w:val="nil"/>
              <w:right w:val="nil"/>
            </w:tcBorders>
            <w:shd w:val="clear" w:color="FFFFFF" w:fill="FFFFFF"/>
            <w:noWrap/>
            <w:vAlign w:val="bottom"/>
            <w:hideMark/>
          </w:tcPr>
          <w:p w14:paraId="07F41196" w14:textId="77777777" w:rsidR="00C32CBD" w:rsidRDefault="00C32CBD" w:rsidP="00320D09">
            <w:pPr>
              <w:rPr>
                <w:rFonts w:cs="Arial"/>
                <w:sz w:val="18"/>
                <w:szCs w:val="18"/>
              </w:rPr>
            </w:pPr>
            <w:r>
              <w:rPr>
                <w:rFonts w:cs="Arial"/>
                <w:sz w:val="18"/>
                <w:szCs w:val="18"/>
              </w:rPr>
              <w:t> </w:t>
            </w:r>
          </w:p>
        </w:tc>
        <w:tc>
          <w:tcPr>
            <w:tcW w:w="1203" w:type="dxa"/>
            <w:tcBorders>
              <w:top w:val="nil"/>
              <w:left w:val="nil"/>
              <w:bottom w:val="nil"/>
              <w:right w:val="nil"/>
            </w:tcBorders>
            <w:shd w:val="clear" w:color="FFFFFF" w:fill="FFFFFF"/>
            <w:noWrap/>
            <w:vAlign w:val="bottom"/>
            <w:hideMark/>
          </w:tcPr>
          <w:p w14:paraId="395363E3" w14:textId="77777777" w:rsidR="00C32CBD" w:rsidRDefault="00C32CBD" w:rsidP="00320D09">
            <w:pPr>
              <w:jc w:val="right"/>
              <w:rPr>
                <w:rFonts w:cs="Arial"/>
                <w:sz w:val="18"/>
                <w:szCs w:val="18"/>
              </w:rPr>
            </w:pPr>
            <w:r>
              <w:rPr>
                <w:rFonts w:cs="Arial"/>
                <w:sz w:val="18"/>
                <w:szCs w:val="18"/>
              </w:rPr>
              <w:t>484,437</w:t>
            </w:r>
          </w:p>
        </w:tc>
      </w:tr>
      <w:tr w:rsidR="00C32CBD" w14:paraId="2FA90C58" w14:textId="77777777" w:rsidTr="00320D09">
        <w:trPr>
          <w:trHeight w:val="255"/>
        </w:trPr>
        <w:tc>
          <w:tcPr>
            <w:tcW w:w="4164" w:type="dxa"/>
            <w:tcBorders>
              <w:top w:val="nil"/>
              <w:left w:val="nil"/>
              <w:bottom w:val="nil"/>
              <w:right w:val="nil"/>
            </w:tcBorders>
            <w:shd w:val="clear" w:color="FFFFFF" w:fill="FFFFFF"/>
            <w:vAlign w:val="bottom"/>
            <w:hideMark/>
          </w:tcPr>
          <w:p w14:paraId="5C334A95" w14:textId="77777777" w:rsidR="00C32CBD" w:rsidRDefault="00C32CBD" w:rsidP="00320D09">
            <w:pPr>
              <w:ind w:firstLineChars="100" w:firstLine="180"/>
              <w:rPr>
                <w:rFonts w:cs="Arial"/>
                <w:sz w:val="18"/>
                <w:szCs w:val="18"/>
              </w:rPr>
            </w:pPr>
            <w:r>
              <w:rPr>
                <w:rFonts w:cs="Arial"/>
                <w:sz w:val="18"/>
                <w:szCs w:val="18"/>
              </w:rPr>
              <w:t>Community partnership costs</w:t>
            </w:r>
          </w:p>
        </w:tc>
        <w:tc>
          <w:tcPr>
            <w:tcW w:w="1000" w:type="dxa"/>
            <w:tcBorders>
              <w:top w:val="nil"/>
              <w:left w:val="nil"/>
              <w:bottom w:val="nil"/>
              <w:right w:val="nil"/>
            </w:tcBorders>
            <w:shd w:val="clear" w:color="FFFFFF" w:fill="FFFFFF"/>
            <w:noWrap/>
            <w:vAlign w:val="bottom"/>
            <w:hideMark/>
          </w:tcPr>
          <w:p w14:paraId="36C10A93" w14:textId="77777777" w:rsidR="00C32CBD" w:rsidRDefault="00C32CBD" w:rsidP="00320D09">
            <w:pPr>
              <w:jc w:val="center"/>
              <w:rPr>
                <w:rFonts w:cs="Arial"/>
                <w:sz w:val="18"/>
                <w:szCs w:val="18"/>
              </w:rPr>
            </w:pPr>
            <w:r>
              <w:rPr>
                <w:rFonts w:cs="Arial"/>
                <w:sz w:val="18"/>
                <w:szCs w:val="18"/>
              </w:rPr>
              <w:t>1.1E</w:t>
            </w:r>
          </w:p>
        </w:tc>
        <w:tc>
          <w:tcPr>
            <w:tcW w:w="1140" w:type="dxa"/>
            <w:tcBorders>
              <w:top w:val="nil"/>
              <w:left w:val="nil"/>
              <w:bottom w:val="nil"/>
              <w:right w:val="nil"/>
            </w:tcBorders>
            <w:shd w:val="clear" w:color="FFFFFF" w:fill="FFFFFF"/>
            <w:noWrap/>
            <w:vAlign w:val="bottom"/>
            <w:hideMark/>
          </w:tcPr>
          <w:p w14:paraId="26BF7814" w14:textId="77777777" w:rsidR="00C32CBD" w:rsidRDefault="00C32CBD" w:rsidP="00320D09">
            <w:pPr>
              <w:jc w:val="right"/>
              <w:rPr>
                <w:rFonts w:cs="Arial"/>
                <w:b/>
                <w:bCs/>
                <w:sz w:val="18"/>
                <w:szCs w:val="18"/>
              </w:rPr>
            </w:pPr>
            <w:r>
              <w:rPr>
                <w:rFonts w:cs="Arial"/>
                <w:b/>
                <w:bCs/>
                <w:sz w:val="18"/>
                <w:szCs w:val="18"/>
              </w:rPr>
              <w:t>125,687</w:t>
            </w:r>
          </w:p>
        </w:tc>
        <w:tc>
          <w:tcPr>
            <w:tcW w:w="236" w:type="dxa"/>
            <w:tcBorders>
              <w:top w:val="nil"/>
              <w:left w:val="nil"/>
              <w:bottom w:val="nil"/>
              <w:right w:val="nil"/>
            </w:tcBorders>
            <w:shd w:val="clear" w:color="FFFFFF" w:fill="FFFFFF"/>
            <w:noWrap/>
            <w:vAlign w:val="bottom"/>
            <w:hideMark/>
          </w:tcPr>
          <w:p w14:paraId="1A6E6678" w14:textId="77777777" w:rsidR="00C32CBD" w:rsidRDefault="00C32CBD" w:rsidP="00320D09">
            <w:pPr>
              <w:rPr>
                <w:rFonts w:cs="Arial"/>
                <w:sz w:val="18"/>
                <w:szCs w:val="18"/>
              </w:rPr>
            </w:pPr>
            <w:r>
              <w:rPr>
                <w:rFonts w:cs="Arial"/>
                <w:sz w:val="18"/>
                <w:szCs w:val="18"/>
              </w:rPr>
              <w:t> </w:t>
            </w:r>
          </w:p>
        </w:tc>
        <w:tc>
          <w:tcPr>
            <w:tcW w:w="1108" w:type="dxa"/>
            <w:tcBorders>
              <w:top w:val="nil"/>
              <w:left w:val="nil"/>
              <w:bottom w:val="nil"/>
              <w:right w:val="nil"/>
            </w:tcBorders>
            <w:shd w:val="clear" w:color="FFFFFF" w:fill="FFFFFF"/>
            <w:noWrap/>
            <w:vAlign w:val="bottom"/>
            <w:hideMark/>
          </w:tcPr>
          <w:p w14:paraId="185DBCD9" w14:textId="77777777" w:rsidR="00C32CBD" w:rsidRDefault="00C32CBD" w:rsidP="00320D09">
            <w:pPr>
              <w:jc w:val="right"/>
              <w:rPr>
                <w:rFonts w:cs="Arial"/>
                <w:sz w:val="18"/>
                <w:szCs w:val="18"/>
              </w:rPr>
            </w:pPr>
            <w:r>
              <w:rPr>
                <w:rFonts w:cs="Arial"/>
                <w:sz w:val="18"/>
                <w:szCs w:val="18"/>
              </w:rPr>
              <w:t>21,514</w:t>
            </w:r>
          </w:p>
        </w:tc>
        <w:tc>
          <w:tcPr>
            <w:tcW w:w="236" w:type="dxa"/>
            <w:tcBorders>
              <w:top w:val="nil"/>
              <w:left w:val="nil"/>
              <w:bottom w:val="nil"/>
              <w:right w:val="nil"/>
            </w:tcBorders>
            <w:shd w:val="clear" w:color="FFFFFF" w:fill="FFFFFF"/>
            <w:noWrap/>
            <w:vAlign w:val="bottom"/>
            <w:hideMark/>
          </w:tcPr>
          <w:p w14:paraId="5F228D99" w14:textId="77777777" w:rsidR="00C32CBD" w:rsidRDefault="00C32CBD" w:rsidP="00320D09">
            <w:pPr>
              <w:rPr>
                <w:rFonts w:cs="Arial"/>
                <w:sz w:val="18"/>
                <w:szCs w:val="18"/>
              </w:rPr>
            </w:pPr>
            <w:r>
              <w:rPr>
                <w:rFonts w:cs="Arial"/>
                <w:sz w:val="18"/>
                <w:szCs w:val="18"/>
              </w:rPr>
              <w:t> </w:t>
            </w:r>
          </w:p>
        </w:tc>
        <w:tc>
          <w:tcPr>
            <w:tcW w:w="1203" w:type="dxa"/>
            <w:tcBorders>
              <w:top w:val="nil"/>
              <w:left w:val="nil"/>
              <w:bottom w:val="nil"/>
              <w:right w:val="nil"/>
            </w:tcBorders>
            <w:shd w:val="clear" w:color="FFFFFF" w:fill="FFFFFF"/>
            <w:noWrap/>
            <w:vAlign w:val="bottom"/>
            <w:hideMark/>
          </w:tcPr>
          <w:p w14:paraId="4B9F0C56" w14:textId="77777777" w:rsidR="00C32CBD" w:rsidRDefault="00C32CBD" w:rsidP="00320D09">
            <w:pPr>
              <w:jc w:val="right"/>
              <w:rPr>
                <w:rFonts w:cs="Arial"/>
                <w:sz w:val="18"/>
                <w:szCs w:val="18"/>
              </w:rPr>
            </w:pPr>
            <w:r>
              <w:rPr>
                <w:rFonts w:cs="Arial"/>
                <w:sz w:val="18"/>
                <w:szCs w:val="18"/>
              </w:rPr>
              <w:t xml:space="preserve"> -</w:t>
            </w:r>
          </w:p>
        </w:tc>
      </w:tr>
      <w:tr w:rsidR="00C32CBD" w14:paraId="23AFA699" w14:textId="77777777" w:rsidTr="00320D09">
        <w:trPr>
          <w:trHeight w:val="255"/>
        </w:trPr>
        <w:tc>
          <w:tcPr>
            <w:tcW w:w="4164" w:type="dxa"/>
            <w:tcBorders>
              <w:top w:val="nil"/>
              <w:left w:val="nil"/>
              <w:bottom w:val="nil"/>
              <w:right w:val="nil"/>
            </w:tcBorders>
            <w:shd w:val="clear" w:color="FFFFFF" w:fill="FFFFFF"/>
            <w:vAlign w:val="bottom"/>
            <w:hideMark/>
          </w:tcPr>
          <w:p w14:paraId="034B624A" w14:textId="77777777" w:rsidR="00C32CBD" w:rsidRDefault="00C32CBD" w:rsidP="00320D09">
            <w:pPr>
              <w:ind w:firstLineChars="100" w:firstLine="180"/>
              <w:rPr>
                <w:rFonts w:cs="Arial"/>
                <w:sz w:val="18"/>
                <w:szCs w:val="18"/>
              </w:rPr>
            </w:pPr>
            <w:r>
              <w:rPr>
                <w:rFonts w:cs="Arial"/>
                <w:sz w:val="18"/>
                <w:szCs w:val="18"/>
              </w:rPr>
              <w:t>Grants</w:t>
            </w:r>
          </w:p>
        </w:tc>
        <w:tc>
          <w:tcPr>
            <w:tcW w:w="1000" w:type="dxa"/>
            <w:tcBorders>
              <w:top w:val="nil"/>
              <w:left w:val="nil"/>
              <w:bottom w:val="nil"/>
              <w:right w:val="nil"/>
            </w:tcBorders>
            <w:shd w:val="clear" w:color="FFFFFF" w:fill="FFFFFF"/>
            <w:noWrap/>
            <w:vAlign w:val="bottom"/>
            <w:hideMark/>
          </w:tcPr>
          <w:p w14:paraId="7E066DF2" w14:textId="77777777" w:rsidR="00C32CBD" w:rsidRDefault="00C32CBD" w:rsidP="00320D09">
            <w:pPr>
              <w:jc w:val="center"/>
              <w:rPr>
                <w:rFonts w:cs="Arial"/>
                <w:sz w:val="18"/>
                <w:szCs w:val="18"/>
              </w:rPr>
            </w:pPr>
            <w:r>
              <w:rPr>
                <w:rFonts w:cs="Arial"/>
                <w:sz w:val="18"/>
                <w:szCs w:val="18"/>
              </w:rPr>
              <w:t>1.1C</w:t>
            </w:r>
          </w:p>
        </w:tc>
        <w:tc>
          <w:tcPr>
            <w:tcW w:w="1140" w:type="dxa"/>
            <w:tcBorders>
              <w:top w:val="nil"/>
              <w:left w:val="nil"/>
              <w:bottom w:val="nil"/>
              <w:right w:val="nil"/>
            </w:tcBorders>
            <w:shd w:val="clear" w:color="FFFFFF" w:fill="FFFFFF"/>
            <w:noWrap/>
            <w:vAlign w:val="bottom"/>
            <w:hideMark/>
          </w:tcPr>
          <w:p w14:paraId="57B4DE8B" w14:textId="77777777" w:rsidR="00C32CBD" w:rsidRDefault="00C32CBD" w:rsidP="00320D09">
            <w:pPr>
              <w:jc w:val="right"/>
              <w:rPr>
                <w:rFonts w:cs="Arial"/>
                <w:b/>
                <w:bCs/>
                <w:sz w:val="18"/>
                <w:szCs w:val="18"/>
              </w:rPr>
            </w:pPr>
            <w:r>
              <w:rPr>
                <w:rFonts w:cs="Arial"/>
                <w:b/>
                <w:bCs/>
                <w:sz w:val="18"/>
                <w:szCs w:val="18"/>
              </w:rPr>
              <w:t>39,104</w:t>
            </w:r>
          </w:p>
        </w:tc>
        <w:tc>
          <w:tcPr>
            <w:tcW w:w="236" w:type="dxa"/>
            <w:tcBorders>
              <w:top w:val="nil"/>
              <w:left w:val="nil"/>
              <w:bottom w:val="nil"/>
              <w:right w:val="nil"/>
            </w:tcBorders>
            <w:shd w:val="clear" w:color="FFFFFF" w:fill="FFFFFF"/>
            <w:noWrap/>
            <w:vAlign w:val="bottom"/>
            <w:hideMark/>
          </w:tcPr>
          <w:p w14:paraId="50CA4E31" w14:textId="77777777" w:rsidR="00C32CBD" w:rsidRDefault="00C32CBD" w:rsidP="00320D09">
            <w:pPr>
              <w:rPr>
                <w:rFonts w:cs="Arial"/>
                <w:sz w:val="18"/>
                <w:szCs w:val="18"/>
              </w:rPr>
            </w:pPr>
            <w:r>
              <w:rPr>
                <w:rFonts w:cs="Arial"/>
                <w:sz w:val="18"/>
                <w:szCs w:val="18"/>
              </w:rPr>
              <w:t> </w:t>
            </w:r>
          </w:p>
        </w:tc>
        <w:tc>
          <w:tcPr>
            <w:tcW w:w="1108" w:type="dxa"/>
            <w:tcBorders>
              <w:top w:val="nil"/>
              <w:left w:val="nil"/>
              <w:bottom w:val="nil"/>
              <w:right w:val="nil"/>
            </w:tcBorders>
            <w:shd w:val="clear" w:color="FFFFFF" w:fill="FFFFFF"/>
            <w:noWrap/>
            <w:vAlign w:val="bottom"/>
            <w:hideMark/>
          </w:tcPr>
          <w:p w14:paraId="7C268384" w14:textId="77777777" w:rsidR="00C32CBD" w:rsidRDefault="00C32CBD" w:rsidP="00320D09">
            <w:pPr>
              <w:jc w:val="right"/>
              <w:rPr>
                <w:rFonts w:cs="Arial"/>
                <w:sz w:val="18"/>
                <w:szCs w:val="18"/>
              </w:rPr>
            </w:pPr>
            <w:r>
              <w:rPr>
                <w:rFonts w:cs="Arial"/>
                <w:sz w:val="18"/>
                <w:szCs w:val="18"/>
              </w:rPr>
              <w:t>8,958</w:t>
            </w:r>
          </w:p>
        </w:tc>
        <w:tc>
          <w:tcPr>
            <w:tcW w:w="236" w:type="dxa"/>
            <w:tcBorders>
              <w:top w:val="nil"/>
              <w:left w:val="nil"/>
              <w:bottom w:val="nil"/>
              <w:right w:val="nil"/>
            </w:tcBorders>
            <w:shd w:val="clear" w:color="FFFFFF" w:fill="FFFFFF"/>
            <w:noWrap/>
            <w:vAlign w:val="bottom"/>
            <w:hideMark/>
          </w:tcPr>
          <w:p w14:paraId="6C90575C" w14:textId="77777777" w:rsidR="00C32CBD" w:rsidRDefault="00C32CBD" w:rsidP="00320D09">
            <w:pPr>
              <w:rPr>
                <w:rFonts w:cs="Arial"/>
                <w:sz w:val="18"/>
                <w:szCs w:val="18"/>
              </w:rPr>
            </w:pPr>
            <w:r>
              <w:rPr>
                <w:rFonts w:cs="Arial"/>
                <w:sz w:val="18"/>
                <w:szCs w:val="18"/>
              </w:rPr>
              <w:t> </w:t>
            </w:r>
          </w:p>
        </w:tc>
        <w:tc>
          <w:tcPr>
            <w:tcW w:w="1203" w:type="dxa"/>
            <w:tcBorders>
              <w:top w:val="nil"/>
              <w:left w:val="nil"/>
              <w:bottom w:val="nil"/>
              <w:right w:val="nil"/>
            </w:tcBorders>
            <w:shd w:val="clear" w:color="FFFFFF" w:fill="FFFFFF"/>
            <w:noWrap/>
            <w:vAlign w:val="bottom"/>
            <w:hideMark/>
          </w:tcPr>
          <w:p w14:paraId="787460BA" w14:textId="77777777" w:rsidR="00C32CBD" w:rsidRDefault="00C32CBD" w:rsidP="00320D09">
            <w:pPr>
              <w:jc w:val="right"/>
              <w:rPr>
                <w:rFonts w:cs="Arial"/>
                <w:sz w:val="18"/>
                <w:szCs w:val="18"/>
              </w:rPr>
            </w:pPr>
            <w:r>
              <w:rPr>
                <w:rFonts w:cs="Arial"/>
                <w:sz w:val="18"/>
                <w:szCs w:val="18"/>
              </w:rPr>
              <w:t>33,284</w:t>
            </w:r>
          </w:p>
        </w:tc>
      </w:tr>
      <w:tr w:rsidR="00C32CBD" w14:paraId="205980CD" w14:textId="77777777" w:rsidTr="00320D09">
        <w:trPr>
          <w:trHeight w:val="255"/>
        </w:trPr>
        <w:tc>
          <w:tcPr>
            <w:tcW w:w="4164" w:type="dxa"/>
            <w:tcBorders>
              <w:top w:val="nil"/>
              <w:left w:val="nil"/>
              <w:bottom w:val="nil"/>
              <w:right w:val="nil"/>
            </w:tcBorders>
            <w:shd w:val="clear" w:color="FFFFFF" w:fill="FFFFFF"/>
            <w:vAlign w:val="bottom"/>
            <w:hideMark/>
          </w:tcPr>
          <w:p w14:paraId="24970C22" w14:textId="77777777" w:rsidR="00C32CBD" w:rsidRDefault="00C32CBD" w:rsidP="00320D09">
            <w:pPr>
              <w:ind w:firstLineChars="100" w:firstLine="180"/>
              <w:rPr>
                <w:rFonts w:cs="Arial"/>
                <w:sz w:val="18"/>
                <w:szCs w:val="18"/>
              </w:rPr>
            </w:pPr>
            <w:r>
              <w:rPr>
                <w:rFonts w:cs="Arial"/>
                <w:sz w:val="18"/>
                <w:szCs w:val="18"/>
              </w:rPr>
              <w:t>Participant plan expenses</w:t>
            </w:r>
          </w:p>
        </w:tc>
        <w:tc>
          <w:tcPr>
            <w:tcW w:w="1000" w:type="dxa"/>
            <w:tcBorders>
              <w:top w:val="nil"/>
              <w:left w:val="nil"/>
              <w:bottom w:val="nil"/>
              <w:right w:val="nil"/>
            </w:tcBorders>
            <w:shd w:val="clear" w:color="FFFFFF" w:fill="FFFFFF"/>
            <w:noWrap/>
            <w:vAlign w:val="bottom"/>
            <w:hideMark/>
          </w:tcPr>
          <w:p w14:paraId="51B931F1" w14:textId="77777777" w:rsidR="00C32CBD" w:rsidRDefault="00C32CBD" w:rsidP="00320D09">
            <w:pPr>
              <w:jc w:val="center"/>
              <w:rPr>
                <w:rFonts w:cs="Arial"/>
                <w:sz w:val="18"/>
                <w:szCs w:val="18"/>
              </w:rPr>
            </w:pPr>
            <w:r>
              <w:rPr>
                <w:rFonts w:cs="Arial"/>
                <w:sz w:val="18"/>
                <w:szCs w:val="18"/>
              </w:rPr>
              <w:t>1.1F</w:t>
            </w:r>
          </w:p>
        </w:tc>
        <w:tc>
          <w:tcPr>
            <w:tcW w:w="1140" w:type="dxa"/>
            <w:tcBorders>
              <w:top w:val="nil"/>
              <w:left w:val="nil"/>
              <w:bottom w:val="nil"/>
              <w:right w:val="nil"/>
            </w:tcBorders>
            <w:shd w:val="clear" w:color="FFFFFF" w:fill="FFFFFF"/>
            <w:noWrap/>
            <w:vAlign w:val="bottom"/>
            <w:hideMark/>
          </w:tcPr>
          <w:p w14:paraId="48BDD03A" w14:textId="77777777" w:rsidR="00C32CBD" w:rsidRDefault="00C32CBD" w:rsidP="00320D09">
            <w:pPr>
              <w:jc w:val="right"/>
              <w:rPr>
                <w:rFonts w:cs="Arial"/>
                <w:b/>
                <w:bCs/>
                <w:sz w:val="18"/>
                <w:szCs w:val="18"/>
              </w:rPr>
            </w:pPr>
            <w:r>
              <w:rPr>
                <w:rFonts w:cs="Arial"/>
                <w:b/>
                <w:bCs/>
                <w:sz w:val="18"/>
                <w:szCs w:val="18"/>
              </w:rPr>
              <w:t>2,238,147</w:t>
            </w:r>
          </w:p>
        </w:tc>
        <w:tc>
          <w:tcPr>
            <w:tcW w:w="236" w:type="dxa"/>
            <w:tcBorders>
              <w:top w:val="nil"/>
              <w:left w:val="nil"/>
              <w:bottom w:val="nil"/>
              <w:right w:val="nil"/>
            </w:tcBorders>
            <w:shd w:val="clear" w:color="FFFFFF" w:fill="FFFFFF"/>
            <w:noWrap/>
            <w:vAlign w:val="bottom"/>
            <w:hideMark/>
          </w:tcPr>
          <w:p w14:paraId="34EA2D91" w14:textId="77777777" w:rsidR="00C32CBD" w:rsidRDefault="00C32CBD" w:rsidP="00320D09">
            <w:pPr>
              <w:rPr>
                <w:rFonts w:cs="Arial"/>
                <w:sz w:val="18"/>
                <w:szCs w:val="18"/>
              </w:rPr>
            </w:pPr>
            <w:r>
              <w:rPr>
                <w:rFonts w:cs="Arial"/>
                <w:sz w:val="18"/>
                <w:szCs w:val="18"/>
              </w:rPr>
              <w:t> </w:t>
            </w:r>
          </w:p>
        </w:tc>
        <w:tc>
          <w:tcPr>
            <w:tcW w:w="1108" w:type="dxa"/>
            <w:tcBorders>
              <w:top w:val="nil"/>
              <w:left w:val="nil"/>
              <w:bottom w:val="nil"/>
              <w:right w:val="nil"/>
            </w:tcBorders>
            <w:shd w:val="clear" w:color="FFFFFF" w:fill="FFFFFF"/>
            <w:noWrap/>
            <w:vAlign w:val="bottom"/>
            <w:hideMark/>
          </w:tcPr>
          <w:p w14:paraId="16E2EE1E" w14:textId="77777777" w:rsidR="00C32CBD" w:rsidRDefault="00C32CBD" w:rsidP="00320D09">
            <w:pPr>
              <w:jc w:val="right"/>
              <w:rPr>
                <w:rFonts w:cs="Arial"/>
                <w:sz w:val="18"/>
                <w:szCs w:val="18"/>
              </w:rPr>
            </w:pPr>
            <w:r>
              <w:rPr>
                <w:rFonts w:cs="Arial"/>
                <w:sz w:val="18"/>
                <w:szCs w:val="18"/>
              </w:rPr>
              <w:t>722,679</w:t>
            </w:r>
          </w:p>
        </w:tc>
        <w:tc>
          <w:tcPr>
            <w:tcW w:w="236" w:type="dxa"/>
            <w:tcBorders>
              <w:top w:val="nil"/>
              <w:left w:val="nil"/>
              <w:bottom w:val="nil"/>
              <w:right w:val="nil"/>
            </w:tcBorders>
            <w:shd w:val="clear" w:color="FFFFFF" w:fill="FFFFFF"/>
            <w:noWrap/>
            <w:vAlign w:val="bottom"/>
            <w:hideMark/>
          </w:tcPr>
          <w:p w14:paraId="1AD5B198" w14:textId="77777777" w:rsidR="00C32CBD" w:rsidRDefault="00C32CBD" w:rsidP="00320D09">
            <w:pPr>
              <w:rPr>
                <w:rFonts w:cs="Arial"/>
                <w:sz w:val="18"/>
                <w:szCs w:val="18"/>
              </w:rPr>
            </w:pPr>
            <w:r>
              <w:rPr>
                <w:rFonts w:cs="Arial"/>
                <w:sz w:val="18"/>
                <w:szCs w:val="18"/>
              </w:rPr>
              <w:t> </w:t>
            </w:r>
          </w:p>
        </w:tc>
        <w:tc>
          <w:tcPr>
            <w:tcW w:w="1203" w:type="dxa"/>
            <w:tcBorders>
              <w:top w:val="nil"/>
              <w:left w:val="nil"/>
              <w:bottom w:val="nil"/>
              <w:right w:val="nil"/>
            </w:tcBorders>
            <w:shd w:val="clear" w:color="FFFFFF" w:fill="FFFFFF"/>
            <w:noWrap/>
            <w:vAlign w:val="bottom"/>
            <w:hideMark/>
          </w:tcPr>
          <w:p w14:paraId="130ACCA5" w14:textId="77777777" w:rsidR="00C32CBD" w:rsidRDefault="00C32CBD" w:rsidP="00320D09">
            <w:pPr>
              <w:jc w:val="right"/>
              <w:rPr>
                <w:rFonts w:cs="Arial"/>
                <w:sz w:val="18"/>
                <w:szCs w:val="18"/>
              </w:rPr>
            </w:pPr>
            <w:r>
              <w:rPr>
                <w:rFonts w:cs="Arial"/>
                <w:sz w:val="18"/>
                <w:szCs w:val="18"/>
              </w:rPr>
              <w:t>3,486,713</w:t>
            </w:r>
          </w:p>
        </w:tc>
      </w:tr>
      <w:tr w:rsidR="00C32CBD" w14:paraId="248CFC82" w14:textId="77777777" w:rsidTr="00320D09">
        <w:trPr>
          <w:trHeight w:val="255"/>
        </w:trPr>
        <w:tc>
          <w:tcPr>
            <w:tcW w:w="4164" w:type="dxa"/>
            <w:tcBorders>
              <w:top w:val="nil"/>
              <w:left w:val="nil"/>
              <w:bottom w:val="nil"/>
              <w:right w:val="nil"/>
            </w:tcBorders>
            <w:shd w:val="clear" w:color="FFFFFF" w:fill="FFFFFF"/>
            <w:vAlign w:val="bottom"/>
            <w:hideMark/>
          </w:tcPr>
          <w:p w14:paraId="24AF0E6B" w14:textId="77777777" w:rsidR="00C32CBD" w:rsidRDefault="00C32CBD" w:rsidP="00320D09">
            <w:pPr>
              <w:ind w:firstLineChars="100" w:firstLine="180"/>
              <w:rPr>
                <w:rFonts w:cs="Arial"/>
                <w:sz w:val="18"/>
                <w:szCs w:val="18"/>
              </w:rPr>
            </w:pPr>
            <w:r>
              <w:rPr>
                <w:rFonts w:cs="Arial"/>
                <w:sz w:val="18"/>
                <w:szCs w:val="18"/>
              </w:rPr>
              <w:t>Depreciation and amortisation</w:t>
            </w:r>
          </w:p>
        </w:tc>
        <w:tc>
          <w:tcPr>
            <w:tcW w:w="1000" w:type="dxa"/>
            <w:tcBorders>
              <w:top w:val="nil"/>
              <w:left w:val="nil"/>
              <w:bottom w:val="nil"/>
              <w:right w:val="nil"/>
            </w:tcBorders>
            <w:shd w:val="clear" w:color="FFFFFF" w:fill="FFFFFF"/>
            <w:noWrap/>
            <w:vAlign w:val="bottom"/>
            <w:hideMark/>
          </w:tcPr>
          <w:p w14:paraId="6AC8DF75" w14:textId="77777777" w:rsidR="00C32CBD" w:rsidRDefault="00C32CBD" w:rsidP="00320D09">
            <w:pPr>
              <w:jc w:val="center"/>
              <w:rPr>
                <w:rFonts w:cs="Arial"/>
                <w:sz w:val="18"/>
                <w:szCs w:val="18"/>
              </w:rPr>
            </w:pPr>
            <w:r>
              <w:rPr>
                <w:rFonts w:cs="Arial"/>
                <w:sz w:val="18"/>
                <w:szCs w:val="18"/>
              </w:rPr>
              <w:t>2.2A</w:t>
            </w:r>
          </w:p>
        </w:tc>
        <w:tc>
          <w:tcPr>
            <w:tcW w:w="1140" w:type="dxa"/>
            <w:tcBorders>
              <w:top w:val="nil"/>
              <w:left w:val="nil"/>
              <w:bottom w:val="nil"/>
              <w:right w:val="nil"/>
            </w:tcBorders>
            <w:shd w:val="clear" w:color="FFFFFF" w:fill="FFFFFF"/>
            <w:noWrap/>
            <w:vAlign w:val="bottom"/>
            <w:hideMark/>
          </w:tcPr>
          <w:p w14:paraId="37317B5F" w14:textId="77777777" w:rsidR="00C32CBD" w:rsidRDefault="00C32CBD" w:rsidP="00320D09">
            <w:pPr>
              <w:jc w:val="right"/>
              <w:rPr>
                <w:rFonts w:cs="Arial"/>
                <w:b/>
                <w:bCs/>
                <w:sz w:val="18"/>
                <w:szCs w:val="18"/>
              </w:rPr>
            </w:pPr>
            <w:r>
              <w:rPr>
                <w:rFonts w:cs="Arial"/>
                <w:b/>
                <w:bCs/>
                <w:sz w:val="18"/>
                <w:szCs w:val="18"/>
              </w:rPr>
              <w:t>8,718</w:t>
            </w:r>
          </w:p>
        </w:tc>
        <w:tc>
          <w:tcPr>
            <w:tcW w:w="236" w:type="dxa"/>
            <w:tcBorders>
              <w:top w:val="nil"/>
              <w:left w:val="nil"/>
              <w:bottom w:val="nil"/>
              <w:right w:val="nil"/>
            </w:tcBorders>
            <w:shd w:val="clear" w:color="FFFFFF" w:fill="FFFFFF"/>
            <w:noWrap/>
            <w:vAlign w:val="bottom"/>
            <w:hideMark/>
          </w:tcPr>
          <w:p w14:paraId="0056CCB3" w14:textId="77777777" w:rsidR="00C32CBD" w:rsidRDefault="00C32CBD" w:rsidP="00320D09">
            <w:pPr>
              <w:rPr>
                <w:rFonts w:cs="Arial"/>
                <w:sz w:val="18"/>
                <w:szCs w:val="18"/>
              </w:rPr>
            </w:pPr>
            <w:r>
              <w:rPr>
                <w:rFonts w:cs="Arial"/>
                <w:sz w:val="18"/>
                <w:szCs w:val="18"/>
              </w:rPr>
              <w:t> </w:t>
            </w:r>
          </w:p>
        </w:tc>
        <w:tc>
          <w:tcPr>
            <w:tcW w:w="1108" w:type="dxa"/>
            <w:tcBorders>
              <w:top w:val="nil"/>
              <w:left w:val="nil"/>
              <w:bottom w:val="nil"/>
              <w:right w:val="nil"/>
            </w:tcBorders>
            <w:shd w:val="clear" w:color="FFFFFF" w:fill="FFFFFF"/>
            <w:noWrap/>
            <w:vAlign w:val="bottom"/>
            <w:hideMark/>
          </w:tcPr>
          <w:p w14:paraId="1CF792B2" w14:textId="77777777" w:rsidR="00C32CBD" w:rsidRDefault="00C32CBD" w:rsidP="00320D09">
            <w:pPr>
              <w:jc w:val="right"/>
              <w:rPr>
                <w:rFonts w:cs="Arial"/>
                <w:sz w:val="18"/>
                <w:szCs w:val="18"/>
              </w:rPr>
            </w:pPr>
            <w:r>
              <w:rPr>
                <w:rFonts w:cs="Arial"/>
                <w:sz w:val="18"/>
                <w:szCs w:val="18"/>
              </w:rPr>
              <w:t>8,886</w:t>
            </w:r>
          </w:p>
        </w:tc>
        <w:tc>
          <w:tcPr>
            <w:tcW w:w="236" w:type="dxa"/>
            <w:tcBorders>
              <w:top w:val="nil"/>
              <w:left w:val="nil"/>
              <w:bottom w:val="nil"/>
              <w:right w:val="nil"/>
            </w:tcBorders>
            <w:shd w:val="clear" w:color="FFFFFF" w:fill="FFFFFF"/>
            <w:noWrap/>
            <w:vAlign w:val="bottom"/>
            <w:hideMark/>
          </w:tcPr>
          <w:p w14:paraId="60C37BD3" w14:textId="77777777" w:rsidR="00C32CBD" w:rsidRDefault="00C32CBD" w:rsidP="00320D09">
            <w:pPr>
              <w:rPr>
                <w:rFonts w:cs="Arial"/>
                <w:sz w:val="18"/>
                <w:szCs w:val="18"/>
              </w:rPr>
            </w:pPr>
            <w:r>
              <w:rPr>
                <w:rFonts w:cs="Arial"/>
                <w:sz w:val="18"/>
                <w:szCs w:val="18"/>
              </w:rPr>
              <w:t> </w:t>
            </w:r>
          </w:p>
        </w:tc>
        <w:tc>
          <w:tcPr>
            <w:tcW w:w="1203" w:type="dxa"/>
            <w:tcBorders>
              <w:top w:val="nil"/>
              <w:left w:val="nil"/>
              <w:bottom w:val="nil"/>
              <w:right w:val="nil"/>
            </w:tcBorders>
            <w:shd w:val="clear" w:color="FFFFFF" w:fill="FFFFFF"/>
            <w:noWrap/>
            <w:vAlign w:val="bottom"/>
            <w:hideMark/>
          </w:tcPr>
          <w:p w14:paraId="4672289D" w14:textId="77777777" w:rsidR="00C32CBD" w:rsidRDefault="00C32CBD" w:rsidP="00320D09">
            <w:pPr>
              <w:jc w:val="right"/>
              <w:rPr>
                <w:rFonts w:cs="Arial"/>
                <w:sz w:val="18"/>
                <w:szCs w:val="18"/>
              </w:rPr>
            </w:pPr>
            <w:r>
              <w:rPr>
                <w:rFonts w:cs="Arial"/>
                <w:sz w:val="18"/>
                <w:szCs w:val="18"/>
              </w:rPr>
              <w:t>22,922</w:t>
            </w:r>
          </w:p>
        </w:tc>
      </w:tr>
      <w:tr w:rsidR="00C32CBD" w14:paraId="45AF024B" w14:textId="77777777" w:rsidTr="00320D09">
        <w:trPr>
          <w:trHeight w:val="255"/>
        </w:trPr>
        <w:tc>
          <w:tcPr>
            <w:tcW w:w="4164" w:type="dxa"/>
            <w:tcBorders>
              <w:top w:val="nil"/>
              <w:left w:val="nil"/>
              <w:bottom w:val="nil"/>
              <w:right w:val="nil"/>
            </w:tcBorders>
            <w:shd w:val="clear" w:color="FFFFFF" w:fill="FFFFFF"/>
            <w:vAlign w:val="bottom"/>
            <w:hideMark/>
          </w:tcPr>
          <w:p w14:paraId="4FBFC92A" w14:textId="77777777" w:rsidR="00C32CBD" w:rsidRDefault="00C32CBD" w:rsidP="00320D09">
            <w:pPr>
              <w:ind w:firstLineChars="100" w:firstLine="180"/>
              <w:rPr>
                <w:rFonts w:cs="Arial"/>
                <w:sz w:val="18"/>
                <w:szCs w:val="18"/>
              </w:rPr>
            </w:pPr>
            <w:r>
              <w:rPr>
                <w:rFonts w:cs="Arial"/>
                <w:sz w:val="18"/>
                <w:szCs w:val="18"/>
              </w:rPr>
              <w:t>Finance costs</w:t>
            </w:r>
          </w:p>
        </w:tc>
        <w:tc>
          <w:tcPr>
            <w:tcW w:w="1000" w:type="dxa"/>
            <w:tcBorders>
              <w:top w:val="nil"/>
              <w:left w:val="nil"/>
              <w:bottom w:val="nil"/>
              <w:right w:val="nil"/>
            </w:tcBorders>
            <w:shd w:val="clear" w:color="FFFFFF" w:fill="FFFFFF"/>
            <w:noWrap/>
            <w:vAlign w:val="bottom"/>
            <w:hideMark/>
          </w:tcPr>
          <w:p w14:paraId="0B95241B" w14:textId="77777777" w:rsidR="00C32CBD" w:rsidRDefault="00C32CBD" w:rsidP="00320D09">
            <w:pPr>
              <w:jc w:val="center"/>
              <w:rPr>
                <w:rFonts w:cs="Arial"/>
                <w:sz w:val="18"/>
                <w:szCs w:val="18"/>
              </w:rPr>
            </w:pPr>
            <w:r>
              <w:rPr>
                <w:rFonts w:cs="Arial"/>
                <w:sz w:val="18"/>
                <w:szCs w:val="18"/>
              </w:rPr>
              <w:t> </w:t>
            </w:r>
          </w:p>
        </w:tc>
        <w:tc>
          <w:tcPr>
            <w:tcW w:w="1140" w:type="dxa"/>
            <w:tcBorders>
              <w:top w:val="nil"/>
              <w:left w:val="nil"/>
              <w:bottom w:val="nil"/>
              <w:right w:val="nil"/>
            </w:tcBorders>
            <w:shd w:val="clear" w:color="FFFFFF" w:fill="FFFFFF"/>
            <w:noWrap/>
            <w:vAlign w:val="bottom"/>
            <w:hideMark/>
          </w:tcPr>
          <w:p w14:paraId="7396DD19" w14:textId="77777777" w:rsidR="00C32CBD" w:rsidRDefault="00C32CBD" w:rsidP="00320D09">
            <w:pPr>
              <w:jc w:val="right"/>
              <w:rPr>
                <w:rFonts w:cs="Arial"/>
                <w:b/>
                <w:bCs/>
                <w:sz w:val="18"/>
                <w:szCs w:val="18"/>
              </w:rPr>
            </w:pPr>
            <w:r>
              <w:rPr>
                <w:rFonts w:cs="Arial"/>
                <w:b/>
                <w:bCs/>
                <w:sz w:val="18"/>
                <w:szCs w:val="18"/>
              </w:rPr>
              <w:t>444</w:t>
            </w:r>
          </w:p>
        </w:tc>
        <w:tc>
          <w:tcPr>
            <w:tcW w:w="236" w:type="dxa"/>
            <w:tcBorders>
              <w:top w:val="nil"/>
              <w:left w:val="nil"/>
              <w:bottom w:val="nil"/>
              <w:right w:val="nil"/>
            </w:tcBorders>
            <w:shd w:val="clear" w:color="FFFFFF" w:fill="FFFFFF"/>
            <w:noWrap/>
            <w:vAlign w:val="bottom"/>
            <w:hideMark/>
          </w:tcPr>
          <w:p w14:paraId="7DACF83F" w14:textId="77777777" w:rsidR="00C32CBD" w:rsidRDefault="00C32CBD" w:rsidP="00320D09">
            <w:pPr>
              <w:rPr>
                <w:rFonts w:cs="Arial"/>
                <w:sz w:val="18"/>
                <w:szCs w:val="18"/>
              </w:rPr>
            </w:pPr>
            <w:r>
              <w:rPr>
                <w:rFonts w:cs="Arial"/>
                <w:sz w:val="18"/>
                <w:szCs w:val="18"/>
              </w:rPr>
              <w:t> </w:t>
            </w:r>
          </w:p>
        </w:tc>
        <w:tc>
          <w:tcPr>
            <w:tcW w:w="1108" w:type="dxa"/>
            <w:tcBorders>
              <w:top w:val="nil"/>
              <w:left w:val="nil"/>
              <w:bottom w:val="nil"/>
              <w:right w:val="nil"/>
            </w:tcBorders>
            <w:shd w:val="clear" w:color="FFFFFF" w:fill="FFFFFF"/>
            <w:noWrap/>
            <w:vAlign w:val="bottom"/>
            <w:hideMark/>
          </w:tcPr>
          <w:p w14:paraId="6FBC85F1" w14:textId="77777777" w:rsidR="00C32CBD" w:rsidRDefault="00C32CBD" w:rsidP="00320D09">
            <w:pPr>
              <w:jc w:val="right"/>
              <w:rPr>
                <w:rFonts w:cs="Arial"/>
                <w:sz w:val="18"/>
                <w:szCs w:val="18"/>
              </w:rPr>
            </w:pPr>
            <w:r>
              <w:rPr>
                <w:rFonts w:cs="Arial"/>
                <w:sz w:val="18"/>
                <w:szCs w:val="18"/>
              </w:rPr>
              <w:t>167</w:t>
            </w:r>
          </w:p>
        </w:tc>
        <w:tc>
          <w:tcPr>
            <w:tcW w:w="236" w:type="dxa"/>
            <w:tcBorders>
              <w:top w:val="nil"/>
              <w:left w:val="nil"/>
              <w:bottom w:val="nil"/>
              <w:right w:val="nil"/>
            </w:tcBorders>
            <w:shd w:val="clear" w:color="FFFFFF" w:fill="FFFFFF"/>
            <w:noWrap/>
            <w:vAlign w:val="bottom"/>
            <w:hideMark/>
          </w:tcPr>
          <w:p w14:paraId="2E6B4E89" w14:textId="77777777" w:rsidR="00C32CBD" w:rsidRDefault="00C32CBD" w:rsidP="00320D09">
            <w:pPr>
              <w:rPr>
                <w:rFonts w:cs="Arial"/>
                <w:sz w:val="18"/>
                <w:szCs w:val="18"/>
              </w:rPr>
            </w:pPr>
            <w:r>
              <w:rPr>
                <w:rFonts w:cs="Arial"/>
                <w:sz w:val="18"/>
                <w:szCs w:val="18"/>
              </w:rPr>
              <w:t> </w:t>
            </w:r>
          </w:p>
        </w:tc>
        <w:tc>
          <w:tcPr>
            <w:tcW w:w="1203" w:type="dxa"/>
            <w:tcBorders>
              <w:top w:val="nil"/>
              <w:left w:val="nil"/>
              <w:bottom w:val="nil"/>
              <w:right w:val="nil"/>
            </w:tcBorders>
            <w:shd w:val="clear" w:color="FFFFFF" w:fill="FFFFFF"/>
            <w:noWrap/>
            <w:vAlign w:val="bottom"/>
            <w:hideMark/>
          </w:tcPr>
          <w:p w14:paraId="65B0AB78" w14:textId="77777777" w:rsidR="00C32CBD" w:rsidRDefault="00C32CBD" w:rsidP="00320D09">
            <w:pPr>
              <w:jc w:val="right"/>
              <w:rPr>
                <w:rFonts w:cs="Arial"/>
                <w:sz w:val="18"/>
                <w:szCs w:val="18"/>
              </w:rPr>
            </w:pPr>
            <w:r>
              <w:rPr>
                <w:rFonts w:cs="Arial"/>
                <w:sz w:val="18"/>
                <w:szCs w:val="18"/>
              </w:rPr>
              <w:t xml:space="preserve"> -</w:t>
            </w:r>
          </w:p>
        </w:tc>
      </w:tr>
      <w:tr w:rsidR="00C32CBD" w14:paraId="6FF66CDD" w14:textId="77777777" w:rsidTr="00320D09">
        <w:trPr>
          <w:trHeight w:val="255"/>
        </w:trPr>
        <w:tc>
          <w:tcPr>
            <w:tcW w:w="4164" w:type="dxa"/>
            <w:tcBorders>
              <w:top w:val="nil"/>
              <w:left w:val="nil"/>
              <w:bottom w:val="nil"/>
              <w:right w:val="nil"/>
            </w:tcBorders>
            <w:shd w:val="clear" w:color="FFFFFF" w:fill="FFFFFF"/>
            <w:vAlign w:val="bottom"/>
            <w:hideMark/>
          </w:tcPr>
          <w:p w14:paraId="65F7E012" w14:textId="77777777" w:rsidR="00C32CBD" w:rsidRDefault="00C32CBD" w:rsidP="00320D09">
            <w:pPr>
              <w:ind w:firstLineChars="100" w:firstLine="180"/>
              <w:rPr>
                <w:rFonts w:cs="Arial"/>
                <w:sz w:val="18"/>
                <w:szCs w:val="18"/>
              </w:rPr>
            </w:pPr>
            <w:r>
              <w:rPr>
                <w:rFonts w:cs="Arial"/>
                <w:sz w:val="18"/>
                <w:szCs w:val="18"/>
              </w:rPr>
              <w:t>Write-down and impairment of assets</w:t>
            </w:r>
          </w:p>
        </w:tc>
        <w:tc>
          <w:tcPr>
            <w:tcW w:w="1000" w:type="dxa"/>
            <w:tcBorders>
              <w:top w:val="nil"/>
              <w:left w:val="nil"/>
              <w:bottom w:val="nil"/>
              <w:right w:val="nil"/>
            </w:tcBorders>
            <w:shd w:val="clear" w:color="FFFFFF" w:fill="FFFFFF"/>
            <w:noWrap/>
            <w:vAlign w:val="bottom"/>
            <w:hideMark/>
          </w:tcPr>
          <w:p w14:paraId="715BF0CC" w14:textId="77777777" w:rsidR="00C32CBD" w:rsidRDefault="00C32CBD" w:rsidP="00320D09">
            <w:pPr>
              <w:jc w:val="center"/>
              <w:rPr>
                <w:rFonts w:cs="Arial"/>
                <w:sz w:val="18"/>
                <w:szCs w:val="18"/>
              </w:rPr>
            </w:pPr>
            <w:r>
              <w:rPr>
                <w:rFonts w:cs="Arial"/>
                <w:sz w:val="18"/>
                <w:szCs w:val="18"/>
              </w:rPr>
              <w:t>1.1D</w:t>
            </w:r>
          </w:p>
        </w:tc>
        <w:tc>
          <w:tcPr>
            <w:tcW w:w="1140" w:type="dxa"/>
            <w:tcBorders>
              <w:top w:val="nil"/>
              <w:left w:val="nil"/>
              <w:bottom w:val="nil"/>
              <w:right w:val="nil"/>
            </w:tcBorders>
            <w:shd w:val="clear" w:color="FFFFFF" w:fill="FFFFFF"/>
            <w:noWrap/>
            <w:vAlign w:val="bottom"/>
            <w:hideMark/>
          </w:tcPr>
          <w:p w14:paraId="6F31AF47" w14:textId="77777777" w:rsidR="00C32CBD" w:rsidRDefault="00C32CBD" w:rsidP="00320D09">
            <w:pPr>
              <w:jc w:val="right"/>
              <w:rPr>
                <w:rFonts w:cs="Arial"/>
                <w:b/>
                <w:bCs/>
                <w:sz w:val="18"/>
                <w:szCs w:val="18"/>
              </w:rPr>
            </w:pPr>
            <w:r>
              <w:rPr>
                <w:rFonts w:cs="Arial"/>
                <w:b/>
                <w:bCs/>
                <w:sz w:val="18"/>
                <w:szCs w:val="18"/>
              </w:rPr>
              <w:t>6,923</w:t>
            </w:r>
          </w:p>
        </w:tc>
        <w:tc>
          <w:tcPr>
            <w:tcW w:w="236" w:type="dxa"/>
            <w:tcBorders>
              <w:top w:val="nil"/>
              <w:left w:val="nil"/>
              <w:bottom w:val="nil"/>
              <w:right w:val="nil"/>
            </w:tcBorders>
            <w:shd w:val="clear" w:color="FFFFFF" w:fill="FFFFFF"/>
            <w:noWrap/>
            <w:vAlign w:val="bottom"/>
            <w:hideMark/>
          </w:tcPr>
          <w:p w14:paraId="601E29A8" w14:textId="77777777" w:rsidR="00C32CBD" w:rsidRDefault="00C32CBD" w:rsidP="00320D09">
            <w:pPr>
              <w:rPr>
                <w:rFonts w:cs="Arial"/>
                <w:sz w:val="18"/>
                <w:szCs w:val="18"/>
              </w:rPr>
            </w:pPr>
            <w:r>
              <w:rPr>
                <w:rFonts w:cs="Arial"/>
                <w:sz w:val="18"/>
                <w:szCs w:val="18"/>
              </w:rPr>
              <w:t> </w:t>
            </w:r>
          </w:p>
        </w:tc>
        <w:tc>
          <w:tcPr>
            <w:tcW w:w="1108" w:type="dxa"/>
            <w:tcBorders>
              <w:top w:val="nil"/>
              <w:left w:val="nil"/>
              <w:bottom w:val="nil"/>
              <w:right w:val="nil"/>
            </w:tcBorders>
            <w:shd w:val="clear" w:color="FFFFFF" w:fill="FFFFFF"/>
            <w:noWrap/>
            <w:vAlign w:val="bottom"/>
            <w:hideMark/>
          </w:tcPr>
          <w:p w14:paraId="0030FD68" w14:textId="77777777" w:rsidR="00C32CBD" w:rsidRDefault="00C32CBD" w:rsidP="00320D09">
            <w:pPr>
              <w:jc w:val="right"/>
              <w:rPr>
                <w:rFonts w:cs="Arial"/>
                <w:sz w:val="18"/>
                <w:szCs w:val="18"/>
              </w:rPr>
            </w:pPr>
            <w:r>
              <w:rPr>
                <w:rFonts w:cs="Arial"/>
                <w:sz w:val="18"/>
                <w:szCs w:val="18"/>
              </w:rPr>
              <w:t>82,078</w:t>
            </w:r>
          </w:p>
        </w:tc>
        <w:tc>
          <w:tcPr>
            <w:tcW w:w="236" w:type="dxa"/>
            <w:tcBorders>
              <w:top w:val="nil"/>
              <w:left w:val="nil"/>
              <w:bottom w:val="nil"/>
              <w:right w:val="nil"/>
            </w:tcBorders>
            <w:shd w:val="clear" w:color="FFFFFF" w:fill="FFFFFF"/>
            <w:noWrap/>
            <w:vAlign w:val="bottom"/>
            <w:hideMark/>
          </w:tcPr>
          <w:p w14:paraId="72763D6B" w14:textId="77777777" w:rsidR="00C32CBD" w:rsidRDefault="00C32CBD" w:rsidP="00320D09">
            <w:pPr>
              <w:rPr>
                <w:rFonts w:cs="Arial"/>
                <w:sz w:val="18"/>
                <w:szCs w:val="18"/>
              </w:rPr>
            </w:pPr>
            <w:r>
              <w:rPr>
                <w:rFonts w:cs="Arial"/>
                <w:sz w:val="18"/>
                <w:szCs w:val="18"/>
              </w:rPr>
              <w:t> </w:t>
            </w:r>
          </w:p>
        </w:tc>
        <w:tc>
          <w:tcPr>
            <w:tcW w:w="1203" w:type="dxa"/>
            <w:tcBorders>
              <w:top w:val="nil"/>
              <w:left w:val="nil"/>
              <w:bottom w:val="nil"/>
              <w:right w:val="nil"/>
            </w:tcBorders>
            <w:shd w:val="clear" w:color="FFFFFF" w:fill="FFFFFF"/>
            <w:noWrap/>
            <w:vAlign w:val="bottom"/>
            <w:hideMark/>
          </w:tcPr>
          <w:p w14:paraId="3D1F2C61" w14:textId="77777777" w:rsidR="00C32CBD" w:rsidRDefault="00C32CBD" w:rsidP="00320D09">
            <w:pPr>
              <w:jc w:val="right"/>
              <w:rPr>
                <w:rFonts w:cs="Arial"/>
                <w:sz w:val="18"/>
                <w:szCs w:val="18"/>
              </w:rPr>
            </w:pPr>
            <w:r>
              <w:rPr>
                <w:rFonts w:cs="Arial"/>
                <w:sz w:val="18"/>
                <w:szCs w:val="18"/>
              </w:rPr>
              <w:t xml:space="preserve"> -</w:t>
            </w:r>
          </w:p>
        </w:tc>
      </w:tr>
      <w:tr w:rsidR="00C32CBD" w14:paraId="2B181B1D" w14:textId="77777777" w:rsidTr="00320D09">
        <w:trPr>
          <w:trHeight w:val="255"/>
        </w:trPr>
        <w:tc>
          <w:tcPr>
            <w:tcW w:w="4164" w:type="dxa"/>
            <w:tcBorders>
              <w:top w:val="nil"/>
              <w:left w:val="nil"/>
              <w:bottom w:val="nil"/>
              <w:right w:val="nil"/>
            </w:tcBorders>
            <w:shd w:val="clear" w:color="FFFFFF" w:fill="FFFFFF"/>
            <w:vAlign w:val="bottom"/>
            <w:hideMark/>
          </w:tcPr>
          <w:p w14:paraId="5BBB3C24" w14:textId="77777777" w:rsidR="00C32CBD" w:rsidRDefault="00C32CBD" w:rsidP="00320D09">
            <w:pPr>
              <w:rPr>
                <w:rFonts w:cs="Arial"/>
                <w:b/>
                <w:bCs/>
                <w:sz w:val="18"/>
                <w:szCs w:val="18"/>
              </w:rPr>
            </w:pPr>
            <w:r>
              <w:rPr>
                <w:rFonts w:cs="Arial"/>
                <w:b/>
                <w:bCs/>
                <w:sz w:val="18"/>
                <w:szCs w:val="18"/>
              </w:rPr>
              <w:t>Total expenses</w:t>
            </w:r>
          </w:p>
        </w:tc>
        <w:tc>
          <w:tcPr>
            <w:tcW w:w="1000" w:type="dxa"/>
            <w:tcBorders>
              <w:top w:val="nil"/>
              <w:left w:val="nil"/>
              <w:bottom w:val="nil"/>
              <w:right w:val="nil"/>
            </w:tcBorders>
            <w:shd w:val="clear" w:color="FFFFFF" w:fill="FFFFFF"/>
            <w:noWrap/>
            <w:vAlign w:val="bottom"/>
            <w:hideMark/>
          </w:tcPr>
          <w:p w14:paraId="38FF139C" w14:textId="77777777" w:rsidR="00C32CBD" w:rsidRDefault="00C32CBD" w:rsidP="00320D09">
            <w:pPr>
              <w:jc w:val="center"/>
              <w:rPr>
                <w:rFonts w:cs="Arial"/>
                <w:sz w:val="18"/>
                <w:szCs w:val="18"/>
              </w:rPr>
            </w:pPr>
            <w:r>
              <w:rPr>
                <w:rFonts w:cs="Arial"/>
                <w:sz w:val="18"/>
                <w:szCs w:val="18"/>
              </w:rPr>
              <w:t> </w:t>
            </w:r>
          </w:p>
        </w:tc>
        <w:tc>
          <w:tcPr>
            <w:tcW w:w="1140" w:type="dxa"/>
            <w:tcBorders>
              <w:top w:val="single" w:sz="4" w:space="0" w:color="auto"/>
              <w:left w:val="nil"/>
              <w:bottom w:val="single" w:sz="4" w:space="0" w:color="auto"/>
              <w:right w:val="nil"/>
            </w:tcBorders>
            <w:shd w:val="clear" w:color="FFFFFF" w:fill="FFFFFF"/>
            <w:noWrap/>
            <w:vAlign w:val="bottom"/>
            <w:hideMark/>
          </w:tcPr>
          <w:p w14:paraId="2CA01C0B" w14:textId="77777777" w:rsidR="00C32CBD" w:rsidRDefault="00C32CBD" w:rsidP="00320D09">
            <w:pPr>
              <w:jc w:val="right"/>
              <w:rPr>
                <w:rFonts w:cs="Arial"/>
                <w:b/>
                <w:bCs/>
                <w:sz w:val="18"/>
                <w:szCs w:val="18"/>
              </w:rPr>
            </w:pPr>
            <w:r>
              <w:rPr>
                <w:rFonts w:cs="Arial"/>
                <w:b/>
                <w:bCs/>
                <w:sz w:val="18"/>
                <w:szCs w:val="18"/>
              </w:rPr>
              <w:t>2,856,689</w:t>
            </w:r>
          </w:p>
        </w:tc>
        <w:tc>
          <w:tcPr>
            <w:tcW w:w="236" w:type="dxa"/>
            <w:tcBorders>
              <w:top w:val="nil"/>
              <w:left w:val="nil"/>
              <w:bottom w:val="nil"/>
              <w:right w:val="nil"/>
            </w:tcBorders>
            <w:shd w:val="clear" w:color="FFFFFF" w:fill="FFFFFF"/>
            <w:noWrap/>
            <w:vAlign w:val="bottom"/>
            <w:hideMark/>
          </w:tcPr>
          <w:p w14:paraId="156099B5" w14:textId="77777777" w:rsidR="00C32CBD" w:rsidRDefault="00C32CBD" w:rsidP="00320D09">
            <w:pPr>
              <w:rPr>
                <w:rFonts w:cs="Arial"/>
                <w:sz w:val="18"/>
                <w:szCs w:val="18"/>
              </w:rPr>
            </w:pPr>
            <w:r>
              <w:rPr>
                <w:rFonts w:cs="Arial"/>
                <w:sz w:val="18"/>
                <w:szCs w:val="18"/>
              </w:rPr>
              <w:t> </w:t>
            </w:r>
          </w:p>
        </w:tc>
        <w:tc>
          <w:tcPr>
            <w:tcW w:w="1108" w:type="dxa"/>
            <w:tcBorders>
              <w:top w:val="single" w:sz="4" w:space="0" w:color="auto"/>
              <w:left w:val="nil"/>
              <w:bottom w:val="single" w:sz="4" w:space="0" w:color="auto"/>
              <w:right w:val="nil"/>
            </w:tcBorders>
            <w:shd w:val="clear" w:color="FFFFFF" w:fill="FFFFFF"/>
            <w:noWrap/>
            <w:vAlign w:val="bottom"/>
            <w:hideMark/>
          </w:tcPr>
          <w:p w14:paraId="35F561B6" w14:textId="77777777" w:rsidR="00C32CBD" w:rsidRDefault="00C32CBD" w:rsidP="00320D09">
            <w:pPr>
              <w:jc w:val="right"/>
              <w:rPr>
                <w:rFonts w:cs="Arial"/>
                <w:sz w:val="18"/>
                <w:szCs w:val="18"/>
              </w:rPr>
            </w:pPr>
            <w:r>
              <w:rPr>
                <w:rFonts w:cs="Arial"/>
                <w:sz w:val="18"/>
                <w:szCs w:val="18"/>
              </w:rPr>
              <w:t>1,074,236</w:t>
            </w:r>
          </w:p>
        </w:tc>
        <w:tc>
          <w:tcPr>
            <w:tcW w:w="236" w:type="dxa"/>
            <w:tcBorders>
              <w:top w:val="nil"/>
              <w:left w:val="nil"/>
              <w:bottom w:val="nil"/>
              <w:right w:val="nil"/>
            </w:tcBorders>
            <w:shd w:val="clear" w:color="FFFFFF" w:fill="FFFFFF"/>
            <w:noWrap/>
            <w:vAlign w:val="bottom"/>
            <w:hideMark/>
          </w:tcPr>
          <w:p w14:paraId="21B25C5C" w14:textId="77777777" w:rsidR="00C32CBD" w:rsidRDefault="00C32CBD" w:rsidP="00320D09">
            <w:pPr>
              <w:rPr>
                <w:rFonts w:cs="Arial"/>
                <w:sz w:val="18"/>
                <w:szCs w:val="18"/>
              </w:rPr>
            </w:pPr>
            <w:r>
              <w:rPr>
                <w:rFonts w:cs="Arial"/>
                <w:sz w:val="18"/>
                <w:szCs w:val="18"/>
              </w:rPr>
              <w:t> </w:t>
            </w:r>
          </w:p>
        </w:tc>
        <w:tc>
          <w:tcPr>
            <w:tcW w:w="1203" w:type="dxa"/>
            <w:tcBorders>
              <w:top w:val="single" w:sz="4" w:space="0" w:color="auto"/>
              <w:left w:val="nil"/>
              <w:bottom w:val="single" w:sz="4" w:space="0" w:color="auto"/>
              <w:right w:val="nil"/>
            </w:tcBorders>
            <w:shd w:val="clear" w:color="FFFFFF" w:fill="FFFFFF"/>
            <w:noWrap/>
            <w:vAlign w:val="bottom"/>
            <w:hideMark/>
          </w:tcPr>
          <w:p w14:paraId="528DF5B6" w14:textId="77777777" w:rsidR="00C32CBD" w:rsidRDefault="00C32CBD" w:rsidP="00320D09">
            <w:pPr>
              <w:jc w:val="right"/>
              <w:rPr>
                <w:rFonts w:cs="Arial"/>
                <w:sz w:val="18"/>
                <w:szCs w:val="18"/>
              </w:rPr>
            </w:pPr>
            <w:r>
              <w:rPr>
                <w:rFonts w:cs="Arial"/>
                <w:sz w:val="18"/>
                <w:szCs w:val="18"/>
              </w:rPr>
              <w:t>4,211,798</w:t>
            </w:r>
          </w:p>
        </w:tc>
      </w:tr>
      <w:tr w:rsidR="00C32CBD" w14:paraId="17E53247" w14:textId="77777777" w:rsidTr="00320D09">
        <w:trPr>
          <w:trHeight w:val="255"/>
        </w:trPr>
        <w:tc>
          <w:tcPr>
            <w:tcW w:w="4164" w:type="dxa"/>
            <w:tcBorders>
              <w:top w:val="nil"/>
              <w:left w:val="nil"/>
              <w:bottom w:val="nil"/>
              <w:right w:val="nil"/>
            </w:tcBorders>
            <w:shd w:val="clear" w:color="FFFFFF" w:fill="FFFFFF"/>
            <w:vAlign w:val="bottom"/>
            <w:hideMark/>
          </w:tcPr>
          <w:p w14:paraId="56D4F2C3" w14:textId="77777777" w:rsidR="00C32CBD" w:rsidRDefault="00C32CBD" w:rsidP="00320D09">
            <w:pPr>
              <w:rPr>
                <w:rFonts w:cs="Arial"/>
                <w:sz w:val="18"/>
                <w:szCs w:val="18"/>
              </w:rPr>
            </w:pPr>
            <w:r>
              <w:rPr>
                <w:rFonts w:cs="Arial"/>
                <w:sz w:val="18"/>
                <w:szCs w:val="18"/>
              </w:rPr>
              <w:t> </w:t>
            </w:r>
          </w:p>
        </w:tc>
        <w:tc>
          <w:tcPr>
            <w:tcW w:w="1000" w:type="dxa"/>
            <w:tcBorders>
              <w:top w:val="nil"/>
              <w:left w:val="nil"/>
              <w:bottom w:val="nil"/>
              <w:right w:val="nil"/>
            </w:tcBorders>
            <w:shd w:val="clear" w:color="FFFFFF" w:fill="FFFFFF"/>
            <w:noWrap/>
            <w:vAlign w:val="bottom"/>
            <w:hideMark/>
          </w:tcPr>
          <w:p w14:paraId="42720AC4" w14:textId="77777777" w:rsidR="00C32CBD" w:rsidRDefault="00C32CBD" w:rsidP="00320D09">
            <w:pPr>
              <w:jc w:val="center"/>
              <w:rPr>
                <w:rFonts w:cs="Arial"/>
                <w:sz w:val="18"/>
                <w:szCs w:val="18"/>
              </w:rPr>
            </w:pPr>
            <w:r>
              <w:rPr>
                <w:rFonts w:cs="Arial"/>
                <w:sz w:val="18"/>
                <w:szCs w:val="18"/>
              </w:rPr>
              <w:t> </w:t>
            </w:r>
          </w:p>
        </w:tc>
        <w:tc>
          <w:tcPr>
            <w:tcW w:w="1140" w:type="dxa"/>
            <w:tcBorders>
              <w:top w:val="nil"/>
              <w:left w:val="nil"/>
              <w:bottom w:val="nil"/>
              <w:right w:val="nil"/>
            </w:tcBorders>
            <w:shd w:val="clear" w:color="FFFFFF" w:fill="FFFFFF"/>
            <w:noWrap/>
            <w:vAlign w:val="bottom"/>
            <w:hideMark/>
          </w:tcPr>
          <w:p w14:paraId="2C13D892" w14:textId="77777777" w:rsidR="00C32CBD" w:rsidRDefault="00C32CBD" w:rsidP="00320D09">
            <w:pPr>
              <w:jc w:val="right"/>
              <w:rPr>
                <w:rFonts w:cs="Arial"/>
                <w:b/>
                <w:bCs/>
                <w:sz w:val="18"/>
                <w:szCs w:val="18"/>
              </w:rPr>
            </w:pPr>
            <w:r>
              <w:rPr>
                <w:rFonts w:cs="Arial"/>
                <w:b/>
                <w:bCs/>
                <w:sz w:val="18"/>
                <w:szCs w:val="18"/>
              </w:rPr>
              <w:t> </w:t>
            </w:r>
          </w:p>
        </w:tc>
        <w:tc>
          <w:tcPr>
            <w:tcW w:w="236" w:type="dxa"/>
            <w:tcBorders>
              <w:top w:val="nil"/>
              <w:left w:val="nil"/>
              <w:bottom w:val="nil"/>
              <w:right w:val="nil"/>
            </w:tcBorders>
            <w:shd w:val="clear" w:color="FFFFFF" w:fill="FFFFFF"/>
            <w:noWrap/>
            <w:vAlign w:val="bottom"/>
            <w:hideMark/>
          </w:tcPr>
          <w:p w14:paraId="10682AF0" w14:textId="77777777" w:rsidR="00C32CBD" w:rsidRDefault="00C32CBD" w:rsidP="00320D09">
            <w:pPr>
              <w:rPr>
                <w:rFonts w:cs="Arial"/>
                <w:sz w:val="18"/>
                <w:szCs w:val="18"/>
              </w:rPr>
            </w:pPr>
            <w:r>
              <w:rPr>
                <w:rFonts w:cs="Arial"/>
                <w:sz w:val="18"/>
                <w:szCs w:val="18"/>
              </w:rPr>
              <w:t> </w:t>
            </w:r>
          </w:p>
        </w:tc>
        <w:tc>
          <w:tcPr>
            <w:tcW w:w="1108" w:type="dxa"/>
            <w:tcBorders>
              <w:top w:val="nil"/>
              <w:left w:val="nil"/>
              <w:bottom w:val="nil"/>
              <w:right w:val="nil"/>
            </w:tcBorders>
            <w:shd w:val="clear" w:color="FFFFFF" w:fill="FFFFFF"/>
            <w:noWrap/>
            <w:vAlign w:val="bottom"/>
            <w:hideMark/>
          </w:tcPr>
          <w:p w14:paraId="0744011F" w14:textId="77777777" w:rsidR="00C32CBD" w:rsidRDefault="00C32CBD" w:rsidP="00320D09">
            <w:pPr>
              <w:jc w:val="right"/>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56EBC41F" w14:textId="77777777" w:rsidR="00C32CBD" w:rsidRDefault="00C32CBD" w:rsidP="00320D09">
            <w:pPr>
              <w:rPr>
                <w:rFonts w:cs="Arial"/>
                <w:sz w:val="18"/>
                <w:szCs w:val="18"/>
              </w:rPr>
            </w:pPr>
            <w:r>
              <w:rPr>
                <w:rFonts w:cs="Arial"/>
                <w:sz w:val="18"/>
                <w:szCs w:val="18"/>
              </w:rPr>
              <w:t> </w:t>
            </w:r>
          </w:p>
        </w:tc>
        <w:tc>
          <w:tcPr>
            <w:tcW w:w="1203" w:type="dxa"/>
            <w:tcBorders>
              <w:top w:val="nil"/>
              <w:left w:val="nil"/>
              <w:bottom w:val="nil"/>
              <w:right w:val="nil"/>
            </w:tcBorders>
            <w:shd w:val="clear" w:color="FFFFFF" w:fill="FFFFFF"/>
            <w:noWrap/>
            <w:vAlign w:val="bottom"/>
            <w:hideMark/>
          </w:tcPr>
          <w:p w14:paraId="2DCFCC81" w14:textId="77777777" w:rsidR="00C32CBD" w:rsidRDefault="00C32CBD" w:rsidP="00320D09">
            <w:pPr>
              <w:jc w:val="right"/>
              <w:rPr>
                <w:rFonts w:cs="Arial"/>
                <w:sz w:val="18"/>
                <w:szCs w:val="18"/>
              </w:rPr>
            </w:pPr>
            <w:r>
              <w:rPr>
                <w:rFonts w:cs="Arial"/>
                <w:sz w:val="18"/>
                <w:szCs w:val="18"/>
              </w:rPr>
              <w:t> </w:t>
            </w:r>
          </w:p>
        </w:tc>
      </w:tr>
      <w:tr w:rsidR="00C32CBD" w14:paraId="2E0075D5" w14:textId="77777777" w:rsidTr="00320D09">
        <w:trPr>
          <w:trHeight w:val="255"/>
        </w:trPr>
        <w:tc>
          <w:tcPr>
            <w:tcW w:w="4164" w:type="dxa"/>
            <w:tcBorders>
              <w:top w:val="nil"/>
              <w:left w:val="nil"/>
              <w:bottom w:val="nil"/>
              <w:right w:val="nil"/>
            </w:tcBorders>
            <w:shd w:val="clear" w:color="FFFFFF" w:fill="FFFFFF"/>
            <w:noWrap/>
            <w:vAlign w:val="bottom"/>
            <w:hideMark/>
          </w:tcPr>
          <w:p w14:paraId="4EC69739" w14:textId="77777777" w:rsidR="00C32CBD" w:rsidRDefault="00C32CBD" w:rsidP="00320D09">
            <w:pPr>
              <w:rPr>
                <w:rFonts w:cs="Arial"/>
                <w:b/>
                <w:bCs/>
                <w:sz w:val="18"/>
                <w:szCs w:val="18"/>
              </w:rPr>
            </w:pPr>
            <w:r>
              <w:rPr>
                <w:rFonts w:cs="Arial"/>
                <w:b/>
                <w:bCs/>
                <w:sz w:val="18"/>
                <w:szCs w:val="18"/>
              </w:rPr>
              <w:t>OWN-SOURCE INCOME</w:t>
            </w:r>
          </w:p>
        </w:tc>
        <w:tc>
          <w:tcPr>
            <w:tcW w:w="1000" w:type="dxa"/>
            <w:tcBorders>
              <w:top w:val="nil"/>
              <w:left w:val="nil"/>
              <w:bottom w:val="nil"/>
              <w:right w:val="nil"/>
            </w:tcBorders>
            <w:shd w:val="clear" w:color="FFFFFF" w:fill="FFFFFF"/>
            <w:noWrap/>
            <w:vAlign w:val="bottom"/>
            <w:hideMark/>
          </w:tcPr>
          <w:p w14:paraId="33A43FD9" w14:textId="77777777" w:rsidR="00C32CBD" w:rsidRDefault="00C32CBD" w:rsidP="00320D09">
            <w:pPr>
              <w:jc w:val="center"/>
              <w:rPr>
                <w:rFonts w:cs="Arial"/>
                <w:sz w:val="18"/>
                <w:szCs w:val="18"/>
              </w:rPr>
            </w:pPr>
            <w:r>
              <w:rPr>
                <w:rFonts w:cs="Arial"/>
                <w:sz w:val="18"/>
                <w:szCs w:val="18"/>
              </w:rPr>
              <w:t> </w:t>
            </w:r>
          </w:p>
        </w:tc>
        <w:tc>
          <w:tcPr>
            <w:tcW w:w="1140" w:type="dxa"/>
            <w:tcBorders>
              <w:top w:val="nil"/>
              <w:left w:val="nil"/>
              <w:bottom w:val="nil"/>
              <w:right w:val="nil"/>
            </w:tcBorders>
            <w:shd w:val="clear" w:color="FFFFFF" w:fill="FFFFFF"/>
            <w:noWrap/>
            <w:vAlign w:val="bottom"/>
            <w:hideMark/>
          </w:tcPr>
          <w:p w14:paraId="3F322F04" w14:textId="77777777" w:rsidR="00C32CBD" w:rsidRDefault="00C32CBD" w:rsidP="00320D09">
            <w:pPr>
              <w:jc w:val="right"/>
              <w:rPr>
                <w:rFonts w:cs="Arial"/>
                <w:b/>
                <w:bCs/>
                <w:sz w:val="18"/>
                <w:szCs w:val="18"/>
              </w:rPr>
            </w:pPr>
            <w:r>
              <w:rPr>
                <w:rFonts w:cs="Arial"/>
                <w:b/>
                <w:bCs/>
                <w:sz w:val="18"/>
                <w:szCs w:val="18"/>
              </w:rPr>
              <w:t> </w:t>
            </w:r>
          </w:p>
        </w:tc>
        <w:tc>
          <w:tcPr>
            <w:tcW w:w="236" w:type="dxa"/>
            <w:tcBorders>
              <w:top w:val="nil"/>
              <w:left w:val="nil"/>
              <w:bottom w:val="nil"/>
              <w:right w:val="nil"/>
            </w:tcBorders>
            <w:shd w:val="clear" w:color="FFFFFF" w:fill="FFFFFF"/>
            <w:noWrap/>
            <w:vAlign w:val="bottom"/>
            <w:hideMark/>
          </w:tcPr>
          <w:p w14:paraId="0342755D" w14:textId="77777777" w:rsidR="00C32CBD" w:rsidRDefault="00C32CBD" w:rsidP="00320D09">
            <w:pPr>
              <w:rPr>
                <w:rFonts w:cs="Arial"/>
                <w:sz w:val="18"/>
                <w:szCs w:val="18"/>
              </w:rPr>
            </w:pPr>
            <w:r>
              <w:rPr>
                <w:rFonts w:cs="Arial"/>
                <w:sz w:val="18"/>
                <w:szCs w:val="18"/>
              </w:rPr>
              <w:t> </w:t>
            </w:r>
          </w:p>
        </w:tc>
        <w:tc>
          <w:tcPr>
            <w:tcW w:w="1108" w:type="dxa"/>
            <w:tcBorders>
              <w:top w:val="nil"/>
              <w:left w:val="nil"/>
              <w:bottom w:val="nil"/>
              <w:right w:val="nil"/>
            </w:tcBorders>
            <w:shd w:val="clear" w:color="FFFFFF" w:fill="FFFFFF"/>
            <w:noWrap/>
            <w:vAlign w:val="bottom"/>
            <w:hideMark/>
          </w:tcPr>
          <w:p w14:paraId="279D1A26" w14:textId="77777777" w:rsidR="00C32CBD" w:rsidRDefault="00C32CBD" w:rsidP="00320D09">
            <w:pPr>
              <w:jc w:val="right"/>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5100E179" w14:textId="77777777" w:rsidR="00C32CBD" w:rsidRDefault="00C32CBD" w:rsidP="00320D09">
            <w:pPr>
              <w:rPr>
                <w:rFonts w:cs="Arial"/>
                <w:sz w:val="18"/>
                <w:szCs w:val="18"/>
              </w:rPr>
            </w:pPr>
            <w:r>
              <w:rPr>
                <w:rFonts w:cs="Arial"/>
                <w:sz w:val="18"/>
                <w:szCs w:val="18"/>
              </w:rPr>
              <w:t> </w:t>
            </w:r>
          </w:p>
        </w:tc>
        <w:tc>
          <w:tcPr>
            <w:tcW w:w="1203" w:type="dxa"/>
            <w:tcBorders>
              <w:top w:val="nil"/>
              <w:left w:val="nil"/>
              <w:bottom w:val="nil"/>
              <w:right w:val="nil"/>
            </w:tcBorders>
            <w:shd w:val="clear" w:color="FFFFFF" w:fill="FFFFFF"/>
            <w:noWrap/>
            <w:vAlign w:val="bottom"/>
            <w:hideMark/>
          </w:tcPr>
          <w:p w14:paraId="29D6BC3F" w14:textId="77777777" w:rsidR="00C32CBD" w:rsidRDefault="00C32CBD" w:rsidP="00320D09">
            <w:pPr>
              <w:jc w:val="right"/>
              <w:rPr>
                <w:rFonts w:cs="Arial"/>
                <w:sz w:val="18"/>
                <w:szCs w:val="18"/>
              </w:rPr>
            </w:pPr>
            <w:r>
              <w:rPr>
                <w:rFonts w:cs="Arial"/>
                <w:sz w:val="18"/>
                <w:szCs w:val="18"/>
              </w:rPr>
              <w:t> </w:t>
            </w:r>
          </w:p>
        </w:tc>
      </w:tr>
      <w:tr w:rsidR="00C32CBD" w14:paraId="00F26E29" w14:textId="77777777" w:rsidTr="00320D09">
        <w:trPr>
          <w:trHeight w:val="255"/>
        </w:trPr>
        <w:tc>
          <w:tcPr>
            <w:tcW w:w="4164" w:type="dxa"/>
            <w:tcBorders>
              <w:top w:val="nil"/>
              <w:left w:val="nil"/>
              <w:bottom w:val="nil"/>
              <w:right w:val="nil"/>
            </w:tcBorders>
            <w:shd w:val="clear" w:color="FFFFFF" w:fill="FFFFFF"/>
            <w:vAlign w:val="bottom"/>
            <w:hideMark/>
          </w:tcPr>
          <w:p w14:paraId="62B54804" w14:textId="77777777" w:rsidR="00C32CBD" w:rsidRDefault="00C32CBD" w:rsidP="00320D09">
            <w:pPr>
              <w:rPr>
                <w:rFonts w:cs="Arial"/>
                <w:b/>
                <w:bCs/>
                <w:sz w:val="18"/>
                <w:szCs w:val="18"/>
              </w:rPr>
            </w:pPr>
            <w:r>
              <w:rPr>
                <w:rFonts w:cs="Arial"/>
                <w:b/>
                <w:bCs/>
                <w:sz w:val="18"/>
                <w:szCs w:val="18"/>
              </w:rPr>
              <w:t>Own-source revenue</w:t>
            </w:r>
          </w:p>
        </w:tc>
        <w:tc>
          <w:tcPr>
            <w:tcW w:w="1000" w:type="dxa"/>
            <w:tcBorders>
              <w:top w:val="nil"/>
              <w:left w:val="nil"/>
              <w:bottom w:val="nil"/>
              <w:right w:val="nil"/>
            </w:tcBorders>
            <w:shd w:val="clear" w:color="FFFFFF" w:fill="FFFFFF"/>
            <w:noWrap/>
            <w:vAlign w:val="bottom"/>
            <w:hideMark/>
          </w:tcPr>
          <w:p w14:paraId="5F98A0E9" w14:textId="77777777" w:rsidR="00C32CBD" w:rsidRDefault="00C32CBD" w:rsidP="00320D09">
            <w:pPr>
              <w:jc w:val="center"/>
              <w:rPr>
                <w:rFonts w:cs="Arial"/>
                <w:sz w:val="18"/>
                <w:szCs w:val="18"/>
              </w:rPr>
            </w:pPr>
            <w:r>
              <w:rPr>
                <w:rFonts w:cs="Arial"/>
                <w:sz w:val="18"/>
                <w:szCs w:val="18"/>
              </w:rPr>
              <w:t> </w:t>
            </w:r>
          </w:p>
        </w:tc>
        <w:tc>
          <w:tcPr>
            <w:tcW w:w="1140" w:type="dxa"/>
            <w:tcBorders>
              <w:top w:val="nil"/>
              <w:left w:val="nil"/>
              <w:bottom w:val="nil"/>
              <w:right w:val="nil"/>
            </w:tcBorders>
            <w:shd w:val="clear" w:color="FFFFFF" w:fill="FFFFFF"/>
            <w:noWrap/>
            <w:vAlign w:val="bottom"/>
            <w:hideMark/>
          </w:tcPr>
          <w:p w14:paraId="7D61F437" w14:textId="77777777" w:rsidR="00C32CBD" w:rsidRDefault="00C32CBD" w:rsidP="00320D09">
            <w:pPr>
              <w:jc w:val="right"/>
              <w:rPr>
                <w:rFonts w:cs="Arial"/>
                <w:b/>
                <w:bCs/>
                <w:sz w:val="18"/>
                <w:szCs w:val="18"/>
              </w:rPr>
            </w:pPr>
            <w:r>
              <w:rPr>
                <w:rFonts w:cs="Arial"/>
                <w:b/>
                <w:bCs/>
                <w:sz w:val="18"/>
                <w:szCs w:val="18"/>
              </w:rPr>
              <w:t> </w:t>
            </w:r>
          </w:p>
        </w:tc>
        <w:tc>
          <w:tcPr>
            <w:tcW w:w="236" w:type="dxa"/>
            <w:tcBorders>
              <w:top w:val="nil"/>
              <w:left w:val="nil"/>
              <w:bottom w:val="nil"/>
              <w:right w:val="nil"/>
            </w:tcBorders>
            <w:shd w:val="clear" w:color="FFFFFF" w:fill="FFFFFF"/>
            <w:noWrap/>
            <w:vAlign w:val="bottom"/>
            <w:hideMark/>
          </w:tcPr>
          <w:p w14:paraId="31E2DF90" w14:textId="77777777" w:rsidR="00C32CBD" w:rsidRDefault="00C32CBD" w:rsidP="00320D09">
            <w:pPr>
              <w:rPr>
                <w:rFonts w:cs="Arial"/>
                <w:sz w:val="18"/>
                <w:szCs w:val="18"/>
              </w:rPr>
            </w:pPr>
            <w:r>
              <w:rPr>
                <w:rFonts w:cs="Arial"/>
                <w:sz w:val="18"/>
                <w:szCs w:val="18"/>
              </w:rPr>
              <w:t> </w:t>
            </w:r>
          </w:p>
        </w:tc>
        <w:tc>
          <w:tcPr>
            <w:tcW w:w="1108" w:type="dxa"/>
            <w:tcBorders>
              <w:top w:val="nil"/>
              <w:left w:val="nil"/>
              <w:bottom w:val="nil"/>
              <w:right w:val="nil"/>
            </w:tcBorders>
            <w:shd w:val="clear" w:color="FFFFFF" w:fill="FFFFFF"/>
            <w:noWrap/>
            <w:vAlign w:val="bottom"/>
            <w:hideMark/>
          </w:tcPr>
          <w:p w14:paraId="67A75B45" w14:textId="77777777" w:rsidR="00C32CBD" w:rsidRDefault="00C32CBD" w:rsidP="00320D09">
            <w:pPr>
              <w:jc w:val="right"/>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1A655C9B" w14:textId="77777777" w:rsidR="00C32CBD" w:rsidRDefault="00C32CBD" w:rsidP="00320D09">
            <w:pPr>
              <w:rPr>
                <w:rFonts w:cs="Arial"/>
                <w:sz w:val="18"/>
                <w:szCs w:val="18"/>
              </w:rPr>
            </w:pPr>
            <w:r>
              <w:rPr>
                <w:rFonts w:cs="Arial"/>
                <w:sz w:val="18"/>
                <w:szCs w:val="18"/>
              </w:rPr>
              <w:t> </w:t>
            </w:r>
          </w:p>
        </w:tc>
        <w:tc>
          <w:tcPr>
            <w:tcW w:w="1203" w:type="dxa"/>
            <w:tcBorders>
              <w:top w:val="nil"/>
              <w:left w:val="nil"/>
              <w:bottom w:val="nil"/>
              <w:right w:val="nil"/>
            </w:tcBorders>
            <w:shd w:val="clear" w:color="FFFFFF" w:fill="FFFFFF"/>
            <w:noWrap/>
            <w:vAlign w:val="bottom"/>
            <w:hideMark/>
          </w:tcPr>
          <w:p w14:paraId="3D9E676C" w14:textId="77777777" w:rsidR="00C32CBD" w:rsidRDefault="00C32CBD" w:rsidP="00320D09">
            <w:pPr>
              <w:jc w:val="right"/>
              <w:rPr>
                <w:rFonts w:cs="Arial"/>
                <w:sz w:val="18"/>
                <w:szCs w:val="18"/>
              </w:rPr>
            </w:pPr>
            <w:r>
              <w:rPr>
                <w:rFonts w:cs="Arial"/>
                <w:sz w:val="18"/>
                <w:szCs w:val="18"/>
              </w:rPr>
              <w:t> </w:t>
            </w:r>
          </w:p>
        </w:tc>
      </w:tr>
      <w:tr w:rsidR="00C32CBD" w14:paraId="48EA38F1" w14:textId="77777777" w:rsidTr="00320D09">
        <w:trPr>
          <w:trHeight w:val="255"/>
        </w:trPr>
        <w:tc>
          <w:tcPr>
            <w:tcW w:w="4164" w:type="dxa"/>
            <w:tcBorders>
              <w:top w:val="nil"/>
              <w:left w:val="nil"/>
              <w:bottom w:val="nil"/>
              <w:right w:val="nil"/>
            </w:tcBorders>
            <w:shd w:val="clear" w:color="FFFFFF" w:fill="FFFFFF"/>
            <w:vAlign w:val="bottom"/>
            <w:hideMark/>
          </w:tcPr>
          <w:p w14:paraId="6F78B8CA" w14:textId="77777777" w:rsidR="00C32CBD" w:rsidRDefault="00C32CBD" w:rsidP="00320D09">
            <w:pPr>
              <w:ind w:firstLineChars="100" w:firstLine="180"/>
              <w:rPr>
                <w:rFonts w:cs="Arial"/>
                <w:sz w:val="18"/>
                <w:szCs w:val="18"/>
              </w:rPr>
            </w:pPr>
            <w:r>
              <w:rPr>
                <w:rFonts w:cs="Arial"/>
                <w:sz w:val="18"/>
                <w:szCs w:val="18"/>
              </w:rPr>
              <w:t>Revenue from rendering of services</w:t>
            </w:r>
          </w:p>
        </w:tc>
        <w:tc>
          <w:tcPr>
            <w:tcW w:w="1000" w:type="dxa"/>
            <w:tcBorders>
              <w:top w:val="nil"/>
              <w:left w:val="nil"/>
              <w:bottom w:val="nil"/>
              <w:right w:val="nil"/>
            </w:tcBorders>
            <w:shd w:val="clear" w:color="FFFFFF" w:fill="FFFFFF"/>
            <w:noWrap/>
            <w:vAlign w:val="bottom"/>
            <w:hideMark/>
          </w:tcPr>
          <w:p w14:paraId="0556096F" w14:textId="77777777" w:rsidR="00C32CBD" w:rsidRDefault="00C32CBD" w:rsidP="00320D09">
            <w:pPr>
              <w:jc w:val="center"/>
              <w:rPr>
                <w:rFonts w:cs="Arial"/>
                <w:sz w:val="18"/>
                <w:szCs w:val="18"/>
              </w:rPr>
            </w:pPr>
            <w:r>
              <w:rPr>
                <w:rFonts w:cs="Arial"/>
                <w:sz w:val="18"/>
                <w:szCs w:val="18"/>
              </w:rPr>
              <w:t>1.2A</w:t>
            </w:r>
          </w:p>
        </w:tc>
        <w:tc>
          <w:tcPr>
            <w:tcW w:w="1140" w:type="dxa"/>
            <w:tcBorders>
              <w:top w:val="nil"/>
              <w:left w:val="nil"/>
              <w:bottom w:val="nil"/>
              <w:right w:val="nil"/>
            </w:tcBorders>
            <w:shd w:val="clear" w:color="FFFFFF" w:fill="FFFFFF"/>
            <w:noWrap/>
            <w:vAlign w:val="bottom"/>
            <w:hideMark/>
          </w:tcPr>
          <w:p w14:paraId="50B4A37E" w14:textId="77777777" w:rsidR="00C32CBD" w:rsidRDefault="00C32CBD" w:rsidP="00320D09">
            <w:pPr>
              <w:jc w:val="right"/>
              <w:rPr>
                <w:rFonts w:cs="Arial"/>
                <w:b/>
                <w:bCs/>
                <w:sz w:val="18"/>
                <w:szCs w:val="18"/>
              </w:rPr>
            </w:pPr>
            <w:r>
              <w:rPr>
                <w:rFonts w:cs="Arial"/>
                <w:b/>
                <w:bCs/>
                <w:sz w:val="18"/>
                <w:szCs w:val="18"/>
              </w:rPr>
              <w:t>1,382,615</w:t>
            </w:r>
          </w:p>
        </w:tc>
        <w:tc>
          <w:tcPr>
            <w:tcW w:w="236" w:type="dxa"/>
            <w:tcBorders>
              <w:top w:val="nil"/>
              <w:left w:val="nil"/>
              <w:bottom w:val="nil"/>
              <w:right w:val="nil"/>
            </w:tcBorders>
            <w:shd w:val="clear" w:color="FFFFFF" w:fill="FFFFFF"/>
            <w:noWrap/>
            <w:vAlign w:val="bottom"/>
            <w:hideMark/>
          </w:tcPr>
          <w:p w14:paraId="3CF0ED25" w14:textId="77777777" w:rsidR="00C32CBD" w:rsidRDefault="00C32CBD" w:rsidP="00320D09">
            <w:pPr>
              <w:rPr>
                <w:rFonts w:cs="Arial"/>
                <w:sz w:val="18"/>
                <w:szCs w:val="18"/>
              </w:rPr>
            </w:pPr>
            <w:r>
              <w:rPr>
                <w:rFonts w:cs="Arial"/>
                <w:sz w:val="18"/>
                <w:szCs w:val="18"/>
              </w:rPr>
              <w:t> </w:t>
            </w:r>
          </w:p>
        </w:tc>
        <w:tc>
          <w:tcPr>
            <w:tcW w:w="1108" w:type="dxa"/>
            <w:tcBorders>
              <w:top w:val="nil"/>
              <w:left w:val="nil"/>
              <w:bottom w:val="nil"/>
              <w:right w:val="nil"/>
            </w:tcBorders>
            <w:shd w:val="clear" w:color="FFFFFF" w:fill="FFFFFF"/>
            <w:noWrap/>
            <w:vAlign w:val="bottom"/>
            <w:hideMark/>
          </w:tcPr>
          <w:p w14:paraId="01C66C27" w14:textId="77777777" w:rsidR="00C32CBD" w:rsidRDefault="00C32CBD" w:rsidP="00320D09">
            <w:pPr>
              <w:jc w:val="right"/>
              <w:rPr>
                <w:rFonts w:cs="Arial"/>
                <w:sz w:val="18"/>
                <w:szCs w:val="18"/>
              </w:rPr>
            </w:pPr>
            <w:r>
              <w:rPr>
                <w:rFonts w:cs="Arial"/>
                <w:sz w:val="18"/>
                <w:szCs w:val="18"/>
              </w:rPr>
              <w:t>286,907</w:t>
            </w:r>
          </w:p>
        </w:tc>
        <w:tc>
          <w:tcPr>
            <w:tcW w:w="236" w:type="dxa"/>
            <w:tcBorders>
              <w:top w:val="nil"/>
              <w:left w:val="nil"/>
              <w:bottom w:val="nil"/>
              <w:right w:val="nil"/>
            </w:tcBorders>
            <w:shd w:val="clear" w:color="FFFFFF" w:fill="FFFFFF"/>
            <w:noWrap/>
            <w:vAlign w:val="bottom"/>
            <w:hideMark/>
          </w:tcPr>
          <w:p w14:paraId="342FC120" w14:textId="77777777" w:rsidR="00C32CBD" w:rsidRDefault="00C32CBD" w:rsidP="00320D09">
            <w:pPr>
              <w:rPr>
                <w:rFonts w:cs="Arial"/>
                <w:sz w:val="18"/>
                <w:szCs w:val="18"/>
              </w:rPr>
            </w:pPr>
            <w:r>
              <w:rPr>
                <w:rFonts w:cs="Arial"/>
                <w:sz w:val="18"/>
                <w:szCs w:val="18"/>
              </w:rPr>
              <w:t> </w:t>
            </w:r>
          </w:p>
        </w:tc>
        <w:tc>
          <w:tcPr>
            <w:tcW w:w="1203" w:type="dxa"/>
            <w:tcBorders>
              <w:top w:val="nil"/>
              <w:left w:val="nil"/>
              <w:bottom w:val="nil"/>
              <w:right w:val="nil"/>
            </w:tcBorders>
            <w:shd w:val="clear" w:color="FFFFFF" w:fill="FFFFFF"/>
            <w:noWrap/>
            <w:vAlign w:val="bottom"/>
            <w:hideMark/>
          </w:tcPr>
          <w:p w14:paraId="2710C1DE" w14:textId="77777777" w:rsidR="00C32CBD" w:rsidRDefault="00C32CBD" w:rsidP="00320D09">
            <w:pPr>
              <w:jc w:val="right"/>
              <w:rPr>
                <w:rFonts w:cs="Arial"/>
                <w:sz w:val="18"/>
                <w:szCs w:val="18"/>
              </w:rPr>
            </w:pPr>
            <w:r>
              <w:rPr>
                <w:rFonts w:cs="Arial"/>
                <w:sz w:val="18"/>
                <w:szCs w:val="18"/>
              </w:rPr>
              <w:t>1,793,177</w:t>
            </w:r>
          </w:p>
        </w:tc>
      </w:tr>
      <w:tr w:rsidR="00C32CBD" w14:paraId="00AD00C9" w14:textId="77777777" w:rsidTr="00320D09">
        <w:trPr>
          <w:trHeight w:val="255"/>
        </w:trPr>
        <w:tc>
          <w:tcPr>
            <w:tcW w:w="4164" w:type="dxa"/>
            <w:tcBorders>
              <w:top w:val="nil"/>
              <w:left w:val="nil"/>
              <w:bottom w:val="nil"/>
              <w:right w:val="nil"/>
            </w:tcBorders>
            <w:shd w:val="clear" w:color="FFFFFF" w:fill="FFFFFF"/>
            <w:vAlign w:val="bottom"/>
            <w:hideMark/>
          </w:tcPr>
          <w:p w14:paraId="5C97407A" w14:textId="77777777" w:rsidR="00C32CBD" w:rsidRDefault="00C32CBD" w:rsidP="00320D09">
            <w:pPr>
              <w:ind w:firstLineChars="100" w:firstLine="180"/>
              <w:rPr>
                <w:rFonts w:cs="Arial"/>
                <w:sz w:val="18"/>
                <w:szCs w:val="18"/>
              </w:rPr>
            </w:pPr>
            <w:r>
              <w:rPr>
                <w:rFonts w:cs="Arial"/>
                <w:sz w:val="18"/>
                <w:szCs w:val="18"/>
              </w:rPr>
              <w:t>Interest</w:t>
            </w:r>
          </w:p>
        </w:tc>
        <w:tc>
          <w:tcPr>
            <w:tcW w:w="1000" w:type="dxa"/>
            <w:tcBorders>
              <w:top w:val="nil"/>
              <w:left w:val="nil"/>
              <w:bottom w:val="nil"/>
              <w:right w:val="nil"/>
            </w:tcBorders>
            <w:shd w:val="clear" w:color="FFFFFF" w:fill="FFFFFF"/>
            <w:noWrap/>
            <w:vAlign w:val="bottom"/>
            <w:hideMark/>
          </w:tcPr>
          <w:p w14:paraId="31917ABD" w14:textId="77777777" w:rsidR="00C32CBD" w:rsidRDefault="00C32CBD" w:rsidP="00320D09">
            <w:pPr>
              <w:jc w:val="center"/>
              <w:rPr>
                <w:rFonts w:cs="Arial"/>
                <w:sz w:val="18"/>
                <w:szCs w:val="18"/>
              </w:rPr>
            </w:pPr>
            <w:r>
              <w:rPr>
                <w:rFonts w:cs="Arial"/>
                <w:sz w:val="18"/>
                <w:szCs w:val="18"/>
              </w:rPr>
              <w:t>1.2B</w:t>
            </w:r>
          </w:p>
        </w:tc>
        <w:tc>
          <w:tcPr>
            <w:tcW w:w="1140" w:type="dxa"/>
            <w:tcBorders>
              <w:top w:val="nil"/>
              <w:left w:val="nil"/>
              <w:bottom w:val="nil"/>
              <w:right w:val="nil"/>
            </w:tcBorders>
            <w:shd w:val="clear" w:color="FFFFFF" w:fill="FFFFFF"/>
            <w:noWrap/>
            <w:vAlign w:val="bottom"/>
            <w:hideMark/>
          </w:tcPr>
          <w:p w14:paraId="351E6626" w14:textId="77777777" w:rsidR="00C32CBD" w:rsidRDefault="00C32CBD" w:rsidP="00320D09">
            <w:pPr>
              <w:jc w:val="right"/>
              <w:rPr>
                <w:rFonts w:cs="Arial"/>
                <w:b/>
                <w:bCs/>
                <w:sz w:val="18"/>
                <w:szCs w:val="18"/>
              </w:rPr>
            </w:pPr>
            <w:r>
              <w:rPr>
                <w:rFonts w:cs="Arial"/>
                <w:b/>
                <w:bCs/>
                <w:sz w:val="18"/>
                <w:szCs w:val="18"/>
              </w:rPr>
              <w:t>13,802</w:t>
            </w:r>
          </w:p>
        </w:tc>
        <w:tc>
          <w:tcPr>
            <w:tcW w:w="236" w:type="dxa"/>
            <w:tcBorders>
              <w:top w:val="nil"/>
              <w:left w:val="nil"/>
              <w:bottom w:val="nil"/>
              <w:right w:val="nil"/>
            </w:tcBorders>
            <w:shd w:val="clear" w:color="FFFFFF" w:fill="FFFFFF"/>
            <w:noWrap/>
            <w:vAlign w:val="bottom"/>
            <w:hideMark/>
          </w:tcPr>
          <w:p w14:paraId="6A419033" w14:textId="77777777" w:rsidR="00C32CBD" w:rsidRDefault="00C32CBD" w:rsidP="00320D09">
            <w:pPr>
              <w:rPr>
                <w:rFonts w:cs="Arial"/>
                <w:sz w:val="18"/>
                <w:szCs w:val="18"/>
              </w:rPr>
            </w:pPr>
            <w:r>
              <w:rPr>
                <w:rFonts w:cs="Arial"/>
                <w:sz w:val="18"/>
                <w:szCs w:val="18"/>
              </w:rPr>
              <w:t> </w:t>
            </w:r>
          </w:p>
        </w:tc>
        <w:tc>
          <w:tcPr>
            <w:tcW w:w="1108" w:type="dxa"/>
            <w:tcBorders>
              <w:top w:val="nil"/>
              <w:left w:val="nil"/>
              <w:bottom w:val="nil"/>
              <w:right w:val="nil"/>
            </w:tcBorders>
            <w:shd w:val="clear" w:color="FFFFFF" w:fill="FFFFFF"/>
            <w:noWrap/>
            <w:vAlign w:val="bottom"/>
            <w:hideMark/>
          </w:tcPr>
          <w:p w14:paraId="7045F0E8" w14:textId="77777777" w:rsidR="00C32CBD" w:rsidRDefault="00C32CBD" w:rsidP="00320D09">
            <w:pPr>
              <w:jc w:val="right"/>
              <w:rPr>
                <w:rFonts w:cs="Arial"/>
                <w:sz w:val="18"/>
                <w:szCs w:val="18"/>
              </w:rPr>
            </w:pPr>
            <w:r>
              <w:rPr>
                <w:rFonts w:cs="Arial"/>
                <w:sz w:val="18"/>
                <w:szCs w:val="18"/>
              </w:rPr>
              <w:t>6,219</w:t>
            </w:r>
          </w:p>
        </w:tc>
        <w:tc>
          <w:tcPr>
            <w:tcW w:w="236" w:type="dxa"/>
            <w:tcBorders>
              <w:top w:val="nil"/>
              <w:left w:val="nil"/>
              <w:bottom w:val="nil"/>
              <w:right w:val="nil"/>
            </w:tcBorders>
            <w:shd w:val="clear" w:color="FFFFFF" w:fill="FFFFFF"/>
            <w:noWrap/>
            <w:vAlign w:val="bottom"/>
            <w:hideMark/>
          </w:tcPr>
          <w:p w14:paraId="4637E233" w14:textId="77777777" w:rsidR="00C32CBD" w:rsidRDefault="00C32CBD" w:rsidP="00320D09">
            <w:pPr>
              <w:rPr>
                <w:rFonts w:cs="Arial"/>
                <w:sz w:val="18"/>
                <w:szCs w:val="18"/>
              </w:rPr>
            </w:pPr>
            <w:r>
              <w:rPr>
                <w:rFonts w:cs="Arial"/>
                <w:sz w:val="18"/>
                <w:szCs w:val="18"/>
              </w:rPr>
              <w:t> </w:t>
            </w:r>
          </w:p>
        </w:tc>
        <w:tc>
          <w:tcPr>
            <w:tcW w:w="1203" w:type="dxa"/>
            <w:tcBorders>
              <w:top w:val="nil"/>
              <w:left w:val="nil"/>
              <w:bottom w:val="nil"/>
              <w:right w:val="nil"/>
            </w:tcBorders>
            <w:shd w:val="clear" w:color="FFFFFF" w:fill="FFFFFF"/>
            <w:noWrap/>
            <w:vAlign w:val="bottom"/>
            <w:hideMark/>
          </w:tcPr>
          <w:p w14:paraId="68EDAA59" w14:textId="77777777" w:rsidR="00C32CBD" w:rsidRDefault="00C32CBD" w:rsidP="00320D09">
            <w:pPr>
              <w:jc w:val="right"/>
              <w:rPr>
                <w:rFonts w:cs="Arial"/>
                <w:sz w:val="18"/>
                <w:szCs w:val="18"/>
              </w:rPr>
            </w:pPr>
            <w:r>
              <w:rPr>
                <w:rFonts w:cs="Arial"/>
                <w:sz w:val="18"/>
                <w:szCs w:val="18"/>
              </w:rPr>
              <w:t xml:space="preserve"> -</w:t>
            </w:r>
          </w:p>
        </w:tc>
      </w:tr>
      <w:tr w:rsidR="00C32CBD" w14:paraId="7BA78FC1" w14:textId="77777777" w:rsidTr="00320D09">
        <w:trPr>
          <w:trHeight w:val="255"/>
        </w:trPr>
        <w:tc>
          <w:tcPr>
            <w:tcW w:w="4164" w:type="dxa"/>
            <w:tcBorders>
              <w:top w:val="nil"/>
              <w:left w:val="nil"/>
              <w:bottom w:val="nil"/>
              <w:right w:val="nil"/>
            </w:tcBorders>
            <w:shd w:val="clear" w:color="FFFFFF" w:fill="FFFFFF"/>
            <w:vAlign w:val="bottom"/>
            <w:hideMark/>
          </w:tcPr>
          <w:p w14:paraId="0803DA71" w14:textId="77777777" w:rsidR="00C32CBD" w:rsidRDefault="00C32CBD" w:rsidP="00320D09">
            <w:pPr>
              <w:ind w:firstLineChars="100" w:firstLine="180"/>
              <w:rPr>
                <w:rFonts w:cs="Arial"/>
                <w:sz w:val="18"/>
                <w:szCs w:val="18"/>
              </w:rPr>
            </w:pPr>
            <w:r>
              <w:rPr>
                <w:rFonts w:cs="Arial"/>
                <w:sz w:val="18"/>
                <w:szCs w:val="18"/>
              </w:rPr>
              <w:t>Other revenue</w:t>
            </w:r>
          </w:p>
        </w:tc>
        <w:tc>
          <w:tcPr>
            <w:tcW w:w="1000" w:type="dxa"/>
            <w:tcBorders>
              <w:top w:val="nil"/>
              <w:left w:val="nil"/>
              <w:bottom w:val="nil"/>
              <w:right w:val="nil"/>
            </w:tcBorders>
            <w:shd w:val="clear" w:color="FFFFFF" w:fill="FFFFFF"/>
            <w:noWrap/>
            <w:vAlign w:val="bottom"/>
            <w:hideMark/>
          </w:tcPr>
          <w:p w14:paraId="16DFD61B" w14:textId="77777777" w:rsidR="00C32CBD" w:rsidRDefault="00C32CBD" w:rsidP="00320D09">
            <w:pPr>
              <w:jc w:val="center"/>
              <w:rPr>
                <w:rFonts w:cs="Arial"/>
                <w:sz w:val="18"/>
                <w:szCs w:val="18"/>
              </w:rPr>
            </w:pPr>
            <w:r>
              <w:rPr>
                <w:rFonts w:cs="Arial"/>
                <w:sz w:val="18"/>
                <w:szCs w:val="18"/>
              </w:rPr>
              <w:t>1.2C</w:t>
            </w:r>
          </w:p>
        </w:tc>
        <w:tc>
          <w:tcPr>
            <w:tcW w:w="1140" w:type="dxa"/>
            <w:tcBorders>
              <w:top w:val="nil"/>
              <w:left w:val="nil"/>
              <w:bottom w:val="nil"/>
              <w:right w:val="nil"/>
            </w:tcBorders>
            <w:shd w:val="clear" w:color="FFFFFF" w:fill="FFFFFF"/>
            <w:noWrap/>
            <w:vAlign w:val="bottom"/>
            <w:hideMark/>
          </w:tcPr>
          <w:p w14:paraId="24257981" w14:textId="77777777" w:rsidR="00C32CBD" w:rsidRDefault="00C32CBD" w:rsidP="00320D09">
            <w:pPr>
              <w:jc w:val="right"/>
              <w:rPr>
                <w:rFonts w:cs="Arial"/>
                <w:b/>
                <w:bCs/>
                <w:sz w:val="18"/>
                <w:szCs w:val="18"/>
              </w:rPr>
            </w:pPr>
            <w:r>
              <w:rPr>
                <w:rFonts w:cs="Arial"/>
                <w:b/>
                <w:bCs/>
                <w:sz w:val="18"/>
                <w:szCs w:val="18"/>
              </w:rPr>
              <w:t>1,379</w:t>
            </w:r>
          </w:p>
        </w:tc>
        <w:tc>
          <w:tcPr>
            <w:tcW w:w="236" w:type="dxa"/>
            <w:tcBorders>
              <w:top w:val="nil"/>
              <w:left w:val="nil"/>
              <w:bottom w:val="nil"/>
              <w:right w:val="nil"/>
            </w:tcBorders>
            <w:shd w:val="clear" w:color="FFFFFF" w:fill="FFFFFF"/>
            <w:noWrap/>
            <w:vAlign w:val="bottom"/>
            <w:hideMark/>
          </w:tcPr>
          <w:p w14:paraId="4CB301B9" w14:textId="77777777" w:rsidR="00C32CBD" w:rsidRDefault="00C32CBD" w:rsidP="00320D09">
            <w:pPr>
              <w:rPr>
                <w:rFonts w:cs="Arial"/>
                <w:sz w:val="18"/>
                <w:szCs w:val="18"/>
              </w:rPr>
            </w:pPr>
            <w:r>
              <w:rPr>
                <w:rFonts w:cs="Arial"/>
                <w:sz w:val="18"/>
                <w:szCs w:val="18"/>
              </w:rPr>
              <w:t> </w:t>
            </w:r>
          </w:p>
        </w:tc>
        <w:tc>
          <w:tcPr>
            <w:tcW w:w="1108" w:type="dxa"/>
            <w:tcBorders>
              <w:top w:val="nil"/>
              <w:left w:val="nil"/>
              <w:bottom w:val="nil"/>
              <w:right w:val="nil"/>
            </w:tcBorders>
            <w:shd w:val="clear" w:color="FFFFFF" w:fill="FFFFFF"/>
            <w:noWrap/>
            <w:vAlign w:val="bottom"/>
            <w:hideMark/>
          </w:tcPr>
          <w:p w14:paraId="0A55ECB7" w14:textId="77777777" w:rsidR="00C32CBD" w:rsidRDefault="00C32CBD" w:rsidP="00320D09">
            <w:pPr>
              <w:jc w:val="right"/>
              <w:rPr>
                <w:rFonts w:cs="Arial"/>
                <w:sz w:val="18"/>
                <w:szCs w:val="18"/>
              </w:rPr>
            </w:pPr>
            <w:r>
              <w:rPr>
                <w:rFonts w:cs="Arial"/>
                <w:sz w:val="18"/>
                <w:szCs w:val="18"/>
              </w:rPr>
              <w:t>18,315</w:t>
            </w:r>
          </w:p>
        </w:tc>
        <w:tc>
          <w:tcPr>
            <w:tcW w:w="236" w:type="dxa"/>
            <w:tcBorders>
              <w:top w:val="nil"/>
              <w:left w:val="nil"/>
              <w:bottom w:val="nil"/>
              <w:right w:val="nil"/>
            </w:tcBorders>
            <w:shd w:val="clear" w:color="FFFFFF" w:fill="FFFFFF"/>
            <w:noWrap/>
            <w:vAlign w:val="bottom"/>
            <w:hideMark/>
          </w:tcPr>
          <w:p w14:paraId="1D66E3D3" w14:textId="77777777" w:rsidR="00C32CBD" w:rsidRDefault="00C32CBD" w:rsidP="00320D09">
            <w:pPr>
              <w:rPr>
                <w:rFonts w:cs="Arial"/>
                <w:sz w:val="18"/>
                <w:szCs w:val="18"/>
              </w:rPr>
            </w:pPr>
            <w:r>
              <w:rPr>
                <w:rFonts w:cs="Arial"/>
                <w:sz w:val="18"/>
                <w:szCs w:val="18"/>
              </w:rPr>
              <w:t> </w:t>
            </w:r>
          </w:p>
        </w:tc>
        <w:tc>
          <w:tcPr>
            <w:tcW w:w="1203" w:type="dxa"/>
            <w:tcBorders>
              <w:top w:val="nil"/>
              <w:left w:val="nil"/>
              <w:bottom w:val="nil"/>
              <w:right w:val="nil"/>
            </w:tcBorders>
            <w:shd w:val="clear" w:color="FFFFFF" w:fill="FFFFFF"/>
            <w:noWrap/>
            <w:vAlign w:val="bottom"/>
            <w:hideMark/>
          </w:tcPr>
          <w:p w14:paraId="0F3EEA1A" w14:textId="77777777" w:rsidR="00C32CBD" w:rsidRDefault="00C32CBD" w:rsidP="00320D09">
            <w:pPr>
              <w:jc w:val="right"/>
              <w:rPr>
                <w:rFonts w:cs="Arial"/>
                <w:sz w:val="18"/>
                <w:szCs w:val="18"/>
              </w:rPr>
            </w:pPr>
            <w:r>
              <w:rPr>
                <w:rFonts w:cs="Arial"/>
                <w:sz w:val="18"/>
                <w:szCs w:val="18"/>
              </w:rPr>
              <w:t xml:space="preserve"> -</w:t>
            </w:r>
          </w:p>
        </w:tc>
      </w:tr>
      <w:tr w:rsidR="00C32CBD" w14:paraId="5A39531F" w14:textId="77777777" w:rsidTr="00320D09">
        <w:trPr>
          <w:trHeight w:val="255"/>
        </w:trPr>
        <w:tc>
          <w:tcPr>
            <w:tcW w:w="4164" w:type="dxa"/>
            <w:tcBorders>
              <w:top w:val="nil"/>
              <w:left w:val="nil"/>
              <w:bottom w:val="nil"/>
              <w:right w:val="nil"/>
            </w:tcBorders>
            <w:shd w:val="clear" w:color="FFFFFF" w:fill="FFFFFF"/>
            <w:vAlign w:val="bottom"/>
            <w:hideMark/>
          </w:tcPr>
          <w:p w14:paraId="6642D4AC" w14:textId="77777777" w:rsidR="00C32CBD" w:rsidRDefault="00C32CBD" w:rsidP="00320D09">
            <w:pPr>
              <w:rPr>
                <w:rFonts w:cs="Arial"/>
                <w:b/>
                <w:bCs/>
                <w:sz w:val="18"/>
                <w:szCs w:val="18"/>
              </w:rPr>
            </w:pPr>
            <w:r>
              <w:rPr>
                <w:rFonts w:cs="Arial"/>
                <w:b/>
                <w:bCs/>
                <w:sz w:val="18"/>
                <w:szCs w:val="18"/>
              </w:rPr>
              <w:t>Total own-source revenue</w:t>
            </w:r>
          </w:p>
        </w:tc>
        <w:tc>
          <w:tcPr>
            <w:tcW w:w="1000" w:type="dxa"/>
            <w:tcBorders>
              <w:top w:val="nil"/>
              <w:left w:val="nil"/>
              <w:bottom w:val="nil"/>
              <w:right w:val="nil"/>
            </w:tcBorders>
            <w:shd w:val="clear" w:color="FFFFFF" w:fill="FFFFFF"/>
            <w:noWrap/>
            <w:vAlign w:val="bottom"/>
            <w:hideMark/>
          </w:tcPr>
          <w:p w14:paraId="2CE5CA8A" w14:textId="77777777" w:rsidR="00C32CBD" w:rsidRDefault="00C32CBD" w:rsidP="00320D09">
            <w:pPr>
              <w:jc w:val="center"/>
              <w:rPr>
                <w:rFonts w:cs="Arial"/>
                <w:sz w:val="18"/>
                <w:szCs w:val="18"/>
              </w:rPr>
            </w:pPr>
            <w:r>
              <w:rPr>
                <w:rFonts w:cs="Arial"/>
                <w:sz w:val="18"/>
                <w:szCs w:val="18"/>
              </w:rPr>
              <w:t> </w:t>
            </w:r>
          </w:p>
        </w:tc>
        <w:tc>
          <w:tcPr>
            <w:tcW w:w="1140" w:type="dxa"/>
            <w:tcBorders>
              <w:top w:val="single" w:sz="4" w:space="0" w:color="auto"/>
              <w:left w:val="nil"/>
              <w:bottom w:val="single" w:sz="4" w:space="0" w:color="auto"/>
              <w:right w:val="nil"/>
            </w:tcBorders>
            <w:shd w:val="clear" w:color="FFFFFF" w:fill="FFFFFF"/>
            <w:noWrap/>
            <w:vAlign w:val="bottom"/>
            <w:hideMark/>
          </w:tcPr>
          <w:p w14:paraId="0697D3DF" w14:textId="77777777" w:rsidR="00C32CBD" w:rsidRDefault="00C32CBD" w:rsidP="00320D09">
            <w:pPr>
              <w:jc w:val="right"/>
              <w:rPr>
                <w:rFonts w:cs="Arial"/>
                <w:b/>
                <w:bCs/>
                <w:sz w:val="18"/>
                <w:szCs w:val="18"/>
              </w:rPr>
            </w:pPr>
            <w:r>
              <w:rPr>
                <w:rFonts w:cs="Arial"/>
                <w:b/>
                <w:bCs/>
                <w:sz w:val="18"/>
                <w:szCs w:val="18"/>
              </w:rPr>
              <w:t>1,397,796</w:t>
            </w:r>
          </w:p>
        </w:tc>
        <w:tc>
          <w:tcPr>
            <w:tcW w:w="236" w:type="dxa"/>
            <w:tcBorders>
              <w:top w:val="nil"/>
              <w:left w:val="nil"/>
              <w:bottom w:val="nil"/>
              <w:right w:val="nil"/>
            </w:tcBorders>
            <w:shd w:val="clear" w:color="FFFFFF" w:fill="FFFFFF"/>
            <w:noWrap/>
            <w:vAlign w:val="bottom"/>
            <w:hideMark/>
          </w:tcPr>
          <w:p w14:paraId="09A7CD49" w14:textId="77777777" w:rsidR="00C32CBD" w:rsidRDefault="00C32CBD" w:rsidP="00320D09">
            <w:pPr>
              <w:rPr>
                <w:rFonts w:cs="Arial"/>
                <w:sz w:val="18"/>
                <w:szCs w:val="18"/>
              </w:rPr>
            </w:pPr>
            <w:r>
              <w:rPr>
                <w:rFonts w:cs="Arial"/>
                <w:sz w:val="18"/>
                <w:szCs w:val="18"/>
              </w:rPr>
              <w:t> </w:t>
            </w:r>
          </w:p>
        </w:tc>
        <w:tc>
          <w:tcPr>
            <w:tcW w:w="1108" w:type="dxa"/>
            <w:tcBorders>
              <w:top w:val="single" w:sz="4" w:space="0" w:color="auto"/>
              <w:left w:val="nil"/>
              <w:bottom w:val="single" w:sz="4" w:space="0" w:color="auto"/>
              <w:right w:val="nil"/>
            </w:tcBorders>
            <w:shd w:val="clear" w:color="FFFFFF" w:fill="FFFFFF"/>
            <w:noWrap/>
            <w:vAlign w:val="bottom"/>
            <w:hideMark/>
          </w:tcPr>
          <w:p w14:paraId="057B10A3" w14:textId="77777777" w:rsidR="00C32CBD" w:rsidRDefault="00C32CBD" w:rsidP="00320D09">
            <w:pPr>
              <w:jc w:val="right"/>
              <w:rPr>
                <w:rFonts w:cs="Arial"/>
                <w:sz w:val="18"/>
                <w:szCs w:val="18"/>
              </w:rPr>
            </w:pPr>
            <w:r>
              <w:rPr>
                <w:rFonts w:cs="Arial"/>
                <w:sz w:val="18"/>
                <w:szCs w:val="18"/>
              </w:rPr>
              <w:t>311,441</w:t>
            </w:r>
          </w:p>
        </w:tc>
        <w:tc>
          <w:tcPr>
            <w:tcW w:w="236" w:type="dxa"/>
            <w:tcBorders>
              <w:top w:val="nil"/>
              <w:left w:val="nil"/>
              <w:bottom w:val="nil"/>
              <w:right w:val="nil"/>
            </w:tcBorders>
            <w:shd w:val="clear" w:color="FFFFFF" w:fill="FFFFFF"/>
            <w:noWrap/>
            <w:vAlign w:val="bottom"/>
            <w:hideMark/>
          </w:tcPr>
          <w:p w14:paraId="5D39E9A5" w14:textId="77777777" w:rsidR="00C32CBD" w:rsidRDefault="00C32CBD" w:rsidP="00320D09">
            <w:pPr>
              <w:rPr>
                <w:rFonts w:cs="Arial"/>
                <w:sz w:val="18"/>
                <w:szCs w:val="18"/>
              </w:rPr>
            </w:pPr>
            <w:r>
              <w:rPr>
                <w:rFonts w:cs="Arial"/>
                <w:sz w:val="18"/>
                <w:szCs w:val="18"/>
              </w:rPr>
              <w:t> </w:t>
            </w:r>
          </w:p>
        </w:tc>
        <w:tc>
          <w:tcPr>
            <w:tcW w:w="1203" w:type="dxa"/>
            <w:tcBorders>
              <w:top w:val="single" w:sz="4" w:space="0" w:color="auto"/>
              <w:left w:val="nil"/>
              <w:bottom w:val="single" w:sz="4" w:space="0" w:color="auto"/>
              <w:right w:val="nil"/>
            </w:tcBorders>
            <w:shd w:val="clear" w:color="FFFFFF" w:fill="FFFFFF"/>
            <w:noWrap/>
            <w:vAlign w:val="bottom"/>
            <w:hideMark/>
          </w:tcPr>
          <w:p w14:paraId="11C55422" w14:textId="77777777" w:rsidR="00C32CBD" w:rsidRDefault="00C32CBD" w:rsidP="00320D09">
            <w:pPr>
              <w:jc w:val="right"/>
              <w:rPr>
                <w:rFonts w:cs="Arial"/>
                <w:sz w:val="18"/>
                <w:szCs w:val="18"/>
              </w:rPr>
            </w:pPr>
            <w:r>
              <w:rPr>
                <w:rFonts w:cs="Arial"/>
                <w:sz w:val="18"/>
                <w:szCs w:val="18"/>
              </w:rPr>
              <w:t>1,793,177</w:t>
            </w:r>
          </w:p>
        </w:tc>
      </w:tr>
      <w:tr w:rsidR="00C32CBD" w14:paraId="241C6EDD" w14:textId="77777777" w:rsidTr="00320D09">
        <w:trPr>
          <w:trHeight w:val="255"/>
        </w:trPr>
        <w:tc>
          <w:tcPr>
            <w:tcW w:w="4164" w:type="dxa"/>
            <w:tcBorders>
              <w:top w:val="nil"/>
              <w:left w:val="nil"/>
              <w:bottom w:val="nil"/>
              <w:right w:val="nil"/>
            </w:tcBorders>
            <w:shd w:val="clear" w:color="FFFFFF" w:fill="FFFFFF"/>
            <w:vAlign w:val="bottom"/>
            <w:hideMark/>
          </w:tcPr>
          <w:p w14:paraId="6436C3FF" w14:textId="77777777" w:rsidR="00C32CBD" w:rsidRDefault="00C32CBD" w:rsidP="00320D09">
            <w:pPr>
              <w:rPr>
                <w:rFonts w:cs="Arial"/>
                <w:sz w:val="18"/>
                <w:szCs w:val="18"/>
              </w:rPr>
            </w:pPr>
            <w:r>
              <w:rPr>
                <w:rFonts w:cs="Arial"/>
                <w:sz w:val="18"/>
                <w:szCs w:val="18"/>
              </w:rPr>
              <w:t> </w:t>
            </w:r>
          </w:p>
        </w:tc>
        <w:tc>
          <w:tcPr>
            <w:tcW w:w="1000" w:type="dxa"/>
            <w:tcBorders>
              <w:top w:val="nil"/>
              <w:left w:val="nil"/>
              <w:bottom w:val="nil"/>
              <w:right w:val="nil"/>
            </w:tcBorders>
            <w:shd w:val="clear" w:color="FFFFFF" w:fill="FFFFFF"/>
            <w:noWrap/>
            <w:vAlign w:val="bottom"/>
            <w:hideMark/>
          </w:tcPr>
          <w:p w14:paraId="2409F185" w14:textId="77777777" w:rsidR="00C32CBD" w:rsidRDefault="00C32CBD" w:rsidP="00320D09">
            <w:pPr>
              <w:jc w:val="center"/>
              <w:rPr>
                <w:rFonts w:cs="Arial"/>
                <w:sz w:val="18"/>
                <w:szCs w:val="18"/>
              </w:rPr>
            </w:pPr>
            <w:r>
              <w:rPr>
                <w:rFonts w:cs="Arial"/>
                <w:sz w:val="18"/>
                <w:szCs w:val="18"/>
              </w:rPr>
              <w:t> </w:t>
            </w:r>
          </w:p>
        </w:tc>
        <w:tc>
          <w:tcPr>
            <w:tcW w:w="1140" w:type="dxa"/>
            <w:tcBorders>
              <w:top w:val="nil"/>
              <w:left w:val="nil"/>
              <w:bottom w:val="nil"/>
              <w:right w:val="nil"/>
            </w:tcBorders>
            <w:shd w:val="clear" w:color="FFFFFF" w:fill="FFFFFF"/>
            <w:noWrap/>
            <w:vAlign w:val="bottom"/>
            <w:hideMark/>
          </w:tcPr>
          <w:p w14:paraId="2C8333AA" w14:textId="77777777" w:rsidR="00C32CBD" w:rsidRDefault="00C32CBD" w:rsidP="00320D09">
            <w:pPr>
              <w:jc w:val="right"/>
              <w:rPr>
                <w:rFonts w:cs="Arial"/>
                <w:b/>
                <w:bCs/>
                <w:sz w:val="18"/>
                <w:szCs w:val="18"/>
              </w:rPr>
            </w:pPr>
            <w:r>
              <w:rPr>
                <w:rFonts w:cs="Arial"/>
                <w:b/>
                <w:bCs/>
                <w:sz w:val="18"/>
                <w:szCs w:val="18"/>
              </w:rPr>
              <w:t> </w:t>
            </w:r>
          </w:p>
        </w:tc>
        <w:tc>
          <w:tcPr>
            <w:tcW w:w="236" w:type="dxa"/>
            <w:tcBorders>
              <w:top w:val="nil"/>
              <w:left w:val="nil"/>
              <w:bottom w:val="nil"/>
              <w:right w:val="nil"/>
            </w:tcBorders>
            <w:shd w:val="clear" w:color="FFFFFF" w:fill="FFFFFF"/>
            <w:noWrap/>
            <w:vAlign w:val="bottom"/>
            <w:hideMark/>
          </w:tcPr>
          <w:p w14:paraId="4061CB03" w14:textId="77777777" w:rsidR="00C32CBD" w:rsidRDefault="00C32CBD" w:rsidP="00320D09">
            <w:pPr>
              <w:rPr>
                <w:rFonts w:cs="Arial"/>
                <w:sz w:val="18"/>
                <w:szCs w:val="18"/>
              </w:rPr>
            </w:pPr>
            <w:r>
              <w:rPr>
                <w:rFonts w:cs="Arial"/>
                <w:sz w:val="18"/>
                <w:szCs w:val="18"/>
              </w:rPr>
              <w:t> </w:t>
            </w:r>
          </w:p>
        </w:tc>
        <w:tc>
          <w:tcPr>
            <w:tcW w:w="1108" w:type="dxa"/>
            <w:tcBorders>
              <w:top w:val="nil"/>
              <w:left w:val="nil"/>
              <w:bottom w:val="nil"/>
              <w:right w:val="nil"/>
            </w:tcBorders>
            <w:shd w:val="clear" w:color="FFFFFF" w:fill="FFFFFF"/>
            <w:noWrap/>
            <w:vAlign w:val="bottom"/>
            <w:hideMark/>
          </w:tcPr>
          <w:p w14:paraId="02B60C28" w14:textId="77777777" w:rsidR="00C32CBD" w:rsidRDefault="00C32CBD" w:rsidP="00320D09">
            <w:pPr>
              <w:jc w:val="right"/>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1CFD1ABF" w14:textId="77777777" w:rsidR="00C32CBD" w:rsidRDefault="00C32CBD" w:rsidP="00320D09">
            <w:pPr>
              <w:rPr>
                <w:rFonts w:cs="Arial"/>
                <w:sz w:val="18"/>
                <w:szCs w:val="18"/>
              </w:rPr>
            </w:pPr>
            <w:r>
              <w:rPr>
                <w:rFonts w:cs="Arial"/>
                <w:sz w:val="18"/>
                <w:szCs w:val="18"/>
              </w:rPr>
              <w:t> </w:t>
            </w:r>
          </w:p>
        </w:tc>
        <w:tc>
          <w:tcPr>
            <w:tcW w:w="1203" w:type="dxa"/>
            <w:tcBorders>
              <w:top w:val="nil"/>
              <w:left w:val="nil"/>
              <w:bottom w:val="nil"/>
              <w:right w:val="nil"/>
            </w:tcBorders>
            <w:shd w:val="clear" w:color="FFFFFF" w:fill="FFFFFF"/>
            <w:noWrap/>
            <w:vAlign w:val="bottom"/>
            <w:hideMark/>
          </w:tcPr>
          <w:p w14:paraId="34F7DE6B" w14:textId="77777777" w:rsidR="00C32CBD" w:rsidRDefault="00C32CBD" w:rsidP="00320D09">
            <w:pPr>
              <w:jc w:val="right"/>
              <w:rPr>
                <w:rFonts w:cs="Arial"/>
                <w:sz w:val="18"/>
                <w:szCs w:val="18"/>
              </w:rPr>
            </w:pPr>
            <w:r>
              <w:rPr>
                <w:rFonts w:cs="Arial"/>
                <w:sz w:val="18"/>
                <w:szCs w:val="18"/>
              </w:rPr>
              <w:t> </w:t>
            </w:r>
          </w:p>
        </w:tc>
      </w:tr>
      <w:tr w:rsidR="00C32CBD" w14:paraId="736A9EA2" w14:textId="77777777" w:rsidTr="00320D09">
        <w:trPr>
          <w:trHeight w:val="255"/>
        </w:trPr>
        <w:tc>
          <w:tcPr>
            <w:tcW w:w="4164" w:type="dxa"/>
            <w:tcBorders>
              <w:top w:val="nil"/>
              <w:left w:val="nil"/>
              <w:bottom w:val="nil"/>
              <w:right w:val="nil"/>
            </w:tcBorders>
            <w:shd w:val="clear" w:color="FFFFFF" w:fill="FFFFFF"/>
            <w:vAlign w:val="bottom"/>
            <w:hideMark/>
          </w:tcPr>
          <w:p w14:paraId="71D5CC67" w14:textId="77777777" w:rsidR="00C32CBD" w:rsidRDefault="00C32CBD" w:rsidP="00320D09">
            <w:pPr>
              <w:rPr>
                <w:rFonts w:cs="Arial"/>
                <w:b/>
                <w:bCs/>
                <w:sz w:val="18"/>
                <w:szCs w:val="18"/>
              </w:rPr>
            </w:pPr>
            <w:r>
              <w:rPr>
                <w:rFonts w:cs="Arial"/>
                <w:b/>
                <w:bCs/>
                <w:sz w:val="18"/>
                <w:szCs w:val="18"/>
              </w:rPr>
              <w:t>Gains</w:t>
            </w:r>
          </w:p>
        </w:tc>
        <w:tc>
          <w:tcPr>
            <w:tcW w:w="1000" w:type="dxa"/>
            <w:tcBorders>
              <w:top w:val="nil"/>
              <w:left w:val="nil"/>
              <w:bottom w:val="nil"/>
              <w:right w:val="nil"/>
            </w:tcBorders>
            <w:shd w:val="clear" w:color="FFFFFF" w:fill="FFFFFF"/>
            <w:noWrap/>
            <w:vAlign w:val="bottom"/>
            <w:hideMark/>
          </w:tcPr>
          <w:p w14:paraId="320F8D7F" w14:textId="77777777" w:rsidR="00C32CBD" w:rsidRDefault="00C32CBD" w:rsidP="00320D09">
            <w:pPr>
              <w:jc w:val="center"/>
              <w:rPr>
                <w:rFonts w:cs="Arial"/>
                <w:sz w:val="18"/>
                <w:szCs w:val="18"/>
              </w:rPr>
            </w:pPr>
            <w:r>
              <w:rPr>
                <w:rFonts w:cs="Arial"/>
                <w:sz w:val="18"/>
                <w:szCs w:val="18"/>
              </w:rPr>
              <w:t> </w:t>
            </w:r>
          </w:p>
        </w:tc>
        <w:tc>
          <w:tcPr>
            <w:tcW w:w="1140" w:type="dxa"/>
            <w:tcBorders>
              <w:top w:val="nil"/>
              <w:left w:val="nil"/>
              <w:bottom w:val="nil"/>
              <w:right w:val="nil"/>
            </w:tcBorders>
            <w:shd w:val="clear" w:color="FFFFFF" w:fill="FFFFFF"/>
            <w:noWrap/>
            <w:vAlign w:val="bottom"/>
            <w:hideMark/>
          </w:tcPr>
          <w:p w14:paraId="19B40134" w14:textId="77777777" w:rsidR="00C32CBD" w:rsidRDefault="00C32CBD" w:rsidP="00320D09">
            <w:pPr>
              <w:jc w:val="right"/>
              <w:rPr>
                <w:rFonts w:cs="Arial"/>
                <w:b/>
                <w:bCs/>
                <w:sz w:val="18"/>
                <w:szCs w:val="18"/>
              </w:rPr>
            </w:pPr>
            <w:r>
              <w:rPr>
                <w:rFonts w:cs="Arial"/>
                <w:b/>
                <w:bCs/>
                <w:sz w:val="18"/>
                <w:szCs w:val="18"/>
              </w:rPr>
              <w:t> </w:t>
            </w:r>
          </w:p>
        </w:tc>
        <w:tc>
          <w:tcPr>
            <w:tcW w:w="236" w:type="dxa"/>
            <w:tcBorders>
              <w:top w:val="nil"/>
              <w:left w:val="nil"/>
              <w:bottom w:val="nil"/>
              <w:right w:val="nil"/>
            </w:tcBorders>
            <w:shd w:val="clear" w:color="FFFFFF" w:fill="FFFFFF"/>
            <w:noWrap/>
            <w:vAlign w:val="bottom"/>
            <w:hideMark/>
          </w:tcPr>
          <w:p w14:paraId="299EE6FB" w14:textId="77777777" w:rsidR="00C32CBD" w:rsidRDefault="00C32CBD" w:rsidP="00320D09">
            <w:pPr>
              <w:rPr>
                <w:rFonts w:cs="Arial"/>
                <w:sz w:val="18"/>
                <w:szCs w:val="18"/>
              </w:rPr>
            </w:pPr>
            <w:r>
              <w:rPr>
                <w:rFonts w:cs="Arial"/>
                <w:sz w:val="18"/>
                <w:szCs w:val="18"/>
              </w:rPr>
              <w:t> </w:t>
            </w:r>
          </w:p>
        </w:tc>
        <w:tc>
          <w:tcPr>
            <w:tcW w:w="1108" w:type="dxa"/>
            <w:tcBorders>
              <w:top w:val="nil"/>
              <w:left w:val="nil"/>
              <w:bottom w:val="nil"/>
              <w:right w:val="nil"/>
            </w:tcBorders>
            <w:shd w:val="clear" w:color="FFFFFF" w:fill="FFFFFF"/>
            <w:noWrap/>
            <w:vAlign w:val="bottom"/>
            <w:hideMark/>
          </w:tcPr>
          <w:p w14:paraId="501002C6" w14:textId="77777777" w:rsidR="00C32CBD" w:rsidRDefault="00C32CBD" w:rsidP="00320D09">
            <w:pPr>
              <w:jc w:val="right"/>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11474CBC" w14:textId="77777777" w:rsidR="00C32CBD" w:rsidRDefault="00C32CBD" w:rsidP="00320D09">
            <w:pPr>
              <w:rPr>
                <w:rFonts w:cs="Arial"/>
                <w:sz w:val="18"/>
                <w:szCs w:val="18"/>
              </w:rPr>
            </w:pPr>
            <w:r>
              <w:rPr>
                <w:rFonts w:cs="Arial"/>
                <w:sz w:val="18"/>
                <w:szCs w:val="18"/>
              </w:rPr>
              <w:t> </w:t>
            </w:r>
          </w:p>
        </w:tc>
        <w:tc>
          <w:tcPr>
            <w:tcW w:w="1203" w:type="dxa"/>
            <w:tcBorders>
              <w:top w:val="nil"/>
              <w:left w:val="nil"/>
              <w:bottom w:val="nil"/>
              <w:right w:val="nil"/>
            </w:tcBorders>
            <w:shd w:val="clear" w:color="FFFFFF" w:fill="FFFFFF"/>
            <w:noWrap/>
            <w:vAlign w:val="bottom"/>
            <w:hideMark/>
          </w:tcPr>
          <w:p w14:paraId="775783DD" w14:textId="77777777" w:rsidR="00C32CBD" w:rsidRDefault="00C32CBD" w:rsidP="00320D09">
            <w:pPr>
              <w:jc w:val="right"/>
              <w:rPr>
                <w:rFonts w:cs="Arial"/>
                <w:sz w:val="18"/>
                <w:szCs w:val="18"/>
              </w:rPr>
            </w:pPr>
            <w:r>
              <w:rPr>
                <w:rFonts w:cs="Arial"/>
                <w:sz w:val="18"/>
                <w:szCs w:val="18"/>
              </w:rPr>
              <w:t> </w:t>
            </w:r>
          </w:p>
        </w:tc>
      </w:tr>
      <w:tr w:rsidR="00C32CBD" w14:paraId="534691A5" w14:textId="77777777" w:rsidTr="00320D09">
        <w:trPr>
          <w:trHeight w:val="255"/>
        </w:trPr>
        <w:tc>
          <w:tcPr>
            <w:tcW w:w="4164" w:type="dxa"/>
            <w:tcBorders>
              <w:top w:val="nil"/>
              <w:left w:val="nil"/>
              <w:bottom w:val="nil"/>
              <w:right w:val="nil"/>
            </w:tcBorders>
            <w:shd w:val="clear" w:color="FFFFFF" w:fill="FFFFFF"/>
            <w:vAlign w:val="bottom"/>
            <w:hideMark/>
          </w:tcPr>
          <w:p w14:paraId="5C5495AD" w14:textId="77777777" w:rsidR="00C32CBD" w:rsidRDefault="00C32CBD" w:rsidP="00320D09">
            <w:pPr>
              <w:ind w:firstLineChars="100" w:firstLine="180"/>
              <w:rPr>
                <w:rFonts w:cs="Arial"/>
                <w:sz w:val="18"/>
                <w:szCs w:val="18"/>
              </w:rPr>
            </w:pPr>
            <w:r>
              <w:rPr>
                <w:rFonts w:cs="Arial"/>
                <w:sz w:val="18"/>
                <w:szCs w:val="18"/>
              </w:rPr>
              <w:t>Other gains</w:t>
            </w:r>
          </w:p>
        </w:tc>
        <w:tc>
          <w:tcPr>
            <w:tcW w:w="1000" w:type="dxa"/>
            <w:tcBorders>
              <w:top w:val="nil"/>
              <w:left w:val="nil"/>
              <w:bottom w:val="nil"/>
              <w:right w:val="nil"/>
            </w:tcBorders>
            <w:shd w:val="clear" w:color="FFFFFF" w:fill="FFFFFF"/>
            <w:noWrap/>
            <w:vAlign w:val="bottom"/>
            <w:hideMark/>
          </w:tcPr>
          <w:p w14:paraId="33FEEC2F" w14:textId="77777777" w:rsidR="00C32CBD" w:rsidRDefault="00C32CBD" w:rsidP="00320D09">
            <w:pPr>
              <w:jc w:val="center"/>
              <w:rPr>
                <w:rFonts w:cs="Arial"/>
                <w:sz w:val="18"/>
                <w:szCs w:val="18"/>
              </w:rPr>
            </w:pPr>
            <w:r>
              <w:rPr>
                <w:rFonts w:cs="Arial"/>
                <w:sz w:val="18"/>
                <w:szCs w:val="18"/>
              </w:rPr>
              <w:t>1.2D</w:t>
            </w:r>
          </w:p>
        </w:tc>
        <w:tc>
          <w:tcPr>
            <w:tcW w:w="1140" w:type="dxa"/>
            <w:tcBorders>
              <w:top w:val="nil"/>
              <w:left w:val="nil"/>
              <w:bottom w:val="nil"/>
              <w:right w:val="nil"/>
            </w:tcBorders>
            <w:shd w:val="clear" w:color="FFFFFF" w:fill="FFFFFF"/>
            <w:noWrap/>
            <w:vAlign w:val="bottom"/>
            <w:hideMark/>
          </w:tcPr>
          <w:p w14:paraId="55B794D9" w14:textId="77777777" w:rsidR="00C32CBD" w:rsidRDefault="00C32CBD" w:rsidP="00320D09">
            <w:pPr>
              <w:jc w:val="right"/>
              <w:rPr>
                <w:rFonts w:cs="Arial"/>
                <w:b/>
                <w:bCs/>
                <w:sz w:val="18"/>
                <w:szCs w:val="18"/>
              </w:rPr>
            </w:pPr>
            <w:r>
              <w:rPr>
                <w:rFonts w:cs="Arial"/>
                <w:b/>
                <w:bCs/>
                <w:sz w:val="18"/>
                <w:szCs w:val="18"/>
              </w:rPr>
              <w:t>477,495</w:t>
            </w:r>
          </w:p>
        </w:tc>
        <w:tc>
          <w:tcPr>
            <w:tcW w:w="236" w:type="dxa"/>
            <w:tcBorders>
              <w:top w:val="nil"/>
              <w:left w:val="nil"/>
              <w:bottom w:val="nil"/>
              <w:right w:val="nil"/>
            </w:tcBorders>
            <w:shd w:val="clear" w:color="FFFFFF" w:fill="FFFFFF"/>
            <w:noWrap/>
            <w:vAlign w:val="bottom"/>
            <w:hideMark/>
          </w:tcPr>
          <w:p w14:paraId="7ED6377F" w14:textId="77777777" w:rsidR="00C32CBD" w:rsidRDefault="00C32CBD" w:rsidP="00320D09">
            <w:pPr>
              <w:rPr>
                <w:rFonts w:cs="Arial"/>
                <w:sz w:val="18"/>
                <w:szCs w:val="18"/>
              </w:rPr>
            </w:pPr>
            <w:r>
              <w:rPr>
                <w:rFonts w:cs="Arial"/>
                <w:sz w:val="18"/>
                <w:szCs w:val="18"/>
              </w:rPr>
              <w:t> </w:t>
            </w:r>
          </w:p>
        </w:tc>
        <w:tc>
          <w:tcPr>
            <w:tcW w:w="1108" w:type="dxa"/>
            <w:tcBorders>
              <w:top w:val="nil"/>
              <w:left w:val="nil"/>
              <w:bottom w:val="nil"/>
              <w:right w:val="nil"/>
            </w:tcBorders>
            <w:shd w:val="clear" w:color="FFFFFF" w:fill="FFFFFF"/>
            <w:noWrap/>
            <w:vAlign w:val="bottom"/>
            <w:hideMark/>
          </w:tcPr>
          <w:p w14:paraId="7B1C0E33" w14:textId="77777777" w:rsidR="00C32CBD" w:rsidRDefault="00C32CBD" w:rsidP="00320D09">
            <w:pPr>
              <w:jc w:val="right"/>
              <w:rPr>
                <w:rFonts w:cs="Arial"/>
                <w:sz w:val="18"/>
                <w:szCs w:val="18"/>
              </w:rPr>
            </w:pPr>
            <w:r>
              <w:rPr>
                <w:rFonts w:cs="Arial"/>
                <w:sz w:val="18"/>
                <w:szCs w:val="18"/>
              </w:rPr>
              <w:t>197,507</w:t>
            </w:r>
          </w:p>
        </w:tc>
        <w:tc>
          <w:tcPr>
            <w:tcW w:w="236" w:type="dxa"/>
            <w:tcBorders>
              <w:top w:val="nil"/>
              <w:left w:val="nil"/>
              <w:bottom w:val="nil"/>
              <w:right w:val="nil"/>
            </w:tcBorders>
            <w:shd w:val="clear" w:color="FFFFFF" w:fill="FFFFFF"/>
            <w:noWrap/>
            <w:vAlign w:val="bottom"/>
            <w:hideMark/>
          </w:tcPr>
          <w:p w14:paraId="7E59BF86" w14:textId="77777777" w:rsidR="00C32CBD" w:rsidRDefault="00C32CBD" w:rsidP="00320D09">
            <w:pPr>
              <w:rPr>
                <w:rFonts w:cs="Arial"/>
                <w:sz w:val="18"/>
                <w:szCs w:val="18"/>
              </w:rPr>
            </w:pPr>
            <w:r>
              <w:rPr>
                <w:rFonts w:cs="Arial"/>
                <w:sz w:val="18"/>
                <w:szCs w:val="18"/>
              </w:rPr>
              <w:t> </w:t>
            </w:r>
          </w:p>
        </w:tc>
        <w:tc>
          <w:tcPr>
            <w:tcW w:w="1203" w:type="dxa"/>
            <w:tcBorders>
              <w:top w:val="nil"/>
              <w:left w:val="nil"/>
              <w:bottom w:val="nil"/>
              <w:right w:val="nil"/>
            </w:tcBorders>
            <w:shd w:val="clear" w:color="FFFFFF" w:fill="FFFFFF"/>
            <w:noWrap/>
            <w:vAlign w:val="bottom"/>
            <w:hideMark/>
          </w:tcPr>
          <w:p w14:paraId="54156167" w14:textId="77777777" w:rsidR="00C32CBD" w:rsidRDefault="00C32CBD" w:rsidP="00320D09">
            <w:pPr>
              <w:jc w:val="right"/>
              <w:rPr>
                <w:rFonts w:cs="Arial"/>
                <w:sz w:val="18"/>
                <w:szCs w:val="18"/>
              </w:rPr>
            </w:pPr>
            <w:r>
              <w:rPr>
                <w:rFonts w:cs="Arial"/>
                <w:sz w:val="18"/>
                <w:szCs w:val="18"/>
              </w:rPr>
              <w:t>820,155</w:t>
            </w:r>
          </w:p>
        </w:tc>
      </w:tr>
      <w:tr w:rsidR="00C32CBD" w14:paraId="70C75533" w14:textId="77777777" w:rsidTr="00320D09">
        <w:trPr>
          <w:trHeight w:val="255"/>
        </w:trPr>
        <w:tc>
          <w:tcPr>
            <w:tcW w:w="4164" w:type="dxa"/>
            <w:tcBorders>
              <w:top w:val="nil"/>
              <w:left w:val="nil"/>
              <w:bottom w:val="nil"/>
              <w:right w:val="nil"/>
            </w:tcBorders>
            <w:shd w:val="clear" w:color="FFFFFF" w:fill="FFFFFF"/>
            <w:vAlign w:val="bottom"/>
            <w:hideMark/>
          </w:tcPr>
          <w:p w14:paraId="554E4FFD" w14:textId="77777777" w:rsidR="00C32CBD" w:rsidRDefault="00C32CBD" w:rsidP="00320D09">
            <w:pPr>
              <w:rPr>
                <w:rFonts w:cs="Arial"/>
                <w:b/>
                <w:bCs/>
                <w:sz w:val="18"/>
                <w:szCs w:val="18"/>
              </w:rPr>
            </w:pPr>
            <w:r>
              <w:rPr>
                <w:rFonts w:cs="Arial"/>
                <w:b/>
                <w:bCs/>
                <w:sz w:val="18"/>
                <w:szCs w:val="18"/>
              </w:rPr>
              <w:t>Total gains</w:t>
            </w:r>
          </w:p>
        </w:tc>
        <w:tc>
          <w:tcPr>
            <w:tcW w:w="1000" w:type="dxa"/>
            <w:tcBorders>
              <w:top w:val="nil"/>
              <w:left w:val="nil"/>
              <w:bottom w:val="nil"/>
              <w:right w:val="nil"/>
            </w:tcBorders>
            <w:shd w:val="clear" w:color="FFFFFF" w:fill="FFFFFF"/>
            <w:noWrap/>
            <w:vAlign w:val="bottom"/>
            <w:hideMark/>
          </w:tcPr>
          <w:p w14:paraId="385F9013" w14:textId="77777777" w:rsidR="00C32CBD" w:rsidRDefault="00C32CBD" w:rsidP="00320D09">
            <w:pPr>
              <w:jc w:val="center"/>
              <w:rPr>
                <w:rFonts w:cs="Arial"/>
                <w:sz w:val="18"/>
                <w:szCs w:val="18"/>
              </w:rPr>
            </w:pPr>
            <w:r>
              <w:rPr>
                <w:rFonts w:cs="Arial"/>
                <w:sz w:val="18"/>
                <w:szCs w:val="18"/>
              </w:rPr>
              <w:t> </w:t>
            </w:r>
          </w:p>
        </w:tc>
        <w:tc>
          <w:tcPr>
            <w:tcW w:w="1140" w:type="dxa"/>
            <w:tcBorders>
              <w:top w:val="single" w:sz="4" w:space="0" w:color="auto"/>
              <w:left w:val="nil"/>
              <w:bottom w:val="single" w:sz="4" w:space="0" w:color="auto"/>
              <w:right w:val="nil"/>
            </w:tcBorders>
            <w:shd w:val="clear" w:color="FFFFFF" w:fill="FFFFFF"/>
            <w:noWrap/>
            <w:vAlign w:val="bottom"/>
            <w:hideMark/>
          </w:tcPr>
          <w:p w14:paraId="452709B6" w14:textId="77777777" w:rsidR="00C32CBD" w:rsidRDefault="00C32CBD" w:rsidP="00320D09">
            <w:pPr>
              <w:jc w:val="right"/>
              <w:rPr>
                <w:rFonts w:cs="Arial"/>
                <w:b/>
                <w:bCs/>
                <w:sz w:val="18"/>
                <w:szCs w:val="18"/>
              </w:rPr>
            </w:pPr>
            <w:r>
              <w:rPr>
                <w:rFonts w:cs="Arial"/>
                <w:b/>
                <w:bCs/>
                <w:sz w:val="18"/>
                <w:szCs w:val="18"/>
              </w:rPr>
              <w:t>477,495</w:t>
            </w:r>
          </w:p>
        </w:tc>
        <w:tc>
          <w:tcPr>
            <w:tcW w:w="236" w:type="dxa"/>
            <w:tcBorders>
              <w:top w:val="nil"/>
              <w:left w:val="nil"/>
              <w:bottom w:val="nil"/>
              <w:right w:val="nil"/>
            </w:tcBorders>
            <w:shd w:val="clear" w:color="FFFFFF" w:fill="FFFFFF"/>
            <w:noWrap/>
            <w:vAlign w:val="bottom"/>
            <w:hideMark/>
          </w:tcPr>
          <w:p w14:paraId="05AC58AC" w14:textId="77777777" w:rsidR="00C32CBD" w:rsidRDefault="00C32CBD" w:rsidP="00320D09">
            <w:pPr>
              <w:rPr>
                <w:rFonts w:cs="Arial"/>
                <w:sz w:val="18"/>
                <w:szCs w:val="18"/>
              </w:rPr>
            </w:pPr>
            <w:r>
              <w:rPr>
                <w:rFonts w:cs="Arial"/>
                <w:sz w:val="18"/>
                <w:szCs w:val="18"/>
              </w:rPr>
              <w:t> </w:t>
            </w:r>
          </w:p>
        </w:tc>
        <w:tc>
          <w:tcPr>
            <w:tcW w:w="1108" w:type="dxa"/>
            <w:tcBorders>
              <w:top w:val="single" w:sz="4" w:space="0" w:color="auto"/>
              <w:left w:val="nil"/>
              <w:bottom w:val="single" w:sz="4" w:space="0" w:color="auto"/>
              <w:right w:val="nil"/>
            </w:tcBorders>
            <w:shd w:val="clear" w:color="FFFFFF" w:fill="FFFFFF"/>
            <w:noWrap/>
            <w:vAlign w:val="bottom"/>
            <w:hideMark/>
          </w:tcPr>
          <w:p w14:paraId="3FD271E3" w14:textId="77777777" w:rsidR="00C32CBD" w:rsidRDefault="00C32CBD" w:rsidP="00320D09">
            <w:pPr>
              <w:jc w:val="right"/>
              <w:rPr>
                <w:rFonts w:cs="Arial"/>
                <w:sz w:val="18"/>
                <w:szCs w:val="18"/>
              </w:rPr>
            </w:pPr>
            <w:r>
              <w:rPr>
                <w:rFonts w:cs="Arial"/>
                <w:sz w:val="18"/>
                <w:szCs w:val="18"/>
              </w:rPr>
              <w:t>197,507</w:t>
            </w:r>
          </w:p>
        </w:tc>
        <w:tc>
          <w:tcPr>
            <w:tcW w:w="236" w:type="dxa"/>
            <w:tcBorders>
              <w:top w:val="nil"/>
              <w:left w:val="nil"/>
              <w:bottom w:val="nil"/>
              <w:right w:val="nil"/>
            </w:tcBorders>
            <w:shd w:val="clear" w:color="FFFFFF" w:fill="FFFFFF"/>
            <w:noWrap/>
            <w:vAlign w:val="bottom"/>
            <w:hideMark/>
          </w:tcPr>
          <w:p w14:paraId="0767DC2C" w14:textId="77777777" w:rsidR="00C32CBD" w:rsidRDefault="00C32CBD" w:rsidP="00320D09">
            <w:pPr>
              <w:rPr>
                <w:rFonts w:cs="Arial"/>
                <w:sz w:val="18"/>
                <w:szCs w:val="18"/>
              </w:rPr>
            </w:pPr>
            <w:r>
              <w:rPr>
                <w:rFonts w:cs="Arial"/>
                <w:sz w:val="18"/>
                <w:szCs w:val="18"/>
              </w:rPr>
              <w:t> </w:t>
            </w:r>
          </w:p>
        </w:tc>
        <w:tc>
          <w:tcPr>
            <w:tcW w:w="1203" w:type="dxa"/>
            <w:tcBorders>
              <w:top w:val="single" w:sz="4" w:space="0" w:color="auto"/>
              <w:left w:val="nil"/>
              <w:bottom w:val="single" w:sz="4" w:space="0" w:color="auto"/>
              <w:right w:val="nil"/>
            </w:tcBorders>
            <w:shd w:val="clear" w:color="FFFFFF" w:fill="FFFFFF"/>
            <w:noWrap/>
            <w:vAlign w:val="bottom"/>
            <w:hideMark/>
          </w:tcPr>
          <w:p w14:paraId="36763B22" w14:textId="77777777" w:rsidR="00C32CBD" w:rsidRDefault="00C32CBD" w:rsidP="00320D09">
            <w:pPr>
              <w:jc w:val="right"/>
              <w:rPr>
                <w:rFonts w:cs="Arial"/>
                <w:sz w:val="18"/>
                <w:szCs w:val="18"/>
              </w:rPr>
            </w:pPr>
            <w:r>
              <w:rPr>
                <w:rFonts w:cs="Arial"/>
                <w:sz w:val="18"/>
                <w:szCs w:val="18"/>
              </w:rPr>
              <w:t>820,155</w:t>
            </w:r>
          </w:p>
        </w:tc>
      </w:tr>
      <w:tr w:rsidR="00C32CBD" w14:paraId="0A95FCC5" w14:textId="77777777" w:rsidTr="00320D09">
        <w:trPr>
          <w:trHeight w:val="255"/>
        </w:trPr>
        <w:tc>
          <w:tcPr>
            <w:tcW w:w="4164" w:type="dxa"/>
            <w:tcBorders>
              <w:top w:val="nil"/>
              <w:left w:val="nil"/>
              <w:bottom w:val="nil"/>
              <w:right w:val="nil"/>
            </w:tcBorders>
            <w:shd w:val="clear" w:color="FFFFFF" w:fill="FFFFFF"/>
            <w:vAlign w:val="bottom"/>
            <w:hideMark/>
          </w:tcPr>
          <w:p w14:paraId="2A1C7B2B" w14:textId="77777777" w:rsidR="00C32CBD" w:rsidRDefault="00C32CBD" w:rsidP="00320D09">
            <w:pPr>
              <w:ind w:firstLineChars="100" w:firstLine="180"/>
              <w:rPr>
                <w:rFonts w:cs="Arial"/>
                <w:sz w:val="18"/>
                <w:szCs w:val="18"/>
              </w:rPr>
            </w:pPr>
            <w:r>
              <w:rPr>
                <w:rFonts w:cs="Arial"/>
                <w:sz w:val="18"/>
                <w:szCs w:val="18"/>
              </w:rPr>
              <w:t> </w:t>
            </w:r>
          </w:p>
        </w:tc>
        <w:tc>
          <w:tcPr>
            <w:tcW w:w="1000" w:type="dxa"/>
            <w:tcBorders>
              <w:top w:val="nil"/>
              <w:left w:val="nil"/>
              <w:bottom w:val="nil"/>
              <w:right w:val="nil"/>
            </w:tcBorders>
            <w:shd w:val="clear" w:color="FFFFFF" w:fill="FFFFFF"/>
            <w:noWrap/>
            <w:vAlign w:val="bottom"/>
            <w:hideMark/>
          </w:tcPr>
          <w:p w14:paraId="21ADDAFE" w14:textId="77777777" w:rsidR="00C32CBD" w:rsidRDefault="00C32CBD" w:rsidP="00320D09">
            <w:pPr>
              <w:jc w:val="center"/>
              <w:rPr>
                <w:rFonts w:cs="Arial"/>
                <w:sz w:val="18"/>
                <w:szCs w:val="18"/>
              </w:rPr>
            </w:pPr>
            <w:r>
              <w:rPr>
                <w:rFonts w:cs="Arial"/>
                <w:sz w:val="18"/>
                <w:szCs w:val="18"/>
              </w:rPr>
              <w:t> </w:t>
            </w:r>
          </w:p>
        </w:tc>
        <w:tc>
          <w:tcPr>
            <w:tcW w:w="1140" w:type="dxa"/>
            <w:tcBorders>
              <w:top w:val="nil"/>
              <w:left w:val="nil"/>
              <w:bottom w:val="nil"/>
              <w:right w:val="nil"/>
            </w:tcBorders>
            <w:shd w:val="clear" w:color="FFFFFF" w:fill="FFFFFF"/>
            <w:noWrap/>
            <w:vAlign w:val="bottom"/>
            <w:hideMark/>
          </w:tcPr>
          <w:p w14:paraId="25B708DC" w14:textId="77777777" w:rsidR="00C32CBD" w:rsidRDefault="00C32CBD" w:rsidP="00320D09">
            <w:pPr>
              <w:jc w:val="right"/>
              <w:rPr>
                <w:rFonts w:cs="Arial"/>
                <w:b/>
                <w:bCs/>
                <w:sz w:val="18"/>
                <w:szCs w:val="18"/>
              </w:rPr>
            </w:pPr>
            <w:r>
              <w:rPr>
                <w:rFonts w:cs="Arial"/>
                <w:b/>
                <w:bCs/>
                <w:sz w:val="18"/>
                <w:szCs w:val="18"/>
              </w:rPr>
              <w:t> </w:t>
            </w:r>
          </w:p>
        </w:tc>
        <w:tc>
          <w:tcPr>
            <w:tcW w:w="236" w:type="dxa"/>
            <w:tcBorders>
              <w:top w:val="nil"/>
              <w:left w:val="nil"/>
              <w:bottom w:val="nil"/>
              <w:right w:val="nil"/>
            </w:tcBorders>
            <w:shd w:val="clear" w:color="FFFFFF" w:fill="FFFFFF"/>
            <w:noWrap/>
            <w:vAlign w:val="bottom"/>
            <w:hideMark/>
          </w:tcPr>
          <w:p w14:paraId="79DB9771" w14:textId="77777777" w:rsidR="00C32CBD" w:rsidRDefault="00C32CBD" w:rsidP="00320D09">
            <w:pPr>
              <w:rPr>
                <w:rFonts w:cs="Arial"/>
                <w:sz w:val="18"/>
                <w:szCs w:val="18"/>
              </w:rPr>
            </w:pPr>
            <w:r>
              <w:rPr>
                <w:rFonts w:cs="Arial"/>
                <w:sz w:val="18"/>
                <w:szCs w:val="18"/>
              </w:rPr>
              <w:t> </w:t>
            </w:r>
          </w:p>
        </w:tc>
        <w:tc>
          <w:tcPr>
            <w:tcW w:w="1108" w:type="dxa"/>
            <w:tcBorders>
              <w:top w:val="nil"/>
              <w:left w:val="nil"/>
              <w:bottom w:val="nil"/>
              <w:right w:val="nil"/>
            </w:tcBorders>
            <w:shd w:val="clear" w:color="FFFFFF" w:fill="FFFFFF"/>
            <w:noWrap/>
            <w:vAlign w:val="bottom"/>
            <w:hideMark/>
          </w:tcPr>
          <w:p w14:paraId="784DBABD" w14:textId="77777777" w:rsidR="00C32CBD" w:rsidRDefault="00C32CBD" w:rsidP="00320D09">
            <w:pPr>
              <w:jc w:val="right"/>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5901EC0E" w14:textId="77777777" w:rsidR="00C32CBD" w:rsidRDefault="00C32CBD" w:rsidP="00320D09">
            <w:pPr>
              <w:rPr>
                <w:rFonts w:cs="Arial"/>
                <w:sz w:val="18"/>
                <w:szCs w:val="18"/>
              </w:rPr>
            </w:pPr>
            <w:r>
              <w:rPr>
                <w:rFonts w:cs="Arial"/>
                <w:sz w:val="18"/>
                <w:szCs w:val="18"/>
              </w:rPr>
              <w:t> </w:t>
            </w:r>
          </w:p>
        </w:tc>
        <w:tc>
          <w:tcPr>
            <w:tcW w:w="1203" w:type="dxa"/>
            <w:tcBorders>
              <w:top w:val="nil"/>
              <w:left w:val="nil"/>
              <w:bottom w:val="nil"/>
              <w:right w:val="nil"/>
            </w:tcBorders>
            <w:shd w:val="clear" w:color="FFFFFF" w:fill="FFFFFF"/>
            <w:noWrap/>
            <w:vAlign w:val="bottom"/>
            <w:hideMark/>
          </w:tcPr>
          <w:p w14:paraId="39C9B79E" w14:textId="77777777" w:rsidR="00C32CBD" w:rsidRDefault="00C32CBD" w:rsidP="00320D09">
            <w:pPr>
              <w:jc w:val="right"/>
              <w:rPr>
                <w:rFonts w:cs="Arial"/>
                <w:sz w:val="18"/>
                <w:szCs w:val="18"/>
              </w:rPr>
            </w:pPr>
            <w:r>
              <w:rPr>
                <w:rFonts w:cs="Arial"/>
                <w:sz w:val="18"/>
                <w:szCs w:val="18"/>
              </w:rPr>
              <w:t> </w:t>
            </w:r>
          </w:p>
        </w:tc>
      </w:tr>
      <w:tr w:rsidR="00C32CBD" w14:paraId="14CC888E" w14:textId="77777777" w:rsidTr="00320D09">
        <w:trPr>
          <w:trHeight w:val="255"/>
        </w:trPr>
        <w:tc>
          <w:tcPr>
            <w:tcW w:w="4164" w:type="dxa"/>
            <w:tcBorders>
              <w:top w:val="nil"/>
              <w:left w:val="nil"/>
              <w:bottom w:val="nil"/>
              <w:right w:val="nil"/>
            </w:tcBorders>
            <w:shd w:val="clear" w:color="FFFFFF" w:fill="FFFFFF"/>
            <w:vAlign w:val="bottom"/>
            <w:hideMark/>
          </w:tcPr>
          <w:p w14:paraId="370ED946" w14:textId="77777777" w:rsidR="00C32CBD" w:rsidRDefault="00C32CBD" w:rsidP="00320D09">
            <w:pPr>
              <w:rPr>
                <w:rFonts w:cs="Arial"/>
                <w:b/>
                <w:bCs/>
                <w:sz w:val="18"/>
                <w:szCs w:val="18"/>
              </w:rPr>
            </w:pPr>
            <w:r>
              <w:rPr>
                <w:rFonts w:cs="Arial"/>
                <w:b/>
                <w:bCs/>
                <w:sz w:val="18"/>
                <w:szCs w:val="18"/>
              </w:rPr>
              <w:lastRenderedPageBreak/>
              <w:t>Total own-source income</w:t>
            </w:r>
          </w:p>
        </w:tc>
        <w:tc>
          <w:tcPr>
            <w:tcW w:w="1000" w:type="dxa"/>
            <w:tcBorders>
              <w:top w:val="nil"/>
              <w:left w:val="nil"/>
              <w:bottom w:val="nil"/>
              <w:right w:val="nil"/>
            </w:tcBorders>
            <w:shd w:val="clear" w:color="FFFFFF" w:fill="FFFFFF"/>
            <w:noWrap/>
            <w:vAlign w:val="bottom"/>
            <w:hideMark/>
          </w:tcPr>
          <w:p w14:paraId="4FB225C0" w14:textId="77777777" w:rsidR="00C32CBD" w:rsidRDefault="00C32CBD" w:rsidP="00320D09">
            <w:pPr>
              <w:jc w:val="center"/>
              <w:rPr>
                <w:rFonts w:cs="Arial"/>
                <w:sz w:val="18"/>
                <w:szCs w:val="18"/>
              </w:rPr>
            </w:pPr>
            <w:r>
              <w:rPr>
                <w:rFonts w:cs="Arial"/>
                <w:sz w:val="18"/>
                <w:szCs w:val="18"/>
              </w:rPr>
              <w:t> </w:t>
            </w:r>
          </w:p>
        </w:tc>
        <w:tc>
          <w:tcPr>
            <w:tcW w:w="1140" w:type="dxa"/>
            <w:tcBorders>
              <w:top w:val="single" w:sz="4" w:space="0" w:color="auto"/>
              <w:left w:val="nil"/>
              <w:bottom w:val="single" w:sz="4" w:space="0" w:color="auto"/>
              <w:right w:val="nil"/>
            </w:tcBorders>
            <w:shd w:val="clear" w:color="FFFFFF" w:fill="FFFFFF"/>
            <w:noWrap/>
            <w:vAlign w:val="bottom"/>
            <w:hideMark/>
          </w:tcPr>
          <w:p w14:paraId="005F0FFE" w14:textId="77777777" w:rsidR="00C32CBD" w:rsidRDefault="00C32CBD" w:rsidP="00320D09">
            <w:pPr>
              <w:jc w:val="right"/>
              <w:rPr>
                <w:rFonts w:cs="Arial"/>
                <w:b/>
                <w:bCs/>
                <w:sz w:val="18"/>
                <w:szCs w:val="18"/>
              </w:rPr>
            </w:pPr>
            <w:r>
              <w:rPr>
                <w:rFonts w:cs="Arial"/>
                <w:b/>
                <w:bCs/>
                <w:sz w:val="18"/>
                <w:szCs w:val="18"/>
              </w:rPr>
              <w:t>1,875,291</w:t>
            </w:r>
          </w:p>
        </w:tc>
        <w:tc>
          <w:tcPr>
            <w:tcW w:w="236" w:type="dxa"/>
            <w:tcBorders>
              <w:top w:val="nil"/>
              <w:left w:val="nil"/>
              <w:bottom w:val="nil"/>
              <w:right w:val="nil"/>
            </w:tcBorders>
            <w:shd w:val="clear" w:color="FFFFFF" w:fill="FFFFFF"/>
            <w:noWrap/>
            <w:vAlign w:val="bottom"/>
            <w:hideMark/>
          </w:tcPr>
          <w:p w14:paraId="59F54390" w14:textId="77777777" w:rsidR="00C32CBD" w:rsidRDefault="00C32CBD" w:rsidP="00320D09">
            <w:pPr>
              <w:rPr>
                <w:rFonts w:cs="Arial"/>
                <w:sz w:val="18"/>
                <w:szCs w:val="18"/>
              </w:rPr>
            </w:pPr>
            <w:r>
              <w:rPr>
                <w:rFonts w:cs="Arial"/>
                <w:sz w:val="18"/>
                <w:szCs w:val="18"/>
              </w:rPr>
              <w:t> </w:t>
            </w:r>
          </w:p>
        </w:tc>
        <w:tc>
          <w:tcPr>
            <w:tcW w:w="1108" w:type="dxa"/>
            <w:tcBorders>
              <w:top w:val="single" w:sz="4" w:space="0" w:color="auto"/>
              <w:left w:val="nil"/>
              <w:bottom w:val="single" w:sz="4" w:space="0" w:color="auto"/>
              <w:right w:val="nil"/>
            </w:tcBorders>
            <w:shd w:val="clear" w:color="FFFFFF" w:fill="FFFFFF"/>
            <w:noWrap/>
            <w:vAlign w:val="bottom"/>
            <w:hideMark/>
          </w:tcPr>
          <w:p w14:paraId="312DBF4F" w14:textId="77777777" w:rsidR="00C32CBD" w:rsidRDefault="00C32CBD" w:rsidP="00320D09">
            <w:pPr>
              <w:jc w:val="right"/>
              <w:rPr>
                <w:rFonts w:cs="Arial"/>
                <w:sz w:val="18"/>
                <w:szCs w:val="18"/>
              </w:rPr>
            </w:pPr>
            <w:r>
              <w:rPr>
                <w:rFonts w:cs="Arial"/>
                <w:sz w:val="18"/>
                <w:szCs w:val="18"/>
              </w:rPr>
              <w:t>508,948</w:t>
            </w:r>
          </w:p>
        </w:tc>
        <w:tc>
          <w:tcPr>
            <w:tcW w:w="236" w:type="dxa"/>
            <w:tcBorders>
              <w:top w:val="nil"/>
              <w:left w:val="nil"/>
              <w:bottom w:val="nil"/>
              <w:right w:val="nil"/>
            </w:tcBorders>
            <w:shd w:val="clear" w:color="FFFFFF" w:fill="FFFFFF"/>
            <w:noWrap/>
            <w:vAlign w:val="bottom"/>
            <w:hideMark/>
          </w:tcPr>
          <w:p w14:paraId="43111350" w14:textId="77777777" w:rsidR="00C32CBD" w:rsidRDefault="00C32CBD" w:rsidP="00320D09">
            <w:pPr>
              <w:rPr>
                <w:rFonts w:cs="Arial"/>
                <w:sz w:val="18"/>
                <w:szCs w:val="18"/>
              </w:rPr>
            </w:pPr>
            <w:r>
              <w:rPr>
                <w:rFonts w:cs="Arial"/>
                <w:sz w:val="18"/>
                <w:szCs w:val="18"/>
              </w:rPr>
              <w:t> </w:t>
            </w:r>
          </w:p>
        </w:tc>
        <w:tc>
          <w:tcPr>
            <w:tcW w:w="1203" w:type="dxa"/>
            <w:tcBorders>
              <w:top w:val="single" w:sz="4" w:space="0" w:color="auto"/>
              <w:left w:val="nil"/>
              <w:bottom w:val="single" w:sz="4" w:space="0" w:color="auto"/>
              <w:right w:val="nil"/>
            </w:tcBorders>
            <w:shd w:val="clear" w:color="FFFFFF" w:fill="FFFFFF"/>
            <w:noWrap/>
            <w:vAlign w:val="bottom"/>
            <w:hideMark/>
          </w:tcPr>
          <w:p w14:paraId="011EC732" w14:textId="77777777" w:rsidR="00C32CBD" w:rsidRDefault="00C32CBD" w:rsidP="00320D09">
            <w:pPr>
              <w:jc w:val="right"/>
              <w:rPr>
                <w:rFonts w:cs="Arial"/>
                <w:sz w:val="18"/>
                <w:szCs w:val="18"/>
              </w:rPr>
            </w:pPr>
            <w:r>
              <w:rPr>
                <w:rFonts w:cs="Arial"/>
                <w:sz w:val="18"/>
                <w:szCs w:val="18"/>
              </w:rPr>
              <w:t>2,613,332</w:t>
            </w:r>
          </w:p>
        </w:tc>
      </w:tr>
      <w:tr w:rsidR="00C32CBD" w14:paraId="2EC7E4E4" w14:textId="77777777" w:rsidTr="00320D09">
        <w:trPr>
          <w:trHeight w:val="255"/>
        </w:trPr>
        <w:tc>
          <w:tcPr>
            <w:tcW w:w="4164" w:type="dxa"/>
            <w:tcBorders>
              <w:top w:val="nil"/>
              <w:left w:val="nil"/>
              <w:bottom w:val="nil"/>
              <w:right w:val="nil"/>
            </w:tcBorders>
            <w:shd w:val="clear" w:color="FFFFFF" w:fill="FFFFFF"/>
            <w:vAlign w:val="bottom"/>
            <w:hideMark/>
          </w:tcPr>
          <w:p w14:paraId="059F7CB1" w14:textId="77777777" w:rsidR="00C32CBD" w:rsidRDefault="00C32CBD" w:rsidP="00320D09">
            <w:pPr>
              <w:rPr>
                <w:rFonts w:cs="Arial"/>
                <w:sz w:val="18"/>
                <w:szCs w:val="18"/>
              </w:rPr>
            </w:pPr>
            <w:r>
              <w:rPr>
                <w:rFonts w:cs="Arial"/>
                <w:sz w:val="18"/>
                <w:szCs w:val="18"/>
              </w:rPr>
              <w:t> </w:t>
            </w:r>
          </w:p>
        </w:tc>
        <w:tc>
          <w:tcPr>
            <w:tcW w:w="1000" w:type="dxa"/>
            <w:tcBorders>
              <w:top w:val="nil"/>
              <w:left w:val="nil"/>
              <w:bottom w:val="nil"/>
              <w:right w:val="nil"/>
            </w:tcBorders>
            <w:shd w:val="clear" w:color="FFFFFF" w:fill="FFFFFF"/>
            <w:noWrap/>
            <w:vAlign w:val="bottom"/>
            <w:hideMark/>
          </w:tcPr>
          <w:p w14:paraId="527F4DC1" w14:textId="77777777" w:rsidR="00C32CBD" w:rsidRDefault="00C32CBD" w:rsidP="00320D09">
            <w:pPr>
              <w:jc w:val="center"/>
              <w:rPr>
                <w:rFonts w:cs="Arial"/>
                <w:sz w:val="18"/>
                <w:szCs w:val="18"/>
              </w:rPr>
            </w:pPr>
            <w:r>
              <w:rPr>
                <w:rFonts w:cs="Arial"/>
                <w:sz w:val="18"/>
                <w:szCs w:val="18"/>
              </w:rPr>
              <w:t> </w:t>
            </w:r>
          </w:p>
        </w:tc>
        <w:tc>
          <w:tcPr>
            <w:tcW w:w="1140" w:type="dxa"/>
            <w:tcBorders>
              <w:top w:val="nil"/>
              <w:left w:val="nil"/>
              <w:bottom w:val="nil"/>
              <w:right w:val="nil"/>
            </w:tcBorders>
            <w:shd w:val="clear" w:color="FFFFFF" w:fill="FFFFFF"/>
            <w:noWrap/>
            <w:vAlign w:val="bottom"/>
            <w:hideMark/>
          </w:tcPr>
          <w:p w14:paraId="78D6D730" w14:textId="77777777" w:rsidR="00C32CBD" w:rsidRDefault="00C32CBD" w:rsidP="00320D09">
            <w:pPr>
              <w:jc w:val="right"/>
              <w:rPr>
                <w:rFonts w:cs="Arial"/>
                <w:b/>
                <w:bCs/>
                <w:sz w:val="18"/>
                <w:szCs w:val="18"/>
              </w:rPr>
            </w:pPr>
            <w:r>
              <w:rPr>
                <w:rFonts w:cs="Arial"/>
                <w:b/>
                <w:bCs/>
                <w:sz w:val="18"/>
                <w:szCs w:val="18"/>
              </w:rPr>
              <w:t> </w:t>
            </w:r>
          </w:p>
        </w:tc>
        <w:tc>
          <w:tcPr>
            <w:tcW w:w="236" w:type="dxa"/>
            <w:tcBorders>
              <w:top w:val="nil"/>
              <w:left w:val="nil"/>
              <w:bottom w:val="nil"/>
              <w:right w:val="nil"/>
            </w:tcBorders>
            <w:shd w:val="clear" w:color="FFFFFF" w:fill="FFFFFF"/>
            <w:noWrap/>
            <w:vAlign w:val="bottom"/>
            <w:hideMark/>
          </w:tcPr>
          <w:p w14:paraId="650A4E83" w14:textId="77777777" w:rsidR="00C32CBD" w:rsidRDefault="00C32CBD" w:rsidP="00320D09">
            <w:pPr>
              <w:rPr>
                <w:rFonts w:cs="Arial"/>
                <w:sz w:val="18"/>
                <w:szCs w:val="18"/>
              </w:rPr>
            </w:pPr>
            <w:r>
              <w:rPr>
                <w:rFonts w:cs="Arial"/>
                <w:sz w:val="18"/>
                <w:szCs w:val="18"/>
              </w:rPr>
              <w:t> </w:t>
            </w:r>
          </w:p>
        </w:tc>
        <w:tc>
          <w:tcPr>
            <w:tcW w:w="1108" w:type="dxa"/>
            <w:tcBorders>
              <w:top w:val="nil"/>
              <w:left w:val="nil"/>
              <w:bottom w:val="nil"/>
              <w:right w:val="nil"/>
            </w:tcBorders>
            <w:shd w:val="clear" w:color="FFFFFF" w:fill="FFFFFF"/>
            <w:noWrap/>
            <w:vAlign w:val="bottom"/>
            <w:hideMark/>
          </w:tcPr>
          <w:p w14:paraId="5772DE04" w14:textId="77777777" w:rsidR="00C32CBD" w:rsidRDefault="00C32CBD" w:rsidP="00320D09">
            <w:pPr>
              <w:jc w:val="right"/>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6CBC24E7" w14:textId="77777777" w:rsidR="00C32CBD" w:rsidRDefault="00C32CBD" w:rsidP="00320D09">
            <w:pPr>
              <w:rPr>
                <w:rFonts w:cs="Arial"/>
                <w:sz w:val="18"/>
                <w:szCs w:val="18"/>
              </w:rPr>
            </w:pPr>
            <w:r>
              <w:rPr>
                <w:rFonts w:cs="Arial"/>
                <w:sz w:val="18"/>
                <w:szCs w:val="18"/>
              </w:rPr>
              <w:t> </w:t>
            </w:r>
          </w:p>
        </w:tc>
        <w:tc>
          <w:tcPr>
            <w:tcW w:w="1203" w:type="dxa"/>
            <w:tcBorders>
              <w:top w:val="nil"/>
              <w:left w:val="nil"/>
              <w:bottom w:val="nil"/>
              <w:right w:val="nil"/>
            </w:tcBorders>
            <w:shd w:val="clear" w:color="FFFFFF" w:fill="FFFFFF"/>
            <w:noWrap/>
            <w:vAlign w:val="bottom"/>
            <w:hideMark/>
          </w:tcPr>
          <w:p w14:paraId="08E0AFE0" w14:textId="77777777" w:rsidR="00C32CBD" w:rsidRDefault="00C32CBD" w:rsidP="00320D09">
            <w:pPr>
              <w:jc w:val="right"/>
              <w:rPr>
                <w:rFonts w:cs="Arial"/>
                <w:sz w:val="18"/>
                <w:szCs w:val="18"/>
              </w:rPr>
            </w:pPr>
            <w:r>
              <w:rPr>
                <w:rFonts w:cs="Arial"/>
                <w:sz w:val="18"/>
                <w:szCs w:val="18"/>
              </w:rPr>
              <w:t> </w:t>
            </w:r>
          </w:p>
        </w:tc>
      </w:tr>
      <w:tr w:rsidR="00C32CBD" w14:paraId="77C7A558" w14:textId="77777777" w:rsidTr="00320D09">
        <w:trPr>
          <w:trHeight w:val="255"/>
        </w:trPr>
        <w:tc>
          <w:tcPr>
            <w:tcW w:w="4164" w:type="dxa"/>
            <w:tcBorders>
              <w:top w:val="nil"/>
              <w:left w:val="nil"/>
              <w:bottom w:val="nil"/>
              <w:right w:val="nil"/>
            </w:tcBorders>
            <w:shd w:val="clear" w:color="FFFFFF" w:fill="FFFFFF"/>
            <w:vAlign w:val="bottom"/>
            <w:hideMark/>
          </w:tcPr>
          <w:p w14:paraId="45A4C15D" w14:textId="77777777" w:rsidR="00C32CBD" w:rsidRDefault="00C32CBD" w:rsidP="00320D09">
            <w:pPr>
              <w:rPr>
                <w:rFonts w:cs="Arial"/>
                <w:b/>
                <w:bCs/>
                <w:sz w:val="18"/>
                <w:szCs w:val="18"/>
              </w:rPr>
            </w:pPr>
            <w:r>
              <w:rPr>
                <w:rFonts w:cs="Arial"/>
                <w:b/>
                <w:bCs/>
                <w:sz w:val="18"/>
                <w:szCs w:val="18"/>
              </w:rPr>
              <w:t>Net (cost of)/contribution by services</w:t>
            </w:r>
          </w:p>
        </w:tc>
        <w:tc>
          <w:tcPr>
            <w:tcW w:w="1000" w:type="dxa"/>
            <w:tcBorders>
              <w:top w:val="nil"/>
              <w:left w:val="nil"/>
              <w:bottom w:val="nil"/>
              <w:right w:val="nil"/>
            </w:tcBorders>
            <w:shd w:val="clear" w:color="FFFFFF" w:fill="FFFFFF"/>
            <w:noWrap/>
            <w:vAlign w:val="bottom"/>
            <w:hideMark/>
          </w:tcPr>
          <w:p w14:paraId="5C9AF203" w14:textId="77777777" w:rsidR="00C32CBD" w:rsidRDefault="00C32CBD" w:rsidP="00320D09">
            <w:pPr>
              <w:jc w:val="center"/>
              <w:rPr>
                <w:rFonts w:cs="Arial"/>
                <w:sz w:val="18"/>
                <w:szCs w:val="18"/>
              </w:rPr>
            </w:pPr>
            <w:r>
              <w:rPr>
                <w:rFonts w:cs="Arial"/>
                <w:sz w:val="18"/>
                <w:szCs w:val="18"/>
              </w:rPr>
              <w:t> </w:t>
            </w:r>
          </w:p>
        </w:tc>
        <w:tc>
          <w:tcPr>
            <w:tcW w:w="1140" w:type="dxa"/>
            <w:tcBorders>
              <w:top w:val="single" w:sz="4" w:space="0" w:color="auto"/>
              <w:left w:val="nil"/>
              <w:bottom w:val="single" w:sz="4" w:space="0" w:color="auto"/>
              <w:right w:val="nil"/>
            </w:tcBorders>
            <w:shd w:val="clear" w:color="FFFFFF" w:fill="FFFFFF"/>
            <w:noWrap/>
            <w:vAlign w:val="bottom"/>
            <w:hideMark/>
          </w:tcPr>
          <w:p w14:paraId="3F434624" w14:textId="77777777" w:rsidR="00C32CBD" w:rsidRDefault="00C32CBD" w:rsidP="00320D09">
            <w:pPr>
              <w:jc w:val="right"/>
              <w:rPr>
                <w:rFonts w:cs="Arial"/>
                <w:b/>
                <w:bCs/>
                <w:sz w:val="18"/>
                <w:szCs w:val="18"/>
              </w:rPr>
            </w:pPr>
            <w:r>
              <w:rPr>
                <w:rFonts w:cs="Arial"/>
                <w:b/>
                <w:bCs/>
                <w:sz w:val="18"/>
                <w:szCs w:val="18"/>
              </w:rPr>
              <w:t>(981,398)</w:t>
            </w:r>
          </w:p>
        </w:tc>
        <w:tc>
          <w:tcPr>
            <w:tcW w:w="236" w:type="dxa"/>
            <w:tcBorders>
              <w:top w:val="nil"/>
              <w:left w:val="nil"/>
              <w:bottom w:val="nil"/>
              <w:right w:val="nil"/>
            </w:tcBorders>
            <w:shd w:val="clear" w:color="FFFFFF" w:fill="FFFFFF"/>
            <w:noWrap/>
            <w:vAlign w:val="bottom"/>
            <w:hideMark/>
          </w:tcPr>
          <w:p w14:paraId="12E69FE2" w14:textId="77777777" w:rsidR="00C32CBD" w:rsidRDefault="00C32CBD" w:rsidP="00320D09">
            <w:pPr>
              <w:rPr>
                <w:rFonts w:cs="Arial"/>
                <w:sz w:val="18"/>
                <w:szCs w:val="18"/>
              </w:rPr>
            </w:pPr>
            <w:r>
              <w:rPr>
                <w:rFonts w:cs="Arial"/>
                <w:sz w:val="18"/>
                <w:szCs w:val="18"/>
              </w:rPr>
              <w:t> </w:t>
            </w:r>
          </w:p>
        </w:tc>
        <w:tc>
          <w:tcPr>
            <w:tcW w:w="1108" w:type="dxa"/>
            <w:tcBorders>
              <w:top w:val="single" w:sz="4" w:space="0" w:color="auto"/>
              <w:left w:val="nil"/>
              <w:bottom w:val="single" w:sz="4" w:space="0" w:color="auto"/>
              <w:right w:val="nil"/>
            </w:tcBorders>
            <w:shd w:val="clear" w:color="FFFFFF" w:fill="FFFFFF"/>
            <w:noWrap/>
            <w:vAlign w:val="bottom"/>
            <w:hideMark/>
          </w:tcPr>
          <w:p w14:paraId="34905B8C" w14:textId="77777777" w:rsidR="00C32CBD" w:rsidRDefault="00C32CBD" w:rsidP="00320D09">
            <w:pPr>
              <w:jc w:val="right"/>
              <w:rPr>
                <w:rFonts w:cs="Arial"/>
                <w:sz w:val="18"/>
                <w:szCs w:val="18"/>
              </w:rPr>
            </w:pPr>
            <w:r>
              <w:rPr>
                <w:rFonts w:cs="Arial"/>
                <w:sz w:val="18"/>
                <w:szCs w:val="18"/>
              </w:rPr>
              <w:t>(565,288)</w:t>
            </w:r>
          </w:p>
        </w:tc>
        <w:tc>
          <w:tcPr>
            <w:tcW w:w="236" w:type="dxa"/>
            <w:tcBorders>
              <w:top w:val="nil"/>
              <w:left w:val="nil"/>
              <w:bottom w:val="nil"/>
              <w:right w:val="nil"/>
            </w:tcBorders>
            <w:shd w:val="clear" w:color="FFFFFF" w:fill="FFFFFF"/>
            <w:noWrap/>
            <w:vAlign w:val="bottom"/>
            <w:hideMark/>
          </w:tcPr>
          <w:p w14:paraId="2114D76A" w14:textId="77777777" w:rsidR="00C32CBD" w:rsidRDefault="00C32CBD" w:rsidP="00320D09">
            <w:pPr>
              <w:rPr>
                <w:rFonts w:cs="Arial"/>
                <w:sz w:val="18"/>
                <w:szCs w:val="18"/>
              </w:rPr>
            </w:pPr>
            <w:r>
              <w:rPr>
                <w:rFonts w:cs="Arial"/>
                <w:sz w:val="18"/>
                <w:szCs w:val="18"/>
              </w:rPr>
              <w:t> </w:t>
            </w:r>
          </w:p>
        </w:tc>
        <w:tc>
          <w:tcPr>
            <w:tcW w:w="1203" w:type="dxa"/>
            <w:tcBorders>
              <w:top w:val="single" w:sz="4" w:space="0" w:color="auto"/>
              <w:left w:val="nil"/>
              <w:bottom w:val="single" w:sz="4" w:space="0" w:color="auto"/>
              <w:right w:val="nil"/>
            </w:tcBorders>
            <w:shd w:val="clear" w:color="FFFFFF" w:fill="FFFFFF"/>
            <w:noWrap/>
            <w:vAlign w:val="bottom"/>
            <w:hideMark/>
          </w:tcPr>
          <w:p w14:paraId="3798B0E9" w14:textId="77777777" w:rsidR="00C32CBD" w:rsidRDefault="00C32CBD" w:rsidP="00320D09">
            <w:pPr>
              <w:jc w:val="right"/>
              <w:rPr>
                <w:rFonts w:cs="Arial"/>
                <w:sz w:val="18"/>
                <w:szCs w:val="18"/>
              </w:rPr>
            </w:pPr>
            <w:r>
              <w:rPr>
                <w:rFonts w:cs="Arial"/>
                <w:sz w:val="18"/>
                <w:szCs w:val="18"/>
              </w:rPr>
              <w:t>(1,598,466)</w:t>
            </w:r>
          </w:p>
        </w:tc>
      </w:tr>
      <w:tr w:rsidR="00C32CBD" w14:paraId="4CBD731E" w14:textId="77777777" w:rsidTr="00320D09">
        <w:trPr>
          <w:trHeight w:val="255"/>
        </w:trPr>
        <w:tc>
          <w:tcPr>
            <w:tcW w:w="4164" w:type="dxa"/>
            <w:tcBorders>
              <w:top w:val="nil"/>
              <w:left w:val="nil"/>
              <w:bottom w:val="nil"/>
              <w:right w:val="nil"/>
            </w:tcBorders>
            <w:shd w:val="clear" w:color="FFFFFF" w:fill="FFFFFF"/>
            <w:vAlign w:val="bottom"/>
            <w:hideMark/>
          </w:tcPr>
          <w:p w14:paraId="411F24D8" w14:textId="77777777" w:rsidR="00C32CBD" w:rsidRDefault="00C32CBD" w:rsidP="00320D09">
            <w:pPr>
              <w:rPr>
                <w:rFonts w:cs="Arial"/>
                <w:sz w:val="18"/>
                <w:szCs w:val="18"/>
              </w:rPr>
            </w:pPr>
            <w:r>
              <w:rPr>
                <w:rFonts w:cs="Arial"/>
                <w:sz w:val="18"/>
                <w:szCs w:val="18"/>
              </w:rPr>
              <w:t> </w:t>
            </w:r>
          </w:p>
        </w:tc>
        <w:tc>
          <w:tcPr>
            <w:tcW w:w="1000" w:type="dxa"/>
            <w:tcBorders>
              <w:top w:val="nil"/>
              <w:left w:val="nil"/>
              <w:bottom w:val="nil"/>
              <w:right w:val="nil"/>
            </w:tcBorders>
            <w:shd w:val="clear" w:color="FFFFFF" w:fill="FFFFFF"/>
            <w:noWrap/>
            <w:vAlign w:val="bottom"/>
            <w:hideMark/>
          </w:tcPr>
          <w:p w14:paraId="62D54051" w14:textId="77777777" w:rsidR="00C32CBD" w:rsidRDefault="00C32CBD" w:rsidP="00320D09">
            <w:pPr>
              <w:jc w:val="center"/>
              <w:rPr>
                <w:rFonts w:cs="Arial"/>
                <w:sz w:val="18"/>
                <w:szCs w:val="18"/>
              </w:rPr>
            </w:pPr>
            <w:r>
              <w:rPr>
                <w:rFonts w:cs="Arial"/>
                <w:sz w:val="18"/>
                <w:szCs w:val="18"/>
              </w:rPr>
              <w:t> </w:t>
            </w:r>
          </w:p>
        </w:tc>
        <w:tc>
          <w:tcPr>
            <w:tcW w:w="1140" w:type="dxa"/>
            <w:tcBorders>
              <w:top w:val="nil"/>
              <w:left w:val="nil"/>
              <w:bottom w:val="nil"/>
              <w:right w:val="nil"/>
            </w:tcBorders>
            <w:shd w:val="clear" w:color="FFFFFF" w:fill="FFFFFF"/>
            <w:noWrap/>
            <w:vAlign w:val="bottom"/>
            <w:hideMark/>
          </w:tcPr>
          <w:p w14:paraId="2A115911" w14:textId="77777777" w:rsidR="00C32CBD" w:rsidRDefault="00C32CBD" w:rsidP="00320D09">
            <w:pPr>
              <w:jc w:val="right"/>
              <w:rPr>
                <w:rFonts w:cs="Arial"/>
                <w:b/>
                <w:bCs/>
                <w:sz w:val="18"/>
                <w:szCs w:val="18"/>
              </w:rPr>
            </w:pPr>
            <w:r>
              <w:rPr>
                <w:rFonts w:cs="Arial"/>
                <w:b/>
                <w:bCs/>
                <w:sz w:val="18"/>
                <w:szCs w:val="18"/>
              </w:rPr>
              <w:t> </w:t>
            </w:r>
          </w:p>
        </w:tc>
        <w:tc>
          <w:tcPr>
            <w:tcW w:w="236" w:type="dxa"/>
            <w:tcBorders>
              <w:top w:val="nil"/>
              <w:left w:val="nil"/>
              <w:bottom w:val="nil"/>
              <w:right w:val="nil"/>
            </w:tcBorders>
            <w:shd w:val="clear" w:color="FFFFFF" w:fill="FFFFFF"/>
            <w:noWrap/>
            <w:vAlign w:val="bottom"/>
            <w:hideMark/>
          </w:tcPr>
          <w:p w14:paraId="76929B64" w14:textId="77777777" w:rsidR="00C32CBD" w:rsidRDefault="00C32CBD" w:rsidP="00320D09">
            <w:pPr>
              <w:rPr>
                <w:rFonts w:cs="Arial"/>
                <w:sz w:val="18"/>
                <w:szCs w:val="18"/>
              </w:rPr>
            </w:pPr>
            <w:r>
              <w:rPr>
                <w:rFonts w:cs="Arial"/>
                <w:sz w:val="18"/>
                <w:szCs w:val="18"/>
              </w:rPr>
              <w:t> </w:t>
            </w:r>
          </w:p>
        </w:tc>
        <w:tc>
          <w:tcPr>
            <w:tcW w:w="1108" w:type="dxa"/>
            <w:tcBorders>
              <w:top w:val="nil"/>
              <w:left w:val="nil"/>
              <w:bottom w:val="nil"/>
              <w:right w:val="nil"/>
            </w:tcBorders>
            <w:shd w:val="clear" w:color="FFFFFF" w:fill="FFFFFF"/>
            <w:noWrap/>
            <w:vAlign w:val="bottom"/>
            <w:hideMark/>
          </w:tcPr>
          <w:p w14:paraId="716050B3" w14:textId="77777777" w:rsidR="00C32CBD" w:rsidRDefault="00C32CBD" w:rsidP="00320D09">
            <w:pPr>
              <w:jc w:val="right"/>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1704C928" w14:textId="77777777" w:rsidR="00C32CBD" w:rsidRDefault="00C32CBD" w:rsidP="00320D09">
            <w:pPr>
              <w:rPr>
                <w:rFonts w:cs="Arial"/>
                <w:sz w:val="18"/>
                <w:szCs w:val="18"/>
              </w:rPr>
            </w:pPr>
            <w:r>
              <w:rPr>
                <w:rFonts w:cs="Arial"/>
                <w:sz w:val="18"/>
                <w:szCs w:val="18"/>
              </w:rPr>
              <w:t> </w:t>
            </w:r>
          </w:p>
        </w:tc>
        <w:tc>
          <w:tcPr>
            <w:tcW w:w="1203" w:type="dxa"/>
            <w:tcBorders>
              <w:top w:val="nil"/>
              <w:left w:val="nil"/>
              <w:bottom w:val="nil"/>
              <w:right w:val="nil"/>
            </w:tcBorders>
            <w:shd w:val="clear" w:color="FFFFFF" w:fill="FFFFFF"/>
            <w:noWrap/>
            <w:vAlign w:val="bottom"/>
            <w:hideMark/>
          </w:tcPr>
          <w:p w14:paraId="2DA5CD30" w14:textId="77777777" w:rsidR="00C32CBD" w:rsidRDefault="00C32CBD" w:rsidP="00320D09">
            <w:pPr>
              <w:jc w:val="right"/>
              <w:rPr>
                <w:rFonts w:cs="Arial"/>
                <w:sz w:val="18"/>
                <w:szCs w:val="18"/>
              </w:rPr>
            </w:pPr>
            <w:r>
              <w:rPr>
                <w:rFonts w:cs="Arial"/>
                <w:sz w:val="18"/>
                <w:szCs w:val="18"/>
              </w:rPr>
              <w:t> </w:t>
            </w:r>
          </w:p>
        </w:tc>
      </w:tr>
      <w:tr w:rsidR="00C32CBD" w14:paraId="4699F886" w14:textId="77777777" w:rsidTr="00320D09">
        <w:trPr>
          <w:trHeight w:val="255"/>
        </w:trPr>
        <w:tc>
          <w:tcPr>
            <w:tcW w:w="4164" w:type="dxa"/>
            <w:tcBorders>
              <w:top w:val="nil"/>
              <w:left w:val="nil"/>
              <w:bottom w:val="nil"/>
              <w:right w:val="nil"/>
            </w:tcBorders>
            <w:shd w:val="clear" w:color="FFFFFF" w:fill="FFFFFF"/>
            <w:vAlign w:val="bottom"/>
            <w:hideMark/>
          </w:tcPr>
          <w:p w14:paraId="1AF62715" w14:textId="77777777" w:rsidR="00C32CBD" w:rsidRDefault="00C32CBD" w:rsidP="00320D09">
            <w:pPr>
              <w:rPr>
                <w:rFonts w:cs="Arial"/>
                <w:sz w:val="18"/>
                <w:szCs w:val="18"/>
              </w:rPr>
            </w:pPr>
            <w:r>
              <w:rPr>
                <w:rFonts w:cs="Arial"/>
                <w:sz w:val="18"/>
                <w:szCs w:val="18"/>
              </w:rPr>
              <w:t>Revenue from Government</w:t>
            </w:r>
          </w:p>
        </w:tc>
        <w:tc>
          <w:tcPr>
            <w:tcW w:w="1000" w:type="dxa"/>
            <w:tcBorders>
              <w:top w:val="nil"/>
              <w:left w:val="nil"/>
              <w:bottom w:val="nil"/>
              <w:right w:val="nil"/>
            </w:tcBorders>
            <w:shd w:val="clear" w:color="FFFFFF" w:fill="FFFFFF"/>
            <w:noWrap/>
            <w:vAlign w:val="bottom"/>
            <w:hideMark/>
          </w:tcPr>
          <w:p w14:paraId="70461AA8" w14:textId="77777777" w:rsidR="00C32CBD" w:rsidRDefault="00C32CBD" w:rsidP="00320D09">
            <w:pPr>
              <w:jc w:val="center"/>
              <w:rPr>
                <w:rFonts w:cs="Arial"/>
                <w:sz w:val="18"/>
                <w:szCs w:val="18"/>
              </w:rPr>
            </w:pPr>
            <w:r>
              <w:rPr>
                <w:rFonts w:cs="Arial"/>
                <w:sz w:val="18"/>
                <w:szCs w:val="18"/>
              </w:rPr>
              <w:t> </w:t>
            </w:r>
          </w:p>
        </w:tc>
        <w:tc>
          <w:tcPr>
            <w:tcW w:w="1140" w:type="dxa"/>
            <w:tcBorders>
              <w:top w:val="nil"/>
              <w:left w:val="nil"/>
              <w:bottom w:val="nil"/>
              <w:right w:val="nil"/>
            </w:tcBorders>
            <w:shd w:val="clear" w:color="FFFFFF" w:fill="FFFFFF"/>
            <w:noWrap/>
            <w:vAlign w:val="bottom"/>
            <w:hideMark/>
          </w:tcPr>
          <w:p w14:paraId="4C798A8E" w14:textId="77777777" w:rsidR="00C32CBD" w:rsidRDefault="00C32CBD" w:rsidP="00320D09">
            <w:pPr>
              <w:jc w:val="right"/>
              <w:rPr>
                <w:rFonts w:cs="Arial"/>
                <w:b/>
                <w:bCs/>
                <w:sz w:val="18"/>
                <w:szCs w:val="18"/>
              </w:rPr>
            </w:pPr>
            <w:r>
              <w:rPr>
                <w:rFonts w:cs="Arial"/>
                <w:b/>
                <w:bCs/>
                <w:sz w:val="18"/>
                <w:szCs w:val="18"/>
              </w:rPr>
              <w:t>1,598,466</w:t>
            </w:r>
          </w:p>
        </w:tc>
        <w:tc>
          <w:tcPr>
            <w:tcW w:w="236" w:type="dxa"/>
            <w:tcBorders>
              <w:top w:val="nil"/>
              <w:left w:val="nil"/>
              <w:bottom w:val="nil"/>
              <w:right w:val="nil"/>
            </w:tcBorders>
            <w:shd w:val="clear" w:color="FFFFFF" w:fill="FFFFFF"/>
            <w:noWrap/>
            <w:vAlign w:val="bottom"/>
            <w:hideMark/>
          </w:tcPr>
          <w:p w14:paraId="6DC5363C" w14:textId="77777777" w:rsidR="00C32CBD" w:rsidRDefault="00C32CBD" w:rsidP="00320D09">
            <w:pPr>
              <w:rPr>
                <w:rFonts w:cs="Arial"/>
                <w:sz w:val="18"/>
                <w:szCs w:val="18"/>
              </w:rPr>
            </w:pPr>
            <w:r>
              <w:rPr>
                <w:rFonts w:cs="Arial"/>
                <w:sz w:val="18"/>
                <w:szCs w:val="18"/>
              </w:rPr>
              <w:t> </w:t>
            </w:r>
          </w:p>
        </w:tc>
        <w:tc>
          <w:tcPr>
            <w:tcW w:w="1108" w:type="dxa"/>
            <w:tcBorders>
              <w:top w:val="nil"/>
              <w:left w:val="nil"/>
              <w:bottom w:val="nil"/>
              <w:right w:val="nil"/>
            </w:tcBorders>
            <w:shd w:val="clear" w:color="FFFFFF" w:fill="FFFFFF"/>
            <w:noWrap/>
            <w:vAlign w:val="bottom"/>
            <w:hideMark/>
          </w:tcPr>
          <w:p w14:paraId="41BE9508" w14:textId="77777777" w:rsidR="00C32CBD" w:rsidRDefault="00C32CBD" w:rsidP="00320D09">
            <w:pPr>
              <w:jc w:val="right"/>
              <w:rPr>
                <w:rFonts w:cs="Arial"/>
                <w:sz w:val="18"/>
                <w:szCs w:val="18"/>
              </w:rPr>
            </w:pPr>
            <w:r>
              <w:rPr>
                <w:rFonts w:cs="Arial"/>
                <w:sz w:val="18"/>
                <w:szCs w:val="18"/>
              </w:rPr>
              <w:t>581,070</w:t>
            </w:r>
          </w:p>
        </w:tc>
        <w:tc>
          <w:tcPr>
            <w:tcW w:w="236" w:type="dxa"/>
            <w:tcBorders>
              <w:top w:val="nil"/>
              <w:left w:val="nil"/>
              <w:bottom w:val="nil"/>
              <w:right w:val="nil"/>
            </w:tcBorders>
            <w:shd w:val="clear" w:color="FFFFFF" w:fill="FFFFFF"/>
            <w:noWrap/>
            <w:vAlign w:val="bottom"/>
            <w:hideMark/>
          </w:tcPr>
          <w:p w14:paraId="476829D9" w14:textId="77777777" w:rsidR="00C32CBD" w:rsidRDefault="00C32CBD" w:rsidP="00320D09">
            <w:pPr>
              <w:rPr>
                <w:rFonts w:cs="Arial"/>
                <w:sz w:val="18"/>
                <w:szCs w:val="18"/>
              </w:rPr>
            </w:pPr>
            <w:r>
              <w:rPr>
                <w:rFonts w:cs="Arial"/>
                <w:sz w:val="18"/>
                <w:szCs w:val="18"/>
              </w:rPr>
              <w:t> </w:t>
            </w:r>
          </w:p>
        </w:tc>
        <w:tc>
          <w:tcPr>
            <w:tcW w:w="1203" w:type="dxa"/>
            <w:tcBorders>
              <w:top w:val="nil"/>
              <w:left w:val="nil"/>
              <w:bottom w:val="nil"/>
              <w:right w:val="nil"/>
            </w:tcBorders>
            <w:shd w:val="clear" w:color="FFFFFF" w:fill="FFFFFF"/>
            <w:noWrap/>
            <w:vAlign w:val="bottom"/>
            <w:hideMark/>
          </w:tcPr>
          <w:p w14:paraId="021A50CA" w14:textId="77777777" w:rsidR="00C32CBD" w:rsidRDefault="00C32CBD" w:rsidP="00320D09">
            <w:pPr>
              <w:jc w:val="right"/>
              <w:rPr>
                <w:rFonts w:cs="Arial"/>
                <w:sz w:val="18"/>
                <w:szCs w:val="18"/>
              </w:rPr>
            </w:pPr>
            <w:r>
              <w:rPr>
                <w:rFonts w:cs="Arial"/>
                <w:sz w:val="18"/>
                <w:szCs w:val="18"/>
              </w:rPr>
              <w:t>1,598,466</w:t>
            </w:r>
          </w:p>
        </w:tc>
      </w:tr>
      <w:tr w:rsidR="00C32CBD" w14:paraId="6800C9CA" w14:textId="77777777" w:rsidTr="00320D09">
        <w:trPr>
          <w:trHeight w:val="255"/>
        </w:trPr>
        <w:tc>
          <w:tcPr>
            <w:tcW w:w="4164" w:type="dxa"/>
            <w:tcBorders>
              <w:top w:val="nil"/>
              <w:left w:val="nil"/>
              <w:bottom w:val="nil"/>
              <w:right w:val="nil"/>
            </w:tcBorders>
            <w:shd w:val="clear" w:color="FFFFFF" w:fill="FFFFFF"/>
            <w:vAlign w:val="bottom"/>
            <w:hideMark/>
          </w:tcPr>
          <w:p w14:paraId="1BE00DCB" w14:textId="77777777" w:rsidR="00C32CBD" w:rsidRDefault="00C32CBD" w:rsidP="00320D09">
            <w:pPr>
              <w:rPr>
                <w:rFonts w:cs="Arial"/>
                <w:b/>
                <w:bCs/>
                <w:sz w:val="18"/>
                <w:szCs w:val="18"/>
              </w:rPr>
            </w:pPr>
            <w:r>
              <w:rPr>
                <w:rFonts w:cs="Arial"/>
                <w:b/>
                <w:bCs/>
                <w:sz w:val="18"/>
                <w:szCs w:val="18"/>
              </w:rPr>
              <w:t xml:space="preserve">Surplus/(Deficit) </w:t>
            </w:r>
          </w:p>
        </w:tc>
        <w:tc>
          <w:tcPr>
            <w:tcW w:w="1000" w:type="dxa"/>
            <w:tcBorders>
              <w:top w:val="nil"/>
              <w:left w:val="nil"/>
              <w:bottom w:val="nil"/>
              <w:right w:val="nil"/>
            </w:tcBorders>
            <w:shd w:val="clear" w:color="FFFFFF" w:fill="FFFFFF"/>
            <w:noWrap/>
            <w:vAlign w:val="bottom"/>
            <w:hideMark/>
          </w:tcPr>
          <w:p w14:paraId="7D7DD871" w14:textId="77777777" w:rsidR="00C32CBD" w:rsidRDefault="00C32CBD" w:rsidP="00320D09">
            <w:pPr>
              <w:jc w:val="center"/>
              <w:rPr>
                <w:rFonts w:cs="Arial"/>
                <w:sz w:val="18"/>
                <w:szCs w:val="18"/>
              </w:rPr>
            </w:pPr>
            <w:r>
              <w:rPr>
                <w:rFonts w:cs="Arial"/>
                <w:sz w:val="18"/>
                <w:szCs w:val="18"/>
              </w:rPr>
              <w:t> </w:t>
            </w:r>
          </w:p>
        </w:tc>
        <w:tc>
          <w:tcPr>
            <w:tcW w:w="1140" w:type="dxa"/>
            <w:tcBorders>
              <w:top w:val="single" w:sz="4" w:space="0" w:color="auto"/>
              <w:left w:val="nil"/>
              <w:bottom w:val="single" w:sz="4" w:space="0" w:color="auto"/>
              <w:right w:val="nil"/>
            </w:tcBorders>
            <w:shd w:val="clear" w:color="FFFFFF" w:fill="FFFFFF"/>
            <w:noWrap/>
            <w:vAlign w:val="bottom"/>
            <w:hideMark/>
          </w:tcPr>
          <w:p w14:paraId="5FE573FD" w14:textId="77777777" w:rsidR="00C32CBD" w:rsidRDefault="00C32CBD" w:rsidP="00320D09">
            <w:pPr>
              <w:jc w:val="right"/>
              <w:rPr>
                <w:rFonts w:cs="Arial"/>
                <w:b/>
                <w:bCs/>
                <w:sz w:val="18"/>
                <w:szCs w:val="18"/>
              </w:rPr>
            </w:pPr>
            <w:r>
              <w:rPr>
                <w:rFonts w:cs="Arial"/>
                <w:b/>
                <w:bCs/>
                <w:sz w:val="18"/>
                <w:szCs w:val="18"/>
              </w:rPr>
              <w:t>617,068</w:t>
            </w:r>
          </w:p>
        </w:tc>
        <w:tc>
          <w:tcPr>
            <w:tcW w:w="236" w:type="dxa"/>
            <w:tcBorders>
              <w:top w:val="nil"/>
              <w:left w:val="nil"/>
              <w:bottom w:val="nil"/>
              <w:right w:val="nil"/>
            </w:tcBorders>
            <w:shd w:val="clear" w:color="FFFFFF" w:fill="FFFFFF"/>
            <w:noWrap/>
            <w:vAlign w:val="bottom"/>
            <w:hideMark/>
          </w:tcPr>
          <w:p w14:paraId="009FA461" w14:textId="77777777" w:rsidR="00C32CBD" w:rsidRDefault="00C32CBD" w:rsidP="00320D09">
            <w:pPr>
              <w:rPr>
                <w:rFonts w:cs="Arial"/>
                <w:sz w:val="18"/>
                <w:szCs w:val="18"/>
              </w:rPr>
            </w:pPr>
            <w:r>
              <w:rPr>
                <w:rFonts w:cs="Arial"/>
                <w:sz w:val="18"/>
                <w:szCs w:val="18"/>
              </w:rPr>
              <w:t> </w:t>
            </w:r>
          </w:p>
        </w:tc>
        <w:tc>
          <w:tcPr>
            <w:tcW w:w="1108" w:type="dxa"/>
            <w:tcBorders>
              <w:top w:val="single" w:sz="4" w:space="0" w:color="auto"/>
              <w:left w:val="nil"/>
              <w:bottom w:val="single" w:sz="4" w:space="0" w:color="auto"/>
              <w:right w:val="nil"/>
            </w:tcBorders>
            <w:shd w:val="clear" w:color="FFFFFF" w:fill="FFFFFF"/>
            <w:noWrap/>
            <w:vAlign w:val="bottom"/>
            <w:hideMark/>
          </w:tcPr>
          <w:p w14:paraId="0771CD32" w14:textId="77777777" w:rsidR="00C32CBD" w:rsidRDefault="00C32CBD" w:rsidP="00320D09">
            <w:pPr>
              <w:jc w:val="right"/>
              <w:rPr>
                <w:rFonts w:cs="Arial"/>
                <w:sz w:val="18"/>
                <w:szCs w:val="18"/>
              </w:rPr>
            </w:pPr>
            <w:r>
              <w:rPr>
                <w:rFonts w:cs="Arial"/>
                <w:sz w:val="18"/>
                <w:szCs w:val="18"/>
              </w:rPr>
              <w:t>15,782</w:t>
            </w:r>
          </w:p>
        </w:tc>
        <w:tc>
          <w:tcPr>
            <w:tcW w:w="236" w:type="dxa"/>
            <w:tcBorders>
              <w:top w:val="nil"/>
              <w:left w:val="nil"/>
              <w:bottom w:val="nil"/>
              <w:right w:val="nil"/>
            </w:tcBorders>
            <w:shd w:val="clear" w:color="FFFFFF" w:fill="FFFFFF"/>
            <w:noWrap/>
            <w:vAlign w:val="bottom"/>
            <w:hideMark/>
          </w:tcPr>
          <w:p w14:paraId="33D9B43C" w14:textId="77777777" w:rsidR="00C32CBD" w:rsidRDefault="00C32CBD" w:rsidP="00320D09">
            <w:pPr>
              <w:rPr>
                <w:rFonts w:cs="Arial"/>
                <w:sz w:val="18"/>
                <w:szCs w:val="18"/>
              </w:rPr>
            </w:pPr>
            <w:r>
              <w:rPr>
                <w:rFonts w:cs="Arial"/>
                <w:sz w:val="18"/>
                <w:szCs w:val="18"/>
              </w:rPr>
              <w:t> </w:t>
            </w:r>
          </w:p>
        </w:tc>
        <w:tc>
          <w:tcPr>
            <w:tcW w:w="1203" w:type="dxa"/>
            <w:tcBorders>
              <w:top w:val="single" w:sz="4" w:space="0" w:color="auto"/>
              <w:left w:val="nil"/>
              <w:bottom w:val="single" w:sz="4" w:space="0" w:color="auto"/>
              <w:right w:val="nil"/>
            </w:tcBorders>
            <w:shd w:val="clear" w:color="FFFFFF" w:fill="FFFFFF"/>
            <w:noWrap/>
            <w:vAlign w:val="bottom"/>
            <w:hideMark/>
          </w:tcPr>
          <w:p w14:paraId="41E42233" w14:textId="77777777" w:rsidR="00C32CBD" w:rsidRDefault="00C32CBD" w:rsidP="00320D09">
            <w:pPr>
              <w:jc w:val="right"/>
              <w:rPr>
                <w:rFonts w:cs="Arial"/>
                <w:sz w:val="18"/>
                <w:szCs w:val="18"/>
              </w:rPr>
            </w:pPr>
            <w:r>
              <w:rPr>
                <w:rFonts w:cs="Arial"/>
                <w:sz w:val="18"/>
                <w:szCs w:val="18"/>
              </w:rPr>
              <w:t>-</w:t>
            </w:r>
          </w:p>
        </w:tc>
      </w:tr>
      <w:tr w:rsidR="00C32CBD" w14:paraId="45DAB191" w14:textId="77777777" w:rsidTr="00320D09">
        <w:trPr>
          <w:trHeight w:val="255"/>
        </w:trPr>
        <w:tc>
          <w:tcPr>
            <w:tcW w:w="4164" w:type="dxa"/>
            <w:tcBorders>
              <w:top w:val="nil"/>
              <w:left w:val="nil"/>
              <w:bottom w:val="nil"/>
              <w:right w:val="nil"/>
            </w:tcBorders>
            <w:shd w:val="clear" w:color="FFFFFF" w:fill="FFFFFF"/>
            <w:vAlign w:val="bottom"/>
            <w:hideMark/>
          </w:tcPr>
          <w:p w14:paraId="014A4904" w14:textId="77777777" w:rsidR="00C32CBD" w:rsidRDefault="00C32CBD" w:rsidP="00320D09">
            <w:pPr>
              <w:rPr>
                <w:rFonts w:cs="Arial"/>
                <w:sz w:val="18"/>
                <w:szCs w:val="18"/>
              </w:rPr>
            </w:pPr>
            <w:r>
              <w:rPr>
                <w:rFonts w:cs="Arial"/>
                <w:sz w:val="18"/>
                <w:szCs w:val="18"/>
              </w:rPr>
              <w:t> </w:t>
            </w:r>
          </w:p>
        </w:tc>
        <w:tc>
          <w:tcPr>
            <w:tcW w:w="1000" w:type="dxa"/>
            <w:tcBorders>
              <w:top w:val="nil"/>
              <w:left w:val="nil"/>
              <w:bottom w:val="nil"/>
              <w:right w:val="nil"/>
            </w:tcBorders>
            <w:shd w:val="clear" w:color="FFFFFF" w:fill="FFFFFF"/>
            <w:noWrap/>
            <w:vAlign w:val="bottom"/>
            <w:hideMark/>
          </w:tcPr>
          <w:p w14:paraId="19DFD0E2" w14:textId="77777777" w:rsidR="00C32CBD" w:rsidRDefault="00C32CBD" w:rsidP="00320D09">
            <w:pPr>
              <w:jc w:val="center"/>
              <w:rPr>
                <w:rFonts w:cs="Arial"/>
                <w:sz w:val="18"/>
                <w:szCs w:val="18"/>
              </w:rPr>
            </w:pPr>
            <w:r>
              <w:rPr>
                <w:rFonts w:cs="Arial"/>
                <w:sz w:val="18"/>
                <w:szCs w:val="18"/>
              </w:rPr>
              <w:t> </w:t>
            </w:r>
          </w:p>
        </w:tc>
        <w:tc>
          <w:tcPr>
            <w:tcW w:w="1140" w:type="dxa"/>
            <w:tcBorders>
              <w:top w:val="nil"/>
              <w:left w:val="nil"/>
              <w:bottom w:val="nil"/>
              <w:right w:val="nil"/>
            </w:tcBorders>
            <w:shd w:val="clear" w:color="FFFFFF" w:fill="FFFFFF"/>
            <w:noWrap/>
            <w:vAlign w:val="bottom"/>
            <w:hideMark/>
          </w:tcPr>
          <w:p w14:paraId="3A5D2AF2" w14:textId="77777777" w:rsidR="00C32CBD" w:rsidRDefault="00C32CBD" w:rsidP="00320D09">
            <w:pPr>
              <w:jc w:val="right"/>
              <w:rPr>
                <w:rFonts w:cs="Arial"/>
                <w:b/>
                <w:bCs/>
                <w:sz w:val="18"/>
                <w:szCs w:val="18"/>
              </w:rPr>
            </w:pPr>
            <w:r>
              <w:rPr>
                <w:rFonts w:cs="Arial"/>
                <w:b/>
                <w:bCs/>
                <w:sz w:val="18"/>
                <w:szCs w:val="18"/>
              </w:rPr>
              <w:t> </w:t>
            </w:r>
          </w:p>
        </w:tc>
        <w:tc>
          <w:tcPr>
            <w:tcW w:w="236" w:type="dxa"/>
            <w:tcBorders>
              <w:top w:val="nil"/>
              <w:left w:val="nil"/>
              <w:bottom w:val="nil"/>
              <w:right w:val="nil"/>
            </w:tcBorders>
            <w:shd w:val="clear" w:color="FFFFFF" w:fill="FFFFFF"/>
            <w:noWrap/>
            <w:vAlign w:val="bottom"/>
            <w:hideMark/>
          </w:tcPr>
          <w:p w14:paraId="234557C6" w14:textId="77777777" w:rsidR="00C32CBD" w:rsidRDefault="00C32CBD" w:rsidP="00320D09">
            <w:pPr>
              <w:rPr>
                <w:rFonts w:cs="Arial"/>
                <w:sz w:val="18"/>
                <w:szCs w:val="18"/>
              </w:rPr>
            </w:pPr>
            <w:r>
              <w:rPr>
                <w:rFonts w:cs="Arial"/>
                <w:sz w:val="18"/>
                <w:szCs w:val="18"/>
              </w:rPr>
              <w:t> </w:t>
            </w:r>
          </w:p>
        </w:tc>
        <w:tc>
          <w:tcPr>
            <w:tcW w:w="1108" w:type="dxa"/>
            <w:tcBorders>
              <w:top w:val="nil"/>
              <w:left w:val="nil"/>
              <w:bottom w:val="nil"/>
              <w:right w:val="nil"/>
            </w:tcBorders>
            <w:shd w:val="clear" w:color="FFFFFF" w:fill="FFFFFF"/>
            <w:noWrap/>
            <w:vAlign w:val="bottom"/>
            <w:hideMark/>
          </w:tcPr>
          <w:p w14:paraId="36451E99" w14:textId="77777777" w:rsidR="00C32CBD" w:rsidRDefault="00C32CBD" w:rsidP="00320D09">
            <w:pPr>
              <w:jc w:val="right"/>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14B39AFE" w14:textId="77777777" w:rsidR="00C32CBD" w:rsidRDefault="00C32CBD" w:rsidP="00320D09">
            <w:pPr>
              <w:rPr>
                <w:rFonts w:cs="Arial"/>
                <w:sz w:val="18"/>
                <w:szCs w:val="18"/>
              </w:rPr>
            </w:pPr>
            <w:r>
              <w:rPr>
                <w:rFonts w:cs="Arial"/>
                <w:sz w:val="18"/>
                <w:szCs w:val="18"/>
              </w:rPr>
              <w:t> </w:t>
            </w:r>
          </w:p>
        </w:tc>
        <w:tc>
          <w:tcPr>
            <w:tcW w:w="1203" w:type="dxa"/>
            <w:tcBorders>
              <w:top w:val="nil"/>
              <w:left w:val="nil"/>
              <w:bottom w:val="nil"/>
              <w:right w:val="nil"/>
            </w:tcBorders>
            <w:shd w:val="clear" w:color="FFFFFF" w:fill="FFFFFF"/>
            <w:noWrap/>
            <w:vAlign w:val="bottom"/>
            <w:hideMark/>
          </w:tcPr>
          <w:p w14:paraId="494DB9B8" w14:textId="77777777" w:rsidR="00C32CBD" w:rsidRDefault="00C32CBD" w:rsidP="00320D09">
            <w:pPr>
              <w:jc w:val="right"/>
              <w:rPr>
                <w:rFonts w:cs="Arial"/>
                <w:sz w:val="18"/>
                <w:szCs w:val="18"/>
              </w:rPr>
            </w:pPr>
            <w:r>
              <w:rPr>
                <w:rFonts w:cs="Arial"/>
                <w:sz w:val="18"/>
                <w:szCs w:val="18"/>
              </w:rPr>
              <w:t> </w:t>
            </w:r>
          </w:p>
        </w:tc>
      </w:tr>
      <w:tr w:rsidR="00C32CBD" w14:paraId="37C2830C" w14:textId="77777777" w:rsidTr="00320D09">
        <w:trPr>
          <w:trHeight w:val="255"/>
        </w:trPr>
        <w:tc>
          <w:tcPr>
            <w:tcW w:w="4164" w:type="dxa"/>
            <w:tcBorders>
              <w:top w:val="nil"/>
              <w:left w:val="nil"/>
              <w:bottom w:val="nil"/>
              <w:right w:val="nil"/>
            </w:tcBorders>
            <w:shd w:val="clear" w:color="FFFFFF" w:fill="FFFFFF"/>
            <w:vAlign w:val="bottom"/>
            <w:hideMark/>
          </w:tcPr>
          <w:p w14:paraId="71DAECD4" w14:textId="77777777" w:rsidR="00C32CBD" w:rsidRDefault="00C32CBD" w:rsidP="00320D09">
            <w:pPr>
              <w:rPr>
                <w:rFonts w:cs="Arial"/>
                <w:b/>
                <w:bCs/>
                <w:sz w:val="18"/>
                <w:szCs w:val="18"/>
              </w:rPr>
            </w:pPr>
            <w:r>
              <w:rPr>
                <w:rFonts w:cs="Arial"/>
                <w:b/>
                <w:bCs/>
                <w:sz w:val="18"/>
                <w:szCs w:val="18"/>
              </w:rPr>
              <w:t>OTHER COMPREHENSIVE INCOME</w:t>
            </w:r>
          </w:p>
        </w:tc>
        <w:tc>
          <w:tcPr>
            <w:tcW w:w="1000" w:type="dxa"/>
            <w:tcBorders>
              <w:top w:val="nil"/>
              <w:left w:val="nil"/>
              <w:bottom w:val="nil"/>
              <w:right w:val="nil"/>
            </w:tcBorders>
            <w:shd w:val="clear" w:color="FFFFFF" w:fill="FFFFFF"/>
            <w:noWrap/>
            <w:vAlign w:val="bottom"/>
            <w:hideMark/>
          </w:tcPr>
          <w:p w14:paraId="76BC6318" w14:textId="77777777" w:rsidR="00C32CBD" w:rsidRDefault="00C32CBD" w:rsidP="00320D09">
            <w:pPr>
              <w:jc w:val="center"/>
              <w:rPr>
                <w:rFonts w:cs="Arial"/>
                <w:sz w:val="18"/>
                <w:szCs w:val="18"/>
              </w:rPr>
            </w:pPr>
            <w:r>
              <w:rPr>
                <w:rFonts w:cs="Arial"/>
                <w:sz w:val="18"/>
                <w:szCs w:val="18"/>
              </w:rPr>
              <w:t> </w:t>
            </w:r>
          </w:p>
        </w:tc>
        <w:tc>
          <w:tcPr>
            <w:tcW w:w="1140" w:type="dxa"/>
            <w:tcBorders>
              <w:top w:val="nil"/>
              <w:left w:val="nil"/>
              <w:bottom w:val="nil"/>
              <w:right w:val="nil"/>
            </w:tcBorders>
            <w:shd w:val="clear" w:color="FFFFFF" w:fill="FFFFFF"/>
            <w:noWrap/>
            <w:vAlign w:val="bottom"/>
            <w:hideMark/>
          </w:tcPr>
          <w:p w14:paraId="34328715" w14:textId="77777777" w:rsidR="00C32CBD" w:rsidRDefault="00C32CBD" w:rsidP="00320D09">
            <w:pPr>
              <w:jc w:val="right"/>
              <w:rPr>
                <w:rFonts w:cs="Arial"/>
                <w:b/>
                <w:bCs/>
                <w:sz w:val="18"/>
                <w:szCs w:val="18"/>
              </w:rPr>
            </w:pPr>
            <w:r>
              <w:rPr>
                <w:rFonts w:cs="Arial"/>
                <w:b/>
                <w:bCs/>
                <w:sz w:val="18"/>
                <w:szCs w:val="18"/>
              </w:rPr>
              <w:t> </w:t>
            </w:r>
          </w:p>
        </w:tc>
        <w:tc>
          <w:tcPr>
            <w:tcW w:w="236" w:type="dxa"/>
            <w:tcBorders>
              <w:top w:val="nil"/>
              <w:left w:val="nil"/>
              <w:bottom w:val="nil"/>
              <w:right w:val="nil"/>
            </w:tcBorders>
            <w:shd w:val="clear" w:color="FFFFFF" w:fill="FFFFFF"/>
            <w:noWrap/>
            <w:vAlign w:val="bottom"/>
            <w:hideMark/>
          </w:tcPr>
          <w:p w14:paraId="1174F1BF" w14:textId="77777777" w:rsidR="00C32CBD" w:rsidRDefault="00C32CBD" w:rsidP="00320D09">
            <w:pPr>
              <w:rPr>
                <w:rFonts w:cs="Arial"/>
                <w:sz w:val="18"/>
                <w:szCs w:val="18"/>
              </w:rPr>
            </w:pPr>
            <w:r>
              <w:rPr>
                <w:rFonts w:cs="Arial"/>
                <w:sz w:val="18"/>
                <w:szCs w:val="18"/>
              </w:rPr>
              <w:t> </w:t>
            </w:r>
          </w:p>
        </w:tc>
        <w:tc>
          <w:tcPr>
            <w:tcW w:w="1108" w:type="dxa"/>
            <w:tcBorders>
              <w:top w:val="nil"/>
              <w:left w:val="nil"/>
              <w:bottom w:val="nil"/>
              <w:right w:val="nil"/>
            </w:tcBorders>
            <w:shd w:val="clear" w:color="FFFFFF" w:fill="FFFFFF"/>
            <w:noWrap/>
            <w:vAlign w:val="bottom"/>
            <w:hideMark/>
          </w:tcPr>
          <w:p w14:paraId="4E6AD9F1" w14:textId="77777777" w:rsidR="00C32CBD" w:rsidRDefault="00C32CBD" w:rsidP="00320D09">
            <w:pPr>
              <w:jc w:val="right"/>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7437DD2C" w14:textId="77777777" w:rsidR="00C32CBD" w:rsidRDefault="00C32CBD" w:rsidP="00320D09">
            <w:pPr>
              <w:rPr>
                <w:rFonts w:cs="Arial"/>
                <w:sz w:val="18"/>
                <w:szCs w:val="18"/>
              </w:rPr>
            </w:pPr>
            <w:r>
              <w:rPr>
                <w:rFonts w:cs="Arial"/>
                <w:sz w:val="18"/>
                <w:szCs w:val="18"/>
              </w:rPr>
              <w:t> </w:t>
            </w:r>
          </w:p>
        </w:tc>
        <w:tc>
          <w:tcPr>
            <w:tcW w:w="1203" w:type="dxa"/>
            <w:tcBorders>
              <w:top w:val="nil"/>
              <w:left w:val="nil"/>
              <w:bottom w:val="nil"/>
              <w:right w:val="nil"/>
            </w:tcBorders>
            <w:shd w:val="clear" w:color="FFFFFF" w:fill="FFFFFF"/>
            <w:noWrap/>
            <w:vAlign w:val="bottom"/>
            <w:hideMark/>
          </w:tcPr>
          <w:p w14:paraId="1E2CCD09" w14:textId="77777777" w:rsidR="00C32CBD" w:rsidRDefault="00C32CBD" w:rsidP="00320D09">
            <w:pPr>
              <w:jc w:val="right"/>
              <w:rPr>
                <w:rFonts w:cs="Arial"/>
                <w:sz w:val="18"/>
                <w:szCs w:val="18"/>
              </w:rPr>
            </w:pPr>
            <w:r>
              <w:rPr>
                <w:rFonts w:cs="Arial"/>
                <w:sz w:val="18"/>
                <w:szCs w:val="18"/>
              </w:rPr>
              <w:t> </w:t>
            </w:r>
          </w:p>
        </w:tc>
      </w:tr>
      <w:tr w:rsidR="00C32CBD" w14:paraId="301D8C9B" w14:textId="77777777" w:rsidTr="00320D09">
        <w:trPr>
          <w:trHeight w:val="480"/>
        </w:trPr>
        <w:tc>
          <w:tcPr>
            <w:tcW w:w="4164" w:type="dxa"/>
            <w:tcBorders>
              <w:top w:val="nil"/>
              <w:left w:val="nil"/>
              <w:bottom w:val="nil"/>
              <w:right w:val="nil"/>
            </w:tcBorders>
            <w:shd w:val="clear" w:color="FFFFFF" w:fill="FFFFFF"/>
            <w:vAlign w:val="bottom"/>
            <w:hideMark/>
          </w:tcPr>
          <w:p w14:paraId="3C2A46B7" w14:textId="77777777" w:rsidR="00C32CBD" w:rsidRDefault="00C32CBD" w:rsidP="00320D09">
            <w:pPr>
              <w:rPr>
                <w:rFonts w:cs="Arial"/>
                <w:b/>
                <w:bCs/>
                <w:sz w:val="18"/>
                <w:szCs w:val="18"/>
              </w:rPr>
            </w:pPr>
            <w:r>
              <w:rPr>
                <w:rFonts w:cs="Arial"/>
                <w:b/>
                <w:bCs/>
                <w:sz w:val="18"/>
                <w:szCs w:val="18"/>
              </w:rPr>
              <w:t>Items not subject to subsequent reclassification to net cost of services</w:t>
            </w:r>
          </w:p>
        </w:tc>
        <w:tc>
          <w:tcPr>
            <w:tcW w:w="1000" w:type="dxa"/>
            <w:tcBorders>
              <w:top w:val="nil"/>
              <w:left w:val="nil"/>
              <w:bottom w:val="nil"/>
              <w:right w:val="nil"/>
            </w:tcBorders>
            <w:shd w:val="clear" w:color="FFFFFF" w:fill="FFFFFF"/>
            <w:noWrap/>
            <w:vAlign w:val="bottom"/>
            <w:hideMark/>
          </w:tcPr>
          <w:p w14:paraId="3CE7AEC6" w14:textId="77777777" w:rsidR="00C32CBD" w:rsidRDefault="00C32CBD" w:rsidP="00320D09">
            <w:pPr>
              <w:jc w:val="center"/>
              <w:rPr>
                <w:rFonts w:cs="Arial"/>
                <w:sz w:val="18"/>
                <w:szCs w:val="18"/>
              </w:rPr>
            </w:pPr>
            <w:r>
              <w:rPr>
                <w:rFonts w:cs="Arial"/>
                <w:sz w:val="18"/>
                <w:szCs w:val="18"/>
              </w:rPr>
              <w:t> </w:t>
            </w:r>
          </w:p>
        </w:tc>
        <w:tc>
          <w:tcPr>
            <w:tcW w:w="1140" w:type="dxa"/>
            <w:tcBorders>
              <w:top w:val="nil"/>
              <w:left w:val="nil"/>
              <w:bottom w:val="nil"/>
              <w:right w:val="nil"/>
            </w:tcBorders>
            <w:shd w:val="clear" w:color="FFFFFF" w:fill="FFFFFF"/>
            <w:noWrap/>
            <w:vAlign w:val="bottom"/>
            <w:hideMark/>
          </w:tcPr>
          <w:p w14:paraId="1F28C909" w14:textId="77777777" w:rsidR="00C32CBD" w:rsidRDefault="00C32CBD" w:rsidP="00320D09">
            <w:pPr>
              <w:jc w:val="right"/>
              <w:rPr>
                <w:rFonts w:cs="Arial"/>
                <w:b/>
                <w:bCs/>
                <w:sz w:val="18"/>
                <w:szCs w:val="18"/>
              </w:rPr>
            </w:pPr>
            <w:r>
              <w:rPr>
                <w:rFonts w:cs="Arial"/>
                <w:b/>
                <w:bCs/>
                <w:sz w:val="18"/>
                <w:szCs w:val="18"/>
              </w:rPr>
              <w:t> </w:t>
            </w:r>
          </w:p>
        </w:tc>
        <w:tc>
          <w:tcPr>
            <w:tcW w:w="236" w:type="dxa"/>
            <w:tcBorders>
              <w:top w:val="nil"/>
              <w:left w:val="nil"/>
              <w:bottom w:val="nil"/>
              <w:right w:val="nil"/>
            </w:tcBorders>
            <w:shd w:val="clear" w:color="FFFFFF" w:fill="FFFFFF"/>
            <w:noWrap/>
            <w:vAlign w:val="bottom"/>
            <w:hideMark/>
          </w:tcPr>
          <w:p w14:paraId="7AB50F58" w14:textId="77777777" w:rsidR="00C32CBD" w:rsidRDefault="00C32CBD" w:rsidP="00320D09">
            <w:pPr>
              <w:rPr>
                <w:rFonts w:cs="Arial"/>
                <w:sz w:val="18"/>
                <w:szCs w:val="18"/>
              </w:rPr>
            </w:pPr>
            <w:r>
              <w:rPr>
                <w:rFonts w:cs="Arial"/>
                <w:sz w:val="18"/>
                <w:szCs w:val="18"/>
              </w:rPr>
              <w:t> </w:t>
            </w:r>
          </w:p>
        </w:tc>
        <w:tc>
          <w:tcPr>
            <w:tcW w:w="1108" w:type="dxa"/>
            <w:tcBorders>
              <w:top w:val="nil"/>
              <w:left w:val="nil"/>
              <w:bottom w:val="nil"/>
              <w:right w:val="nil"/>
            </w:tcBorders>
            <w:shd w:val="clear" w:color="FFFFFF" w:fill="FFFFFF"/>
            <w:noWrap/>
            <w:vAlign w:val="bottom"/>
            <w:hideMark/>
          </w:tcPr>
          <w:p w14:paraId="0F1AA233" w14:textId="77777777" w:rsidR="00C32CBD" w:rsidRDefault="00C32CBD" w:rsidP="00320D09">
            <w:pPr>
              <w:jc w:val="right"/>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0BCD427E" w14:textId="77777777" w:rsidR="00C32CBD" w:rsidRDefault="00C32CBD" w:rsidP="00320D09">
            <w:pPr>
              <w:rPr>
                <w:rFonts w:cs="Arial"/>
                <w:sz w:val="18"/>
                <w:szCs w:val="18"/>
              </w:rPr>
            </w:pPr>
            <w:r>
              <w:rPr>
                <w:rFonts w:cs="Arial"/>
                <w:sz w:val="18"/>
                <w:szCs w:val="18"/>
              </w:rPr>
              <w:t> </w:t>
            </w:r>
          </w:p>
        </w:tc>
        <w:tc>
          <w:tcPr>
            <w:tcW w:w="1203" w:type="dxa"/>
            <w:tcBorders>
              <w:top w:val="nil"/>
              <w:left w:val="nil"/>
              <w:bottom w:val="nil"/>
              <w:right w:val="nil"/>
            </w:tcBorders>
            <w:shd w:val="clear" w:color="FFFFFF" w:fill="FFFFFF"/>
            <w:noWrap/>
            <w:vAlign w:val="bottom"/>
            <w:hideMark/>
          </w:tcPr>
          <w:p w14:paraId="5C7C8595" w14:textId="77777777" w:rsidR="00C32CBD" w:rsidRDefault="00C32CBD" w:rsidP="00320D09">
            <w:pPr>
              <w:jc w:val="right"/>
              <w:rPr>
                <w:rFonts w:cs="Arial"/>
                <w:sz w:val="18"/>
                <w:szCs w:val="18"/>
              </w:rPr>
            </w:pPr>
            <w:r>
              <w:rPr>
                <w:rFonts w:cs="Arial"/>
                <w:sz w:val="18"/>
                <w:szCs w:val="18"/>
              </w:rPr>
              <w:t> </w:t>
            </w:r>
          </w:p>
        </w:tc>
      </w:tr>
      <w:tr w:rsidR="00C32CBD" w14:paraId="60FB20FC" w14:textId="77777777" w:rsidTr="00320D09">
        <w:trPr>
          <w:trHeight w:val="255"/>
        </w:trPr>
        <w:tc>
          <w:tcPr>
            <w:tcW w:w="4164" w:type="dxa"/>
            <w:tcBorders>
              <w:top w:val="nil"/>
              <w:left w:val="nil"/>
              <w:bottom w:val="nil"/>
              <w:right w:val="nil"/>
            </w:tcBorders>
            <w:shd w:val="clear" w:color="FFFFFF" w:fill="FFFFFF"/>
            <w:vAlign w:val="bottom"/>
            <w:hideMark/>
          </w:tcPr>
          <w:p w14:paraId="78A7EA3A" w14:textId="77777777" w:rsidR="00C32CBD" w:rsidRDefault="00C32CBD" w:rsidP="00320D09">
            <w:pPr>
              <w:ind w:firstLineChars="100" w:firstLine="180"/>
              <w:rPr>
                <w:rFonts w:cs="Arial"/>
                <w:sz w:val="18"/>
                <w:szCs w:val="18"/>
              </w:rPr>
            </w:pPr>
            <w:r>
              <w:rPr>
                <w:rFonts w:cs="Arial"/>
                <w:sz w:val="18"/>
                <w:szCs w:val="18"/>
              </w:rPr>
              <w:t>Changes in asset revaluation reserve</w:t>
            </w:r>
          </w:p>
        </w:tc>
        <w:tc>
          <w:tcPr>
            <w:tcW w:w="1000" w:type="dxa"/>
            <w:tcBorders>
              <w:top w:val="nil"/>
              <w:left w:val="nil"/>
              <w:bottom w:val="nil"/>
              <w:right w:val="nil"/>
            </w:tcBorders>
            <w:shd w:val="clear" w:color="FFFFFF" w:fill="FFFFFF"/>
            <w:noWrap/>
            <w:vAlign w:val="bottom"/>
            <w:hideMark/>
          </w:tcPr>
          <w:p w14:paraId="5CD19DB1" w14:textId="77777777" w:rsidR="00C32CBD" w:rsidRDefault="00C32CBD" w:rsidP="00320D09">
            <w:pPr>
              <w:jc w:val="center"/>
              <w:rPr>
                <w:rFonts w:cs="Arial"/>
                <w:sz w:val="18"/>
                <w:szCs w:val="18"/>
              </w:rPr>
            </w:pPr>
            <w:r>
              <w:rPr>
                <w:rFonts w:cs="Arial"/>
                <w:sz w:val="18"/>
                <w:szCs w:val="18"/>
              </w:rPr>
              <w:t> </w:t>
            </w:r>
          </w:p>
        </w:tc>
        <w:tc>
          <w:tcPr>
            <w:tcW w:w="1140" w:type="dxa"/>
            <w:tcBorders>
              <w:top w:val="nil"/>
              <w:left w:val="nil"/>
              <w:bottom w:val="nil"/>
              <w:right w:val="nil"/>
            </w:tcBorders>
            <w:shd w:val="clear" w:color="FFFFFF" w:fill="FFFFFF"/>
            <w:noWrap/>
            <w:vAlign w:val="bottom"/>
            <w:hideMark/>
          </w:tcPr>
          <w:p w14:paraId="709B7B6B" w14:textId="77777777" w:rsidR="00C32CBD" w:rsidRDefault="00C32CBD" w:rsidP="00320D09">
            <w:pPr>
              <w:jc w:val="right"/>
              <w:rPr>
                <w:rFonts w:cs="Arial"/>
                <w:b/>
                <w:bCs/>
                <w:sz w:val="18"/>
                <w:szCs w:val="18"/>
              </w:rPr>
            </w:pPr>
            <w:r>
              <w:rPr>
                <w:rFonts w:cs="Arial"/>
                <w:b/>
                <w:bCs/>
                <w:sz w:val="18"/>
                <w:szCs w:val="18"/>
              </w:rPr>
              <w:t>3,675</w:t>
            </w:r>
          </w:p>
        </w:tc>
        <w:tc>
          <w:tcPr>
            <w:tcW w:w="236" w:type="dxa"/>
            <w:tcBorders>
              <w:top w:val="nil"/>
              <w:left w:val="nil"/>
              <w:bottom w:val="nil"/>
              <w:right w:val="nil"/>
            </w:tcBorders>
            <w:shd w:val="clear" w:color="FFFFFF" w:fill="FFFFFF"/>
            <w:noWrap/>
            <w:vAlign w:val="bottom"/>
            <w:hideMark/>
          </w:tcPr>
          <w:p w14:paraId="17DABC32" w14:textId="77777777" w:rsidR="00C32CBD" w:rsidRDefault="00C32CBD" w:rsidP="00320D09">
            <w:pPr>
              <w:rPr>
                <w:rFonts w:cs="Arial"/>
                <w:sz w:val="18"/>
                <w:szCs w:val="18"/>
              </w:rPr>
            </w:pPr>
            <w:r>
              <w:rPr>
                <w:rFonts w:cs="Arial"/>
                <w:sz w:val="18"/>
                <w:szCs w:val="18"/>
              </w:rPr>
              <w:t> </w:t>
            </w:r>
          </w:p>
        </w:tc>
        <w:tc>
          <w:tcPr>
            <w:tcW w:w="1108" w:type="dxa"/>
            <w:tcBorders>
              <w:top w:val="nil"/>
              <w:left w:val="nil"/>
              <w:bottom w:val="nil"/>
              <w:right w:val="nil"/>
            </w:tcBorders>
            <w:shd w:val="clear" w:color="FFFFFF" w:fill="FFFFFF"/>
            <w:noWrap/>
            <w:vAlign w:val="bottom"/>
            <w:hideMark/>
          </w:tcPr>
          <w:p w14:paraId="3D729B9D" w14:textId="77777777" w:rsidR="00C32CBD" w:rsidRDefault="00C32CBD" w:rsidP="00320D09">
            <w:pPr>
              <w:jc w:val="right"/>
              <w:rPr>
                <w:rFonts w:cs="Arial"/>
                <w:sz w:val="18"/>
                <w:szCs w:val="18"/>
              </w:rPr>
            </w:pPr>
            <w:r>
              <w:rPr>
                <w:rFonts w:cs="Arial"/>
                <w:sz w:val="18"/>
                <w:szCs w:val="18"/>
              </w:rPr>
              <w:t>1,881</w:t>
            </w:r>
          </w:p>
        </w:tc>
        <w:tc>
          <w:tcPr>
            <w:tcW w:w="236" w:type="dxa"/>
            <w:tcBorders>
              <w:top w:val="nil"/>
              <w:left w:val="nil"/>
              <w:bottom w:val="nil"/>
              <w:right w:val="nil"/>
            </w:tcBorders>
            <w:shd w:val="clear" w:color="FFFFFF" w:fill="FFFFFF"/>
            <w:noWrap/>
            <w:vAlign w:val="bottom"/>
            <w:hideMark/>
          </w:tcPr>
          <w:p w14:paraId="70C89A84" w14:textId="77777777" w:rsidR="00C32CBD" w:rsidRDefault="00C32CBD" w:rsidP="00320D09">
            <w:pPr>
              <w:rPr>
                <w:rFonts w:cs="Arial"/>
                <w:sz w:val="18"/>
                <w:szCs w:val="18"/>
              </w:rPr>
            </w:pPr>
            <w:r>
              <w:rPr>
                <w:rFonts w:cs="Arial"/>
                <w:sz w:val="18"/>
                <w:szCs w:val="18"/>
              </w:rPr>
              <w:t> </w:t>
            </w:r>
          </w:p>
        </w:tc>
        <w:tc>
          <w:tcPr>
            <w:tcW w:w="1203" w:type="dxa"/>
            <w:tcBorders>
              <w:top w:val="nil"/>
              <w:left w:val="nil"/>
              <w:bottom w:val="nil"/>
              <w:right w:val="nil"/>
            </w:tcBorders>
            <w:shd w:val="clear" w:color="FFFFFF" w:fill="FFFFFF"/>
            <w:noWrap/>
            <w:vAlign w:val="bottom"/>
            <w:hideMark/>
          </w:tcPr>
          <w:p w14:paraId="5ADCBAE7" w14:textId="77777777" w:rsidR="00C32CBD" w:rsidRDefault="00C32CBD" w:rsidP="00320D09">
            <w:pPr>
              <w:jc w:val="right"/>
              <w:rPr>
                <w:rFonts w:cs="Arial"/>
                <w:sz w:val="18"/>
                <w:szCs w:val="18"/>
              </w:rPr>
            </w:pPr>
            <w:r>
              <w:rPr>
                <w:rFonts w:cs="Arial"/>
                <w:sz w:val="18"/>
                <w:szCs w:val="18"/>
              </w:rPr>
              <w:t xml:space="preserve"> -</w:t>
            </w:r>
          </w:p>
        </w:tc>
      </w:tr>
      <w:tr w:rsidR="00C32CBD" w14:paraId="2FA5DBB3" w14:textId="77777777" w:rsidTr="00320D09">
        <w:trPr>
          <w:trHeight w:val="255"/>
        </w:trPr>
        <w:tc>
          <w:tcPr>
            <w:tcW w:w="4164" w:type="dxa"/>
            <w:tcBorders>
              <w:top w:val="nil"/>
              <w:left w:val="nil"/>
              <w:bottom w:val="nil"/>
              <w:right w:val="nil"/>
            </w:tcBorders>
            <w:shd w:val="clear" w:color="FFFFFF" w:fill="FFFFFF"/>
            <w:vAlign w:val="bottom"/>
            <w:hideMark/>
          </w:tcPr>
          <w:p w14:paraId="1D2D410F" w14:textId="77777777" w:rsidR="00C32CBD" w:rsidRDefault="00C32CBD" w:rsidP="00320D09">
            <w:pPr>
              <w:rPr>
                <w:rFonts w:cs="Arial"/>
                <w:b/>
                <w:bCs/>
                <w:sz w:val="18"/>
                <w:szCs w:val="18"/>
              </w:rPr>
            </w:pPr>
            <w:r>
              <w:rPr>
                <w:rFonts w:cs="Arial"/>
                <w:b/>
                <w:bCs/>
                <w:sz w:val="18"/>
                <w:szCs w:val="18"/>
              </w:rPr>
              <w:t>Total comprehensive income</w:t>
            </w:r>
          </w:p>
        </w:tc>
        <w:tc>
          <w:tcPr>
            <w:tcW w:w="1000" w:type="dxa"/>
            <w:tcBorders>
              <w:top w:val="nil"/>
              <w:left w:val="nil"/>
              <w:bottom w:val="nil"/>
              <w:right w:val="nil"/>
            </w:tcBorders>
            <w:shd w:val="clear" w:color="FFFFFF" w:fill="FFFFFF"/>
            <w:noWrap/>
            <w:vAlign w:val="bottom"/>
            <w:hideMark/>
          </w:tcPr>
          <w:p w14:paraId="6C25AA4C" w14:textId="77777777" w:rsidR="00C32CBD" w:rsidRDefault="00C32CBD" w:rsidP="00320D09">
            <w:pPr>
              <w:jc w:val="center"/>
              <w:rPr>
                <w:rFonts w:cs="Arial"/>
                <w:sz w:val="18"/>
                <w:szCs w:val="18"/>
              </w:rPr>
            </w:pPr>
            <w:r>
              <w:rPr>
                <w:rFonts w:cs="Arial"/>
                <w:sz w:val="18"/>
                <w:szCs w:val="18"/>
              </w:rPr>
              <w:t> </w:t>
            </w:r>
          </w:p>
        </w:tc>
        <w:tc>
          <w:tcPr>
            <w:tcW w:w="1140" w:type="dxa"/>
            <w:tcBorders>
              <w:top w:val="single" w:sz="4" w:space="0" w:color="auto"/>
              <w:left w:val="nil"/>
              <w:bottom w:val="single" w:sz="4" w:space="0" w:color="auto"/>
              <w:right w:val="nil"/>
            </w:tcBorders>
            <w:shd w:val="clear" w:color="FFFFFF" w:fill="FFFFFF"/>
            <w:noWrap/>
            <w:vAlign w:val="bottom"/>
            <w:hideMark/>
          </w:tcPr>
          <w:p w14:paraId="7C031B3E" w14:textId="77777777" w:rsidR="00C32CBD" w:rsidRDefault="00C32CBD" w:rsidP="00320D09">
            <w:pPr>
              <w:jc w:val="right"/>
              <w:rPr>
                <w:rFonts w:cs="Arial"/>
                <w:b/>
                <w:bCs/>
                <w:sz w:val="18"/>
                <w:szCs w:val="18"/>
              </w:rPr>
            </w:pPr>
            <w:r>
              <w:rPr>
                <w:rFonts w:cs="Arial"/>
                <w:b/>
                <w:bCs/>
                <w:sz w:val="18"/>
                <w:szCs w:val="18"/>
              </w:rPr>
              <w:t>3,675</w:t>
            </w:r>
          </w:p>
        </w:tc>
        <w:tc>
          <w:tcPr>
            <w:tcW w:w="236" w:type="dxa"/>
            <w:tcBorders>
              <w:top w:val="nil"/>
              <w:left w:val="nil"/>
              <w:bottom w:val="nil"/>
              <w:right w:val="nil"/>
            </w:tcBorders>
            <w:shd w:val="clear" w:color="FFFFFF" w:fill="FFFFFF"/>
            <w:noWrap/>
            <w:vAlign w:val="bottom"/>
            <w:hideMark/>
          </w:tcPr>
          <w:p w14:paraId="1E39209F" w14:textId="77777777" w:rsidR="00C32CBD" w:rsidRDefault="00C32CBD" w:rsidP="00320D09">
            <w:pPr>
              <w:rPr>
                <w:rFonts w:cs="Arial"/>
                <w:sz w:val="18"/>
                <w:szCs w:val="18"/>
              </w:rPr>
            </w:pPr>
            <w:r>
              <w:rPr>
                <w:rFonts w:cs="Arial"/>
                <w:sz w:val="18"/>
                <w:szCs w:val="18"/>
              </w:rPr>
              <w:t> </w:t>
            </w:r>
          </w:p>
        </w:tc>
        <w:tc>
          <w:tcPr>
            <w:tcW w:w="1108" w:type="dxa"/>
            <w:tcBorders>
              <w:top w:val="single" w:sz="4" w:space="0" w:color="auto"/>
              <w:left w:val="nil"/>
              <w:bottom w:val="single" w:sz="4" w:space="0" w:color="auto"/>
              <w:right w:val="nil"/>
            </w:tcBorders>
            <w:shd w:val="clear" w:color="FFFFFF" w:fill="FFFFFF"/>
            <w:noWrap/>
            <w:vAlign w:val="bottom"/>
            <w:hideMark/>
          </w:tcPr>
          <w:p w14:paraId="10A53A6C" w14:textId="77777777" w:rsidR="00C32CBD" w:rsidRDefault="00C32CBD" w:rsidP="00320D09">
            <w:pPr>
              <w:jc w:val="right"/>
              <w:rPr>
                <w:rFonts w:cs="Arial"/>
                <w:sz w:val="18"/>
                <w:szCs w:val="18"/>
              </w:rPr>
            </w:pPr>
            <w:r>
              <w:rPr>
                <w:rFonts w:cs="Arial"/>
                <w:sz w:val="18"/>
                <w:szCs w:val="18"/>
              </w:rPr>
              <w:t>1,881</w:t>
            </w:r>
          </w:p>
        </w:tc>
        <w:tc>
          <w:tcPr>
            <w:tcW w:w="236" w:type="dxa"/>
            <w:tcBorders>
              <w:top w:val="nil"/>
              <w:left w:val="nil"/>
              <w:bottom w:val="nil"/>
              <w:right w:val="nil"/>
            </w:tcBorders>
            <w:shd w:val="clear" w:color="FFFFFF" w:fill="FFFFFF"/>
            <w:noWrap/>
            <w:vAlign w:val="bottom"/>
            <w:hideMark/>
          </w:tcPr>
          <w:p w14:paraId="2DBEFFBA" w14:textId="77777777" w:rsidR="00C32CBD" w:rsidRDefault="00C32CBD" w:rsidP="00320D09">
            <w:pPr>
              <w:rPr>
                <w:rFonts w:cs="Arial"/>
                <w:sz w:val="18"/>
                <w:szCs w:val="18"/>
              </w:rPr>
            </w:pPr>
            <w:r>
              <w:rPr>
                <w:rFonts w:cs="Arial"/>
                <w:sz w:val="18"/>
                <w:szCs w:val="18"/>
              </w:rPr>
              <w:t> </w:t>
            </w:r>
          </w:p>
        </w:tc>
        <w:tc>
          <w:tcPr>
            <w:tcW w:w="1203" w:type="dxa"/>
            <w:tcBorders>
              <w:top w:val="single" w:sz="4" w:space="0" w:color="auto"/>
              <w:left w:val="nil"/>
              <w:bottom w:val="single" w:sz="4" w:space="0" w:color="auto"/>
              <w:right w:val="nil"/>
            </w:tcBorders>
            <w:shd w:val="clear" w:color="FFFFFF" w:fill="FFFFFF"/>
            <w:noWrap/>
            <w:vAlign w:val="bottom"/>
            <w:hideMark/>
          </w:tcPr>
          <w:p w14:paraId="136548C8" w14:textId="77777777" w:rsidR="00C32CBD" w:rsidRDefault="00C32CBD" w:rsidP="00320D09">
            <w:pPr>
              <w:jc w:val="right"/>
              <w:rPr>
                <w:rFonts w:cs="Arial"/>
                <w:sz w:val="18"/>
                <w:szCs w:val="18"/>
              </w:rPr>
            </w:pPr>
            <w:r>
              <w:rPr>
                <w:rFonts w:cs="Arial"/>
                <w:sz w:val="18"/>
                <w:szCs w:val="18"/>
              </w:rPr>
              <w:t>-</w:t>
            </w:r>
          </w:p>
        </w:tc>
      </w:tr>
      <w:tr w:rsidR="00C32CBD" w14:paraId="4ACA8776" w14:textId="77777777" w:rsidTr="00320D09">
        <w:trPr>
          <w:trHeight w:val="255"/>
        </w:trPr>
        <w:tc>
          <w:tcPr>
            <w:tcW w:w="4164" w:type="dxa"/>
            <w:tcBorders>
              <w:top w:val="nil"/>
              <w:left w:val="nil"/>
              <w:bottom w:val="nil"/>
              <w:right w:val="nil"/>
            </w:tcBorders>
            <w:shd w:val="clear" w:color="FFFFFF" w:fill="FFFFFF"/>
            <w:vAlign w:val="bottom"/>
            <w:hideMark/>
          </w:tcPr>
          <w:p w14:paraId="08EA40F7" w14:textId="77777777" w:rsidR="00C32CBD" w:rsidRDefault="00C32CBD" w:rsidP="00320D09">
            <w:pPr>
              <w:rPr>
                <w:rFonts w:cs="Arial"/>
                <w:sz w:val="18"/>
                <w:szCs w:val="18"/>
              </w:rPr>
            </w:pPr>
            <w:r>
              <w:rPr>
                <w:rFonts w:cs="Arial"/>
                <w:sz w:val="18"/>
                <w:szCs w:val="18"/>
              </w:rPr>
              <w:t> </w:t>
            </w:r>
          </w:p>
        </w:tc>
        <w:tc>
          <w:tcPr>
            <w:tcW w:w="1000" w:type="dxa"/>
            <w:tcBorders>
              <w:top w:val="nil"/>
              <w:left w:val="nil"/>
              <w:bottom w:val="nil"/>
              <w:right w:val="nil"/>
            </w:tcBorders>
            <w:shd w:val="clear" w:color="FFFFFF" w:fill="FFFFFF"/>
            <w:noWrap/>
            <w:vAlign w:val="bottom"/>
            <w:hideMark/>
          </w:tcPr>
          <w:p w14:paraId="1DCAFC87" w14:textId="77777777" w:rsidR="00C32CBD" w:rsidRDefault="00C32CBD" w:rsidP="00320D09">
            <w:pPr>
              <w:jc w:val="center"/>
              <w:rPr>
                <w:rFonts w:cs="Arial"/>
                <w:sz w:val="18"/>
                <w:szCs w:val="18"/>
              </w:rPr>
            </w:pPr>
            <w:r>
              <w:rPr>
                <w:rFonts w:cs="Arial"/>
                <w:sz w:val="18"/>
                <w:szCs w:val="18"/>
              </w:rPr>
              <w:t> </w:t>
            </w:r>
          </w:p>
        </w:tc>
        <w:tc>
          <w:tcPr>
            <w:tcW w:w="1140" w:type="dxa"/>
            <w:tcBorders>
              <w:top w:val="nil"/>
              <w:left w:val="nil"/>
              <w:bottom w:val="nil"/>
              <w:right w:val="nil"/>
            </w:tcBorders>
            <w:shd w:val="clear" w:color="FFFFFF" w:fill="FFFFFF"/>
            <w:noWrap/>
            <w:vAlign w:val="bottom"/>
            <w:hideMark/>
          </w:tcPr>
          <w:p w14:paraId="0F4694BF" w14:textId="77777777" w:rsidR="00C32CBD" w:rsidRDefault="00C32CBD" w:rsidP="00320D09">
            <w:pPr>
              <w:jc w:val="right"/>
              <w:rPr>
                <w:rFonts w:cs="Arial"/>
                <w:b/>
                <w:bCs/>
                <w:sz w:val="18"/>
                <w:szCs w:val="18"/>
              </w:rPr>
            </w:pPr>
            <w:r>
              <w:rPr>
                <w:rFonts w:cs="Arial"/>
                <w:b/>
                <w:bCs/>
                <w:sz w:val="18"/>
                <w:szCs w:val="18"/>
              </w:rPr>
              <w:t> </w:t>
            </w:r>
          </w:p>
        </w:tc>
        <w:tc>
          <w:tcPr>
            <w:tcW w:w="236" w:type="dxa"/>
            <w:tcBorders>
              <w:top w:val="nil"/>
              <w:left w:val="nil"/>
              <w:bottom w:val="nil"/>
              <w:right w:val="nil"/>
            </w:tcBorders>
            <w:shd w:val="clear" w:color="FFFFFF" w:fill="FFFFFF"/>
            <w:noWrap/>
            <w:vAlign w:val="bottom"/>
            <w:hideMark/>
          </w:tcPr>
          <w:p w14:paraId="21C524BA" w14:textId="77777777" w:rsidR="00C32CBD" w:rsidRDefault="00C32CBD" w:rsidP="00320D09">
            <w:pPr>
              <w:rPr>
                <w:rFonts w:cs="Arial"/>
                <w:sz w:val="18"/>
                <w:szCs w:val="18"/>
              </w:rPr>
            </w:pPr>
            <w:r>
              <w:rPr>
                <w:rFonts w:cs="Arial"/>
                <w:sz w:val="18"/>
                <w:szCs w:val="18"/>
              </w:rPr>
              <w:t> </w:t>
            </w:r>
          </w:p>
        </w:tc>
        <w:tc>
          <w:tcPr>
            <w:tcW w:w="1108" w:type="dxa"/>
            <w:tcBorders>
              <w:top w:val="nil"/>
              <w:left w:val="nil"/>
              <w:bottom w:val="nil"/>
              <w:right w:val="nil"/>
            </w:tcBorders>
            <w:shd w:val="clear" w:color="FFFFFF" w:fill="FFFFFF"/>
            <w:noWrap/>
            <w:vAlign w:val="bottom"/>
            <w:hideMark/>
          </w:tcPr>
          <w:p w14:paraId="231EB609" w14:textId="77777777" w:rsidR="00C32CBD" w:rsidRDefault="00C32CBD" w:rsidP="00320D09">
            <w:pPr>
              <w:jc w:val="right"/>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6C3A2F2A" w14:textId="77777777" w:rsidR="00C32CBD" w:rsidRDefault="00C32CBD" w:rsidP="00320D09">
            <w:pPr>
              <w:rPr>
                <w:rFonts w:cs="Arial"/>
                <w:sz w:val="18"/>
                <w:szCs w:val="18"/>
              </w:rPr>
            </w:pPr>
            <w:r>
              <w:rPr>
                <w:rFonts w:cs="Arial"/>
                <w:sz w:val="18"/>
                <w:szCs w:val="18"/>
              </w:rPr>
              <w:t> </w:t>
            </w:r>
          </w:p>
        </w:tc>
        <w:tc>
          <w:tcPr>
            <w:tcW w:w="1203" w:type="dxa"/>
            <w:tcBorders>
              <w:top w:val="nil"/>
              <w:left w:val="nil"/>
              <w:bottom w:val="nil"/>
              <w:right w:val="nil"/>
            </w:tcBorders>
            <w:shd w:val="clear" w:color="FFFFFF" w:fill="FFFFFF"/>
            <w:noWrap/>
            <w:vAlign w:val="bottom"/>
            <w:hideMark/>
          </w:tcPr>
          <w:p w14:paraId="0F304B6F" w14:textId="77777777" w:rsidR="00C32CBD" w:rsidRDefault="00C32CBD" w:rsidP="00320D09">
            <w:pPr>
              <w:jc w:val="right"/>
              <w:rPr>
                <w:rFonts w:cs="Arial"/>
                <w:sz w:val="18"/>
                <w:szCs w:val="18"/>
              </w:rPr>
            </w:pPr>
            <w:r>
              <w:rPr>
                <w:rFonts w:cs="Arial"/>
                <w:sz w:val="18"/>
                <w:szCs w:val="18"/>
              </w:rPr>
              <w:t> </w:t>
            </w:r>
          </w:p>
        </w:tc>
      </w:tr>
      <w:tr w:rsidR="00C32CBD" w14:paraId="0FEE3814" w14:textId="77777777" w:rsidTr="00320D09">
        <w:trPr>
          <w:trHeight w:val="255"/>
        </w:trPr>
        <w:tc>
          <w:tcPr>
            <w:tcW w:w="4164" w:type="dxa"/>
            <w:tcBorders>
              <w:top w:val="nil"/>
              <w:left w:val="nil"/>
              <w:bottom w:val="nil"/>
              <w:right w:val="nil"/>
            </w:tcBorders>
            <w:shd w:val="clear" w:color="FFFFFF" w:fill="FFFFFF"/>
            <w:vAlign w:val="bottom"/>
            <w:hideMark/>
          </w:tcPr>
          <w:p w14:paraId="56BBA52A" w14:textId="77777777" w:rsidR="00C32CBD" w:rsidRDefault="00C32CBD" w:rsidP="00320D09">
            <w:pPr>
              <w:rPr>
                <w:rFonts w:cs="Arial"/>
                <w:b/>
                <w:bCs/>
                <w:sz w:val="18"/>
                <w:szCs w:val="18"/>
              </w:rPr>
            </w:pPr>
            <w:r>
              <w:rPr>
                <w:rFonts w:cs="Arial"/>
                <w:b/>
                <w:bCs/>
                <w:sz w:val="18"/>
                <w:szCs w:val="18"/>
              </w:rPr>
              <w:t>Total comprehensive income/(loss)</w:t>
            </w:r>
          </w:p>
        </w:tc>
        <w:tc>
          <w:tcPr>
            <w:tcW w:w="1000" w:type="dxa"/>
            <w:tcBorders>
              <w:top w:val="nil"/>
              <w:left w:val="nil"/>
              <w:bottom w:val="nil"/>
              <w:right w:val="nil"/>
            </w:tcBorders>
            <w:shd w:val="clear" w:color="FFFFFF" w:fill="FFFFFF"/>
            <w:noWrap/>
            <w:vAlign w:val="bottom"/>
            <w:hideMark/>
          </w:tcPr>
          <w:p w14:paraId="77BC1A4A" w14:textId="77777777" w:rsidR="00C32CBD" w:rsidRDefault="00C32CBD" w:rsidP="00320D09">
            <w:pPr>
              <w:jc w:val="center"/>
              <w:rPr>
                <w:rFonts w:cs="Arial"/>
                <w:sz w:val="18"/>
                <w:szCs w:val="18"/>
              </w:rPr>
            </w:pPr>
            <w:r>
              <w:rPr>
                <w:rFonts w:cs="Arial"/>
                <w:sz w:val="18"/>
                <w:szCs w:val="18"/>
              </w:rPr>
              <w:t> </w:t>
            </w:r>
          </w:p>
        </w:tc>
        <w:tc>
          <w:tcPr>
            <w:tcW w:w="1140" w:type="dxa"/>
            <w:tcBorders>
              <w:top w:val="single" w:sz="4" w:space="0" w:color="auto"/>
              <w:left w:val="nil"/>
              <w:bottom w:val="single" w:sz="4" w:space="0" w:color="auto"/>
              <w:right w:val="nil"/>
            </w:tcBorders>
            <w:shd w:val="clear" w:color="FFFFFF" w:fill="FFFFFF"/>
            <w:noWrap/>
            <w:vAlign w:val="bottom"/>
            <w:hideMark/>
          </w:tcPr>
          <w:p w14:paraId="06498784" w14:textId="77777777" w:rsidR="00C32CBD" w:rsidRDefault="00C32CBD" w:rsidP="00320D09">
            <w:pPr>
              <w:jc w:val="right"/>
              <w:rPr>
                <w:rFonts w:cs="Arial"/>
                <w:b/>
                <w:bCs/>
                <w:sz w:val="18"/>
                <w:szCs w:val="18"/>
              </w:rPr>
            </w:pPr>
            <w:r>
              <w:rPr>
                <w:rFonts w:cs="Arial"/>
                <w:b/>
                <w:bCs/>
                <w:sz w:val="18"/>
                <w:szCs w:val="18"/>
              </w:rPr>
              <w:t>620,743</w:t>
            </w:r>
          </w:p>
        </w:tc>
        <w:tc>
          <w:tcPr>
            <w:tcW w:w="236" w:type="dxa"/>
            <w:tcBorders>
              <w:top w:val="nil"/>
              <w:left w:val="nil"/>
              <w:bottom w:val="nil"/>
              <w:right w:val="nil"/>
            </w:tcBorders>
            <w:shd w:val="clear" w:color="FFFFFF" w:fill="FFFFFF"/>
            <w:noWrap/>
            <w:vAlign w:val="bottom"/>
            <w:hideMark/>
          </w:tcPr>
          <w:p w14:paraId="4DE08587" w14:textId="77777777" w:rsidR="00C32CBD" w:rsidRDefault="00C32CBD" w:rsidP="00320D09">
            <w:pPr>
              <w:rPr>
                <w:rFonts w:cs="Arial"/>
                <w:sz w:val="18"/>
                <w:szCs w:val="18"/>
              </w:rPr>
            </w:pPr>
            <w:r>
              <w:rPr>
                <w:rFonts w:cs="Arial"/>
                <w:sz w:val="18"/>
                <w:szCs w:val="18"/>
              </w:rPr>
              <w:t> </w:t>
            </w:r>
          </w:p>
        </w:tc>
        <w:tc>
          <w:tcPr>
            <w:tcW w:w="1108" w:type="dxa"/>
            <w:tcBorders>
              <w:top w:val="single" w:sz="4" w:space="0" w:color="auto"/>
              <w:left w:val="nil"/>
              <w:bottom w:val="single" w:sz="4" w:space="0" w:color="auto"/>
              <w:right w:val="nil"/>
            </w:tcBorders>
            <w:shd w:val="clear" w:color="FFFFFF" w:fill="FFFFFF"/>
            <w:noWrap/>
            <w:vAlign w:val="bottom"/>
            <w:hideMark/>
          </w:tcPr>
          <w:p w14:paraId="396F7D2F" w14:textId="77777777" w:rsidR="00C32CBD" w:rsidRDefault="00C32CBD" w:rsidP="00320D09">
            <w:pPr>
              <w:jc w:val="right"/>
              <w:rPr>
                <w:rFonts w:cs="Arial"/>
                <w:sz w:val="18"/>
                <w:szCs w:val="18"/>
              </w:rPr>
            </w:pPr>
            <w:r>
              <w:rPr>
                <w:rFonts w:cs="Arial"/>
                <w:sz w:val="18"/>
                <w:szCs w:val="18"/>
              </w:rPr>
              <w:t>17,663</w:t>
            </w:r>
          </w:p>
        </w:tc>
        <w:tc>
          <w:tcPr>
            <w:tcW w:w="236" w:type="dxa"/>
            <w:tcBorders>
              <w:top w:val="nil"/>
              <w:left w:val="nil"/>
              <w:bottom w:val="nil"/>
              <w:right w:val="nil"/>
            </w:tcBorders>
            <w:shd w:val="clear" w:color="FFFFFF" w:fill="FFFFFF"/>
            <w:noWrap/>
            <w:vAlign w:val="bottom"/>
            <w:hideMark/>
          </w:tcPr>
          <w:p w14:paraId="0522588F" w14:textId="77777777" w:rsidR="00C32CBD" w:rsidRDefault="00C32CBD" w:rsidP="00320D09">
            <w:pPr>
              <w:rPr>
                <w:rFonts w:cs="Arial"/>
                <w:sz w:val="18"/>
                <w:szCs w:val="18"/>
              </w:rPr>
            </w:pPr>
            <w:r>
              <w:rPr>
                <w:rFonts w:cs="Arial"/>
                <w:sz w:val="18"/>
                <w:szCs w:val="18"/>
              </w:rPr>
              <w:t> </w:t>
            </w:r>
          </w:p>
        </w:tc>
        <w:tc>
          <w:tcPr>
            <w:tcW w:w="1203" w:type="dxa"/>
            <w:tcBorders>
              <w:top w:val="single" w:sz="4" w:space="0" w:color="auto"/>
              <w:left w:val="nil"/>
              <w:bottom w:val="single" w:sz="4" w:space="0" w:color="auto"/>
              <w:right w:val="nil"/>
            </w:tcBorders>
            <w:shd w:val="clear" w:color="FFFFFF" w:fill="FFFFFF"/>
            <w:noWrap/>
            <w:vAlign w:val="bottom"/>
            <w:hideMark/>
          </w:tcPr>
          <w:p w14:paraId="11AC0952" w14:textId="77777777" w:rsidR="00C32CBD" w:rsidRDefault="00C32CBD" w:rsidP="00320D09">
            <w:pPr>
              <w:jc w:val="right"/>
              <w:rPr>
                <w:rFonts w:cs="Arial"/>
                <w:sz w:val="18"/>
                <w:szCs w:val="18"/>
              </w:rPr>
            </w:pPr>
            <w:r>
              <w:rPr>
                <w:rFonts w:cs="Arial"/>
                <w:sz w:val="18"/>
                <w:szCs w:val="18"/>
              </w:rPr>
              <w:t>-</w:t>
            </w:r>
          </w:p>
        </w:tc>
      </w:tr>
    </w:tbl>
    <w:p w14:paraId="40EA0DF7" w14:textId="77777777" w:rsidR="00C32CBD" w:rsidRPr="005E5430" w:rsidRDefault="00C32CBD" w:rsidP="00C32CBD"/>
    <w:p w14:paraId="6E268722" w14:textId="77777777" w:rsidR="00C32CBD" w:rsidRDefault="00C32CBD" w:rsidP="00C32CBD">
      <w:pPr>
        <w:pStyle w:val="ReferenceText"/>
      </w:pPr>
      <w:r w:rsidRPr="000118A3">
        <w:t>The above statement should be read in conjunction with the accompanying notes.</w:t>
      </w:r>
    </w:p>
    <w:p w14:paraId="571B0B5A" w14:textId="77777777" w:rsidR="00C32CBD" w:rsidRDefault="00C32CBD" w:rsidP="00C32CBD">
      <w:pPr>
        <w:spacing w:line="240" w:lineRule="auto"/>
        <w:rPr>
          <w:sz w:val="18"/>
          <w:lang w:eastAsia="en-AU"/>
        </w:rPr>
      </w:pPr>
      <w:r>
        <w:br w:type="page"/>
      </w:r>
    </w:p>
    <w:p w14:paraId="438F5A08" w14:textId="77777777" w:rsidR="00C32CBD" w:rsidRDefault="00C32CBD" w:rsidP="00C32CBD">
      <w:pPr>
        <w:pStyle w:val="PolicyheadingDept"/>
        <w:pBdr>
          <w:top w:val="none" w:sz="0" w:space="0" w:color="auto"/>
          <w:left w:val="none" w:sz="0" w:space="0" w:color="auto"/>
          <w:bottom w:val="none" w:sz="0" w:space="0" w:color="auto"/>
          <w:right w:val="none" w:sz="0" w:space="0" w:color="auto"/>
        </w:pBdr>
      </w:pPr>
      <w:r w:rsidRPr="00D54E7F">
        <w:lastRenderedPageBreak/>
        <w:t>Budget Variances Commentary</w:t>
      </w:r>
    </w:p>
    <w:p w14:paraId="6D7DB2AE" w14:textId="77777777" w:rsidR="00C32CBD" w:rsidRPr="00BA6414" w:rsidRDefault="00C32CBD" w:rsidP="00C32CBD">
      <w:pPr>
        <w:pStyle w:val="PolicyheadingDept"/>
        <w:pBdr>
          <w:top w:val="none" w:sz="0" w:space="0" w:color="auto"/>
          <w:left w:val="none" w:sz="0" w:space="0" w:color="auto"/>
          <w:bottom w:val="none" w:sz="0" w:space="0" w:color="auto"/>
          <w:right w:val="none" w:sz="0" w:space="0" w:color="auto"/>
        </w:pBdr>
      </w:pPr>
      <w:r w:rsidRPr="00BA6414">
        <w:t>St</w:t>
      </w:r>
      <w:r>
        <w:t>atement of Comprehensive Income (‘SoCI’)</w:t>
      </w:r>
    </w:p>
    <w:tbl>
      <w:tblPr>
        <w:tblW w:w="935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6662"/>
      </w:tblGrid>
      <w:tr w:rsidR="00C32CBD" w14:paraId="4F189C8E" w14:textId="77777777" w:rsidTr="00320D09">
        <w:trPr>
          <w:cantSplit/>
          <w:trHeight w:val="255"/>
          <w:tblHeader/>
        </w:trPr>
        <w:tc>
          <w:tcPr>
            <w:tcW w:w="2694" w:type="dxa"/>
            <w:tcBorders>
              <w:top w:val="single" w:sz="12" w:space="0" w:color="auto"/>
              <w:left w:val="single" w:sz="12" w:space="0" w:color="auto"/>
              <w:bottom w:val="single" w:sz="12" w:space="0" w:color="auto"/>
              <w:right w:val="single" w:sz="6" w:space="0" w:color="auto"/>
            </w:tcBorders>
            <w:shd w:val="clear" w:color="FFFFFF" w:fill="FFFFFF"/>
            <w:noWrap/>
            <w:vAlign w:val="center"/>
          </w:tcPr>
          <w:p w14:paraId="0A3CABE2" w14:textId="77777777" w:rsidR="00C32CBD" w:rsidRPr="002E4757" w:rsidRDefault="00C32CBD" w:rsidP="00320D09">
            <w:pPr>
              <w:rPr>
                <w:rFonts w:cs="Arial"/>
                <w:b/>
                <w:sz w:val="18"/>
                <w:szCs w:val="18"/>
              </w:rPr>
            </w:pPr>
            <w:r>
              <w:rPr>
                <w:rFonts w:cs="Arial"/>
                <w:b/>
                <w:sz w:val="18"/>
                <w:szCs w:val="18"/>
              </w:rPr>
              <w:t>Affected line items</w:t>
            </w:r>
          </w:p>
        </w:tc>
        <w:tc>
          <w:tcPr>
            <w:tcW w:w="6662" w:type="dxa"/>
            <w:tcBorders>
              <w:top w:val="single" w:sz="12" w:space="0" w:color="auto"/>
              <w:left w:val="single" w:sz="6" w:space="0" w:color="auto"/>
              <w:bottom w:val="single" w:sz="12" w:space="0" w:color="auto"/>
              <w:right w:val="single" w:sz="12" w:space="0" w:color="auto"/>
            </w:tcBorders>
            <w:shd w:val="clear" w:color="FFFFFF" w:fill="FFFFFF"/>
            <w:vAlign w:val="center"/>
          </w:tcPr>
          <w:p w14:paraId="549ABB84" w14:textId="77777777" w:rsidR="00C32CBD" w:rsidRPr="002E4757" w:rsidRDefault="00C32CBD" w:rsidP="00320D09">
            <w:pPr>
              <w:rPr>
                <w:rFonts w:cs="Arial"/>
                <w:b/>
                <w:sz w:val="18"/>
                <w:szCs w:val="18"/>
              </w:rPr>
            </w:pPr>
            <w:r>
              <w:rPr>
                <w:rFonts w:cs="Arial"/>
                <w:b/>
                <w:sz w:val="18"/>
                <w:szCs w:val="18"/>
              </w:rPr>
              <w:t>Explanations of major variances</w:t>
            </w:r>
          </w:p>
        </w:tc>
      </w:tr>
      <w:tr w:rsidR="00C32CBD" w14:paraId="5AAD5477" w14:textId="77777777" w:rsidTr="00320D09">
        <w:trPr>
          <w:cantSplit/>
          <w:trHeight w:val="255"/>
        </w:trPr>
        <w:tc>
          <w:tcPr>
            <w:tcW w:w="2694" w:type="dxa"/>
            <w:tcBorders>
              <w:top w:val="single" w:sz="6" w:space="0" w:color="auto"/>
              <w:left w:val="single" w:sz="12" w:space="0" w:color="auto"/>
              <w:bottom w:val="single" w:sz="6" w:space="0" w:color="auto"/>
            </w:tcBorders>
            <w:shd w:val="clear" w:color="FFFFFF" w:fill="FFFFFF"/>
            <w:noWrap/>
          </w:tcPr>
          <w:p w14:paraId="7E3AD91C" w14:textId="77777777" w:rsidR="00C32CBD" w:rsidRPr="00DD6C40" w:rsidRDefault="00C32CBD" w:rsidP="00320D09">
            <w:pPr>
              <w:rPr>
                <w:rFonts w:cs="Arial"/>
                <w:bCs/>
                <w:sz w:val="18"/>
                <w:szCs w:val="18"/>
              </w:rPr>
            </w:pPr>
            <w:r>
              <w:rPr>
                <w:rFonts w:cs="Arial"/>
                <w:bCs/>
                <w:sz w:val="18"/>
                <w:szCs w:val="18"/>
              </w:rPr>
              <w:t>Expenses</w:t>
            </w:r>
          </w:p>
          <w:p w14:paraId="32A80C19" w14:textId="77777777" w:rsidR="00C32CBD" w:rsidRDefault="00C32CBD" w:rsidP="00320D09">
            <w:pPr>
              <w:rPr>
                <w:rFonts w:cs="Arial"/>
                <w:bCs/>
                <w:i/>
                <w:sz w:val="18"/>
                <w:szCs w:val="18"/>
              </w:rPr>
            </w:pPr>
            <w:r>
              <w:rPr>
                <w:rFonts w:cs="Arial"/>
                <w:bCs/>
                <w:i/>
                <w:sz w:val="18"/>
                <w:szCs w:val="18"/>
              </w:rPr>
              <w:t xml:space="preserve">Employee benefits, </w:t>
            </w:r>
            <w:r w:rsidRPr="00DD6C40">
              <w:rPr>
                <w:rFonts w:cs="Arial"/>
                <w:bCs/>
                <w:i/>
                <w:sz w:val="18"/>
                <w:szCs w:val="18"/>
              </w:rPr>
              <w:t xml:space="preserve">Suppliers, </w:t>
            </w:r>
            <w:r>
              <w:rPr>
                <w:rFonts w:cs="Arial"/>
                <w:bCs/>
                <w:i/>
                <w:sz w:val="18"/>
                <w:szCs w:val="18"/>
              </w:rPr>
              <w:t>Community partnership costs</w:t>
            </w:r>
          </w:p>
          <w:p w14:paraId="73E4D78C" w14:textId="77777777" w:rsidR="00C32CBD" w:rsidRDefault="00C32CBD" w:rsidP="00320D09">
            <w:pPr>
              <w:rPr>
                <w:rFonts w:cs="Arial"/>
                <w:bCs/>
                <w:sz w:val="18"/>
                <w:szCs w:val="18"/>
              </w:rPr>
            </w:pPr>
          </w:p>
          <w:p w14:paraId="2D2E061A" w14:textId="77777777" w:rsidR="00C32CBD" w:rsidRPr="003E5046" w:rsidRDefault="00C32CBD" w:rsidP="00320D09">
            <w:pPr>
              <w:rPr>
                <w:rFonts w:cs="Arial"/>
                <w:bCs/>
                <w:sz w:val="18"/>
                <w:szCs w:val="18"/>
              </w:rPr>
            </w:pPr>
          </w:p>
        </w:tc>
        <w:tc>
          <w:tcPr>
            <w:tcW w:w="6662" w:type="dxa"/>
            <w:tcBorders>
              <w:top w:val="single" w:sz="6" w:space="0" w:color="auto"/>
              <w:bottom w:val="single" w:sz="6" w:space="0" w:color="auto"/>
              <w:right w:val="single" w:sz="12" w:space="0" w:color="auto"/>
            </w:tcBorders>
            <w:shd w:val="clear" w:color="FFFFFF" w:fill="FFFFFF"/>
            <w:noWrap/>
          </w:tcPr>
          <w:p w14:paraId="59ACF12E" w14:textId="77777777" w:rsidR="00C32CBD" w:rsidRDefault="00C32CBD" w:rsidP="00320D09">
            <w:pPr>
              <w:rPr>
                <w:rFonts w:cs="Arial"/>
                <w:sz w:val="18"/>
                <w:szCs w:val="18"/>
              </w:rPr>
            </w:pPr>
            <w:r w:rsidRPr="004B5EF2">
              <w:rPr>
                <w:rFonts w:cs="Arial"/>
                <w:sz w:val="18"/>
                <w:szCs w:val="18"/>
              </w:rPr>
              <w:t>The budget anticipated an Average Staffing Level (ASL) of 1,749 employees and actual ASL for the year ended 30 June 2017 was 1,872.  ASL is above budget but includes secondees from Commonwealth, state and territory agencies. These positions are funded on a cost recovery basis.  The budget aggregates supplier expenses and community partnership costs.  The variance to budget for supplier and community partnership costs has resulted from a slower rollout of Local Area Coordinator (LAC) services and Early Childhood Early Intervention (ECEI) arrangements. This has been offset by increase in contractors and consultants expenses incurred by the Agency.</w:t>
            </w:r>
          </w:p>
        </w:tc>
      </w:tr>
      <w:tr w:rsidR="00C32CBD" w14:paraId="6C047E66" w14:textId="77777777" w:rsidTr="00320D09">
        <w:trPr>
          <w:cantSplit/>
          <w:trHeight w:val="255"/>
        </w:trPr>
        <w:tc>
          <w:tcPr>
            <w:tcW w:w="2694" w:type="dxa"/>
            <w:tcBorders>
              <w:top w:val="single" w:sz="6" w:space="0" w:color="auto"/>
              <w:left w:val="single" w:sz="12" w:space="0" w:color="auto"/>
              <w:bottom w:val="single" w:sz="6" w:space="0" w:color="auto"/>
            </w:tcBorders>
            <w:shd w:val="clear" w:color="FFFFFF" w:fill="FFFFFF"/>
            <w:noWrap/>
          </w:tcPr>
          <w:p w14:paraId="468E4281" w14:textId="77777777" w:rsidR="00C32CBD" w:rsidRPr="00DD6C40" w:rsidRDefault="00C32CBD" w:rsidP="00320D09">
            <w:pPr>
              <w:rPr>
                <w:rFonts w:cs="Arial"/>
                <w:bCs/>
                <w:sz w:val="18"/>
                <w:szCs w:val="18"/>
              </w:rPr>
            </w:pPr>
            <w:r>
              <w:rPr>
                <w:rFonts w:cs="Arial"/>
                <w:bCs/>
                <w:sz w:val="18"/>
                <w:szCs w:val="18"/>
              </w:rPr>
              <w:t>Expenses</w:t>
            </w:r>
          </w:p>
          <w:p w14:paraId="5A9A3092" w14:textId="77777777" w:rsidR="00C32CBD" w:rsidRDefault="00C32CBD" w:rsidP="00320D09">
            <w:pPr>
              <w:rPr>
                <w:rFonts w:cs="Arial"/>
                <w:bCs/>
                <w:i/>
                <w:sz w:val="18"/>
                <w:szCs w:val="18"/>
              </w:rPr>
            </w:pPr>
            <w:r w:rsidRPr="00DD6C40">
              <w:rPr>
                <w:rFonts w:cs="Arial"/>
                <w:bCs/>
                <w:i/>
                <w:sz w:val="18"/>
                <w:szCs w:val="18"/>
              </w:rPr>
              <w:t>Grant expenses</w:t>
            </w:r>
          </w:p>
          <w:p w14:paraId="6846257B" w14:textId="77777777" w:rsidR="00C32CBD" w:rsidRDefault="00C32CBD" w:rsidP="00320D09">
            <w:pPr>
              <w:rPr>
                <w:rFonts w:cs="Arial"/>
                <w:bCs/>
                <w:i/>
                <w:sz w:val="18"/>
                <w:szCs w:val="18"/>
              </w:rPr>
            </w:pPr>
          </w:p>
          <w:p w14:paraId="6618D4B8" w14:textId="77777777" w:rsidR="00C32CBD" w:rsidRDefault="00C32CBD" w:rsidP="00320D09">
            <w:pPr>
              <w:rPr>
                <w:rFonts w:cs="Arial"/>
                <w:bCs/>
                <w:i/>
                <w:sz w:val="18"/>
                <w:szCs w:val="18"/>
              </w:rPr>
            </w:pPr>
          </w:p>
          <w:p w14:paraId="61A58C68" w14:textId="77777777" w:rsidR="00C32CBD" w:rsidRDefault="00C32CBD" w:rsidP="00320D09">
            <w:pPr>
              <w:rPr>
                <w:rFonts w:cs="Arial"/>
                <w:bCs/>
                <w:i/>
                <w:sz w:val="18"/>
                <w:szCs w:val="18"/>
              </w:rPr>
            </w:pPr>
          </w:p>
          <w:p w14:paraId="27084B66" w14:textId="77777777" w:rsidR="00C32CBD" w:rsidRDefault="00C32CBD" w:rsidP="00320D09">
            <w:pPr>
              <w:rPr>
                <w:rFonts w:cs="Arial"/>
                <w:bCs/>
                <w:sz w:val="18"/>
                <w:szCs w:val="18"/>
              </w:rPr>
            </w:pPr>
          </w:p>
          <w:p w14:paraId="044144D3" w14:textId="77777777" w:rsidR="00C32CBD" w:rsidRDefault="00C32CBD" w:rsidP="00320D09">
            <w:pPr>
              <w:rPr>
                <w:rFonts w:cs="Arial"/>
                <w:bCs/>
                <w:sz w:val="18"/>
                <w:szCs w:val="18"/>
              </w:rPr>
            </w:pPr>
            <w:r>
              <w:rPr>
                <w:rFonts w:cs="Arial"/>
                <w:bCs/>
                <w:sz w:val="18"/>
                <w:szCs w:val="18"/>
              </w:rPr>
              <w:t>Own-source revenue</w:t>
            </w:r>
          </w:p>
          <w:p w14:paraId="56FA120A" w14:textId="77777777" w:rsidR="00C32CBD" w:rsidRPr="008E7291" w:rsidRDefault="00C32CBD" w:rsidP="00320D09">
            <w:pPr>
              <w:rPr>
                <w:rFonts w:cs="Arial"/>
                <w:bCs/>
                <w:i/>
                <w:sz w:val="18"/>
                <w:szCs w:val="18"/>
              </w:rPr>
            </w:pPr>
            <w:r>
              <w:rPr>
                <w:rFonts w:cs="Arial"/>
                <w:bCs/>
                <w:i/>
                <w:sz w:val="18"/>
                <w:szCs w:val="18"/>
              </w:rPr>
              <w:t>Other revenue</w:t>
            </w:r>
          </w:p>
        </w:tc>
        <w:tc>
          <w:tcPr>
            <w:tcW w:w="6662" w:type="dxa"/>
            <w:tcBorders>
              <w:top w:val="single" w:sz="6" w:space="0" w:color="auto"/>
              <w:bottom w:val="single" w:sz="6" w:space="0" w:color="auto"/>
              <w:right w:val="single" w:sz="12" w:space="0" w:color="auto"/>
            </w:tcBorders>
            <w:shd w:val="clear" w:color="FFFFFF" w:fill="FFFFFF"/>
            <w:noWrap/>
          </w:tcPr>
          <w:p w14:paraId="5292FD19" w14:textId="77777777" w:rsidR="00C32CBD" w:rsidRDefault="00C32CBD" w:rsidP="00320D09">
            <w:pPr>
              <w:rPr>
                <w:rFonts w:cs="Arial"/>
                <w:sz w:val="18"/>
                <w:szCs w:val="18"/>
              </w:rPr>
            </w:pPr>
            <w:r>
              <w:rPr>
                <w:rFonts w:cs="Arial"/>
                <w:sz w:val="18"/>
                <w:szCs w:val="18"/>
              </w:rPr>
              <w:t xml:space="preserve">The </w:t>
            </w:r>
            <w:r w:rsidRPr="003F1B29">
              <w:rPr>
                <w:rFonts w:cs="Arial"/>
                <w:sz w:val="18"/>
                <w:szCs w:val="18"/>
              </w:rPr>
              <w:t xml:space="preserve">budget included </w:t>
            </w:r>
            <w:r>
              <w:rPr>
                <w:rFonts w:cs="Arial"/>
                <w:sz w:val="18"/>
                <w:szCs w:val="18"/>
              </w:rPr>
              <w:t>Department of Social Services (DSS) 2016-17 Portfolio Budget Statement</w:t>
            </w:r>
            <w:r w:rsidRPr="003F1B29">
              <w:rPr>
                <w:rFonts w:cs="Arial"/>
                <w:sz w:val="18"/>
                <w:szCs w:val="18"/>
              </w:rPr>
              <w:t xml:space="preserve"> Program 1.2 Community Inclusion and Capacity Development</w:t>
            </w:r>
            <w:r>
              <w:rPr>
                <w:rFonts w:cs="Arial"/>
                <w:sz w:val="18"/>
                <w:szCs w:val="18"/>
              </w:rPr>
              <w:t xml:space="preserve"> (CICD) grant expenses of $33.3 million</w:t>
            </w:r>
            <w:r w:rsidRPr="003F1B29">
              <w:rPr>
                <w:rFonts w:cs="Arial"/>
                <w:sz w:val="18"/>
                <w:szCs w:val="18"/>
              </w:rPr>
              <w:t xml:space="preserve">.  In addition to CICD grants, the Agency incurred expenditure for Sector Development Fund (SDF) and sponsorship grant activities.  The SDF payments were made on behalf of the </w:t>
            </w:r>
            <w:r>
              <w:rPr>
                <w:rFonts w:cs="Arial"/>
                <w:sz w:val="18"/>
                <w:szCs w:val="18"/>
              </w:rPr>
              <w:t>DSS</w:t>
            </w:r>
            <w:r w:rsidRPr="003F1B29">
              <w:rPr>
                <w:rFonts w:cs="Arial"/>
                <w:sz w:val="18"/>
                <w:szCs w:val="18"/>
              </w:rPr>
              <w:t xml:space="preserve"> and are offset by a matching revenue.</w:t>
            </w:r>
            <w:r>
              <w:rPr>
                <w:rFonts w:cs="Arial"/>
                <w:sz w:val="18"/>
                <w:szCs w:val="18"/>
              </w:rPr>
              <w:t xml:space="preserve">  </w:t>
            </w:r>
            <w:r w:rsidRPr="006E3BF3">
              <w:rPr>
                <w:rFonts w:cs="Arial"/>
                <w:sz w:val="18"/>
                <w:szCs w:val="18"/>
              </w:rPr>
              <w:t>Other revenue is deriv</w:t>
            </w:r>
            <w:r>
              <w:rPr>
                <w:rFonts w:cs="Arial"/>
                <w:sz w:val="18"/>
                <w:szCs w:val="18"/>
              </w:rPr>
              <w:t>ed from SDF grant funding</w:t>
            </w:r>
            <w:r w:rsidRPr="006E3BF3">
              <w:rPr>
                <w:rFonts w:cs="Arial"/>
                <w:sz w:val="18"/>
                <w:szCs w:val="18"/>
              </w:rPr>
              <w:t xml:space="preserve"> and rental income received f</w:t>
            </w:r>
            <w:r>
              <w:rPr>
                <w:rFonts w:cs="Arial"/>
                <w:sz w:val="18"/>
                <w:szCs w:val="18"/>
              </w:rPr>
              <w:t xml:space="preserve">rom the sub-leasing of premises.  </w:t>
            </w:r>
            <w:r w:rsidRPr="006E3BF3">
              <w:rPr>
                <w:rFonts w:cs="Arial"/>
                <w:sz w:val="18"/>
                <w:szCs w:val="18"/>
              </w:rPr>
              <w:t xml:space="preserve">The budget does not assume revenue from any additional sources.   </w:t>
            </w:r>
          </w:p>
        </w:tc>
      </w:tr>
      <w:tr w:rsidR="00C32CBD" w14:paraId="2A8733EB" w14:textId="77777777" w:rsidTr="00320D09">
        <w:trPr>
          <w:cantSplit/>
          <w:trHeight w:val="255"/>
        </w:trPr>
        <w:tc>
          <w:tcPr>
            <w:tcW w:w="2694" w:type="dxa"/>
            <w:tcBorders>
              <w:top w:val="single" w:sz="6" w:space="0" w:color="auto"/>
              <w:left w:val="single" w:sz="12" w:space="0" w:color="auto"/>
              <w:bottom w:val="single" w:sz="6" w:space="0" w:color="auto"/>
            </w:tcBorders>
            <w:shd w:val="clear" w:color="FFFFFF" w:fill="FFFFFF"/>
            <w:noWrap/>
          </w:tcPr>
          <w:p w14:paraId="0371F27D" w14:textId="77777777" w:rsidR="00C32CBD" w:rsidRDefault="00C32CBD" w:rsidP="00320D09">
            <w:pPr>
              <w:rPr>
                <w:rFonts w:cs="Arial"/>
                <w:bCs/>
                <w:sz w:val="18"/>
                <w:szCs w:val="18"/>
              </w:rPr>
            </w:pPr>
            <w:r>
              <w:rPr>
                <w:rFonts w:cs="Arial"/>
                <w:bCs/>
                <w:sz w:val="18"/>
                <w:szCs w:val="18"/>
              </w:rPr>
              <w:t>Expenses</w:t>
            </w:r>
          </w:p>
          <w:p w14:paraId="45705A62" w14:textId="77777777" w:rsidR="00C32CBD" w:rsidRPr="005013FF" w:rsidRDefault="00C32CBD" w:rsidP="00320D09">
            <w:pPr>
              <w:rPr>
                <w:rFonts w:cs="Arial"/>
                <w:bCs/>
                <w:sz w:val="18"/>
                <w:szCs w:val="18"/>
              </w:rPr>
            </w:pPr>
            <w:r>
              <w:rPr>
                <w:rFonts w:cs="Arial"/>
                <w:bCs/>
                <w:i/>
                <w:sz w:val="18"/>
                <w:szCs w:val="18"/>
              </w:rPr>
              <w:t>Participant plan expenses</w:t>
            </w:r>
          </w:p>
        </w:tc>
        <w:tc>
          <w:tcPr>
            <w:tcW w:w="6662" w:type="dxa"/>
            <w:tcBorders>
              <w:top w:val="single" w:sz="6" w:space="0" w:color="auto"/>
              <w:bottom w:val="single" w:sz="6" w:space="0" w:color="auto"/>
              <w:right w:val="single" w:sz="12" w:space="0" w:color="auto"/>
            </w:tcBorders>
            <w:shd w:val="clear" w:color="FFFFFF" w:fill="FFFFFF"/>
            <w:noWrap/>
          </w:tcPr>
          <w:p w14:paraId="02484B8E" w14:textId="77777777" w:rsidR="00C32CBD" w:rsidRPr="00DD6C40" w:rsidRDefault="00C32CBD" w:rsidP="00320D09">
            <w:pPr>
              <w:rPr>
                <w:rFonts w:cs="Arial"/>
                <w:sz w:val="18"/>
                <w:szCs w:val="18"/>
              </w:rPr>
            </w:pPr>
            <w:r w:rsidRPr="00D1232D">
              <w:rPr>
                <w:rFonts w:cs="Arial"/>
                <w:sz w:val="18"/>
                <w:szCs w:val="18"/>
              </w:rPr>
              <w:t>Participant plan expenses are lower than projected in the budget due to the slower phasing of participants than anticipated in the bilateral agreements.</w:t>
            </w:r>
            <w:r>
              <w:rPr>
                <w:rFonts w:cs="Arial"/>
                <w:sz w:val="18"/>
                <w:szCs w:val="18"/>
              </w:rPr>
              <w:t xml:space="preserve"> </w:t>
            </w:r>
            <w:r w:rsidRPr="00D1232D">
              <w:rPr>
                <w:rFonts w:cs="Arial"/>
                <w:sz w:val="18"/>
                <w:szCs w:val="18"/>
              </w:rPr>
              <w:t xml:space="preserve"> Delays experienced in transitioning participants into the Scheme early in the year impacted on the overall participant expenses.  Participants expected to have transitioned into the Scheme earlier in the year had a larger impact on the 2016-17 participant plan expenses than participants entering the Scheme later in the year. </w:t>
            </w:r>
            <w:r>
              <w:rPr>
                <w:rFonts w:cs="Arial"/>
                <w:sz w:val="18"/>
                <w:szCs w:val="18"/>
              </w:rPr>
              <w:t xml:space="preserve"> </w:t>
            </w:r>
            <w:r w:rsidRPr="00D1232D">
              <w:rPr>
                <w:rFonts w:cs="Arial"/>
                <w:sz w:val="18"/>
                <w:szCs w:val="18"/>
              </w:rPr>
              <w:t>In addition, plan expenses have been adjusted on advice provided by the Scheme Actuary to reflect the lower utilisation rate of committed supports.</w:t>
            </w:r>
          </w:p>
        </w:tc>
      </w:tr>
      <w:tr w:rsidR="00C32CBD" w14:paraId="2A0325F0" w14:textId="77777777" w:rsidTr="00320D09">
        <w:trPr>
          <w:cantSplit/>
          <w:trHeight w:val="255"/>
        </w:trPr>
        <w:tc>
          <w:tcPr>
            <w:tcW w:w="2694" w:type="dxa"/>
            <w:tcBorders>
              <w:top w:val="single" w:sz="6" w:space="0" w:color="auto"/>
              <w:left w:val="single" w:sz="12" w:space="0" w:color="auto"/>
              <w:bottom w:val="single" w:sz="6" w:space="0" w:color="auto"/>
            </w:tcBorders>
            <w:shd w:val="clear" w:color="FFFFFF" w:fill="FFFFFF"/>
            <w:noWrap/>
          </w:tcPr>
          <w:p w14:paraId="1FDF9418" w14:textId="77777777" w:rsidR="00C32CBD" w:rsidRDefault="00C32CBD" w:rsidP="00320D09">
            <w:pPr>
              <w:rPr>
                <w:rFonts w:cs="Arial"/>
                <w:bCs/>
                <w:sz w:val="18"/>
                <w:szCs w:val="18"/>
              </w:rPr>
            </w:pPr>
            <w:r>
              <w:rPr>
                <w:rFonts w:cs="Arial"/>
                <w:bCs/>
                <w:sz w:val="18"/>
                <w:szCs w:val="18"/>
              </w:rPr>
              <w:t>Expenses</w:t>
            </w:r>
          </w:p>
          <w:p w14:paraId="5F411F67" w14:textId="77777777" w:rsidR="00C32CBD" w:rsidRPr="00DD6C40" w:rsidRDefault="00C32CBD" w:rsidP="00320D09">
            <w:pPr>
              <w:rPr>
                <w:rFonts w:cs="Arial"/>
                <w:bCs/>
                <w:i/>
                <w:sz w:val="18"/>
                <w:szCs w:val="18"/>
              </w:rPr>
            </w:pPr>
            <w:r w:rsidRPr="00DD6C40">
              <w:rPr>
                <w:rFonts w:cs="Arial"/>
                <w:bCs/>
                <w:i/>
                <w:sz w:val="18"/>
                <w:szCs w:val="18"/>
              </w:rPr>
              <w:t>Depreciation</w:t>
            </w:r>
            <w:r>
              <w:rPr>
                <w:rFonts w:cs="Arial"/>
                <w:bCs/>
                <w:i/>
                <w:sz w:val="18"/>
                <w:szCs w:val="18"/>
              </w:rPr>
              <w:t xml:space="preserve"> and amortisation</w:t>
            </w:r>
          </w:p>
        </w:tc>
        <w:tc>
          <w:tcPr>
            <w:tcW w:w="6662" w:type="dxa"/>
            <w:tcBorders>
              <w:top w:val="single" w:sz="6" w:space="0" w:color="auto"/>
              <w:bottom w:val="single" w:sz="6" w:space="0" w:color="auto"/>
              <w:right w:val="single" w:sz="12" w:space="0" w:color="auto"/>
            </w:tcBorders>
            <w:shd w:val="clear" w:color="FFFFFF" w:fill="FFFFFF"/>
            <w:noWrap/>
          </w:tcPr>
          <w:p w14:paraId="605EA595" w14:textId="77777777" w:rsidR="00C32CBD" w:rsidRPr="00DD6C40" w:rsidRDefault="00C32CBD" w:rsidP="00320D09">
            <w:pPr>
              <w:rPr>
                <w:rFonts w:cs="Arial"/>
                <w:sz w:val="18"/>
                <w:szCs w:val="18"/>
              </w:rPr>
            </w:pPr>
            <w:r w:rsidRPr="000E7CA6">
              <w:rPr>
                <w:rFonts w:cs="Arial"/>
                <w:sz w:val="18"/>
                <w:szCs w:val="18"/>
              </w:rPr>
              <w:t>The Agency has adopted the whole-of-gove</w:t>
            </w:r>
            <w:r>
              <w:rPr>
                <w:rFonts w:cs="Arial"/>
                <w:sz w:val="18"/>
                <w:szCs w:val="18"/>
              </w:rPr>
              <w:t>rnment policies in regard to co</w:t>
            </w:r>
            <w:r>
              <w:rPr>
                <w:rFonts w:cs="Arial"/>
                <w:sz w:val="18"/>
                <w:szCs w:val="18"/>
              </w:rPr>
              <w:noBreakHyphen/>
            </w:r>
            <w:r w:rsidRPr="000E7CA6">
              <w:rPr>
                <w:rFonts w:cs="Arial"/>
                <w:sz w:val="18"/>
                <w:szCs w:val="18"/>
              </w:rPr>
              <w:t>locating service delivery sites within existing Commonwealth property infrastructure, where feasible.</w:t>
            </w:r>
            <w:r>
              <w:rPr>
                <w:rFonts w:cs="Arial"/>
                <w:sz w:val="18"/>
                <w:szCs w:val="18"/>
              </w:rPr>
              <w:t xml:space="preserve"> </w:t>
            </w:r>
            <w:r w:rsidRPr="000E7CA6">
              <w:rPr>
                <w:rFonts w:cs="Arial"/>
                <w:sz w:val="18"/>
                <w:szCs w:val="18"/>
              </w:rPr>
              <w:t xml:space="preserve"> A</w:t>
            </w:r>
            <w:r>
              <w:rPr>
                <w:rFonts w:cs="Arial"/>
                <w:sz w:val="18"/>
                <w:szCs w:val="18"/>
              </w:rPr>
              <w:t>s a consequence, investment in property, plant and e</w:t>
            </w:r>
            <w:r w:rsidRPr="000E7CA6">
              <w:rPr>
                <w:rFonts w:cs="Arial"/>
                <w:sz w:val="18"/>
                <w:szCs w:val="18"/>
              </w:rPr>
              <w:t xml:space="preserve">quipment and related depreciation and amortisation expenses are </w:t>
            </w:r>
            <w:r>
              <w:rPr>
                <w:rFonts w:cs="Arial"/>
                <w:sz w:val="18"/>
                <w:szCs w:val="18"/>
              </w:rPr>
              <w:t>less</w:t>
            </w:r>
            <w:r w:rsidRPr="000E7CA6">
              <w:rPr>
                <w:rFonts w:cs="Arial"/>
                <w:sz w:val="18"/>
                <w:szCs w:val="18"/>
              </w:rPr>
              <w:t xml:space="preserve"> than projected in the budget.</w:t>
            </w:r>
          </w:p>
        </w:tc>
      </w:tr>
      <w:tr w:rsidR="00C32CBD" w14:paraId="31C49C7C" w14:textId="77777777" w:rsidTr="00320D09">
        <w:trPr>
          <w:cantSplit/>
          <w:trHeight w:val="255"/>
        </w:trPr>
        <w:tc>
          <w:tcPr>
            <w:tcW w:w="2694" w:type="dxa"/>
            <w:tcBorders>
              <w:top w:val="single" w:sz="6" w:space="0" w:color="auto"/>
              <w:left w:val="single" w:sz="12" w:space="0" w:color="auto"/>
              <w:bottom w:val="single" w:sz="6" w:space="0" w:color="auto"/>
            </w:tcBorders>
            <w:shd w:val="clear" w:color="FFFFFF" w:fill="FFFFFF"/>
            <w:noWrap/>
          </w:tcPr>
          <w:p w14:paraId="55D335BD" w14:textId="77777777" w:rsidR="00C32CBD" w:rsidRDefault="00C32CBD" w:rsidP="00320D09">
            <w:pPr>
              <w:rPr>
                <w:rFonts w:cs="Arial"/>
                <w:bCs/>
                <w:sz w:val="18"/>
                <w:szCs w:val="18"/>
              </w:rPr>
            </w:pPr>
            <w:r>
              <w:rPr>
                <w:rFonts w:cs="Arial"/>
                <w:bCs/>
                <w:sz w:val="18"/>
                <w:szCs w:val="18"/>
              </w:rPr>
              <w:t>Expenses</w:t>
            </w:r>
          </w:p>
          <w:p w14:paraId="22C16D6D" w14:textId="77777777" w:rsidR="00C32CBD" w:rsidRPr="005013FF" w:rsidRDefault="00C32CBD" w:rsidP="00320D09">
            <w:pPr>
              <w:rPr>
                <w:rFonts w:cs="Arial"/>
                <w:bCs/>
                <w:sz w:val="18"/>
                <w:szCs w:val="18"/>
              </w:rPr>
            </w:pPr>
            <w:r>
              <w:rPr>
                <w:rFonts w:cs="Arial"/>
                <w:bCs/>
                <w:i/>
                <w:sz w:val="18"/>
                <w:szCs w:val="18"/>
              </w:rPr>
              <w:t>Write-down and impairment of assets</w:t>
            </w:r>
          </w:p>
        </w:tc>
        <w:tc>
          <w:tcPr>
            <w:tcW w:w="6662" w:type="dxa"/>
            <w:tcBorders>
              <w:top w:val="single" w:sz="6" w:space="0" w:color="auto"/>
              <w:bottom w:val="single" w:sz="6" w:space="0" w:color="auto"/>
              <w:right w:val="single" w:sz="12" w:space="0" w:color="auto"/>
            </w:tcBorders>
            <w:shd w:val="clear" w:color="FFFFFF" w:fill="FFFFFF"/>
            <w:noWrap/>
          </w:tcPr>
          <w:p w14:paraId="718FB94C" w14:textId="77777777" w:rsidR="00C32CBD" w:rsidRPr="00DD6C40" w:rsidRDefault="00C32CBD" w:rsidP="00320D09">
            <w:pPr>
              <w:rPr>
                <w:rFonts w:cs="Arial"/>
                <w:sz w:val="18"/>
                <w:szCs w:val="18"/>
              </w:rPr>
            </w:pPr>
            <w:r>
              <w:rPr>
                <w:rFonts w:cs="Arial"/>
                <w:sz w:val="18"/>
                <w:szCs w:val="18"/>
              </w:rPr>
              <w:t xml:space="preserve">Accounting standards require the write-down and impairment of assets that are considered non-recoverable.  An assessment of transactions that were considered non-recoverable was undertaken and recognised at year-end.  These transactions were </w:t>
            </w:r>
            <w:r w:rsidRPr="000E7CA6">
              <w:rPr>
                <w:rFonts w:cs="Arial"/>
                <w:sz w:val="18"/>
                <w:szCs w:val="18"/>
              </w:rPr>
              <w:t>not anticipated in the budget</w:t>
            </w:r>
            <w:r>
              <w:rPr>
                <w:rFonts w:cs="Arial"/>
                <w:sz w:val="18"/>
                <w:szCs w:val="18"/>
              </w:rPr>
              <w:t xml:space="preserve">. </w:t>
            </w:r>
          </w:p>
        </w:tc>
      </w:tr>
      <w:tr w:rsidR="00C32CBD" w14:paraId="2219F998" w14:textId="77777777" w:rsidTr="00320D09">
        <w:trPr>
          <w:cantSplit/>
          <w:trHeight w:val="255"/>
        </w:trPr>
        <w:tc>
          <w:tcPr>
            <w:tcW w:w="2694" w:type="dxa"/>
            <w:tcBorders>
              <w:top w:val="single" w:sz="6" w:space="0" w:color="auto"/>
              <w:left w:val="single" w:sz="12" w:space="0" w:color="auto"/>
              <w:bottom w:val="single" w:sz="6" w:space="0" w:color="auto"/>
            </w:tcBorders>
            <w:shd w:val="clear" w:color="FFFFFF" w:fill="FFFFFF"/>
            <w:noWrap/>
          </w:tcPr>
          <w:p w14:paraId="5EB40EE5" w14:textId="77777777" w:rsidR="00C32CBD" w:rsidRDefault="00C32CBD" w:rsidP="00320D09">
            <w:pPr>
              <w:rPr>
                <w:rFonts w:cs="Arial"/>
                <w:bCs/>
                <w:sz w:val="18"/>
                <w:szCs w:val="18"/>
              </w:rPr>
            </w:pPr>
            <w:r>
              <w:rPr>
                <w:rFonts w:cs="Arial"/>
                <w:bCs/>
                <w:sz w:val="18"/>
                <w:szCs w:val="18"/>
              </w:rPr>
              <w:t>Own-source revenue</w:t>
            </w:r>
          </w:p>
          <w:p w14:paraId="3CAC5CD4" w14:textId="77777777" w:rsidR="00C32CBD" w:rsidRPr="00DD6C40" w:rsidRDefault="00C32CBD" w:rsidP="00320D09">
            <w:pPr>
              <w:rPr>
                <w:rFonts w:cs="Arial"/>
                <w:bCs/>
                <w:i/>
                <w:sz w:val="18"/>
                <w:szCs w:val="18"/>
              </w:rPr>
            </w:pPr>
            <w:r>
              <w:rPr>
                <w:rFonts w:cs="Arial"/>
                <w:bCs/>
                <w:i/>
                <w:sz w:val="18"/>
                <w:szCs w:val="18"/>
              </w:rPr>
              <w:t>Revenue from rendering of services</w:t>
            </w:r>
          </w:p>
        </w:tc>
        <w:tc>
          <w:tcPr>
            <w:tcW w:w="6662" w:type="dxa"/>
            <w:tcBorders>
              <w:top w:val="single" w:sz="6" w:space="0" w:color="auto"/>
              <w:bottom w:val="single" w:sz="6" w:space="0" w:color="auto"/>
              <w:right w:val="single" w:sz="12" w:space="0" w:color="auto"/>
            </w:tcBorders>
            <w:shd w:val="clear" w:color="FFFFFF" w:fill="FFFFFF"/>
            <w:noWrap/>
          </w:tcPr>
          <w:p w14:paraId="3B721199" w14:textId="77777777" w:rsidR="00C32CBD" w:rsidRPr="00DD6C40" w:rsidRDefault="00C32CBD" w:rsidP="00320D09">
            <w:pPr>
              <w:rPr>
                <w:rFonts w:cs="Arial"/>
                <w:sz w:val="18"/>
                <w:szCs w:val="18"/>
              </w:rPr>
            </w:pPr>
            <w:r w:rsidRPr="000E7CA6">
              <w:rPr>
                <w:rFonts w:cs="Arial"/>
                <w:sz w:val="18"/>
                <w:szCs w:val="18"/>
              </w:rPr>
              <w:t xml:space="preserve">The budget anticipated the phasing of participants in accordance with </w:t>
            </w:r>
            <w:r>
              <w:rPr>
                <w:rFonts w:cs="Arial"/>
                <w:sz w:val="18"/>
                <w:szCs w:val="18"/>
              </w:rPr>
              <w:t>B</w:t>
            </w:r>
            <w:r w:rsidRPr="000E7CA6">
              <w:rPr>
                <w:rFonts w:cs="Arial"/>
                <w:sz w:val="18"/>
                <w:szCs w:val="18"/>
              </w:rPr>
              <w:t xml:space="preserve">ilateral </w:t>
            </w:r>
            <w:r>
              <w:rPr>
                <w:rFonts w:cs="Arial"/>
                <w:sz w:val="18"/>
                <w:szCs w:val="18"/>
              </w:rPr>
              <w:t>Agreements.  D</w:t>
            </w:r>
            <w:r w:rsidRPr="000E7CA6">
              <w:rPr>
                <w:rFonts w:cs="Arial"/>
                <w:sz w:val="18"/>
                <w:szCs w:val="18"/>
              </w:rPr>
              <w:t xml:space="preserve">elays experienced in transitioning participants from existing state and territory programs early in the year </w:t>
            </w:r>
            <w:r>
              <w:rPr>
                <w:rFonts w:cs="Arial"/>
                <w:sz w:val="18"/>
                <w:szCs w:val="18"/>
              </w:rPr>
              <w:t xml:space="preserve">impacted revenue received.  </w:t>
            </w:r>
          </w:p>
        </w:tc>
      </w:tr>
      <w:tr w:rsidR="00C32CBD" w14:paraId="15B65B69" w14:textId="77777777" w:rsidTr="00320D09">
        <w:trPr>
          <w:cantSplit/>
          <w:trHeight w:val="255"/>
        </w:trPr>
        <w:tc>
          <w:tcPr>
            <w:tcW w:w="2694" w:type="dxa"/>
            <w:tcBorders>
              <w:top w:val="single" w:sz="6" w:space="0" w:color="auto"/>
              <w:left w:val="single" w:sz="12" w:space="0" w:color="auto"/>
              <w:bottom w:val="single" w:sz="6" w:space="0" w:color="auto"/>
            </w:tcBorders>
            <w:shd w:val="clear" w:color="FFFFFF" w:fill="FFFFFF"/>
            <w:noWrap/>
          </w:tcPr>
          <w:p w14:paraId="5988FBFB" w14:textId="77777777" w:rsidR="00C32CBD" w:rsidRDefault="00C32CBD" w:rsidP="00320D09">
            <w:pPr>
              <w:rPr>
                <w:rFonts w:cs="Arial"/>
                <w:bCs/>
                <w:sz w:val="18"/>
                <w:szCs w:val="18"/>
              </w:rPr>
            </w:pPr>
            <w:r>
              <w:rPr>
                <w:rFonts w:cs="Arial"/>
                <w:bCs/>
                <w:sz w:val="18"/>
                <w:szCs w:val="18"/>
              </w:rPr>
              <w:lastRenderedPageBreak/>
              <w:t>Own-source revenue</w:t>
            </w:r>
          </w:p>
          <w:p w14:paraId="7737BC20" w14:textId="77777777" w:rsidR="00C32CBD" w:rsidRDefault="00C32CBD" w:rsidP="00320D09">
            <w:pPr>
              <w:rPr>
                <w:rFonts w:cs="Arial"/>
                <w:bCs/>
                <w:sz w:val="18"/>
                <w:szCs w:val="18"/>
              </w:rPr>
            </w:pPr>
            <w:r>
              <w:rPr>
                <w:rFonts w:cs="Arial"/>
                <w:bCs/>
                <w:i/>
                <w:sz w:val="18"/>
                <w:szCs w:val="18"/>
              </w:rPr>
              <w:t>Interest revenue</w:t>
            </w:r>
          </w:p>
        </w:tc>
        <w:tc>
          <w:tcPr>
            <w:tcW w:w="6662" w:type="dxa"/>
            <w:tcBorders>
              <w:top w:val="single" w:sz="6" w:space="0" w:color="auto"/>
              <w:bottom w:val="single" w:sz="6" w:space="0" w:color="auto"/>
              <w:right w:val="single" w:sz="12" w:space="0" w:color="auto"/>
            </w:tcBorders>
            <w:shd w:val="clear" w:color="FFFFFF" w:fill="FFFFFF"/>
            <w:noWrap/>
          </w:tcPr>
          <w:p w14:paraId="3038FFB4" w14:textId="77777777" w:rsidR="00C32CBD" w:rsidRPr="00DD6C40" w:rsidRDefault="00C32CBD" w:rsidP="00320D09">
            <w:pPr>
              <w:rPr>
                <w:rFonts w:cs="Arial"/>
                <w:sz w:val="18"/>
                <w:szCs w:val="18"/>
              </w:rPr>
            </w:pPr>
            <w:r w:rsidRPr="00F54829">
              <w:rPr>
                <w:rFonts w:cs="Arial"/>
                <w:sz w:val="18"/>
                <w:szCs w:val="18"/>
              </w:rPr>
              <w:t xml:space="preserve">Interest revenue is derived from the Agency investing cash in short-term deposits. </w:t>
            </w:r>
            <w:r>
              <w:rPr>
                <w:rFonts w:cs="Arial"/>
                <w:sz w:val="18"/>
                <w:szCs w:val="18"/>
              </w:rPr>
              <w:t xml:space="preserve"> </w:t>
            </w:r>
            <w:r w:rsidRPr="00F54829">
              <w:rPr>
                <w:rFonts w:cs="Arial"/>
                <w:sz w:val="18"/>
                <w:szCs w:val="18"/>
              </w:rPr>
              <w:t>The budget does not assume that cash on hand will be in excess to immediate requirements, whereas</w:t>
            </w:r>
            <w:r>
              <w:rPr>
                <w:rFonts w:cs="Arial"/>
                <w:sz w:val="18"/>
                <w:szCs w:val="18"/>
              </w:rPr>
              <w:t xml:space="preserve"> a</w:t>
            </w:r>
            <w:r w:rsidRPr="00F54829">
              <w:rPr>
                <w:rFonts w:cs="Arial"/>
                <w:sz w:val="18"/>
                <w:szCs w:val="18"/>
              </w:rPr>
              <w:t xml:space="preserve"> significant amount of </w:t>
            </w:r>
            <w:r>
              <w:rPr>
                <w:rFonts w:cs="Arial"/>
                <w:sz w:val="18"/>
                <w:szCs w:val="18"/>
              </w:rPr>
              <w:t xml:space="preserve">surplus </w:t>
            </w:r>
            <w:r w:rsidRPr="00F54829">
              <w:rPr>
                <w:rFonts w:cs="Arial"/>
                <w:sz w:val="18"/>
                <w:szCs w:val="18"/>
              </w:rPr>
              <w:t xml:space="preserve">cash </w:t>
            </w:r>
            <w:r>
              <w:rPr>
                <w:rFonts w:cs="Arial"/>
                <w:sz w:val="18"/>
                <w:szCs w:val="18"/>
              </w:rPr>
              <w:t xml:space="preserve">was held and </w:t>
            </w:r>
            <w:r w:rsidRPr="00F54829">
              <w:rPr>
                <w:rFonts w:cs="Arial"/>
                <w:sz w:val="18"/>
                <w:szCs w:val="18"/>
              </w:rPr>
              <w:t>invested during the year.</w:t>
            </w:r>
          </w:p>
        </w:tc>
      </w:tr>
      <w:tr w:rsidR="00C32CBD" w14:paraId="6BCF63C3" w14:textId="77777777" w:rsidTr="00320D09">
        <w:trPr>
          <w:cantSplit/>
          <w:trHeight w:val="255"/>
        </w:trPr>
        <w:tc>
          <w:tcPr>
            <w:tcW w:w="2694" w:type="dxa"/>
            <w:tcBorders>
              <w:top w:val="single" w:sz="6" w:space="0" w:color="auto"/>
              <w:left w:val="single" w:sz="12" w:space="0" w:color="auto"/>
              <w:bottom w:val="single" w:sz="6" w:space="0" w:color="auto"/>
            </w:tcBorders>
            <w:shd w:val="clear" w:color="FFFFFF" w:fill="FFFFFF"/>
            <w:noWrap/>
          </w:tcPr>
          <w:p w14:paraId="0FDD7568" w14:textId="77777777" w:rsidR="00C32CBD" w:rsidRDefault="00C32CBD" w:rsidP="00320D09">
            <w:pPr>
              <w:rPr>
                <w:rFonts w:cs="Arial"/>
                <w:bCs/>
                <w:sz w:val="18"/>
                <w:szCs w:val="18"/>
              </w:rPr>
            </w:pPr>
            <w:r>
              <w:rPr>
                <w:rFonts w:cs="Arial"/>
                <w:bCs/>
                <w:sz w:val="18"/>
                <w:szCs w:val="18"/>
              </w:rPr>
              <w:t>Gains</w:t>
            </w:r>
          </w:p>
          <w:p w14:paraId="3DEDDB57" w14:textId="77777777" w:rsidR="00C32CBD" w:rsidRPr="005013FF" w:rsidRDefault="00C32CBD" w:rsidP="00320D09">
            <w:pPr>
              <w:rPr>
                <w:rFonts w:cs="Arial"/>
                <w:bCs/>
                <w:sz w:val="18"/>
                <w:szCs w:val="18"/>
              </w:rPr>
            </w:pPr>
            <w:r>
              <w:rPr>
                <w:rFonts w:cs="Arial"/>
                <w:bCs/>
                <w:i/>
                <w:sz w:val="18"/>
                <w:szCs w:val="18"/>
              </w:rPr>
              <w:t>Other gains</w:t>
            </w:r>
          </w:p>
        </w:tc>
        <w:tc>
          <w:tcPr>
            <w:tcW w:w="6662" w:type="dxa"/>
            <w:tcBorders>
              <w:top w:val="single" w:sz="6" w:space="0" w:color="auto"/>
              <w:bottom w:val="single" w:sz="6" w:space="0" w:color="auto"/>
              <w:right w:val="single" w:sz="12" w:space="0" w:color="auto"/>
            </w:tcBorders>
            <w:shd w:val="clear" w:color="FFFFFF" w:fill="FFFFFF"/>
            <w:noWrap/>
          </w:tcPr>
          <w:p w14:paraId="69047A29" w14:textId="77777777" w:rsidR="00C32CBD" w:rsidRPr="00DD6C40" w:rsidRDefault="00C32CBD" w:rsidP="00320D09">
            <w:pPr>
              <w:rPr>
                <w:rFonts w:cs="Arial"/>
                <w:sz w:val="18"/>
                <w:szCs w:val="18"/>
              </w:rPr>
            </w:pPr>
            <w:r w:rsidRPr="003D0A63">
              <w:rPr>
                <w:rFonts w:cs="Arial"/>
                <w:sz w:val="18"/>
                <w:szCs w:val="18"/>
              </w:rPr>
              <w:t>Other gains primarily reflect in-</w:t>
            </w:r>
            <w:r>
              <w:rPr>
                <w:rFonts w:cs="Arial"/>
                <w:sz w:val="18"/>
                <w:szCs w:val="18"/>
              </w:rPr>
              <w:t>kind contributions made to the S</w:t>
            </w:r>
            <w:r w:rsidRPr="003D0A63">
              <w:rPr>
                <w:rFonts w:cs="Arial"/>
                <w:sz w:val="18"/>
                <w:szCs w:val="18"/>
              </w:rPr>
              <w:t>cheme by Commonwealth, state and territory governments.</w:t>
            </w:r>
            <w:r>
              <w:rPr>
                <w:rFonts w:cs="Arial"/>
                <w:sz w:val="18"/>
                <w:szCs w:val="18"/>
              </w:rPr>
              <w:t xml:space="preserve"> </w:t>
            </w:r>
            <w:r w:rsidRPr="003D0A63">
              <w:rPr>
                <w:rFonts w:cs="Arial"/>
                <w:sz w:val="18"/>
                <w:szCs w:val="18"/>
              </w:rPr>
              <w:t xml:space="preserve"> Other gains are less than budget due to </w:t>
            </w:r>
            <w:r>
              <w:rPr>
                <w:rFonts w:cs="Arial"/>
                <w:sz w:val="18"/>
                <w:szCs w:val="18"/>
              </w:rPr>
              <w:t xml:space="preserve">the </w:t>
            </w:r>
            <w:r w:rsidRPr="003D0A63">
              <w:rPr>
                <w:rFonts w:cs="Arial"/>
                <w:sz w:val="18"/>
                <w:szCs w:val="18"/>
              </w:rPr>
              <w:t xml:space="preserve">slower phasing of participants in the </w:t>
            </w:r>
            <w:r>
              <w:rPr>
                <w:rFonts w:cs="Arial"/>
                <w:sz w:val="18"/>
                <w:szCs w:val="18"/>
              </w:rPr>
              <w:t>S</w:t>
            </w:r>
            <w:r w:rsidRPr="003D0A63">
              <w:rPr>
                <w:rFonts w:cs="Arial"/>
                <w:sz w:val="18"/>
                <w:szCs w:val="18"/>
              </w:rPr>
              <w:t xml:space="preserve">cheme than originally anticipated and therefore the proportion of in-kind services utilised was lower than the targeted amounts agreed in the </w:t>
            </w:r>
            <w:r>
              <w:rPr>
                <w:rFonts w:cs="Arial"/>
                <w:sz w:val="18"/>
                <w:szCs w:val="18"/>
              </w:rPr>
              <w:t>B</w:t>
            </w:r>
            <w:r w:rsidRPr="003D0A63">
              <w:rPr>
                <w:rFonts w:cs="Arial"/>
                <w:sz w:val="18"/>
                <w:szCs w:val="18"/>
              </w:rPr>
              <w:t xml:space="preserve">ilateral </w:t>
            </w:r>
            <w:r>
              <w:rPr>
                <w:rFonts w:cs="Arial"/>
                <w:sz w:val="18"/>
                <w:szCs w:val="18"/>
              </w:rPr>
              <w:t>A</w:t>
            </w:r>
            <w:r w:rsidRPr="003D0A63">
              <w:rPr>
                <w:rFonts w:cs="Arial"/>
                <w:sz w:val="18"/>
                <w:szCs w:val="18"/>
              </w:rPr>
              <w:t>greements. </w:t>
            </w:r>
          </w:p>
        </w:tc>
      </w:tr>
    </w:tbl>
    <w:p w14:paraId="0E332D20" w14:textId="77777777" w:rsidR="00C32CBD" w:rsidRDefault="00C32CBD" w:rsidP="00C32CBD">
      <w:pPr>
        <w:pStyle w:val="ReferenceText"/>
        <w:sectPr w:rsidR="00C32CBD" w:rsidSect="00320D09">
          <w:headerReference w:type="even" r:id="rId13"/>
          <w:headerReference w:type="default" r:id="rId14"/>
          <w:headerReference w:type="first" r:id="rId15"/>
          <w:pgSz w:w="11906" w:h="16838" w:code="9"/>
          <w:pgMar w:top="1134" w:right="1700" w:bottom="1134" w:left="1134" w:header="958" w:footer="737" w:gutter="0"/>
          <w:cols w:space="708"/>
          <w:docGrid w:linePitch="360"/>
        </w:sectPr>
      </w:pPr>
    </w:p>
    <w:p w14:paraId="5C56CCB6" w14:textId="77777777" w:rsidR="00C32CBD" w:rsidRDefault="00C32CBD" w:rsidP="00C32CBD">
      <w:pPr>
        <w:pStyle w:val="ReferenceText"/>
      </w:pPr>
    </w:p>
    <w:tbl>
      <w:tblPr>
        <w:tblW w:w="9087" w:type="dxa"/>
        <w:tblInd w:w="80" w:type="dxa"/>
        <w:tblLayout w:type="fixed"/>
        <w:tblLook w:val="04A0" w:firstRow="1" w:lastRow="0" w:firstColumn="1" w:lastColumn="0" w:noHBand="0" w:noVBand="1"/>
      </w:tblPr>
      <w:tblGrid>
        <w:gridCol w:w="4280"/>
        <w:gridCol w:w="1083"/>
        <w:gridCol w:w="1088"/>
        <w:gridCol w:w="236"/>
        <w:gridCol w:w="1095"/>
        <w:gridCol w:w="236"/>
        <w:gridCol w:w="1069"/>
      </w:tblGrid>
      <w:tr w:rsidR="00C32CBD" w14:paraId="16E02B82" w14:textId="77777777" w:rsidTr="00320D09">
        <w:trPr>
          <w:trHeight w:val="480"/>
        </w:trPr>
        <w:tc>
          <w:tcPr>
            <w:tcW w:w="4280" w:type="dxa"/>
            <w:tcBorders>
              <w:top w:val="single" w:sz="8" w:space="0" w:color="008000"/>
              <w:left w:val="nil"/>
              <w:bottom w:val="nil"/>
              <w:right w:val="nil"/>
            </w:tcBorders>
            <w:shd w:val="clear" w:color="FFFFFF" w:fill="FFFFFF"/>
            <w:noWrap/>
            <w:vAlign w:val="bottom"/>
            <w:hideMark/>
          </w:tcPr>
          <w:p w14:paraId="08F842C7" w14:textId="77777777" w:rsidR="00C32CBD" w:rsidRDefault="00C32CBD" w:rsidP="00320D09">
            <w:pPr>
              <w:rPr>
                <w:rFonts w:cs="Arial"/>
                <w:sz w:val="18"/>
                <w:szCs w:val="18"/>
              </w:rPr>
            </w:pPr>
            <w:bookmarkStart w:id="68" w:name="Note_DBSTABLE1" w:colFirst="0" w:colLast="0"/>
            <w:r>
              <w:rPr>
                <w:rFonts w:cs="Arial"/>
                <w:sz w:val="18"/>
                <w:szCs w:val="18"/>
              </w:rPr>
              <w:t> </w:t>
            </w:r>
          </w:p>
        </w:tc>
        <w:tc>
          <w:tcPr>
            <w:tcW w:w="1083" w:type="dxa"/>
            <w:tcBorders>
              <w:top w:val="single" w:sz="8" w:space="0" w:color="008000"/>
              <w:left w:val="nil"/>
              <w:bottom w:val="nil"/>
              <w:right w:val="nil"/>
            </w:tcBorders>
            <w:shd w:val="clear" w:color="FFFFFF" w:fill="FFFFFF"/>
            <w:noWrap/>
            <w:vAlign w:val="bottom"/>
            <w:hideMark/>
          </w:tcPr>
          <w:p w14:paraId="37268BE8" w14:textId="77777777" w:rsidR="00C32CBD" w:rsidRDefault="00C32CBD" w:rsidP="00320D09">
            <w:pPr>
              <w:rPr>
                <w:rFonts w:cs="Arial"/>
                <w:sz w:val="18"/>
                <w:szCs w:val="18"/>
              </w:rPr>
            </w:pPr>
            <w:r>
              <w:rPr>
                <w:rFonts w:cs="Arial"/>
                <w:sz w:val="18"/>
                <w:szCs w:val="18"/>
              </w:rPr>
              <w:t> </w:t>
            </w:r>
          </w:p>
        </w:tc>
        <w:tc>
          <w:tcPr>
            <w:tcW w:w="1088" w:type="dxa"/>
            <w:tcBorders>
              <w:top w:val="single" w:sz="8" w:space="0" w:color="008000"/>
              <w:left w:val="nil"/>
              <w:bottom w:val="nil"/>
              <w:right w:val="nil"/>
            </w:tcBorders>
            <w:shd w:val="clear" w:color="FFFFFF" w:fill="FFFFFF"/>
            <w:noWrap/>
            <w:vAlign w:val="bottom"/>
            <w:hideMark/>
          </w:tcPr>
          <w:p w14:paraId="5CD22549" w14:textId="77777777" w:rsidR="00C32CBD" w:rsidRDefault="00C32CBD" w:rsidP="00320D09">
            <w:pPr>
              <w:jc w:val="right"/>
              <w:rPr>
                <w:rFonts w:cs="Arial"/>
                <w:b/>
                <w:bCs/>
                <w:sz w:val="18"/>
                <w:szCs w:val="18"/>
              </w:rPr>
            </w:pPr>
            <w:r>
              <w:rPr>
                <w:rFonts w:cs="Arial"/>
                <w:b/>
                <w:bCs/>
                <w:sz w:val="18"/>
                <w:szCs w:val="18"/>
              </w:rPr>
              <w:t> </w:t>
            </w:r>
          </w:p>
        </w:tc>
        <w:tc>
          <w:tcPr>
            <w:tcW w:w="236" w:type="dxa"/>
            <w:tcBorders>
              <w:top w:val="single" w:sz="8" w:space="0" w:color="008000"/>
              <w:left w:val="nil"/>
              <w:bottom w:val="nil"/>
              <w:right w:val="nil"/>
            </w:tcBorders>
            <w:shd w:val="clear" w:color="FFFFFF" w:fill="FFFFFF"/>
            <w:noWrap/>
            <w:vAlign w:val="bottom"/>
            <w:hideMark/>
          </w:tcPr>
          <w:p w14:paraId="04ED51D7" w14:textId="77777777" w:rsidR="00C32CBD" w:rsidRDefault="00C32CBD" w:rsidP="00320D09">
            <w:pPr>
              <w:rPr>
                <w:rFonts w:cs="Arial"/>
                <w:sz w:val="18"/>
                <w:szCs w:val="18"/>
              </w:rPr>
            </w:pPr>
            <w:r>
              <w:rPr>
                <w:rFonts w:cs="Arial"/>
                <w:sz w:val="18"/>
                <w:szCs w:val="18"/>
              </w:rPr>
              <w:t> </w:t>
            </w:r>
          </w:p>
        </w:tc>
        <w:tc>
          <w:tcPr>
            <w:tcW w:w="1095" w:type="dxa"/>
            <w:tcBorders>
              <w:top w:val="single" w:sz="8" w:space="0" w:color="008000"/>
              <w:left w:val="nil"/>
              <w:bottom w:val="nil"/>
              <w:right w:val="nil"/>
            </w:tcBorders>
            <w:shd w:val="clear" w:color="FFFFFF" w:fill="FFFFFF"/>
            <w:noWrap/>
            <w:vAlign w:val="bottom"/>
            <w:hideMark/>
          </w:tcPr>
          <w:p w14:paraId="1F69634C" w14:textId="77777777" w:rsidR="00C32CBD" w:rsidRDefault="00C32CBD" w:rsidP="00320D09">
            <w:pPr>
              <w:jc w:val="right"/>
              <w:rPr>
                <w:rFonts w:cs="Arial"/>
                <w:sz w:val="18"/>
                <w:szCs w:val="18"/>
              </w:rPr>
            </w:pPr>
            <w:r>
              <w:rPr>
                <w:rFonts w:cs="Arial"/>
                <w:sz w:val="18"/>
                <w:szCs w:val="18"/>
              </w:rPr>
              <w:t> </w:t>
            </w:r>
          </w:p>
        </w:tc>
        <w:tc>
          <w:tcPr>
            <w:tcW w:w="236" w:type="dxa"/>
            <w:tcBorders>
              <w:top w:val="single" w:sz="8" w:space="0" w:color="008000"/>
              <w:left w:val="nil"/>
              <w:bottom w:val="nil"/>
              <w:right w:val="nil"/>
            </w:tcBorders>
            <w:shd w:val="clear" w:color="FFFFFF" w:fill="FFFFFF"/>
            <w:noWrap/>
            <w:vAlign w:val="bottom"/>
            <w:hideMark/>
          </w:tcPr>
          <w:p w14:paraId="29132B4F" w14:textId="77777777" w:rsidR="00C32CBD" w:rsidRDefault="00C32CBD" w:rsidP="00320D09">
            <w:pPr>
              <w:rPr>
                <w:rFonts w:cs="Arial"/>
                <w:sz w:val="18"/>
                <w:szCs w:val="18"/>
              </w:rPr>
            </w:pPr>
            <w:r>
              <w:rPr>
                <w:rFonts w:cs="Arial"/>
                <w:sz w:val="18"/>
                <w:szCs w:val="18"/>
              </w:rPr>
              <w:t> </w:t>
            </w:r>
          </w:p>
        </w:tc>
        <w:tc>
          <w:tcPr>
            <w:tcW w:w="1069" w:type="dxa"/>
            <w:tcBorders>
              <w:top w:val="single" w:sz="8" w:space="0" w:color="008000"/>
              <w:left w:val="nil"/>
              <w:bottom w:val="nil"/>
              <w:right w:val="nil"/>
            </w:tcBorders>
            <w:shd w:val="clear" w:color="FFFFFF" w:fill="FFFFFF"/>
            <w:vAlign w:val="bottom"/>
            <w:hideMark/>
          </w:tcPr>
          <w:p w14:paraId="5F71413A" w14:textId="77777777" w:rsidR="00C32CBD" w:rsidRDefault="00C32CBD" w:rsidP="00320D09">
            <w:pPr>
              <w:jc w:val="right"/>
              <w:rPr>
                <w:rFonts w:cs="Arial"/>
                <w:color w:val="008000"/>
                <w:sz w:val="18"/>
                <w:szCs w:val="18"/>
              </w:rPr>
            </w:pPr>
            <w:r>
              <w:rPr>
                <w:rFonts w:cs="Arial"/>
                <w:color w:val="008000"/>
                <w:sz w:val="18"/>
                <w:szCs w:val="18"/>
              </w:rPr>
              <w:t>Original</w:t>
            </w:r>
            <w:r>
              <w:rPr>
                <w:rFonts w:cs="Arial"/>
                <w:color w:val="008000"/>
                <w:sz w:val="18"/>
                <w:szCs w:val="18"/>
              </w:rPr>
              <w:br/>
              <w:t>Budget</w:t>
            </w:r>
          </w:p>
        </w:tc>
      </w:tr>
      <w:bookmarkEnd w:id="68"/>
      <w:tr w:rsidR="00C32CBD" w14:paraId="1B1C8C42" w14:textId="77777777" w:rsidTr="00320D09">
        <w:trPr>
          <w:trHeight w:val="255"/>
        </w:trPr>
        <w:tc>
          <w:tcPr>
            <w:tcW w:w="4280" w:type="dxa"/>
            <w:tcBorders>
              <w:top w:val="nil"/>
              <w:left w:val="nil"/>
              <w:bottom w:val="nil"/>
              <w:right w:val="nil"/>
            </w:tcBorders>
            <w:shd w:val="clear" w:color="FFFFFF" w:fill="FFFFFF"/>
            <w:noWrap/>
            <w:vAlign w:val="bottom"/>
            <w:hideMark/>
          </w:tcPr>
          <w:p w14:paraId="30F1E11C" w14:textId="77777777" w:rsidR="00C32CBD" w:rsidRDefault="00C32CBD" w:rsidP="00320D09">
            <w:pPr>
              <w:rPr>
                <w:rFonts w:cs="Arial"/>
                <w:sz w:val="18"/>
                <w:szCs w:val="18"/>
              </w:rPr>
            </w:pPr>
            <w:r>
              <w:rPr>
                <w:rFonts w:cs="Arial"/>
                <w:sz w:val="18"/>
                <w:szCs w:val="18"/>
              </w:rPr>
              <w:t> </w:t>
            </w:r>
          </w:p>
        </w:tc>
        <w:tc>
          <w:tcPr>
            <w:tcW w:w="1083" w:type="dxa"/>
            <w:tcBorders>
              <w:top w:val="nil"/>
              <w:left w:val="nil"/>
              <w:bottom w:val="nil"/>
              <w:right w:val="nil"/>
            </w:tcBorders>
            <w:shd w:val="clear" w:color="FFFFFF" w:fill="FFFFFF"/>
            <w:noWrap/>
            <w:vAlign w:val="bottom"/>
            <w:hideMark/>
          </w:tcPr>
          <w:p w14:paraId="4A55C291" w14:textId="77777777" w:rsidR="00C32CBD" w:rsidRDefault="00C32CBD" w:rsidP="00320D09">
            <w:pPr>
              <w:rPr>
                <w:rFonts w:cs="Arial"/>
                <w:sz w:val="18"/>
                <w:szCs w:val="18"/>
              </w:rPr>
            </w:pPr>
            <w:r>
              <w:rPr>
                <w:rFonts w:cs="Arial"/>
                <w:sz w:val="18"/>
                <w:szCs w:val="18"/>
              </w:rPr>
              <w:t> </w:t>
            </w:r>
          </w:p>
        </w:tc>
        <w:tc>
          <w:tcPr>
            <w:tcW w:w="1088" w:type="dxa"/>
            <w:tcBorders>
              <w:top w:val="nil"/>
              <w:left w:val="nil"/>
              <w:bottom w:val="nil"/>
              <w:right w:val="nil"/>
            </w:tcBorders>
            <w:shd w:val="clear" w:color="FFFFFF" w:fill="FFFFFF"/>
            <w:noWrap/>
            <w:vAlign w:val="bottom"/>
            <w:hideMark/>
          </w:tcPr>
          <w:p w14:paraId="571614E2" w14:textId="77777777" w:rsidR="00C32CBD" w:rsidRDefault="00C32CBD" w:rsidP="00320D09">
            <w:pPr>
              <w:jc w:val="right"/>
              <w:rPr>
                <w:rFonts w:cs="Arial"/>
                <w:b/>
                <w:bCs/>
                <w:sz w:val="18"/>
                <w:szCs w:val="18"/>
              </w:rPr>
            </w:pPr>
            <w:r>
              <w:rPr>
                <w:rFonts w:cs="Arial"/>
                <w:b/>
                <w:bCs/>
                <w:sz w:val="18"/>
                <w:szCs w:val="18"/>
              </w:rPr>
              <w:t>2017</w:t>
            </w:r>
          </w:p>
        </w:tc>
        <w:tc>
          <w:tcPr>
            <w:tcW w:w="236" w:type="dxa"/>
            <w:tcBorders>
              <w:top w:val="nil"/>
              <w:left w:val="nil"/>
              <w:bottom w:val="nil"/>
              <w:right w:val="nil"/>
            </w:tcBorders>
            <w:shd w:val="clear" w:color="FFFFFF" w:fill="FFFFFF"/>
            <w:noWrap/>
            <w:vAlign w:val="bottom"/>
            <w:hideMark/>
          </w:tcPr>
          <w:p w14:paraId="052C04A3" w14:textId="77777777" w:rsidR="00C32CBD" w:rsidRDefault="00C32CBD" w:rsidP="00320D09">
            <w:pPr>
              <w:rPr>
                <w:rFonts w:cs="Arial"/>
                <w:sz w:val="18"/>
                <w:szCs w:val="18"/>
              </w:rPr>
            </w:pPr>
            <w:r>
              <w:rPr>
                <w:rFonts w:cs="Arial"/>
                <w:sz w:val="18"/>
                <w:szCs w:val="18"/>
              </w:rPr>
              <w:t> </w:t>
            </w:r>
          </w:p>
        </w:tc>
        <w:tc>
          <w:tcPr>
            <w:tcW w:w="1095" w:type="dxa"/>
            <w:tcBorders>
              <w:top w:val="nil"/>
              <w:left w:val="nil"/>
              <w:bottom w:val="nil"/>
              <w:right w:val="nil"/>
            </w:tcBorders>
            <w:shd w:val="clear" w:color="FFFFFF" w:fill="FFFFFF"/>
            <w:noWrap/>
            <w:vAlign w:val="bottom"/>
            <w:hideMark/>
          </w:tcPr>
          <w:p w14:paraId="04BA8F3A" w14:textId="77777777" w:rsidR="00C32CBD" w:rsidRDefault="00C32CBD" w:rsidP="00320D09">
            <w:pPr>
              <w:jc w:val="right"/>
              <w:rPr>
                <w:rFonts w:cs="Arial"/>
                <w:sz w:val="18"/>
                <w:szCs w:val="18"/>
              </w:rPr>
            </w:pPr>
            <w:r>
              <w:rPr>
                <w:rFonts w:cs="Arial"/>
                <w:sz w:val="18"/>
                <w:szCs w:val="18"/>
              </w:rPr>
              <w:t>2016</w:t>
            </w:r>
          </w:p>
        </w:tc>
        <w:tc>
          <w:tcPr>
            <w:tcW w:w="236" w:type="dxa"/>
            <w:tcBorders>
              <w:top w:val="nil"/>
              <w:left w:val="nil"/>
              <w:bottom w:val="nil"/>
              <w:right w:val="nil"/>
            </w:tcBorders>
            <w:shd w:val="clear" w:color="FFFFFF" w:fill="FFFFFF"/>
            <w:noWrap/>
            <w:vAlign w:val="bottom"/>
            <w:hideMark/>
          </w:tcPr>
          <w:p w14:paraId="0415456B" w14:textId="77777777" w:rsidR="00C32CBD" w:rsidRDefault="00C32CBD" w:rsidP="00320D09">
            <w:pPr>
              <w:rPr>
                <w:rFonts w:cs="Arial"/>
                <w:sz w:val="18"/>
                <w:szCs w:val="18"/>
              </w:rPr>
            </w:pPr>
            <w:r>
              <w:rPr>
                <w:rFonts w:cs="Arial"/>
                <w:sz w:val="18"/>
                <w:szCs w:val="18"/>
              </w:rPr>
              <w:t> </w:t>
            </w:r>
          </w:p>
        </w:tc>
        <w:tc>
          <w:tcPr>
            <w:tcW w:w="1069" w:type="dxa"/>
            <w:tcBorders>
              <w:top w:val="nil"/>
              <w:left w:val="nil"/>
              <w:bottom w:val="nil"/>
              <w:right w:val="nil"/>
            </w:tcBorders>
            <w:shd w:val="clear" w:color="FFFFFF" w:fill="FFFFFF"/>
            <w:vAlign w:val="bottom"/>
            <w:hideMark/>
          </w:tcPr>
          <w:p w14:paraId="3F14C6D4" w14:textId="77777777" w:rsidR="00C32CBD" w:rsidRDefault="00C32CBD" w:rsidP="00320D09">
            <w:pPr>
              <w:jc w:val="right"/>
              <w:rPr>
                <w:rFonts w:cs="Arial"/>
                <w:color w:val="008000"/>
                <w:sz w:val="18"/>
                <w:szCs w:val="18"/>
              </w:rPr>
            </w:pPr>
            <w:r>
              <w:rPr>
                <w:rFonts w:cs="Arial"/>
                <w:color w:val="008000"/>
                <w:sz w:val="18"/>
                <w:szCs w:val="18"/>
              </w:rPr>
              <w:t>2017</w:t>
            </w:r>
          </w:p>
        </w:tc>
      </w:tr>
      <w:tr w:rsidR="00C32CBD" w14:paraId="4F605AFA" w14:textId="77777777" w:rsidTr="00320D09">
        <w:trPr>
          <w:trHeight w:val="270"/>
        </w:trPr>
        <w:tc>
          <w:tcPr>
            <w:tcW w:w="4280" w:type="dxa"/>
            <w:tcBorders>
              <w:top w:val="nil"/>
              <w:left w:val="nil"/>
              <w:bottom w:val="single" w:sz="8" w:space="0" w:color="008000"/>
              <w:right w:val="nil"/>
            </w:tcBorders>
            <w:shd w:val="clear" w:color="FFFFFF" w:fill="FFFFFF"/>
            <w:noWrap/>
            <w:vAlign w:val="bottom"/>
            <w:hideMark/>
          </w:tcPr>
          <w:p w14:paraId="313D8044" w14:textId="77777777" w:rsidR="00C32CBD" w:rsidRDefault="00C32CBD" w:rsidP="00320D09">
            <w:pPr>
              <w:rPr>
                <w:rFonts w:cs="Arial"/>
                <w:sz w:val="18"/>
                <w:szCs w:val="18"/>
              </w:rPr>
            </w:pPr>
            <w:r>
              <w:rPr>
                <w:rFonts w:cs="Arial"/>
                <w:sz w:val="18"/>
                <w:szCs w:val="18"/>
              </w:rPr>
              <w:t> </w:t>
            </w:r>
          </w:p>
        </w:tc>
        <w:tc>
          <w:tcPr>
            <w:tcW w:w="1083" w:type="dxa"/>
            <w:tcBorders>
              <w:top w:val="nil"/>
              <w:left w:val="nil"/>
              <w:bottom w:val="single" w:sz="8" w:space="0" w:color="008000"/>
              <w:right w:val="nil"/>
            </w:tcBorders>
            <w:shd w:val="clear" w:color="FFFFFF" w:fill="FFFFFF"/>
            <w:noWrap/>
            <w:vAlign w:val="bottom"/>
            <w:hideMark/>
          </w:tcPr>
          <w:p w14:paraId="1F6E84B3" w14:textId="77777777" w:rsidR="00C32CBD" w:rsidRDefault="00C32CBD" w:rsidP="00320D09">
            <w:pPr>
              <w:jc w:val="center"/>
              <w:rPr>
                <w:rFonts w:cs="Arial"/>
                <w:b/>
                <w:bCs/>
                <w:sz w:val="18"/>
                <w:szCs w:val="18"/>
              </w:rPr>
            </w:pPr>
            <w:r>
              <w:rPr>
                <w:rFonts w:cs="Arial"/>
                <w:b/>
                <w:bCs/>
                <w:sz w:val="18"/>
                <w:szCs w:val="18"/>
              </w:rPr>
              <w:t>Notes</w:t>
            </w:r>
          </w:p>
        </w:tc>
        <w:tc>
          <w:tcPr>
            <w:tcW w:w="1088" w:type="dxa"/>
            <w:tcBorders>
              <w:top w:val="nil"/>
              <w:left w:val="nil"/>
              <w:bottom w:val="single" w:sz="8" w:space="0" w:color="008000"/>
              <w:right w:val="nil"/>
            </w:tcBorders>
            <w:shd w:val="clear" w:color="FFFFFF" w:fill="FFFFFF"/>
            <w:noWrap/>
            <w:vAlign w:val="bottom"/>
            <w:hideMark/>
          </w:tcPr>
          <w:p w14:paraId="6DE59241" w14:textId="77777777" w:rsidR="00C32CBD" w:rsidRDefault="00C32CBD" w:rsidP="00320D09">
            <w:pPr>
              <w:jc w:val="right"/>
              <w:rPr>
                <w:rFonts w:cs="Arial"/>
                <w:b/>
                <w:bCs/>
                <w:sz w:val="18"/>
                <w:szCs w:val="18"/>
              </w:rPr>
            </w:pPr>
            <w:r>
              <w:rPr>
                <w:rFonts w:cs="Arial"/>
                <w:b/>
                <w:bCs/>
                <w:sz w:val="18"/>
                <w:szCs w:val="18"/>
              </w:rPr>
              <w:t>$'000</w:t>
            </w:r>
          </w:p>
        </w:tc>
        <w:tc>
          <w:tcPr>
            <w:tcW w:w="236" w:type="dxa"/>
            <w:tcBorders>
              <w:top w:val="nil"/>
              <w:left w:val="nil"/>
              <w:bottom w:val="single" w:sz="8" w:space="0" w:color="008000"/>
              <w:right w:val="nil"/>
            </w:tcBorders>
            <w:shd w:val="clear" w:color="FFFFFF" w:fill="FFFFFF"/>
            <w:noWrap/>
            <w:vAlign w:val="bottom"/>
            <w:hideMark/>
          </w:tcPr>
          <w:p w14:paraId="1B28AF8B" w14:textId="77777777" w:rsidR="00C32CBD" w:rsidRDefault="00C32CBD" w:rsidP="00320D09">
            <w:pPr>
              <w:rPr>
                <w:rFonts w:cs="Arial"/>
                <w:sz w:val="18"/>
                <w:szCs w:val="18"/>
              </w:rPr>
            </w:pPr>
            <w:r>
              <w:rPr>
                <w:rFonts w:cs="Arial"/>
                <w:sz w:val="18"/>
                <w:szCs w:val="18"/>
              </w:rPr>
              <w:t> </w:t>
            </w:r>
          </w:p>
        </w:tc>
        <w:tc>
          <w:tcPr>
            <w:tcW w:w="1095" w:type="dxa"/>
            <w:tcBorders>
              <w:top w:val="nil"/>
              <w:left w:val="nil"/>
              <w:bottom w:val="single" w:sz="8" w:space="0" w:color="008000"/>
              <w:right w:val="nil"/>
            </w:tcBorders>
            <w:shd w:val="clear" w:color="FFFFFF" w:fill="FFFFFF"/>
            <w:noWrap/>
            <w:vAlign w:val="bottom"/>
            <w:hideMark/>
          </w:tcPr>
          <w:p w14:paraId="02E31894" w14:textId="77777777" w:rsidR="00C32CBD" w:rsidRDefault="00C32CBD" w:rsidP="00320D09">
            <w:pPr>
              <w:jc w:val="right"/>
              <w:rPr>
                <w:rFonts w:cs="Arial"/>
                <w:sz w:val="18"/>
                <w:szCs w:val="18"/>
              </w:rPr>
            </w:pPr>
            <w:r>
              <w:rPr>
                <w:rFonts w:cs="Arial"/>
                <w:sz w:val="18"/>
                <w:szCs w:val="18"/>
              </w:rPr>
              <w:t>$'000</w:t>
            </w:r>
          </w:p>
        </w:tc>
        <w:tc>
          <w:tcPr>
            <w:tcW w:w="236" w:type="dxa"/>
            <w:tcBorders>
              <w:top w:val="nil"/>
              <w:left w:val="nil"/>
              <w:bottom w:val="single" w:sz="8" w:space="0" w:color="008000"/>
              <w:right w:val="nil"/>
            </w:tcBorders>
            <w:shd w:val="clear" w:color="FFFFFF" w:fill="FFFFFF"/>
            <w:noWrap/>
            <w:vAlign w:val="bottom"/>
            <w:hideMark/>
          </w:tcPr>
          <w:p w14:paraId="5D329844" w14:textId="77777777" w:rsidR="00C32CBD" w:rsidRDefault="00C32CBD" w:rsidP="00320D09">
            <w:pPr>
              <w:rPr>
                <w:rFonts w:cs="Arial"/>
                <w:sz w:val="18"/>
                <w:szCs w:val="18"/>
              </w:rPr>
            </w:pPr>
            <w:r>
              <w:rPr>
                <w:rFonts w:cs="Arial"/>
                <w:sz w:val="18"/>
                <w:szCs w:val="18"/>
              </w:rPr>
              <w:t> </w:t>
            </w:r>
          </w:p>
        </w:tc>
        <w:tc>
          <w:tcPr>
            <w:tcW w:w="1069" w:type="dxa"/>
            <w:tcBorders>
              <w:top w:val="nil"/>
              <w:left w:val="nil"/>
              <w:bottom w:val="single" w:sz="8" w:space="0" w:color="008000"/>
              <w:right w:val="nil"/>
            </w:tcBorders>
            <w:shd w:val="clear" w:color="FFFFFF" w:fill="FFFFFF"/>
            <w:noWrap/>
            <w:vAlign w:val="bottom"/>
            <w:hideMark/>
          </w:tcPr>
          <w:p w14:paraId="790852E0" w14:textId="77777777" w:rsidR="00C32CBD" w:rsidRDefault="00C32CBD" w:rsidP="00320D09">
            <w:pPr>
              <w:jc w:val="right"/>
              <w:rPr>
                <w:rFonts w:cs="Arial"/>
                <w:color w:val="008000"/>
                <w:sz w:val="18"/>
                <w:szCs w:val="18"/>
              </w:rPr>
            </w:pPr>
            <w:r>
              <w:rPr>
                <w:rFonts w:cs="Arial"/>
                <w:color w:val="008000"/>
                <w:sz w:val="18"/>
                <w:szCs w:val="18"/>
              </w:rPr>
              <w:t>$'000</w:t>
            </w:r>
          </w:p>
        </w:tc>
      </w:tr>
      <w:tr w:rsidR="00C32CBD" w14:paraId="7185BB0A" w14:textId="77777777" w:rsidTr="00320D09">
        <w:trPr>
          <w:trHeight w:val="255"/>
        </w:trPr>
        <w:tc>
          <w:tcPr>
            <w:tcW w:w="4280" w:type="dxa"/>
            <w:tcBorders>
              <w:top w:val="nil"/>
              <w:left w:val="nil"/>
              <w:bottom w:val="nil"/>
              <w:right w:val="nil"/>
            </w:tcBorders>
            <w:shd w:val="clear" w:color="FFFFFF" w:fill="FFFFFF"/>
            <w:vAlign w:val="bottom"/>
            <w:hideMark/>
          </w:tcPr>
          <w:p w14:paraId="3E8F0F8C" w14:textId="77777777" w:rsidR="00C32CBD" w:rsidRDefault="00C32CBD" w:rsidP="00320D09">
            <w:pPr>
              <w:rPr>
                <w:rFonts w:cs="Arial"/>
                <w:b/>
                <w:bCs/>
                <w:sz w:val="18"/>
                <w:szCs w:val="18"/>
              </w:rPr>
            </w:pPr>
            <w:r>
              <w:rPr>
                <w:rFonts w:cs="Arial"/>
                <w:b/>
                <w:bCs/>
                <w:sz w:val="18"/>
                <w:szCs w:val="18"/>
              </w:rPr>
              <w:t>ASSETS</w:t>
            </w:r>
          </w:p>
        </w:tc>
        <w:tc>
          <w:tcPr>
            <w:tcW w:w="1083" w:type="dxa"/>
            <w:tcBorders>
              <w:top w:val="nil"/>
              <w:left w:val="nil"/>
              <w:bottom w:val="nil"/>
              <w:right w:val="nil"/>
            </w:tcBorders>
            <w:shd w:val="clear" w:color="FFFFFF" w:fill="FFFFFF"/>
            <w:noWrap/>
            <w:vAlign w:val="bottom"/>
            <w:hideMark/>
          </w:tcPr>
          <w:p w14:paraId="115448D3" w14:textId="77777777" w:rsidR="00C32CBD" w:rsidRDefault="00C32CBD" w:rsidP="00320D09">
            <w:pPr>
              <w:jc w:val="center"/>
              <w:rPr>
                <w:rFonts w:cs="Arial"/>
                <w:sz w:val="18"/>
                <w:szCs w:val="18"/>
              </w:rPr>
            </w:pPr>
            <w:r>
              <w:rPr>
                <w:rFonts w:cs="Arial"/>
                <w:sz w:val="18"/>
                <w:szCs w:val="18"/>
              </w:rPr>
              <w:t> </w:t>
            </w:r>
          </w:p>
        </w:tc>
        <w:tc>
          <w:tcPr>
            <w:tcW w:w="1088" w:type="dxa"/>
            <w:tcBorders>
              <w:top w:val="nil"/>
              <w:left w:val="nil"/>
              <w:bottom w:val="nil"/>
              <w:right w:val="nil"/>
            </w:tcBorders>
            <w:shd w:val="clear" w:color="FFFFFF" w:fill="FFFFFF"/>
            <w:noWrap/>
            <w:vAlign w:val="bottom"/>
            <w:hideMark/>
          </w:tcPr>
          <w:p w14:paraId="697A8DC2"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1D9D33C7" w14:textId="77777777" w:rsidR="00C32CBD" w:rsidRDefault="00C32CBD" w:rsidP="00320D09">
            <w:pPr>
              <w:rPr>
                <w:rFonts w:cs="Arial"/>
                <w:sz w:val="18"/>
                <w:szCs w:val="18"/>
              </w:rPr>
            </w:pPr>
            <w:r>
              <w:rPr>
                <w:rFonts w:cs="Arial"/>
                <w:sz w:val="18"/>
                <w:szCs w:val="18"/>
              </w:rPr>
              <w:t> </w:t>
            </w:r>
          </w:p>
        </w:tc>
        <w:tc>
          <w:tcPr>
            <w:tcW w:w="1095" w:type="dxa"/>
            <w:tcBorders>
              <w:top w:val="nil"/>
              <w:left w:val="nil"/>
              <w:bottom w:val="nil"/>
              <w:right w:val="nil"/>
            </w:tcBorders>
            <w:shd w:val="clear" w:color="FFFFFF" w:fill="FFFFFF"/>
            <w:noWrap/>
            <w:vAlign w:val="bottom"/>
            <w:hideMark/>
          </w:tcPr>
          <w:p w14:paraId="32D82D24"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2A487B5F" w14:textId="77777777" w:rsidR="00C32CBD" w:rsidRDefault="00C32CBD" w:rsidP="00320D09">
            <w:pPr>
              <w:rPr>
                <w:rFonts w:cs="Arial"/>
                <w:sz w:val="18"/>
                <w:szCs w:val="18"/>
              </w:rPr>
            </w:pPr>
            <w:r>
              <w:rPr>
                <w:rFonts w:cs="Arial"/>
                <w:sz w:val="18"/>
                <w:szCs w:val="18"/>
              </w:rPr>
              <w:t> </w:t>
            </w:r>
          </w:p>
        </w:tc>
        <w:tc>
          <w:tcPr>
            <w:tcW w:w="1069" w:type="dxa"/>
            <w:tcBorders>
              <w:top w:val="nil"/>
              <w:left w:val="nil"/>
              <w:bottom w:val="nil"/>
              <w:right w:val="nil"/>
            </w:tcBorders>
            <w:shd w:val="clear" w:color="FFFFFF" w:fill="FFFFFF"/>
            <w:noWrap/>
            <w:vAlign w:val="bottom"/>
            <w:hideMark/>
          </w:tcPr>
          <w:p w14:paraId="39B1B551" w14:textId="77777777" w:rsidR="00C32CBD" w:rsidRDefault="00C32CBD" w:rsidP="00320D09">
            <w:pPr>
              <w:rPr>
                <w:rFonts w:cs="Arial"/>
                <w:sz w:val="18"/>
                <w:szCs w:val="18"/>
              </w:rPr>
            </w:pPr>
            <w:r>
              <w:rPr>
                <w:rFonts w:cs="Arial"/>
                <w:sz w:val="18"/>
                <w:szCs w:val="18"/>
              </w:rPr>
              <w:t> </w:t>
            </w:r>
          </w:p>
        </w:tc>
      </w:tr>
      <w:tr w:rsidR="00C32CBD" w14:paraId="015CF2FC" w14:textId="77777777" w:rsidTr="00320D09">
        <w:trPr>
          <w:trHeight w:val="255"/>
        </w:trPr>
        <w:tc>
          <w:tcPr>
            <w:tcW w:w="4280" w:type="dxa"/>
            <w:tcBorders>
              <w:top w:val="nil"/>
              <w:left w:val="nil"/>
              <w:bottom w:val="nil"/>
              <w:right w:val="nil"/>
            </w:tcBorders>
            <w:shd w:val="clear" w:color="FFFFFF" w:fill="FFFFFF"/>
            <w:vAlign w:val="bottom"/>
            <w:hideMark/>
          </w:tcPr>
          <w:p w14:paraId="32656DF0" w14:textId="77777777" w:rsidR="00C32CBD" w:rsidRDefault="00C32CBD" w:rsidP="00320D09">
            <w:pPr>
              <w:rPr>
                <w:rFonts w:cs="Arial"/>
                <w:b/>
                <w:bCs/>
                <w:sz w:val="18"/>
                <w:szCs w:val="18"/>
              </w:rPr>
            </w:pPr>
            <w:r>
              <w:rPr>
                <w:rFonts w:cs="Arial"/>
                <w:b/>
                <w:bCs/>
                <w:sz w:val="18"/>
                <w:szCs w:val="18"/>
              </w:rPr>
              <w:t>Financial assets</w:t>
            </w:r>
          </w:p>
        </w:tc>
        <w:tc>
          <w:tcPr>
            <w:tcW w:w="1083" w:type="dxa"/>
            <w:tcBorders>
              <w:top w:val="nil"/>
              <w:left w:val="nil"/>
              <w:bottom w:val="nil"/>
              <w:right w:val="nil"/>
            </w:tcBorders>
            <w:shd w:val="clear" w:color="FFFFFF" w:fill="FFFFFF"/>
            <w:noWrap/>
            <w:vAlign w:val="bottom"/>
            <w:hideMark/>
          </w:tcPr>
          <w:p w14:paraId="78375B0A" w14:textId="77777777" w:rsidR="00C32CBD" w:rsidRDefault="00C32CBD" w:rsidP="00320D09">
            <w:pPr>
              <w:jc w:val="center"/>
              <w:rPr>
                <w:rFonts w:cs="Arial"/>
                <w:sz w:val="18"/>
                <w:szCs w:val="18"/>
              </w:rPr>
            </w:pPr>
            <w:r>
              <w:rPr>
                <w:rFonts w:cs="Arial"/>
                <w:sz w:val="18"/>
                <w:szCs w:val="18"/>
              </w:rPr>
              <w:t> </w:t>
            </w:r>
          </w:p>
        </w:tc>
        <w:tc>
          <w:tcPr>
            <w:tcW w:w="1088" w:type="dxa"/>
            <w:tcBorders>
              <w:top w:val="nil"/>
              <w:left w:val="nil"/>
              <w:bottom w:val="nil"/>
              <w:right w:val="nil"/>
            </w:tcBorders>
            <w:shd w:val="clear" w:color="FFFFFF" w:fill="FFFFFF"/>
            <w:noWrap/>
            <w:vAlign w:val="bottom"/>
            <w:hideMark/>
          </w:tcPr>
          <w:p w14:paraId="7EAC7A14"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39D43D63" w14:textId="77777777" w:rsidR="00C32CBD" w:rsidRDefault="00C32CBD" w:rsidP="00320D09">
            <w:pPr>
              <w:rPr>
                <w:rFonts w:cs="Arial"/>
                <w:sz w:val="18"/>
                <w:szCs w:val="18"/>
              </w:rPr>
            </w:pPr>
            <w:r>
              <w:rPr>
                <w:rFonts w:cs="Arial"/>
                <w:sz w:val="18"/>
                <w:szCs w:val="18"/>
              </w:rPr>
              <w:t> </w:t>
            </w:r>
          </w:p>
        </w:tc>
        <w:tc>
          <w:tcPr>
            <w:tcW w:w="1095" w:type="dxa"/>
            <w:tcBorders>
              <w:top w:val="nil"/>
              <w:left w:val="nil"/>
              <w:bottom w:val="nil"/>
              <w:right w:val="nil"/>
            </w:tcBorders>
            <w:shd w:val="clear" w:color="FFFFFF" w:fill="FFFFFF"/>
            <w:noWrap/>
            <w:vAlign w:val="bottom"/>
            <w:hideMark/>
          </w:tcPr>
          <w:p w14:paraId="1E43DD01"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2C822144" w14:textId="77777777" w:rsidR="00C32CBD" w:rsidRDefault="00C32CBD" w:rsidP="00320D09">
            <w:pPr>
              <w:rPr>
                <w:rFonts w:cs="Arial"/>
                <w:sz w:val="18"/>
                <w:szCs w:val="18"/>
              </w:rPr>
            </w:pPr>
            <w:r>
              <w:rPr>
                <w:rFonts w:cs="Arial"/>
                <w:sz w:val="18"/>
                <w:szCs w:val="18"/>
              </w:rPr>
              <w:t> </w:t>
            </w:r>
          </w:p>
        </w:tc>
        <w:tc>
          <w:tcPr>
            <w:tcW w:w="1069" w:type="dxa"/>
            <w:tcBorders>
              <w:top w:val="nil"/>
              <w:left w:val="nil"/>
              <w:bottom w:val="nil"/>
              <w:right w:val="nil"/>
            </w:tcBorders>
            <w:shd w:val="clear" w:color="FFFFFF" w:fill="FFFFFF"/>
            <w:noWrap/>
            <w:vAlign w:val="bottom"/>
            <w:hideMark/>
          </w:tcPr>
          <w:p w14:paraId="1743067F" w14:textId="77777777" w:rsidR="00C32CBD" w:rsidRDefault="00C32CBD" w:rsidP="00320D09">
            <w:pPr>
              <w:rPr>
                <w:rFonts w:cs="Arial"/>
                <w:sz w:val="18"/>
                <w:szCs w:val="18"/>
              </w:rPr>
            </w:pPr>
            <w:r>
              <w:rPr>
                <w:rFonts w:cs="Arial"/>
                <w:sz w:val="18"/>
                <w:szCs w:val="18"/>
              </w:rPr>
              <w:t> </w:t>
            </w:r>
          </w:p>
        </w:tc>
      </w:tr>
      <w:tr w:rsidR="00C32CBD" w14:paraId="16F1A9C8" w14:textId="77777777" w:rsidTr="00320D09">
        <w:trPr>
          <w:trHeight w:val="255"/>
        </w:trPr>
        <w:tc>
          <w:tcPr>
            <w:tcW w:w="4280" w:type="dxa"/>
            <w:tcBorders>
              <w:top w:val="nil"/>
              <w:left w:val="nil"/>
              <w:bottom w:val="nil"/>
              <w:right w:val="nil"/>
            </w:tcBorders>
            <w:shd w:val="clear" w:color="FFFFFF" w:fill="FFFFFF"/>
            <w:vAlign w:val="bottom"/>
            <w:hideMark/>
          </w:tcPr>
          <w:p w14:paraId="65E24D8A" w14:textId="77777777" w:rsidR="00C32CBD" w:rsidRDefault="00C32CBD" w:rsidP="00320D09">
            <w:pPr>
              <w:ind w:firstLineChars="100" w:firstLine="180"/>
              <w:rPr>
                <w:rFonts w:cs="Arial"/>
                <w:sz w:val="18"/>
                <w:szCs w:val="18"/>
              </w:rPr>
            </w:pPr>
            <w:r>
              <w:rPr>
                <w:rFonts w:cs="Arial"/>
                <w:sz w:val="18"/>
                <w:szCs w:val="18"/>
              </w:rPr>
              <w:t>Cash and cash equivalents</w:t>
            </w:r>
          </w:p>
        </w:tc>
        <w:tc>
          <w:tcPr>
            <w:tcW w:w="1083" w:type="dxa"/>
            <w:tcBorders>
              <w:top w:val="nil"/>
              <w:left w:val="nil"/>
              <w:bottom w:val="nil"/>
              <w:right w:val="nil"/>
            </w:tcBorders>
            <w:shd w:val="clear" w:color="FFFFFF" w:fill="FFFFFF"/>
            <w:noWrap/>
            <w:vAlign w:val="bottom"/>
            <w:hideMark/>
          </w:tcPr>
          <w:p w14:paraId="35C5967A" w14:textId="77777777" w:rsidR="00C32CBD" w:rsidRDefault="00C32CBD" w:rsidP="00320D09">
            <w:pPr>
              <w:jc w:val="center"/>
              <w:rPr>
                <w:rFonts w:cs="Arial"/>
                <w:sz w:val="18"/>
                <w:szCs w:val="18"/>
              </w:rPr>
            </w:pPr>
            <w:r>
              <w:rPr>
                <w:rFonts w:cs="Arial"/>
                <w:sz w:val="18"/>
                <w:szCs w:val="18"/>
              </w:rPr>
              <w:t>2.1A</w:t>
            </w:r>
          </w:p>
        </w:tc>
        <w:tc>
          <w:tcPr>
            <w:tcW w:w="1088" w:type="dxa"/>
            <w:tcBorders>
              <w:top w:val="nil"/>
              <w:left w:val="nil"/>
              <w:bottom w:val="nil"/>
              <w:right w:val="nil"/>
            </w:tcBorders>
            <w:shd w:val="clear" w:color="FFFFFF" w:fill="FFFFFF"/>
            <w:noWrap/>
            <w:vAlign w:val="bottom"/>
            <w:hideMark/>
          </w:tcPr>
          <w:p w14:paraId="782AA879" w14:textId="77777777" w:rsidR="00C32CBD" w:rsidRDefault="00C32CBD" w:rsidP="00320D09">
            <w:pPr>
              <w:jc w:val="right"/>
              <w:rPr>
                <w:rFonts w:cs="Arial"/>
                <w:b/>
                <w:bCs/>
                <w:sz w:val="18"/>
                <w:szCs w:val="18"/>
              </w:rPr>
            </w:pPr>
            <w:r>
              <w:rPr>
                <w:rFonts w:cs="Arial"/>
                <w:b/>
                <w:bCs/>
                <w:sz w:val="18"/>
                <w:szCs w:val="18"/>
              </w:rPr>
              <w:t>1,328,287</w:t>
            </w:r>
          </w:p>
        </w:tc>
        <w:tc>
          <w:tcPr>
            <w:tcW w:w="236" w:type="dxa"/>
            <w:tcBorders>
              <w:top w:val="nil"/>
              <w:left w:val="nil"/>
              <w:bottom w:val="nil"/>
              <w:right w:val="nil"/>
            </w:tcBorders>
            <w:shd w:val="clear" w:color="FFFFFF" w:fill="FFFFFF"/>
            <w:noWrap/>
            <w:vAlign w:val="bottom"/>
            <w:hideMark/>
          </w:tcPr>
          <w:p w14:paraId="178E2837" w14:textId="77777777" w:rsidR="00C32CBD" w:rsidRDefault="00C32CBD" w:rsidP="00320D09">
            <w:pPr>
              <w:rPr>
                <w:rFonts w:cs="Arial"/>
                <w:sz w:val="18"/>
                <w:szCs w:val="18"/>
              </w:rPr>
            </w:pPr>
            <w:r>
              <w:rPr>
                <w:rFonts w:cs="Arial"/>
                <w:sz w:val="18"/>
                <w:szCs w:val="18"/>
              </w:rPr>
              <w:t> </w:t>
            </w:r>
          </w:p>
        </w:tc>
        <w:tc>
          <w:tcPr>
            <w:tcW w:w="1095" w:type="dxa"/>
            <w:tcBorders>
              <w:top w:val="nil"/>
              <w:left w:val="nil"/>
              <w:bottom w:val="nil"/>
              <w:right w:val="nil"/>
            </w:tcBorders>
            <w:shd w:val="clear" w:color="FFFFFF" w:fill="FFFFFF"/>
            <w:noWrap/>
            <w:vAlign w:val="bottom"/>
            <w:hideMark/>
          </w:tcPr>
          <w:p w14:paraId="43A97C01" w14:textId="77777777" w:rsidR="00C32CBD" w:rsidRDefault="00C32CBD" w:rsidP="00320D09">
            <w:pPr>
              <w:jc w:val="right"/>
              <w:rPr>
                <w:rFonts w:cs="Arial"/>
                <w:sz w:val="18"/>
                <w:szCs w:val="18"/>
              </w:rPr>
            </w:pPr>
            <w:r>
              <w:rPr>
                <w:rFonts w:cs="Arial"/>
                <w:sz w:val="18"/>
                <w:szCs w:val="18"/>
              </w:rPr>
              <w:t>306,430</w:t>
            </w:r>
          </w:p>
        </w:tc>
        <w:tc>
          <w:tcPr>
            <w:tcW w:w="236" w:type="dxa"/>
            <w:tcBorders>
              <w:top w:val="nil"/>
              <w:left w:val="nil"/>
              <w:bottom w:val="nil"/>
              <w:right w:val="nil"/>
            </w:tcBorders>
            <w:shd w:val="clear" w:color="FFFFFF" w:fill="FFFFFF"/>
            <w:noWrap/>
            <w:vAlign w:val="bottom"/>
            <w:hideMark/>
          </w:tcPr>
          <w:p w14:paraId="58070AC7" w14:textId="77777777" w:rsidR="00C32CBD" w:rsidRDefault="00C32CBD" w:rsidP="00320D09">
            <w:pPr>
              <w:rPr>
                <w:rFonts w:cs="Arial"/>
                <w:sz w:val="18"/>
                <w:szCs w:val="18"/>
              </w:rPr>
            </w:pPr>
            <w:r>
              <w:rPr>
                <w:rFonts w:cs="Arial"/>
                <w:sz w:val="18"/>
                <w:szCs w:val="18"/>
              </w:rPr>
              <w:t> </w:t>
            </w:r>
          </w:p>
        </w:tc>
        <w:tc>
          <w:tcPr>
            <w:tcW w:w="1069" w:type="dxa"/>
            <w:tcBorders>
              <w:top w:val="nil"/>
              <w:left w:val="nil"/>
              <w:bottom w:val="nil"/>
              <w:right w:val="nil"/>
            </w:tcBorders>
            <w:shd w:val="clear" w:color="FFFFFF" w:fill="FFFFFF"/>
            <w:noWrap/>
            <w:vAlign w:val="bottom"/>
            <w:hideMark/>
          </w:tcPr>
          <w:p w14:paraId="21355B06" w14:textId="77777777" w:rsidR="00C32CBD" w:rsidRDefault="00C32CBD" w:rsidP="00320D09">
            <w:pPr>
              <w:jc w:val="right"/>
              <w:rPr>
                <w:rFonts w:cs="Arial"/>
                <w:sz w:val="18"/>
                <w:szCs w:val="18"/>
              </w:rPr>
            </w:pPr>
            <w:r>
              <w:rPr>
                <w:rFonts w:cs="Arial"/>
                <w:sz w:val="18"/>
                <w:szCs w:val="18"/>
              </w:rPr>
              <w:t>245,496</w:t>
            </w:r>
          </w:p>
        </w:tc>
      </w:tr>
      <w:tr w:rsidR="00C32CBD" w14:paraId="2A2D0D20" w14:textId="77777777" w:rsidTr="00320D09">
        <w:trPr>
          <w:trHeight w:val="255"/>
        </w:trPr>
        <w:tc>
          <w:tcPr>
            <w:tcW w:w="4280" w:type="dxa"/>
            <w:tcBorders>
              <w:top w:val="nil"/>
              <w:left w:val="nil"/>
              <w:bottom w:val="nil"/>
              <w:right w:val="nil"/>
            </w:tcBorders>
            <w:shd w:val="clear" w:color="FFFFFF" w:fill="FFFFFF"/>
            <w:vAlign w:val="bottom"/>
            <w:hideMark/>
          </w:tcPr>
          <w:p w14:paraId="500B24C3" w14:textId="77777777" w:rsidR="00C32CBD" w:rsidRDefault="00C32CBD" w:rsidP="00320D09">
            <w:pPr>
              <w:ind w:firstLineChars="100" w:firstLine="180"/>
              <w:rPr>
                <w:rFonts w:cs="Arial"/>
                <w:sz w:val="18"/>
                <w:szCs w:val="18"/>
              </w:rPr>
            </w:pPr>
            <w:r>
              <w:rPr>
                <w:rFonts w:cs="Arial"/>
                <w:sz w:val="18"/>
                <w:szCs w:val="18"/>
              </w:rPr>
              <w:t>Trade and other receivables</w:t>
            </w:r>
          </w:p>
        </w:tc>
        <w:tc>
          <w:tcPr>
            <w:tcW w:w="1083" w:type="dxa"/>
            <w:tcBorders>
              <w:top w:val="nil"/>
              <w:left w:val="nil"/>
              <w:bottom w:val="nil"/>
              <w:right w:val="nil"/>
            </w:tcBorders>
            <w:shd w:val="clear" w:color="FFFFFF" w:fill="FFFFFF"/>
            <w:noWrap/>
            <w:vAlign w:val="bottom"/>
            <w:hideMark/>
          </w:tcPr>
          <w:p w14:paraId="568E3524" w14:textId="77777777" w:rsidR="00C32CBD" w:rsidRDefault="00C32CBD" w:rsidP="00320D09">
            <w:pPr>
              <w:jc w:val="center"/>
              <w:rPr>
                <w:rFonts w:cs="Arial"/>
                <w:sz w:val="18"/>
                <w:szCs w:val="18"/>
              </w:rPr>
            </w:pPr>
            <w:r>
              <w:rPr>
                <w:rFonts w:cs="Arial"/>
                <w:sz w:val="18"/>
                <w:szCs w:val="18"/>
              </w:rPr>
              <w:t>2.1B</w:t>
            </w:r>
          </w:p>
        </w:tc>
        <w:tc>
          <w:tcPr>
            <w:tcW w:w="1088" w:type="dxa"/>
            <w:tcBorders>
              <w:top w:val="nil"/>
              <w:left w:val="nil"/>
              <w:bottom w:val="nil"/>
              <w:right w:val="nil"/>
            </w:tcBorders>
            <w:shd w:val="clear" w:color="FFFFFF" w:fill="FFFFFF"/>
            <w:noWrap/>
            <w:vAlign w:val="bottom"/>
            <w:hideMark/>
          </w:tcPr>
          <w:p w14:paraId="289979ED" w14:textId="77777777" w:rsidR="00C32CBD" w:rsidRDefault="00C32CBD" w:rsidP="00320D09">
            <w:pPr>
              <w:jc w:val="right"/>
              <w:rPr>
                <w:rFonts w:cs="Arial"/>
                <w:b/>
                <w:bCs/>
                <w:sz w:val="18"/>
                <w:szCs w:val="18"/>
              </w:rPr>
            </w:pPr>
            <w:r>
              <w:rPr>
                <w:rFonts w:cs="Arial"/>
                <w:b/>
                <w:bCs/>
                <w:sz w:val="18"/>
                <w:szCs w:val="18"/>
              </w:rPr>
              <w:t>204,862</w:t>
            </w:r>
          </w:p>
        </w:tc>
        <w:tc>
          <w:tcPr>
            <w:tcW w:w="236" w:type="dxa"/>
            <w:tcBorders>
              <w:top w:val="nil"/>
              <w:left w:val="nil"/>
              <w:bottom w:val="nil"/>
              <w:right w:val="nil"/>
            </w:tcBorders>
            <w:shd w:val="clear" w:color="FFFFFF" w:fill="FFFFFF"/>
            <w:noWrap/>
            <w:vAlign w:val="bottom"/>
            <w:hideMark/>
          </w:tcPr>
          <w:p w14:paraId="22E73664" w14:textId="77777777" w:rsidR="00C32CBD" w:rsidRDefault="00C32CBD" w:rsidP="00320D09">
            <w:pPr>
              <w:rPr>
                <w:rFonts w:cs="Arial"/>
                <w:sz w:val="18"/>
                <w:szCs w:val="18"/>
              </w:rPr>
            </w:pPr>
            <w:r>
              <w:rPr>
                <w:rFonts w:cs="Arial"/>
                <w:sz w:val="18"/>
                <w:szCs w:val="18"/>
              </w:rPr>
              <w:t> </w:t>
            </w:r>
          </w:p>
        </w:tc>
        <w:tc>
          <w:tcPr>
            <w:tcW w:w="1095" w:type="dxa"/>
            <w:tcBorders>
              <w:top w:val="nil"/>
              <w:left w:val="nil"/>
              <w:bottom w:val="nil"/>
              <w:right w:val="nil"/>
            </w:tcBorders>
            <w:shd w:val="clear" w:color="FFFFFF" w:fill="FFFFFF"/>
            <w:noWrap/>
            <w:vAlign w:val="bottom"/>
            <w:hideMark/>
          </w:tcPr>
          <w:p w14:paraId="1B1E6423" w14:textId="77777777" w:rsidR="00C32CBD" w:rsidRDefault="00C32CBD" w:rsidP="00320D09">
            <w:pPr>
              <w:jc w:val="right"/>
              <w:rPr>
                <w:rFonts w:cs="Arial"/>
                <w:sz w:val="18"/>
                <w:szCs w:val="18"/>
              </w:rPr>
            </w:pPr>
            <w:r>
              <w:rPr>
                <w:rFonts w:cs="Arial"/>
                <w:sz w:val="18"/>
                <w:szCs w:val="18"/>
              </w:rPr>
              <w:t>20,884</w:t>
            </w:r>
          </w:p>
        </w:tc>
        <w:tc>
          <w:tcPr>
            <w:tcW w:w="236" w:type="dxa"/>
            <w:tcBorders>
              <w:top w:val="nil"/>
              <w:left w:val="nil"/>
              <w:bottom w:val="nil"/>
              <w:right w:val="nil"/>
            </w:tcBorders>
            <w:shd w:val="clear" w:color="FFFFFF" w:fill="FFFFFF"/>
            <w:noWrap/>
            <w:vAlign w:val="bottom"/>
            <w:hideMark/>
          </w:tcPr>
          <w:p w14:paraId="77F442F7" w14:textId="77777777" w:rsidR="00C32CBD" w:rsidRDefault="00C32CBD" w:rsidP="00320D09">
            <w:pPr>
              <w:rPr>
                <w:rFonts w:cs="Arial"/>
                <w:sz w:val="18"/>
                <w:szCs w:val="18"/>
              </w:rPr>
            </w:pPr>
            <w:r>
              <w:rPr>
                <w:rFonts w:cs="Arial"/>
                <w:sz w:val="18"/>
                <w:szCs w:val="18"/>
              </w:rPr>
              <w:t> </w:t>
            </w:r>
          </w:p>
        </w:tc>
        <w:tc>
          <w:tcPr>
            <w:tcW w:w="1069" w:type="dxa"/>
            <w:tcBorders>
              <w:top w:val="nil"/>
              <w:left w:val="nil"/>
              <w:bottom w:val="nil"/>
              <w:right w:val="nil"/>
            </w:tcBorders>
            <w:shd w:val="clear" w:color="FFFFFF" w:fill="FFFFFF"/>
            <w:noWrap/>
            <w:vAlign w:val="bottom"/>
            <w:hideMark/>
          </w:tcPr>
          <w:p w14:paraId="70B9FD08" w14:textId="77777777" w:rsidR="00C32CBD" w:rsidRDefault="00C32CBD" w:rsidP="00320D09">
            <w:pPr>
              <w:jc w:val="right"/>
              <w:rPr>
                <w:rFonts w:cs="Arial"/>
                <w:sz w:val="18"/>
                <w:szCs w:val="18"/>
              </w:rPr>
            </w:pPr>
            <w:r>
              <w:rPr>
                <w:rFonts w:cs="Arial"/>
                <w:sz w:val="18"/>
                <w:szCs w:val="18"/>
              </w:rPr>
              <w:t>86,216</w:t>
            </w:r>
          </w:p>
        </w:tc>
      </w:tr>
      <w:tr w:rsidR="00C32CBD" w14:paraId="70593777" w14:textId="77777777" w:rsidTr="00320D09">
        <w:trPr>
          <w:trHeight w:val="255"/>
        </w:trPr>
        <w:tc>
          <w:tcPr>
            <w:tcW w:w="4280" w:type="dxa"/>
            <w:tcBorders>
              <w:top w:val="nil"/>
              <w:left w:val="nil"/>
              <w:bottom w:val="nil"/>
              <w:right w:val="nil"/>
            </w:tcBorders>
            <w:shd w:val="clear" w:color="FFFFFF" w:fill="FFFFFF"/>
            <w:vAlign w:val="bottom"/>
            <w:hideMark/>
          </w:tcPr>
          <w:p w14:paraId="1D5D49C9" w14:textId="77777777" w:rsidR="00C32CBD" w:rsidRDefault="00C32CBD" w:rsidP="00320D09">
            <w:pPr>
              <w:ind w:firstLineChars="100" w:firstLine="180"/>
              <w:rPr>
                <w:rFonts w:cs="Arial"/>
                <w:sz w:val="18"/>
                <w:szCs w:val="18"/>
              </w:rPr>
            </w:pPr>
            <w:r>
              <w:rPr>
                <w:rFonts w:cs="Arial"/>
                <w:sz w:val="18"/>
                <w:szCs w:val="18"/>
              </w:rPr>
              <w:t>Other financial assets</w:t>
            </w:r>
          </w:p>
        </w:tc>
        <w:tc>
          <w:tcPr>
            <w:tcW w:w="1083" w:type="dxa"/>
            <w:tcBorders>
              <w:top w:val="nil"/>
              <w:left w:val="nil"/>
              <w:bottom w:val="nil"/>
              <w:right w:val="nil"/>
            </w:tcBorders>
            <w:shd w:val="clear" w:color="FFFFFF" w:fill="FFFFFF"/>
            <w:noWrap/>
            <w:vAlign w:val="bottom"/>
            <w:hideMark/>
          </w:tcPr>
          <w:p w14:paraId="1EE47099" w14:textId="77777777" w:rsidR="00C32CBD" w:rsidRDefault="00C32CBD" w:rsidP="00320D09">
            <w:pPr>
              <w:jc w:val="center"/>
              <w:rPr>
                <w:rFonts w:cs="Arial"/>
                <w:sz w:val="18"/>
                <w:szCs w:val="18"/>
              </w:rPr>
            </w:pPr>
            <w:r>
              <w:rPr>
                <w:rFonts w:cs="Arial"/>
                <w:sz w:val="18"/>
                <w:szCs w:val="18"/>
              </w:rPr>
              <w:t>2.1C</w:t>
            </w:r>
          </w:p>
        </w:tc>
        <w:tc>
          <w:tcPr>
            <w:tcW w:w="1088" w:type="dxa"/>
            <w:tcBorders>
              <w:top w:val="nil"/>
              <w:left w:val="nil"/>
              <w:bottom w:val="nil"/>
              <w:right w:val="nil"/>
            </w:tcBorders>
            <w:shd w:val="clear" w:color="FFFFFF" w:fill="FFFFFF"/>
            <w:noWrap/>
            <w:vAlign w:val="bottom"/>
            <w:hideMark/>
          </w:tcPr>
          <w:p w14:paraId="3CC0697C" w14:textId="77777777" w:rsidR="00C32CBD" w:rsidRDefault="00C32CBD" w:rsidP="00320D09">
            <w:pPr>
              <w:jc w:val="right"/>
              <w:rPr>
                <w:rFonts w:cs="Arial"/>
                <w:b/>
                <w:bCs/>
                <w:sz w:val="18"/>
                <w:szCs w:val="18"/>
              </w:rPr>
            </w:pPr>
            <w:r>
              <w:rPr>
                <w:rFonts w:cs="Arial"/>
                <w:b/>
                <w:bCs/>
                <w:sz w:val="18"/>
                <w:szCs w:val="18"/>
              </w:rPr>
              <w:t>-</w:t>
            </w:r>
          </w:p>
        </w:tc>
        <w:tc>
          <w:tcPr>
            <w:tcW w:w="236" w:type="dxa"/>
            <w:tcBorders>
              <w:top w:val="nil"/>
              <w:left w:val="nil"/>
              <w:bottom w:val="nil"/>
              <w:right w:val="nil"/>
            </w:tcBorders>
            <w:shd w:val="clear" w:color="FFFFFF" w:fill="FFFFFF"/>
            <w:noWrap/>
            <w:vAlign w:val="bottom"/>
            <w:hideMark/>
          </w:tcPr>
          <w:p w14:paraId="3C9B93F6" w14:textId="77777777" w:rsidR="00C32CBD" w:rsidRDefault="00C32CBD" w:rsidP="00320D09">
            <w:pPr>
              <w:rPr>
                <w:rFonts w:cs="Arial"/>
                <w:sz w:val="18"/>
                <w:szCs w:val="18"/>
              </w:rPr>
            </w:pPr>
            <w:r>
              <w:rPr>
                <w:rFonts w:cs="Arial"/>
                <w:sz w:val="18"/>
                <w:szCs w:val="18"/>
              </w:rPr>
              <w:t> </w:t>
            </w:r>
          </w:p>
        </w:tc>
        <w:tc>
          <w:tcPr>
            <w:tcW w:w="1095" w:type="dxa"/>
            <w:tcBorders>
              <w:top w:val="nil"/>
              <w:left w:val="nil"/>
              <w:bottom w:val="nil"/>
              <w:right w:val="nil"/>
            </w:tcBorders>
            <w:shd w:val="clear" w:color="FFFFFF" w:fill="FFFFFF"/>
            <w:noWrap/>
            <w:vAlign w:val="bottom"/>
            <w:hideMark/>
          </w:tcPr>
          <w:p w14:paraId="37881D02" w14:textId="77777777" w:rsidR="00C32CBD" w:rsidRDefault="00C32CBD" w:rsidP="00320D09">
            <w:pPr>
              <w:jc w:val="right"/>
              <w:rPr>
                <w:rFonts w:cs="Arial"/>
                <w:sz w:val="18"/>
                <w:szCs w:val="18"/>
              </w:rPr>
            </w:pPr>
            <w:r>
              <w:rPr>
                <w:rFonts w:cs="Arial"/>
                <w:sz w:val="18"/>
                <w:szCs w:val="18"/>
              </w:rPr>
              <w:t>33,194</w:t>
            </w:r>
          </w:p>
        </w:tc>
        <w:tc>
          <w:tcPr>
            <w:tcW w:w="236" w:type="dxa"/>
            <w:tcBorders>
              <w:top w:val="nil"/>
              <w:left w:val="nil"/>
              <w:bottom w:val="nil"/>
              <w:right w:val="nil"/>
            </w:tcBorders>
            <w:shd w:val="clear" w:color="FFFFFF" w:fill="FFFFFF"/>
            <w:noWrap/>
            <w:vAlign w:val="bottom"/>
            <w:hideMark/>
          </w:tcPr>
          <w:p w14:paraId="7BCDAAFE" w14:textId="77777777" w:rsidR="00C32CBD" w:rsidRDefault="00C32CBD" w:rsidP="00320D09">
            <w:pPr>
              <w:rPr>
                <w:rFonts w:cs="Arial"/>
                <w:sz w:val="18"/>
                <w:szCs w:val="18"/>
              </w:rPr>
            </w:pPr>
            <w:r>
              <w:rPr>
                <w:rFonts w:cs="Arial"/>
                <w:sz w:val="18"/>
                <w:szCs w:val="18"/>
              </w:rPr>
              <w:t> </w:t>
            </w:r>
          </w:p>
        </w:tc>
        <w:tc>
          <w:tcPr>
            <w:tcW w:w="1069" w:type="dxa"/>
            <w:tcBorders>
              <w:top w:val="nil"/>
              <w:left w:val="nil"/>
              <w:bottom w:val="nil"/>
              <w:right w:val="nil"/>
            </w:tcBorders>
            <w:shd w:val="clear" w:color="FFFFFF" w:fill="FFFFFF"/>
            <w:noWrap/>
            <w:vAlign w:val="bottom"/>
            <w:hideMark/>
          </w:tcPr>
          <w:p w14:paraId="1C25C73D" w14:textId="77777777" w:rsidR="00C32CBD" w:rsidRDefault="00C32CBD" w:rsidP="00320D09">
            <w:pPr>
              <w:jc w:val="right"/>
              <w:rPr>
                <w:rFonts w:cs="Arial"/>
                <w:sz w:val="18"/>
                <w:szCs w:val="18"/>
              </w:rPr>
            </w:pPr>
            <w:r>
              <w:rPr>
                <w:rFonts w:cs="Arial"/>
                <w:sz w:val="18"/>
                <w:szCs w:val="18"/>
              </w:rPr>
              <w:t xml:space="preserve"> -</w:t>
            </w:r>
          </w:p>
        </w:tc>
      </w:tr>
      <w:tr w:rsidR="00C32CBD" w14:paraId="0B2BF0F0" w14:textId="77777777" w:rsidTr="00320D09">
        <w:trPr>
          <w:trHeight w:val="255"/>
        </w:trPr>
        <w:tc>
          <w:tcPr>
            <w:tcW w:w="4280" w:type="dxa"/>
            <w:tcBorders>
              <w:top w:val="nil"/>
              <w:left w:val="nil"/>
              <w:bottom w:val="nil"/>
              <w:right w:val="nil"/>
            </w:tcBorders>
            <w:shd w:val="clear" w:color="FFFFFF" w:fill="FFFFFF"/>
            <w:vAlign w:val="bottom"/>
            <w:hideMark/>
          </w:tcPr>
          <w:p w14:paraId="29B1B4F0" w14:textId="77777777" w:rsidR="00C32CBD" w:rsidRDefault="00C32CBD" w:rsidP="00320D09">
            <w:pPr>
              <w:rPr>
                <w:rFonts w:cs="Arial"/>
                <w:b/>
                <w:bCs/>
                <w:sz w:val="18"/>
                <w:szCs w:val="18"/>
              </w:rPr>
            </w:pPr>
            <w:r>
              <w:rPr>
                <w:rFonts w:cs="Arial"/>
                <w:b/>
                <w:bCs/>
                <w:sz w:val="18"/>
                <w:szCs w:val="18"/>
              </w:rPr>
              <w:t>Total financial assets</w:t>
            </w:r>
          </w:p>
        </w:tc>
        <w:tc>
          <w:tcPr>
            <w:tcW w:w="1083" w:type="dxa"/>
            <w:tcBorders>
              <w:top w:val="nil"/>
              <w:left w:val="nil"/>
              <w:bottom w:val="nil"/>
              <w:right w:val="nil"/>
            </w:tcBorders>
            <w:shd w:val="clear" w:color="FFFFFF" w:fill="FFFFFF"/>
            <w:noWrap/>
            <w:vAlign w:val="bottom"/>
            <w:hideMark/>
          </w:tcPr>
          <w:p w14:paraId="21771376" w14:textId="77777777" w:rsidR="00C32CBD" w:rsidRDefault="00C32CBD" w:rsidP="00320D09">
            <w:pPr>
              <w:jc w:val="center"/>
              <w:rPr>
                <w:rFonts w:cs="Arial"/>
                <w:sz w:val="18"/>
                <w:szCs w:val="18"/>
              </w:rPr>
            </w:pPr>
            <w:r>
              <w:rPr>
                <w:rFonts w:cs="Arial"/>
                <w:sz w:val="18"/>
                <w:szCs w:val="18"/>
              </w:rPr>
              <w:t> </w:t>
            </w:r>
          </w:p>
        </w:tc>
        <w:tc>
          <w:tcPr>
            <w:tcW w:w="1088" w:type="dxa"/>
            <w:tcBorders>
              <w:top w:val="single" w:sz="4" w:space="0" w:color="auto"/>
              <w:left w:val="nil"/>
              <w:bottom w:val="single" w:sz="4" w:space="0" w:color="auto"/>
              <w:right w:val="nil"/>
            </w:tcBorders>
            <w:shd w:val="clear" w:color="FFFFFF" w:fill="FFFFFF"/>
            <w:noWrap/>
            <w:vAlign w:val="bottom"/>
            <w:hideMark/>
          </w:tcPr>
          <w:p w14:paraId="70325926" w14:textId="77777777" w:rsidR="00C32CBD" w:rsidRDefault="00C32CBD" w:rsidP="00320D09">
            <w:pPr>
              <w:jc w:val="right"/>
              <w:rPr>
                <w:rFonts w:cs="Arial"/>
                <w:b/>
                <w:bCs/>
                <w:sz w:val="18"/>
                <w:szCs w:val="18"/>
              </w:rPr>
            </w:pPr>
            <w:r>
              <w:rPr>
                <w:rFonts w:cs="Arial"/>
                <w:b/>
                <w:bCs/>
                <w:sz w:val="18"/>
                <w:szCs w:val="18"/>
              </w:rPr>
              <w:t>1,533,149</w:t>
            </w:r>
          </w:p>
        </w:tc>
        <w:tc>
          <w:tcPr>
            <w:tcW w:w="236" w:type="dxa"/>
            <w:tcBorders>
              <w:top w:val="nil"/>
              <w:left w:val="nil"/>
              <w:bottom w:val="nil"/>
              <w:right w:val="nil"/>
            </w:tcBorders>
            <w:shd w:val="clear" w:color="FFFFFF" w:fill="FFFFFF"/>
            <w:noWrap/>
            <w:vAlign w:val="bottom"/>
            <w:hideMark/>
          </w:tcPr>
          <w:p w14:paraId="56930B5A" w14:textId="77777777" w:rsidR="00C32CBD" w:rsidRDefault="00C32CBD" w:rsidP="00320D09">
            <w:pPr>
              <w:rPr>
                <w:rFonts w:cs="Arial"/>
                <w:sz w:val="18"/>
                <w:szCs w:val="18"/>
              </w:rPr>
            </w:pPr>
            <w:r>
              <w:rPr>
                <w:rFonts w:cs="Arial"/>
                <w:sz w:val="18"/>
                <w:szCs w:val="18"/>
              </w:rPr>
              <w:t> </w:t>
            </w:r>
          </w:p>
        </w:tc>
        <w:tc>
          <w:tcPr>
            <w:tcW w:w="1095" w:type="dxa"/>
            <w:tcBorders>
              <w:top w:val="single" w:sz="4" w:space="0" w:color="auto"/>
              <w:left w:val="nil"/>
              <w:bottom w:val="single" w:sz="4" w:space="0" w:color="auto"/>
              <w:right w:val="nil"/>
            </w:tcBorders>
            <w:shd w:val="clear" w:color="FFFFFF" w:fill="FFFFFF"/>
            <w:noWrap/>
            <w:vAlign w:val="bottom"/>
            <w:hideMark/>
          </w:tcPr>
          <w:p w14:paraId="622761F8" w14:textId="77777777" w:rsidR="00C32CBD" w:rsidRDefault="00C32CBD" w:rsidP="00320D09">
            <w:pPr>
              <w:jc w:val="right"/>
              <w:rPr>
                <w:rFonts w:cs="Arial"/>
                <w:sz w:val="18"/>
                <w:szCs w:val="18"/>
              </w:rPr>
            </w:pPr>
            <w:r>
              <w:rPr>
                <w:rFonts w:cs="Arial"/>
                <w:sz w:val="18"/>
                <w:szCs w:val="18"/>
              </w:rPr>
              <w:t>360,508</w:t>
            </w:r>
          </w:p>
        </w:tc>
        <w:tc>
          <w:tcPr>
            <w:tcW w:w="236" w:type="dxa"/>
            <w:tcBorders>
              <w:top w:val="nil"/>
              <w:left w:val="nil"/>
              <w:bottom w:val="nil"/>
              <w:right w:val="nil"/>
            </w:tcBorders>
            <w:shd w:val="clear" w:color="FFFFFF" w:fill="FFFFFF"/>
            <w:noWrap/>
            <w:vAlign w:val="bottom"/>
            <w:hideMark/>
          </w:tcPr>
          <w:p w14:paraId="1BE664FA" w14:textId="77777777" w:rsidR="00C32CBD" w:rsidRDefault="00C32CBD" w:rsidP="00320D09">
            <w:pPr>
              <w:rPr>
                <w:rFonts w:cs="Arial"/>
                <w:sz w:val="18"/>
                <w:szCs w:val="18"/>
              </w:rPr>
            </w:pPr>
            <w:r>
              <w:rPr>
                <w:rFonts w:cs="Arial"/>
                <w:sz w:val="18"/>
                <w:szCs w:val="18"/>
              </w:rPr>
              <w:t> </w:t>
            </w:r>
          </w:p>
        </w:tc>
        <w:tc>
          <w:tcPr>
            <w:tcW w:w="1069" w:type="dxa"/>
            <w:tcBorders>
              <w:top w:val="single" w:sz="4" w:space="0" w:color="auto"/>
              <w:left w:val="nil"/>
              <w:bottom w:val="single" w:sz="4" w:space="0" w:color="auto"/>
              <w:right w:val="nil"/>
            </w:tcBorders>
            <w:shd w:val="clear" w:color="FFFFFF" w:fill="FFFFFF"/>
            <w:noWrap/>
            <w:vAlign w:val="bottom"/>
            <w:hideMark/>
          </w:tcPr>
          <w:p w14:paraId="70BC844A" w14:textId="77777777" w:rsidR="00C32CBD" w:rsidRDefault="00C32CBD" w:rsidP="00320D09">
            <w:pPr>
              <w:jc w:val="right"/>
              <w:rPr>
                <w:rFonts w:cs="Arial"/>
                <w:sz w:val="18"/>
                <w:szCs w:val="18"/>
              </w:rPr>
            </w:pPr>
            <w:r>
              <w:rPr>
                <w:rFonts w:cs="Arial"/>
                <w:sz w:val="18"/>
                <w:szCs w:val="18"/>
              </w:rPr>
              <w:t>331,712</w:t>
            </w:r>
          </w:p>
        </w:tc>
      </w:tr>
      <w:tr w:rsidR="00C32CBD" w14:paraId="7A6BF120" w14:textId="77777777" w:rsidTr="00320D09">
        <w:trPr>
          <w:trHeight w:val="255"/>
        </w:trPr>
        <w:tc>
          <w:tcPr>
            <w:tcW w:w="4280" w:type="dxa"/>
            <w:tcBorders>
              <w:top w:val="nil"/>
              <w:left w:val="nil"/>
              <w:bottom w:val="nil"/>
              <w:right w:val="nil"/>
            </w:tcBorders>
            <w:shd w:val="clear" w:color="FFFFFF" w:fill="FFFFFF"/>
            <w:noWrap/>
            <w:vAlign w:val="bottom"/>
            <w:hideMark/>
          </w:tcPr>
          <w:p w14:paraId="2FC6E9F3" w14:textId="77777777" w:rsidR="00C32CBD" w:rsidRDefault="00C32CBD" w:rsidP="00320D09">
            <w:pPr>
              <w:rPr>
                <w:rFonts w:cs="Arial"/>
                <w:sz w:val="18"/>
                <w:szCs w:val="18"/>
              </w:rPr>
            </w:pPr>
            <w:r>
              <w:rPr>
                <w:rFonts w:cs="Arial"/>
                <w:sz w:val="18"/>
                <w:szCs w:val="18"/>
              </w:rPr>
              <w:t> </w:t>
            </w:r>
          </w:p>
        </w:tc>
        <w:tc>
          <w:tcPr>
            <w:tcW w:w="1083" w:type="dxa"/>
            <w:tcBorders>
              <w:top w:val="nil"/>
              <w:left w:val="nil"/>
              <w:bottom w:val="nil"/>
              <w:right w:val="nil"/>
            </w:tcBorders>
            <w:shd w:val="clear" w:color="FFFFFF" w:fill="FFFFFF"/>
            <w:noWrap/>
            <w:vAlign w:val="bottom"/>
            <w:hideMark/>
          </w:tcPr>
          <w:p w14:paraId="7D09E30B" w14:textId="77777777" w:rsidR="00C32CBD" w:rsidRDefault="00C32CBD" w:rsidP="00320D09">
            <w:pPr>
              <w:jc w:val="center"/>
              <w:rPr>
                <w:rFonts w:cs="Arial"/>
                <w:sz w:val="18"/>
                <w:szCs w:val="18"/>
              </w:rPr>
            </w:pPr>
            <w:r>
              <w:rPr>
                <w:rFonts w:cs="Arial"/>
                <w:sz w:val="18"/>
                <w:szCs w:val="18"/>
              </w:rPr>
              <w:t> </w:t>
            </w:r>
          </w:p>
        </w:tc>
        <w:tc>
          <w:tcPr>
            <w:tcW w:w="1088" w:type="dxa"/>
            <w:tcBorders>
              <w:top w:val="nil"/>
              <w:left w:val="nil"/>
              <w:bottom w:val="nil"/>
              <w:right w:val="nil"/>
            </w:tcBorders>
            <w:shd w:val="clear" w:color="FFFFFF" w:fill="FFFFFF"/>
            <w:noWrap/>
            <w:vAlign w:val="bottom"/>
            <w:hideMark/>
          </w:tcPr>
          <w:p w14:paraId="7F58200B"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72D23A5B" w14:textId="77777777" w:rsidR="00C32CBD" w:rsidRDefault="00C32CBD" w:rsidP="00320D09">
            <w:pPr>
              <w:rPr>
                <w:rFonts w:cs="Arial"/>
                <w:sz w:val="18"/>
                <w:szCs w:val="18"/>
              </w:rPr>
            </w:pPr>
            <w:r>
              <w:rPr>
                <w:rFonts w:cs="Arial"/>
                <w:sz w:val="18"/>
                <w:szCs w:val="18"/>
              </w:rPr>
              <w:t> </w:t>
            </w:r>
          </w:p>
        </w:tc>
        <w:tc>
          <w:tcPr>
            <w:tcW w:w="1095" w:type="dxa"/>
            <w:tcBorders>
              <w:top w:val="nil"/>
              <w:left w:val="nil"/>
              <w:bottom w:val="nil"/>
              <w:right w:val="nil"/>
            </w:tcBorders>
            <w:shd w:val="clear" w:color="FFFFFF" w:fill="FFFFFF"/>
            <w:noWrap/>
            <w:vAlign w:val="bottom"/>
            <w:hideMark/>
          </w:tcPr>
          <w:p w14:paraId="0615B8B6"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0A5BD724" w14:textId="77777777" w:rsidR="00C32CBD" w:rsidRDefault="00C32CBD" w:rsidP="00320D09">
            <w:pPr>
              <w:rPr>
                <w:rFonts w:cs="Arial"/>
                <w:sz w:val="18"/>
                <w:szCs w:val="18"/>
              </w:rPr>
            </w:pPr>
            <w:r>
              <w:rPr>
                <w:rFonts w:cs="Arial"/>
                <w:sz w:val="18"/>
                <w:szCs w:val="18"/>
              </w:rPr>
              <w:t> </w:t>
            </w:r>
          </w:p>
        </w:tc>
        <w:tc>
          <w:tcPr>
            <w:tcW w:w="1069" w:type="dxa"/>
            <w:tcBorders>
              <w:top w:val="nil"/>
              <w:left w:val="nil"/>
              <w:bottom w:val="nil"/>
              <w:right w:val="nil"/>
            </w:tcBorders>
            <w:shd w:val="clear" w:color="FFFFFF" w:fill="FFFFFF"/>
            <w:noWrap/>
            <w:vAlign w:val="bottom"/>
            <w:hideMark/>
          </w:tcPr>
          <w:p w14:paraId="00593C53" w14:textId="77777777" w:rsidR="00C32CBD" w:rsidRDefault="00C32CBD" w:rsidP="00320D09">
            <w:pPr>
              <w:rPr>
                <w:rFonts w:cs="Arial"/>
                <w:sz w:val="18"/>
                <w:szCs w:val="18"/>
              </w:rPr>
            </w:pPr>
            <w:r>
              <w:rPr>
                <w:rFonts w:cs="Arial"/>
                <w:sz w:val="18"/>
                <w:szCs w:val="18"/>
              </w:rPr>
              <w:t> </w:t>
            </w:r>
          </w:p>
        </w:tc>
      </w:tr>
      <w:tr w:rsidR="00C32CBD" w14:paraId="02E7624B" w14:textId="77777777" w:rsidTr="00320D09">
        <w:trPr>
          <w:trHeight w:val="255"/>
        </w:trPr>
        <w:tc>
          <w:tcPr>
            <w:tcW w:w="4280" w:type="dxa"/>
            <w:tcBorders>
              <w:top w:val="nil"/>
              <w:left w:val="nil"/>
              <w:bottom w:val="nil"/>
              <w:right w:val="nil"/>
            </w:tcBorders>
            <w:shd w:val="clear" w:color="FFFFFF" w:fill="FFFFFF"/>
            <w:vAlign w:val="bottom"/>
            <w:hideMark/>
          </w:tcPr>
          <w:p w14:paraId="1A0E4294" w14:textId="77777777" w:rsidR="00C32CBD" w:rsidRDefault="00C32CBD" w:rsidP="00320D09">
            <w:pPr>
              <w:rPr>
                <w:rFonts w:cs="Arial"/>
                <w:b/>
                <w:bCs/>
                <w:sz w:val="18"/>
                <w:szCs w:val="18"/>
              </w:rPr>
            </w:pPr>
            <w:r>
              <w:rPr>
                <w:rFonts w:cs="Arial"/>
                <w:b/>
                <w:bCs/>
                <w:sz w:val="18"/>
                <w:szCs w:val="18"/>
              </w:rPr>
              <w:t>Non-financial assets</w:t>
            </w:r>
          </w:p>
        </w:tc>
        <w:tc>
          <w:tcPr>
            <w:tcW w:w="1083" w:type="dxa"/>
            <w:tcBorders>
              <w:top w:val="nil"/>
              <w:left w:val="nil"/>
              <w:bottom w:val="nil"/>
              <w:right w:val="nil"/>
            </w:tcBorders>
            <w:shd w:val="clear" w:color="FFFFFF" w:fill="FFFFFF"/>
            <w:noWrap/>
            <w:vAlign w:val="bottom"/>
            <w:hideMark/>
          </w:tcPr>
          <w:p w14:paraId="301CE37C" w14:textId="77777777" w:rsidR="00C32CBD" w:rsidRDefault="00C32CBD" w:rsidP="00320D09">
            <w:pPr>
              <w:jc w:val="center"/>
              <w:rPr>
                <w:rFonts w:cs="Arial"/>
                <w:sz w:val="18"/>
                <w:szCs w:val="18"/>
              </w:rPr>
            </w:pPr>
            <w:r>
              <w:rPr>
                <w:rFonts w:cs="Arial"/>
                <w:sz w:val="18"/>
                <w:szCs w:val="18"/>
              </w:rPr>
              <w:t> </w:t>
            </w:r>
          </w:p>
        </w:tc>
        <w:tc>
          <w:tcPr>
            <w:tcW w:w="1088" w:type="dxa"/>
            <w:tcBorders>
              <w:top w:val="nil"/>
              <w:left w:val="nil"/>
              <w:bottom w:val="nil"/>
              <w:right w:val="nil"/>
            </w:tcBorders>
            <w:shd w:val="clear" w:color="FFFFFF" w:fill="FFFFFF"/>
            <w:noWrap/>
            <w:vAlign w:val="bottom"/>
            <w:hideMark/>
          </w:tcPr>
          <w:p w14:paraId="5F4FDCF8"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15DCF688" w14:textId="77777777" w:rsidR="00C32CBD" w:rsidRDefault="00C32CBD" w:rsidP="00320D09">
            <w:pPr>
              <w:rPr>
                <w:rFonts w:cs="Arial"/>
                <w:sz w:val="18"/>
                <w:szCs w:val="18"/>
              </w:rPr>
            </w:pPr>
            <w:r>
              <w:rPr>
                <w:rFonts w:cs="Arial"/>
                <w:sz w:val="18"/>
                <w:szCs w:val="18"/>
              </w:rPr>
              <w:t> </w:t>
            </w:r>
          </w:p>
        </w:tc>
        <w:tc>
          <w:tcPr>
            <w:tcW w:w="1095" w:type="dxa"/>
            <w:tcBorders>
              <w:top w:val="nil"/>
              <w:left w:val="nil"/>
              <w:bottom w:val="nil"/>
              <w:right w:val="nil"/>
            </w:tcBorders>
            <w:shd w:val="clear" w:color="FFFFFF" w:fill="FFFFFF"/>
            <w:noWrap/>
            <w:vAlign w:val="bottom"/>
            <w:hideMark/>
          </w:tcPr>
          <w:p w14:paraId="58EA6A1D"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33F5C8E8" w14:textId="77777777" w:rsidR="00C32CBD" w:rsidRDefault="00C32CBD" w:rsidP="00320D09">
            <w:pPr>
              <w:rPr>
                <w:rFonts w:cs="Arial"/>
                <w:sz w:val="18"/>
                <w:szCs w:val="18"/>
              </w:rPr>
            </w:pPr>
            <w:r>
              <w:rPr>
                <w:rFonts w:cs="Arial"/>
                <w:sz w:val="18"/>
                <w:szCs w:val="18"/>
              </w:rPr>
              <w:t> </w:t>
            </w:r>
          </w:p>
        </w:tc>
        <w:tc>
          <w:tcPr>
            <w:tcW w:w="1069" w:type="dxa"/>
            <w:tcBorders>
              <w:top w:val="nil"/>
              <w:left w:val="nil"/>
              <w:bottom w:val="nil"/>
              <w:right w:val="nil"/>
            </w:tcBorders>
            <w:shd w:val="clear" w:color="FFFFFF" w:fill="FFFFFF"/>
            <w:noWrap/>
            <w:vAlign w:val="bottom"/>
            <w:hideMark/>
          </w:tcPr>
          <w:p w14:paraId="7729351C" w14:textId="77777777" w:rsidR="00C32CBD" w:rsidRDefault="00C32CBD" w:rsidP="00320D09">
            <w:pPr>
              <w:rPr>
                <w:rFonts w:cs="Arial"/>
                <w:sz w:val="18"/>
                <w:szCs w:val="18"/>
              </w:rPr>
            </w:pPr>
            <w:r>
              <w:rPr>
                <w:rFonts w:cs="Arial"/>
                <w:sz w:val="18"/>
                <w:szCs w:val="18"/>
              </w:rPr>
              <w:t> </w:t>
            </w:r>
          </w:p>
        </w:tc>
      </w:tr>
      <w:tr w:rsidR="00C32CBD" w14:paraId="4C840688" w14:textId="77777777" w:rsidTr="00320D09">
        <w:trPr>
          <w:trHeight w:val="255"/>
        </w:trPr>
        <w:tc>
          <w:tcPr>
            <w:tcW w:w="4280" w:type="dxa"/>
            <w:tcBorders>
              <w:top w:val="nil"/>
              <w:left w:val="nil"/>
              <w:bottom w:val="nil"/>
              <w:right w:val="nil"/>
            </w:tcBorders>
            <w:shd w:val="clear" w:color="FFFFFF" w:fill="FFFFFF"/>
            <w:vAlign w:val="bottom"/>
            <w:hideMark/>
          </w:tcPr>
          <w:p w14:paraId="01B2991D" w14:textId="77777777" w:rsidR="00C32CBD" w:rsidRDefault="00C32CBD" w:rsidP="00320D09">
            <w:pPr>
              <w:ind w:firstLineChars="100" w:firstLine="180"/>
              <w:rPr>
                <w:rFonts w:cs="Arial"/>
                <w:sz w:val="18"/>
                <w:szCs w:val="18"/>
              </w:rPr>
            </w:pPr>
            <w:r>
              <w:rPr>
                <w:rFonts w:cs="Arial"/>
                <w:sz w:val="18"/>
                <w:szCs w:val="18"/>
              </w:rPr>
              <w:t>Buildings (leasehold improvements)</w:t>
            </w:r>
          </w:p>
        </w:tc>
        <w:tc>
          <w:tcPr>
            <w:tcW w:w="1083" w:type="dxa"/>
            <w:tcBorders>
              <w:top w:val="nil"/>
              <w:left w:val="nil"/>
              <w:bottom w:val="nil"/>
              <w:right w:val="nil"/>
            </w:tcBorders>
            <w:shd w:val="clear" w:color="FFFFFF" w:fill="FFFFFF"/>
            <w:noWrap/>
            <w:vAlign w:val="bottom"/>
            <w:hideMark/>
          </w:tcPr>
          <w:p w14:paraId="3BA8940D" w14:textId="77777777" w:rsidR="00C32CBD" w:rsidRDefault="00C32CBD" w:rsidP="00320D09">
            <w:pPr>
              <w:jc w:val="center"/>
              <w:rPr>
                <w:rFonts w:cs="Arial"/>
                <w:sz w:val="18"/>
                <w:szCs w:val="18"/>
              </w:rPr>
            </w:pPr>
            <w:r>
              <w:rPr>
                <w:rFonts w:cs="Arial"/>
                <w:sz w:val="18"/>
                <w:szCs w:val="18"/>
              </w:rPr>
              <w:t>2.2A</w:t>
            </w:r>
          </w:p>
        </w:tc>
        <w:tc>
          <w:tcPr>
            <w:tcW w:w="1088" w:type="dxa"/>
            <w:tcBorders>
              <w:top w:val="nil"/>
              <w:left w:val="nil"/>
              <w:bottom w:val="nil"/>
              <w:right w:val="nil"/>
            </w:tcBorders>
            <w:shd w:val="clear" w:color="FFFFFF" w:fill="FFFFFF"/>
            <w:noWrap/>
            <w:vAlign w:val="bottom"/>
            <w:hideMark/>
          </w:tcPr>
          <w:p w14:paraId="4D448F22" w14:textId="77777777" w:rsidR="00C32CBD" w:rsidRDefault="00C32CBD" w:rsidP="00320D09">
            <w:pPr>
              <w:jc w:val="right"/>
              <w:rPr>
                <w:rFonts w:cs="Arial"/>
                <w:b/>
                <w:bCs/>
                <w:sz w:val="18"/>
                <w:szCs w:val="18"/>
              </w:rPr>
            </w:pPr>
            <w:r>
              <w:rPr>
                <w:rFonts w:cs="Arial"/>
                <w:b/>
                <w:bCs/>
                <w:sz w:val="18"/>
                <w:szCs w:val="18"/>
              </w:rPr>
              <w:t>33,900</w:t>
            </w:r>
          </w:p>
        </w:tc>
        <w:tc>
          <w:tcPr>
            <w:tcW w:w="236" w:type="dxa"/>
            <w:tcBorders>
              <w:top w:val="nil"/>
              <w:left w:val="nil"/>
              <w:bottom w:val="nil"/>
              <w:right w:val="nil"/>
            </w:tcBorders>
            <w:shd w:val="clear" w:color="FFFFFF" w:fill="FFFFFF"/>
            <w:noWrap/>
            <w:vAlign w:val="bottom"/>
            <w:hideMark/>
          </w:tcPr>
          <w:p w14:paraId="5A33EA6F" w14:textId="77777777" w:rsidR="00C32CBD" w:rsidRDefault="00C32CBD" w:rsidP="00320D09">
            <w:pPr>
              <w:rPr>
                <w:rFonts w:cs="Arial"/>
                <w:sz w:val="18"/>
                <w:szCs w:val="18"/>
              </w:rPr>
            </w:pPr>
            <w:r>
              <w:rPr>
                <w:rFonts w:cs="Arial"/>
                <w:sz w:val="18"/>
                <w:szCs w:val="18"/>
              </w:rPr>
              <w:t> </w:t>
            </w:r>
          </w:p>
        </w:tc>
        <w:tc>
          <w:tcPr>
            <w:tcW w:w="1095" w:type="dxa"/>
            <w:tcBorders>
              <w:top w:val="nil"/>
              <w:left w:val="nil"/>
              <w:bottom w:val="nil"/>
              <w:right w:val="nil"/>
            </w:tcBorders>
            <w:shd w:val="clear" w:color="FFFFFF" w:fill="FFFFFF"/>
            <w:noWrap/>
            <w:vAlign w:val="bottom"/>
            <w:hideMark/>
          </w:tcPr>
          <w:p w14:paraId="14B5916C" w14:textId="77777777" w:rsidR="00C32CBD" w:rsidRDefault="00C32CBD" w:rsidP="00320D09">
            <w:pPr>
              <w:jc w:val="right"/>
              <w:rPr>
                <w:rFonts w:cs="Arial"/>
                <w:sz w:val="18"/>
                <w:szCs w:val="18"/>
              </w:rPr>
            </w:pPr>
            <w:r>
              <w:rPr>
                <w:rFonts w:cs="Arial"/>
                <w:sz w:val="18"/>
                <w:szCs w:val="18"/>
              </w:rPr>
              <w:t>24,301</w:t>
            </w:r>
          </w:p>
        </w:tc>
        <w:tc>
          <w:tcPr>
            <w:tcW w:w="236" w:type="dxa"/>
            <w:tcBorders>
              <w:top w:val="nil"/>
              <w:left w:val="nil"/>
              <w:bottom w:val="nil"/>
              <w:right w:val="nil"/>
            </w:tcBorders>
            <w:shd w:val="clear" w:color="FFFFFF" w:fill="FFFFFF"/>
            <w:noWrap/>
            <w:vAlign w:val="bottom"/>
            <w:hideMark/>
          </w:tcPr>
          <w:p w14:paraId="1498A1B2" w14:textId="77777777" w:rsidR="00C32CBD" w:rsidRDefault="00C32CBD" w:rsidP="00320D09">
            <w:pPr>
              <w:rPr>
                <w:rFonts w:cs="Arial"/>
                <w:sz w:val="18"/>
                <w:szCs w:val="18"/>
              </w:rPr>
            </w:pPr>
            <w:r>
              <w:rPr>
                <w:rFonts w:cs="Arial"/>
                <w:sz w:val="18"/>
                <w:szCs w:val="18"/>
              </w:rPr>
              <w:t> </w:t>
            </w:r>
          </w:p>
        </w:tc>
        <w:tc>
          <w:tcPr>
            <w:tcW w:w="1069" w:type="dxa"/>
            <w:tcBorders>
              <w:top w:val="nil"/>
              <w:left w:val="nil"/>
              <w:bottom w:val="nil"/>
              <w:right w:val="nil"/>
            </w:tcBorders>
            <w:shd w:val="clear" w:color="FFFFFF" w:fill="FFFFFF"/>
            <w:noWrap/>
            <w:vAlign w:val="bottom"/>
            <w:hideMark/>
          </w:tcPr>
          <w:p w14:paraId="3E7FEBC0" w14:textId="77777777" w:rsidR="00C32CBD" w:rsidRDefault="00C32CBD" w:rsidP="00320D09">
            <w:pPr>
              <w:jc w:val="right"/>
              <w:rPr>
                <w:rFonts w:cs="Arial"/>
                <w:sz w:val="18"/>
                <w:szCs w:val="18"/>
              </w:rPr>
            </w:pPr>
            <w:r>
              <w:rPr>
                <w:rFonts w:cs="Arial"/>
                <w:sz w:val="18"/>
                <w:szCs w:val="18"/>
              </w:rPr>
              <w:t>166,789</w:t>
            </w:r>
          </w:p>
        </w:tc>
      </w:tr>
      <w:tr w:rsidR="00C32CBD" w14:paraId="1CDD6A1C" w14:textId="77777777" w:rsidTr="00320D09">
        <w:trPr>
          <w:trHeight w:val="255"/>
        </w:trPr>
        <w:tc>
          <w:tcPr>
            <w:tcW w:w="4280" w:type="dxa"/>
            <w:tcBorders>
              <w:top w:val="nil"/>
              <w:left w:val="nil"/>
              <w:bottom w:val="nil"/>
              <w:right w:val="nil"/>
            </w:tcBorders>
            <w:shd w:val="clear" w:color="FFFFFF" w:fill="FFFFFF"/>
            <w:vAlign w:val="bottom"/>
            <w:hideMark/>
          </w:tcPr>
          <w:p w14:paraId="7FFB6AD1" w14:textId="77777777" w:rsidR="00C32CBD" w:rsidRDefault="00C32CBD" w:rsidP="00320D09">
            <w:pPr>
              <w:ind w:firstLineChars="100" w:firstLine="180"/>
              <w:rPr>
                <w:rFonts w:cs="Arial"/>
                <w:sz w:val="18"/>
                <w:szCs w:val="18"/>
              </w:rPr>
            </w:pPr>
            <w:r>
              <w:rPr>
                <w:rFonts w:cs="Arial"/>
                <w:sz w:val="18"/>
                <w:szCs w:val="18"/>
              </w:rPr>
              <w:t>Property, plant and equipment</w:t>
            </w:r>
          </w:p>
        </w:tc>
        <w:tc>
          <w:tcPr>
            <w:tcW w:w="1083" w:type="dxa"/>
            <w:tcBorders>
              <w:top w:val="nil"/>
              <w:left w:val="nil"/>
              <w:bottom w:val="nil"/>
              <w:right w:val="nil"/>
            </w:tcBorders>
            <w:shd w:val="clear" w:color="FFFFFF" w:fill="FFFFFF"/>
            <w:noWrap/>
            <w:vAlign w:val="bottom"/>
            <w:hideMark/>
          </w:tcPr>
          <w:p w14:paraId="6B3DC4D7" w14:textId="77777777" w:rsidR="00C32CBD" w:rsidRDefault="00C32CBD" w:rsidP="00320D09">
            <w:pPr>
              <w:jc w:val="center"/>
              <w:rPr>
                <w:rFonts w:cs="Arial"/>
                <w:sz w:val="18"/>
                <w:szCs w:val="18"/>
              </w:rPr>
            </w:pPr>
            <w:r>
              <w:rPr>
                <w:rFonts w:cs="Arial"/>
                <w:sz w:val="18"/>
                <w:szCs w:val="18"/>
              </w:rPr>
              <w:t>2.2A</w:t>
            </w:r>
          </w:p>
        </w:tc>
        <w:tc>
          <w:tcPr>
            <w:tcW w:w="1088" w:type="dxa"/>
            <w:tcBorders>
              <w:top w:val="nil"/>
              <w:left w:val="nil"/>
              <w:bottom w:val="nil"/>
              <w:right w:val="nil"/>
            </w:tcBorders>
            <w:shd w:val="clear" w:color="FFFFFF" w:fill="FFFFFF"/>
            <w:noWrap/>
            <w:vAlign w:val="bottom"/>
            <w:hideMark/>
          </w:tcPr>
          <w:p w14:paraId="3BB5621E" w14:textId="77777777" w:rsidR="00C32CBD" w:rsidRDefault="00C32CBD" w:rsidP="00320D09">
            <w:pPr>
              <w:jc w:val="right"/>
              <w:rPr>
                <w:rFonts w:cs="Arial"/>
                <w:b/>
                <w:bCs/>
                <w:sz w:val="18"/>
                <w:szCs w:val="18"/>
              </w:rPr>
            </w:pPr>
            <w:r>
              <w:rPr>
                <w:rFonts w:cs="Arial"/>
                <w:b/>
                <w:bCs/>
                <w:sz w:val="18"/>
                <w:szCs w:val="18"/>
              </w:rPr>
              <w:t>391</w:t>
            </w:r>
          </w:p>
        </w:tc>
        <w:tc>
          <w:tcPr>
            <w:tcW w:w="236" w:type="dxa"/>
            <w:tcBorders>
              <w:top w:val="nil"/>
              <w:left w:val="nil"/>
              <w:bottom w:val="nil"/>
              <w:right w:val="nil"/>
            </w:tcBorders>
            <w:shd w:val="clear" w:color="FFFFFF" w:fill="FFFFFF"/>
            <w:noWrap/>
            <w:vAlign w:val="bottom"/>
            <w:hideMark/>
          </w:tcPr>
          <w:p w14:paraId="3881F609" w14:textId="77777777" w:rsidR="00C32CBD" w:rsidRDefault="00C32CBD" w:rsidP="00320D09">
            <w:pPr>
              <w:rPr>
                <w:rFonts w:cs="Arial"/>
                <w:sz w:val="18"/>
                <w:szCs w:val="18"/>
              </w:rPr>
            </w:pPr>
            <w:r>
              <w:rPr>
                <w:rFonts w:cs="Arial"/>
                <w:sz w:val="18"/>
                <w:szCs w:val="18"/>
              </w:rPr>
              <w:t> </w:t>
            </w:r>
          </w:p>
        </w:tc>
        <w:tc>
          <w:tcPr>
            <w:tcW w:w="1095" w:type="dxa"/>
            <w:tcBorders>
              <w:top w:val="nil"/>
              <w:left w:val="nil"/>
              <w:bottom w:val="nil"/>
              <w:right w:val="nil"/>
            </w:tcBorders>
            <w:shd w:val="clear" w:color="FFFFFF" w:fill="FFFFFF"/>
            <w:noWrap/>
            <w:vAlign w:val="bottom"/>
            <w:hideMark/>
          </w:tcPr>
          <w:p w14:paraId="6CC888A4" w14:textId="77777777" w:rsidR="00C32CBD" w:rsidRDefault="00C32CBD" w:rsidP="00320D09">
            <w:pPr>
              <w:jc w:val="right"/>
              <w:rPr>
                <w:rFonts w:cs="Arial"/>
                <w:sz w:val="18"/>
                <w:szCs w:val="18"/>
              </w:rPr>
            </w:pPr>
            <w:r>
              <w:rPr>
                <w:rFonts w:cs="Arial"/>
                <w:sz w:val="18"/>
                <w:szCs w:val="18"/>
              </w:rPr>
              <w:t>1,012</w:t>
            </w:r>
          </w:p>
        </w:tc>
        <w:tc>
          <w:tcPr>
            <w:tcW w:w="236" w:type="dxa"/>
            <w:tcBorders>
              <w:top w:val="nil"/>
              <w:left w:val="nil"/>
              <w:bottom w:val="nil"/>
              <w:right w:val="nil"/>
            </w:tcBorders>
            <w:shd w:val="clear" w:color="FFFFFF" w:fill="FFFFFF"/>
            <w:noWrap/>
            <w:vAlign w:val="bottom"/>
            <w:hideMark/>
          </w:tcPr>
          <w:p w14:paraId="642EDF75" w14:textId="77777777" w:rsidR="00C32CBD" w:rsidRDefault="00C32CBD" w:rsidP="00320D09">
            <w:pPr>
              <w:rPr>
                <w:rFonts w:cs="Arial"/>
                <w:sz w:val="18"/>
                <w:szCs w:val="18"/>
              </w:rPr>
            </w:pPr>
            <w:r>
              <w:rPr>
                <w:rFonts w:cs="Arial"/>
                <w:sz w:val="18"/>
                <w:szCs w:val="18"/>
              </w:rPr>
              <w:t> </w:t>
            </w:r>
          </w:p>
        </w:tc>
        <w:tc>
          <w:tcPr>
            <w:tcW w:w="1069" w:type="dxa"/>
            <w:tcBorders>
              <w:top w:val="nil"/>
              <w:left w:val="nil"/>
              <w:bottom w:val="nil"/>
              <w:right w:val="nil"/>
            </w:tcBorders>
            <w:shd w:val="clear" w:color="FFFFFF" w:fill="FFFFFF"/>
            <w:noWrap/>
            <w:vAlign w:val="bottom"/>
            <w:hideMark/>
          </w:tcPr>
          <w:p w14:paraId="753F6A49" w14:textId="77777777" w:rsidR="00C32CBD" w:rsidRDefault="00C32CBD" w:rsidP="00320D09">
            <w:pPr>
              <w:jc w:val="right"/>
              <w:rPr>
                <w:rFonts w:cs="Arial"/>
                <w:sz w:val="18"/>
                <w:szCs w:val="18"/>
              </w:rPr>
            </w:pPr>
            <w:r>
              <w:rPr>
                <w:rFonts w:cs="Arial"/>
                <w:sz w:val="18"/>
                <w:szCs w:val="18"/>
              </w:rPr>
              <w:t>347</w:t>
            </w:r>
          </w:p>
        </w:tc>
      </w:tr>
      <w:tr w:rsidR="00C32CBD" w14:paraId="567E4DD5" w14:textId="77777777" w:rsidTr="00320D09">
        <w:trPr>
          <w:trHeight w:val="255"/>
        </w:trPr>
        <w:tc>
          <w:tcPr>
            <w:tcW w:w="4280" w:type="dxa"/>
            <w:tcBorders>
              <w:top w:val="nil"/>
              <w:left w:val="nil"/>
              <w:bottom w:val="nil"/>
              <w:right w:val="nil"/>
            </w:tcBorders>
            <w:shd w:val="clear" w:color="FFFFFF" w:fill="FFFFFF"/>
            <w:vAlign w:val="bottom"/>
            <w:hideMark/>
          </w:tcPr>
          <w:p w14:paraId="753C63C0" w14:textId="77777777" w:rsidR="00C32CBD" w:rsidRDefault="00C32CBD" w:rsidP="00320D09">
            <w:pPr>
              <w:ind w:firstLineChars="100" w:firstLine="180"/>
              <w:rPr>
                <w:rFonts w:cs="Arial"/>
                <w:sz w:val="18"/>
                <w:szCs w:val="18"/>
              </w:rPr>
            </w:pPr>
            <w:r>
              <w:rPr>
                <w:rFonts w:cs="Arial"/>
                <w:sz w:val="18"/>
                <w:szCs w:val="18"/>
              </w:rPr>
              <w:t>Intangibles</w:t>
            </w:r>
          </w:p>
        </w:tc>
        <w:tc>
          <w:tcPr>
            <w:tcW w:w="1083" w:type="dxa"/>
            <w:tcBorders>
              <w:top w:val="nil"/>
              <w:left w:val="nil"/>
              <w:bottom w:val="nil"/>
              <w:right w:val="nil"/>
            </w:tcBorders>
            <w:shd w:val="clear" w:color="FFFFFF" w:fill="FFFFFF"/>
            <w:noWrap/>
            <w:vAlign w:val="bottom"/>
            <w:hideMark/>
          </w:tcPr>
          <w:p w14:paraId="28CBA3B4" w14:textId="77777777" w:rsidR="00C32CBD" w:rsidRDefault="00C32CBD" w:rsidP="00320D09">
            <w:pPr>
              <w:jc w:val="center"/>
              <w:rPr>
                <w:rFonts w:cs="Arial"/>
                <w:sz w:val="18"/>
                <w:szCs w:val="18"/>
              </w:rPr>
            </w:pPr>
            <w:r>
              <w:rPr>
                <w:rFonts w:cs="Arial"/>
                <w:sz w:val="18"/>
                <w:szCs w:val="18"/>
              </w:rPr>
              <w:t>2.2A</w:t>
            </w:r>
          </w:p>
        </w:tc>
        <w:tc>
          <w:tcPr>
            <w:tcW w:w="1088" w:type="dxa"/>
            <w:tcBorders>
              <w:top w:val="nil"/>
              <w:left w:val="nil"/>
              <w:bottom w:val="nil"/>
              <w:right w:val="nil"/>
            </w:tcBorders>
            <w:shd w:val="clear" w:color="FFFFFF" w:fill="FFFFFF"/>
            <w:noWrap/>
            <w:vAlign w:val="bottom"/>
            <w:hideMark/>
          </w:tcPr>
          <w:p w14:paraId="2753FA0C" w14:textId="77777777" w:rsidR="00C32CBD" w:rsidRDefault="00C32CBD" w:rsidP="00320D09">
            <w:pPr>
              <w:jc w:val="right"/>
              <w:rPr>
                <w:rFonts w:cs="Arial"/>
                <w:b/>
                <w:bCs/>
                <w:sz w:val="18"/>
                <w:szCs w:val="18"/>
              </w:rPr>
            </w:pPr>
            <w:r>
              <w:rPr>
                <w:rFonts w:cs="Arial"/>
                <w:b/>
                <w:bCs/>
                <w:sz w:val="18"/>
                <w:szCs w:val="18"/>
              </w:rPr>
              <w:t>-</w:t>
            </w:r>
          </w:p>
        </w:tc>
        <w:tc>
          <w:tcPr>
            <w:tcW w:w="236" w:type="dxa"/>
            <w:tcBorders>
              <w:top w:val="nil"/>
              <w:left w:val="nil"/>
              <w:bottom w:val="nil"/>
              <w:right w:val="nil"/>
            </w:tcBorders>
            <w:shd w:val="clear" w:color="FFFFFF" w:fill="FFFFFF"/>
            <w:noWrap/>
            <w:vAlign w:val="bottom"/>
            <w:hideMark/>
          </w:tcPr>
          <w:p w14:paraId="5BAC670A" w14:textId="77777777" w:rsidR="00C32CBD" w:rsidRDefault="00C32CBD" w:rsidP="00320D09">
            <w:pPr>
              <w:rPr>
                <w:rFonts w:cs="Arial"/>
                <w:sz w:val="18"/>
                <w:szCs w:val="18"/>
              </w:rPr>
            </w:pPr>
            <w:r>
              <w:rPr>
                <w:rFonts w:cs="Arial"/>
                <w:sz w:val="18"/>
                <w:szCs w:val="18"/>
              </w:rPr>
              <w:t> </w:t>
            </w:r>
          </w:p>
        </w:tc>
        <w:tc>
          <w:tcPr>
            <w:tcW w:w="1095" w:type="dxa"/>
            <w:tcBorders>
              <w:top w:val="nil"/>
              <w:left w:val="nil"/>
              <w:bottom w:val="nil"/>
              <w:right w:val="nil"/>
            </w:tcBorders>
            <w:shd w:val="clear" w:color="FFFFFF" w:fill="FFFFFF"/>
            <w:noWrap/>
            <w:vAlign w:val="bottom"/>
            <w:hideMark/>
          </w:tcPr>
          <w:p w14:paraId="7FF9CBD0" w14:textId="77777777" w:rsidR="00C32CBD" w:rsidRDefault="00C32CBD" w:rsidP="00320D09">
            <w:pPr>
              <w:jc w:val="right"/>
              <w:rPr>
                <w:rFonts w:cs="Arial"/>
                <w:sz w:val="18"/>
                <w:szCs w:val="18"/>
              </w:rPr>
            </w:pPr>
            <w:r>
              <w:rPr>
                <w:rFonts w:cs="Arial"/>
                <w:sz w:val="18"/>
                <w:szCs w:val="18"/>
              </w:rPr>
              <w:t>-</w:t>
            </w:r>
          </w:p>
        </w:tc>
        <w:tc>
          <w:tcPr>
            <w:tcW w:w="236" w:type="dxa"/>
            <w:tcBorders>
              <w:top w:val="nil"/>
              <w:left w:val="nil"/>
              <w:bottom w:val="nil"/>
              <w:right w:val="nil"/>
            </w:tcBorders>
            <w:shd w:val="clear" w:color="FFFFFF" w:fill="FFFFFF"/>
            <w:noWrap/>
            <w:vAlign w:val="bottom"/>
            <w:hideMark/>
          </w:tcPr>
          <w:p w14:paraId="2D0CDAF5" w14:textId="77777777" w:rsidR="00C32CBD" w:rsidRDefault="00C32CBD" w:rsidP="00320D09">
            <w:pPr>
              <w:rPr>
                <w:rFonts w:cs="Arial"/>
                <w:sz w:val="18"/>
                <w:szCs w:val="18"/>
              </w:rPr>
            </w:pPr>
            <w:r>
              <w:rPr>
                <w:rFonts w:cs="Arial"/>
                <w:sz w:val="18"/>
                <w:szCs w:val="18"/>
              </w:rPr>
              <w:t> </w:t>
            </w:r>
          </w:p>
        </w:tc>
        <w:tc>
          <w:tcPr>
            <w:tcW w:w="1069" w:type="dxa"/>
            <w:tcBorders>
              <w:top w:val="nil"/>
              <w:left w:val="nil"/>
              <w:bottom w:val="nil"/>
              <w:right w:val="nil"/>
            </w:tcBorders>
            <w:shd w:val="clear" w:color="FFFFFF" w:fill="FFFFFF"/>
            <w:noWrap/>
            <w:vAlign w:val="bottom"/>
            <w:hideMark/>
          </w:tcPr>
          <w:p w14:paraId="6138AE29" w14:textId="77777777" w:rsidR="00C32CBD" w:rsidRDefault="00C32CBD" w:rsidP="00320D09">
            <w:pPr>
              <w:jc w:val="right"/>
              <w:rPr>
                <w:rFonts w:cs="Arial"/>
                <w:sz w:val="18"/>
                <w:szCs w:val="18"/>
              </w:rPr>
            </w:pPr>
            <w:r>
              <w:rPr>
                <w:rFonts w:cs="Arial"/>
                <w:sz w:val="18"/>
                <w:szCs w:val="18"/>
              </w:rPr>
              <w:t>1,496</w:t>
            </w:r>
          </w:p>
        </w:tc>
      </w:tr>
      <w:tr w:rsidR="00C32CBD" w14:paraId="4AD54502" w14:textId="77777777" w:rsidTr="00320D09">
        <w:trPr>
          <w:trHeight w:val="255"/>
        </w:trPr>
        <w:tc>
          <w:tcPr>
            <w:tcW w:w="4280" w:type="dxa"/>
            <w:tcBorders>
              <w:top w:val="nil"/>
              <w:left w:val="nil"/>
              <w:bottom w:val="nil"/>
              <w:right w:val="nil"/>
            </w:tcBorders>
            <w:shd w:val="clear" w:color="FFFFFF" w:fill="FFFFFF"/>
            <w:vAlign w:val="bottom"/>
            <w:hideMark/>
          </w:tcPr>
          <w:p w14:paraId="467CD6A5" w14:textId="77777777" w:rsidR="00C32CBD" w:rsidRDefault="00C32CBD" w:rsidP="00320D09">
            <w:pPr>
              <w:ind w:firstLineChars="100" w:firstLine="180"/>
              <w:rPr>
                <w:rFonts w:cs="Arial"/>
                <w:sz w:val="18"/>
                <w:szCs w:val="18"/>
              </w:rPr>
            </w:pPr>
            <w:r>
              <w:rPr>
                <w:rFonts w:cs="Arial"/>
                <w:sz w:val="18"/>
                <w:szCs w:val="18"/>
              </w:rPr>
              <w:t>Other non-financial assets</w:t>
            </w:r>
          </w:p>
        </w:tc>
        <w:tc>
          <w:tcPr>
            <w:tcW w:w="1083" w:type="dxa"/>
            <w:tcBorders>
              <w:top w:val="nil"/>
              <w:left w:val="nil"/>
              <w:bottom w:val="nil"/>
              <w:right w:val="nil"/>
            </w:tcBorders>
            <w:shd w:val="clear" w:color="FFFFFF" w:fill="FFFFFF"/>
            <w:noWrap/>
            <w:vAlign w:val="bottom"/>
            <w:hideMark/>
          </w:tcPr>
          <w:p w14:paraId="3E4351DB" w14:textId="77777777" w:rsidR="00C32CBD" w:rsidRDefault="00C32CBD" w:rsidP="00320D09">
            <w:pPr>
              <w:jc w:val="center"/>
              <w:rPr>
                <w:rFonts w:cs="Arial"/>
                <w:sz w:val="18"/>
                <w:szCs w:val="18"/>
              </w:rPr>
            </w:pPr>
            <w:r>
              <w:rPr>
                <w:rFonts w:cs="Arial"/>
                <w:sz w:val="18"/>
                <w:szCs w:val="18"/>
              </w:rPr>
              <w:t>2.2C</w:t>
            </w:r>
          </w:p>
        </w:tc>
        <w:tc>
          <w:tcPr>
            <w:tcW w:w="1088" w:type="dxa"/>
            <w:tcBorders>
              <w:top w:val="nil"/>
              <w:left w:val="nil"/>
              <w:bottom w:val="nil"/>
              <w:right w:val="nil"/>
            </w:tcBorders>
            <w:shd w:val="clear" w:color="FFFFFF" w:fill="FFFFFF"/>
            <w:noWrap/>
            <w:vAlign w:val="bottom"/>
            <w:hideMark/>
          </w:tcPr>
          <w:p w14:paraId="37A81733" w14:textId="77777777" w:rsidR="00C32CBD" w:rsidRDefault="00C32CBD" w:rsidP="00320D09">
            <w:pPr>
              <w:jc w:val="right"/>
              <w:rPr>
                <w:rFonts w:cs="Arial"/>
                <w:b/>
                <w:bCs/>
                <w:sz w:val="18"/>
                <w:szCs w:val="18"/>
              </w:rPr>
            </w:pPr>
            <w:r>
              <w:rPr>
                <w:rFonts w:cs="Arial"/>
                <w:b/>
                <w:bCs/>
                <w:sz w:val="18"/>
                <w:szCs w:val="18"/>
              </w:rPr>
              <w:t>4,617</w:t>
            </w:r>
          </w:p>
        </w:tc>
        <w:tc>
          <w:tcPr>
            <w:tcW w:w="236" w:type="dxa"/>
            <w:tcBorders>
              <w:top w:val="nil"/>
              <w:left w:val="nil"/>
              <w:bottom w:val="nil"/>
              <w:right w:val="nil"/>
            </w:tcBorders>
            <w:shd w:val="clear" w:color="FFFFFF" w:fill="FFFFFF"/>
            <w:noWrap/>
            <w:vAlign w:val="bottom"/>
            <w:hideMark/>
          </w:tcPr>
          <w:p w14:paraId="468ED4CC" w14:textId="77777777" w:rsidR="00C32CBD" w:rsidRDefault="00C32CBD" w:rsidP="00320D09">
            <w:pPr>
              <w:rPr>
                <w:rFonts w:cs="Arial"/>
                <w:sz w:val="18"/>
                <w:szCs w:val="18"/>
              </w:rPr>
            </w:pPr>
            <w:r>
              <w:rPr>
                <w:rFonts w:cs="Arial"/>
                <w:sz w:val="18"/>
                <w:szCs w:val="18"/>
              </w:rPr>
              <w:t> </w:t>
            </w:r>
          </w:p>
        </w:tc>
        <w:tc>
          <w:tcPr>
            <w:tcW w:w="1095" w:type="dxa"/>
            <w:tcBorders>
              <w:top w:val="nil"/>
              <w:left w:val="nil"/>
              <w:bottom w:val="nil"/>
              <w:right w:val="nil"/>
            </w:tcBorders>
            <w:shd w:val="clear" w:color="FFFFFF" w:fill="FFFFFF"/>
            <w:noWrap/>
            <w:vAlign w:val="bottom"/>
            <w:hideMark/>
          </w:tcPr>
          <w:p w14:paraId="708664B5" w14:textId="77777777" w:rsidR="00C32CBD" w:rsidRDefault="00C32CBD" w:rsidP="00320D09">
            <w:pPr>
              <w:jc w:val="right"/>
              <w:rPr>
                <w:rFonts w:cs="Arial"/>
                <w:sz w:val="18"/>
                <w:szCs w:val="18"/>
              </w:rPr>
            </w:pPr>
            <w:r>
              <w:rPr>
                <w:rFonts w:cs="Arial"/>
                <w:sz w:val="18"/>
                <w:szCs w:val="18"/>
              </w:rPr>
              <w:t>10,472</w:t>
            </w:r>
          </w:p>
        </w:tc>
        <w:tc>
          <w:tcPr>
            <w:tcW w:w="236" w:type="dxa"/>
            <w:tcBorders>
              <w:top w:val="nil"/>
              <w:left w:val="nil"/>
              <w:bottom w:val="nil"/>
              <w:right w:val="nil"/>
            </w:tcBorders>
            <w:shd w:val="clear" w:color="FFFFFF" w:fill="FFFFFF"/>
            <w:noWrap/>
            <w:vAlign w:val="bottom"/>
            <w:hideMark/>
          </w:tcPr>
          <w:p w14:paraId="6ED26258" w14:textId="77777777" w:rsidR="00C32CBD" w:rsidRDefault="00C32CBD" w:rsidP="00320D09">
            <w:pPr>
              <w:rPr>
                <w:rFonts w:cs="Arial"/>
                <w:sz w:val="18"/>
                <w:szCs w:val="18"/>
              </w:rPr>
            </w:pPr>
            <w:r>
              <w:rPr>
                <w:rFonts w:cs="Arial"/>
                <w:sz w:val="18"/>
                <w:szCs w:val="18"/>
              </w:rPr>
              <w:t> </w:t>
            </w:r>
          </w:p>
        </w:tc>
        <w:tc>
          <w:tcPr>
            <w:tcW w:w="1069" w:type="dxa"/>
            <w:tcBorders>
              <w:top w:val="nil"/>
              <w:left w:val="nil"/>
              <w:bottom w:val="nil"/>
              <w:right w:val="nil"/>
            </w:tcBorders>
            <w:shd w:val="clear" w:color="FFFFFF" w:fill="FFFFFF"/>
            <w:noWrap/>
            <w:vAlign w:val="bottom"/>
            <w:hideMark/>
          </w:tcPr>
          <w:p w14:paraId="1813CE12" w14:textId="77777777" w:rsidR="00C32CBD" w:rsidRDefault="00C32CBD" w:rsidP="00320D09">
            <w:pPr>
              <w:jc w:val="right"/>
              <w:rPr>
                <w:rFonts w:cs="Arial"/>
                <w:sz w:val="18"/>
                <w:szCs w:val="18"/>
              </w:rPr>
            </w:pPr>
            <w:r>
              <w:rPr>
                <w:rFonts w:cs="Arial"/>
                <w:sz w:val="18"/>
                <w:szCs w:val="18"/>
              </w:rPr>
              <w:t>3,275</w:t>
            </w:r>
          </w:p>
        </w:tc>
      </w:tr>
      <w:tr w:rsidR="00C32CBD" w14:paraId="77D6A9CC" w14:textId="77777777" w:rsidTr="00320D09">
        <w:trPr>
          <w:trHeight w:val="255"/>
        </w:trPr>
        <w:tc>
          <w:tcPr>
            <w:tcW w:w="4280" w:type="dxa"/>
            <w:tcBorders>
              <w:top w:val="nil"/>
              <w:left w:val="nil"/>
              <w:bottom w:val="nil"/>
              <w:right w:val="nil"/>
            </w:tcBorders>
            <w:shd w:val="clear" w:color="FFFFFF" w:fill="FFFFFF"/>
            <w:vAlign w:val="bottom"/>
            <w:hideMark/>
          </w:tcPr>
          <w:p w14:paraId="72C5279A" w14:textId="77777777" w:rsidR="00C32CBD" w:rsidRDefault="00C32CBD" w:rsidP="00320D09">
            <w:pPr>
              <w:rPr>
                <w:rFonts w:cs="Arial"/>
                <w:b/>
                <w:bCs/>
                <w:sz w:val="18"/>
                <w:szCs w:val="18"/>
              </w:rPr>
            </w:pPr>
            <w:r>
              <w:rPr>
                <w:rFonts w:cs="Arial"/>
                <w:b/>
                <w:bCs/>
                <w:sz w:val="18"/>
                <w:szCs w:val="18"/>
              </w:rPr>
              <w:t>Total non-financial assets</w:t>
            </w:r>
          </w:p>
        </w:tc>
        <w:tc>
          <w:tcPr>
            <w:tcW w:w="1083" w:type="dxa"/>
            <w:tcBorders>
              <w:top w:val="nil"/>
              <w:left w:val="nil"/>
              <w:bottom w:val="nil"/>
              <w:right w:val="nil"/>
            </w:tcBorders>
            <w:shd w:val="clear" w:color="FFFFFF" w:fill="FFFFFF"/>
            <w:noWrap/>
            <w:vAlign w:val="bottom"/>
            <w:hideMark/>
          </w:tcPr>
          <w:p w14:paraId="108D42E6" w14:textId="77777777" w:rsidR="00C32CBD" w:rsidRDefault="00C32CBD" w:rsidP="00320D09">
            <w:pPr>
              <w:jc w:val="center"/>
              <w:rPr>
                <w:rFonts w:cs="Arial"/>
                <w:sz w:val="18"/>
                <w:szCs w:val="18"/>
              </w:rPr>
            </w:pPr>
            <w:r>
              <w:rPr>
                <w:rFonts w:cs="Arial"/>
                <w:sz w:val="18"/>
                <w:szCs w:val="18"/>
              </w:rPr>
              <w:t> </w:t>
            </w:r>
          </w:p>
        </w:tc>
        <w:tc>
          <w:tcPr>
            <w:tcW w:w="1088" w:type="dxa"/>
            <w:tcBorders>
              <w:top w:val="single" w:sz="4" w:space="0" w:color="auto"/>
              <w:left w:val="nil"/>
              <w:bottom w:val="single" w:sz="4" w:space="0" w:color="auto"/>
              <w:right w:val="nil"/>
            </w:tcBorders>
            <w:shd w:val="clear" w:color="FFFFFF" w:fill="FFFFFF"/>
            <w:noWrap/>
            <w:vAlign w:val="bottom"/>
            <w:hideMark/>
          </w:tcPr>
          <w:p w14:paraId="164C2017" w14:textId="77777777" w:rsidR="00C32CBD" w:rsidRDefault="00C32CBD" w:rsidP="00320D09">
            <w:pPr>
              <w:jc w:val="right"/>
              <w:rPr>
                <w:rFonts w:cs="Arial"/>
                <w:b/>
                <w:bCs/>
                <w:sz w:val="18"/>
                <w:szCs w:val="18"/>
              </w:rPr>
            </w:pPr>
            <w:r>
              <w:rPr>
                <w:rFonts w:cs="Arial"/>
                <w:b/>
                <w:bCs/>
                <w:sz w:val="18"/>
                <w:szCs w:val="18"/>
              </w:rPr>
              <w:t>38,908</w:t>
            </w:r>
          </w:p>
        </w:tc>
        <w:tc>
          <w:tcPr>
            <w:tcW w:w="236" w:type="dxa"/>
            <w:tcBorders>
              <w:top w:val="nil"/>
              <w:left w:val="nil"/>
              <w:bottom w:val="nil"/>
              <w:right w:val="nil"/>
            </w:tcBorders>
            <w:shd w:val="clear" w:color="FFFFFF" w:fill="FFFFFF"/>
            <w:noWrap/>
            <w:vAlign w:val="bottom"/>
            <w:hideMark/>
          </w:tcPr>
          <w:p w14:paraId="0177BE1E" w14:textId="77777777" w:rsidR="00C32CBD" w:rsidRDefault="00C32CBD" w:rsidP="00320D09">
            <w:pPr>
              <w:rPr>
                <w:rFonts w:cs="Arial"/>
                <w:sz w:val="18"/>
                <w:szCs w:val="18"/>
              </w:rPr>
            </w:pPr>
            <w:r>
              <w:rPr>
                <w:rFonts w:cs="Arial"/>
                <w:sz w:val="18"/>
                <w:szCs w:val="18"/>
              </w:rPr>
              <w:t> </w:t>
            </w:r>
          </w:p>
        </w:tc>
        <w:tc>
          <w:tcPr>
            <w:tcW w:w="1095" w:type="dxa"/>
            <w:tcBorders>
              <w:top w:val="single" w:sz="4" w:space="0" w:color="auto"/>
              <w:left w:val="nil"/>
              <w:bottom w:val="single" w:sz="4" w:space="0" w:color="auto"/>
              <w:right w:val="nil"/>
            </w:tcBorders>
            <w:shd w:val="clear" w:color="FFFFFF" w:fill="FFFFFF"/>
            <w:noWrap/>
            <w:vAlign w:val="bottom"/>
            <w:hideMark/>
          </w:tcPr>
          <w:p w14:paraId="69C53B5E" w14:textId="77777777" w:rsidR="00C32CBD" w:rsidRDefault="00C32CBD" w:rsidP="00320D09">
            <w:pPr>
              <w:jc w:val="right"/>
              <w:rPr>
                <w:rFonts w:cs="Arial"/>
                <w:sz w:val="18"/>
                <w:szCs w:val="18"/>
              </w:rPr>
            </w:pPr>
            <w:r>
              <w:rPr>
                <w:rFonts w:cs="Arial"/>
                <w:sz w:val="18"/>
                <w:szCs w:val="18"/>
              </w:rPr>
              <w:t>35,785</w:t>
            </w:r>
          </w:p>
        </w:tc>
        <w:tc>
          <w:tcPr>
            <w:tcW w:w="236" w:type="dxa"/>
            <w:tcBorders>
              <w:top w:val="nil"/>
              <w:left w:val="nil"/>
              <w:bottom w:val="nil"/>
              <w:right w:val="nil"/>
            </w:tcBorders>
            <w:shd w:val="clear" w:color="FFFFFF" w:fill="FFFFFF"/>
            <w:noWrap/>
            <w:vAlign w:val="bottom"/>
            <w:hideMark/>
          </w:tcPr>
          <w:p w14:paraId="4E838760" w14:textId="77777777" w:rsidR="00C32CBD" w:rsidRDefault="00C32CBD" w:rsidP="00320D09">
            <w:pPr>
              <w:rPr>
                <w:rFonts w:cs="Arial"/>
                <w:sz w:val="18"/>
                <w:szCs w:val="18"/>
              </w:rPr>
            </w:pPr>
            <w:r>
              <w:rPr>
                <w:rFonts w:cs="Arial"/>
                <w:sz w:val="18"/>
                <w:szCs w:val="18"/>
              </w:rPr>
              <w:t> </w:t>
            </w:r>
          </w:p>
        </w:tc>
        <w:tc>
          <w:tcPr>
            <w:tcW w:w="1069" w:type="dxa"/>
            <w:tcBorders>
              <w:top w:val="single" w:sz="4" w:space="0" w:color="auto"/>
              <w:left w:val="nil"/>
              <w:bottom w:val="single" w:sz="4" w:space="0" w:color="auto"/>
              <w:right w:val="nil"/>
            </w:tcBorders>
            <w:shd w:val="clear" w:color="FFFFFF" w:fill="FFFFFF"/>
            <w:noWrap/>
            <w:vAlign w:val="bottom"/>
            <w:hideMark/>
          </w:tcPr>
          <w:p w14:paraId="26ED4757" w14:textId="77777777" w:rsidR="00C32CBD" w:rsidRDefault="00C32CBD" w:rsidP="00320D09">
            <w:pPr>
              <w:jc w:val="right"/>
              <w:rPr>
                <w:rFonts w:cs="Arial"/>
                <w:sz w:val="18"/>
                <w:szCs w:val="18"/>
              </w:rPr>
            </w:pPr>
            <w:r>
              <w:rPr>
                <w:rFonts w:cs="Arial"/>
                <w:sz w:val="18"/>
                <w:szCs w:val="18"/>
              </w:rPr>
              <w:t>171,907</w:t>
            </w:r>
          </w:p>
        </w:tc>
      </w:tr>
      <w:tr w:rsidR="00C32CBD" w14:paraId="377B2DC5" w14:textId="77777777" w:rsidTr="00320D09">
        <w:trPr>
          <w:trHeight w:val="255"/>
        </w:trPr>
        <w:tc>
          <w:tcPr>
            <w:tcW w:w="4280" w:type="dxa"/>
            <w:tcBorders>
              <w:top w:val="nil"/>
              <w:left w:val="nil"/>
              <w:bottom w:val="nil"/>
              <w:right w:val="nil"/>
            </w:tcBorders>
            <w:shd w:val="clear" w:color="FFFFFF" w:fill="FFFFFF"/>
            <w:vAlign w:val="bottom"/>
            <w:hideMark/>
          </w:tcPr>
          <w:p w14:paraId="013CE51C" w14:textId="77777777" w:rsidR="00C32CBD" w:rsidRDefault="00C32CBD" w:rsidP="00320D09">
            <w:pPr>
              <w:rPr>
                <w:rFonts w:cs="Arial"/>
                <w:sz w:val="18"/>
                <w:szCs w:val="18"/>
              </w:rPr>
            </w:pPr>
            <w:r>
              <w:rPr>
                <w:rFonts w:cs="Arial"/>
                <w:sz w:val="18"/>
                <w:szCs w:val="18"/>
              </w:rPr>
              <w:t> </w:t>
            </w:r>
          </w:p>
        </w:tc>
        <w:tc>
          <w:tcPr>
            <w:tcW w:w="1083" w:type="dxa"/>
            <w:tcBorders>
              <w:top w:val="nil"/>
              <w:left w:val="nil"/>
              <w:bottom w:val="nil"/>
              <w:right w:val="nil"/>
            </w:tcBorders>
            <w:shd w:val="clear" w:color="FFFFFF" w:fill="FFFFFF"/>
            <w:noWrap/>
            <w:vAlign w:val="bottom"/>
            <w:hideMark/>
          </w:tcPr>
          <w:p w14:paraId="182E092A" w14:textId="77777777" w:rsidR="00C32CBD" w:rsidRDefault="00C32CBD" w:rsidP="00320D09">
            <w:pPr>
              <w:jc w:val="center"/>
              <w:rPr>
                <w:rFonts w:cs="Arial"/>
                <w:sz w:val="18"/>
                <w:szCs w:val="18"/>
              </w:rPr>
            </w:pPr>
            <w:r>
              <w:rPr>
                <w:rFonts w:cs="Arial"/>
                <w:sz w:val="18"/>
                <w:szCs w:val="18"/>
              </w:rPr>
              <w:t> </w:t>
            </w:r>
          </w:p>
        </w:tc>
        <w:tc>
          <w:tcPr>
            <w:tcW w:w="1088" w:type="dxa"/>
            <w:tcBorders>
              <w:top w:val="nil"/>
              <w:left w:val="nil"/>
              <w:bottom w:val="nil"/>
              <w:right w:val="nil"/>
            </w:tcBorders>
            <w:shd w:val="clear" w:color="FFFFFF" w:fill="FFFFFF"/>
            <w:noWrap/>
            <w:vAlign w:val="bottom"/>
            <w:hideMark/>
          </w:tcPr>
          <w:p w14:paraId="39224742" w14:textId="77777777" w:rsidR="00C32CBD" w:rsidRDefault="00C32CBD" w:rsidP="00320D09">
            <w:pPr>
              <w:jc w:val="right"/>
              <w:rPr>
                <w:rFonts w:cs="Arial"/>
                <w:b/>
                <w:bCs/>
                <w:sz w:val="18"/>
                <w:szCs w:val="18"/>
              </w:rPr>
            </w:pPr>
            <w:r>
              <w:rPr>
                <w:rFonts w:cs="Arial"/>
                <w:b/>
                <w:bCs/>
                <w:sz w:val="18"/>
                <w:szCs w:val="18"/>
              </w:rPr>
              <w:t> </w:t>
            </w:r>
          </w:p>
        </w:tc>
        <w:tc>
          <w:tcPr>
            <w:tcW w:w="236" w:type="dxa"/>
            <w:tcBorders>
              <w:top w:val="nil"/>
              <w:left w:val="nil"/>
              <w:bottom w:val="nil"/>
              <w:right w:val="nil"/>
            </w:tcBorders>
            <w:shd w:val="clear" w:color="FFFFFF" w:fill="FFFFFF"/>
            <w:noWrap/>
            <w:vAlign w:val="bottom"/>
            <w:hideMark/>
          </w:tcPr>
          <w:p w14:paraId="73147A64" w14:textId="77777777" w:rsidR="00C32CBD" w:rsidRDefault="00C32CBD" w:rsidP="00320D09">
            <w:pPr>
              <w:rPr>
                <w:rFonts w:cs="Arial"/>
                <w:sz w:val="18"/>
                <w:szCs w:val="18"/>
              </w:rPr>
            </w:pPr>
            <w:r>
              <w:rPr>
                <w:rFonts w:cs="Arial"/>
                <w:sz w:val="18"/>
                <w:szCs w:val="18"/>
              </w:rPr>
              <w:t> </w:t>
            </w:r>
          </w:p>
        </w:tc>
        <w:tc>
          <w:tcPr>
            <w:tcW w:w="1095" w:type="dxa"/>
            <w:tcBorders>
              <w:top w:val="nil"/>
              <w:left w:val="nil"/>
              <w:bottom w:val="nil"/>
              <w:right w:val="nil"/>
            </w:tcBorders>
            <w:shd w:val="clear" w:color="FFFFFF" w:fill="FFFFFF"/>
            <w:noWrap/>
            <w:vAlign w:val="bottom"/>
            <w:hideMark/>
          </w:tcPr>
          <w:p w14:paraId="73A83487" w14:textId="77777777" w:rsidR="00C32CBD" w:rsidRDefault="00C32CBD" w:rsidP="00320D09">
            <w:pPr>
              <w:jc w:val="right"/>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16F415F5" w14:textId="77777777" w:rsidR="00C32CBD" w:rsidRDefault="00C32CBD" w:rsidP="00320D09">
            <w:pPr>
              <w:rPr>
                <w:rFonts w:cs="Arial"/>
                <w:sz w:val="18"/>
                <w:szCs w:val="18"/>
              </w:rPr>
            </w:pPr>
            <w:r>
              <w:rPr>
                <w:rFonts w:cs="Arial"/>
                <w:sz w:val="18"/>
                <w:szCs w:val="18"/>
              </w:rPr>
              <w:t> </w:t>
            </w:r>
          </w:p>
        </w:tc>
        <w:tc>
          <w:tcPr>
            <w:tcW w:w="1069" w:type="dxa"/>
            <w:tcBorders>
              <w:top w:val="nil"/>
              <w:left w:val="nil"/>
              <w:bottom w:val="nil"/>
              <w:right w:val="nil"/>
            </w:tcBorders>
            <w:shd w:val="clear" w:color="FFFFFF" w:fill="FFFFFF"/>
            <w:noWrap/>
            <w:vAlign w:val="bottom"/>
            <w:hideMark/>
          </w:tcPr>
          <w:p w14:paraId="2CFB15AC" w14:textId="77777777" w:rsidR="00C32CBD" w:rsidRDefault="00C32CBD" w:rsidP="00320D09">
            <w:pPr>
              <w:jc w:val="right"/>
              <w:rPr>
                <w:rFonts w:cs="Arial"/>
                <w:sz w:val="18"/>
                <w:szCs w:val="18"/>
              </w:rPr>
            </w:pPr>
            <w:r>
              <w:rPr>
                <w:rFonts w:cs="Arial"/>
                <w:sz w:val="18"/>
                <w:szCs w:val="18"/>
              </w:rPr>
              <w:t> </w:t>
            </w:r>
          </w:p>
        </w:tc>
      </w:tr>
      <w:tr w:rsidR="00C32CBD" w14:paraId="3DD19864" w14:textId="77777777" w:rsidTr="00320D09">
        <w:trPr>
          <w:trHeight w:val="255"/>
        </w:trPr>
        <w:tc>
          <w:tcPr>
            <w:tcW w:w="4280" w:type="dxa"/>
            <w:tcBorders>
              <w:top w:val="nil"/>
              <w:left w:val="nil"/>
              <w:bottom w:val="nil"/>
              <w:right w:val="nil"/>
            </w:tcBorders>
            <w:shd w:val="clear" w:color="FFFFFF" w:fill="FFFFFF"/>
            <w:vAlign w:val="bottom"/>
            <w:hideMark/>
          </w:tcPr>
          <w:p w14:paraId="0B97A095" w14:textId="77777777" w:rsidR="00C32CBD" w:rsidRDefault="00C32CBD" w:rsidP="00320D09">
            <w:pPr>
              <w:rPr>
                <w:rFonts w:cs="Arial"/>
                <w:b/>
                <w:bCs/>
                <w:sz w:val="18"/>
                <w:szCs w:val="18"/>
              </w:rPr>
            </w:pPr>
            <w:r>
              <w:rPr>
                <w:rFonts w:cs="Arial"/>
                <w:b/>
                <w:bCs/>
                <w:sz w:val="18"/>
                <w:szCs w:val="18"/>
              </w:rPr>
              <w:t>Total assets</w:t>
            </w:r>
          </w:p>
        </w:tc>
        <w:tc>
          <w:tcPr>
            <w:tcW w:w="1083" w:type="dxa"/>
            <w:tcBorders>
              <w:top w:val="nil"/>
              <w:left w:val="nil"/>
              <w:bottom w:val="nil"/>
              <w:right w:val="nil"/>
            </w:tcBorders>
            <w:shd w:val="clear" w:color="FFFFFF" w:fill="FFFFFF"/>
            <w:noWrap/>
            <w:vAlign w:val="bottom"/>
            <w:hideMark/>
          </w:tcPr>
          <w:p w14:paraId="52F82894" w14:textId="77777777" w:rsidR="00C32CBD" w:rsidRDefault="00C32CBD" w:rsidP="00320D09">
            <w:pPr>
              <w:jc w:val="center"/>
              <w:rPr>
                <w:rFonts w:cs="Arial"/>
                <w:sz w:val="18"/>
                <w:szCs w:val="18"/>
              </w:rPr>
            </w:pPr>
            <w:r>
              <w:rPr>
                <w:rFonts w:cs="Arial"/>
                <w:sz w:val="18"/>
                <w:szCs w:val="18"/>
              </w:rPr>
              <w:t> </w:t>
            </w:r>
          </w:p>
        </w:tc>
        <w:tc>
          <w:tcPr>
            <w:tcW w:w="1088" w:type="dxa"/>
            <w:tcBorders>
              <w:top w:val="single" w:sz="4" w:space="0" w:color="auto"/>
              <w:left w:val="nil"/>
              <w:bottom w:val="single" w:sz="4" w:space="0" w:color="auto"/>
              <w:right w:val="nil"/>
            </w:tcBorders>
            <w:shd w:val="clear" w:color="FFFFFF" w:fill="FFFFFF"/>
            <w:noWrap/>
            <w:vAlign w:val="bottom"/>
            <w:hideMark/>
          </w:tcPr>
          <w:p w14:paraId="1539954D" w14:textId="77777777" w:rsidR="00C32CBD" w:rsidRDefault="00C32CBD" w:rsidP="00320D09">
            <w:pPr>
              <w:jc w:val="right"/>
              <w:rPr>
                <w:rFonts w:cs="Arial"/>
                <w:b/>
                <w:bCs/>
                <w:sz w:val="18"/>
                <w:szCs w:val="18"/>
              </w:rPr>
            </w:pPr>
            <w:r>
              <w:rPr>
                <w:rFonts w:cs="Arial"/>
                <w:b/>
                <w:bCs/>
                <w:sz w:val="18"/>
                <w:szCs w:val="18"/>
              </w:rPr>
              <w:t>1,572,057</w:t>
            </w:r>
          </w:p>
        </w:tc>
        <w:tc>
          <w:tcPr>
            <w:tcW w:w="236" w:type="dxa"/>
            <w:tcBorders>
              <w:top w:val="nil"/>
              <w:left w:val="nil"/>
              <w:bottom w:val="nil"/>
              <w:right w:val="nil"/>
            </w:tcBorders>
            <w:shd w:val="clear" w:color="FFFFFF" w:fill="FFFFFF"/>
            <w:noWrap/>
            <w:vAlign w:val="bottom"/>
            <w:hideMark/>
          </w:tcPr>
          <w:p w14:paraId="5D217526" w14:textId="77777777" w:rsidR="00C32CBD" w:rsidRDefault="00C32CBD" w:rsidP="00320D09">
            <w:pPr>
              <w:rPr>
                <w:rFonts w:cs="Arial"/>
                <w:sz w:val="18"/>
                <w:szCs w:val="18"/>
              </w:rPr>
            </w:pPr>
            <w:r>
              <w:rPr>
                <w:rFonts w:cs="Arial"/>
                <w:sz w:val="18"/>
                <w:szCs w:val="18"/>
              </w:rPr>
              <w:t> </w:t>
            </w:r>
          </w:p>
        </w:tc>
        <w:tc>
          <w:tcPr>
            <w:tcW w:w="1095" w:type="dxa"/>
            <w:tcBorders>
              <w:top w:val="single" w:sz="4" w:space="0" w:color="auto"/>
              <w:left w:val="nil"/>
              <w:bottom w:val="single" w:sz="4" w:space="0" w:color="auto"/>
              <w:right w:val="nil"/>
            </w:tcBorders>
            <w:shd w:val="clear" w:color="FFFFFF" w:fill="FFFFFF"/>
            <w:noWrap/>
            <w:vAlign w:val="bottom"/>
            <w:hideMark/>
          </w:tcPr>
          <w:p w14:paraId="67982C43" w14:textId="77777777" w:rsidR="00C32CBD" w:rsidRDefault="00C32CBD" w:rsidP="00320D09">
            <w:pPr>
              <w:jc w:val="right"/>
              <w:rPr>
                <w:rFonts w:cs="Arial"/>
                <w:sz w:val="18"/>
                <w:szCs w:val="18"/>
              </w:rPr>
            </w:pPr>
            <w:r>
              <w:rPr>
                <w:rFonts w:cs="Arial"/>
                <w:sz w:val="18"/>
                <w:szCs w:val="18"/>
              </w:rPr>
              <w:t>396,293</w:t>
            </w:r>
          </w:p>
        </w:tc>
        <w:tc>
          <w:tcPr>
            <w:tcW w:w="236" w:type="dxa"/>
            <w:tcBorders>
              <w:top w:val="nil"/>
              <w:left w:val="nil"/>
              <w:bottom w:val="nil"/>
              <w:right w:val="nil"/>
            </w:tcBorders>
            <w:shd w:val="clear" w:color="FFFFFF" w:fill="FFFFFF"/>
            <w:noWrap/>
            <w:vAlign w:val="bottom"/>
            <w:hideMark/>
          </w:tcPr>
          <w:p w14:paraId="53E6F109" w14:textId="77777777" w:rsidR="00C32CBD" w:rsidRDefault="00C32CBD" w:rsidP="00320D09">
            <w:pPr>
              <w:rPr>
                <w:rFonts w:cs="Arial"/>
                <w:sz w:val="18"/>
                <w:szCs w:val="18"/>
              </w:rPr>
            </w:pPr>
            <w:r>
              <w:rPr>
                <w:rFonts w:cs="Arial"/>
                <w:sz w:val="18"/>
                <w:szCs w:val="18"/>
              </w:rPr>
              <w:t> </w:t>
            </w:r>
          </w:p>
        </w:tc>
        <w:tc>
          <w:tcPr>
            <w:tcW w:w="1069" w:type="dxa"/>
            <w:tcBorders>
              <w:top w:val="single" w:sz="4" w:space="0" w:color="auto"/>
              <w:left w:val="nil"/>
              <w:bottom w:val="single" w:sz="4" w:space="0" w:color="auto"/>
              <w:right w:val="nil"/>
            </w:tcBorders>
            <w:shd w:val="clear" w:color="FFFFFF" w:fill="FFFFFF"/>
            <w:noWrap/>
            <w:vAlign w:val="bottom"/>
            <w:hideMark/>
          </w:tcPr>
          <w:p w14:paraId="5DB9D948" w14:textId="77777777" w:rsidR="00C32CBD" w:rsidRDefault="00C32CBD" w:rsidP="00320D09">
            <w:pPr>
              <w:jc w:val="right"/>
              <w:rPr>
                <w:rFonts w:cs="Arial"/>
                <w:sz w:val="18"/>
                <w:szCs w:val="18"/>
              </w:rPr>
            </w:pPr>
            <w:r>
              <w:rPr>
                <w:rFonts w:cs="Arial"/>
                <w:sz w:val="18"/>
                <w:szCs w:val="18"/>
              </w:rPr>
              <w:t>503,619</w:t>
            </w:r>
          </w:p>
        </w:tc>
      </w:tr>
      <w:tr w:rsidR="00C32CBD" w14:paraId="5E922229" w14:textId="77777777" w:rsidTr="00320D09">
        <w:trPr>
          <w:trHeight w:val="300"/>
        </w:trPr>
        <w:tc>
          <w:tcPr>
            <w:tcW w:w="4280" w:type="dxa"/>
            <w:tcBorders>
              <w:top w:val="nil"/>
              <w:left w:val="nil"/>
              <w:bottom w:val="nil"/>
              <w:right w:val="nil"/>
            </w:tcBorders>
            <w:shd w:val="clear" w:color="FFFFFF" w:fill="FFFFFF"/>
            <w:vAlign w:val="bottom"/>
            <w:hideMark/>
          </w:tcPr>
          <w:p w14:paraId="2CD00A1F" w14:textId="77777777" w:rsidR="00C32CBD" w:rsidRDefault="00C32CBD" w:rsidP="00320D09">
            <w:pPr>
              <w:rPr>
                <w:rFonts w:cs="Arial"/>
                <w:sz w:val="18"/>
                <w:szCs w:val="18"/>
              </w:rPr>
            </w:pPr>
            <w:r>
              <w:rPr>
                <w:rFonts w:cs="Arial"/>
                <w:sz w:val="18"/>
                <w:szCs w:val="18"/>
              </w:rPr>
              <w:t> </w:t>
            </w:r>
          </w:p>
        </w:tc>
        <w:tc>
          <w:tcPr>
            <w:tcW w:w="1083" w:type="dxa"/>
            <w:tcBorders>
              <w:top w:val="nil"/>
              <w:left w:val="nil"/>
              <w:bottom w:val="nil"/>
              <w:right w:val="nil"/>
            </w:tcBorders>
            <w:shd w:val="clear" w:color="FFFFFF" w:fill="FFFFFF"/>
            <w:noWrap/>
            <w:vAlign w:val="bottom"/>
            <w:hideMark/>
          </w:tcPr>
          <w:p w14:paraId="44212047" w14:textId="77777777" w:rsidR="00C32CBD" w:rsidRDefault="00C32CBD" w:rsidP="00320D09">
            <w:pPr>
              <w:jc w:val="center"/>
              <w:rPr>
                <w:rFonts w:cs="Arial"/>
                <w:sz w:val="18"/>
                <w:szCs w:val="18"/>
              </w:rPr>
            </w:pPr>
            <w:r>
              <w:rPr>
                <w:rFonts w:cs="Arial"/>
                <w:sz w:val="18"/>
                <w:szCs w:val="18"/>
              </w:rPr>
              <w:t> </w:t>
            </w:r>
          </w:p>
        </w:tc>
        <w:tc>
          <w:tcPr>
            <w:tcW w:w="1088" w:type="dxa"/>
            <w:tcBorders>
              <w:top w:val="nil"/>
              <w:left w:val="nil"/>
              <w:bottom w:val="nil"/>
              <w:right w:val="nil"/>
            </w:tcBorders>
            <w:shd w:val="clear" w:color="FFFFFF" w:fill="FFFFFF"/>
            <w:noWrap/>
            <w:vAlign w:val="bottom"/>
            <w:hideMark/>
          </w:tcPr>
          <w:p w14:paraId="45E0158A" w14:textId="77777777" w:rsidR="00C32CBD" w:rsidRDefault="00C32CBD" w:rsidP="00320D09">
            <w:pPr>
              <w:jc w:val="right"/>
              <w:rPr>
                <w:rFonts w:cs="Arial"/>
                <w:b/>
                <w:bCs/>
                <w:sz w:val="18"/>
                <w:szCs w:val="18"/>
              </w:rPr>
            </w:pPr>
            <w:r>
              <w:rPr>
                <w:rFonts w:cs="Arial"/>
                <w:b/>
                <w:bCs/>
                <w:sz w:val="18"/>
                <w:szCs w:val="18"/>
              </w:rPr>
              <w:t> </w:t>
            </w:r>
          </w:p>
        </w:tc>
        <w:tc>
          <w:tcPr>
            <w:tcW w:w="236" w:type="dxa"/>
            <w:tcBorders>
              <w:top w:val="nil"/>
              <w:left w:val="nil"/>
              <w:bottom w:val="nil"/>
              <w:right w:val="nil"/>
            </w:tcBorders>
            <w:shd w:val="clear" w:color="FFFFFF" w:fill="FFFFFF"/>
            <w:noWrap/>
            <w:vAlign w:val="bottom"/>
            <w:hideMark/>
          </w:tcPr>
          <w:p w14:paraId="40A72F7E" w14:textId="77777777" w:rsidR="00C32CBD" w:rsidRDefault="00C32CBD" w:rsidP="00320D09">
            <w:pPr>
              <w:rPr>
                <w:rFonts w:cs="Arial"/>
                <w:sz w:val="18"/>
                <w:szCs w:val="18"/>
              </w:rPr>
            </w:pPr>
            <w:r>
              <w:rPr>
                <w:rFonts w:cs="Arial"/>
                <w:sz w:val="18"/>
                <w:szCs w:val="18"/>
              </w:rPr>
              <w:t> </w:t>
            </w:r>
          </w:p>
        </w:tc>
        <w:tc>
          <w:tcPr>
            <w:tcW w:w="1095" w:type="dxa"/>
            <w:tcBorders>
              <w:top w:val="nil"/>
              <w:left w:val="nil"/>
              <w:bottom w:val="nil"/>
              <w:right w:val="nil"/>
            </w:tcBorders>
            <w:shd w:val="clear" w:color="FFFFFF" w:fill="FFFFFF"/>
            <w:noWrap/>
            <w:vAlign w:val="bottom"/>
            <w:hideMark/>
          </w:tcPr>
          <w:p w14:paraId="68D5BEE0" w14:textId="77777777" w:rsidR="00C32CBD" w:rsidRDefault="00C32CBD" w:rsidP="00320D09">
            <w:pPr>
              <w:jc w:val="right"/>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6B0889DD" w14:textId="77777777" w:rsidR="00C32CBD" w:rsidRDefault="00C32CBD" w:rsidP="00320D09">
            <w:pPr>
              <w:rPr>
                <w:rFonts w:cs="Arial"/>
                <w:sz w:val="18"/>
                <w:szCs w:val="18"/>
              </w:rPr>
            </w:pPr>
            <w:r>
              <w:rPr>
                <w:rFonts w:cs="Arial"/>
                <w:sz w:val="18"/>
                <w:szCs w:val="18"/>
              </w:rPr>
              <w:t> </w:t>
            </w:r>
          </w:p>
        </w:tc>
        <w:tc>
          <w:tcPr>
            <w:tcW w:w="1069" w:type="dxa"/>
            <w:tcBorders>
              <w:top w:val="nil"/>
              <w:left w:val="nil"/>
              <w:bottom w:val="nil"/>
              <w:right w:val="nil"/>
            </w:tcBorders>
            <w:shd w:val="clear" w:color="FFFFFF" w:fill="FFFFFF"/>
            <w:noWrap/>
            <w:vAlign w:val="bottom"/>
            <w:hideMark/>
          </w:tcPr>
          <w:p w14:paraId="419DD21B" w14:textId="77777777" w:rsidR="00C32CBD" w:rsidRDefault="00C32CBD" w:rsidP="00320D09">
            <w:pPr>
              <w:jc w:val="right"/>
              <w:rPr>
                <w:rFonts w:cs="Arial"/>
                <w:sz w:val="18"/>
                <w:szCs w:val="18"/>
              </w:rPr>
            </w:pPr>
            <w:r>
              <w:rPr>
                <w:rFonts w:cs="Arial"/>
                <w:sz w:val="18"/>
                <w:szCs w:val="18"/>
              </w:rPr>
              <w:t> </w:t>
            </w:r>
          </w:p>
        </w:tc>
      </w:tr>
      <w:tr w:rsidR="00C32CBD" w14:paraId="49933837" w14:textId="77777777" w:rsidTr="00320D09">
        <w:trPr>
          <w:trHeight w:val="255"/>
        </w:trPr>
        <w:tc>
          <w:tcPr>
            <w:tcW w:w="4280" w:type="dxa"/>
            <w:tcBorders>
              <w:top w:val="nil"/>
              <w:left w:val="nil"/>
              <w:bottom w:val="nil"/>
              <w:right w:val="nil"/>
            </w:tcBorders>
            <w:shd w:val="clear" w:color="FFFFFF" w:fill="FFFFFF"/>
            <w:vAlign w:val="bottom"/>
            <w:hideMark/>
          </w:tcPr>
          <w:p w14:paraId="27355C42" w14:textId="77777777" w:rsidR="00C32CBD" w:rsidRDefault="00C32CBD" w:rsidP="00320D09">
            <w:pPr>
              <w:rPr>
                <w:rFonts w:cs="Arial"/>
                <w:b/>
                <w:bCs/>
                <w:sz w:val="18"/>
                <w:szCs w:val="18"/>
              </w:rPr>
            </w:pPr>
            <w:r>
              <w:rPr>
                <w:rFonts w:cs="Arial"/>
                <w:b/>
                <w:bCs/>
                <w:sz w:val="18"/>
                <w:szCs w:val="18"/>
              </w:rPr>
              <w:t>LIABILITIES</w:t>
            </w:r>
          </w:p>
        </w:tc>
        <w:tc>
          <w:tcPr>
            <w:tcW w:w="1083" w:type="dxa"/>
            <w:tcBorders>
              <w:top w:val="nil"/>
              <w:left w:val="nil"/>
              <w:bottom w:val="nil"/>
              <w:right w:val="nil"/>
            </w:tcBorders>
            <w:shd w:val="clear" w:color="FFFFFF" w:fill="FFFFFF"/>
            <w:noWrap/>
            <w:vAlign w:val="bottom"/>
            <w:hideMark/>
          </w:tcPr>
          <w:p w14:paraId="45210FE4" w14:textId="77777777" w:rsidR="00C32CBD" w:rsidRDefault="00C32CBD" w:rsidP="00320D09">
            <w:pPr>
              <w:jc w:val="center"/>
              <w:rPr>
                <w:rFonts w:cs="Arial"/>
                <w:sz w:val="18"/>
                <w:szCs w:val="18"/>
              </w:rPr>
            </w:pPr>
            <w:r>
              <w:rPr>
                <w:rFonts w:cs="Arial"/>
                <w:sz w:val="18"/>
                <w:szCs w:val="18"/>
              </w:rPr>
              <w:t> </w:t>
            </w:r>
          </w:p>
        </w:tc>
        <w:tc>
          <w:tcPr>
            <w:tcW w:w="1088" w:type="dxa"/>
            <w:tcBorders>
              <w:top w:val="nil"/>
              <w:left w:val="nil"/>
              <w:bottom w:val="nil"/>
              <w:right w:val="nil"/>
            </w:tcBorders>
            <w:shd w:val="clear" w:color="FFFFFF" w:fill="FFFFFF"/>
            <w:noWrap/>
            <w:vAlign w:val="bottom"/>
            <w:hideMark/>
          </w:tcPr>
          <w:p w14:paraId="206B7559" w14:textId="77777777" w:rsidR="00C32CBD" w:rsidRDefault="00C32CBD" w:rsidP="00320D09">
            <w:pPr>
              <w:jc w:val="right"/>
              <w:rPr>
                <w:rFonts w:cs="Arial"/>
                <w:b/>
                <w:bCs/>
                <w:sz w:val="18"/>
                <w:szCs w:val="18"/>
              </w:rPr>
            </w:pPr>
            <w:r>
              <w:rPr>
                <w:rFonts w:cs="Arial"/>
                <w:b/>
                <w:bCs/>
                <w:sz w:val="18"/>
                <w:szCs w:val="18"/>
              </w:rPr>
              <w:t> </w:t>
            </w:r>
          </w:p>
        </w:tc>
        <w:tc>
          <w:tcPr>
            <w:tcW w:w="236" w:type="dxa"/>
            <w:tcBorders>
              <w:top w:val="nil"/>
              <w:left w:val="nil"/>
              <w:bottom w:val="nil"/>
              <w:right w:val="nil"/>
            </w:tcBorders>
            <w:shd w:val="clear" w:color="FFFFFF" w:fill="FFFFFF"/>
            <w:noWrap/>
            <w:vAlign w:val="bottom"/>
            <w:hideMark/>
          </w:tcPr>
          <w:p w14:paraId="558190CD" w14:textId="77777777" w:rsidR="00C32CBD" w:rsidRDefault="00C32CBD" w:rsidP="00320D09">
            <w:pPr>
              <w:rPr>
                <w:rFonts w:cs="Arial"/>
                <w:sz w:val="18"/>
                <w:szCs w:val="18"/>
              </w:rPr>
            </w:pPr>
            <w:r>
              <w:rPr>
                <w:rFonts w:cs="Arial"/>
                <w:sz w:val="18"/>
                <w:szCs w:val="18"/>
              </w:rPr>
              <w:t> </w:t>
            </w:r>
          </w:p>
        </w:tc>
        <w:tc>
          <w:tcPr>
            <w:tcW w:w="1095" w:type="dxa"/>
            <w:tcBorders>
              <w:top w:val="nil"/>
              <w:left w:val="nil"/>
              <w:bottom w:val="nil"/>
              <w:right w:val="nil"/>
            </w:tcBorders>
            <w:shd w:val="clear" w:color="FFFFFF" w:fill="FFFFFF"/>
            <w:noWrap/>
            <w:vAlign w:val="bottom"/>
            <w:hideMark/>
          </w:tcPr>
          <w:p w14:paraId="669CEE86" w14:textId="77777777" w:rsidR="00C32CBD" w:rsidRDefault="00C32CBD" w:rsidP="00320D09">
            <w:pPr>
              <w:jc w:val="right"/>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2D7773A8" w14:textId="77777777" w:rsidR="00C32CBD" w:rsidRDefault="00C32CBD" w:rsidP="00320D09">
            <w:pPr>
              <w:rPr>
                <w:rFonts w:cs="Arial"/>
                <w:sz w:val="18"/>
                <w:szCs w:val="18"/>
              </w:rPr>
            </w:pPr>
            <w:r>
              <w:rPr>
                <w:rFonts w:cs="Arial"/>
                <w:sz w:val="18"/>
                <w:szCs w:val="18"/>
              </w:rPr>
              <w:t> </w:t>
            </w:r>
          </w:p>
        </w:tc>
        <w:tc>
          <w:tcPr>
            <w:tcW w:w="1069" w:type="dxa"/>
            <w:tcBorders>
              <w:top w:val="nil"/>
              <w:left w:val="nil"/>
              <w:bottom w:val="nil"/>
              <w:right w:val="nil"/>
            </w:tcBorders>
            <w:shd w:val="clear" w:color="FFFFFF" w:fill="FFFFFF"/>
            <w:noWrap/>
            <w:vAlign w:val="bottom"/>
            <w:hideMark/>
          </w:tcPr>
          <w:p w14:paraId="5A9CB9DD" w14:textId="77777777" w:rsidR="00C32CBD" w:rsidRDefault="00C32CBD" w:rsidP="00320D09">
            <w:pPr>
              <w:jc w:val="right"/>
              <w:rPr>
                <w:rFonts w:cs="Arial"/>
                <w:sz w:val="18"/>
                <w:szCs w:val="18"/>
              </w:rPr>
            </w:pPr>
            <w:r>
              <w:rPr>
                <w:rFonts w:cs="Arial"/>
                <w:sz w:val="18"/>
                <w:szCs w:val="18"/>
              </w:rPr>
              <w:t> </w:t>
            </w:r>
          </w:p>
        </w:tc>
      </w:tr>
      <w:tr w:rsidR="00C32CBD" w14:paraId="640ED368" w14:textId="77777777" w:rsidTr="00320D09">
        <w:trPr>
          <w:trHeight w:val="255"/>
        </w:trPr>
        <w:tc>
          <w:tcPr>
            <w:tcW w:w="4280" w:type="dxa"/>
            <w:tcBorders>
              <w:top w:val="nil"/>
              <w:left w:val="nil"/>
              <w:bottom w:val="nil"/>
              <w:right w:val="nil"/>
            </w:tcBorders>
            <w:shd w:val="clear" w:color="FFFFFF" w:fill="FFFFFF"/>
            <w:vAlign w:val="bottom"/>
            <w:hideMark/>
          </w:tcPr>
          <w:p w14:paraId="2FE06328" w14:textId="77777777" w:rsidR="00C32CBD" w:rsidRDefault="00C32CBD" w:rsidP="00320D09">
            <w:pPr>
              <w:rPr>
                <w:rFonts w:cs="Arial"/>
                <w:b/>
                <w:bCs/>
                <w:sz w:val="18"/>
                <w:szCs w:val="18"/>
              </w:rPr>
            </w:pPr>
            <w:r>
              <w:rPr>
                <w:rFonts w:cs="Arial"/>
                <w:b/>
                <w:bCs/>
                <w:sz w:val="18"/>
                <w:szCs w:val="18"/>
              </w:rPr>
              <w:t>Payables</w:t>
            </w:r>
          </w:p>
        </w:tc>
        <w:tc>
          <w:tcPr>
            <w:tcW w:w="1083" w:type="dxa"/>
            <w:tcBorders>
              <w:top w:val="nil"/>
              <w:left w:val="nil"/>
              <w:bottom w:val="nil"/>
              <w:right w:val="nil"/>
            </w:tcBorders>
            <w:shd w:val="clear" w:color="FFFFFF" w:fill="FFFFFF"/>
            <w:noWrap/>
            <w:vAlign w:val="bottom"/>
            <w:hideMark/>
          </w:tcPr>
          <w:p w14:paraId="4E48D2D1" w14:textId="77777777" w:rsidR="00C32CBD" w:rsidRDefault="00C32CBD" w:rsidP="00320D09">
            <w:pPr>
              <w:jc w:val="center"/>
              <w:rPr>
                <w:rFonts w:cs="Arial"/>
                <w:sz w:val="18"/>
                <w:szCs w:val="18"/>
              </w:rPr>
            </w:pPr>
            <w:r>
              <w:rPr>
                <w:rFonts w:cs="Arial"/>
                <w:sz w:val="18"/>
                <w:szCs w:val="18"/>
              </w:rPr>
              <w:t> </w:t>
            </w:r>
          </w:p>
        </w:tc>
        <w:tc>
          <w:tcPr>
            <w:tcW w:w="1088" w:type="dxa"/>
            <w:tcBorders>
              <w:top w:val="nil"/>
              <w:left w:val="nil"/>
              <w:bottom w:val="nil"/>
              <w:right w:val="nil"/>
            </w:tcBorders>
            <w:shd w:val="clear" w:color="FFFFFF" w:fill="FFFFFF"/>
            <w:noWrap/>
            <w:vAlign w:val="bottom"/>
            <w:hideMark/>
          </w:tcPr>
          <w:p w14:paraId="5ACC7B3C" w14:textId="77777777" w:rsidR="00C32CBD" w:rsidRDefault="00C32CBD" w:rsidP="00320D09">
            <w:pPr>
              <w:jc w:val="right"/>
              <w:rPr>
                <w:rFonts w:cs="Arial"/>
                <w:b/>
                <w:bCs/>
                <w:sz w:val="18"/>
                <w:szCs w:val="18"/>
              </w:rPr>
            </w:pPr>
            <w:r>
              <w:rPr>
                <w:rFonts w:cs="Arial"/>
                <w:b/>
                <w:bCs/>
                <w:sz w:val="18"/>
                <w:szCs w:val="18"/>
              </w:rPr>
              <w:t> </w:t>
            </w:r>
          </w:p>
        </w:tc>
        <w:tc>
          <w:tcPr>
            <w:tcW w:w="236" w:type="dxa"/>
            <w:tcBorders>
              <w:top w:val="nil"/>
              <w:left w:val="nil"/>
              <w:bottom w:val="nil"/>
              <w:right w:val="nil"/>
            </w:tcBorders>
            <w:shd w:val="clear" w:color="FFFFFF" w:fill="FFFFFF"/>
            <w:noWrap/>
            <w:vAlign w:val="bottom"/>
            <w:hideMark/>
          </w:tcPr>
          <w:p w14:paraId="71A0886E" w14:textId="77777777" w:rsidR="00C32CBD" w:rsidRDefault="00C32CBD" w:rsidP="00320D09">
            <w:pPr>
              <w:rPr>
                <w:rFonts w:cs="Arial"/>
                <w:sz w:val="18"/>
                <w:szCs w:val="18"/>
              </w:rPr>
            </w:pPr>
            <w:r>
              <w:rPr>
                <w:rFonts w:cs="Arial"/>
                <w:sz w:val="18"/>
                <w:szCs w:val="18"/>
              </w:rPr>
              <w:t> </w:t>
            </w:r>
          </w:p>
        </w:tc>
        <w:tc>
          <w:tcPr>
            <w:tcW w:w="1095" w:type="dxa"/>
            <w:tcBorders>
              <w:top w:val="nil"/>
              <w:left w:val="nil"/>
              <w:bottom w:val="nil"/>
              <w:right w:val="nil"/>
            </w:tcBorders>
            <w:shd w:val="clear" w:color="FFFFFF" w:fill="FFFFFF"/>
            <w:noWrap/>
            <w:vAlign w:val="bottom"/>
            <w:hideMark/>
          </w:tcPr>
          <w:p w14:paraId="369EE9C9" w14:textId="77777777" w:rsidR="00C32CBD" w:rsidRDefault="00C32CBD" w:rsidP="00320D09">
            <w:pPr>
              <w:jc w:val="right"/>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097B8762" w14:textId="77777777" w:rsidR="00C32CBD" w:rsidRDefault="00C32CBD" w:rsidP="00320D09">
            <w:pPr>
              <w:rPr>
                <w:rFonts w:cs="Arial"/>
                <w:sz w:val="18"/>
                <w:szCs w:val="18"/>
              </w:rPr>
            </w:pPr>
            <w:r>
              <w:rPr>
                <w:rFonts w:cs="Arial"/>
                <w:sz w:val="18"/>
                <w:szCs w:val="18"/>
              </w:rPr>
              <w:t> </w:t>
            </w:r>
          </w:p>
        </w:tc>
        <w:tc>
          <w:tcPr>
            <w:tcW w:w="1069" w:type="dxa"/>
            <w:tcBorders>
              <w:top w:val="nil"/>
              <w:left w:val="nil"/>
              <w:bottom w:val="nil"/>
              <w:right w:val="nil"/>
            </w:tcBorders>
            <w:shd w:val="clear" w:color="FFFFFF" w:fill="FFFFFF"/>
            <w:noWrap/>
            <w:vAlign w:val="bottom"/>
            <w:hideMark/>
          </w:tcPr>
          <w:p w14:paraId="63057964" w14:textId="77777777" w:rsidR="00C32CBD" w:rsidRDefault="00C32CBD" w:rsidP="00320D09">
            <w:pPr>
              <w:jc w:val="right"/>
              <w:rPr>
                <w:rFonts w:cs="Arial"/>
                <w:sz w:val="18"/>
                <w:szCs w:val="18"/>
              </w:rPr>
            </w:pPr>
            <w:r>
              <w:rPr>
                <w:rFonts w:cs="Arial"/>
                <w:sz w:val="18"/>
                <w:szCs w:val="18"/>
              </w:rPr>
              <w:t> </w:t>
            </w:r>
          </w:p>
        </w:tc>
      </w:tr>
      <w:tr w:rsidR="00C32CBD" w14:paraId="25A5701A" w14:textId="77777777" w:rsidTr="00320D09">
        <w:trPr>
          <w:trHeight w:val="255"/>
        </w:trPr>
        <w:tc>
          <w:tcPr>
            <w:tcW w:w="4280" w:type="dxa"/>
            <w:tcBorders>
              <w:top w:val="nil"/>
              <w:left w:val="nil"/>
              <w:bottom w:val="nil"/>
              <w:right w:val="nil"/>
            </w:tcBorders>
            <w:shd w:val="clear" w:color="FFFFFF" w:fill="FFFFFF"/>
            <w:vAlign w:val="bottom"/>
            <w:hideMark/>
          </w:tcPr>
          <w:p w14:paraId="27D13412" w14:textId="77777777" w:rsidR="00C32CBD" w:rsidRDefault="00C32CBD" w:rsidP="00320D09">
            <w:pPr>
              <w:ind w:firstLineChars="100" w:firstLine="180"/>
              <w:rPr>
                <w:rFonts w:cs="Arial"/>
                <w:sz w:val="18"/>
                <w:szCs w:val="18"/>
              </w:rPr>
            </w:pPr>
            <w:r>
              <w:rPr>
                <w:rFonts w:cs="Arial"/>
                <w:sz w:val="18"/>
                <w:szCs w:val="18"/>
              </w:rPr>
              <w:t>Suppliers</w:t>
            </w:r>
          </w:p>
        </w:tc>
        <w:tc>
          <w:tcPr>
            <w:tcW w:w="1083" w:type="dxa"/>
            <w:tcBorders>
              <w:top w:val="nil"/>
              <w:left w:val="nil"/>
              <w:bottom w:val="nil"/>
              <w:right w:val="nil"/>
            </w:tcBorders>
            <w:shd w:val="clear" w:color="FFFFFF" w:fill="FFFFFF"/>
            <w:noWrap/>
            <w:vAlign w:val="bottom"/>
            <w:hideMark/>
          </w:tcPr>
          <w:p w14:paraId="1FC7509C" w14:textId="77777777" w:rsidR="00C32CBD" w:rsidRDefault="00C32CBD" w:rsidP="00320D09">
            <w:pPr>
              <w:jc w:val="center"/>
              <w:rPr>
                <w:rFonts w:cs="Arial"/>
                <w:sz w:val="18"/>
                <w:szCs w:val="18"/>
              </w:rPr>
            </w:pPr>
            <w:r>
              <w:rPr>
                <w:rFonts w:cs="Arial"/>
                <w:sz w:val="18"/>
                <w:szCs w:val="18"/>
              </w:rPr>
              <w:t>2.3A</w:t>
            </w:r>
          </w:p>
        </w:tc>
        <w:tc>
          <w:tcPr>
            <w:tcW w:w="1088" w:type="dxa"/>
            <w:tcBorders>
              <w:top w:val="nil"/>
              <w:left w:val="nil"/>
              <w:bottom w:val="nil"/>
              <w:right w:val="nil"/>
            </w:tcBorders>
            <w:shd w:val="clear" w:color="FFFFFF" w:fill="FFFFFF"/>
            <w:noWrap/>
            <w:vAlign w:val="bottom"/>
            <w:hideMark/>
          </w:tcPr>
          <w:p w14:paraId="3C6C41BF" w14:textId="77777777" w:rsidR="00C32CBD" w:rsidRDefault="00C32CBD" w:rsidP="00320D09">
            <w:pPr>
              <w:jc w:val="right"/>
              <w:rPr>
                <w:rFonts w:cs="Arial"/>
                <w:b/>
                <w:bCs/>
                <w:sz w:val="18"/>
                <w:szCs w:val="18"/>
              </w:rPr>
            </w:pPr>
            <w:r>
              <w:rPr>
                <w:rFonts w:cs="Arial"/>
                <w:b/>
                <w:bCs/>
                <w:sz w:val="18"/>
                <w:szCs w:val="18"/>
              </w:rPr>
              <w:t>106,792</w:t>
            </w:r>
          </w:p>
        </w:tc>
        <w:tc>
          <w:tcPr>
            <w:tcW w:w="236" w:type="dxa"/>
            <w:tcBorders>
              <w:top w:val="nil"/>
              <w:left w:val="nil"/>
              <w:bottom w:val="nil"/>
              <w:right w:val="nil"/>
            </w:tcBorders>
            <w:shd w:val="clear" w:color="FFFFFF" w:fill="FFFFFF"/>
            <w:noWrap/>
            <w:vAlign w:val="bottom"/>
            <w:hideMark/>
          </w:tcPr>
          <w:p w14:paraId="20230465" w14:textId="77777777" w:rsidR="00C32CBD" w:rsidRDefault="00C32CBD" w:rsidP="00320D09">
            <w:pPr>
              <w:rPr>
                <w:rFonts w:cs="Arial"/>
                <w:sz w:val="18"/>
                <w:szCs w:val="18"/>
              </w:rPr>
            </w:pPr>
            <w:r>
              <w:rPr>
                <w:rFonts w:cs="Arial"/>
                <w:sz w:val="18"/>
                <w:szCs w:val="18"/>
              </w:rPr>
              <w:t> </w:t>
            </w:r>
          </w:p>
        </w:tc>
        <w:tc>
          <w:tcPr>
            <w:tcW w:w="1095" w:type="dxa"/>
            <w:tcBorders>
              <w:top w:val="nil"/>
              <w:left w:val="nil"/>
              <w:bottom w:val="nil"/>
              <w:right w:val="nil"/>
            </w:tcBorders>
            <w:shd w:val="clear" w:color="FFFFFF" w:fill="FFFFFF"/>
            <w:noWrap/>
            <w:vAlign w:val="bottom"/>
            <w:hideMark/>
          </w:tcPr>
          <w:p w14:paraId="7A6C5F85" w14:textId="77777777" w:rsidR="00C32CBD" w:rsidRDefault="00C32CBD" w:rsidP="00320D09">
            <w:pPr>
              <w:jc w:val="right"/>
              <w:rPr>
                <w:rFonts w:cs="Arial"/>
                <w:sz w:val="18"/>
                <w:szCs w:val="18"/>
              </w:rPr>
            </w:pPr>
            <w:r>
              <w:rPr>
                <w:rFonts w:cs="Arial"/>
                <w:sz w:val="18"/>
                <w:szCs w:val="18"/>
              </w:rPr>
              <w:t>25,349</w:t>
            </w:r>
          </w:p>
        </w:tc>
        <w:tc>
          <w:tcPr>
            <w:tcW w:w="236" w:type="dxa"/>
            <w:tcBorders>
              <w:top w:val="nil"/>
              <w:left w:val="nil"/>
              <w:bottom w:val="nil"/>
              <w:right w:val="nil"/>
            </w:tcBorders>
            <w:shd w:val="clear" w:color="FFFFFF" w:fill="FFFFFF"/>
            <w:noWrap/>
            <w:vAlign w:val="bottom"/>
            <w:hideMark/>
          </w:tcPr>
          <w:p w14:paraId="2A996070" w14:textId="77777777" w:rsidR="00C32CBD" w:rsidRDefault="00C32CBD" w:rsidP="00320D09">
            <w:pPr>
              <w:rPr>
                <w:rFonts w:cs="Arial"/>
                <w:sz w:val="18"/>
                <w:szCs w:val="18"/>
              </w:rPr>
            </w:pPr>
            <w:r>
              <w:rPr>
                <w:rFonts w:cs="Arial"/>
                <w:sz w:val="18"/>
                <w:szCs w:val="18"/>
              </w:rPr>
              <w:t> </w:t>
            </w:r>
          </w:p>
        </w:tc>
        <w:tc>
          <w:tcPr>
            <w:tcW w:w="1069" w:type="dxa"/>
            <w:tcBorders>
              <w:top w:val="nil"/>
              <w:left w:val="nil"/>
              <w:bottom w:val="nil"/>
              <w:right w:val="nil"/>
            </w:tcBorders>
            <w:shd w:val="clear" w:color="FFFFFF" w:fill="FFFFFF"/>
            <w:noWrap/>
            <w:vAlign w:val="bottom"/>
            <w:hideMark/>
          </w:tcPr>
          <w:p w14:paraId="59156A8C" w14:textId="77777777" w:rsidR="00C32CBD" w:rsidRDefault="00C32CBD" w:rsidP="00320D09">
            <w:pPr>
              <w:jc w:val="right"/>
              <w:rPr>
                <w:rFonts w:cs="Arial"/>
                <w:sz w:val="18"/>
                <w:szCs w:val="18"/>
              </w:rPr>
            </w:pPr>
            <w:r>
              <w:rPr>
                <w:rFonts w:cs="Arial"/>
                <w:sz w:val="18"/>
                <w:szCs w:val="18"/>
              </w:rPr>
              <w:t>70,116</w:t>
            </w:r>
          </w:p>
        </w:tc>
      </w:tr>
      <w:tr w:rsidR="00C32CBD" w14:paraId="370540DE" w14:textId="77777777" w:rsidTr="00320D09">
        <w:trPr>
          <w:trHeight w:val="255"/>
        </w:trPr>
        <w:tc>
          <w:tcPr>
            <w:tcW w:w="4280" w:type="dxa"/>
            <w:tcBorders>
              <w:top w:val="nil"/>
              <w:left w:val="nil"/>
              <w:bottom w:val="nil"/>
              <w:right w:val="nil"/>
            </w:tcBorders>
            <w:shd w:val="clear" w:color="FFFFFF" w:fill="FFFFFF"/>
            <w:vAlign w:val="bottom"/>
            <w:hideMark/>
          </w:tcPr>
          <w:p w14:paraId="56CA56DB" w14:textId="77777777" w:rsidR="00C32CBD" w:rsidRDefault="00C32CBD" w:rsidP="00320D09">
            <w:pPr>
              <w:ind w:firstLineChars="100" w:firstLine="180"/>
              <w:rPr>
                <w:rFonts w:cs="Arial"/>
                <w:sz w:val="18"/>
                <w:szCs w:val="18"/>
              </w:rPr>
            </w:pPr>
            <w:r>
              <w:rPr>
                <w:rFonts w:cs="Arial"/>
                <w:sz w:val="18"/>
                <w:szCs w:val="18"/>
              </w:rPr>
              <w:t>Other payables</w:t>
            </w:r>
          </w:p>
        </w:tc>
        <w:tc>
          <w:tcPr>
            <w:tcW w:w="1083" w:type="dxa"/>
            <w:tcBorders>
              <w:top w:val="nil"/>
              <w:left w:val="nil"/>
              <w:bottom w:val="nil"/>
              <w:right w:val="nil"/>
            </w:tcBorders>
            <w:shd w:val="clear" w:color="FFFFFF" w:fill="FFFFFF"/>
            <w:noWrap/>
            <w:vAlign w:val="bottom"/>
            <w:hideMark/>
          </w:tcPr>
          <w:p w14:paraId="2B72FF5A" w14:textId="77777777" w:rsidR="00C32CBD" w:rsidRDefault="00C32CBD" w:rsidP="00320D09">
            <w:pPr>
              <w:jc w:val="center"/>
              <w:rPr>
                <w:rFonts w:cs="Arial"/>
                <w:sz w:val="18"/>
                <w:szCs w:val="18"/>
              </w:rPr>
            </w:pPr>
            <w:r>
              <w:rPr>
                <w:rFonts w:cs="Arial"/>
                <w:sz w:val="18"/>
                <w:szCs w:val="18"/>
              </w:rPr>
              <w:t>2.3B</w:t>
            </w:r>
          </w:p>
        </w:tc>
        <w:tc>
          <w:tcPr>
            <w:tcW w:w="1088" w:type="dxa"/>
            <w:tcBorders>
              <w:top w:val="nil"/>
              <w:left w:val="nil"/>
              <w:bottom w:val="nil"/>
              <w:right w:val="nil"/>
            </w:tcBorders>
            <w:shd w:val="clear" w:color="FFFFFF" w:fill="FFFFFF"/>
            <w:noWrap/>
            <w:vAlign w:val="bottom"/>
            <w:hideMark/>
          </w:tcPr>
          <w:p w14:paraId="75BAF9D5" w14:textId="77777777" w:rsidR="00C32CBD" w:rsidRDefault="00C32CBD" w:rsidP="00320D09">
            <w:pPr>
              <w:jc w:val="right"/>
              <w:rPr>
                <w:rFonts w:cs="Arial"/>
                <w:b/>
                <w:bCs/>
                <w:sz w:val="18"/>
                <w:szCs w:val="18"/>
              </w:rPr>
            </w:pPr>
            <w:r>
              <w:rPr>
                <w:rFonts w:cs="Arial"/>
                <w:b/>
                <w:bCs/>
                <w:sz w:val="18"/>
                <w:szCs w:val="18"/>
              </w:rPr>
              <w:t>4,233</w:t>
            </w:r>
          </w:p>
        </w:tc>
        <w:tc>
          <w:tcPr>
            <w:tcW w:w="236" w:type="dxa"/>
            <w:tcBorders>
              <w:top w:val="nil"/>
              <w:left w:val="nil"/>
              <w:bottom w:val="nil"/>
              <w:right w:val="nil"/>
            </w:tcBorders>
            <w:shd w:val="clear" w:color="FFFFFF" w:fill="FFFFFF"/>
            <w:noWrap/>
            <w:vAlign w:val="bottom"/>
            <w:hideMark/>
          </w:tcPr>
          <w:p w14:paraId="210F4DED" w14:textId="77777777" w:rsidR="00C32CBD" w:rsidRDefault="00C32CBD" w:rsidP="00320D09">
            <w:pPr>
              <w:rPr>
                <w:rFonts w:cs="Arial"/>
                <w:sz w:val="18"/>
                <w:szCs w:val="18"/>
              </w:rPr>
            </w:pPr>
            <w:r>
              <w:rPr>
                <w:rFonts w:cs="Arial"/>
                <w:sz w:val="18"/>
                <w:szCs w:val="18"/>
              </w:rPr>
              <w:t> </w:t>
            </w:r>
          </w:p>
        </w:tc>
        <w:tc>
          <w:tcPr>
            <w:tcW w:w="1095" w:type="dxa"/>
            <w:tcBorders>
              <w:top w:val="nil"/>
              <w:left w:val="nil"/>
              <w:bottom w:val="nil"/>
              <w:right w:val="nil"/>
            </w:tcBorders>
            <w:shd w:val="clear" w:color="FFFFFF" w:fill="FFFFFF"/>
            <w:noWrap/>
            <w:vAlign w:val="bottom"/>
            <w:hideMark/>
          </w:tcPr>
          <w:p w14:paraId="632D4627" w14:textId="77777777" w:rsidR="00C32CBD" w:rsidRDefault="00C32CBD" w:rsidP="00320D09">
            <w:pPr>
              <w:jc w:val="right"/>
              <w:rPr>
                <w:rFonts w:cs="Arial"/>
                <w:sz w:val="18"/>
                <w:szCs w:val="18"/>
              </w:rPr>
            </w:pPr>
            <w:r>
              <w:rPr>
                <w:rFonts w:cs="Arial"/>
                <w:sz w:val="18"/>
                <w:szCs w:val="18"/>
              </w:rPr>
              <w:t>2,611</w:t>
            </w:r>
          </w:p>
        </w:tc>
        <w:tc>
          <w:tcPr>
            <w:tcW w:w="236" w:type="dxa"/>
            <w:tcBorders>
              <w:top w:val="nil"/>
              <w:left w:val="nil"/>
              <w:bottom w:val="nil"/>
              <w:right w:val="nil"/>
            </w:tcBorders>
            <w:shd w:val="clear" w:color="FFFFFF" w:fill="FFFFFF"/>
            <w:noWrap/>
            <w:vAlign w:val="bottom"/>
            <w:hideMark/>
          </w:tcPr>
          <w:p w14:paraId="5AE923D4" w14:textId="77777777" w:rsidR="00C32CBD" w:rsidRDefault="00C32CBD" w:rsidP="00320D09">
            <w:pPr>
              <w:rPr>
                <w:rFonts w:cs="Arial"/>
                <w:sz w:val="18"/>
                <w:szCs w:val="18"/>
              </w:rPr>
            </w:pPr>
            <w:r>
              <w:rPr>
                <w:rFonts w:cs="Arial"/>
                <w:sz w:val="18"/>
                <w:szCs w:val="18"/>
              </w:rPr>
              <w:t> </w:t>
            </w:r>
          </w:p>
        </w:tc>
        <w:tc>
          <w:tcPr>
            <w:tcW w:w="1069" w:type="dxa"/>
            <w:tcBorders>
              <w:top w:val="nil"/>
              <w:left w:val="nil"/>
              <w:bottom w:val="nil"/>
              <w:right w:val="nil"/>
            </w:tcBorders>
            <w:shd w:val="clear" w:color="FFFFFF" w:fill="FFFFFF"/>
            <w:noWrap/>
            <w:vAlign w:val="bottom"/>
            <w:hideMark/>
          </w:tcPr>
          <w:p w14:paraId="3D1057CE" w14:textId="77777777" w:rsidR="00C32CBD" w:rsidRDefault="00C32CBD" w:rsidP="00320D09">
            <w:pPr>
              <w:jc w:val="right"/>
              <w:rPr>
                <w:rFonts w:cs="Arial"/>
                <w:sz w:val="18"/>
                <w:szCs w:val="18"/>
              </w:rPr>
            </w:pPr>
            <w:r>
              <w:rPr>
                <w:rFonts w:cs="Arial"/>
                <w:sz w:val="18"/>
                <w:szCs w:val="18"/>
              </w:rPr>
              <w:t>6,911</w:t>
            </w:r>
          </w:p>
        </w:tc>
      </w:tr>
      <w:tr w:rsidR="00C32CBD" w14:paraId="2E0E0CF9" w14:textId="77777777" w:rsidTr="00320D09">
        <w:trPr>
          <w:trHeight w:val="255"/>
        </w:trPr>
        <w:tc>
          <w:tcPr>
            <w:tcW w:w="4280" w:type="dxa"/>
            <w:tcBorders>
              <w:top w:val="nil"/>
              <w:left w:val="nil"/>
              <w:bottom w:val="nil"/>
              <w:right w:val="nil"/>
            </w:tcBorders>
            <w:shd w:val="clear" w:color="FFFFFF" w:fill="FFFFFF"/>
            <w:vAlign w:val="bottom"/>
            <w:hideMark/>
          </w:tcPr>
          <w:p w14:paraId="5F9665FB" w14:textId="77777777" w:rsidR="00C32CBD" w:rsidRDefault="00C32CBD" w:rsidP="00320D09">
            <w:pPr>
              <w:rPr>
                <w:rFonts w:cs="Arial"/>
                <w:b/>
                <w:bCs/>
                <w:sz w:val="18"/>
                <w:szCs w:val="18"/>
              </w:rPr>
            </w:pPr>
            <w:r>
              <w:rPr>
                <w:rFonts w:cs="Arial"/>
                <w:b/>
                <w:bCs/>
                <w:sz w:val="18"/>
                <w:szCs w:val="18"/>
              </w:rPr>
              <w:t>Total payables</w:t>
            </w:r>
          </w:p>
        </w:tc>
        <w:tc>
          <w:tcPr>
            <w:tcW w:w="1083" w:type="dxa"/>
            <w:tcBorders>
              <w:top w:val="nil"/>
              <w:left w:val="nil"/>
              <w:bottom w:val="nil"/>
              <w:right w:val="nil"/>
            </w:tcBorders>
            <w:shd w:val="clear" w:color="FFFFFF" w:fill="FFFFFF"/>
            <w:noWrap/>
            <w:vAlign w:val="bottom"/>
            <w:hideMark/>
          </w:tcPr>
          <w:p w14:paraId="27D32627" w14:textId="77777777" w:rsidR="00C32CBD" w:rsidRDefault="00C32CBD" w:rsidP="00320D09">
            <w:pPr>
              <w:jc w:val="center"/>
              <w:rPr>
                <w:rFonts w:cs="Arial"/>
                <w:sz w:val="18"/>
                <w:szCs w:val="18"/>
              </w:rPr>
            </w:pPr>
            <w:r>
              <w:rPr>
                <w:rFonts w:cs="Arial"/>
                <w:sz w:val="18"/>
                <w:szCs w:val="18"/>
              </w:rPr>
              <w:t> </w:t>
            </w:r>
          </w:p>
        </w:tc>
        <w:tc>
          <w:tcPr>
            <w:tcW w:w="1088" w:type="dxa"/>
            <w:tcBorders>
              <w:top w:val="single" w:sz="4" w:space="0" w:color="auto"/>
              <w:left w:val="nil"/>
              <w:bottom w:val="single" w:sz="4" w:space="0" w:color="auto"/>
              <w:right w:val="nil"/>
            </w:tcBorders>
            <w:shd w:val="clear" w:color="FFFFFF" w:fill="FFFFFF"/>
            <w:noWrap/>
            <w:vAlign w:val="bottom"/>
            <w:hideMark/>
          </w:tcPr>
          <w:p w14:paraId="6A6B6315" w14:textId="77777777" w:rsidR="00C32CBD" w:rsidRDefault="00C32CBD" w:rsidP="00320D09">
            <w:pPr>
              <w:jc w:val="right"/>
              <w:rPr>
                <w:rFonts w:cs="Arial"/>
                <w:b/>
                <w:bCs/>
                <w:sz w:val="18"/>
                <w:szCs w:val="18"/>
              </w:rPr>
            </w:pPr>
            <w:r>
              <w:rPr>
                <w:rFonts w:cs="Arial"/>
                <w:b/>
                <w:bCs/>
                <w:sz w:val="18"/>
                <w:szCs w:val="18"/>
              </w:rPr>
              <w:t>111,025</w:t>
            </w:r>
          </w:p>
        </w:tc>
        <w:tc>
          <w:tcPr>
            <w:tcW w:w="236" w:type="dxa"/>
            <w:tcBorders>
              <w:top w:val="nil"/>
              <w:left w:val="nil"/>
              <w:bottom w:val="nil"/>
              <w:right w:val="nil"/>
            </w:tcBorders>
            <w:shd w:val="clear" w:color="FFFFFF" w:fill="FFFFFF"/>
            <w:noWrap/>
            <w:vAlign w:val="bottom"/>
            <w:hideMark/>
          </w:tcPr>
          <w:p w14:paraId="34C51052" w14:textId="77777777" w:rsidR="00C32CBD" w:rsidRDefault="00C32CBD" w:rsidP="00320D09">
            <w:pPr>
              <w:rPr>
                <w:rFonts w:cs="Arial"/>
                <w:sz w:val="18"/>
                <w:szCs w:val="18"/>
              </w:rPr>
            </w:pPr>
            <w:r>
              <w:rPr>
                <w:rFonts w:cs="Arial"/>
                <w:sz w:val="18"/>
                <w:szCs w:val="18"/>
              </w:rPr>
              <w:t> </w:t>
            </w:r>
          </w:p>
        </w:tc>
        <w:tc>
          <w:tcPr>
            <w:tcW w:w="1095" w:type="dxa"/>
            <w:tcBorders>
              <w:top w:val="single" w:sz="4" w:space="0" w:color="auto"/>
              <w:left w:val="nil"/>
              <w:bottom w:val="single" w:sz="4" w:space="0" w:color="auto"/>
              <w:right w:val="nil"/>
            </w:tcBorders>
            <w:shd w:val="clear" w:color="FFFFFF" w:fill="FFFFFF"/>
            <w:noWrap/>
            <w:vAlign w:val="bottom"/>
            <w:hideMark/>
          </w:tcPr>
          <w:p w14:paraId="070FDEA7" w14:textId="77777777" w:rsidR="00C32CBD" w:rsidRDefault="00C32CBD" w:rsidP="00320D09">
            <w:pPr>
              <w:jc w:val="right"/>
              <w:rPr>
                <w:rFonts w:cs="Arial"/>
                <w:sz w:val="18"/>
                <w:szCs w:val="18"/>
              </w:rPr>
            </w:pPr>
            <w:r>
              <w:rPr>
                <w:rFonts w:cs="Arial"/>
                <w:sz w:val="18"/>
                <w:szCs w:val="18"/>
              </w:rPr>
              <w:t>27,960</w:t>
            </w:r>
          </w:p>
        </w:tc>
        <w:tc>
          <w:tcPr>
            <w:tcW w:w="236" w:type="dxa"/>
            <w:tcBorders>
              <w:top w:val="nil"/>
              <w:left w:val="nil"/>
              <w:bottom w:val="nil"/>
              <w:right w:val="nil"/>
            </w:tcBorders>
            <w:shd w:val="clear" w:color="FFFFFF" w:fill="FFFFFF"/>
            <w:noWrap/>
            <w:vAlign w:val="bottom"/>
            <w:hideMark/>
          </w:tcPr>
          <w:p w14:paraId="06DD5D60" w14:textId="77777777" w:rsidR="00C32CBD" w:rsidRDefault="00C32CBD" w:rsidP="00320D09">
            <w:pPr>
              <w:rPr>
                <w:rFonts w:cs="Arial"/>
                <w:sz w:val="18"/>
                <w:szCs w:val="18"/>
              </w:rPr>
            </w:pPr>
            <w:r>
              <w:rPr>
                <w:rFonts w:cs="Arial"/>
                <w:sz w:val="18"/>
                <w:szCs w:val="18"/>
              </w:rPr>
              <w:t> </w:t>
            </w:r>
          </w:p>
        </w:tc>
        <w:tc>
          <w:tcPr>
            <w:tcW w:w="1069" w:type="dxa"/>
            <w:tcBorders>
              <w:top w:val="single" w:sz="4" w:space="0" w:color="auto"/>
              <w:left w:val="nil"/>
              <w:bottom w:val="single" w:sz="4" w:space="0" w:color="auto"/>
              <w:right w:val="nil"/>
            </w:tcBorders>
            <w:shd w:val="clear" w:color="FFFFFF" w:fill="FFFFFF"/>
            <w:noWrap/>
            <w:vAlign w:val="bottom"/>
            <w:hideMark/>
          </w:tcPr>
          <w:p w14:paraId="7553E1E5" w14:textId="77777777" w:rsidR="00C32CBD" w:rsidRDefault="00C32CBD" w:rsidP="00320D09">
            <w:pPr>
              <w:jc w:val="right"/>
              <w:rPr>
                <w:rFonts w:cs="Arial"/>
                <w:sz w:val="18"/>
                <w:szCs w:val="18"/>
              </w:rPr>
            </w:pPr>
            <w:r>
              <w:rPr>
                <w:rFonts w:cs="Arial"/>
                <w:sz w:val="18"/>
                <w:szCs w:val="18"/>
              </w:rPr>
              <w:t>77,027</w:t>
            </w:r>
          </w:p>
        </w:tc>
      </w:tr>
      <w:tr w:rsidR="00C32CBD" w14:paraId="3F0B81AC" w14:textId="77777777" w:rsidTr="00320D09">
        <w:trPr>
          <w:trHeight w:val="255"/>
        </w:trPr>
        <w:tc>
          <w:tcPr>
            <w:tcW w:w="4280" w:type="dxa"/>
            <w:tcBorders>
              <w:top w:val="nil"/>
              <w:left w:val="nil"/>
              <w:bottom w:val="nil"/>
              <w:right w:val="nil"/>
            </w:tcBorders>
            <w:shd w:val="clear" w:color="FFFFFF" w:fill="FFFFFF"/>
            <w:vAlign w:val="bottom"/>
            <w:hideMark/>
          </w:tcPr>
          <w:p w14:paraId="6C146CD1" w14:textId="77777777" w:rsidR="00C32CBD" w:rsidRDefault="00C32CBD" w:rsidP="00320D09">
            <w:pPr>
              <w:rPr>
                <w:rFonts w:cs="Arial"/>
                <w:sz w:val="18"/>
                <w:szCs w:val="18"/>
              </w:rPr>
            </w:pPr>
            <w:r>
              <w:rPr>
                <w:rFonts w:cs="Arial"/>
                <w:sz w:val="18"/>
                <w:szCs w:val="18"/>
              </w:rPr>
              <w:t> </w:t>
            </w:r>
          </w:p>
        </w:tc>
        <w:tc>
          <w:tcPr>
            <w:tcW w:w="1083" w:type="dxa"/>
            <w:tcBorders>
              <w:top w:val="nil"/>
              <w:left w:val="nil"/>
              <w:bottom w:val="nil"/>
              <w:right w:val="nil"/>
            </w:tcBorders>
            <w:shd w:val="clear" w:color="FFFFFF" w:fill="FFFFFF"/>
            <w:noWrap/>
            <w:vAlign w:val="bottom"/>
            <w:hideMark/>
          </w:tcPr>
          <w:p w14:paraId="669F8F40" w14:textId="77777777" w:rsidR="00C32CBD" w:rsidRDefault="00C32CBD" w:rsidP="00320D09">
            <w:pPr>
              <w:jc w:val="center"/>
              <w:rPr>
                <w:rFonts w:cs="Arial"/>
                <w:sz w:val="18"/>
                <w:szCs w:val="18"/>
              </w:rPr>
            </w:pPr>
            <w:r>
              <w:rPr>
                <w:rFonts w:cs="Arial"/>
                <w:sz w:val="18"/>
                <w:szCs w:val="18"/>
              </w:rPr>
              <w:t> </w:t>
            </w:r>
          </w:p>
        </w:tc>
        <w:tc>
          <w:tcPr>
            <w:tcW w:w="1088" w:type="dxa"/>
            <w:tcBorders>
              <w:top w:val="nil"/>
              <w:left w:val="nil"/>
              <w:bottom w:val="nil"/>
              <w:right w:val="nil"/>
            </w:tcBorders>
            <w:shd w:val="clear" w:color="FFFFFF" w:fill="FFFFFF"/>
            <w:noWrap/>
            <w:vAlign w:val="bottom"/>
            <w:hideMark/>
          </w:tcPr>
          <w:p w14:paraId="124777E0" w14:textId="77777777" w:rsidR="00C32CBD" w:rsidRDefault="00C32CBD" w:rsidP="00320D09">
            <w:pPr>
              <w:jc w:val="right"/>
              <w:rPr>
                <w:rFonts w:cs="Arial"/>
                <w:b/>
                <w:bCs/>
                <w:sz w:val="18"/>
                <w:szCs w:val="18"/>
              </w:rPr>
            </w:pPr>
            <w:r>
              <w:rPr>
                <w:rFonts w:cs="Arial"/>
                <w:b/>
                <w:bCs/>
                <w:sz w:val="18"/>
                <w:szCs w:val="18"/>
              </w:rPr>
              <w:t> </w:t>
            </w:r>
          </w:p>
        </w:tc>
        <w:tc>
          <w:tcPr>
            <w:tcW w:w="236" w:type="dxa"/>
            <w:tcBorders>
              <w:top w:val="nil"/>
              <w:left w:val="nil"/>
              <w:bottom w:val="nil"/>
              <w:right w:val="nil"/>
            </w:tcBorders>
            <w:shd w:val="clear" w:color="FFFFFF" w:fill="FFFFFF"/>
            <w:noWrap/>
            <w:vAlign w:val="bottom"/>
            <w:hideMark/>
          </w:tcPr>
          <w:p w14:paraId="5ACE75E2" w14:textId="77777777" w:rsidR="00C32CBD" w:rsidRDefault="00C32CBD" w:rsidP="00320D09">
            <w:pPr>
              <w:rPr>
                <w:rFonts w:cs="Arial"/>
                <w:sz w:val="18"/>
                <w:szCs w:val="18"/>
              </w:rPr>
            </w:pPr>
            <w:r>
              <w:rPr>
                <w:rFonts w:cs="Arial"/>
                <w:sz w:val="18"/>
                <w:szCs w:val="18"/>
              </w:rPr>
              <w:t> </w:t>
            </w:r>
          </w:p>
        </w:tc>
        <w:tc>
          <w:tcPr>
            <w:tcW w:w="1095" w:type="dxa"/>
            <w:tcBorders>
              <w:top w:val="nil"/>
              <w:left w:val="nil"/>
              <w:bottom w:val="nil"/>
              <w:right w:val="nil"/>
            </w:tcBorders>
            <w:shd w:val="clear" w:color="FFFFFF" w:fill="FFFFFF"/>
            <w:noWrap/>
            <w:vAlign w:val="bottom"/>
            <w:hideMark/>
          </w:tcPr>
          <w:p w14:paraId="3D8D5111" w14:textId="77777777" w:rsidR="00C32CBD" w:rsidRDefault="00C32CBD" w:rsidP="00320D09">
            <w:pPr>
              <w:jc w:val="right"/>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716BDD94" w14:textId="77777777" w:rsidR="00C32CBD" w:rsidRDefault="00C32CBD" w:rsidP="00320D09">
            <w:pPr>
              <w:rPr>
                <w:rFonts w:cs="Arial"/>
                <w:sz w:val="18"/>
                <w:szCs w:val="18"/>
              </w:rPr>
            </w:pPr>
            <w:r>
              <w:rPr>
                <w:rFonts w:cs="Arial"/>
                <w:sz w:val="18"/>
                <w:szCs w:val="18"/>
              </w:rPr>
              <w:t> </w:t>
            </w:r>
          </w:p>
        </w:tc>
        <w:tc>
          <w:tcPr>
            <w:tcW w:w="1069" w:type="dxa"/>
            <w:tcBorders>
              <w:top w:val="nil"/>
              <w:left w:val="nil"/>
              <w:bottom w:val="nil"/>
              <w:right w:val="nil"/>
            </w:tcBorders>
            <w:shd w:val="clear" w:color="FFFFFF" w:fill="FFFFFF"/>
            <w:noWrap/>
            <w:vAlign w:val="bottom"/>
            <w:hideMark/>
          </w:tcPr>
          <w:p w14:paraId="52205FE4" w14:textId="77777777" w:rsidR="00C32CBD" w:rsidRDefault="00C32CBD" w:rsidP="00320D09">
            <w:pPr>
              <w:jc w:val="right"/>
              <w:rPr>
                <w:rFonts w:cs="Arial"/>
                <w:sz w:val="18"/>
                <w:szCs w:val="18"/>
              </w:rPr>
            </w:pPr>
            <w:r>
              <w:rPr>
                <w:rFonts w:cs="Arial"/>
                <w:sz w:val="18"/>
                <w:szCs w:val="18"/>
              </w:rPr>
              <w:t> </w:t>
            </w:r>
          </w:p>
        </w:tc>
      </w:tr>
      <w:tr w:rsidR="00C32CBD" w14:paraId="6DBB6312" w14:textId="77777777" w:rsidTr="00320D09">
        <w:trPr>
          <w:trHeight w:val="255"/>
        </w:trPr>
        <w:tc>
          <w:tcPr>
            <w:tcW w:w="4280" w:type="dxa"/>
            <w:tcBorders>
              <w:top w:val="nil"/>
              <w:left w:val="nil"/>
              <w:bottom w:val="nil"/>
              <w:right w:val="nil"/>
            </w:tcBorders>
            <w:shd w:val="clear" w:color="FFFFFF" w:fill="FFFFFF"/>
            <w:vAlign w:val="bottom"/>
            <w:hideMark/>
          </w:tcPr>
          <w:p w14:paraId="377A8724" w14:textId="77777777" w:rsidR="00C32CBD" w:rsidRDefault="00C32CBD" w:rsidP="00320D09">
            <w:pPr>
              <w:rPr>
                <w:rFonts w:cs="Arial"/>
                <w:b/>
                <w:bCs/>
                <w:sz w:val="18"/>
                <w:szCs w:val="18"/>
              </w:rPr>
            </w:pPr>
            <w:r>
              <w:rPr>
                <w:rFonts w:cs="Arial"/>
                <w:b/>
                <w:bCs/>
                <w:sz w:val="18"/>
                <w:szCs w:val="18"/>
              </w:rPr>
              <w:lastRenderedPageBreak/>
              <w:t>Provisions</w:t>
            </w:r>
          </w:p>
        </w:tc>
        <w:tc>
          <w:tcPr>
            <w:tcW w:w="1083" w:type="dxa"/>
            <w:tcBorders>
              <w:top w:val="nil"/>
              <w:left w:val="nil"/>
              <w:bottom w:val="nil"/>
              <w:right w:val="nil"/>
            </w:tcBorders>
            <w:shd w:val="clear" w:color="FFFFFF" w:fill="FFFFFF"/>
            <w:noWrap/>
            <w:vAlign w:val="bottom"/>
            <w:hideMark/>
          </w:tcPr>
          <w:p w14:paraId="729F39E1" w14:textId="77777777" w:rsidR="00C32CBD" w:rsidRDefault="00C32CBD" w:rsidP="00320D09">
            <w:pPr>
              <w:jc w:val="center"/>
              <w:rPr>
                <w:rFonts w:cs="Arial"/>
                <w:sz w:val="18"/>
                <w:szCs w:val="18"/>
              </w:rPr>
            </w:pPr>
            <w:r>
              <w:rPr>
                <w:rFonts w:cs="Arial"/>
                <w:sz w:val="18"/>
                <w:szCs w:val="18"/>
              </w:rPr>
              <w:t> </w:t>
            </w:r>
          </w:p>
        </w:tc>
        <w:tc>
          <w:tcPr>
            <w:tcW w:w="1088" w:type="dxa"/>
            <w:tcBorders>
              <w:top w:val="nil"/>
              <w:left w:val="nil"/>
              <w:bottom w:val="nil"/>
              <w:right w:val="nil"/>
            </w:tcBorders>
            <w:shd w:val="clear" w:color="FFFFFF" w:fill="FFFFFF"/>
            <w:noWrap/>
            <w:vAlign w:val="bottom"/>
            <w:hideMark/>
          </w:tcPr>
          <w:p w14:paraId="617C69B8" w14:textId="77777777" w:rsidR="00C32CBD" w:rsidRDefault="00C32CBD" w:rsidP="00320D09">
            <w:pPr>
              <w:jc w:val="right"/>
              <w:rPr>
                <w:rFonts w:cs="Arial"/>
                <w:b/>
                <w:bCs/>
                <w:sz w:val="18"/>
                <w:szCs w:val="18"/>
              </w:rPr>
            </w:pPr>
            <w:r>
              <w:rPr>
                <w:rFonts w:cs="Arial"/>
                <w:b/>
                <w:bCs/>
                <w:sz w:val="18"/>
                <w:szCs w:val="18"/>
              </w:rPr>
              <w:t> </w:t>
            </w:r>
          </w:p>
        </w:tc>
        <w:tc>
          <w:tcPr>
            <w:tcW w:w="236" w:type="dxa"/>
            <w:tcBorders>
              <w:top w:val="nil"/>
              <w:left w:val="nil"/>
              <w:bottom w:val="nil"/>
              <w:right w:val="nil"/>
            </w:tcBorders>
            <w:shd w:val="clear" w:color="FFFFFF" w:fill="FFFFFF"/>
            <w:noWrap/>
            <w:vAlign w:val="bottom"/>
            <w:hideMark/>
          </w:tcPr>
          <w:p w14:paraId="7CF090C8" w14:textId="77777777" w:rsidR="00C32CBD" w:rsidRDefault="00C32CBD" w:rsidP="00320D09">
            <w:pPr>
              <w:rPr>
                <w:rFonts w:cs="Arial"/>
                <w:sz w:val="18"/>
                <w:szCs w:val="18"/>
              </w:rPr>
            </w:pPr>
            <w:r>
              <w:rPr>
                <w:rFonts w:cs="Arial"/>
                <w:sz w:val="18"/>
                <w:szCs w:val="18"/>
              </w:rPr>
              <w:t> </w:t>
            </w:r>
          </w:p>
        </w:tc>
        <w:tc>
          <w:tcPr>
            <w:tcW w:w="1095" w:type="dxa"/>
            <w:tcBorders>
              <w:top w:val="nil"/>
              <w:left w:val="nil"/>
              <w:bottom w:val="nil"/>
              <w:right w:val="nil"/>
            </w:tcBorders>
            <w:shd w:val="clear" w:color="FFFFFF" w:fill="FFFFFF"/>
            <w:noWrap/>
            <w:vAlign w:val="bottom"/>
            <w:hideMark/>
          </w:tcPr>
          <w:p w14:paraId="33EF39CD" w14:textId="77777777" w:rsidR="00C32CBD" w:rsidRDefault="00C32CBD" w:rsidP="00320D09">
            <w:pPr>
              <w:jc w:val="right"/>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7B892BBC" w14:textId="77777777" w:rsidR="00C32CBD" w:rsidRDefault="00C32CBD" w:rsidP="00320D09">
            <w:pPr>
              <w:rPr>
                <w:rFonts w:cs="Arial"/>
                <w:sz w:val="18"/>
                <w:szCs w:val="18"/>
              </w:rPr>
            </w:pPr>
            <w:r>
              <w:rPr>
                <w:rFonts w:cs="Arial"/>
                <w:sz w:val="18"/>
                <w:szCs w:val="18"/>
              </w:rPr>
              <w:t> </w:t>
            </w:r>
          </w:p>
        </w:tc>
        <w:tc>
          <w:tcPr>
            <w:tcW w:w="1069" w:type="dxa"/>
            <w:tcBorders>
              <w:top w:val="nil"/>
              <w:left w:val="nil"/>
              <w:bottom w:val="nil"/>
              <w:right w:val="nil"/>
            </w:tcBorders>
            <w:shd w:val="clear" w:color="FFFFFF" w:fill="FFFFFF"/>
            <w:noWrap/>
            <w:vAlign w:val="bottom"/>
            <w:hideMark/>
          </w:tcPr>
          <w:p w14:paraId="585FC953" w14:textId="77777777" w:rsidR="00C32CBD" w:rsidRDefault="00C32CBD" w:rsidP="00320D09">
            <w:pPr>
              <w:jc w:val="right"/>
              <w:rPr>
                <w:rFonts w:cs="Arial"/>
                <w:sz w:val="18"/>
                <w:szCs w:val="18"/>
              </w:rPr>
            </w:pPr>
            <w:r>
              <w:rPr>
                <w:rFonts w:cs="Arial"/>
                <w:sz w:val="18"/>
                <w:szCs w:val="18"/>
              </w:rPr>
              <w:t> </w:t>
            </w:r>
          </w:p>
        </w:tc>
      </w:tr>
      <w:tr w:rsidR="00C32CBD" w14:paraId="2B35EB5F" w14:textId="77777777" w:rsidTr="00320D09">
        <w:trPr>
          <w:trHeight w:val="255"/>
        </w:trPr>
        <w:tc>
          <w:tcPr>
            <w:tcW w:w="4280" w:type="dxa"/>
            <w:tcBorders>
              <w:top w:val="nil"/>
              <w:left w:val="nil"/>
              <w:bottom w:val="nil"/>
              <w:right w:val="nil"/>
            </w:tcBorders>
            <w:shd w:val="clear" w:color="FFFFFF" w:fill="FFFFFF"/>
            <w:vAlign w:val="bottom"/>
            <w:hideMark/>
          </w:tcPr>
          <w:p w14:paraId="48D49549" w14:textId="77777777" w:rsidR="00C32CBD" w:rsidRDefault="00C32CBD" w:rsidP="00320D09">
            <w:pPr>
              <w:ind w:firstLineChars="100" w:firstLine="180"/>
              <w:rPr>
                <w:rFonts w:cs="Arial"/>
                <w:sz w:val="18"/>
                <w:szCs w:val="18"/>
              </w:rPr>
            </w:pPr>
            <w:r>
              <w:rPr>
                <w:rFonts w:cs="Arial"/>
                <w:sz w:val="18"/>
                <w:szCs w:val="18"/>
              </w:rPr>
              <w:t>Employee provisions</w:t>
            </w:r>
          </w:p>
        </w:tc>
        <w:tc>
          <w:tcPr>
            <w:tcW w:w="1083" w:type="dxa"/>
            <w:tcBorders>
              <w:top w:val="nil"/>
              <w:left w:val="nil"/>
              <w:bottom w:val="nil"/>
              <w:right w:val="nil"/>
            </w:tcBorders>
            <w:shd w:val="clear" w:color="FFFFFF" w:fill="FFFFFF"/>
            <w:noWrap/>
            <w:vAlign w:val="bottom"/>
            <w:hideMark/>
          </w:tcPr>
          <w:p w14:paraId="1E6FF327" w14:textId="77777777" w:rsidR="00C32CBD" w:rsidRDefault="00C32CBD" w:rsidP="00320D09">
            <w:pPr>
              <w:jc w:val="center"/>
              <w:rPr>
                <w:rFonts w:cs="Arial"/>
                <w:sz w:val="18"/>
                <w:szCs w:val="18"/>
              </w:rPr>
            </w:pPr>
            <w:r>
              <w:rPr>
                <w:rFonts w:cs="Arial"/>
                <w:sz w:val="18"/>
                <w:szCs w:val="18"/>
              </w:rPr>
              <w:t>4.1A</w:t>
            </w:r>
          </w:p>
        </w:tc>
        <w:tc>
          <w:tcPr>
            <w:tcW w:w="1088" w:type="dxa"/>
            <w:tcBorders>
              <w:top w:val="nil"/>
              <w:left w:val="nil"/>
              <w:bottom w:val="nil"/>
              <w:right w:val="nil"/>
            </w:tcBorders>
            <w:shd w:val="clear" w:color="FFFFFF" w:fill="FFFFFF"/>
            <w:noWrap/>
            <w:vAlign w:val="bottom"/>
            <w:hideMark/>
          </w:tcPr>
          <w:p w14:paraId="47CFECA5" w14:textId="77777777" w:rsidR="00C32CBD" w:rsidRDefault="00C32CBD" w:rsidP="00320D09">
            <w:pPr>
              <w:jc w:val="right"/>
              <w:rPr>
                <w:rFonts w:cs="Arial"/>
                <w:b/>
                <w:bCs/>
                <w:sz w:val="18"/>
                <w:szCs w:val="18"/>
              </w:rPr>
            </w:pPr>
            <w:r>
              <w:rPr>
                <w:rFonts w:cs="Arial"/>
                <w:b/>
                <w:bCs/>
                <w:sz w:val="18"/>
                <w:szCs w:val="18"/>
              </w:rPr>
              <w:t>35,563</w:t>
            </w:r>
          </w:p>
        </w:tc>
        <w:tc>
          <w:tcPr>
            <w:tcW w:w="236" w:type="dxa"/>
            <w:tcBorders>
              <w:top w:val="nil"/>
              <w:left w:val="nil"/>
              <w:bottom w:val="nil"/>
              <w:right w:val="nil"/>
            </w:tcBorders>
            <w:shd w:val="clear" w:color="FFFFFF" w:fill="FFFFFF"/>
            <w:noWrap/>
            <w:vAlign w:val="bottom"/>
            <w:hideMark/>
          </w:tcPr>
          <w:p w14:paraId="0EB648BE" w14:textId="77777777" w:rsidR="00C32CBD" w:rsidRDefault="00C32CBD" w:rsidP="00320D09">
            <w:pPr>
              <w:rPr>
                <w:rFonts w:cs="Arial"/>
                <w:sz w:val="18"/>
                <w:szCs w:val="18"/>
              </w:rPr>
            </w:pPr>
            <w:r>
              <w:rPr>
                <w:rFonts w:cs="Arial"/>
                <w:sz w:val="18"/>
                <w:szCs w:val="18"/>
              </w:rPr>
              <w:t> </w:t>
            </w:r>
          </w:p>
        </w:tc>
        <w:tc>
          <w:tcPr>
            <w:tcW w:w="1095" w:type="dxa"/>
            <w:tcBorders>
              <w:top w:val="nil"/>
              <w:left w:val="nil"/>
              <w:bottom w:val="nil"/>
              <w:right w:val="nil"/>
            </w:tcBorders>
            <w:shd w:val="clear" w:color="FFFFFF" w:fill="FFFFFF"/>
            <w:noWrap/>
            <w:vAlign w:val="bottom"/>
            <w:hideMark/>
          </w:tcPr>
          <w:p w14:paraId="0211497D" w14:textId="77777777" w:rsidR="00C32CBD" w:rsidRDefault="00C32CBD" w:rsidP="00320D09">
            <w:pPr>
              <w:jc w:val="right"/>
              <w:rPr>
                <w:rFonts w:cs="Arial"/>
                <w:sz w:val="18"/>
                <w:szCs w:val="18"/>
              </w:rPr>
            </w:pPr>
            <w:r>
              <w:rPr>
                <w:rFonts w:cs="Arial"/>
                <w:sz w:val="18"/>
                <w:szCs w:val="18"/>
              </w:rPr>
              <w:t>24,160</w:t>
            </w:r>
          </w:p>
        </w:tc>
        <w:tc>
          <w:tcPr>
            <w:tcW w:w="236" w:type="dxa"/>
            <w:tcBorders>
              <w:top w:val="nil"/>
              <w:left w:val="nil"/>
              <w:bottom w:val="nil"/>
              <w:right w:val="nil"/>
            </w:tcBorders>
            <w:shd w:val="clear" w:color="FFFFFF" w:fill="FFFFFF"/>
            <w:noWrap/>
            <w:vAlign w:val="bottom"/>
            <w:hideMark/>
          </w:tcPr>
          <w:p w14:paraId="6C3CF72E" w14:textId="77777777" w:rsidR="00C32CBD" w:rsidRDefault="00C32CBD" w:rsidP="00320D09">
            <w:pPr>
              <w:rPr>
                <w:rFonts w:cs="Arial"/>
                <w:sz w:val="18"/>
                <w:szCs w:val="18"/>
              </w:rPr>
            </w:pPr>
            <w:r>
              <w:rPr>
                <w:rFonts w:cs="Arial"/>
                <w:sz w:val="18"/>
                <w:szCs w:val="18"/>
              </w:rPr>
              <w:t> </w:t>
            </w:r>
          </w:p>
        </w:tc>
        <w:tc>
          <w:tcPr>
            <w:tcW w:w="1069" w:type="dxa"/>
            <w:tcBorders>
              <w:top w:val="nil"/>
              <w:left w:val="nil"/>
              <w:bottom w:val="nil"/>
              <w:right w:val="nil"/>
            </w:tcBorders>
            <w:shd w:val="clear" w:color="FFFFFF" w:fill="FFFFFF"/>
            <w:noWrap/>
            <w:vAlign w:val="bottom"/>
            <w:hideMark/>
          </w:tcPr>
          <w:p w14:paraId="79E39772" w14:textId="77777777" w:rsidR="00C32CBD" w:rsidRDefault="00C32CBD" w:rsidP="00320D09">
            <w:pPr>
              <w:jc w:val="right"/>
              <w:rPr>
                <w:rFonts w:cs="Arial"/>
                <w:sz w:val="18"/>
                <w:szCs w:val="18"/>
              </w:rPr>
            </w:pPr>
            <w:r>
              <w:rPr>
                <w:rFonts w:cs="Arial"/>
                <w:sz w:val="18"/>
                <w:szCs w:val="18"/>
              </w:rPr>
              <w:t>28,032</w:t>
            </w:r>
          </w:p>
        </w:tc>
      </w:tr>
      <w:tr w:rsidR="00C32CBD" w14:paraId="0A4B0B15" w14:textId="77777777" w:rsidTr="00320D09">
        <w:trPr>
          <w:trHeight w:val="255"/>
        </w:trPr>
        <w:tc>
          <w:tcPr>
            <w:tcW w:w="4280" w:type="dxa"/>
            <w:tcBorders>
              <w:top w:val="nil"/>
              <w:left w:val="nil"/>
              <w:bottom w:val="nil"/>
              <w:right w:val="nil"/>
            </w:tcBorders>
            <w:shd w:val="clear" w:color="FFFFFF" w:fill="FFFFFF"/>
            <w:vAlign w:val="bottom"/>
            <w:hideMark/>
          </w:tcPr>
          <w:p w14:paraId="4E937833" w14:textId="77777777" w:rsidR="00C32CBD" w:rsidRDefault="00C32CBD" w:rsidP="00320D09">
            <w:pPr>
              <w:ind w:firstLineChars="100" w:firstLine="180"/>
              <w:rPr>
                <w:rFonts w:cs="Arial"/>
                <w:sz w:val="18"/>
                <w:szCs w:val="18"/>
              </w:rPr>
            </w:pPr>
            <w:r>
              <w:rPr>
                <w:rFonts w:cs="Arial"/>
                <w:sz w:val="18"/>
                <w:szCs w:val="18"/>
              </w:rPr>
              <w:t>Participant plan provisions</w:t>
            </w:r>
          </w:p>
        </w:tc>
        <w:tc>
          <w:tcPr>
            <w:tcW w:w="1083" w:type="dxa"/>
            <w:tcBorders>
              <w:top w:val="nil"/>
              <w:left w:val="nil"/>
              <w:bottom w:val="nil"/>
              <w:right w:val="nil"/>
            </w:tcBorders>
            <w:shd w:val="clear" w:color="FFFFFF" w:fill="FFFFFF"/>
            <w:noWrap/>
            <w:vAlign w:val="bottom"/>
            <w:hideMark/>
          </w:tcPr>
          <w:p w14:paraId="0A770A75" w14:textId="77777777" w:rsidR="00C32CBD" w:rsidRDefault="00C32CBD" w:rsidP="00320D09">
            <w:pPr>
              <w:jc w:val="center"/>
              <w:rPr>
                <w:rFonts w:cs="Arial"/>
                <w:sz w:val="18"/>
                <w:szCs w:val="18"/>
              </w:rPr>
            </w:pPr>
            <w:r>
              <w:rPr>
                <w:rFonts w:cs="Arial"/>
                <w:sz w:val="18"/>
                <w:szCs w:val="18"/>
              </w:rPr>
              <w:t>2.4A</w:t>
            </w:r>
          </w:p>
        </w:tc>
        <w:tc>
          <w:tcPr>
            <w:tcW w:w="1088" w:type="dxa"/>
            <w:tcBorders>
              <w:top w:val="nil"/>
              <w:left w:val="nil"/>
              <w:bottom w:val="nil"/>
              <w:right w:val="nil"/>
            </w:tcBorders>
            <w:shd w:val="clear" w:color="FFFFFF" w:fill="FFFFFF"/>
            <w:noWrap/>
            <w:vAlign w:val="bottom"/>
            <w:hideMark/>
          </w:tcPr>
          <w:p w14:paraId="13D8DA63" w14:textId="77777777" w:rsidR="00C32CBD" w:rsidRDefault="00C32CBD" w:rsidP="00320D09">
            <w:pPr>
              <w:jc w:val="right"/>
              <w:rPr>
                <w:rFonts w:cs="Arial"/>
                <w:b/>
                <w:bCs/>
                <w:sz w:val="18"/>
                <w:szCs w:val="18"/>
              </w:rPr>
            </w:pPr>
            <w:r>
              <w:rPr>
                <w:rFonts w:cs="Arial"/>
                <w:b/>
                <w:bCs/>
                <w:sz w:val="18"/>
                <w:szCs w:val="18"/>
              </w:rPr>
              <w:t>505,604</w:t>
            </w:r>
          </w:p>
        </w:tc>
        <w:tc>
          <w:tcPr>
            <w:tcW w:w="236" w:type="dxa"/>
            <w:tcBorders>
              <w:top w:val="nil"/>
              <w:left w:val="nil"/>
              <w:bottom w:val="nil"/>
              <w:right w:val="nil"/>
            </w:tcBorders>
            <w:shd w:val="clear" w:color="FFFFFF" w:fill="FFFFFF"/>
            <w:noWrap/>
            <w:vAlign w:val="bottom"/>
            <w:hideMark/>
          </w:tcPr>
          <w:p w14:paraId="013EBE11" w14:textId="77777777" w:rsidR="00C32CBD" w:rsidRDefault="00C32CBD" w:rsidP="00320D09">
            <w:pPr>
              <w:rPr>
                <w:rFonts w:cs="Arial"/>
                <w:sz w:val="18"/>
                <w:szCs w:val="18"/>
              </w:rPr>
            </w:pPr>
            <w:r>
              <w:rPr>
                <w:rFonts w:cs="Arial"/>
                <w:sz w:val="18"/>
                <w:szCs w:val="18"/>
              </w:rPr>
              <w:t> </w:t>
            </w:r>
          </w:p>
        </w:tc>
        <w:tc>
          <w:tcPr>
            <w:tcW w:w="1095" w:type="dxa"/>
            <w:tcBorders>
              <w:top w:val="nil"/>
              <w:left w:val="nil"/>
              <w:bottom w:val="nil"/>
              <w:right w:val="nil"/>
            </w:tcBorders>
            <w:shd w:val="clear" w:color="FFFFFF" w:fill="FFFFFF"/>
            <w:noWrap/>
            <w:vAlign w:val="bottom"/>
            <w:hideMark/>
          </w:tcPr>
          <w:p w14:paraId="5F0E4B32" w14:textId="77777777" w:rsidR="00C32CBD" w:rsidRDefault="00C32CBD" w:rsidP="00320D09">
            <w:pPr>
              <w:jc w:val="right"/>
              <w:rPr>
                <w:rFonts w:cs="Arial"/>
                <w:sz w:val="18"/>
                <w:szCs w:val="18"/>
              </w:rPr>
            </w:pPr>
            <w:r>
              <w:rPr>
                <w:rFonts w:cs="Arial"/>
                <w:sz w:val="18"/>
                <w:szCs w:val="18"/>
              </w:rPr>
              <w:t>215,852</w:t>
            </w:r>
          </w:p>
        </w:tc>
        <w:tc>
          <w:tcPr>
            <w:tcW w:w="236" w:type="dxa"/>
            <w:tcBorders>
              <w:top w:val="nil"/>
              <w:left w:val="nil"/>
              <w:bottom w:val="nil"/>
              <w:right w:val="nil"/>
            </w:tcBorders>
            <w:shd w:val="clear" w:color="FFFFFF" w:fill="FFFFFF"/>
            <w:noWrap/>
            <w:vAlign w:val="bottom"/>
            <w:hideMark/>
          </w:tcPr>
          <w:p w14:paraId="42679FC5" w14:textId="77777777" w:rsidR="00C32CBD" w:rsidRDefault="00C32CBD" w:rsidP="00320D09">
            <w:pPr>
              <w:rPr>
                <w:rFonts w:cs="Arial"/>
                <w:sz w:val="18"/>
                <w:szCs w:val="18"/>
              </w:rPr>
            </w:pPr>
            <w:r>
              <w:rPr>
                <w:rFonts w:cs="Arial"/>
                <w:sz w:val="18"/>
                <w:szCs w:val="18"/>
              </w:rPr>
              <w:t> </w:t>
            </w:r>
          </w:p>
        </w:tc>
        <w:tc>
          <w:tcPr>
            <w:tcW w:w="1069" w:type="dxa"/>
            <w:tcBorders>
              <w:top w:val="nil"/>
              <w:left w:val="nil"/>
              <w:bottom w:val="nil"/>
              <w:right w:val="nil"/>
            </w:tcBorders>
            <w:shd w:val="clear" w:color="FFFFFF" w:fill="FFFFFF"/>
            <w:noWrap/>
            <w:vAlign w:val="bottom"/>
            <w:hideMark/>
          </w:tcPr>
          <w:p w14:paraId="1C692F5F" w14:textId="77777777" w:rsidR="00C32CBD" w:rsidRDefault="00C32CBD" w:rsidP="00320D09">
            <w:pPr>
              <w:jc w:val="right"/>
              <w:rPr>
                <w:rFonts w:cs="Arial"/>
                <w:sz w:val="18"/>
                <w:szCs w:val="18"/>
              </w:rPr>
            </w:pPr>
            <w:r>
              <w:rPr>
                <w:rFonts w:cs="Arial"/>
                <w:sz w:val="18"/>
                <w:szCs w:val="18"/>
              </w:rPr>
              <w:t>159,323</w:t>
            </w:r>
          </w:p>
        </w:tc>
      </w:tr>
      <w:tr w:rsidR="00C32CBD" w14:paraId="74EA29FA" w14:textId="77777777" w:rsidTr="00320D09">
        <w:trPr>
          <w:trHeight w:val="255"/>
        </w:trPr>
        <w:tc>
          <w:tcPr>
            <w:tcW w:w="4280" w:type="dxa"/>
            <w:tcBorders>
              <w:top w:val="nil"/>
              <w:left w:val="nil"/>
              <w:bottom w:val="nil"/>
              <w:right w:val="nil"/>
            </w:tcBorders>
            <w:shd w:val="clear" w:color="FFFFFF" w:fill="FFFFFF"/>
            <w:vAlign w:val="bottom"/>
            <w:hideMark/>
          </w:tcPr>
          <w:p w14:paraId="7BF4E79D" w14:textId="77777777" w:rsidR="00C32CBD" w:rsidRDefault="00C32CBD" w:rsidP="00320D09">
            <w:pPr>
              <w:ind w:firstLineChars="100" w:firstLine="180"/>
              <w:rPr>
                <w:rFonts w:cs="Arial"/>
                <w:sz w:val="18"/>
                <w:szCs w:val="18"/>
              </w:rPr>
            </w:pPr>
            <w:r>
              <w:rPr>
                <w:rFonts w:cs="Arial"/>
                <w:sz w:val="18"/>
                <w:szCs w:val="18"/>
              </w:rPr>
              <w:t>Other provisions</w:t>
            </w:r>
          </w:p>
        </w:tc>
        <w:tc>
          <w:tcPr>
            <w:tcW w:w="1083" w:type="dxa"/>
            <w:tcBorders>
              <w:top w:val="nil"/>
              <w:left w:val="nil"/>
              <w:bottom w:val="nil"/>
              <w:right w:val="nil"/>
            </w:tcBorders>
            <w:shd w:val="clear" w:color="FFFFFF" w:fill="FFFFFF"/>
            <w:noWrap/>
            <w:vAlign w:val="bottom"/>
            <w:hideMark/>
          </w:tcPr>
          <w:p w14:paraId="7D665AB5" w14:textId="77777777" w:rsidR="00C32CBD" w:rsidRDefault="00C32CBD" w:rsidP="00320D09">
            <w:pPr>
              <w:jc w:val="center"/>
              <w:rPr>
                <w:rFonts w:cs="Arial"/>
                <w:sz w:val="18"/>
                <w:szCs w:val="18"/>
              </w:rPr>
            </w:pPr>
            <w:r>
              <w:rPr>
                <w:rFonts w:cs="Arial"/>
                <w:sz w:val="18"/>
                <w:szCs w:val="18"/>
              </w:rPr>
              <w:t>2.4B</w:t>
            </w:r>
          </w:p>
        </w:tc>
        <w:tc>
          <w:tcPr>
            <w:tcW w:w="1088" w:type="dxa"/>
            <w:tcBorders>
              <w:top w:val="nil"/>
              <w:left w:val="nil"/>
              <w:bottom w:val="nil"/>
              <w:right w:val="nil"/>
            </w:tcBorders>
            <w:shd w:val="clear" w:color="FFFFFF" w:fill="FFFFFF"/>
            <w:noWrap/>
            <w:vAlign w:val="bottom"/>
            <w:hideMark/>
          </w:tcPr>
          <w:p w14:paraId="5AB2C884" w14:textId="77777777" w:rsidR="00C32CBD" w:rsidRDefault="00C32CBD" w:rsidP="00320D09">
            <w:pPr>
              <w:jc w:val="right"/>
              <w:rPr>
                <w:rFonts w:cs="Arial"/>
                <w:b/>
                <w:bCs/>
                <w:sz w:val="18"/>
                <w:szCs w:val="18"/>
              </w:rPr>
            </w:pPr>
            <w:r>
              <w:rPr>
                <w:rFonts w:cs="Arial"/>
                <w:b/>
                <w:bCs/>
                <w:sz w:val="18"/>
                <w:szCs w:val="18"/>
              </w:rPr>
              <w:t>57,339</w:t>
            </w:r>
          </w:p>
        </w:tc>
        <w:tc>
          <w:tcPr>
            <w:tcW w:w="236" w:type="dxa"/>
            <w:tcBorders>
              <w:top w:val="nil"/>
              <w:left w:val="nil"/>
              <w:bottom w:val="nil"/>
              <w:right w:val="nil"/>
            </w:tcBorders>
            <w:shd w:val="clear" w:color="FFFFFF" w:fill="FFFFFF"/>
            <w:noWrap/>
            <w:vAlign w:val="bottom"/>
            <w:hideMark/>
          </w:tcPr>
          <w:p w14:paraId="17C3460C" w14:textId="77777777" w:rsidR="00C32CBD" w:rsidRDefault="00C32CBD" w:rsidP="00320D09">
            <w:pPr>
              <w:rPr>
                <w:rFonts w:cs="Arial"/>
                <w:sz w:val="18"/>
                <w:szCs w:val="18"/>
              </w:rPr>
            </w:pPr>
            <w:r>
              <w:rPr>
                <w:rFonts w:cs="Arial"/>
                <w:sz w:val="18"/>
                <w:szCs w:val="18"/>
              </w:rPr>
              <w:t> </w:t>
            </w:r>
          </w:p>
        </w:tc>
        <w:tc>
          <w:tcPr>
            <w:tcW w:w="1095" w:type="dxa"/>
            <w:tcBorders>
              <w:top w:val="nil"/>
              <w:left w:val="nil"/>
              <w:bottom w:val="nil"/>
              <w:right w:val="nil"/>
            </w:tcBorders>
            <w:shd w:val="clear" w:color="FFFFFF" w:fill="FFFFFF"/>
            <w:noWrap/>
            <w:vAlign w:val="bottom"/>
            <w:hideMark/>
          </w:tcPr>
          <w:p w14:paraId="396308E3" w14:textId="77777777" w:rsidR="00C32CBD" w:rsidRDefault="00C32CBD" w:rsidP="00320D09">
            <w:pPr>
              <w:jc w:val="right"/>
              <w:rPr>
                <w:rFonts w:cs="Arial"/>
                <w:sz w:val="18"/>
                <w:szCs w:val="18"/>
              </w:rPr>
            </w:pPr>
            <w:r>
              <w:rPr>
                <w:rFonts w:cs="Arial"/>
                <w:sz w:val="18"/>
                <w:szCs w:val="18"/>
              </w:rPr>
              <w:t>2,735</w:t>
            </w:r>
          </w:p>
        </w:tc>
        <w:tc>
          <w:tcPr>
            <w:tcW w:w="236" w:type="dxa"/>
            <w:tcBorders>
              <w:top w:val="nil"/>
              <w:left w:val="nil"/>
              <w:bottom w:val="nil"/>
              <w:right w:val="nil"/>
            </w:tcBorders>
            <w:shd w:val="clear" w:color="FFFFFF" w:fill="FFFFFF"/>
            <w:noWrap/>
            <w:vAlign w:val="bottom"/>
            <w:hideMark/>
          </w:tcPr>
          <w:p w14:paraId="2758ADBB" w14:textId="77777777" w:rsidR="00C32CBD" w:rsidRDefault="00C32CBD" w:rsidP="00320D09">
            <w:pPr>
              <w:rPr>
                <w:rFonts w:cs="Arial"/>
                <w:sz w:val="18"/>
                <w:szCs w:val="18"/>
              </w:rPr>
            </w:pPr>
            <w:r>
              <w:rPr>
                <w:rFonts w:cs="Arial"/>
                <w:sz w:val="18"/>
                <w:szCs w:val="18"/>
              </w:rPr>
              <w:t> </w:t>
            </w:r>
          </w:p>
        </w:tc>
        <w:tc>
          <w:tcPr>
            <w:tcW w:w="1069" w:type="dxa"/>
            <w:tcBorders>
              <w:top w:val="nil"/>
              <w:left w:val="nil"/>
              <w:bottom w:val="nil"/>
              <w:right w:val="nil"/>
            </w:tcBorders>
            <w:shd w:val="clear" w:color="FFFFFF" w:fill="FFFFFF"/>
            <w:noWrap/>
            <w:vAlign w:val="bottom"/>
            <w:hideMark/>
          </w:tcPr>
          <w:p w14:paraId="100D9A6E" w14:textId="77777777" w:rsidR="00C32CBD" w:rsidRDefault="00C32CBD" w:rsidP="00320D09">
            <w:pPr>
              <w:jc w:val="right"/>
              <w:rPr>
                <w:rFonts w:cs="Arial"/>
                <w:sz w:val="18"/>
                <w:szCs w:val="18"/>
              </w:rPr>
            </w:pPr>
            <w:r>
              <w:rPr>
                <w:rFonts w:cs="Arial"/>
                <w:sz w:val="18"/>
                <w:szCs w:val="18"/>
              </w:rPr>
              <w:t>14,250</w:t>
            </w:r>
          </w:p>
        </w:tc>
      </w:tr>
      <w:tr w:rsidR="00C32CBD" w14:paraId="0AD180B0" w14:textId="77777777" w:rsidTr="00320D09">
        <w:trPr>
          <w:trHeight w:val="255"/>
        </w:trPr>
        <w:tc>
          <w:tcPr>
            <w:tcW w:w="4280" w:type="dxa"/>
            <w:tcBorders>
              <w:top w:val="nil"/>
              <w:left w:val="nil"/>
              <w:bottom w:val="nil"/>
              <w:right w:val="nil"/>
            </w:tcBorders>
            <w:shd w:val="clear" w:color="FFFFFF" w:fill="FFFFFF"/>
            <w:vAlign w:val="bottom"/>
            <w:hideMark/>
          </w:tcPr>
          <w:p w14:paraId="5659489D" w14:textId="77777777" w:rsidR="00C32CBD" w:rsidRDefault="00C32CBD" w:rsidP="00320D09">
            <w:pPr>
              <w:rPr>
                <w:rFonts w:cs="Arial"/>
                <w:b/>
                <w:bCs/>
                <w:sz w:val="18"/>
                <w:szCs w:val="18"/>
              </w:rPr>
            </w:pPr>
            <w:r>
              <w:rPr>
                <w:rFonts w:cs="Arial"/>
                <w:b/>
                <w:bCs/>
                <w:sz w:val="18"/>
                <w:szCs w:val="18"/>
              </w:rPr>
              <w:t>Total provisions</w:t>
            </w:r>
          </w:p>
        </w:tc>
        <w:tc>
          <w:tcPr>
            <w:tcW w:w="1083" w:type="dxa"/>
            <w:tcBorders>
              <w:top w:val="nil"/>
              <w:left w:val="nil"/>
              <w:bottom w:val="nil"/>
              <w:right w:val="nil"/>
            </w:tcBorders>
            <w:shd w:val="clear" w:color="FFFFFF" w:fill="FFFFFF"/>
            <w:noWrap/>
            <w:vAlign w:val="bottom"/>
            <w:hideMark/>
          </w:tcPr>
          <w:p w14:paraId="3A43A559" w14:textId="77777777" w:rsidR="00C32CBD" w:rsidRDefault="00C32CBD" w:rsidP="00320D09">
            <w:pPr>
              <w:jc w:val="center"/>
              <w:rPr>
                <w:rFonts w:cs="Arial"/>
                <w:sz w:val="18"/>
                <w:szCs w:val="18"/>
              </w:rPr>
            </w:pPr>
            <w:r>
              <w:rPr>
                <w:rFonts w:cs="Arial"/>
                <w:sz w:val="18"/>
                <w:szCs w:val="18"/>
              </w:rPr>
              <w:t> </w:t>
            </w:r>
          </w:p>
        </w:tc>
        <w:tc>
          <w:tcPr>
            <w:tcW w:w="1088" w:type="dxa"/>
            <w:tcBorders>
              <w:top w:val="single" w:sz="4" w:space="0" w:color="auto"/>
              <w:left w:val="nil"/>
              <w:bottom w:val="single" w:sz="4" w:space="0" w:color="auto"/>
              <w:right w:val="nil"/>
            </w:tcBorders>
            <w:shd w:val="clear" w:color="FFFFFF" w:fill="FFFFFF"/>
            <w:noWrap/>
            <w:vAlign w:val="bottom"/>
            <w:hideMark/>
          </w:tcPr>
          <w:p w14:paraId="502B19E7" w14:textId="77777777" w:rsidR="00C32CBD" w:rsidRDefault="00C32CBD" w:rsidP="00320D09">
            <w:pPr>
              <w:jc w:val="right"/>
              <w:rPr>
                <w:rFonts w:cs="Arial"/>
                <w:b/>
                <w:bCs/>
                <w:sz w:val="18"/>
                <w:szCs w:val="18"/>
              </w:rPr>
            </w:pPr>
            <w:r>
              <w:rPr>
                <w:rFonts w:cs="Arial"/>
                <w:b/>
                <w:bCs/>
                <w:sz w:val="18"/>
                <w:szCs w:val="18"/>
              </w:rPr>
              <w:t>598,506</w:t>
            </w:r>
          </w:p>
        </w:tc>
        <w:tc>
          <w:tcPr>
            <w:tcW w:w="236" w:type="dxa"/>
            <w:tcBorders>
              <w:top w:val="nil"/>
              <w:left w:val="nil"/>
              <w:bottom w:val="nil"/>
              <w:right w:val="nil"/>
            </w:tcBorders>
            <w:shd w:val="clear" w:color="FFFFFF" w:fill="FFFFFF"/>
            <w:noWrap/>
            <w:vAlign w:val="bottom"/>
            <w:hideMark/>
          </w:tcPr>
          <w:p w14:paraId="208D9334" w14:textId="77777777" w:rsidR="00C32CBD" w:rsidRDefault="00C32CBD" w:rsidP="00320D09">
            <w:pPr>
              <w:rPr>
                <w:rFonts w:cs="Arial"/>
                <w:sz w:val="18"/>
                <w:szCs w:val="18"/>
              </w:rPr>
            </w:pPr>
            <w:r>
              <w:rPr>
                <w:rFonts w:cs="Arial"/>
                <w:sz w:val="18"/>
                <w:szCs w:val="18"/>
              </w:rPr>
              <w:t> </w:t>
            </w:r>
          </w:p>
        </w:tc>
        <w:tc>
          <w:tcPr>
            <w:tcW w:w="1095" w:type="dxa"/>
            <w:tcBorders>
              <w:top w:val="single" w:sz="4" w:space="0" w:color="auto"/>
              <w:left w:val="nil"/>
              <w:bottom w:val="single" w:sz="4" w:space="0" w:color="auto"/>
              <w:right w:val="nil"/>
            </w:tcBorders>
            <w:shd w:val="clear" w:color="FFFFFF" w:fill="FFFFFF"/>
            <w:noWrap/>
            <w:vAlign w:val="bottom"/>
            <w:hideMark/>
          </w:tcPr>
          <w:p w14:paraId="7254F506" w14:textId="77777777" w:rsidR="00C32CBD" w:rsidRDefault="00C32CBD" w:rsidP="00320D09">
            <w:pPr>
              <w:jc w:val="right"/>
              <w:rPr>
                <w:rFonts w:cs="Arial"/>
                <w:sz w:val="18"/>
                <w:szCs w:val="18"/>
              </w:rPr>
            </w:pPr>
            <w:r>
              <w:rPr>
                <w:rFonts w:cs="Arial"/>
                <w:sz w:val="18"/>
                <w:szCs w:val="18"/>
              </w:rPr>
              <w:t>242,747</w:t>
            </w:r>
          </w:p>
        </w:tc>
        <w:tc>
          <w:tcPr>
            <w:tcW w:w="236" w:type="dxa"/>
            <w:tcBorders>
              <w:top w:val="nil"/>
              <w:left w:val="nil"/>
              <w:bottom w:val="nil"/>
              <w:right w:val="nil"/>
            </w:tcBorders>
            <w:shd w:val="clear" w:color="FFFFFF" w:fill="FFFFFF"/>
            <w:noWrap/>
            <w:vAlign w:val="bottom"/>
            <w:hideMark/>
          </w:tcPr>
          <w:p w14:paraId="4048DDCB" w14:textId="77777777" w:rsidR="00C32CBD" w:rsidRDefault="00C32CBD" w:rsidP="00320D09">
            <w:pPr>
              <w:rPr>
                <w:rFonts w:cs="Arial"/>
                <w:sz w:val="18"/>
                <w:szCs w:val="18"/>
              </w:rPr>
            </w:pPr>
            <w:r>
              <w:rPr>
                <w:rFonts w:cs="Arial"/>
                <w:sz w:val="18"/>
                <w:szCs w:val="18"/>
              </w:rPr>
              <w:t> </w:t>
            </w:r>
          </w:p>
        </w:tc>
        <w:tc>
          <w:tcPr>
            <w:tcW w:w="1069" w:type="dxa"/>
            <w:tcBorders>
              <w:top w:val="single" w:sz="4" w:space="0" w:color="auto"/>
              <w:left w:val="nil"/>
              <w:bottom w:val="single" w:sz="4" w:space="0" w:color="auto"/>
              <w:right w:val="nil"/>
            </w:tcBorders>
            <w:shd w:val="clear" w:color="FFFFFF" w:fill="FFFFFF"/>
            <w:noWrap/>
            <w:vAlign w:val="bottom"/>
            <w:hideMark/>
          </w:tcPr>
          <w:p w14:paraId="46717CE7" w14:textId="77777777" w:rsidR="00C32CBD" w:rsidRDefault="00C32CBD" w:rsidP="00320D09">
            <w:pPr>
              <w:jc w:val="right"/>
              <w:rPr>
                <w:rFonts w:cs="Arial"/>
                <w:sz w:val="18"/>
                <w:szCs w:val="18"/>
              </w:rPr>
            </w:pPr>
            <w:r>
              <w:rPr>
                <w:rFonts w:cs="Arial"/>
                <w:sz w:val="18"/>
                <w:szCs w:val="18"/>
              </w:rPr>
              <w:t>201,605</w:t>
            </w:r>
          </w:p>
        </w:tc>
      </w:tr>
      <w:tr w:rsidR="00C32CBD" w14:paraId="6F2F3AF5" w14:textId="77777777" w:rsidTr="00320D09">
        <w:trPr>
          <w:trHeight w:val="255"/>
        </w:trPr>
        <w:tc>
          <w:tcPr>
            <w:tcW w:w="4280" w:type="dxa"/>
            <w:tcBorders>
              <w:top w:val="nil"/>
              <w:left w:val="nil"/>
              <w:bottom w:val="nil"/>
              <w:right w:val="nil"/>
            </w:tcBorders>
            <w:shd w:val="clear" w:color="FFFFFF" w:fill="FFFFFF"/>
            <w:vAlign w:val="bottom"/>
            <w:hideMark/>
          </w:tcPr>
          <w:p w14:paraId="2242A074" w14:textId="77777777" w:rsidR="00C32CBD" w:rsidRDefault="00C32CBD" w:rsidP="00320D09">
            <w:pPr>
              <w:rPr>
                <w:rFonts w:cs="Arial"/>
                <w:sz w:val="18"/>
                <w:szCs w:val="18"/>
              </w:rPr>
            </w:pPr>
            <w:r>
              <w:rPr>
                <w:rFonts w:cs="Arial"/>
                <w:sz w:val="18"/>
                <w:szCs w:val="18"/>
              </w:rPr>
              <w:t> </w:t>
            </w:r>
          </w:p>
        </w:tc>
        <w:tc>
          <w:tcPr>
            <w:tcW w:w="1083" w:type="dxa"/>
            <w:tcBorders>
              <w:top w:val="nil"/>
              <w:left w:val="nil"/>
              <w:bottom w:val="nil"/>
              <w:right w:val="nil"/>
            </w:tcBorders>
            <w:shd w:val="clear" w:color="FFFFFF" w:fill="FFFFFF"/>
            <w:noWrap/>
            <w:vAlign w:val="bottom"/>
            <w:hideMark/>
          </w:tcPr>
          <w:p w14:paraId="711244AD" w14:textId="77777777" w:rsidR="00C32CBD" w:rsidRDefault="00C32CBD" w:rsidP="00320D09">
            <w:pPr>
              <w:jc w:val="center"/>
              <w:rPr>
                <w:rFonts w:cs="Arial"/>
                <w:sz w:val="18"/>
                <w:szCs w:val="18"/>
              </w:rPr>
            </w:pPr>
            <w:r>
              <w:rPr>
                <w:rFonts w:cs="Arial"/>
                <w:sz w:val="18"/>
                <w:szCs w:val="18"/>
              </w:rPr>
              <w:t> </w:t>
            </w:r>
          </w:p>
        </w:tc>
        <w:tc>
          <w:tcPr>
            <w:tcW w:w="1088" w:type="dxa"/>
            <w:tcBorders>
              <w:top w:val="nil"/>
              <w:left w:val="nil"/>
              <w:bottom w:val="nil"/>
              <w:right w:val="nil"/>
            </w:tcBorders>
            <w:shd w:val="clear" w:color="FFFFFF" w:fill="FFFFFF"/>
            <w:noWrap/>
            <w:vAlign w:val="bottom"/>
            <w:hideMark/>
          </w:tcPr>
          <w:p w14:paraId="64E18613" w14:textId="77777777" w:rsidR="00C32CBD" w:rsidRDefault="00C32CBD" w:rsidP="00320D09">
            <w:pPr>
              <w:jc w:val="right"/>
              <w:rPr>
                <w:rFonts w:cs="Arial"/>
                <w:b/>
                <w:bCs/>
                <w:sz w:val="18"/>
                <w:szCs w:val="18"/>
              </w:rPr>
            </w:pPr>
            <w:r>
              <w:rPr>
                <w:rFonts w:cs="Arial"/>
                <w:b/>
                <w:bCs/>
                <w:sz w:val="18"/>
                <w:szCs w:val="18"/>
              </w:rPr>
              <w:t> </w:t>
            </w:r>
          </w:p>
        </w:tc>
        <w:tc>
          <w:tcPr>
            <w:tcW w:w="236" w:type="dxa"/>
            <w:tcBorders>
              <w:top w:val="nil"/>
              <w:left w:val="nil"/>
              <w:bottom w:val="nil"/>
              <w:right w:val="nil"/>
            </w:tcBorders>
            <w:shd w:val="clear" w:color="FFFFFF" w:fill="FFFFFF"/>
            <w:noWrap/>
            <w:vAlign w:val="bottom"/>
            <w:hideMark/>
          </w:tcPr>
          <w:p w14:paraId="3AE17007" w14:textId="77777777" w:rsidR="00C32CBD" w:rsidRDefault="00C32CBD" w:rsidP="00320D09">
            <w:pPr>
              <w:rPr>
                <w:rFonts w:cs="Arial"/>
                <w:sz w:val="18"/>
                <w:szCs w:val="18"/>
              </w:rPr>
            </w:pPr>
            <w:r>
              <w:rPr>
                <w:rFonts w:cs="Arial"/>
                <w:sz w:val="18"/>
                <w:szCs w:val="18"/>
              </w:rPr>
              <w:t> </w:t>
            </w:r>
          </w:p>
        </w:tc>
        <w:tc>
          <w:tcPr>
            <w:tcW w:w="1095" w:type="dxa"/>
            <w:tcBorders>
              <w:top w:val="nil"/>
              <w:left w:val="nil"/>
              <w:bottom w:val="nil"/>
              <w:right w:val="nil"/>
            </w:tcBorders>
            <w:shd w:val="clear" w:color="FFFFFF" w:fill="FFFFFF"/>
            <w:noWrap/>
            <w:vAlign w:val="bottom"/>
            <w:hideMark/>
          </w:tcPr>
          <w:p w14:paraId="7593904F" w14:textId="77777777" w:rsidR="00C32CBD" w:rsidRDefault="00C32CBD" w:rsidP="00320D09">
            <w:pPr>
              <w:jc w:val="right"/>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391429C0" w14:textId="77777777" w:rsidR="00C32CBD" w:rsidRDefault="00C32CBD" w:rsidP="00320D09">
            <w:pPr>
              <w:rPr>
                <w:rFonts w:cs="Arial"/>
                <w:sz w:val="18"/>
                <w:szCs w:val="18"/>
              </w:rPr>
            </w:pPr>
            <w:r>
              <w:rPr>
                <w:rFonts w:cs="Arial"/>
                <w:sz w:val="18"/>
                <w:szCs w:val="18"/>
              </w:rPr>
              <w:t> </w:t>
            </w:r>
          </w:p>
        </w:tc>
        <w:tc>
          <w:tcPr>
            <w:tcW w:w="1069" w:type="dxa"/>
            <w:tcBorders>
              <w:top w:val="nil"/>
              <w:left w:val="nil"/>
              <w:bottom w:val="nil"/>
              <w:right w:val="nil"/>
            </w:tcBorders>
            <w:shd w:val="clear" w:color="FFFFFF" w:fill="FFFFFF"/>
            <w:noWrap/>
            <w:vAlign w:val="bottom"/>
            <w:hideMark/>
          </w:tcPr>
          <w:p w14:paraId="559278C0" w14:textId="77777777" w:rsidR="00C32CBD" w:rsidRDefault="00C32CBD" w:rsidP="00320D09">
            <w:pPr>
              <w:jc w:val="right"/>
              <w:rPr>
                <w:rFonts w:cs="Arial"/>
                <w:sz w:val="18"/>
                <w:szCs w:val="18"/>
              </w:rPr>
            </w:pPr>
            <w:r>
              <w:rPr>
                <w:rFonts w:cs="Arial"/>
                <w:sz w:val="18"/>
                <w:szCs w:val="18"/>
              </w:rPr>
              <w:t> </w:t>
            </w:r>
          </w:p>
        </w:tc>
      </w:tr>
      <w:tr w:rsidR="00C32CBD" w14:paraId="046E8DBC" w14:textId="77777777" w:rsidTr="00320D09">
        <w:trPr>
          <w:trHeight w:val="255"/>
        </w:trPr>
        <w:tc>
          <w:tcPr>
            <w:tcW w:w="4280" w:type="dxa"/>
            <w:tcBorders>
              <w:top w:val="nil"/>
              <w:left w:val="nil"/>
              <w:bottom w:val="nil"/>
              <w:right w:val="nil"/>
            </w:tcBorders>
            <w:shd w:val="clear" w:color="FFFFFF" w:fill="FFFFFF"/>
            <w:vAlign w:val="bottom"/>
            <w:hideMark/>
          </w:tcPr>
          <w:p w14:paraId="01F5C7B6" w14:textId="77777777" w:rsidR="00C32CBD" w:rsidRDefault="00C32CBD" w:rsidP="00320D09">
            <w:pPr>
              <w:rPr>
                <w:rFonts w:cs="Arial"/>
                <w:b/>
                <w:bCs/>
                <w:sz w:val="18"/>
                <w:szCs w:val="18"/>
              </w:rPr>
            </w:pPr>
            <w:r>
              <w:rPr>
                <w:rFonts w:cs="Arial"/>
                <w:b/>
                <w:bCs/>
                <w:sz w:val="18"/>
                <w:szCs w:val="18"/>
              </w:rPr>
              <w:t>Total liabilities</w:t>
            </w:r>
          </w:p>
        </w:tc>
        <w:tc>
          <w:tcPr>
            <w:tcW w:w="1083" w:type="dxa"/>
            <w:tcBorders>
              <w:top w:val="nil"/>
              <w:left w:val="nil"/>
              <w:bottom w:val="nil"/>
              <w:right w:val="nil"/>
            </w:tcBorders>
            <w:shd w:val="clear" w:color="FFFFFF" w:fill="FFFFFF"/>
            <w:noWrap/>
            <w:vAlign w:val="bottom"/>
            <w:hideMark/>
          </w:tcPr>
          <w:p w14:paraId="4CFB4A96" w14:textId="77777777" w:rsidR="00C32CBD" w:rsidRDefault="00C32CBD" w:rsidP="00320D09">
            <w:pPr>
              <w:jc w:val="center"/>
              <w:rPr>
                <w:rFonts w:cs="Arial"/>
                <w:sz w:val="18"/>
                <w:szCs w:val="18"/>
              </w:rPr>
            </w:pPr>
            <w:r>
              <w:rPr>
                <w:rFonts w:cs="Arial"/>
                <w:sz w:val="18"/>
                <w:szCs w:val="18"/>
              </w:rPr>
              <w:t> </w:t>
            </w:r>
          </w:p>
        </w:tc>
        <w:tc>
          <w:tcPr>
            <w:tcW w:w="1088" w:type="dxa"/>
            <w:tcBorders>
              <w:top w:val="single" w:sz="4" w:space="0" w:color="auto"/>
              <w:left w:val="nil"/>
              <w:bottom w:val="single" w:sz="4" w:space="0" w:color="auto"/>
              <w:right w:val="nil"/>
            </w:tcBorders>
            <w:shd w:val="clear" w:color="FFFFFF" w:fill="FFFFFF"/>
            <w:noWrap/>
            <w:vAlign w:val="bottom"/>
            <w:hideMark/>
          </w:tcPr>
          <w:p w14:paraId="5F69428C" w14:textId="77777777" w:rsidR="00C32CBD" w:rsidRDefault="00C32CBD" w:rsidP="00320D09">
            <w:pPr>
              <w:jc w:val="right"/>
              <w:rPr>
                <w:rFonts w:cs="Arial"/>
                <w:b/>
                <w:bCs/>
                <w:sz w:val="18"/>
                <w:szCs w:val="18"/>
              </w:rPr>
            </w:pPr>
            <w:r>
              <w:rPr>
                <w:rFonts w:cs="Arial"/>
                <w:b/>
                <w:bCs/>
                <w:sz w:val="18"/>
                <w:szCs w:val="18"/>
              </w:rPr>
              <w:t>709,531</w:t>
            </w:r>
          </w:p>
        </w:tc>
        <w:tc>
          <w:tcPr>
            <w:tcW w:w="236" w:type="dxa"/>
            <w:tcBorders>
              <w:top w:val="nil"/>
              <w:left w:val="nil"/>
              <w:bottom w:val="nil"/>
              <w:right w:val="nil"/>
            </w:tcBorders>
            <w:shd w:val="clear" w:color="FFFFFF" w:fill="FFFFFF"/>
            <w:noWrap/>
            <w:vAlign w:val="bottom"/>
            <w:hideMark/>
          </w:tcPr>
          <w:p w14:paraId="642ACE79" w14:textId="77777777" w:rsidR="00C32CBD" w:rsidRDefault="00C32CBD" w:rsidP="00320D09">
            <w:pPr>
              <w:rPr>
                <w:rFonts w:cs="Arial"/>
                <w:sz w:val="18"/>
                <w:szCs w:val="18"/>
              </w:rPr>
            </w:pPr>
            <w:r>
              <w:rPr>
                <w:rFonts w:cs="Arial"/>
                <w:sz w:val="18"/>
                <w:szCs w:val="18"/>
              </w:rPr>
              <w:t> </w:t>
            </w:r>
          </w:p>
        </w:tc>
        <w:tc>
          <w:tcPr>
            <w:tcW w:w="1095" w:type="dxa"/>
            <w:tcBorders>
              <w:top w:val="single" w:sz="4" w:space="0" w:color="auto"/>
              <w:left w:val="nil"/>
              <w:bottom w:val="single" w:sz="4" w:space="0" w:color="auto"/>
              <w:right w:val="nil"/>
            </w:tcBorders>
            <w:shd w:val="clear" w:color="FFFFFF" w:fill="FFFFFF"/>
            <w:noWrap/>
            <w:vAlign w:val="bottom"/>
            <w:hideMark/>
          </w:tcPr>
          <w:p w14:paraId="593FDB16" w14:textId="77777777" w:rsidR="00C32CBD" w:rsidRDefault="00C32CBD" w:rsidP="00320D09">
            <w:pPr>
              <w:jc w:val="right"/>
              <w:rPr>
                <w:rFonts w:cs="Arial"/>
                <w:sz w:val="18"/>
                <w:szCs w:val="18"/>
              </w:rPr>
            </w:pPr>
            <w:r>
              <w:rPr>
                <w:rFonts w:cs="Arial"/>
                <w:sz w:val="18"/>
                <w:szCs w:val="18"/>
              </w:rPr>
              <w:t>270,707</w:t>
            </w:r>
          </w:p>
        </w:tc>
        <w:tc>
          <w:tcPr>
            <w:tcW w:w="236" w:type="dxa"/>
            <w:tcBorders>
              <w:top w:val="nil"/>
              <w:left w:val="nil"/>
              <w:bottom w:val="nil"/>
              <w:right w:val="nil"/>
            </w:tcBorders>
            <w:shd w:val="clear" w:color="FFFFFF" w:fill="FFFFFF"/>
            <w:noWrap/>
            <w:vAlign w:val="bottom"/>
            <w:hideMark/>
          </w:tcPr>
          <w:p w14:paraId="01C4C0C0" w14:textId="77777777" w:rsidR="00C32CBD" w:rsidRDefault="00C32CBD" w:rsidP="00320D09">
            <w:pPr>
              <w:rPr>
                <w:rFonts w:cs="Arial"/>
                <w:sz w:val="18"/>
                <w:szCs w:val="18"/>
              </w:rPr>
            </w:pPr>
            <w:r>
              <w:rPr>
                <w:rFonts w:cs="Arial"/>
                <w:sz w:val="18"/>
                <w:szCs w:val="18"/>
              </w:rPr>
              <w:t> </w:t>
            </w:r>
          </w:p>
        </w:tc>
        <w:tc>
          <w:tcPr>
            <w:tcW w:w="1069" w:type="dxa"/>
            <w:tcBorders>
              <w:top w:val="single" w:sz="4" w:space="0" w:color="auto"/>
              <w:left w:val="nil"/>
              <w:bottom w:val="single" w:sz="4" w:space="0" w:color="auto"/>
              <w:right w:val="nil"/>
            </w:tcBorders>
            <w:shd w:val="clear" w:color="FFFFFF" w:fill="FFFFFF"/>
            <w:noWrap/>
            <w:vAlign w:val="bottom"/>
            <w:hideMark/>
          </w:tcPr>
          <w:p w14:paraId="74232C7C" w14:textId="77777777" w:rsidR="00C32CBD" w:rsidRDefault="00C32CBD" w:rsidP="00320D09">
            <w:pPr>
              <w:jc w:val="right"/>
              <w:rPr>
                <w:rFonts w:cs="Arial"/>
                <w:sz w:val="18"/>
                <w:szCs w:val="18"/>
              </w:rPr>
            </w:pPr>
            <w:r>
              <w:rPr>
                <w:rFonts w:cs="Arial"/>
                <w:sz w:val="18"/>
                <w:szCs w:val="18"/>
              </w:rPr>
              <w:t>278,632</w:t>
            </w:r>
          </w:p>
        </w:tc>
      </w:tr>
      <w:tr w:rsidR="00C32CBD" w14:paraId="172FF97F" w14:textId="77777777" w:rsidTr="00320D09">
        <w:trPr>
          <w:trHeight w:val="255"/>
        </w:trPr>
        <w:tc>
          <w:tcPr>
            <w:tcW w:w="4280" w:type="dxa"/>
            <w:tcBorders>
              <w:top w:val="nil"/>
              <w:left w:val="nil"/>
              <w:bottom w:val="nil"/>
              <w:right w:val="nil"/>
            </w:tcBorders>
            <w:shd w:val="clear" w:color="FFFFFF" w:fill="FFFFFF"/>
            <w:vAlign w:val="bottom"/>
            <w:hideMark/>
          </w:tcPr>
          <w:p w14:paraId="20401315" w14:textId="77777777" w:rsidR="00C32CBD" w:rsidRDefault="00C32CBD" w:rsidP="00320D09">
            <w:pPr>
              <w:rPr>
                <w:rFonts w:cs="Arial"/>
                <w:b/>
                <w:bCs/>
                <w:sz w:val="18"/>
                <w:szCs w:val="18"/>
              </w:rPr>
            </w:pPr>
            <w:r>
              <w:rPr>
                <w:rFonts w:cs="Arial"/>
                <w:b/>
                <w:bCs/>
                <w:sz w:val="18"/>
                <w:szCs w:val="18"/>
              </w:rPr>
              <w:t>Net assets</w:t>
            </w:r>
          </w:p>
        </w:tc>
        <w:tc>
          <w:tcPr>
            <w:tcW w:w="1083" w:type="dxa"/>
            <w:tcBorders>
              <w:top w:val="nil"/>
              <w:left w:val="nil"/>
              <w:bottom w:val="nil"/>
              <w:right w:val="nil"/>
            </w:tcBorders>
            <w:shd w:val="clear" w:color="FFFFFF" w:fill="FFFFFF"/>
            <w:noWrap/>
            <w:vAlign w:val="bottom"/>
            <w:hideMark/>
          </w:tcPr>
          <w:p w14:paraId="5528BF6E" w14:textId="77777777" w:rsidR="00C32CBD" w:rsidRDefault="00C32CBD" w:rsidP="00320D09">
            <w:pPr>
              <w:jc w:val="center"/>
              <w:rPr>
                <w:rFonts w:cs="Arial"/>
                <w:sz w:val="18"/>
                <w:szCs w:val="18"/>
              </w:rPr>
            </w:pPr>
            <w:r>
              <w:rPr>
                <w:rFonts w:cs="Arial"/>
                <w:sz w:val="18"/>
                <w:szCs w:val="18"/>
              </w:rPr>
              <w:t> </w:t>
            </w:r>
          </w:p>
        </w:tc>
        <w:tc>
          <w:tcPr>
            <w:tcW w:w="1088" w:type="dxa"/>
            <w:tcBorders>
              <w:top w:val="nil"/>
              <w:left w:val="nil"/>
              <w:bottom w:val="single" w:sz="4" w:space="0" w:color="auto"/>
              <w:right w:val="nil"/>
            </w:tcBorders>
            <w:shd w:val="clear" w:color="FFFFFF" w:fill="FFFFFF"/>
            <w:noWrap/>
            <w:vAlign w:val="bottom"/>
            <w:hideMark/>
          </w:tcPr>
          <w:p w14:paraId="1744BEA6" w14:textId="77777777" w:rsidR="00C32CBD" w:rsidRDefault="00C32CBD" w:rsidP="00320D09">
            <w:pPr>
              <w:jc w:val="right"/>
              <w:rPr>
                <w:rFonts w:cs="Arial"/>
                <w:b/>
                <w:bCs/>
                <w:sz w:val="18"/>
                <w:szCs w:val="18"/>
              </w:rPr>
            </w:pPr>
            <w:r>
              <w:rPr>
                <w:rFonts w:cs="Arial"/>
                <w:b/>
                <w:bCs/>
                <w:sz w:val="18"/>
                <w:szCs w:val="18"/>
              </w:rPr>
              <w:t>862,526</w:t>
            </w:r>
          </w:p>
        </w:tc>
        <w:tc>
          <w:tcPr>
            <w:tcW w:w="236" w:type="dxa"/>
            <w:tcBorders>
              <w:top w:val="nil"/>
              <w:left w:val="nil"/>
              <w:bottom w:val="nil"/>
              <w:right w:val="nil"/>
            </w:tcBorders>
            <w:shd w:val="clear" w:color="FFFFFF" w:fill="FFFFFF"/>
            <w:noWrap/>
            <w:vAlign w:val="bottom"/>
            <w:hideMark/>
          </w:tcPr>
          <w:p w14:paraId="4352980F" w14:textId="77777777" w:rsidR="00C32CBD" w:rsidRDefault="00C32CBD" w:rsidP="00320D09">
            <w:pPr>
              <w:rPr>
                <w:rFonts w:cs="Arial"/>
                <w:sz w:val="18"/>
                <w:szCs w:val="18"/>
              </w:rPr>
            </w:pPr>
            <w:r>
              <w:rPr>
                <w:rFonts w:cs="Arial"/>
                <w:sz w:val="18"/>
                <w:szCs w:val="18"/>
              </w:rPr>
              <w:t> </w:t>
            </w:r>
          </w:p>
        </w:tc>
        <w:tc>
          <w:tcPr>
            <w:tcW w:w="1095" w:type="dxa"/>
            <w:tcBorders>
              <w:top w:val="nil"/>
              <w:left w:val="nil"/>
              <w:bottom w:val="single" w:sz="4" w:space="0" w:color="auto"/>
              <w:right w:val="nil"/>
            </w:tcBorders>
            <w:shd w:val="clear" w:color="FFFFFF" w:fill="FFFFFF"/>
            <w:noWrap/>
            <w:vAlign w:val="bottom"/>
            <w:hideMark/>
          </w:tcPr>
          <w:p w14:paraId="52A0424D" w14:textId="77777777" w:rsidR="00C32CBD" w:rsidRDefault="00C32CBD" w:rsidP="00320D09">
            <w:pPr>
              <w:jc w:val="right"/>
              <w:rPr>
                <w:rFonts w:cs="Arial"/>
                <w:sz w:val="18"/>
                <w:szCs w:val="18"/>
              </w:rPr>
            </w:pPr>
            <w:r>
              <w:rPr>
                <w:rFonts w:cs="Arial"/>
                <w:sz w:val="18"/>
                <w:szCs w:val="18"/>
              </w:rPr>
              <w:t>125,586</w:t>
            </w:r>
          </w:p>
        </w:tc>
        <w:tc>
          <w:tcPr>
            <w:tcW w:w="236" w:type="dxa"/>
            <w:tcBorders>
              <w:top w:val="nil"/>
              <w:left w:val="nil"/>
              <w:bottom w:val="nil"/>
              <w:right w:val="nil"/>
            </w:tcBorders>
            <w:shd w:val="clear" w:color="FFFFFF" w:fill="FFFFFF"/>
            <w:noWrap/>
            <w:vAlign w:val="bottom"/>
            <w:hideMark/>
          </w:tcPr>
          <w:p w14:paraId="691C6F6B" w14:textId="77777777" w:rsidR="00C32CBD" w:rsidRDefault="00C32CBD" w:rsidP="00320D09">
            <w:pPr>
              <w:rPr>
                <w:rFonts w:cs="Arial"/>
                <w:sz w:val="18"/>
                <w:szCs w:val="18"/>
              </w:rPr>
            </w:pPr>
            <w:r>
              <w:rPr>
                <w:rFonts w:cs="Arial"/>
                <w:sz w:val="18"/>
                <w:szCs w:val="18"/>
              </w:rPr>
              <w:t> </w:t>
            </w:r>
          </w:p>
        </w:tc>
        <w:tc>
          <w:tcPr>
            <w:tcW w:w="1069" w:type="dxa"/>
            <w:tcBorders>
              <w:top w:val="nil"/>
              <w:left w:val="nil"/>
              <w:bottom w:val="single" w:sz="4" w:space="0" w:color="auto"/>
              <w:right w:val="nil"/>
            </w:tcBorders>
            <w:shd w:val="clear" w:color="FFFFFF" w:fill="FFFFFF"/>
            <w:noWrap/>
            <w:vAlign w:val="bottom"/>
            <w:hideMark/>
          </w:tcPr>
          <w:p w14:paraId="02EB47D9" w14:textId="77777777" w:rsidR="00C32CBD" w:rsidRDefault="00C32CBD" w:rsidP="00320D09">
            <w:pPr>
              <w:jc w:val="right"/>
              <w:rPr>
                <w:rFonts w:cs="Arial"/>
                <w:sz w:val="18"/>
                <w:szCs w:val="18"/>
              </w:rPr>
            </w:pPr>
            <w:r>
              <w:rPr>
                <w:rFonts w:cs="Arial"/>
                <w:sz w:val="18"/>
                <w:szCs w:val="18"/>
              </w:rPr>
              <w:t>224,987</w:t>
            </w:r>
          </w:p>
        </w:tc>
      </w:tr>
      <w:tr w:rsidR="00C32CBD" w14:paraId="5FD75902" w14:textId="77777777" w:rsidTr="00320D09">
        <w:trPr>
          <w:trHeight w:val="255"/>
        </w:trPr>
        <w:tc>
          <w:tcPr>
            <w:tcW w:w="4280" w:type="dxa"/>
            <w:tcBorders>
              <w:top w:val="nil"/>
              <w:left w:val="nil"/>
              <w:bottom w:val="nil"/>
              <w:right w:val="nil"/>
            </w:tcBorders>
            <w:shd w:val="clear" w:color="FFFFFF" w:fill="FFFFFF"/>
            <w:vAlign w:val="bottom"/>
            <w:hideMark/>
          </w:tcPr>
          <w:p w14:paraId="26833051" w14:textId="77777777" w:rsidR="00C32CBD" w:rsidRDefault="00C32CBD" w:rsidP="00320D09">
            <w:pPr>
              <w:rPr>
                <w:rFonts w:cs="Arial"/>
                <w:sz w:val="18"/>
                <w:szCs w:val="18"/>
              </w:rPr>
            </w:pPr>
            <w:r>
              <w:rPr>
                <w:rFonts w:cs="Arial"/>
                <w:sz w:val="18"/>
                <w:szCs w:val="18"/>
              </w:rPr>
              <w:t> </w:t>
            </w:r>
          </w:p>
        </w:tc>
        <w:tc>
          <w:tcPr>
            <w:tcW w:w="1083" w:type="dxa"/>
            <w:tcBorders>
              <w:top w:val="nil"/>
              <w:left w:val="nil"/>
              <w:bottom w:val="nil"/>
              <w:right w:val="nil"/>
            </w:tcBorders>
            <w:shd w:val="clear" w:color="FFFFFF" w:fill="FFFFFF"/>
            <w:noWrap/>
            <w:vAlign w:val="bottom"/>
            <w:hideMark/>
          </w:tcPr>
          <w:p w14:paraId="11E1603B" w14:textId="77777777" w:rsidR="00C32CBD" w:rsidRDefault="00C32CBD" w:rsidP="00320D09">
            <w:pPr>
              <w:jc w:val="center"/>
              <w:rPr>
                <w:rFonts w:cs="Arial"/>
                <w:sz w:val="18"/>
                <w:szCs w:val="18"/>
              </w:rPr>
            </w:pPr>
            <w:r>
              <w:rPr>
                <w:rFonts w:cs="Arial"/>
                <w:sz w:val="18"/>
                <w:szCs w:val="18"/>
              </w:rPr>
              <w:t> </w:t>
            </w:r>
          </w:p>
        </w:tc>
        <w:tc>
          <w:tcPr>
            <w:tcW w:w="1088" w:type="dxa"/>
            <w:tcBorders>
              <w:top w:val="nil"/>
              <w:left w:val="nil"/>
              <w:bottom w:val="nil"/>
              <w:right w:val="nil"/>
            </w:tcBorders>
            <w:shd w:val="clear" w:color="FFFFFF" w:fill="FFFFFF"/>
            <w:noWrap/>
            <w:vAlign w:val="bottom"/>
            <w:hideMark/>
          </w:tcPr>
          <w:p w14:paraId="0E3571E2" w14:textId="77777777" w:rsidR="00C32CBD" w:rsidRDefault="00C32CBD" w:rsidP="00320D09">
            <w:pPr>
              <w:jc w:val="right"/>
              <w:rPr>
                <w:rFonts w:cs="Arial"/>
                <w:b/>
                <w:bCs/>
                <w:sz w:val="18"/>
                <w:szCs w:val="18"/>
              </w:rPr>
            </w:pPr>
            <w:r>
              <w:rPr>
                <w:rFonts w:cs="Arial"/>
                <w:b/>
                <w:bCs/>
                <w:sz w:val="18"/>
                <w:szCs w:val="18"/>
              </w:rPr>
              <w:t> </w:t>
            </w:r>
          </w:p>
        </w:tc>
        <w:tc>
          <w:tcPr>
            <w:tcW w:w="236" w:type="dxa"/>
            <w:tcBorders>
              <w:top w:val="nil"/>
              <w:left w:val="nil"/>
              <w:bottom w:val="nil"/>
              <w:right w:val="nil"/>
            </w:tcBorders>
            <w:shd w:val="clear" w:color="FFFFFF" w:fill="FFFFFF"/>
            <w:noWrap/>
            <w:vAlign w:val="bottom"/>
            <w:hideMark/>
          </w:tcPr>
          <w:p w14:paraId="335E924A" w14:textId="77777777" w:rsidR="00C32CBD" w:rsidRDefault="00C32CBD" w:rsidP="00320D09">
            <w:pPr>
              <w:rPr>
                <w:rFonts w:cs="Arial"/>
                <w:sz w:val="18"/>
                <w:szCs w:val="18"/>
              </w:rPr>
            </w:pPr>
            <w:r>
              <w:rPr>
                <w:rFonts w:cs="Arial"/>
                <w:sz w:val="18"/>
                <w:szCs w:val="18"/>
              </w:rPr>
              <w:t> </w:t>
            </w:r>
          </w:p>
        </w:tc>
        <w:tc>
          <w:tcPr>
            <w:tcW w:w="1095" w:type="dxa"/>
            <w:tcBorders>
              <w:top w:val="nil"/>
              <w:left w:val="nil"/>
              <w:bottom w:val="nil"/>
              <w:right w:val="nil"/>
            </w:tcBorders>
            <w:shd w:val="clear" w:color="FFFFFF" w:fill="FFFFFF"/>
            <w:noWrap/>
            <w:vAlign w:val="bottom"/>
            <w:hideMark/>
          </w:tcPr>
          <w:p w14:paraId="4E1EFAA5" w14:textId="77777777" w:rsidR="00C32CBD" w:rsidRDefault="00C32CBD" w:rsidP="00320D09">
            <w:pPr>
              <w:jc w:val="right"/>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15827D03" w14:textId="77777777" w:rsidR="00C32CBD" w:rsidRDefault="00C32CBD" w:rsidP="00320D09">
            <w:pPr>
              <w:rPr>
                <w:rFonts w:cs="Arial"/>
                <w:sz w:val="18"/>
                <w:szCs w:val="18"/>
              </w:rPr>
            </w:pPr>
            <w:r>
              <w:rPr>
                <w:rFonts w:cs="Arial"/>
                <w:sz w:val="18"/>
                <w:szCs w:val="18"/>
              </w:rPr>
              <w:t> </w:t>
            </w:r>
          </w:p>
        </w:tc>
        <w:tc>
          <w:tcPr>
            <w:tcW w:w="1069" w:type="dxa"/>
            <w:tcBorders>
              <w:top w:val="nil"/>
              <w:left w:val="nil"/>
              <w:bottom w:val="nil"/>
              <w:right w:val="nil"/>
            </w:tcBorders>
            <w:shd w:val="clear" w:color="FFFFFF" w:fill="FFFFFF"/>
            <w:noWrap/>
            <w:vAlign w:val="bottom"/>
            <w:hideMark/>
          </w:tcPr>
          <w:p w14:paraId="4A02933D" w14:textId="77777777" w:rsidR="00C32CBD" w:rsidRDefault="00C32CBD" w:rsidP="00320D09">
            <w:pPr>
              <w:jc w:val="right"/>
              <w:rPr>
                <w:rFonts w:cs="Arial"/>
                <w:sz w:val="18"/>
                <w:szCs w:val="18"/>
              </w:rPr>
            </w:pPr>
            <w:r>
              <w:rPr>
                <w:rFonts w:cs="Arial"/>
                <w:sz w:val="18"/>
                <w:szCs w:val="18"/>
              </w:rPr>
              <w:t> </w:t>
            </w:r>
          </w:p>
        </w:tc>
      </w:tr>
      <w:tr w:rsidR="00C32CBD" w14:paraId="54A9A9C5" w14:textId="77777777" w:rsidTr="00320D09">
        <w:trPr>
          <w:trHeight w:val="255"/>
        </w:trPr>
        <w:tc>
          <w:tcPr>
            <w:tcW w:w="4280" w:type="dxa"/>
            <w:tcBorders>
              <w:top w:val="nil"/>
              <w:left w:val="nil"/>
              <w:bottom w:val="nil"/>
              <w:right w:val="nil"/>
            </w:tcBorders>
            <w:shd w:val="clear" w:color="FFFFFF" w:fill="FFFFFF"/>
            <w:vAlign w:val="bottom"/>
            <w:hideMark/>
          </w:tcPr>
          <w:p w14:paraId="637E975D" w14:textId="77777777" w:rsidR="00C32CBD" w:rsidRDefault="00C32CBD" w:rsidP="00320D09">
            <w:pPr>
              <w:rPr>
                <w:rFonts w:cs="Arial"/>
                <w:b/>
                <w:bCs/>
                <w:sz w:val="18"/>
                <w:szCs w:val="18"/>
              </w:rPr>
            </w:pPr>
            <w:r>
              <w:rPr>
                <w:rFonts w:cs="Arial"/>
                <w:b/>
                <w:bCs/>
                <w:sz w:val="18"/>
                <w:szCs w:val="18"/>
              </w:rPr>
              <w:t>EQUITY</w:t>
            </w:r>
          </w:p>
        </w:tc>
        <w:tc>
          <w:tcPr>
            <w:tcW w:w="1083" w:type="dxa"/>
            <w:tcBorders>
              <w:top w:val="nil"/>
              <w:left w:val="nil"/>
              <w:bottom w:val="nil"/>
              <w:right w:val="nil"/>
            </w:tcBorders>
            <w:shd w:val="clear" w:color="FFFFFF" w:fill="FFFFFF"/>
            <w:noWrap/>
            <w:vAlign w:val="bottom"/>
            <w:hideMark/>
          </w:tcPr>
          <w:p w14:paraId="0A81AB5F" w14:textId="77777777" w:rsidR="00C32CBD" w:rsidRDefault="00C32CBD" w:rsidP="00320D09">
            <w:pPr>
              <w:jc w:val="center"/>
              <w:rPr>
                <w:rFonts w:cs="Arial"/>
                <w:sz w:val="18"/>
                <w:szCs w:val="18"/>
              </w:rPr>
            </w:pPr>
            <w:r>
              <w:rPr>
                <w:rFonts w:cs="Arial"/>
                <w:sz w:val="18"/>
                <w:szCs w:val="18"/>
              </w:rPr>
              <w:t> </w:t>
            </w:r>
          </w:p>
        </w:tc>
        <w:tc>
          <w:tcPr>
            <w:tcW w:w="1088" w:type="dxa"/>
            <w:tcBorders>
              <w:top w:val="nil"/>
              <w:left w:val="nil"/>
              <w:bottom w:val="nil"/>
              <w:right w:val="nil"/>
            </w:tcBorders>
            <w:shd w:val="clear" w:color="FFFFFF" w:fill="FFFFFF"/>
            <w:noWrap/>
            <w:vAlign w:val="bottom"/>
            <w:hideMark/>
          </w:tcPr>
          <w:p w14:paraId="2B981429" w14:textId="77777777" w:rsidR="00C32CBD" w:rsidRDefault="00C32CBD" w:rsidP="00320D09">
            <w:pPr>
              <w:jc w:val="right"/>
              <w:rPr>
                <w:rFonts w:cs="Arial"/>
                <w:b/>
                <w:bCs/>
                <w:sz w:val="18"/>
                <w:szCs w:val="18"/>
              </w:rPr>
            </w:pPr>
            <w:r>
              <w:rPr>
                <w:rFonts w:cs="Arial"/>
                <w:b/>
                <w:bCs/>
                <w:sz w:val="18"/>
                <w:szCs w:val="18"/>
              </w:rPr>
              <w:t> </w:t>
            </w:r>
          </w:p>
        </w:tc>
        <w:tc>
          <w:tcPr>
            <w:tcW w:w="236" w:type="dxa"/>
            <w:tcBorders>
              <w:top w:val="nil"/>
              <w:left w:val="nil"/>
              <w:bottom w:val="nil"/>
              <w:right w:val="nil"/>
            </w:tcBorders>
            <w:shd w:val="clear" w:color="FFFFFF" w:fill="FFFFFF"/>
            <w:noWrap/>
            <w:vAlign w:val="bottom"/>
            <w:hideMark/>
          </w:tcPr>
          <w:p w14:paraId="044A28AA" w14:textId="77777777" w:rsidR="00C32CBD" w:rsidRDefault="00C32CBD" w:rsidP="00320D09">
            <w:pPr>
              <w:rPr>
                <w:rFonts w:cs="Arial"/>
                <w:sz w:val="18"/>
                <w:szCs w:val="18"/>
              </w:rPr>
            </w:pPr>
            <w:r>
              <w:rPr>
                <w:rFonts w:cs="Arial"/>
                <w:sz w:val="18"/>
                <w:szCs w:val="18"/>
              </w:rPr>
              <w:t> </w:t>
            </w:r>
          </w:p>
        </w:tc>
        <w:tc>
          <w:tcPr>
            <w:tcW w:w="1095" w:type="dxa"/>
            <w:tcBorders>
              <w:top w:val="nil"/>
              <w:left w:val="nil"/>
              <w:bottom w:val="nil"/>
              <w:right w:val="nil"/>
            </w:tcBorders>
            <w:shd w:val="clear" w:color="FFFFFF" w:fill="FFFFFF"/>
            <w:noWrap/>
            <w:vAlign w:val="bottom"/>
            <w:hideMark/>
          </w:tcPr>
          <w:p w14:paraId="2C06A4FA" w14:textId="77777777" w:rsidR="00C32CBD" w:rsidRDefault="00C32CBD" w:rsidP="00320D09">
            <w:pPr>
              <w:jc w:val="right"/>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15F3CC89" w14:textId="77777777" w:rsidR="00C32CBD" w:rsidRDefault="00C32CBD" w:rsidP="00320D09">
            <w:pPr>
              <w:rPr>
                <w:rFonts w:cs="Arial"/>
                <w:sz w:val="18"/>
                <w:szCs w:val="18"/>
              </w:rPr>
            </w:pPr>
            <w:r>
              <w:rPr>
                <w:rFonts w:cs="Arial"/>
                <w:sz w:val="18"/>
                <w:szCs w:val="18"/>
              </w:rPr>
              <w:t> </w:t>
            </w:r>
          </w:p>
        </w:tc>
        <w:tc>
          <w:tcPr>
            <w:tcW w:w="1069" w:type="dxa"/>
            <w:tcBorders>
              <w:top w:val="nil"/>
              <w:left w:val="nil"/>
              <w:bottom w:val="nil"/>
              <w:right w:val="nil"/>
            </w:tcBorders>
            <w:shd w:val="clear" w:color="FFFFFF" w:fill="FFFFFF"/>
            <w:noWrap/>
            <w:vAlign w:val="bottom"/>
            <w:hideMark/>
          </w:tcPr>
          <w:p w14:paraId="44FA62B6" w14:textId="77777777" w:rsidR="00C32CBD" w:rsidRDefault="00C32CBD" w:rsidP="00320D09">
            <w:pPr>
              <w:jc w:val="right"/>
              <w:rPr>
                <w:rFonts w:cs="Arial"/>
                <w:sz w:val="18"/>
                <w:szCs w:val="18"/>
              </w:rPr>
            </w:pPr>
            <w:r>
              <w:rPr>
                <w:rFonts w:cs="Arial"/>
                <w:sz w:val="18"/>
                <w:szCs w:val="18"/>
              </w:rPr>
              <w:t> </w:t>
            </w:r>
          </w:p>
        </w:tc>
      </w:tr>
      <w:tr w:rsidR="00C32CBD" w14:paraId="247A8B2D" w14:textId="77777777" w:rsidTr="00320D09">
        <w:trPr>
          <w:trHeight w:val="255"/>
        </w:trPr>
        <w:tc>
          <w:tcPr>
            <w:tcW w:w="4280" w:type="dxa"/>
            <w:tcBorders>
              <w:top w:val="nil"/>
              <w:left w:val="nil"/>
              <w:bottom w:val="nil"/>
              <w:right w:val="nil"/>
            </w:tcBorders>
            <w:shd w:val="clear" w:color="FFFFFF" w:fill="FFFFFF"/>
            <w:vAlign w:val="bottom"/>
            <w:hideMark/>
          </w:tcPr>
          <w:p w14:paraId="0BE2D99D" w14:textId="77777777" w:rsidR="00C32CBD" w:rsidRDefault="00C32CBD" w:rsidP="00320D09">
            <w:pPr>
              <w:ind w:firstLineChars="100" w:firstLine="180"/>
              <w:rPr>
                <w:rFonts w:cs="Arial"/>
                <w:sz w:val="18"/>
                <w:szCs w:val="18"/>
              </w:rPr>
            </w:pPr>
            <w:r>
              <w:rPr>
                <w:rFonts w:cs="Arial"/>
                <w:sz w:val="18"/>
                <w:szCs w:val="18"/>
              </w:rPr>
              <w:t>Contributed equity</w:t>
            </w:r>
          </w:p>
        </w:tc>
        <w:tc>
          <w:tcPr>
            <w:tcW w:w="1083" w:type="dxa"/>
            <w:tcBorders>
              <w:top w:val="nil"/>
              <w:left w:val="nil"/>
              <w:bottom w:val="nil"/>
              <w:right w:val="nil"/>
            </w:tcBorders>
            <w:shd w:val="clear" w:color="FFFFFF" w:fill="FFFFFF"/>
            <w:noWrap/>
            <w:vAlign w:val="bottom"/>
            <w:hideMark/>
          </w:tcPr>
          <w:p w14:paraId="18C316DB" w14:textId="77777777" w:rsidR="00C32CBD" w:rsidRDefault="00C32CBD" w:rsidP="00320D09">
            <w:pPr>
              <w:jc w:val="center"/>
              <w:rPr>
                <w:rFonts w:cs="Arial"/>
                <w:sz w:val="18"/>
                <w:szCs w:val="18"/>
              </w:rPr>
            </w:pPr>
            <w:r>
              <w:rPr>
                <w:rFonts w:cs="Arial"/>
                <w:sz w:val="18"/>
                <w:szCs w:val="18"/>
              </w:rPr>
              <w:t> </w:t>
            </w:r>
          </w:p>
        </w:tc>
        <w:tc>
          <w:tcPr>
            <w:tcW w:w="1088" w:type="dxa"/>
            <w:tcBorders>
              <w:top w:val="nil"/>
              <w:left w:val="nil"/>
              <w:bottom w:val="nil"/>
              <w:right w:val="nil"/>
            </w:tcBorders>
            <w:shd w:val="clear" w:color="FFFFFF" w:fill="FFFFFF"/>
            <w:noWrap/>
            <w:vAlign w:val="bottom"/>
            <w:hideMark/>
          </w:tcPr>
          <w:p w14:paraId="0F509997" w14:textId="77777777" w:rsidR="00C32CBD" w:rsidRDefault="00C32CBD" w:rsidP="00320D09">
            <w:pPr>
              <w:jc w:val="right"/>
              <w:rPr>
                <w:rFonts w:cs="Arial"/>
                <w:b/>
                <w:bCs/>
                <w:sz w:val="18"/>
                <w:szCs w:val="18"/>
              </w:rPr>
            </w:pPr>
            <w:r>
              <w:rPr>
                <w:rFonts w:cs="Arial"/>
                <w:b/>
                <w:bCs/>
                <w:sz w:val="18"/>
                <w:szCs w:val="18"/>
              </w:rPr>
              <w:t>205,733</w:t>
            </w:r>
          </w:p>
        </w:tc>
        <w:tc>
          <w:tcPr>
            <w:tcW w:w="236" w:type="dxa"/>
            <w:tcBorders>
              <w:top w:val="nil"/>
              <w:left w:val="nil"/>
              <w:bottom w:val="nil"/>
              <w:right w:val="nil"/>
            </w:tcBorders>
            <w:shd w:val="clear" w:color="FFFFFF" w:fill="FFFFFF"/>
            <w:noWrap/>
            <w:vAlign w:val="bottom"/>
            <w:hideMark/>
          </w:tcPr>
          <w:p w14:paraId="2220FB04" w14:textId="77777777" w:rsidR="00C32CBD" w:rsidRDefault="00C32CBD" w:rsidP="00320D09">
            <w:pPr>
              <w:rPr>
                <w:rFonts w:cs="Arial"/>
                <w:sz w:val="18"/>
                <w:szCs w:val="18"/>
              </w:rPr>
            </w:pPr>
            <w:r>
              <w:rPr>
                <w:rFonts w:cs="Arial"/>
                <w:sz w:val="18"/>
                <w:szCs w:val="18"/>
              </w:rPr>
              <w:t> </w:t>
            </w:r>
          </w:p>
        </w:tc>
        <w:tc>
          <w:tcPr>
            <w:tcW w:w="1095" w:type="dxa"/>
            <w:tcBorders>
              <w:top w:val="nil"/>
              <w:left w:val="nil"/>
              <w:bottom w:val="nil"/>
              <w:right w:val="nil"/>
            </w:tcBorders>
            <w:shd w:val="clear" w:color="FFFFFF" w:fill="FFFFFF"/>
            <w:noWrap/>
            <w:vAlign w:val="bottom"/>
            <w:hideMark/>
          </w:tcPr>
          <w:p w14:paraId="664A9507" w14:textId="77777777" w:rsidR="00C32CBD" w:rsidRDefault="00C32CBD" w:rsidP="00320D09">
            <w:pPr>
              <w:jc w:val="right"/>
              <w:rPr>
                <w:rFonts w:cs="Arial"/>
                <w:sz w:val="18"/>
                <w:szCs w:val="18"/>
              </w:rPr>
            </w:pPr>
            <w:r>
              <w:rPr>
                <w:rFonts w:cs="Arial"/>
                <w:sz w:val="18"/>
                <w:szCs w:val="18"/>
              </w:rPr>
              <w:t>89,536</w:t>
            </w:r>
          </w:p>
        </w:tc>
        <w:tc>
          <w:tcPr>
            <w:tcW w:w="236" w:type="dxa"/>
            <w:tcBorders>
              <w:top w:val="nil"/>
              <w:left w:val="nil"/>
              <w:bottom w:val="nil"/>
              <w:right w:val="nil"/>
            </w:tcBorders>
            <w:shd w:val="clear" w:color="FFFFFF" w:fill="FFFFFF"/>
            <w:noWrap/>
            <w:vAlign w:val="bottom"/>
            <w:hideMark/>
          </w:tcPr>
          <w:p w14:paraId="56441FCF" w14:textId="77777777" w:rsidR="00C32CBD" w:rsidRDefault="00C32CBD" w:rsidP="00320D09">
            <w:pPr>
              <w:rPr>
                <w:rFonts w:cs="Arial"/>
                <w:sz w:val="18"/>
                <w:szCs w:val="18"/>
              </w:rPr>
            </w:pPr>
            <w:r>
              <w:rPr>
                <w:rFonts w:cs="Arial"/>
                <w:sz w:val="18"/>
                <w:szCs w:val="18"/>
              </w:rPr>
              <w:t> </w:t>
            </w:r>
          </w:p>
        </w:tc>
        <w:tc>
          <w:tcPr>
            <w:tcW w:w="1069" w:type="dxa"/>
            <w:tcBorders>
              <w:top w:val="nil"/>
              <w:left w:val="nil"/>
              <w:bottom w:val="nil"/>
              <w:right w:val="nil"/>
            </w:tcBorders>
            <w:shd w:val="clear" w:color="FFFFFF" w:fill="FFFFFF"/>
            <w:noWrap/>
            <w:vAlign w:val="bottom"/>
            <w:hideMark/>
          </w:tcPr>
          <w:p w14:paraId="0E85221E" w14:textId="77777777" w:rsidR="00C32CBD" w:rsidRDefault="00C32CBD" w:rsidP="00320D09">
            <w:pPr>
              <w:jc w:val="right"/>
              <w:rPr>
                <w:rFonts w:cs="Arial"/>
                <w:sz w:val="18"/>
                <w:szCs w:val="18"/>
              </w:rPr>
            </w:pPr>
            <w:r>
              <w:rPr>
                <w:rFonts w:cs="Arial"/>
                <w:sz w:val="18"/>
                <w:szCs w:val="18"/>
              </w:rPr>
              <w:t>205,733</w:t>
            </w:r>
          </w:p>
        </w:tc>
      </w:tr>
      <w:tr w:rsidR="00C32CBD" w14:paraId="2D1FB009" w14:textId="77777777" w:rsidTr="00320D09">
        <w:trPr>
          <w:trHeight w:val="255"/>
        </w:trPr>
        <w:tc>
          <w:tcPr>
            <w:tcW w:w="4280" w:type="dxa"/>
            <w:tcBorders>
              <w:top w:val="nil"/>
              <w:left w:val="nil"/>
              <w:bottom w:val="nil"/>
              <w:right w:val="nil"/>
            </w:tcBorders>
            <w:shd w:val="clear" w:color="FFFFFF" w:fill="FFFFFF"/>
            <w:vAlign w:val="bottom"/>
            <w:hideMark/>
          </w:tcPr>
          <w:p w14:paraId="0C3A129F" w14:textId="77777777" w:rsidR="00C32CBD" w:rsidRDefault="00C32CBD" w:rsidP="00320D09">
            <w:pPr>
              <w:ind w:firstLineChars="100" w:firstLine="180"/>
              <w:rPr>
                <w:rFonts w:cs="Arial"/>
                <w:sz w:val="18"/>
                <w:szCs w:val="18"/>
              </w:rPr>
            </w:pPr>
            <w:r>
              <w:rPr>
                <w:rFonts w:cs="Arial"/>
                <w:sz w:val="18"/>
                <w:szCs w:val="18"/>
              </w:rPr>
              <w:t>Reserves</w:t>
            </w:r>
          </w:p>
        </w:tc>
        <w:tc>
          <w:tcPr>
            <w:tcW w:w="1083" w:type="dxa"/>
            <w:tcBorders>
              <w:top w:val="nil"/>
              <w:left w:val="nil"/>
              <w:bottom w:val="nil"/>
              <w:right w:val="nil"/>
            </w:tcBorders>
            <w:shd w:val="clear" w:color="FFFFFF" w:fill="FFFFFF"/>
            <w:noWrap/>
            <w:vAlign w:val="bottom"/>
            <w:hideMark/>
          </w:tcPr>
          <w:p w14:paraId="2AE90600" w14:textId="77777777" w:rsidR="00C32CBD" w:rsidRDefault="00C32CBD" w:rsidP="00320D09">
            <w:pPr>
              <w:jc w:val="center"/>
              <w:rPr>
                <w:rFonts w:cs="Arial"/>
                <w:sz w:val="18"/>
                <w:szCs w:val="18"/>
              </w:rPr>
            </w:pPr>
            <w:r>
              <w:rPr>
                <w:rFonts w:cs="Arial"/>
                <w:sz w:val="18"/>
                <w:szCs w:val="18"/>
              </w:rPr>
              <w:t> </w:t>
            </w:r>
          </w:p>
        </w:tc>
        <w:tc>
          <w:tcPr>
            <w:tcW w:w="1088" w:type="dxa"/>
            <w:tcBorders>
              <w:top w:val="nil"/>
              <w:left w:val="nil"/>
              <w:bottom w:val="nil"/>
              <w:right w:val="nil"/>
            </w:tcBorders>
            <w:shd w:val="clear" w:color="FFFFFF" w:fill="FFFFFF"/>
            <w:noWrap/>
            <w:vAlign w:val="bottom"/>
            <w:hideMark/>
          </w:tcPr>
          <w:p w14:paraId="4897F63B" w14:textId="77777777" w:rsidR="00C32CBD" w:rsidRDefault="00C32CBD" w:rsidP="00320D09">
            <w:pPr>
              <w:jc w:val="right"/>
              <w:rPr>
                <w:rFonts w:cs="Arial"/>
                <w:b/>
                <w:bCs/>
                <w:sz w:val="18"/>
                <w:szCs w:val="18"/>
              </w:rPr>
            </w:pPr>
            <w:r>
              <w:rPr>
                <w:rFonts w:cs="Arial"/>
                <w:b/>
                <w:bCs/>
                <w:sz w:val="18"/>
                <w:szCs w:val="18"/>
              </w:rPr>
              <w:t>5,556</w:t>
            </w:r>
          </w:p>
        </w:tc>
        <w:tc>
          <w:tcPr>
            <w:tcW w:w="236" w:type="dxa"/>
            <w:tcBorders>
              <w:top w:val="nil"/>
              <w:left w:val="nil"/>
              <w:bottom w:val="nil"/>
              <w:right w:val="nil"/>
            </w:tcBorders>
            <w:shd w:val="clear" w:color="FFFFFF" w:fill="FFFFFF"/>
            <w:noWrap/>
            <w:vAlign w:val="bottom"/>
            <w:hideMark/>
          </w:tcPr>
          <w:p w14:paraId="08CE132C" w14:textId="77777777" w:rsidR="00C32CBD" w:rsidRDefault="00C32CBD" w:rsidP="00320D09">
            <w:pPr>
              <w:rPr>
                <w:rFonts w:cs="Arial"/>
                <w:sz w:val="18"/>
                <w:szCs w:val="18"/>
              </w:rPr>
            </w:pPr>
            <w:r>
              <w:rPr>
                <w:rFonts w:cs="Arial"/>
                <w:sz w:val="18"/>
                <w:szCs w:val="18"/>
              </w:rPr>
              <w:t> </w:t>
            </w:r>
          </w:p>
        </w:tc>
        <w:tc>
          <w:tcPr>
            <w:tcW w:w="1095" w:type="dxa"/>
            <w:tcBorders>
              <w:top w:val="nil"/>
              <w:left w:val="nil"/>
              <w:bottom w:val="nil"/>
              <w:right w:val="nil"/>
            </w:tcBorders>
            <w:shd w:val="clear" w:color="FFFFFF" w:fill="FFFFFF"/>
            <w:noWrap/>
            <w:vAlign w:val="bottom"/>
            <w:hideMark/>
          </w:tcPr>
          <w:p w14:paraId="64C23B60" w14:textId="77777777" w:rsidR="00C32CBD" w:rsidRDefault="00C32CBD" w:rsidP="00320D09">
            <w:pPr>
              <w:jc w:val="right"/>
              <w:rPr>
                <w:rFonts w:cs="Arial"/>
                <w:sz w:val="18"/>
                <w:szCs w:val="18"/>
              </w:rPr>
            </w:pPr>
            <w:r>
              <w:rPr>
                <w:rFonts w:cs="Arial"/>
                <w:sz w:val="18"/>
                <w:szCs w:val="18"/>
              </w:rPr>
              <w:t>1,881</w:t>
            </w:r>
          </w:p>
        </w:tc>
        <w:tc>
          <w:tcPr>
            <w:tcW w:w="236" w:type="dxa"/>
            <w:tcBorders>
              <w:top w:val="nil"/>
              <w:left w:val="nil"/>
              <w:bottom w:val="nil"/>
              <w:right w:val="nil"/>
            </w:tcBorders>
            <w:shd w:val="clear" w:color="FFFFFF" w:fill="FFFFFF"/>
            <w:noWrap/>
            <w:vAlign w:val="bottom"/>
            <w:hideMark/>
          </w:tcPr>
          <w:p w14:paraId="0A6CBB27" w14:textId="77777777" w:rsidR="00C32CBD" w:rsidRDefault="00C32CBD" w:rsidP="00320D09">
            <w:pPr>
              <w:rPr>
                <w:rFonts w:cs="Arial"/>
                <w:sz w:val="18"/>
                <w:szCs w:val="18"/>
              </w:rPr>
            </w:pPr>
            <w:r>
              <w:rPr>
                <w:rFonts w:cs="Arial"/>
                <w:sz w:val="18"/>
                <w:szCs w:val="18"/>
              </w:rPr>
              <w:t> </w:t>
            </w:r>
          </w:p>
        </w:tc>
        <w:tc>
          <w:tcPr>
            <w:tcW w:w="1069" w:type="dxa"/>
            <w:tcBorders>
              <w:top w:val="nil"/>
              <w:left w:val="nil"/>
              <w:bottom w:val="nil"/>
              <w:right w:val="nil"/>
            </w:tcBorders>
            <w:shd w:val="clear" w:color="FFFFFF" w:fill="FFFFFF"/>
            <w:noWrap/>
            <w:vAlign w:val="bottom"/>
            <w:hideMark/>
          </w:tcPr>
          <w:p w14:paraId="08548284" w14:textId="77777777" w:rsidR="00C32CBD" w:rsidRDefault="00C32CBD" w:rsidP="00320D09">
            <w:pPr>
              <w:jc w:val="right"/>
              <w:rPr>
                <w:rFonts w:cs="Arial"/>
                <w:sz w:val="18"/>
                <w:szCs w:val="18"/>
              </w:rPr>
            </w:pPr>
            <w:r>
              <w:rPr>
                <w:rFonts w:cs="Arial"/>
                <w:sz w:val="18"/>
                <w:szCs w:val="18"/>
              </w:rPr>
              <w:t xml:space="preserve"> -</w:t>
            </w:r>
          </w:p>
        </w:tc>
      </w:tr>
      <w:tr w:rsidR="00C32CBD" w14:paraId="1B2E0D2A" w14:textId="77777777" w:rsidTr="00320D09">
        <w:trPr>
          <w:trHeight w:val="255"/>
        </w:trPr>
        <w:tc>
          <w:tcPr>
            <w:tcW w:w="4280" w:type="dxa"/>
            <w:tcBorders>
              <w:top w:val="nil"/>
              <w:left w:val="nil"/>
              <w:bottom w:val="nil"/>
              <w:right w:val="nil"/>
            </w:tcBorders>
            <w:shd w:val="clear" w:color="FFFFFF" w:fill="FFFFFF"/>
            <w:vAlign w:val="bottom"/>
            <w:hideMark/>
          </w:tcPr>
          <w:p w14:paraId="33B117F2" w14:textId="77777777" w:rsidR="00C32CBD" w:rsidRDefault="00C32CBD" w:rsidP="00320D09">
            <w:pPr>
              <w:ind w:firstLineChars="100" w:firstLine="180"/>
              <w:rPr>
                <w:rFonts w:cs="Arial"/>
                <w:sz w:val="18"/>
                <w:szCs w:val="18"/>
              </w:rPr>
            </w:pPr>
            <w:r>
              <w:rPr>
                <w:rFonts w:cs="Arial"/>
                <w:sz w:val="18"/>
                <w:szCs w:val="18"/>
              </w:rPr>
              <w:t>Retained surplus</w:t>
            </w:r>
          </w:p>
        </w:tc>
        <w:tc>
          <w:tcPr>
            <w:tcW w:w="1083" w:type="dxa"/>
            <w:tcBorders>
              <w:top w:val="nil"/>
              <w:left w:val="nil"/>
              <w:bottom w:val="nil"/>
              <w:right w:val="nil"/>
            </w:tcBorders>
            <w:shd w:val="clear" w:color="FFFFFF" w:fill="FFFFFF"/>
            <w:noWrap/>
            <w:vAlign w:val="bottom"/>
            <w:hideMark/>
          </w:tcPr>
          <w:p w14:paraId="2BF06E1D" w14:textId="77777777" w:rsidR="00C32CBD" w:rsidRDefault="00C32CBD" w:rsidP="00320D09">
            <w:pPr>
              <w:jc w:val="center"/>
              <w:rPr>
                <w:rFonts w:cs="Arial"/>
                <w:sz w:val="18"/>
                <w:szCs w:val="18"/>
              </w:rPr>
            </w:pPr>
            <w:r>
              <w:rPr>
                <w:rFonts w:cs="Arial"/>
                <w:sz w:val="18"/>
                <w:szCs w:val="18"/>
              </w:rPr>
              <w:t> </w:t>
            </w:r>
          </w:p>
        </w:tc>
        <w:tc>
          <w:tcPr>
            <w:tcW w:w="1088" w:type="dxa"/>
            <w:tcBorders>
              <w:top w:val="nil"/>
              <w:left w:val="nil"/>
              <w:bottom w:val="nil"/>
              <w:right w:val="nil"/>
            </w:tcBorders>
            <w:shd w:val="clear" w:color="FFFFFF" w:fill="FFFFFF"/>
            <w:noWrap/>
            <w:vAlign w:val="bottom"/>
            <w:hideMark/>
          </w:tcPr>
          <w:p w14:paraId="41BD2826" w14:textId="77777777" w:rsidR="00C32CBD" w:rsidRDefault="00C32CBD" w:rsidP="00320D09">
            <w:pPr>
              <w:jc w:val="right"/>
              <w:rPr>
                <w:rFonts w:cs="Arial"/>
                <w:b/>
                <w:bCs/>
                <w:sz w:val="18"/>
                <w:szCs w:val="18"/>
              </w:rPr>
            </w:pPr>
            <w:r>
              <w:rPr>
                <w:rFonts w:cs="Arial"/>
                <w:b/>
                <w:bCs/>
                <w:sz w:val="18"/>
                <w:szCs w:val="18"/>
              </w:rPr>
              <w:t>651,237</w:t>
            </w:r>
          </w:p>
        </w:tc>
        <w:tc>
          <w:tcPr>
            <w:tcW w:w="236" w:type="dxa"/>
            <w:tcBorders>
              <w:top w:val="nil"/>
              <w:left w:val="nil"/>
              <w:bottom w:val="nil"/>
              <w:right w:val="nil"/>
            </w:tcBorders>
            <w:shd w:val="clear" w:color="FFFFFF" w:fill="FFFFFF"/>
            <w:noWrap/>
            <w:vAlign w:val="bottom"/>
            <w:hideMark/>
          </w:tcPr>
          <w:p w14:paraId="10BA1CF0" w14:textId="77777777" w:rsidR="00C32CBD" w:rsidRDefault="00C32CBD" w:rsidP="00320D09">
            <w:pPr>
              <w:rPr>
                <w:rFonts w:cs="Arial"/>
                <w:sz w:val="18"/>
                <w:szCs w:val="18"/>
              </w:rPr>
            </w:pPr>
            <w:r>
              <w:rPr>
                <w:rFonts w:cs="Arial"/>
                <w:sz w:val="18"/>
                <w:szCs w:val="18"/>
              </w:rPr>
              <w:t> </w:t>
            </w:r>
          </w:p>
        </w:tc>
        <w:tc>
          <w:tcPr>
            <w:tcW w:w="1095" w:type="dxa"/>
            <w:tcBorders>
              <w:top w:val="nil"/>
              <w:left w:val="nil"/>
              <w:bottom w:val="nil"/>
              <w:right w:val="nil"/>
            </w:tcBorders>
            <w:shd w:val="clear" w:color="FFFFFF" w:fill="FFFFFF"/>
            <w:noWrap/>
            <w:vAlign w:val="bottom"/>
            <w:hideMark/>
          </w:tcPr>
          <w:p w14:paraId="4EF4E294" w14:textId="77777777" w:rsidR="00C32CBD" w:rsidRDefault="00C32CBD" w:rsidP="00320D09">
            <w:pPr>
              <w:jc w:val="right"/>
              <w:rPr>
                <w:rFonts w:cs="Arial"/>
                <w:sz w:val="18"/>
                <w:szCs w:val="18"/>
              </w:rPr>
            </w:pPr>
            <w:r>
              <w:rPr>
                <w:rFonts w:cs="Arial"/>
                <w:sz w:val="18"/>
                <w:szCs w:val="18"/>
              </w:rPr>
              <w:t>34,169</w:t>
            </w:r>
          </w:p>
        </w:tc>
        <w:tc>
          <w:tcPr>
            <w:tcW w:w="236" w:type="dxa"/>
            <w:tcBorders>
              <w:top w:val="nil"/>
              <w:left w:val="nil"/>
              <w:bottom w:val="nil"/>
              <w:right w:val="nil"/>
            </w:tcBorders>
            <w:shd w:val="clear" w:color="FFFFFF" w:fill="FFFFFF"/>
            <w:noWrap/>
            <w:vAlign w:val="bottom"/>
            <w:hideMark/>
          </w:tcPr>
          <w:p w14:paraId="23A514DE" w14:textId="77777777" w:rsidR="00C32CBD" w:rsidRDefault="00C32CBD" w:rsidP="00320D09">
            <w:pPr>
              <w:rPr>
                <w:rFonts w:cs="Arial"/>
                <w:sz w:val="18"/>
                <w:szCs w:val="18"/>
              </w:rPr>
            </w:pPr>
            <w:r>
              <w:rPr>
                <w:rFonts w:cs="Arial"/>
                <w:sz w:val="18"/>
                <w:szCs w:val="18"/>
              </w:rPr>
              <w:t> </w:t>
            </w:r>
          </w:p>
        </w:tc>
        <w:tc>
          <w:tcPr>
            <w:tcW w:w="1069" w:type="dxa"/>
            <w:tcBorders>
              <w:top w:val="nil"/>
              <w:left w:val="nil"/>
              <w:bottom w:val="nil"/>
              <w:right w:val="nil"/>
            </w:tcBorders>
            <w:shd w:val="clear" w:color="FFFFFF" w:fill="FFFFFF"/>
            <w:noWrap/>
            <w:vAlign w:val="bottom"/>
            <w:hideMark/>
          </w:tcPr>
          <w:p w14:paraId="0F1E5EF8" w14:textId="77777777" w:rsidR="00C32CBD" w:rsidRDefault="00C32CBD" w:rsidP="00320D09">
            <w:pPr>
              <w:jc w:val="right"/>
              <w:rPr>
                <w:rFonts w:cs="Arial"/>
                <w:sz w:val="18"/>
                <w:szCs w:val="18"/>
              </w:rPr>
            </w:pPr>
            <w:r>
              <w:rPr>
                <w:rFonts w:cs="Arial"/>
                <w:sz w:val="18"/>
                <w:szCs w:val="18"/>
              </w:rPr>
              <w:t>19,254</w:t>
            </w:r>
          </w:p>
        </w:tc>
      </w:tr>
      <w:tr w:rsidR="00C32CBD" w14:paraId="7333195D" w14:textId="77777777" w:rsidTr="00320D09">
        <w:trPr>
          <w:trHeight w:val="255"/>
        </w:trPr>
        <w:tc>
          <w:tcPr>
            <w:tcW w:w="4280" w:type="dxa"/>
            <w:tcBorders>
              <w:top w:val="nil"/>
              <w:left w:val="nil"/>
              <w:bottom w:val="nil"/>
              <w:right w:val="nil"/>
            </w:tcBorders>
            <w:shd w:val="clear" w:color="FFFFFF" w:fill="FFFFFF"/>
            <w:vAlign w:val="bottom"/>
            <w:hideMark/>
          </w:tcPr>
          <w:p w14:paraId="50BBB928" w14:textId="77777777" w:rsidR="00C32CBD" w:rsidRDefault="00C32CBD" w:rsidP="00320D09">
            <w:pPr>
              <w:rPr>
                <w:rFonts w:cs="Arial"/>
                <w:b/>
                <w:bCs/>
                <w:sz w:val="18"/>
                <w:szCs w:val="18"/>
              </w:rPr>
            </w:pPr>
            <w:r>
              <w:rPr>
                <w:rFonts w:cs="Arial"/>
                <w:b/>
                <w:bCs/>
                <w:sz w:val="18"/>
                <w:szCs w:val="18"/>
              </w:rPr>
              <w:t>Total equity</w:t>
            </w:r>
          </w:p>
        </w:tc>
        <w:tc>
          <w:tcPr>
            <w:tcW w:w="1083" w:type="dxa"/>
            <w:tcBorders>
              <w:top w:val="nil"/>
              <w:left w:val="nil"/>
              <w:bottom w:val="nil"/>
              <w:right w:val="nil"/>
            </w:tcBorders>
            <w:shd w:val="clear" w:color="FFFFFF" w:fill="FFFFFF"/>
            <w:noWrap/>
            <w:vAlign w:val="bottom"/>
            <w:hideMark/>
          </w:tcPr>
          <w:p w14:paraId="4CBB1683" w14:textId="77777777" w:rsidR="00C32CBD" w:rsidRDefault="00C32CBD" w:rsidP="00320D09">
            <w:pPr>
              <w:jc w:val="center"/>
              <w:rPr>
                <w:rFonts w:cs="Arial"/>
                <w:sz w:val="18"/>
                <w:szCs w:val="18"/>
              </w:rPr>
            </w:pPr>
            <w:r>
              <w:rPr>
                <w:rFonts w:cs="Arial"/>
                <w:sz w:val="18"/>
                <w:szCs w:val="18"/>
              </w:rPr>
              <w:t> </w:t>
            </w:r>
          </w:p>
        </w:tc>
        <w:tc>
          <w:tcPr>
            <w:tcW w:w="1088" w:type="dxa"/>
            <w:tcBorders>
              <w:top w:val="single" w:sz="4" w:space="0" w:color="auto"/>
              <w:left w:val="nil"/>
              <w:bottom w:val="single" w:sz="4" w:space="0" w:color="auto"/>
              <w:right w:val="nil"/>
            </w:tcBorders>
            <w:shd w:val="clear" w:color="FFFFFF" w:fill="FFFFFF"/>
            <w:noWrap/>
            <w:vAlign w:val="bottom"/>
            <w:hideMark/>
          </w:tcPr>
          <w:p w14:paraId="405B7768" w14:textId="77777777" w:rsidR="00C32CBD" w:rsidRDefault="00C32CBD" w:rsidP="00320D09">
            <w:pPr>
              <w:jc w:val="right"/>
              <w:rPr>
                <w:rFonts w:cs="Arial"/>
                <w:b/>
                <w:bCs/>
                <w:sz w:val="18"/>
                <w:szCs w:val="18"/>
              </w:rPr>
            </w:pPr>
            <w:r>
              <w:rPr>
                <w:rFonts w:cs="Arial"/>
                <w:b/>
                <w:bCs/>
                <w:sz w:val="18"/>
                <w:szCs w:val="18"/>
              </w:rPr>
              <w:t>862,526</w:t>
            </w:r>
          </w:p>
        </w:tc>
        <w:tc>
          <w:tcPr>
            <w:tcW w:w="236" w:type="dxa"/>
            <w:tcBorders>
              <w:top w:val="nil"/>
              <w:left w:val="nil"/>
              <w:bottom w:val="nil"/>
              <w:right w:val="nil"/>
            </w:tcBorders>
            <w:shd w:val="clear" w:color="FFFFFF" w:fill="FFFFFF"/>
            <w:noWrap/>
            <w:vAlign w:val="bottom"/>
            <w:hideMark/>
          </w:tcPr>
          <w:p w14:paraId="1000A621" w14:textId="77777777" w:rsidR="00C32CBD" w:rsidRDefault="00C32CBD" w:rsidP="00320D09">
            <w:pPr>
              <w:rPr>
                <w:rFonts w:cs="Arial"/>
                <w:sz w:val="18"/>
                <w:szCs w:val="18"/>
              </w:rPr>
            </w:pPr>
            <w:r>
              <w:rPr>
                <w:rFonts w:cs="Arial"/>
                <w:sz w:val="18"/>
                <w:szCs w:val="18"/>
              </w:rPr>
              <w:t> </w:t>
            </w:r>
          </w:p>
        </w:tc>
        <w:tc>
          <w:tcPr>
            <w:tcW w:w="1095" w:type="dxa"/>
            <w:tcBorders>
              <w:top w:val="single" w:sz="4" w:space="0" w:color="auto"/>
              <w:left w:val="nil"/>
              <w:bottom w:val="single" w:sz="4" w:space="0" w:color="auto"/>
              <w:right w:val="nil"/>
            </w:tcBorders>
            <w:shd w:val="clear" w:color="FFFFFF" w:fill="FFFFFF"/>
            <w:noWrap/>
            <w:vAlign w:val="bottom"/>
            <w:hideMark/>
          </w:tcPr>
          <w:p w14:paraId="03F1EF32" w14:textId="77777777" w:rsidR="00C32CBD" w:rsidRDefault="00C32CBD" w:rsidP="00320D09">
            <w:pPr>
              <w:jc w:val="right"/>
              <w:rPr>
                <w:rFonts w:cs="Arial"/>
                <w:sz w:val="18"/>
                <w:szCs w:val="18"/>
              </w:rPr>
            </w:pPr>
            <w:r>
              <w:rPr>
                <w:rFonts w:cs="Arial"/>
                <w:sz w:val="18"/>
                <w:szCs w:val="18"/>
              </w:rPr>
              <w:t>125,586</w:t>
            </w:r>
          </w:p>
        </w:tc>
        <w:tc>
          <w:tcPr>
            <w:tcW w:w="236" w:type="dxa"/>
            <w:tcBorders>
              <w:top w:val="nil"/>
              <w:left w:val="nil"/>
              <w:bottom w:val="nil"/>
              <w:right w:val="nil"/>
            </w:tcBorders>
            <w:shd w:val="clear" w:color="FFFFFF" w:fill="FFFFFF"/>
            <w:noWrap/>
            <w:vAlign w:val="bottom"/>
            <w:hideMark/>
          </w:tcPr>
          <w:p w14:paraId="73721545" w14:textId="77777777" w:rsidR="00C32CBD" w:rsidRDefault="00C32CBD" w:rsidP="00320D09">
            <w:pPr>
              <w:rPr>
                <w:rFonts w:cs="Arial"/>
                <w:sz w:val="18"/>
                <w:szCs w:val="18"/>
              </w:rPr>
            </w:pPr>
            <w:r>
              <w:rPr>
                <w:rFonts w:cs="Arial"/>
                <w:sz w:val="18"/>
                <w:szCs w:val="18"/>
              </w:rPr>
              <w:t> </w:t>
            </w:r>
          </w:p>
        </w:tc>
        <w:tc>
          <w:tcPr>
            <w:tcW w:w="1069" w:type="dxa"/>
            <w:tcBorders>
              <w:top w:val="single" w:sz="4" w:space="0" w:color="auto"/>
              <w:left w:val="nil"/>
              <w:bottom w:val="single" w:sz="4" w:space="0" w:color="auto"/>
              <w:right w:val="nil"/>
            </w:tcBorders>
            <w:shd w:val="clear" w:color="FFFFFF" w:fill="FFFFFF"/>
            <w:noWrap/>
            <w:vAlign w:val="bottom"/>
            <w:hideMark/>
          </w:tcPr>
          <w:p w14:paraId="7AA6FC89" w14:textId="77777777" w:rsidR="00C32CBD" w:rsidRDefault="00C32CBD" w:rsidP="00320D09">
            <w:pPr>
              <w:jc w:val="right"/>
              <w:rPr>
                <w:rFonts w:cs="Arial"/>
                <w:sz w:val="18"/>
                <w:szCs w:val="18"/>
              </w:rPr>
            </w:pPr>
            <w:r>
              <w:rPr>
                <w:rFonts w:cs="Arial"/>
                <w:sz w:val="18"/>
                <w:szCs w:val="18"/>
              </w:rPr>
              <w:t>224,987</w:t>
            </w:r>
          </w:p>
        </w:tc>
      </w:tr>
    </w:tbl>
    <w:p w14:paraId="0A60FFE5" w14:textId="77777777" w:rsidR="00C32CBD" w:rsidRPr="005E5430" w:rsidRDefault="00C32CBD" w:rsidP="00C32CBD"/>
    <w:p w14:paraId="4645B873" w14:textId="77777777" w:rsidR="00C32CBD" w:rsidRDefault="00C32CBD" w:rsidP="00C32CBD">
      <w:pPr>
        <w:pStyle w:val="ReferenceText"/>
      </w:pPr>
      <w:r w:rsidRPr="005E5430">
        <w:t>The above statement should be read in conjunction with the accompanying notes.</w:t>
      </w:r>
    </w:p>
    <w:p w14:paraId="7BC1FFD2" w14:textId="77777777" w:rsidR="00C32CBD" w:rsidRDefault="00C32CBD" w:rsidP="00C32CBD">
      <w:pPr>
        <w:spacing w:line="240" w:lineRule="auto"/>
        <w:rPr>
          <w:sz w:val="18"/>
          <w:lang w:eastAsia="en-AU"/>
        </w:rPr>
      </w:pPr>
      <w:r>
        <w:br w:type="page"/>
      </w:r>
    </w:p>
    <w:p w14:paraId="5C8018A5" w14:textId="77777777" w:rsidR="00C32CBD" w:rsidRDefault="00C32CBD" w:rsidP="00C32CBD">
      <w:pPr>
        <w:pStyle w:val="PolicyheadingDept"/>
        <w:pBdr>
          <w:top w:val="none" w:sz="0" w:space="0" w:color="auto"/>
          <w:left w:val="none" w:sz="0" w:space="0" w:color="auto"/>
          <w:bottom w:val="none" w:sz="0" w:space="0" w:color="auto"/>
          <w:right w:val="none" w:sz="0" w:space="0" w:color="auto"/>
        </w:pBdr>
      </w:pPr>
      <w:r w:rsidRPr="00D54E7F">
        <w:lastRenderedPageBreak/>
        <w:t>Budget Variances Commentary</w:t>
      </w:r>
    </w:p>
    <w:p w14:paraId="393E476F" w14:textId="77777777" w:rsidR="00C32CBD" w:rsidRPr="00BA6414" w:rsidRDefault="00C32CBD" w:rsidP="00C32CBD">
      <w:pPr>
        <w:pStyle w:val="PolicyheadingDept"/>
        <w:pBdr>
          <w:top w:val="none" w:sz="0" w:space="0" w:color="auto"/>
          <w:left w:val="none" w:sz="0" w:space="0" w:color="auto"/>
          <w:bottom w:val="none" w:sz="0" w:space="0" w:color="auto"/>
          <w:right w:val="none" w:sz="0" w:space="0" w:color="auto"/>
        </w:pBdr>
      </w:pPr>
      <w:r>
        <w:t>Statement of Financial Position</w:t>
      </w:r>
    </w:p>
    <w:tbl>
      <w:tblPr>
        <w:tblW w:w="935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6662"/>
      </w:tblGrid>
      <w:tr w:rsidR="00C32CBD" w14:paraId="3626CABF" w14:textId="77777777" w:rsidTr="00320D09">
        <w:trPr>
          <w:cantSplit/>
          <w:trHeight w:val="255"/>
          <w:tblHeader/>
        </w:trPr>
        <w:tc>
          <w:tcPr>
            <w:tcW w:w="2694" w:type="dxa"/>
            <w:tcBorders>
              <w:top w:val="single" w:sz="12" w:space="0" w:color="auto"/>
              <w:left w:val="single" w:sz="12" w:space="0" w:color="auto"/>
              <w:bottom w:val="single" w:sz="12" w:space="0" w:color="auto"/>
              <w:right w:val="single" w:sz="6" w:space="0" w:color="auto"/>
            </w:tcBorders>
            <w:shd w:val="clear" w:color="FFFFFF" w:fill="FFFFFF"/>
            <w:noWrap/>
            <w:vAlign w:val="center"/>
          </w:tcPr>
          <w:p w14:paraId="254750D5" w14:textId="77777777" w:rsidR="00C32CBD" w:rsidRPr="002E4757" w:rsidRDefault="00C32CBD" w:rsidP="00320D09">
            <w:pPr>
              <w:rPr>
                <w:rFonts w:cs="Arial"/>
                <w:b/>
                <w:sz w:val="18"/>
                <w:szCs w:val="18"/>
              </w:rPr>
            </w:pPr>
            <w:r>
              <w:rPr>
                <w:rFonts w:cs="Arial"/>
                <w:b/>
                <w:sz w:val="18"/>
                <w:szCs w:val="18"/>
              </w:rPr>
              <w:t>Affected line items</w:t>
            </w:r>
          </w:p>
        </w:tc>
        <w:tc>
          <w:tcPr>
            <w:tcW w:w="6662" w:type="dxa"/>
            <w:tcBorders>
              <w:top w:val="single" w:sz="12" w:space="0" w:color="auto"/>
              <w:left w:val="single" w:sz="6" w:space="0" w:color="auto"/>
              <w:bottom w:val="single" w:sz="12" w:space="0" w:color="auto"/>
              <w:right w:val="single" w:sz="12" w:space="0" w:color="auto"/>
            </w:tcBorders>
            <w:shd w:val="clear" w:color="FFFFFF" w:fill="FFFFFF"/>
            <w:vAlign w:val="center"/>
          </w:tcPr>
          <w:p w14:paraId="3BF4B73F" w14:textId="77777777" w:rsidR="00C32CBD" w:rsidRPr="002E4757" w:rsidRDefault="00C32CBD" w:rsidP="00320D09">
            <w:pPr>
              <w:rPr>
                <w:rFonts w:cs="Arial"/>
                <w:b/>
                <w:sz w:val="18"/>
                <w:szCs w:val="18"/>
              </w:rPr>
            </w:pPr>
            <w:r>
              <w:rPr>
                <w:rFonts w:cs="Arial"/>
                <w:b/>
                <w:sz w:val="18"/>
                <w:szCs w:val="18"/>
              </w:rPr>
              <w:t>Explanations of major variances</w:t>
            </w:r>
          </w:p>
        </w:tc>
      </w:tr>
      <w:tr w:rsidR="00C32CBD" w14:paraId="3CAF65D2" w14:textId="77777777" w:rsidTr="00320D09">
        <w:trPr>
          <w:cantSplit/>
          <w:trHeight w:val="255"/>
        </w:trPr>
        <w:tc>
          <w:tcPr>
            <w:tcW w:w="2694" w:type="dxa"/>
            <w:tcBorders>
              <w:top w:val="single" w:sz="6" w:space="0" w:color="auto"/>
              <w:left w:val="single" w:sz="12" w:space="0" w:color="auto"/>
              <w:bottom w:val="single" w:sz="6" w:space="0" w:color="auto"/>
            </w:tcBorders>
            <w:shd w:val="clear" w:color="FFFFFF" w:fill="FFFFFF"/>
            <w:noWrap/>
          </w:tcPr>
          <w:p w14:paraId="093CD995" w14:textId="77777777" w:rsidR="00C32CBD" w:rsidRPr="00926B5F" w:rsidRDefault="00C32CBD" w:rsidP="00320D09">
            <w:pPr>
              <w:rPr>
                <w:rFonts w:cs="Arial"/>
                <w:bCs/>
                <w:i/>
                <w:sz w:val="18"/>
                <w:szCs w:val="18"/>
              </w:rPr>
            </w:pPr>
            <w:r w:rsidRPr="00926B5F">
              <w:rPr>
                <w:rFonts w:cs="Arial"/>
                <w:bCs/>
                <w:i/>
                <w:sz w:val="18"/>
                <w:szCs w:val="18"/>
              </w:rPr>
              <w:t>Cash and cash equivalents</w:t>
            </w:r>
          </w:p>
        </w:tc>
        <w:tc>
          <w:tcPr>
            <w:tcW w:w="6662" w:type="dxa"/>
            <w:tcBorders>
              <w:top w:val="single" w:sz="6" w:space="0" w:color="auto"/>
              <w:bottom w:val="single" w:sz="6" w:space="0" w:color="auto"/>
              <w:right w:val="single" w:sz="12" w:space="0" w:color="auto"/>
            </w:tcBorders>
            <w:shd w:val="clear" w:color="FFFFFF" w:fill="FFFFFF"/>
            <w:noWrap/>
          </w:tcPr>
          <w:p w14:paraId="7E73D495" w14:textId="77777777" w:rsidR="00C32CBD" w:rsidRDefault="00C32CBD" w:rsidP="00320D09">
            <w:pPr>
              <w:rPr>
                <w:rFonts w:cs="Arial"/>
                <w:sz w:val="18"/>
                <w:szCs w:val="18"/>
              </w:rPr>
            </w:pPr>
            <w:r w:rsidRPr="000E7CA6">
              <w:rPr>
                <w:rFonts w:cs="Arial"/>
                <w:sz w:val="18"/>
                <w:szCs w:val="18"/>
              </w:rPr>
              <w:t xml:space="preserve">Cash and cash equivalents are higher than budget.  The Agency has increased cash holdings due to lower than forecast participants entering the </w:t>
            </w:r>
            <w:r>
              <w:rPr>
                <w:rFonts w:cs="Arial"/>
                <w:sz w:val="18"/>
                <w:szCs w:val="18"/>
              </w:rPr>
              <w:t>S</w:t>
            </w:r>
            <w:r w:rsidRPr="000E7CA6">
              <w:rPr>
                <w:rFonts w:cs="Arial"/>
                <w:sz w:val="18"/>
                <w:szCs w:val="18"/>
              </w:rPr>
              <w:t>cheme as well as the underutilisation of committed supports.  In addition, the Agency's capital budget was markedly underutilised.</w:t>
            </w:r>
            <w:r>
              <w:rPr>
                <w:rFonts w:cs="Arial"/>
                <w:sz w:val="18"/>
                <w:szCs w:val="18"/>
              </w:rPr>
              <w:t xml:space="preserve">  </w:t>
            </w:r>
            <w:r w:rsidRPr="00C72D03">
              <w:rPr>
                <w:rFonts w:cs="Arial"/>
                <w:sz w:val="18"/>
                <w:szCs w:val="18"/>
              </w:rPr>
              <w:t>Major variances for cash and cash equivalents are detailed in the Budget Variances Commentary for the Cash Flow Statement.</w:t>
            </w:r>
          </w:p>
        </w:tc>
      </w:tr>
      <w:tr w:rsidR="00C32CBD" w14:paraId="0C9A2BA7" w14:textId="77777777" w:rsidTr="00320D09">
        <w:trPr>
          <w:cantSplit/>
          <w:trHeight w:val="255"/>
        </w:trPr>
        <w:tc>
          <w:tcPr>
            <w:tcW w:w="2694" w:type="dxa"/>
            <w:tcBorders>
              <w:top w:val="single" w:sz="6" w:space="0" w:color="auto"/>
              <w:left w:val="single" w:sz="12" w:space="0" w:color="auto"/>
              <w:bottom w:val="single" w:sz="6" w:space="0" w:color="auto"/>
            </w:tcBorders>
            <w:shd w:val="clear" w:color="FFFFFF" w:fill="FFFFFF"/>
            <w:noWrap/>
          </w:tcPr>
          <w:p w14:paraId="2FE1EF59" w14:textId="77777777" w:rsidR="00C32CBD" w:rsidRPr="008E7291" w:rsidRDefault="00C32CBD" w:rsidP="00320D09">
            <w:pPr>
              <w:rPr>
                <w:rFonts w:cs="Arial"/>
                <w:bCs/>
                <w:i/>
                <w:sz w:val="18"/>
                <w:szCs w:val="18"/>
              </w:rPr>
            </w:pPr>
            <w:r>
              <w:rPr>
                <w:rFonts w:cs="Arial"/>
                <w:bCs/>
                <w:i/>
                <w:sz w:val="18"/>
                <w:szCs w:val="18"/>
              </w:rPr>
              <w:t>Trade and other receivables</w:t>
            </w:r>
          </w:p>
        </w:tc>
        <w:tc>
          <w:tcPr>
            <w:tcW w:w="6662" w:type="dxa"/>
            <w:tcBorders>
              <w:top w:val="single" w:sz="6" w:space="0" w:color="auto"/>
              <w:bottom w:val="single" w:sz="6" w:space="0" w:color="auto"/>
              <w:right w:val="single" w:sz="12" w:space="0" w:color="auto"/>
            </w:tcBorders>
            <w:shd w:val="clear" w:color="FFFFFF" w:fill="FFFFFF"/>
            <w:noWrap/>
          </w:tcPr>
          <w:p w14:paraId="09A7FCCE" w14:textId="77777777" w:rsidR="00C32CBD" w:rsidRDefault="00C32CBD" w:rsidP="00320D09">
            <w:pPr>
              <w:rPr>
                <w:rFonts w:cs="Arial"/>
                <w:sz w:val="18"/>
                <w:szCs w:val="18"/>
              </w:rPr>
            </w:pPr>
            <w:r w:rsidRPr="00663C49">
              <w:rPr>
                <w:rFonts w:cs="Arial"/>
                <w:sz w:val="18"/>
                <w:szCs w:val="18"/>
              </w:rPr>
              <w:t>The budget d</w:t>
            </w:r>
            <w:r>
              <w:rPr>
                <w:rFonts w:cs="Arial"/>
                <w:sz w:val="18"/>
                <w:szCs w:val="18"/>
              </w:rPr>
              <w:t>id</w:t>
            </w:r>
            <w:r w:rsidRPr="00663C49">
              <w:rPr>
                <w:rFonts w:cs="Arial"/>
                <w:sz w:val="18"/>
                <w:szCs w:val="18"/>
              </w:rPr>
              <w:t xml:space="preserve"> not anticipate </w:t>
            </w:r>
            <w:r>
              <w:rPr>
                <w:rFonts w:cs="Arial"/>
                <w:sz w:val="18"/>
                <w:szCs w:val="18"/>
              </w:rPr>
              <w:t xml:space="preserve">significant </w:t>
            </w:r>
            <w:r w:rsidRPr="00663C49">
              <w:rPr>
                <w:rFonts w:cs="Arial"/>
                <w:sz w:val="18"/>
                <w:szCs w:val="18"/>
              </w:rPr>
              <w:t xml:space="preserve">timing differences in </w:t>
            </w:r>
            <w:r>
              <w:rPr>
                <w:rFonts w:cs="Arial"/>
                <w:sz w:val="18"/>
                <w:szCs w:val="18"/>
              </w:rPr>
              <w:t xml:space="preserve">the collection of </w:t>
            </w:r>
            <w:r w:rsidRPr="00663C49">
              <w:rPr>
                <w:rFonts w:cs="Arial"/>
                <w:sz w:val="18"/>
                <w:szCs w:val="18"/>
              </w:rPr>
              <w:t xml:space="preserve">cash from accounts receivable. </w:t>
            </w:r>
            <w:r>
              <w:rPr>
                <w:rFonts w:cs="Arial"/>
                <w:sz w:val="18"/>
                <w:szCs w:val="18"/>
              </w:rPr>
              <w:t xml:space="preserve"> </w:t>
            </w:r>
            <w:r w:rsidRPr="00C72D03">
              <w:rPr>
                <w:rFonts w:cs="Arial"/>
                <w:sz w:val="18"/>
                <w:szCs w:val="18"/>
              </w:rPr>
              <w:t>As at 30 J</w:t>
            </w:r>
            <w:r>
              <w:rPr>
                <w:rFonts w:cs="Arial"/>
                <w:sz w:val="18"/>
                <w:szCs w:val="18"/>
              </w:rPr>
              <w:t>une 2017, the Agency had $167.2 m</w:t>
            </w:r>
            <w:r w:rsidRPr="00C72D03">
              <w:rPr>
                <w:rFonts w:cs="Arial"/>
                <w:sz w:val="18"/>
                <w:szCs w:val="18"/>
              </w:rPr>
              <w:t xml:space="preserve">illion in state and territory </w:t>
            </w:r>
            <w:r>
              <w:rPr>
                <w:rFonts w:cs="Arial"/>
                <w:sz w:val="18"/>
                <w:szCs w:val="18"/>
              </w:rPr>
              <w:t>S</w:t>
            </w:r>
            <w:r w:rsidRPr="00C72D03">
              <w:rPr>
                <w:rFonts w:cs="Arial"/>
                <w:sz w:val="18"/>
                <w:szCs w:val="18"/>
              </w:rPr>
              <w:t>cheme cash contributions outstanding.  These amounts are recoverable and in line with the principles as outlined in Commonwealth, state and territory government funding arrangements.</w:t>
            </w:r>
          </w:p>
        </w:tc>
      </w:tr>
      <w:tr w:rsidR="00C32CBD" w14:paraId="03DE1742" w14:textId="77777777" w:rsidTr="00320D09">
        <w:trPr>
          <w:cantSplit/>
          <w:trHeight w:val="255"/>
        </w:trPr>
        <w:tc>
          <w:tcPr>
            <w:tcW w:w="2694" w:type="dxa"/>
            <w:tcBorders>
              <w:top w:val="single" w:sz="6" w:space="0" w:color="auto"/>
              <w:left w:val="single" w:sz="12" w:space="0" w:color="auto"/>
              <w:bottom w:val="single" w:sz="6" w:space="0" w:color="auto"/>
            </w:tcBorders>
            <w:shd w:val="clear" w:color="FFFFFF" w:fill="FFFFFF"/>
            <w:noWrap/>
          </w:tcPr>
          <w:p w14:paraId="11895DB8" w14:textId="77777777" w:rsidR="00C32CBD" w:rsidRPr="00DD6C40" w:rsidRDefault="00C32CBD" w:rsidP="00320D09">
            <w:pPr>
              <w:rPr>
                <w:rFonts w:cs="Arial"/>
                <w:bCs/>
                <w:i/>
                <w:sz w:val="18"/>
                <w:szCs w:val="18"/>
              </w:rPr>
            </w:pPr>
            <w:r>
              <w:rPr>
                <w:rFonts w:cs="Arial"/>
                <w:bCs/>
                <w:i/>
                <w:sz w:val="18"/>
                <w:szCs w:val="18"/>
              </w:rPr>
              <w:t>Buildings, property, plant and equipment, other payables and other provisions</w:t>
            </w:r>
          </w:p>
        </w:tc>
        <w:tc>
          <w:tcPr>
            <w:tcW w:w="6662" w:type="dxa"/>
            <w:tcBorders>
              <w:top w:val="single" w:sz="6" w:space="0" w:color="auto"/>
              <w:bottom w:val="single" w:sz="6" w:space="0" w:color="auto"/>
              <w:right w:val="single" w:sz="12" w:space="0" w:color="auto"/>
            </w:tcBorders>
            <w:shd w:val="clear" w:color="FFFFFF" w:fill="FFFFFF"/>
            <w:noWrap/>
          </w:tcPr>
          <w:p w14:paraId="5DDD0A39" w14:textId="77777777" w:rsidR="00C32CBD" w:rsidRPr="00DD6C40" w:rsidRDefault="00C32CBD" w:rsidP="00320D09">
            <w:pPr>
              <w:rPr>
                <w:rFonts w:cs="Arial"/>
                <w:sz w:val="18"/>
                <w:szCs w:val="18"/>
              </w:rPr>
            </w:pPr>
            <w:r w:rsidRPr="0058241E">
              <w:rPr>
                <w:rFonts w:cs="Arial"/>
                <w:sz w:val="18"/>
                <w:szCs w:val="18"/>
              </w:rPr>
              <w:t xml:space="preserve">The Agency has adopted whole-of-government policies for co-locating service delivery sites within existing Commonwealth property infrastructure, where feasible.  As a consequence, investment in property is less than projected in the budget, </w:t>
            </w:r>
            <w:r>
              <w:rPr>
                <w:rFonts w:cs="Arial"/>
                <w:sz w:val="18"/>
                <w:szCs w:val="18"/>
              </w:rPr>
              <w:t xml:space="preserve">as are lease related incentives, </w:t>
            </w:r>
            <w:r w:rsidRPr="0058241E">
              <w:rPr>
                <w:rFonts w:cs="Arial"/>
                <w:sz w:val="18"/>
                <w:szCs w:val="18"/>
              </w:rPr>
              <w:t>payables</w:t>
            </w:r>
            <w:r>
              <w:rPr>
                <w:rFonts w:cs="Arial"/>
                <w:sz w:val="18"/>
                <w:szCs w:val="18"/>
              </w:rPr>
              <w:t xml:space="preserve"> and the provision for restoration obligations</w:t>
            </w:r>
            <w:r w:rsidRPr="0058241E">
              <w:rPr>
                <w:rFonts w:cs="Arial"/>
                <w:sz w:val="18"/>
                <w:szCs w:val="18"/>
              </w:rPr>
              <w:t>.</w:t>
            </w:r>
            <w:r>
              <w:rPr>
                <w:rFonts w:cs="Arial"/>
                <w:sz w:val="18"/>
                <w:szCs w:val="18"/>
              </w:rPr>
              <w:t xml:space="preserve">  </w:t>
            </w:r>
          </w:p>
        </w:tc>
      </w:tr>
      <w:tr w:rsidR="00C32CBD" w14:paraId="337E998D" w14:textId="77777777" w:rsidTr="00320D09">
        <w:trPr>
          <w:cantSplit/>
          <w:trHeight w:val="255"/>
        </w:trPr>
        <w:tc>
          <w:tcPr>
            <w:tcW w:w="2694" w:type="dxa"/>
            <w:tcBorders>
              <w:top w:val="single" w:sz="6" w:space="0" w:color="auto"/>
              <w:left w:val="single" w:sz="12" w:space="0" w:color="auto"/>
              <w:bottom w:val="single" w:sz="6" w:space="0" w:color="auto"/>
            </w:tcBorders>
            <w:shd w:val="clear" w:color="FFFFFF" w:fill="FFFFFF"/>
            <w:noWrap/>
          </w:tcPr>
          <w:p w14:paraId="7A2EFDB0" w14:textId="77777777" w:rsidR="00C32CBD" w:rsidRPr="00894731" w:rsidRDefault="00C32CBD" w:rsidP="00320D09">
            <w:pPr>
              <w:rPr>
                <w:rFonts w:cs="Arial"/>
                <w:bCs/>
                <w:i/>
                <w:sz w:val="18"/>
                <w:szCs w:val="18"/>
              </w:rPr>
            </w:pPr>
            <w:r w:rsidRPr="00894731">
              <w:rPr>
                <w:rFonts w:cs="Arial"/>
                <w:bCs/>
                <w:i/>
                <w:sz w:val="18"/>
                <w:szCs w:val="18"/>
              </w:rPr>
              <w:t>Intangibles</w:t>
            </w:r>
          </w:p>
        </w:tc>
        <w:tc>
          <w:tcPr>
            <w:tcW w:w="6662" w:type="dxa"/>
            <w:tcBorders>
              <w:top w:val="single" w:sz="6" w:space="0" w:color="auto"/>
              <w:bottom w:val="single" w:sz="6" w:space="0" w:color="auto"/>
              <w:right w:val="single" w:sz="12" w:space="0" w:color="auto"/>
            </w:tcBorders>
            <w:shd w:val="clear" w:color="FFFFFF" w:fill="FFFFFF"/>
            <w:noWrap/>
          </w:tcPr>
          <w:p w14:paraId="77C74A69" w14:textId="77777777" w:rsidR="00C32CBD" w:rsidRPr="00DD6C40" w:rsidRDefault="00C32CBD" w:rsidP="00320D09">
            <w:pPr>
              <w:rPr>
                <w:rFonts w:cs="Arial"/>
                <w:sz w:val="18"/>
                <w:szCs w:val="18"/>
              </w:rPr>
            </w:pPr>
            <w:r w:rsidRPr="0058241E">
              <w:rPr>
                <w:rFonts w:cs="Arial"/>
                <w:sz w:val="18"/>
                <w:szCs w:val="18"/>
              </w:rPr>
              <w:t xml:space="preserve">The delivery of corporate shared services transitioned to the Department of Human Services (DHS) </w:t>
            </w:r>
            <w:r>
              <w:rPr>
                <w:rFonts w:cs="Arial"/>
                <w:sz w:val="18"/>
                <w:szCs w:val="18"/>
              </w:rPr>
              <w:t>on</w:t>
            </w:r>
            <w:r w:rsidRPr="0058241E">
              <w:rPr>
                <w:rFonts w:cs="Arial"/>
                <w:sz w:val="18"/>
                <w:szCs w:val="18"/>
              </w:rPr>
              <w:t xml:space="preserve"> 1 July 2016 and </w:t>
            </w:r>
            <w:r>
              <w:rPr>
                <w:rFonts w:cs="Arial"/>
                <w:sz w:val="18"/>
                <w:szCs w:val="18"/>
              </w:rPr>
              <w:t xml:space="preserve">the Agency </w:t>
            </w:r>
            <w:r w:rsidRPr="0058241E">
              <w:rPr>
                <w:rFonts w:cs="Arial"/>
                <w:sz w:val="18"/>
                <w:szCs w:val="18"/>
              </w:rPr>
              <w:t>is no longer utilising internally</w:t>
            </w:r>
            <w:r>
              <w:rPr>
                <w:rFonts w:cs="Arial"/>
                <w:sz w:val="18"/>
                <w:szCs w:val="18"/>
              </w:rPr>
              <w:t>-</w:t>
            </w:r>
            <w:r w:rsidRPr="0058241E">
              <w:rPr>
                <w:rFonts w:cs="Arial"/>
                <w:sz w:val="18"/>
                <w:szCs w:val="18"/>
              </w:rPr>
              <w:t>generated</w:t>
            </w:r>
            <w:r>
              <w:rPr>
                <w:rFonts w:cs="Arial"/>
                <w:sz w:val="18"/>
                <w:szCs w:val="18"/>
              </w:rPr>
              <w:t>,</w:t>
            </w:r>
            <w:r w:rsidRPr="0058241E">
              <w:rPr>
                <w:rFonts w:cs="Arial"/>
                <w:sz w:val="18"/>
                <w:szCs w:val="18"/>
              </w:rPr>
              <w:t xml:space="preserve"> intangible assets.  Intangibles were written down to zero as part of the 2015-16 </w:t>
            </w:r>
            <w:r>
              <w:rPr>
                <w:rFonts w:cs="Arial"/>
                <w:sz w:val="18"/>
                <w:szCs w:val="18"/>
              </w:rPr>
              <w:t>financial statements</w:t>
            </w:r>
            <w:r w:rsidRPr="0058241E">
              <w:rPr>
                <w:rFonts w:cs="Arial"/>
                <w:sz w:val="18"/>
                <w:szCs w:val="18"/>
              </w:rPr>
              <w:t>, however, this was after the publication of the budget.</w:t>
            </w:r>
            <w:r>
              <w:rPr>
                <w:rFonts w:cs="Arial"/>
                <w:sz w:val="18"/>
                <w:szCs w:val="18"/>
              </w:rPr>
              <w:t xml:space="preserve">     </w:t>
            </w:r>
          </w:p>
        </w:tc>
      </w:tr>
      <w:tr w:rsidR="00C32CBD" w14:paraId="0DE93841" w14:textId="77777777" w:rsidTr="00320D09">
        <w:trPr>
          <w:cantSplit/>
          <w:trHeight w:val="255"/>
        </w:trPr>
        <w:tc>
          <w:tcPr>
            <w:tcW w:w="2694" w:type="dxa"/>
            <w:tcBorders>
              <w:top w:val="single" w:sz="6" w:space="0" w:color="auto"/>
              <w:left w:val="single" w:sz="12" w:space="0" w:color="auto"/>
              <w:bottom w:val="single" w:sz="6" w:space="0" w:color="auto"/>
            </w:tcBorders>
            <w:shd w:val="clear" w:color="FFFFFF" w:fill="FFFFFF"/>
            <w:noWrap/>
          </w:tcPr>
          <w:p w14:paraId="1AD5965C" w14:textId="77777777" w:rsidR="00C32CBD" w:rsidRPr="00DD6C40" w:rsidRDefault="00C32CBD" w:rsidP="00320D09">
            <w:pPr>
              <w:rPr>
                <w:rFonts w:cs="Arial"/>
                <w:bCs/>
                <w:i/>
                <w:sz w:val="18"/>
                <w:szCs w:val="18"/>
              </w:rPr>
            </w:pPr>
            <w:r>
              <w:rPr>
                <w:rFonts w:cs="Arial"/>
                <w:bCs/>
                <w:i/>
                <w:sz w:val="18"/>
                <w:szCs w:val="18"/>
              </w:rPr>
              <w:t>Other non-financial assets</w:t>
            </w:r>
          </w:p>
        </w:tc>
        <w:tc>
          <w:tcPr>
            <w:tcW w:w="6662" w:type="dxa"/>
            <w:tcBorders>
              <w:top w:val="single" w:sz="6" w:space="0" w:color="auto"/>
              <w:bottom w:val="single" w:sz="6" w:space="0" w:color="auto"/>
              <w:right w:val="single" w:sz="12" w:space="0" w:color="auto"/>
            </w:tcBorders>
            <w:shd w:val="clear" w:color="FFFFFF" w:fill="FFFFFF"/>
            <w:noWrap/>
          </w:tcPr>
          <w:p w14:paraId="0EF5FCA0" w14:textId="77777777" w:rsidR="00C32CBD" w:rsidRPr="00DD6C40" w:rsidRDefault="00C32CBD" w:rsidP="00320D09">
            <w:pPr>
              <w:rPr>
                <w:rFonts w:cs="Arial"/>
                <w:sz w:val="18"/>
                <w:szCs w:val="18"/>
              </w:rPr>
            </w:pPr>
            <w:r w:rsidRPr="0058241E">
              <w:rPr>
                <w:rFonts w:cs="Arial"/>
                <w:sz w:val="18"/>
                <w:szCs w:val="18"/>
              </w:rPr>
              <w:t xml:space="preserve">Other non-financial assets are lower than the budget mainly due to the impairment of some advances paid upfront to participants.  This practice has now ceased and the Agency is assessing </w:t>
            </w:r>
            <w:r>
              <w:rPr>
                <w:rFonts w:cs="Arial"/>
                <w:sz w:val="18"/>
                <w:szCs w:val="18"/>
              </w:rPr>
              <w:t xml:space="preserve">if </w:t>
            </w:r>
            <w:r w:rsidRPr="0058241E">
              <w:rPr>
                <w:rFonts w:cs="Arial"/>
                <w:sz w:val="18"/>
                <w:szCs w:val="18"/>
              </w:rPr>
              <w:t xml:space="preserve">further action </w:t>
            </w:r>
            <w:r>
              <w:rPr>
                <w:rFonts w:cs="Arial"/>
                <w:sz w:val="18"/>
                <w:szCs w:val="18"/>
              </w:rPr>
              <w:t xml:space="preserve">is </w:t>
            </w:r>
            <w:r w:rsidRPr="0058241E">
              <w:rPr>
                <w:rFonts w:cs="Arial"/>
                <w:sz w:val="18"/>
                <w:szCs w:val="18"/>
              </w:rPr>
              <w:t>required to be undertaken.</w:t>
            </w:r>
          </w:p>
        </w:tc>
      </w:tr>
      <w:tr w:rsidR="00C32CBD" w14:paraId="474C07F5" w14:textId="77777777" w:rsidTr="00320D09">
        <w:trPr>
          <w:cantSplit/>
          <w:trHeight w:val="255"/>
        </w:trPr>
        <w:tc>
          <w:tcPr>
            <w:tcW w:w="2694" w:type="dxa"/>
            <w:tcBorders>
              <w:top w:val="single" w:sz="6" w:space="0" w:color="auto"/>
              <w:left w:val="single" w:sz="12" w:space="0" w:color="auto"/>
              <w:bottom w:val="single" w:sz="6" w:space="0" w:color="auto"/>
            </w:tcBorders>
            <w:shd w:val="clear" w:color="FFFFFF" w:fill="FFFFFF"/>
            <w:noWrap/>
          </w:tcPr>
          <w:p w14:paraId="471FDCF2" w14:textId="77777777" w:rsidR="00C32CBD" w:rsidRPr="009A2B3A" w:rsidRDefault="00C32CBD" w:rsidP="00320D09">
            <w:pPr>
              <w:rPr>
                <w:rFonts w:cs="Arial"/>
                <w:bCs/>
                <w:i/>
                <w:sz w:val="18"/>
                <w:szCs w:val="18"/>
              </w:rPr>
            </w:pPr>
            <w:r w:rsidRPr="009A2B3A">
              <w:rPr>
                <w:rFonts w:cs="Arial"/>
                <w:bCs/>
                <w:i/>
                <w:sz w:val="18"/>
                <w:szCs w:val="18"/>
              </w:rPr>
              <w:t>Suppliers</w:t>
            </w:r>
          </w:p>
        </w:tc>
        <w:tc>
          <w:tcPr>
            <w:tcW w:w="6662" w:type="dxa"/>
            <w:tcBorders>
              <w:top w:val="single" w:sz="6" w:space="0" w:color="auto"/>
              <w:bottom w:val="single" w:sz="6" w:space="0" w:color="auto"/>
              <w:right w:val="single" w:sz="12" w:space="0" w:color="auto"/>
            </w:tcBorders>
            <w:shd w:val="clear" w:color="FFFFFF" w:fill="FFFFFF"/>
            <w:noWrap/>
          </w:tcPr>
          <w:p w14:paraId="2C6C06C2" w14:textId="77777777" w:rsidR="00C32CBD" w:rsidRPr="00926B5F" w:rsidRDefault="00C32CBD" w:rsidP="00320D09">
            <w:pPr>
              <w:rPr>
                <w:rFonts w:cs="Arial"/>
                <w:sz w:val="18"/>
                <w:szCs w:val="18"/>
              </w:rPr>
            </w:pPr>
            <w:r w:rsidRPr="007057FB">
              <w:rPr>
                <w:rFonts w:cs="Arial"/>
                <w:sz w:val="18"/>
                <w:szCs w:val="18"/>
              </w:rPr>
              <w:t xml:space="preserve">The variance is due to a larger than expected reliance on contractors by the Agency during the financial year to assist with transition to full </w:t>
            </w:r>
            <w:r>
              <w:rPr>
                <w:rFonts w:cs="Arial"/>
                <w:sz w:val="18"/>
                <w:szCs w:val="18"/>
              </w:rPr>
              <w:t xml:space="preserve">Scheme as well as charges from DHS </w:t>
            </w:r>
            <w:r w:rsidRPr="007057FB">
              <w:rPr>
                <w:rFonts w:cs="Arial"/>
                <w:sz w:val="18"/>
                <w:szCs w:val="18"/>
              </w:rPr>
              <w:t xml:space="preserve">for </w:t>
            </w:r>
            <w:r>
              <w:rPr>
                <w:rFonts w:cs="Arial"/>
                <w:sz w:val="18"/>
                <w:szCs w:val="18"/>
              </w:rPr>
              <w:t>secondee</w:t>
            </w:r>
            <w:r w:rsidRPr="007057FB">
              <w:rPr>
                <w:rFonts w:cs="Arial"/>
                <w:sz w:val="18"/>
                <w:szCs w:val="18"/>
              </w:rPr>
              <w:t>s and the delivery of services to participants and providers.  As a result, there is a higher proportion of outstanding payables for these services at the end of the financial year than was anticipated in the budget.</w:t>
            </w:r>
          </w:p>
        </w:tc>
      </w:tr>
      <w:tr w:rsidR="00C32CBD" w14:paraId="03F34582" w14:textId="77777777" w:rsidTr="00320D09">
        <w:trPr>
          <w:cantSplit/>
          <w:trHeight w:val="255"/>
        </w:trPr>
        <w:tc>
          <w:tcPr>
            <w:tcW w:w="2694" w:type="dxa"/>
            <w:tcBorders>
              <w:top w:val="single" w:sz="6" w:space="0" w:color="auto"/>
              <w:left w:val="single" w:sz="12" w:space="0" w:color="auto"/>
              <w:bottom w:val="single" w:sz="6" w:space="0" w:color="auto"/>
            </w:tcBorders>
            <w:shd w:val="clear" w:color="FFFFFF" w:fill="FFFFFF"/>
            <w:noWrap/>
          </w:tcPr>
          <w:p w14:paraId="4ADA26C8" w14:textId="77777777" w:rsidR="00C32CBD" w:rsidRPr="00BE1467" w:rsidRDefault="00C32CBD" w:rsidP="00320D09">
            <w:pPr>
              <w:rPr>
                <w:rFonts w:cs="Arial"/>
                <w:bCs/>
                <w:i/>
                <w:sz w:val="18"/>
                <w:szCs w:val="18"/>
              </w:rPr>
            </w:pPr>
            <w:r w:rsidRPr="00BE1467">
              <w:rPr>
                <w:rFonts w:cs="Arial"/>
                <w:bCs/>
                <w:i/>
                <w:sz w:val="18"/>
                <w:szCs w:val="18"/>
              </w:rPr>
              <w:t>Employee provisions</w:t>
            </w:r>
          </w:p>
        </w:tc>
        <w:tc>
          <w:tcPr>
            <w:tcW w:w="6662" w:type="dxa"/>
            <w:tcBorders>
              <w:top w:val="single" w:sz="6" w:space="0" w:color="auto"/>
              <w:bottom w:val="single" w:sz="6" w:space="0" w:color="auto"/>
              <w:right w:val="single" w:sz="12" w:space="0" w:color="auto"/>
            </w:tcBorders>
            <w:shd w:val="clear" w:color="FFFFFF" w:fill="FFFFFF"/>
            <w:noWrap/>
          </w:tcPr>
          <w:p w14:paraId="2E0EAC43" w14:textId="77777777" w:rsidR="00C32CBD" w:rsidRPr="00BE1467" w:rsidRDefault="00C32CBD" w:rsidP="00320D09">
            <w:pPr>
              <w:rPr>
                <w:rFonts w:cs="Arial"/>
                <w:sz w:val="18"/>
                <w:szCs w:val="18"/>
              </w:rPr>
            </w:pPr>
            <w:r w:rsidRPr="00BE1467">
              <w:rPr>
                <w:rFonts w:cs="Arial"/>
                <w:sz w:val="18"/>
                <w:szCs w:val="18"/>
              </w:rPr>
              <w:t xml:space="preserve">An increase in the number of Agency staff has driven the variance in employee leave entitlements. </w:t>
            </w:r>
            <w:r>
              <w:rPr>
                <w:rFonts w:cs="Arial"/>
                <w:sz w:val="18"/>
                <w:szCs w:val="18"/>
              </w:rPr>
              <w:t xml:space="preserve"> </w:t>
            </w:r>
            <w:r w:rsidRPr="00BE1467">
              <w:rPr>
                <w:rFonts w:cs="Arial"/>
                <w:sz w:val="18"/>
                <w:szCs w:val="18"/>
              </w:rPr>
              <w:t>A significant number of employees had previous experience in the Australian Public Service or state or territory public services, transferring any existing leave balances upon commencement.</w:t>
            </w:r>
            <w:r>
              <w:rPr>
                <w:rFonts w:cs="Arial"/>
                <w:sz w:val="18"/>
                <w:szCs w:val="18"/>
              </w:rPr>
              <w:t xml:space="preserve"> </w:t>
            </w:r>
          </w:p>
        </w:tc>
      </w:tr>
      <w:tr w:rsidR="00C32CBD" w14:paraId="64DC8450" w14:textId="77777777" w:rsidTr="00320D09">
        <w:trPr>
          <w:cantSplit/>
          <w:trHeight w:val="255"/>
        </w:trPr>
        <w:tc>
          <w:tcPr>
            <w:tcW w:w="2694" w:type="dxa"/>
            <w:tcBorders>
              <w:top w:val="single" w:sz="6" w:space="0" w:color="auto"/>
              <w:left w:val="single" w:sz="12" w:space="0" w:color="auto"/>
              <w:bottom w:val="single" w:sz="6" w:space="0" w:color="auto"/>
            </w:tcBorders>
            <w:shd w:val="clear" w:color="FFFFFF" w:fill="FFFFFF"/>
            <w:noWrap/>
          </w:tcPr>
          <w:p w14:paraId="26BE446D" w14:textId="77777777" w:rsidR="00C32CBD" w:rsidRPr="0043237F" w:rsidRDefault="00C32CBD" w:rsidP="00320D09">
            <w:pPr>
              <w:rPr>
                <w:rFonts w:cs="Arial"/>
                <w:bCs/>
                <w:i/>
                <w:sz w:val="18"/>
                <w:szCs w:val="18"/>
              </w:rPr>
            </w:pPr>
            <w:r w:rsidRPr="0043237F">
              <w:rPr>
                <w:rFonts w:cs="Arial"/>
                <w:bCs/>
                <w:i/>
                <w:sz w:val="18"/>
                <w:szCs w:val="18"/>
              </w:rPr>
              <w:t>Participant plan provisions</w:t>
            </w:r>
          </w:p>
        </w:tc>
        <w:tc>
          <w:tcPr>
            <w:tcW w:w="6662" w:type="dxa"/>
            <w:tcBorders>
              <w:top w:val="single" w:sz="6" w:space="0" w:color="auto"/>
              <w:bottom w:val="single" w:sz="6" w:space="0" w:color="auto"/>
              <w:right w:val="single" w:sz="12" w:space="0" w:color="auto"/>
            </w:tcBorders>
            <w:shd w:val="clear" w:color="FFFFFF" w:fill="FFFFFF"/>
            <w:noWrap/>
          </w:tcPr>
          <w:p w14:paraId="6C53C5EA" w14:textId="77777777" w:rsidR="00C32CBD" w:rsidRPr="00926B5F" w:rsidRDefault="00C32CBD" w:rsidP="00320D09">
            <w:pPr>
              <w:rPr>
                <w:rFonts w:cs="Arial"/>
                <w:sz w:val="18"/>
                <w:szCs w:val="18"/>
              </w:rPr>
            </w:pPr>
            <w:r w:rsidRPr="00D1232D">
              <w:rPr>
                <w:rFonts w:cs="Arial"/>
                <w:sz w:val="18"/>
                <w:szCs w:val="18"/>
              </w:rPr>
              <w:t>The budgeted participant plan provision did not account for the expected level of growth in the Scheme.</w:t>
            </w:r>
            <w:r>
              <w:rPr>
                <w:rFonts w:cs="Arial"/>
                <w:sz w:val="18"/>
                <w:szCs w:val="18"/>
              </w:rPr>
              <w:t xml:space="preserve"> </w:t>
            </w:r>
            <w:r w:rsidRPr="00D1232D">
              <w:rPr>
                <w:rFonts w:cs="Arial"/>
                <w:sz w:val="18"/>
                <w:szCs w:val="18"/>
              </w:rPr>
              <w:t xml:space="preserve"> The actual participant plan provision reflects the lower utilisation experienced in 2016-17 than anticipated due to lags in payments and revised utilisation rates for supports expected to have been provided in prior financial years.</w:t>
            </w:r>
          </w:p>
        </w:tc>
      </w:tr>
      <w:tr w:rsidR="00C32CBD" w14:paraId="43C795E7" w14:textId="77777777" w:rsidTr="00320D09">
        <w:trPr>
          <w:cantSplit/>
          <w:trHeight w:val="255"/>
        </w:trPr>
        <w:tc>
          <w:tcPr>
            <w:tcW w:w="2694" w:type="dxa"/>
            <w:tcBorders>
              <w:top w:val="single" w:sz="6" w:space="0" w:color="auto"/>
              <w:left w:val="single" w:sz="12" w:space="0" w:color="auto"/>
              <w:bottom w:val="single" w:sz="6" w:space="0" w:color="auto"/>
            </w:tcBorders>
            <w:shd w:val="clear" w:color="FFFFFF" w:fill="FFFFFF"/>
            <w:noWrap/>
          </w:tcPr>
          <w:p w14:paraId="7ACCD6E3" w14:textId="77777777" w:rsidR="00C32CBD" w:rsidRPr="0043237F" w:rsidRDefault="00C32CBD" w:rsidP="00320D09">
            <w:pPr>
              <w:rPr>
                <w:rFonts w:cs="Arial"/>
                <w:bCs/>
                <w:i/>
                <w:sz w:val="18"/>
                <w:szCs w:val="18"/>
              </w:rPr>
            </w:pPr>
            <w:r w:rsidRPr="0043237F">
              <w:rPr>
                <w:rFonts w:cs="Arial"/>
                <w:bCs/>
                <w:i/>
                <w:sz w:val="18"/>
                <w:szCs w:val="18"/>
              </w:rPr>
              <w:lastRenderedPageBreak/>
              <w:t>Asset revaluation reserve</w:t>
            </w:r>
          </w:p>
        </w:tc>
        <w:tc>
          <w:tcPr>
            <w:tcW w:w="6662" w:type="dxa"/>
            <w:tcBorders>
              <w:top w:val="single" w:sz="6" w:space="0" w:color="auto"/>
              <w:bottom w:val="single" w:sz="6" w:space="0" w:color="auto"/>
              <w:right w:val="single" w:sz="12" w:space="0" w:color="auto"/>
            </w:tcBorders>
            <w:shd w:val="clear" w:color="FFFFFF" w:fill="FFFFFF"/>
            <w:noWrap/>
          </w:tcPr>
          <w:p w14:paraId="1F5CBCE6" w14:textId="77777777" w:rsidR="00C32CBD" w:rsidRPr="00926B5F" w:rsidRDefault="00C32CBD" w:rsidP="00320D09">
            <w:pPr>
              <w:rPr>
                <w:rFonts w:cs="Arial"/>
                <w:sz w:val="18"/>
                <w:szCs w:val="18"/>
              </w:rPr>
            </w:pPr>
            <w:r>
              <w:rPr>
                <w:rFonts w:cs="Arial"/>
                <w:sz w:val="18"/>
                <w:szCs w:val="18"/>
              </w:rPr>
              <w:t>For the year ended 30 June 2017, t</w:t>
            </w:r>
            <w:r w:rsidRPr="0043237F">
              <w:rPr>
                <w:rFonts w:cs="Arial"/>
                <w:sz w:val="18"/>
                <w:szCs w:val="18"/>
              </w:rPr>
              <w:t>he Agency</w:t>
            </w:r>
            <w:r>
              <w:rPr>
                <w:rFonts w:cs="Arial"/>
                <w:sz w:val="18"/>
                <w:szCs w:val="18"/>
              </w:rPr>
              <w:t xml:space="preserve"> undertook a valuation exercise and leasehold improvement assets</w:t>
            </w:r>
            <w:r w:rsidRPr="0043237F">
              <w:rPr>
                <w:rFonts w:cs="Arial"/>
                <w:sz w:val="18"/>
                <w:szCs w:val="18"/>
              </w:rPr>
              <w:t xml:space="preserve"> </w:t>
            </w:r>
            <w:r>
              <w:rPr>
                <w:rFonts w:cs="Arial"/>
                <w:sz w:val="18"/>
                <w:szCs w:val="18"/>
              </w:rPr>
              <w:t>were revalued upwards to reflect their estimated fair value.  The revaluation increment was not anticipated in the budget.</w:t>
            </w:r>
          </w:p>
        </w:tc>
      </w:tr>
      <w:tr w:rsidR="00C32CBD" w14:paraId="4879E24C" w14:textId="77777777" w:rsidTr="00320D09">
        <w:trPr>
          <w:cantSplit/>
          <w:trHeight w:val="255"/>
        </w:trPr>
        <w:tc>
          <w:tcPr>
            <w:tcW w:w="2694" w:type="dxa"/>
            <w:tcBorders>
              <w:top w:val="single" w:sz="6" w:space="0" w:color="auto"/>
              <w:left w:val="single" w:sz="12" w:space="0" w:color="auto"/>
              <w:bottom w:val="single" w:sz="6" w:space="0" w:color="auto"/>
            </w:tcBorders>
            <w:shd w:val="clear" w:color="FFFFFF" w:fill="FFFFFF"/>
            <w:noWrap/>
          </w:tcPr>
          <w:p w14:paraId="5ACE8A4B" w14:textId="77777777" w:rsidR="00C32CBD" w:rsidRPr="0043237F" w:rsidRDefault="00C32CBD" w:rsidP="00320D09">
            <w:pPr>
              <w:rPr>
                <w:rFonts w:cs="Arial"/>
                <w:bCs/>
                <w:i/>
                <w:sz w:val="18"/>
                <w:szCs w:val="18"/>
              </w:rPr>
            </w:pPr>
            <w:r w:rsidRPr="0043237F">
              <w:rPr>
                <w:rFonts w:cs="Arial"/>
                <w:bCs/>
                <w:i/>
                <w:sz w:val="18"/>
                <w:szCs w:val="18"/>
              </w:rPr>
              <w:t>Retained surplus</w:t>
            </w:r>
          </w:p>
        </w:tc>
        <w:tc>
          <w:tcPr>
            <w:tcW w:w="6662" w:type="dxa"/>
            <w:tcBorders>
              <w:top w:val="single" w:sz="6" w:space="0" w:color="auto"/>
              <w:bottom w:val="single" w:sz="6" w:space="0" w:color="auto"/>
              <w:right w:val="single" w:sz="12" w:space="0" w:color="auto"/>
            </w:tcBorders>
            <w:shd w:val="clear" w:color="FFFFFF" w:fill="FFFFFF"/>
            <w:noWrap/>
          </w:tcPr>
          <w:p w14:paraId="409C551C" w14:textId="77777777" w:rsidR="00C32CBD" w:rsidRPr="00926B5F" w:rsidRDefault="00C32CBD" w:rsidP="00320D09">
            <w:pPr>
              <w:rPr>
                <w:rFonts w:cs="Arial"/>
                <w:sz w:val="18"/>
                <w:szCs w:val="18"/>
              </w:rPr>
            </w:pPr>
            <w:r>
              <w:rPr>
                <w:rFonts w:cs="Arial"/>
                <w:sz w:val="18"/>
                <w:szCs w:val="18"/>
              </w:rPr>
              <w:t>Major variances for the retained surplus are detailed in the Budget Variances Commentary for the Statement of Comprehensive Income.</w:t>
            </w:r>
          </w:p>
        </w:tc>
      </w:tr>
    </w:tbl>
    <w:p w14:paraId="06EB5042" w14:textId="77777777" w:rsidR="00C32CBD" w:rsidRPr="005E5430" w:rsidRDefault="00C32CBD" w:rsidP="00C32CBD">
      <w:pPr>
        <w:pStyle w:val="ReferenceText"/>
        <w:ind w:left="0"/>
        <w:rPr>
          <w:rFonts w:cs="Arial"/>
          <w:sz w:val="16"/>
          <w:szCs w:val="16"/>
        </w:rPr>
        <w:sectPr w:rsidR="00C32CBD" w:rsidRPr="005E5430" w:rsidSect="00320D09">
          <w:headerReference w:type="default" r:id="rId16"/>
          <w:pgSz w:w="11906" w:h="16838" w:code="9"/>
          <w:pgMar w:top="1134" w:right="1700" w:bottom="1134" w:left="1134" w:header="958" w:footer="737" w:gutter="0"/>
          <w:cols w:space="708"/>
          <w:docGrid w:linePitch="360"/>
        </w:sectPr>
      </w:pPr>
      <w:r w:rsidRPr="005E5430">
        <w:br w:type="page"/>
      </w:r>
    </w:p>
    <w:tbl>
      <w:tblPr>
        <w:tblW w:w="9087" w:type="dxa"/>
        <w:tblInd w:w="80" w:type="dxa"/>
        <w:tblLayout w:type="fixed"/>
        <w:tblLook w:val="04A0" w:firstRow="1" w:lastRow="0" w:firstColumn="1" w:lastColumn="0" w:noHBand="0" w:noVBand="1"/>
      </w:tblPr>
      <w:tblGrid>
        <w:gridCol w:w="4831"/>
        <w:gridCol w:w="1317"/>
        <w:gridCol w:w="1317"/>
        <w:gridCol w:w="305"/>
        <w:gridCol w:w="1317"/>
      </w:tblGrid>
      <w:tr w:rsidR="00C32CBD" w14:paraId="7AD2F3A5" w14:textId="77777777" w:rsidTr="00320D09">
        <w:trPr>
          <w:trHeight w:val="480"/>
        </w:trPr>
        <w:tc>
          <w:tcPr>
            <w:tcW w:w="4831" w:type="dxa"/>
            <w:tcBorders>
              <w:top w:val="nil"/>
              <w:left w:val="nil"/>
              <w:bottom w:val="nil"/>
              <w:right w:val="nil"/>
            </w:tcBorders>
            <w:shd w:val="clear" w:color="FFFFFF" w:fill="FFFFFF"/>
            <w:noWrap/>
            <w:vAlign w:val="bottom"/>
            <w:hideMark/>
          </w:tcPr>
          <w:p w14:paraId="0C72B4DE" w14:textId="77777777" w:rsidR="00C32CBD" w:rsidRDefault="00C32CBD" w:rsidP="00320D09">
            <w:pPr>
              <w:rPr>
                <w:rFonts w:cs="Arial"/>
                <w:sz w:val="18"/>
                <w:szCs w:val="18"/>
              </w:rPr>
            </w:pPr>
            <w:bookmarkStart w:id="69" w:name="Note_CEQTABLE1" w:colFirst="0" w:colLast="0"/>
            <w:r>
              <w:rPr>
                <w:rFonts w:cs="Arial"/>
                <w:sz w:val="18"/>
                <w:szCs w:val="18"/>
              </w:rPr>
              <w:lastRenderedPageBreak/>
              <w:t> </w:t>
            </w:r>
          </w:p>
        </w:tc>
        <w:tc>
          <w:tcPr>
            <w:tcW w:w="1317" w:type="dxa"/>
            <w:tcBorders>
              <w:top w:val="nil"/>
              <w:left w:val="nil"/>
              <w:bottom w:val="nil"/>
              <w:right w:val="nil"/>
            </w:tcBorders>
            <w:shd w:val="clear" w:color="FFFFFF" w:fill="FFFFFF"/>
            <w:vAlign w:val="center"/>
            <w:hideMark/>
          </w:tcPr>
          <w:p w14:paraId="279167AA" w14:textId="77777777" w:rsidR="00C32CBD" w:rsidRDefault="00C32CBD" w:rsidP="00320D09">
            <w:pPr>
              <w:rPr>
                <w:rFonts w:cs="Arial"/>
                <w:b/>
                <w:bCs/>
                <w:sz w:val="18"/>
                <w:szCs w:val="18"/>
              </w:rPr>
            </w:pPr>
            <w:r>
              <w:rPr>
                <w:rFonts w:cs="Arial"/>
                <w:b/>
                <w:bCs/>
                <w:sz w:val="18"/>
                <w:szCs w:val="18"/>
              </w:rPr>
              <w:t> </w:t>
            </w:r>
          </w:p>
        </w:tc>
        <w:tc>
          <w:tcPr>
            <w:tcW w:w="1317" w:type="dxa"/>
            <w:tcBorders>
              <w:top w:val="nil"/>
              <w:left w:val="nil"/>
              <w:bottom w:val="nil"/>
              <w:right w:val="nil"/>
            </w:tcBorders>
            <w:shd w:val="clear" w:color="FFFFFF" w:fill="FFFFFF"/>
            <w:vAlign w:val="center"/>
            <w:hideMark/>
          </w:tcPr>
          <w:p w14:paraId="1042B562" w14:textId="77777777" w:rsidR="00C32CBD" w:rsidRDefault="00C32CBD" w:rsidP="00320D09">
            <w:pPr>
              <w:rPr>
                <w:rFonts w:cs="Arial"/>
                <w:b/>
                <w:bCs/>
                <w:sz w:val="18"/>
                <w:szCs w:val="18"/>
              </w:rPr>
            </w:pPr>
            <w:r>
              <w:rPr>
                <w:rFonts w:cs="Arial"/>
                <w:b/>
                <w:bCs/>
                <w:sz w:val="18"/>
                <w:szCs w:val="18"/>
              </w:rPr>
              <w:t> </w:t>
            </w:r>
          </w:p>
        </w:tc>
        <w:tc>
          <w:tcPr>
            <w:tcW w:w="305" w:type="dxa"/>
            <w:tcBorders>
              <w:top w:val="nil"/>
              <w:left w:val="nil"/>
              <w:bottom w:val="nil"/>
              <w:right w:val="nil"/>
            </w:tcBorders>
            <w:shd w:val="clear" w:color="FFFFFF" w:fill="FFFFFF"/>
            <w:vAlign w:val="center"/>
            <w:hideMark/>
          </w:tcPr>
          <w:p w14:paraId="6A353529" w14:textId="77777777" w:rsidR="00C32CBD" w:rsidRDefault="00C32CBD" w:rsidP="00320D09">
            <w:pPr>
              <w:rPr>
                <w:rFonts w:cs="Arial"/>
                <w:b/>
                <w:bCs/>
                <w:sz w:val="18"/>
                <w:szCs w:val="18"/>
              </w:rPr>
            </w:pPr>
            <w:r>
              <w:rPr>
                <w:rFonts w:cs="Arial"/>
                <w:b/>
                <w:bCs/>
                <w:sz w:val="18"/>
                <w:szCs w:val="18"/>
              </w:rPr>
              <w:t> </w:t>
            </w:r>
          </w:p>
        </w:tc>
        <w:tc>
          <w:tcPr>
            <w:tcW w:w="1317" w:type="dxa"/>
            <w:tcBorders>
              <w:top w:val="nil"/>
              <w:left w:val="nil"/>
              <w:bottom w:val="nil"/>
              <w:right w:val="nil"/>
            </w:tcBorders>
            <w:shd w:val="clear" w:color="FFFFFF" w:fill="FFFFFF"/>
            <w:vAlign w:val="bottom"/>
            <w:hideMark/>
          </w:tcPr>
          <w:p w14:paraId="16454774" w14:textId="77777777" w:rsidR="00C32CBD" w:rsidRDefault="00C32CBD" w:rsidP="00320D09">
            <w:pPr>
              <w:jc w:val="right"/>
              <w:rPr>
                <w:rFonts w:cs="Arial"/>
                <w:color w:val="008000"/>
                <w:sz w:val="18"/>
                <w:szCs w:val="18"/>
              </w:rPr>
            </w:pPr>
            <w:r>
              <w:rPr>
                <w:rFonts w:cs="Arial"/>
                <w:color w:val="008000"/>
                <w:sz w:val="18"/>
                <w:szCs w:val="18"/>
              </w:rPr>
              <w:t>Original</w:t>
            </w:r>
            <w:r>
              <w:rPr>
                <w:rFonts w:cs="Arial"/>
                <w:color w:val="008000"/>
                <w:sz w:val="18"/>
                <w:szCs w:val="18"/>
              </w:rPr>
              <w:br/>
              <w:t>Budget</w:t>
            </w:r>
          </w:p>
        </w:tc>
      </w:tr>
      <w:bookmarkEnd w:id="69"/>
      <w:tr w:rsidR="00C32CBD" w14:paraId="3997FEE8" w14:textId="77777777" w:rsidTr="00320D09">
        <w:trPr>
          <w:trHeight w:val="255"/>
        </w:trPr>
        <w:tc>
          <w:tcPr>
            <w:tcW w:w="4831" w:type="dxa"/>
            <w:tcBorders>
              <w:top w:val="nil"/>
              <w:left w:val="nil"/>
              <w:bottom w:val="nil"/>
              <w:right w:val="nil"/>
            </w:tcBorders>
            <w:shd w:val="clear" w:color="FFFFFF" w:fill="FFFFFF"/>
            <w:noWrap/>
            <w:vAlign w:val="bottom"/>
            <w:hideMark/>
          </w:tcPr>
          <w:p w14:paraId="09D9FE3A" w14:textId="77777777" w:rsidR="00C32CBD" w:rsidRDefault="00C32CBD" w:rsidP="00320D09">
            <w:pPr>
              <w:rPr>
                <w:rFonts w:cs="Arial"/>
                <w:sz w:val="18"/>
                <w:szCs w:val="18"/>
              </w:rPr>
            </w:pPr>
            <w:r>
              <w:rPr>
                <w:rFonts w:cs="Arial"/>
                <w:sz w:val="18"/>
                <w:szCs w:val="18"/>
              </w:rPr>
              <w:t> </w:t>
            </w:r>
          </w:p>
        </w:tc>
        <w:tc>
          <w:tcPr>
            <w:tcW w:w="1317" w:type="dxa"/>
            <w:tcBorders>
              <w:top w:val="nil"/>
              <w:left w:val="nil"/>
              <w:bottom w:val="nil"/>
              <w:right w:val="nil"/>
            </w:tcBorders>
            <w:shd w:val="clear" w:color="FFFFFF" w:fill="FFFFFF"/>
            <w:vAlign w:val="bottom"/>
            <w:hideMark/>
          </w:tcPr>
          <w:p w14:paraId="0AFA9F29" w14:textId="77777777" w:rsidR="00C32CBD" w:rsidRDefault="00C32CBD" w:rsidP="00320D09">
            <w:pPr>
              <w:jc w:val="right"/>
              <w:rPr>
                <w:rFonts w:cs="Arial"/>
                <w:b/>
                <w:bCs/>
                <w:sz w:val="18"/>
                <w:szCs w:val="18"/>
              </w:rPr>
            </w:pPr>
            <w:r>
              <w:rPr>
                <w:rFonts w:cs="Arial"/>
                <w:b/>
                <w:bCs/>
                <w:sz w:val="18"/>
                <w:szCs w:val="18"/>
              </w:rPr>
              <w:t>2017</w:t>
            </w:r>
          </w:p>
        </w:tc>
        <w:tc>
          <w:tcPr>
            <w:tcW w:w="1317" w:type="dxa"/>
            <w:tcBorders>
              <w:top w:val="nil"/>
              <w:left w:val="nil"/>
              <w:bottom w:val="nil"/>
              <w:right w:val="nil"/>
            </w:tcBorders>
            <w:shd w:val="clear" w:color="FFFFFF" w:fill="FFFFFF"/>
            <w:vAlign w:val="bottom"/>
            <w:hideMark/>
          </w:tcPr>
          <w:p w14:paraId="4BB8A230" w14:textId="77777777" w:rsidR="00C32CBD" w:rsidRDefault="00C32CBD" w:rsidP="00320D09">
            <w:pPr>
              <w:jc w:val="right"/>
              <w:rPr>
                <w:rFonts w:cs="Arial"/>
                <w:sz w:val="18"/>
                <w:szCs w:val="18"/>
              </w:rPr>
            </w:pPr>
            <w:r>
              <w:rPr>
                <w:rFonts w:cs="Arial"/>
                <w:sz w:val="18"/>
                <w:szCs w:val="18"/>
              </w:rPr>
              <w:t>2016</w:t>
            </w:r>
          </w:p>
        </w:tc>
        <w:tc>
          <w:tcPr>
            <w:tcW w:w="305" w:type="dxa"/>
            <w:tcBorders>
              <w:top w:val="nil"/>
              <w:left w:val="nil"/>
              <w:bottom w:val="nil"/>
              <w:right w:val="nil"/>
            </w:tcBorders>
            <w:shd w:val="clear" w:color="FFFFFF" w:fill="FFFFFF"/>
            <w:vAlign w:val="bottom"/>
            <w:hideMark/>
          </w:tcPr>
          <w:p w14:paraId="0532F16B" w14:textId="77777777" w:rsidR="00C32CBD" w:rsidRDefault="00C32CBD" w:rsidP="00320D09">
            <w:pPr>
              <w:jc w:val="right"/>
              <w:rPr>
                <w:rFonts w:cs="Arial"/>
                <w:sz w:val="18"/>
                <w:szCs w:val="18"/>
              </w:rPr>
            </w:pPr>
            <w:r>
              <w:rPr>
                <w:rFonts w:cs="Arial"/>
                <w:sz w:val="18"/>
                <w:szCs w:val="18"/>
              </w:rPr>
              <w:t> </w:t>
            </w:r>
          </w:p>
        </w:tc>
        <w:tc>
          <w:tcPr>
            <w:tcW w:w="1317" w:type="dxa"/>
            <w:tcBorders>
              <w:top w:val="nil"/>
              <w:left w:val="nil"/>
              <w:bottom w:val="nil"/>
              <w:right w:val="nil"/>
            </w:tcBorders>
            <w:shd w:val="clear" w:color="FFFFFF" w:fill="FFFFFF"/>
            <w:vAlign w:val="bottom"/>
            <w:hideMark/>
          </w:tcPr>
          <w:p w14:paraId="0E645184" w14:textId="77777777" w:rsidR="00C32CBD" w:rsidRDefault="00C32CBD" w:rsidP="00320D09">
            <w:pPr>
              <w:jc w:val="right"/>
              <w:rPr>
                <w:rFonts w:cs="Arial"/>
                <w:color w:val="008000"/>
                <w:sz w:val="18"/>
                <w:szCs w:val="18"/>
              </w:rPr>
            </w:pPr>
            <w:r>
              <w:rPr>
                <w:rFonts w:cs="Arial"/>
                <w:color w:val="008000"/>
                <w:sz w:val="18"/>
                <w:szCs w:val="18"/>
              </w:rPr>
              <w:t>2017</w:t>
            </w:r>
          </w:p>
        </w:tc>
      </w:tr>
      <w:tr w:rsidR="00C32CBD" w14:paraId="5DF94953" w14:textId="77777777" w:rsidTr="00320D09">
        <w:trPr>
          <w:trHeight w:val="270"/>
        </w:trPr>
        <w:tc>
          <w:tcPr>
            <w:tcW w:w="4831" w:type="dxa"/>
            <w:tcBorders>
              <w:top w:val="nil"/>
              <w:left w:val="nil"/>
              <w:bottom w:val="single" w:sz="8" w:space="0" w:color="008000"/>
              <w:right w:val="nil"/>
            </w:tcBorders>
            <w:shd w:val="clear" w:color="FFFFFF" w:fill="FFFFFF"/>
            <w:noWrap/>
            <w:vAlign w:val="bottom"/>
            <w:hideMark/>
          </w:tcPr>
          <w:p w14:paraId="171AEED6" w14:textId="77777777" w:rsidR="00C32CBD" w:rsidRDefault="00C32CBD" w:rsidP="00320D09">
            <w:pPr>
              <w:rPr>
                <w:rFonts w:cs="Arial"/>
                <w:sz w:val="18"/>
                <w:szCs w:val="18"/>
              </w:rPr>
            </w:pPr>
            <w:r>
              <w:rPr>
                <w:rFonts w:cs="Arial"/>
                <w:sz w:val="18"/>
                <w:szCs w:val="18"/>
              </w:rPr>
              <w:t> </w:t>
            </w:r>
          </w:p>
        </w:tc>
        <w:tc>
          <w:tcPr>
            <w:tcW w:w="1317" w:type="dxa"/>
            <w:tcBorders>
              <w:top w:val="nil"/>
              <w:left w:val="nil"/>
              <w:bottom w:val="single" w:sz="8" w:space="0" w:color="008000"/>
              <w:right w:val="nil"/>
            </w:tcBorders>
            <w:shd w:val="clear" w:color="FFFFFF" w:fill="FFFFFF"/>
            <w:vAlign w:val="bottom"/>
            <w:hideMark/>
          </w:tcPr>
          <w:p w14:paraId="7F495870" w14:textId="77777777" w:rsidR="00C32CBD" w:rsidRDefault="00C32CBD" w:rsidP="00320D09">
            <w:pPr>
              <w:jc w:val="right"/>
              <w:rPr>
                <w:rFonts w:cs="Arial"/>
                <w:b/>
                <w:bCs/>
                <w:sz w:val="18"/>
                <w:szCs w:val="18"/>
              </w:rPr>
            </w:pPr>
            <w:r>
              <w:rPr>
                <w:rFonts w:cs="Arial"/>
                <w:b/>
                <w:bCs/>
                <w:sz w:val="18"/>
                <w:szCs w:val="18"/>
              </w:rPr>
              <w:t>$'000</w:t>
            </w:r>
          </w:p>
        </w:tc>
        <w:tc>
          <w:tcPr>
            <w:tcW w:w="1317" w:type="dxa"/>
            <w:tcBorders>
              <w:top w:val="nil"/>
              <w:left w:val="nil"/>
              <w:bottom w:val="single" w:sz="8" w:space="0" w:color="008000"/>
              <w:right w:val="nil"/>
            </w:tcBorders>
            <w:shd w:val="clear" w:color="FFFFFF" w:fill="FFFFFF"/>
            <w:vAlign w:val="bottom"/>
            <w:hideMark/>
          </w:tcPr>
          <w:p w14:paraId="3BD2B294" w14:textId="77777777" w:rsidR="00C32CBD" w:rsidRDefault="00C32CBD" w:rsidP="00320D09">
            <w:pPr>
              <w:jc w:val="right"/>
              <w:rPr>
                <w:rFonts w:cs="Arial"/>
                <w:sz w:val="18"/>
                <w:szCs w:val="18"/>
              </w:rPr>
            </w:pPr>
            <w:r>
              <w:rPr>
                <w:rFonts w:cs="Arial"/>
                <w:sz w:val="18"/>
                <w:szCs w:val="18"/>
              </w:rPr>
              <w:t>$'000</w:t>
            </w:r>
          </w:p>
        </w:tc>
        <w:tc>
          <w:tcPr>
            <w:tcW w:w="305" w:type="dxa"/>
            <w:tcBorders>
              <w:top w:val="nil"/>
              <w:left w:val="nil"/>
              <w:bottom w:val="single" w:sz="8" w:space="0" w:color="008000"/>
              <w:right w:val="nil"/>
            </w:tcBorders>
            <w:shd w:val="clear" w:color="FFFFFF" w:fill="FFFFFF"/>
            <w:vAlign w:val="bottom"/>
            <w:hideMark/>
          </w:tcPr>
          <w:p w14:paraId="1D19B534" w14:textId="77777777" w:rsidR="00C32CBD" w:rsidRDefault="00C32CBD" w:rsidP="00320D09">
            <w:pPr>
              <w:jc w:val="right"/>
              <w:rPr>
                <w:rFonts w:cs="Arial"/>
                <w:sz w:val="18"/>
                <w:szCs w:val="18"/>
              </w:rPr>
            </w:pPr>
            <w:r>
              <w:rPr>
                <w:rFonts w:cs="Arial"/>
                <w:sz w:val="18"/>
                <w:szCs w:val="18"/>
              </w:rPr>
              <w:t> </w:t>
            </w:r>
          </w:p>
        </w:tc>
        <w:tc>
          <w:tcPr>
            <w:tcW w:w="1317" w:type="dxa"/>
            <w:tcBorders>
              <w:top w:val="nil"/>
              <w:left w:val="nil"/>
              <w:bottom w:val="single" w:sz="8" w:space="0" w:color="008000"/>
              <w:right w:val="nil"/>
            </w:tcBorders>
            <w:shd w:val="clear" w:color="FFFFFF" w:fill="FFFFFF"/>
            <w:vAlign w:val="bottom"/>
            <w:hideMark/>
          </w:tcPr>
          <w:p w14:paraId="7E4952C5" w14:textId="77777777" w:rsidR="00C32CBD" w:rsidRDefault="00C32CBD" w:rsidP="00320D09">
            <w:pPr>
              <w:jc w:val="right"/>
              <w:rPr>
                <w:rFonts w:cs="Arial"/>
                <w:color w:val="008000"/>
                <w:sz w:val="18"/>
                <w:szCs w:val="18"/>
              </w:rPr>
            </w:pPr>
            <w:r>
              <w:rPr>
                <w:rFonts w:cs="Arial"/>
                <w:color w:val="008000"/>
                <w:sz w:val="18"/>
                <w:szCs w:val="18"/>
              </w:rPr>
              <w:t>$'000</w:t>
            </w:r>
          </w:p>
        </w:tc>
      </w:tr>
      <w:tr w:rsidR="00C32CBD" w14:paraId="35090200" w14:textId="77777777" w:rsidTr="00320D09">
        <w:trPr>
          <w:trHeight w:val="255"/>
        </w:trPr>
        <w:tc>
          <w:tcPr>
            <w:tcW w:w="4831" w:type="dxa"/>
            <w:tcBorders>
              <w:top w:val="nil"/>
              <w:left w:val="nil"/>
              <w:bottom w:val="nil"/>
              <w:right w:val="nil"/>
            </w:tcBorders>
            <w:shd w:val="clear" w:color="FFFFFF" w:fill="FFFFFF"/>
            <w:vAlign w:val="bottom"/>
            <w:hideMark/>
          </w:tcPr>
          <w:p w14:paraId="3F7ED570" w14:textId="77777777" w:rsidR="00C32CBD" w:rsidRDefault="00C32CBD" w:rsidP="00320D09">
            <w:pPr>
              <w:rPr>
                <w:rFonts w:cs="Arial"/>
                <w:b/>
                <w:bCs/>
                <w:sz w:val="18"/>
                <w:szCs w:val="18"/>
              </w:rPr>
            </w:pPr>
            <w:r>
              <w:rPr>
                <w:rFonts w:cs="Arial"/>
                <w:b/>
                <w:bCs/>
                <w:sz w:val="18"/>
                <w:szCs w:val="18"/>
              </w:rPr>
              <w:t>CONTRIBUTED EQUITY</w:t>
            </w:r>
          </w:p>
        </w:tc>
        <w:tc>
          <w:tcPr>
            <w:tcW w:w="1317" w:type="dxa"/>
            <w:tcBorders>
              <w:top w:val="nil"/>
              <w:left w:val="nil"/>
              <w:bottom w:val="nil"/>
              <w:right w:val="nil"/>
            </w:tcBorders>
            <w:shd w:val="clear" w:color="FFFFFF" w:fill="FFFFFF"/>
            <w:noWrap/>
            <w:vAlign w:val="bottom"/>
            <w:hideMark/>
          </w:tcPr>
          <w:p w14:paraId="7FCEECD2" w14:textId="77777777" w:rsidR="00C32CBD" w:rsidRDefault="00C32CBD" w:rsidP="00320D09">
            <w:pPr>
              <w:jc w:val="right"/>
              <w:rPr>
                <w:rFonts w:cs="Arial"/>
                <w:sz w:val="18"/>
                <w:szCs w:val="18"/>
              </w:rPr>
            </w:pPr>
            <w:r>
              <w:rPr>
                <w:rFonts w:cs="Arial"/>
                <w:sz w:val="18"/>
                <w:szCs w:val="18"/>
              </w:rPr>
              <w:t> </w:t>
            </w:r>
          </w:p>
        </w:tc>
        <w:tc>
          <w:tcPr>
            <w:tcW w:w="1317" w:type="dxa"/>
            <w:tcBorders>
              <w:top w:val="nil"/>
              <w:left w:val="nil"/>
              <w:bottom w:val="nil"/>
              <w:right w:val="nil"/>
            </w:tcBorders>
            <w:shd w:val="clear" w:color="FFFFFF" w:fill="FFFFFF"/>
            <w:noWrap/>
            <w:vAlign w:val="bottom"/>
            <w:hideMark/>
          </w:tcPr>
          <w:p w14:paraId="40602AE7" w14:textId="77777777" w:rsidR="00C32CBD" w:rsidRDefault="00C32CBD" w:rsidP="00320D09">
            <w:pPr>
              <w:jc w:val="right"/>
              <w:rPr>
                <w:rFonts w:cs="Arial"/>
                <w:sz w:val="18"/>
                <w:szCs w:val="18"/>
              </w:rPr>
            </w:pPr>
            <w:r>
              <w:rPr>
                <w:rFonts w:cs="Arial"/>
                <w:sz w:val="18"/>
                <w:szCs w:val="18"/>
              </w:rPr>
              <w:t> </w:t>
            </w:r>
          </w:p>
        </w:tc>
        <w:tc>
          <w:tcPr>
            <w:tcW w:w="305" w:type="dxa"/>
            <w:tcBorders>
              <w:top w:val="nil"/>
              <w:left w:val="nil"/>
              <w:bottom w:val="nil"/>
              <w:right w:val="nil"/>
            </w:tcBorders>
            <w:shd w:val="clear" w:color="FFFFFF" w:fill="FFFFFF"/>
            <w:noWrap/>
            <w:vAlign w:val="bottom"/>
            <w:hideMark/>
          </w:tcPr>
          <w:p w14:paraId="445AA813" w14:textId="77777777" w:rsidR="00C32CBD" w:rsidRDefault="00C32CBD" w:rsidP="00320D09">
            <w:pPr>
              <w:jc w:val="right"/>
              <w:rPr>
                <w:rFonts w:cs="Arial"/>
                <w:sz w:val="18"/>
                <w:szCs w:val="18"/>
              </w:rPr>
            </w:pPr>
            <w:r>
              <w:rPr>
                <w:rFonts w:cs="Arial"/>
                <w:sz w:val="18"/>
                <w:szCs w:val="18"/>
              </w:rPr>
              <w:t> </w:t>
            </w:r>
          </w:p>
        </w:tc>
        <w:tc>
          <w:tcPr>
            <w:tcW w:w="1317" w:type="dxa"/>
            <w:tcBorders>
              <w:top w:val="nil"/>
              <w:left w:val="nil"/>
              <w:bottom w:val="nil"/>
              <w:right w:val="nil"/>
            </w:tcBorders>
            <w:shd w:val="clear" w:color="FFFFFF" w:fill="FFFFFF"/>
            <w:noWrap/>
            <w:vAlign w:val="bottom"/>
            <w:hideMark/>
          </w:tcPr>
          <w:p w14:paraId="64EEB7AB" w14:textId="77777777" w:rsidR="00C32CBD" w:rsidRDefault="00C32CBD" w:rsidP="00320D09">
            <w:pPr>
              <w:jc w:val="right"/>
              <w:rPr>
                <w:rFonts w:cs="Arial"/>
                <w:sz w:val="18"/>
                <w:szCs w:val="18"/>
              </w:rPr>
            </w:pPr>
            <w:r>
              <w:rPr>
                <w:rFonts w:cs="Arial"/>
                <w:sz w:val="18"/>
                <w:szCs w:val="18"/>
              </w:rPr>
              <w:t> </w:t>
            </w:r>
          </w:p>
        </w:tc>
      </w:tr>
      <w:tr w:rsidR="00C32CBD" w14:paraId="14A36F26" w14:textId="77777777" w:rsidTr="00320D09">
        <w:trPr>
          <w:trHeight w:val="255"/>
        </w:trPr>
        <w:tc>
          <w:tcPr>
            <w:tcW w:w="4831" w:type="dxa"/>
            <w:tcBorders>
              <w:top w:val="nil"/>
              <w:left w:val="nil"/>
              <w:bottom w:val="nil"/>
              <w:right w:val="nil"/>
            </w:tcBorders>
            <w:shd w:val="clear" w:color="FFFFFF" w:fill="FFFFFF"/>
            <w:vAlign w:val="bottom"/>
            <w:hideMark/>
          </w:tcPr>
          <w:p w14:paraId="359E7C8A" w14:textId="77777777" w:rsidR="00C32CBD" w:rsidRDefault="00C32CBD" w:rsidP="00320D09">
            <w:pPr>
              <w:rPr>
                <w:rFonts w:cs="Arial"/>
                <w:b/>
                <w:bCs/>
                <w:sz w:val="18"/>
                <w:szCs w:val="18"/>
              </w:rPr>
            </w:pPr>
            <w:r>
              <w:rPr>
                <w:rFonts w:cs="Arial"/>
                <w:b/>
                <w:bCs/>
                <w:sz w:val="18"/>
                <w:szCs w:val="18"/>
              </w:rPr>
              <w:t>Opening balance</w:t>
            </w:r>
          </w:p>
        </w:tc>
        <w:tc>
          <w:tcPr>
            <w:tcW w:w="1317" w:type="dxa"/>
            <w:tcBorders>
              <w:top w:val="nil"/>
              <w:left w:val="nil"/>
              <w:bottom w:val="nil"/>
              <w:right w:val="nil"/>
            </w:tcBorders>
            <w:shd w:val="clear" w:color="FFFFFF" w:fill="FFFFFF"/>
            <w:noWrap/>
            <w:vAlign w:val="bottom"/>
            <w:hideMark/>
          </w:tcPr>
          <w:p w14:paraId="1C1C7900" w14:textId="77777777" w:rsidR="00C32CBD" w:rsidRDefault="00C32CBD" w:rsidP="00320D09">
            <w:pPr>
              <w:jc w:val="right"/>
              <w:rPr>
                <w:rFonts w:cs="Arial"/>
                <w:b/>
                <w:bCs/>
                <w:sz w:val="18"/>
                <w:szCs w:val="18"/>
              </w:rPr>
            </w:pPr>
            <w:r>
              <w:rPr>
                <w:rFonts w:cs="Arial"/>
                <w:b/>
                <w:bCs/>
                <w:sz w:val="18"/>
                <w:szCs w:val="18"/>
              </w:rPr>
              <w:t>89,536</w:t>
            </w:r>
          </w:p>
        </w:tc>
        <w:tc>
          <w:tcPr>
            <w:tcW w:w="1317" w:type="dxa"/>
            <w:tcBorders>
              <w:top w:val="nil"/>
              <w:left w:val="nil"/>
              <w:bottom w:val="nil"/>
              <w:right w:val="nil"/>
            </w:tcBorders>
            <w:shd w:val="clear" w:color="FFFFFF" w:fill="FFFFFF"/>
            <w:noWrap/>
            <w:vAlign w:val="bottom"/>
            <w:hideMark/>
          </w:tcPr>
          <w:p w14:paraId="0B5AB7B1" w14:textId="77777777" w:rsidR="00C32CBD" w:rsidRDefault="00C32CBD" w:rsidP="00320D09">
            <w:pPr>
              <w:jc w:val="right"/>
              <w:rPr>
                <w:rFonts w:cs="Arial"/>
                <w:sz w:val="18"/>
                <w:szCs w:val="18"/>
              </w:rPr>
            </w:pPr>
            <w:r>
              <w:rPr>
                <w:rFonts w:cs="Arial"/>
                <w:sz w:val="18"/>
                <w:szCs w:val="18"/>
              </w:rPr>
              <w:t>31,780</w:t>
            </w:r>
          </w:p>
        </w:tc>
        <w:tc>
          <w:tcPr>
            <w:tcW w:w="305" w:type="dxa"/>
            <w:tcBorders>
              <w:top w:val="nil"/>
              <w:left w:val="nil"/>
              <w:bottom w:val="nil"/>
              <w:right w:val="nil"/>
            </w:tcBorders>
            <w:shd w:val="clear" w:color="FFFFFF" w:fill="FFFFFF"/>
            <w:noWrap/>
            <w:vAlign w:val="bottom"/>
            <w:hideMark/>
          </w:tcPr>
          <w:p w14:paraId="3245A7BD" w14:textId="77777777" w:rsidR="00C32CBD" w:rsidRDefault="00C32CBD" w:rsidP="00320D09">
            <w:pPr>
              <w:jc w:val="right"/>
              <w:rPr>
                <w:rFonts w:cs="Arial"/>
                <w:sz w:val="18"/>
                <w:szCs w:val="18"/>
              </w:rPr>
            </w:pPr>
            <w:r>
              <w:rPr>
                <w:rFonts w:cs="Arial"/>
                <w:sz w:val="18"/>
                <w:szCs w:val="18"/>
              </w:rPr>
              <w:t> </w:t>
            </w:r>
          </w:p>
        </w:tc>
        <w:tc>
          <w:tcPr>
            <w:tcW w:w="1317" w:type="dxa"/>
            <w:tcBorders>
              <w:top w:val="nil"/>
              <w:left w:val="nil"/>
              <w:bottom w:val="nil"/>
              <w:right w:val="nil"/>
            </w:tcBorders>
            <w:shd w:val="clear" w:color="FFFFFF" w:fill="FFFFFF"/>
            <w:noWrap/>
            <w:vAlign w:val="bottom"/>
            <w:hideMark/>
          </w:tcPr>
          <w:p w14:paraId="3540DE78" w14:textId="77777777" w:rsidR="00C32CBD" w:rsidRDefault="00C32CBD" w:rsidP="00320D09">
            <w:pPr>
              <w:jc w:val="right"/>
              <w:rPr>
                <w:rFonts w:cs="Arial"/>
                <w:sz w:val="18"/>
                <w:szCs w:val="18"/>
              </w:rPr>
            </w:pPr>
            <w:r>
              <w:rPr>
                <w:rFonts w:cs="Arial"/>
                <w:sz w:val="18"/>
                <w:szCs w:val="18"/>
              </w:rPr>
              <w:t>89,536</w:t>
            </w:r>
          </w:p>
        </w:tc>
      </w:tr>
      <w:tr w:rsidR="00C32CBD" w14:paraId="3F742CC1" w14:textId="77777777" w:rsidTr="00320D09">
        <w:trPr>
          <w:trHeight w:val="255"/>
        </w:trPr>
        <w:tc>
          <w:tcPr>
            <w:tcW w:w="4831" w:type="dxa"/>
            <w:tcBorders>
              <w:top w:val="nil"/>
              <w:left w:val="nil"/>
              <w:bottom w:val="nil"/>
              <w:right w:val="nil"/>
            </w:tcBorders>
            <w:shd w:val="clear" w:color="FFFFFF" w:fill="FFFFFF"/>
            <w:vAlign w:val="bottom"/>
            <w:hideMark/>
          </w:tcPr>
          <w:p w14:paraId="5CEBB834" w14:textId="77777777" w:rsidR="00C32CBD" w:rsidRDefault="00C32CBD" w:rsidP="00320D09">
            <w:pPr>
              <w:rPr>
                <w:rFonts w:cs="Arial"/>
                <w:b/>
                <w:bCs/>
                <w:sz w:val="18"/>
                <w:szCs w:val="18"/>
              </w:rPr>
            </w:pPr>
            <w:r>
              <w:rPr>
                <w:rFonts w:cs="Arial"/>
                <w:b/>
                <w:bCs/>
                <w:sz w:val="18"/>
                <w:szCs w:val="18"/>
              </w:rPr>
              <w:t>Contributions by owners</w:t>
            </w:r>
          </w:p>
        </w:tc>
        <w:tc>
          <w:tcPr>
            <w:tcW w:w="1317" w:type="dxa"/>
            <w:tcBorders>
              <w:top w:val="nil"/>
              <w:left w:val="nil"/>
              <w:bottom w:val="nil"/>
              <w:right w:val="nil"/>
            </w:tcBorders>
            <w:shd w:val="clear" w:color="FFFFFF" w:fill="FFFFFF"/>
            <w:noWrap/>
            <w:vAlign w:val="bottom"/>
            <w:hideMark/>
          </w:tcPr>
          <w:p w14:paraId="5A0693F5" w14:textId="77777777" w:rsidR="00C32CBD" w:rsidRDefault="00C32CBD" w:rsidP="00320D09">
            <w:pPr>
              <w:rPr>
                <w:rFonts w:cs="Arial"/>
                <w:b/>
                <w:bCs/>
                <w:sz w:val="18"/>
                <w:szCs w:val="18"/>
              </w:rPr>
            </w:pPr>
            <w:r>
              <w:rPr>
                <w:rFonts w:cs="Arial"/>
                <w:b/>
                <w:bCs/>
                <w:sz w:val="18"/>
                <w:szCs w:val="18"/>
              </w:rPr>
              <w:t> </w:t>
            </w:r>
          </w:p>
        </w:tc>
        <w:tc>
          <w:tcPr>
            <w:tcW w:w="1317" w:type="dxa"/>
            <w:tcBorders>
              <w:top w:val="nil"/>
              <w:left w:val="nil"/>
              <w:bottom w:val="nil"/>
              <w:right w:val="nil"/>
            </w:tcBorders>
            <w:shd w:val="clear" w:color="FFFFFF" w:fill="FFFFFF"/>
            <w:noWrap/>
            <w:vAlign w:val="bottom"/>
            <w:hideMark/>
          </w:tcPr>
          <w:p w14:paraId="4966FB84" w14:textId="77777777" w:rsidR="00C32CBD" w:rsidRDefault="00C32CBD" w:rsidP="00320D09">
            <w:pPr>
              <w:rPr>
                <w:rFonts w:cs="Arial"/>
                <w:sz w:val="18"/>
                <w:szCs w:val="18"/>
              </w:rPr>
            </w:pPr>
            <w:r>
              <w:rPr>
                <w:rFonts w:cs="Arial"/>
                <w:sz w:val="18"/>
                <w:szCs w:val="18"/>
              </w:rPr>
              <w:t> </w:t>
            </w:r>
          </w:p>
        </w:tc>
        <w:tc>
          <w:tcPr>
            <w:tcW w:w="305" w:type="dxa"/>
            <w:tcBorders>
              <w:top w:val="nil"/>
              <w:left w:val="nil"/>
              <w:bottom w:val="nil"/>
              <w:right w:val="nil"/>
            </w:tcBorders>
            <w:shd w:val="clear" w:color="FFFFFF" w:fill="FFFFFF"/>
            <w:noWrap/>
            <w:vAlign w:val="bottom"/>
            <w:hideMark/>
          </w:tcPr>
          <w:p w14:paraId="0ECBC4CF" w14:textId="77777777" w:rsidR="00C32CBD" w:rsidRDefault="00C32CBD" w:rsidP="00320D09">
            <w:pPr>
              <w:rPr>
                <w:rFonts w:cs="Arial"/>
                <w:sz w:val="18"/>
                <w:szCs w:val="18"/>
              </w:rPr>
            </w:pPr>
            <w:r>
              <w:rPr>
                <w:rFonts w:cs="Arial"/>
                <w:sz w:val="18"/>
                <w:szCs w:val="18"/>
              </w:rPr>
              <w:t> </w:t>
            </w:r>
          </w:p>
        </w:tc>
        <w:tc>
          <w:tcPr>
            <w:tcW w:w="1317" w:type="dxa"/>
            <w:tcBorders>
              <w:top w:val="nil"/>
              <w:left w:val="nil"/>
              <w:bottom w:val="nil"/>
              <w:right w:val="nil"/>
            </w:tcBorders>
            <w:shd w:val="clear" w:color="FFFFFF" w:fill="FFFFFF"/>
            <w:noWrap/>
            <w:vAlign w:val="bottom"/>
            <w:hideMark/>
          </w:tcPr>
          <w:p w14:paraId="3A49E21C" w14:textId="77777777" w:rsidR="00C32CBD" w:rsidRDefault="00C32CBD" w:rsidP="00320D09">
            <w:pPr>
              <w:rPr>
                <w:rFonts w:cs="Arial"/>
                <w:b/>
                <w:bCs/>
                <w:sz w:val="18"/>
                <w:szCs w:val="18"/>
              </w:rPr>
            </w:pPr>
            <w:r>
              <w:rPr>
                <w:rFonts w:cs="Arial"/>
                <w:b/>
                <w:bCs/>
                <w:sz w:val="18"/>
                <w:szCs w:val="18"/>
              </w:rPr>
              <w:t> </w:t>
            </w:r>
          </w:p>
        </w:tc>
      </w:tr>
      <w:tr w:rsidR="00C32CBD" w14:paraId="25EA9C50" w14:textId="77777777" w:rsidTr="00320D09">
        <w:trPr>
          <w:trHeight w:val="255"/>
        </w:trPr>
        <w:tc>
          <w:tcPr>
            <w:tcW w:w="4831" w:type="dxa"/>
            <w:tcBorders>
              <w:top w:val="nil"/>
              <w:left w:val="nil"/>
              <w:bottom w:val="nil"/>
              <w:right w:val="nil"/>
            </w:tcBorders>
            <w:shd w:val="clear" w:color="FFFFFF" w:fill="FFFFFF"/>
            <w:vAlign w:val="bottom"/>
            <w:hideMark/>
          </w:tcPr>
          <w:p w14:paraId="66E5C71F" w14:textId="77777777" w:rsidR="00C32CBD" w:rsidRDefault="00C32CBD" w:rsidP="00320D09">
            <w:pPr>
              <w:rPr>
                <w:rFonts w:cs="Arial"/>
                <w:sz w:val="18"/>
                <w:szCs w:val="18"/>
              </w:rPr>
            </w:pPr>
            <w:r>
              <w:rPr>
                <w:rFonts w:cs="Arial"/>
                <w:sz w:val="18"/>
                <w:szCs w:val="18"/>
              </w:rPr>
              <w:t>Equity injection</w:t>
            </w:r>
          </w:p>
        </w:tc>
        <w:tc>
          <w:tcPr>
            <w:tcW w:w="1317" w:type="dxa"/>
            <w:tcBorders>
              <w:top w:val="nil"/>
              <w:left w:val="nil"/>
              <w:bottom w:val="nil"/>
              <w:right w:val="nil"/>
            </w:tcBorders>
            <w:shd w:val="clear" w:color="FFFFFF" w:fill="FFFFFF"/>
            <w:noWrap/>
            <w:vAlign w:val="bottom"/>
            <w:hideMark/>
          </w:tcPr>
          <w:p w14:paraId="1814D664" w14:textId="77777777" w:rsidR="00C32CBD" w:rsidRDefault="00C32CBD" w:rsidP="00320D09">
            <w:pPr>
              <w:jc w:val="right"/>
              <w:rPr>
                <w:rFonts w:cs="Arial"/>
                <w:b/>
                <w:bCs/>
                <w:sz w:val="18"/>
                <w:szCs w:val="18"/>
              </w:rPr>
            </w:pPr>
            <w:r>
              <w:rPr>
                <w:rFonts w:cs="Arial"/>
                <w:b/>
                <w:bCs/>
                <w:sz w:val="18"/>
                <w:szCs w:val="18"/>
              </w:rPr>
              <w:t> </w:t>
            </w:r>
          </w:p>
        </w:tc>
        <w:tc>
          <w:tcPr>
            <w:tcW w:w="1317" w:type="dxa"/>
            <w:tcBorders>
              <w:top w:val="nil"/>
              <w:left w:val="nil"/>
              <w:bottom w:val="nil"/>
              <w:right w:val="nil"/>
            </w:tcBorders>
            <w:shd w:val="clear" w:color="FFFFFF" w:fill="FFFFFF"/>
            <w:noWrap/>
            <w:vAlign w:val="bottom"/>
            <w:hideMark/>
          </w:tcPr>
          <w:p w14:paraId="727183E8" w14:textId="77777777" w:rsidR="00C32CBD" w:rsidRDefault="00C32CBD" w:rsidP="00320D09">
            <w:pPr>
              <w:jc w:val="right"/>
              <w:rPr>
                <w:rFonts w:cs="Arial"/>
                <w:sz w:val="18"/>
                <w:szCs w:val="18"/>
              </w:rPr>
            </w:pPr>
            <w:r>
              <w:rPr>
                <w:rFonts w:cs="Arial"/>
                <w:sz w:val="18"/>
                <w:szCs w:val="18"/>
              </w:rPr>
              <w:t> </w:t>
            </w:r>
          </w:p>
        </w:tc>
        <w:tc>
          <w:tcPr>
            <w:tcW w:w="305" w:type="dxa"/>
            <w:tcBorders>
              <w:top w:val="nil"/>
              <w:left w:val="nil"/>
              <w:bottom w:val="nil"/>
              <w:right w:val="nil"/>
            </w:tcBorders>
            <w:shd w:val="clear" w:color="FFFFFF" w:fill="FFFFFF"/>
            <w:noWrap/>
            <w:vAlign w:val="bottom"/>
            <w:hideMark/>
          </w:tcPr>
          <w:p w14:paraId="07DE435C" w14:textId="77777777" w:rsidR="00C32CBD" w:rsidRDefault="00C32CBD" w:rsidP="00320D09">
            <w:pPr>
              <w:jc w:val="right"/>
              <w:rPr>
                <w:rFonts w:cs="Arial"/>
                <w:sz w:val="18"/>
                <w:szCs w:val="18"/>
              </w:rPr>
            </w:pPr>
            <w:r>
              <w:rPr>
                <w:rFonts w:cs="Arial"/>
                <w:sz w:val="18"/>
                <w:szCs w:val="18"/>
              </w:rPr>
              <w:t> </w:t>
            </w:r>
          </w:p>
        </w:tc>
        <w:tc>
          <w:tcPr>
            <w:tcW w:w="1317" w:type="dxa"/>
            <w:tcBorders>
              <w:top w:val="nil"/>
              <w:left w:val="nil"/>
              <w:bottom w:val="nil"/>
              <w:right w:val="nil"/>
            </w:tcBorders>
            <w:shd w:val="clear" w:color="FFFFFF" w:fill="FFFFFF"/>
            <w:noWrap/>
            <w:vAlign w:val="bottom"/>
            <w:hideMark/>
          </w:tcPr>
          <w:p w14:paraId="74CADF6F" w14:textId="77777777" w:rsidR="00C32CBD" w:rsidRDefault="00C32CBD" w:rsidP="00320D09">
            <w:pPr>
              <w:jc w:val="right"/>
              <w:rPr>
                <w:rFonts w:cs="Arial"/>
                <w:sz w:val="18"/>
                <w:szCs w:val="18"/>
              </w:rPr>
            </w:pPr>
            <w:r>
              <w:rPr>
                <w:rFonts w:cs="Arial"/>
                <w:sz w:val="18"/>
                <w:szCs w:val="18"/>
              </w:rPr>
              <w:t> </w:t>
            </w:r>
          </w:p>
        </w:tc>
      </w:tr>
      <w:tr w:rsidR="00C32CBD" w14:paraId="64ABF952" w14:textId="77777777" w:rsidTr="00320D09">
        <w:trPr>
          <w:trHeight w:val="270"/>
        </w:trPr>
        <w:tc>
          <w:tcPr>
            <w:tcW w:w="4831" w:type="dxa"/>
            <w:tcBorders>
              <w:top w:val="nil"/>
              <w:left w:val="nil"/>
              <w:bottom w:val="nil"/>
              <w:right w:val="nil"/>
            </w:tcBorders>
            <w:shd w:val="clear" w:color="FFFFFF" w:fill="FFFFFF"/>
            <w:vAlign w:val="bottom"/>
            <w:hideMark/>
          </w:tcPr>
          <w:p w14:paraId="347B6D9F" w14:textId="77777777" w:rsidR="00C32CBD" w:rsidRDefault="00C32CBD" w:rsidP="00320D09">
            <w:pPr>
              <w:ind w:firstLineChars="100" w:firstLine="180"/>
              <w:rPr>
                <w:rFonts w:cs="Arial"/>
                <w:sz w:val="18"/>
                <w:szCs w:val="18"/>
              </w:rPr>
            </w:pPr>
            <w:r>
              <w:rPr>
                <w:rFonts w:cs="Arial"/>
                <w:sz w:val="18"/>
                <w:szCs w:val="18"/>
              </w:rPr>
              <w:t>Corporate Commonwealth entity payment</w:t>
            </w:r>
          </w:p>
        </w:tc>
        <w:tc>
          <w:tcPr>
            <w:tcW w:w="1317" w:type="dxa"/>
            <w:tcBorders>
              <w:top w:val="nil"/>
              <w:left w:val="nil"/>
              <w:bottom w:val="nil"/>
              <w:right w:val="nil"/>
            </w:tcBorders>
            <w:shd w:val="clear" w:color="FFFFFF" w:fill="FFFFFF"/>
            <w:noWrap/>
            <w:vAlign w:val="bottom"/>
            <w:hideMark/>
          </w:tcPr>
          <w:p w14:paraId="7E294E51" w14:textId="77777777" w:rsidR="00C32CBD" w:rsidRDefault="00C32CBD" w:rsidP="00320D09">
            <w:pPr>
              <w:jc w:val="right"/>
              <w:rPr>
                <w:rFonts w:cs="Arial"/>
                <w:b/>
                <w:bCs/>
                <w:sz w:val="18"/>
                <w:szCs w:val="18"/>
              </w:rPr>
            </w:pPr>
            <w:r>
              <w:rPr>
                <w:rFonts w:cs="Arial"/>
                <w:b/>
                <w:bCs/>
                <w:sz w:val="18"/>
                <w:szCs w:val="18"/>
              </w:rPr>
              <w:t>116,197</w:t>
            </w:r>
          </w:p>
        </w:tc>
        <w:tc>
          <w:tcPr>
            <w:tcW w:w="1317" w:type="dxa"/>
            <w:tcBorders>
              <w:top w:val="nil"/>
              <w:left w:val="nil"/>
              <w:bottom w:val="nil"/>
              <w:right w:val="nil"/>
            </w:tcBorders>
            <w:shd w:val="clear" w:color="FFFFFF" w:fill="FFFFFF"/>
            <w:noWrap/>
            <w:vAlign w:val="bottom"/>
            <w:hideMark/>
          </w:tcPr>
          <w:p w14:paraId="11AE664D" w14:textId="77777777" w:rsidR="00C32CBD" w:rsidRDefault="00C32CBD" w:rsidP="00320D09">
            <w:pPr>
              <w:jc w:val="right"/>
              <w:rPr>
                <w:rFonts w:cs="Arial"/>
                <w:sz w:val="18"/>
                <w:szCs w:val="18"/>
              </w:rPr>
            </w:pPr>
            <w:r>
              <w:rPr>
                <w:rFonts w:cs="Arial"/>
                <w:sz w:val="18"/>
                <w:szCs w:val="18"/>
              </w:rPr>
              <w:t>57,756</w:t>
            </w:r>
          </w:p>
        </w:tc>
        <w:tc>
          <w:tcPr>
            <w:tcW w:w="305" w:type="dxa"/>
            <w:tcBorders>
              <w:top w:val="nil"/>
              <w:left w:val="nil"/>
              <w:bottom w:val="nil"/>
              <w:right w:val="nil"/>
            </w:tcBorders>
            <w:shd w:val="clear" w:color="FFFFFF" w:fill="FFFFFF"/>
            <w:noWrap/>
            <w:vAlign w:val="bottom"/>
            <w:hideMark/>
          </w:tcPr>
          <w:p w14:paraId="6A974899" w14:textId="77777777" w:rsidR="00C32CBD" w:rsidRDefault="00C32CBD" w:rsidP="00320D09">
            <w:pPr>
              <w:jc w:val="right"/>
              <w:rPr>
                <w:rFonts w:cs="Arial"/>
                <w:sz w:val="18"/>
                <w:szCs w:val="18"/>
              </w:rPr>
            </w:pPr>
            <w:r>
              <w:rPr>
                <w:rFonts w:cs="Arial"/>
                <w:sz w:val="18"/>
                <w:szCs w:val="18"/>
              </w:rPr>
              <w:t> </w:t>
            </w:r>
          </w:p>
        </w:tc>
        <w:tc>
          <w:tcPr>
            <w:tcW w:w="1317" w:type="dxa"/>
            <w:tcBorders>
              <w:top w:val="nil"/>
              <w:left w:val="nil"/>
              <w:bottom w:val="nil"/>
              <w:right w:val="nil"/>
            </w:tcBorders>
            <w:shd w:val="clear" w:color="FFFFFF" w:fill="FFFFFF"/>
            <w:noWrap/>
            <w:vAlign w:val="bottom"/>
            <w:hideMark/>
          </w:tcPr>
          <w:p w14:paraId="48C9115D" w14:textId="77777777" w:rsidR="00C32CBD" w:rsidRDefault="00C32CBD" w:rsidP="00320D09">
            <w:pPr>
              <w:jc w:val="right"/>
              <w:rPr>
                <w:rFonts w:cs="Arial"/>
                <w:sz w:val="18"/>
                <w:szCs w:val="18"/>
              </w:rPr>
            </w:pPr>
            <w:r>
              <w:rPr>
                <w:rFonts w:cs="Arial"/>
                <w:sz w:val="18"/>
                <w:szCs w:val="18"/>
              </w:rPr>
              <w:t>116,197</w:t>
            </w:r>
          </w:p>
        </w:tc>
      </w:tr>
      <w:tr w:rsidR="00C32CBD" w14:paraId="290B236F" w14:textId="77777777" w:rsidTr="00320D09">
        <w:trPr>
          <w:trHeight w:val="255"/>
        </w:trPr>
        <w:tc>
          <w:tcPr>
            <w:tcW w:w="4831" w:type="dxa"/>
            <w:tcBorders>
              <w:top w:val="single" w:sz="4" w:space="0" w:color="auto"/>
              <w:left w:val="nil"/>
              <w:bottom w:val="single" w:sz="4" w:space="0" w:color="auto"/>
              <w:right w:val="nil"/>
            </w:tcBorders>
            <w:shd w:val="clear" w:color="FFFFFF" w:fill="FFFFFF"/>
            <w:vAlign w:val="bottom"/>
            <w:hideMark/>
          </w:tcPr>
          <w:p w14:paraId="3488A524" w14:textId="77777777" w:rsidR="00C32CBD" w:rsidRDefault="00C32CBD" w:rsidP="00320D09">
            <w:pPr>
              <w:rPr>
                <w:rFonts w:cs="Arial"/>
                <w:b/>
                <w:bCs/>
                <w:sz w:val="18"/>
                <w:szCs w:val="18"/>
              </w:rPr>
            </w:pPr>
            <w:r>
              <w:rPr>
                <w:rFonts w:cs="Arial"/>
                <w:b/>
                <w:bCs/>
                <w:sz w:val="18"/>
                <w:szCs w:val="18"/>
              </w:rPr>
              <w:t>Closing balance</w:t>
            </w:r>
          </w:p>
        </w:tc>
        <w:tc>
          <w:tcPr>
            <w:tcW w:w="1317" w:type="dxa"/>
            <w:tcBorders>
              <w:top w:val="single" w:sz="4" w:space="0" w:color="auto"/>
              <w:left w:val="nil"/>
              <w:bottom w:val="single" w:sz="4" w:space="0" w:color="auto"/>
              <w:right w:val="nil"/>
            </w:tcBorders>
            <w:shd w:val="clear" w:color="FFFFFF" w:fill="FFFFFF"/>
            <w:noWrap/>
            <w:vAlign w:val="bottom"/>
            <w:hideMark/>
          </w:tcPr>
          <w:p w14:paraId="7934348F" w14:textId="77777777" w:rsidR="00C32CBD" w:rsidRDefault="00C32CBD" w:rsidP="00320D09">
            <w:pPr>
              <w:jc w:val="right"/>
              <w:rPr>
                <w:rFonts w:cs="Arial"/>
                <w:b/>
                <w:bCs/>
                <w:sz w:val="18"/>
                <w:szCs w:val="18"/>
              </w:rPr>
            </w:pPr>
            <w:r>
              <w:rPr>
                <w:rFonts w:cs="Arial"/>
                <w:b/>
                <w:bCs/>
                <w:sz w:val="18"/>
                <w:szCs w:val="18"/>
              </w:rPr>
              <w:t>205,733</w:t>
            </w:r>
          </w:p>
        </w:tc>
        <w:tc>
          <w:tcPr>
            <w:tcW w:w="1317" w:type="dxa"/>
            <w:tcBorders>
              <w:top w:val="single" w:sz="4" w:space="0" w:color="auto"/>
              <w:left w:val="nil"/>
              <w:bottom w:val="single" w:sz="4" w:space="0" w:color="auto"/>
              <w:right w:val="nil"/>
            </w:tcBorders>
            <w:shd w:val="clear" w:color="FFFFFF" w:fill="FFFFFF"/>
            <w:noWrap/>
            <w:vAlign w:val="bottom"/>
            <w:hideMark/>
          </w:tcPr>
          <w:p w14:paraId="62D15406" w14:textId="77777777" w:rsidR="00C32CBD" w:rsidRDefault="00C32CBD" w:rsidP="00320D09">
            <w:pPr>
              <w:jc w:val="right"/>
              <w:rPr>
                <w:rFonts w:cs="Arial"/>
                <w:sz w:val="18"/>
                <w:szCs w:val="18"/>
              </w:rPr>
            </w:pPr>
            <w:r>
              <w:rPr>
                <w:rFonts w:cs="Arial"/>
                <w:sz w:val="18"/>
                <w:szCs w:val="18"/>
              </w:rPr>
              <w:t>89,536</w:t>
            </w:r>
          </w:p>
        </w:tc>
        <w:tc>
          <w:tcPr>
            <w:tcW w:w="305" w:type="dxa"/>
            <w:tcBorders>
              <w:top w:val="single" w:sz="4" w:space="0" w:color="auto"/>
              <w:left w:val="nil"/>
              <w:bottom w:val="single" w:sz="4" w:space="0" w:color="auto"/>
              <w:right w:val="nil"/>
            </w:tcBorders>
            <w:shd w:val="clear" w:color="FFFFFF" w:fill="FFFFFF"/>
            <w:noWrap/>
            <w:vAlign w:val="bottom"/>
            <w:hideMark/>
          </w:tcPr>
          <w:p w14:paraId="1391509C" w14:textId="77777777" w:rsidR="00C32CBD" w:rsidRDefault="00C32CBD" w:rsidP="00320D09">
            <w:pPr>
              <w:jc w:val="right"/>
              <w:rPr>
                <w:rFonts w:cs="Arial"/>
                <w:sz w:val="18"/>
                <w:szCs w:val="18"/>
              </w:rPr>
            </w:pPr>
            <w:r>
              <w:rPr>
                <w:rFonts w:cs="Arial"/>
                <w:sz w:val="18"/>
                <w:szCs w:val="18"/>
              </w:rPr>
              <w:t> </w:t>
            </w:r>
          </w:p>
        </w:tc>
        <w:tc>
          <w:tcPr>
            <w:tcW w:w="1317" w:type="dxa"/>
            <w:tcBorders>
              <w:top w:val="single" w:sz="4" w:space="0" w:color="auto"/>
              <w:left w:val="nil"/>
              <w:bottom w:val="single" w:sz="4" w:space="0" w:color="auto"/>
              <w:right w:val="nil"/>
            </w:tcBorders>
            <w:shd w:val="clear" w:color="FFFFFF" w:fill="FFFFFF"/>
            <w:noWrap/>
            <w:vAlign w:val="bottom"/>
            <w:hideMark/>
          </w:tcPr>
          <w:p w14:paraId="48CE2FC3" w14:textId="77777777" w:rsidR="00C32CBD" w:rsidRDefault="00C32CBD" w:rsidP="00320D09">
            <w:pPr>
              <w:jc w:val="right"/>
              <w:rPr>
                <w:rFonts w:cs="Arial"/>
                <w:sz w:val="18"/>
                <w:szCs w:val="18"/>
              </w:rPr>
            </w:pPr>
            <w:r>
              <w:rPr>
                <w:rFonts w:cs="Arial"/>
                <w:sz w:val="18"/>
                <w:szCs w:val="18"/>
              </w:rPr>
              <w:t>205,733</w:t>
            </w:r>
          </w:p>
        </w:tc>
      </w:tr>
      <w:tr w:rsidR="00C32CBD" w14:paraId="0B7E919C" w14:textId="77777777" w:rsidTr="00320D09">
        <w:trPr>
          <w:trHeight w:val="255"/>
        </w:trPr>
        <w:tc>
          <w:tcPr>
            <w:tcW w:w="4831" w:type="dxa"/>
            <w:tcBorders>
              <w:top w:val="nil"/>
              <w:left w:val="nil"/>
              <w:bottom w:val="nil"/>
              <w:right w:val="nil"/>
            </w:tcBorders>
            <w:shd w:val="clear" w:color="FFFFFF" w:fill="FFFFFF"/>
            <w:noWrap/>
            <w:vAlign w:val="bottom"/>
            <w:hideMark/>
          </w:tcPr>
          <w:p w14:paraId="2B5B19C4" w14:textId="77777777" w:rsidR="00C32CBD" w:rsidRDefault="00C32CBD" w:rsidP="00320D09">
            <w:pPr>
              <w:jc w:val="right"/>
              <w:rPr>
                <w:rFonts w:cs="Arial"/>
                <w:sz w:val="18"/>
                <w:szCs w:val="18"/>
              </w:rPr>
            </w:pPr>
            <w:r>
              <w:rPr>
                <w:rFonts w:cs="Arial"/>
                <w:sz w:val="18"/>
                <w:szCs w:val="18"/>
              </w:rPr>
              <w:t> </w:t>
            </w:r>
          </w:p>
        </w:tc>
        <w:tc>
          <w:tcPr>
            <w:tcW w:w="1317" w:type="dxa"/>
            <w:tcBorders>
              <w:top w:val="nil"/>
              <w:left w:val="nil"/>
              <w:bottom w:val="nil"/>
              <w:right w:val="nil"/>
            </w:tcBorders>
            <w:shd w:val="clear" w:color="FFFFFF" w:fill="FFFFFF"/>
            <w:noWrap/>
            <w:vAlign w:val="bottom"/>
            <w:hideMark/>
          </w:tcPr>
          <w:p w14:paraId="60F82FC5" w14:textId="77777777" w:rsidR="00C32CBD" w:rsidRDefault="00C32CBD" w:rsidP="00320D09">
            <w:pPr>
              <w:jc w:val="right"/>
              <w:rPr>
                <w:rFonts w:cs="Arial"/>
                <w:sz w:val="18"/>
                <w:szCs w:val="18"/>
              </w:rPr>
            </w:pPr>
            <w:r>
              <w:rPr>
                <w:rFonts w:cs="Arial"/>
                <w:sz w:val="18"/>
                <w:szCs w:val="18"/>
              </w:rPr>
              <w:t> </w:t>
            </w:r>
          </w:p>
        </w:tc>
        <w:tc>
          <w:tcPr>
            <w:tcW w:w="1317" w:type="dxa"/>
            <w:tcBorders>
              <w:top w:val="nil"/>
              <w:left w:val="nil"/>
              <w:bottom w:val="nil"/>
              <w:right w:val="nil"/>
            </w:tcBorders>
            <w:shd w:val="clear" w:color="FFFFFF" w:fill="FFFFFF"/>
            <w:noWrap/>
            <w:vAlign w:val="bottom"/>
            <w:hideMark/>
          </w:tcPr>
          <w:p w14:paraId="2C4D81EB" w14:textId="77777777" w:rsidR="00C32CBD" w:rsidRDefault="00C32CBD" w:rsidP="00320D09">
            <w:pPr>
              <w:jc w:val="right"/>
              <w:rPr>
                <w:rFonts w:cs="Arial"/>
                <w:sz w:val="18"/>
                <w:szCs w:val="18"/>
              </w:rPr>
            </w:pPr>
            <w:r>
              <w:rPr>
                <w:rFonts w:cs="Arial"/>
                <w:sz w:val="18"/>
                <w:szCs w:val="18"/>
              </w:rPr>
              <w:t> </w:t>
            </w:r>
          </w:p>
        </w:tc>
        <w:tc>
          <w:tcPr>
            <w:tcW w:w="305" w:type="dxa"/>
            <w:tcBorders>
              <w:top w:val="nil"/>
              <w:left w:val="nil"/>
              <w:bottom w:val="nil"/>
              <w:right w:val="nil"/>
            </w:tcBorders>
            <w:shd w:val="clear" w:color="FFFFFF" w:fill="FFFFFF"/>
            <w:noWrap/>
            <w:vAlign w:val="bottom"/>
            <w:hideMark/>
          </w:tcPr>
          <w:p w14:paraId="347DD6AF" w14:textId="77777777" w:rsidR="00C32CBD" w:rsidRDefault="00C32CBD" w:rsidP="00320D09">
            <w:pPr>
              <w:jc w:val="right"/>
              <w:rPr>
                <w:rFonts w:cs="Arial"/>
                <w:sz w:val="18"/>
                <w:szCs w:val="18"/>
              </w:rPr>
            </w:pPr>
            <w:r>
              <w:rPr>
                <w:rFonts w:cs="Arial"/>
                <w:sz w:val="18"/>
                <w:szCs w:val="18"/>
              </w:rPr>
              <w:t> </w:t>
            </w:r>
          </w:p>
        </w:tc>
        <w:tc>
          <w:tcPr>
            <w:tcW w:w="1317" w:type="dxa"/>
            <w:tcBorders>
              <w:top w:val="nil"/>
              <w:left w:val="nil"/>
              <w:bottom w:val="nil"/>
              <w:right w:val="nil"/>
            </w:tcBorders>
            <w:shd w:val="clear" w:color="FFFFFF" w:fill="FFFFFF"/>
            <w:noWrap/>
            <w:vAlign w:val="bottom"/>
            <w:hideMark/>
          </w:tcPr>
          <w:p w14:paraId="5AA1C7E5" w14:textId="77777777" w:rsidR="00C32CBD" w:rsidRDefault="00C32CBD" w:rsidP="00320D09">
            <w:pPr>
              <w:jc w:val="right"/>
              <w:rPr>
                <w:rFonts w:cs="Arial"/>
                <w:sz w:val="18"/>
                <w:szCs w:val="18"/>
              </w:rPr>
            </w:pPr>
            <w:r>
              <w:rPr>
                <w:rFonts w:cs="Arial"/>
                <w:sz w:val="18"/>
                <w:szCs w:val="18"/>
              </w:rPr>
              <w:t> </w:t>
            </w:r>
          </w:p>
        </w:tc>
      </w:tr>
      <w:tr w:rsidR="00C32CBD" w14:paraId="2B0F4805" w14:textId="77777777" w:rsidTr="00320D09">
        <w:trPr>
          <w:trHeight w:val="255"/>
        </w:trPr>
        <w:tc>
          <w:tcPr>
            <w:tcW w:w="4831" w:type="dxa"/>
            <w:tcBorders>
              <w:top w:val="nil"/>
              <w:left w:val="nil"/>
              <w:bottom w:val="nil"/>
              <w:right w:val="nil"/>
            </w:tcBorders>
            <w:shd w:val="clear" w:color="FFFFFF" w:fill="FFFFFF"/>
            <w:vAlign w:val="bottom"/>
            <w:hideMark/>
          </w:tcPr>
          <w:p w14:paraId="11A4B2FD" w14:textId="77777777" w:rsidR="00C32CBD" w:rsidRDefault="00C32CBD" w:rsidP="00320D09">
            <w:pPr>
              <w:rPr>
                <w:rFonts w:cs="Arial"/>
                <w:b/>
                <w:bCs/>
                <w:sz w:val="18"/>
                <w:szCs w:val="18"/>
              </w:rPr>
            </w:pPr>
            <w:r>
              <w:rPr>
                <w:rFonts w:cs="Arial"/>
                <w:b/>
                <w:bCs/>
                <w:sz w:val="18"/>
                <w:szCs w:val="18"/>
              </w:rPr>
              <w:t>RETAINED SURPLUS</w:t>
            </w:r>
          </w:p>
        </w:tc>
        <w:tc>
          <w:tcPr>
            <w:tcW w:w="1317" w:type="dxa"/>
            <w:tcBorders>
              <w:top w:val="nil"/>
              <w:left w:val="nil"/>
              <w:bottom w:val="nil"/>
              <w:right w:val="nil"/>
            </w:tcBorders>
            <w:shd w:val="clear" w:color="FFFFFF" w:fill="FFFFFF"/>
            <w:noWrap/>
            <w:vAlign w:val="bottom"/>
            <w:hideMark/>
          </w:tcPr>
          <w:p w14:paraId="767358EB" w14:textId="77777777" w:rsidR="00C32CBD" w:rsidRDefault="00C32CBD" w:rsidP="00320D09">
            <w:pPr>
              <w:jc w:val="right"/>
              <w:rPr>
                <w:rFonts w:cs="Arial"/>
                <w:sz w:val="18"/>
                <w:szCs w:val="18"/>
              </w:rPr>
            </w:pPr>
            <w:r>
              <w:rPr>
                <w:rFonts w:cs="Arial"/>
                <w:sz w:val="18"/>
                <w:szCs w:val="18"/>
              </w:rPr>
              <w:t> </w:t>
            </w:r>
          </w:p>
        </w:tc>
        <w:tc>
          <w:tcPr>
            <w:tcW w:w="1317" w:type="dxa"/>
            <w:tcBorders>
              <w:top w:val="nil"/>
              <w:left w:val="nil"/>
              <w:bottom w:val="nil"/>
              <w:right w:val="nil"/>
            </w:tcBorders>
            <w:shd w:val="clear" w:color="FFFFFF" w:fill="FFFFFF"/>
            <w:noWrap/>
            <w:vAlign w:val="bottom"/>
            <w:hideMark/>
          </w:tcPr>
          <w:p w14:paraId="42271460" w14:textId="77777777" w:rsidR="00C32CBD" w:rsidRDefault="00C32CBD" w:rsidP="00320D09">
            <w:pPr>
              <w:jc w:val="right"/>
              <w:rPr>
                <w:rFonts w:cs="Arial"/>
                <w:sz w:val="18"/>
                <w:szCs w:val="18"/>
              </w:rPr>
            </w:pPr>
            <w:r>
              <w:rPr>
                <w:rFonts w:cs="Arial"/>
                <w:sz w:val="18"/>
                <w:szCs w:val="18"/>
              </w:rPr>
              <w:t> </w:t>
            </w:r>
          </w:p>
        </w:tc>
        <w:tc>
          <w:tcPr>
            <w:tcW w:w="305" w:type="dxa"/>
            <w:tcBorders>
              <w:top w:val="nil"/>
              <w:left w:val="nil"/>
              <w:bottom w:val="nil"/>
              <w:right w:val="nil"/>
            </w:tcBorders>
            <w:shd w:val="clear" w:color="FFFFFF" w:fill="FFFFFF"/>
            <w:noWrap/>
            <w:vAlign w:val="bottom"/>
            <w:hideMark/>
          </w:tcPr>
          <w:p w14:paraId="70457B04" w14:textId="77777777" w:rsidR="00C32CBD" w:rsidRDefault="00C32CBD" w:rsidP="00320D09">
            <w:pPr>
              <w:jc w:val="right"/>
              <w:rPr>
                <w:rFonts w:cs="Arial"/>
                <w:sz w:val="18"/>
                <w:szCs w:val="18"/>
              </w:rPr>
            </w:pPr>
            <w:r>
              <w:rPr>
                <w:rFonts w:cs="Arial"/>
                <w:sz w:val="18"/>
                <w:szCs w:val="18"/>
              </w:rPr>
              <w:t> </w:t>
            </w:r>
          </w:p>
        </w:tc>
        <w:tc>
          <w:tcPr>
            <w:tcW w:w="1317" w:type="dxa"/>
            <w:tcBorders>
              <w:top w:val="nil"/>
              <w:left w:val="nil"/>
              <w:bottom w:val="nil"/>
              <w:right w:val="nil"/>
            </w:tcBorders>
            <w:shd w:val="clear" w:color="FFFFFF" w:fill="FFFFFF"/>
            <w:noWrap/>
            <w:vAlign w:val="bottom"/>
            <w:hideMark/>
          </w:tcPr>
          <w:p w14:paraId="348D47FB" w14:textId="77777777" w:rsidR="00C32CBD" w:rsidRDefault="00C32CBD" w:rsidP="00320D09">
            <w:pPr>
              <w:jc w:val="right"/>
              <w:rPr>
                <w:rFonts w:cs="Arial"/>
                <w:sz w:val="18"/>
                <w:szCs w:val="18"/>
              </w:rPr>
            </w:pPr>
            <w:r>
              <w:rPr>
                <w:rFonts w:cs="Arial"/>
                <w:sz w:val="18"/>
                <w:szCs w:val="18"/>
              </w:rPr>
              <w:t> </w:t>
            </w:r>
          </w:p>
        </w:tc>
      </w:tr>
      <w:tr w:rsidR="00C32CBD" w14:paraId="518F6730" w14:textId="77777777" w:rsidTr="00320D09">
        <w:trPr>
          <w:trHeight w:val="255"/>
        </w:trPr>
        <w:tc>
          <w:tcPr>
            <w:tcW w:w="4831" w:type="dxa"/>
            <w:tcBorders>
              <w:top w:val="nil"/>
              <w:left w:val="nil"/>
              <w:bottom w:val="nil"/>
              <w:right w:val="nil"/>
            </w:tcBorders>
            <w:shd w:val="clear" w:color="FFFFFF" w:fill="FFFFFF"/>
            <w:vAlign w:val="bottom"/>
            <w:hideMark/>
          </w:tcPr>
          <w:p w14:paraId="044AA782" w14:textId="77777777" w:rsidR="00C32CBD" w:rsidRDefault="00C32CBD" w:rsidP="00320D09">
            <w:pPr>
              <w:rPr>
                <w:rFonts w:cs="Arial"/>
                <w:b/>
                <w:bCs/>
                <w:sz w:val="18"/>
                <w:szCs w:val="18"/>
              </w:rPr>
            </w:pPr>
            <w:r>
              <w:rPr>
                <w:rFonts w:cs="Arial"/>
                <w:b/>
                <w:bCs/>
                <w:sz w:val="18"/>
                <w:szCs w:val="18"/>
              </w:rPr>
              <w:t>Opening balance</w:t>
            </w:r>
          </w:p>
        </w:tc>
        <w:tc>
          <w:tcPr>
            <w:tcW w:w="1317" w:type="dxa"/>
            <w:tcBorders>
              <w:top w:val="nil"/>
              <w:left w:val="nil"/>
              <w:bottom w:val="nil"/>
              <w:right w:val="nil"/>
            </w:tcBorders>
            <w:shd w:val="clear" w:color="FFFFFF" w:fill="FFFFFF"/>
            <w:noWrap/>
            <w:vAlign w:val="bottom"/>
            <w:hideMark/>
          </w:tcPr>
          <w:p w14:paraId="3F08E8D7" w14:textId="77777777" w:rsidR="00C32CBD" w:rsidRDefault="00C32CBD" w:rsidP="00320D09">
            <w:pPr>
              <w:jc w:val="right"/>
              <w:rPr>
                <w:rFonts w:cs="Arial"/>
                <w:b/>
                <w:bCs/>
                <w:sz w:val="18"/>
                <w:szCs w:val="18"/>
              </w:rPr>
            </w:pPr>
            <w:r>
              <w:rPr>
                <w:rFonts w:cs="Arial"/>
                <w:b/>
                <w:bCs/>
                <w:sz w:val="18"/>
                <w:szCs w:val="18"/>
              </w:rPr>
              <w:t>34,169</w:t>
            </w:r>
          </w:p>
        </w:tc>
        <w:tc>
          <w:tcPr>
            <w:tcW w:w="1317" w:type="dxa"/>
            <w:tcBorders>
              <w:top w:val="nil"/>
              <w:left w:val="nil"/>
              <w:bottom w:val="nil"/>
              <w:right w:val="nil"/>
            </w:tcBorders>
            <w:shd w:val="clear" w:color="FFFFFF" w:fill="FFFFFF"/>
            <w:noWrap/>
            <w:vAlign w:val="bottom"/>
            <w:hideMark/>
          </w:tcPr>
          <w:p w14:paraId="53D945F0" w14:textId="77777777" w:rsidR="00C32CBD" w:rsidRDefault="00C32CBD" w:rsidP="00320D09">
            <w:pPr>
              <w:jc w:val="right"/>
              <w:rPr>
                <w:rFonts w:cs="Arial"/>
                <w:sz w:val="18"/>
                <w:szCs w:val="18"/>
              </w:rPr>
            </w:pPr>
            <w:r>
              <w:rPr>
                <w:rFonts w:cs="Arial"/>
                <w:sz w:val="18"/>
                <w:szCs w:val="18"/>
              </w:rPr>
              <w:t>18,387</w:t>
            </w:r>
          </w:p>
        </w:tc>
        <w:tc>
          <w:tcPr>
            <w:tcW w:w="305" w:type="dxa"/>
            <w:tcBorders>
              <w:top w:val="nil"/>
              <w:left w:val="nil"/>
              <w:bottom w:val="nil"/>
              <w:right w:val="nil"/>
            </w:tcBorders>
            <w:shd w:val="clear" w:color="FFFFFF" w:fill="FFFFFF"/>
            <w:noWrap/>
            <w:vAlign w:val="bottom"/>
            <w:hideMark/>
          </w:tcPr>
          <w:p w14:paraId="515CED1D" w14:textId="77777777" w:rsidR="00C32CBD" w:rsidRDefault="00C32CBD" w:rsidP="00320D09">
            <w:pPr>
              <w:jc w:val="right"/>
              <w:rPr>
                <w:rFonts w:cs="Arial"/>
                <w:sz w:val="18"/>
                <w:szCs w:val="18"/>
              </w:rPr>
            </w:pPr>
            <w:r>
              <w:rPr>
                <w:rFonts w:cs="Arial"/>
                <w:sz w:val="18"/>
                <w:szCs w:val="18"/>
              </w:rPr>
              <w:t> </w:t>
            </w:r>
          </w:p>
        </w:tc>
        <w:tc>
          <w:tcPr>
            <w:tcW w:w="1317" w:type="dxa"/>
            <w:tcBorders>
              <w:top w:val="nil"/>
              <w:left w:val="nil"/>
              <w:bottom w:val="nil"/>
              <w:right w:val="nil"/>
            </w:tcBorders>
            <w:shd w:val="clear" w:color="FFFFFF" w:fill="FFFFFF"/>
            <w:noWrap/>
            <w:vAlign w:val="bottom"/>
            <w:hideMark/>
          </w:tcPr>
          <w:p w14:paraId="75016512" w14:textId="77777777" w:rsidR="00C32CBD" w:rsidRDefault="00C32CBD" w:rsidP="00320D09">
            <w:pPr>
              <w:jc w:val="right"/>
              <w:rPr>
                <w:rFonts w:cs="Arial"/>
                <w:sz w:val="18"/>
                <w:szCs w:val="18"/>
              </w:rPr>
            </w:pPr>
            <w:r>
              <w:rPr>
                <w:rFonts w:cs="Arial"/>
                <w:sz w:val="18"/>
                <w:szCs w:val="18"/>
              </w:rPr>
              <w:t>19,254</w:t>
            </w:r>
          </w:p>
        </w:tc>
      </w:tr>
      <w:tr w:rsidR="00C32CBD" w14:paraId="43B4EFD0" w14:textId="77777777" w:rsidTr="00320D09">
        <w:trPr>
          <w:trHeight w:val="255"/>
        </w:trPr>
        <w:tc>
          <w:tcPr>
            <w:tcW w:w="4831" w:type="dxa"/>
            <w:tcBorders>
              <w:top w:val="nil"/>
              <w:left w:val="nil"/>
              <w:bottom w:val="nil"/>
              <w:right w:val="nil"/>
            </w:tcBorders>
            <w:shd w:val="clear" w:color="FFFFFF" w:fill="FFFFFF"/>
            <w:vAlign w:val="bottom"/>
            <w:hideMark/>
          </w:tcPr>
          <w:p w14:paraId="05767BD3" w14:textId="77777777" w:rsidR="00C32CBD" w:rsidRDefault="00C32CBD" w:rsidP="00320D09">
            <w:pPr>
              <w:rPr>
                <w:rFonts w:cs="Arial"/>
                <w:b/>
                <w:bCs/>
                <w:sz w:val="18"/>
                <w:szCs w:val="18"/>
              </w:rPr>
            </w:pPr>
            <w:r>
              <w:rPr>
                <w:rFonts w:cs="Arial"/>
                <w:b/>
                <w:bCs/>
                <w:sz w:val="18"/>
                <w:szCs w:val="18"/>
              </w:rPr>
              <w:t>Comprehensive income</w:t>
            </w:r>
          </w:p>
        </w:tc>
        <w:tc>
          <w:tcPr>
            <w:tcW w:w="1317" w:type="dxa"/>
            <w:tcBorders>
              <w:top w:val="nil"/>
              <w:left w:val="nil"/>
              <w:bottom w:val="nil"/>
              <w:right w:val="nil"/>
            </w:tcBorders>
            <w:shd w:val="clear" w:color="FFFFFF" w:fill="FFFFFF"/>
            <w:noWrap/>
            <w:vAlign w:val="bottom"/>
            <w:hideMark/>
          </w:tcPr>
          <w:p w14:paraId="2D7909E5" w14:textId="77777777" w:rsidR="00C32CBD" w:rsidRDefault="00C32CBD" w:rsidP="00320D09">
            <w:pPr>
              <w:rPr>
                <w:rFonts w:cs="Arial"/>
                <w:b/>
                <w:bCs/>
                <w:sz w:val="18"/>
                <w:szCs w:val="18"/>
              </w:rPr>
            </w:pPr>
            <w:r>
              <w:rPr>
                <w:rFonts w:cs="Arial"/>
                <w:b/>
                <w:bCs/>
                <w:sz w:val="18"/>
                <w:szCs w:val="18"/>
              </w:rPr>
              <w:t> </w:t>
            </w:r>
          </w:p>
        </w:tc>
        <w:tc>
          <w:tcPr>
            <w:tcW w:w="1317" w:type="dxa"/>
            <w:tcBorders>
              <w:top w:val="nil"/>
              <w:left w:val="nil"/>
              <w:bottom w:val="nil"/>
              <w:right w:val="nil"/>
            </w:tcBorders>
            <w:shd w:val="clear" w:color="FFFFFF" w:fill="FFFFFF"/>
            <w:noWrap/>
            <w:vAlign w:val="bottom"/>
            <w:hideMark/>
          </w:tcPr>
          <w:p w14:paraId="177D7188" w14:textId="77777777" w:rsidR="00C32CBD" w:rsidRDefault="00C32CBD" w:rsidP="00320D09">
            <w:pPr>
              <w:rPr>
                <w:rFonts w:cs="Arial"/>
              </w:rPr>
            </w:pPr>
            <w:r>
              <w:rPr>
                <w:rFonts w:cs="Arial"/>
              </w:rPr>
              <w:t> </w:t>
            </w:r>
          </w:p>
        </w:tc>
        <w:tc>
          <w:tcPr>
            <w:tcW w:w="305" w:type="dxa"/>
            <w:tcBorders>
              <w:top w:val="nil"/>
              <w:left w:val="nil"/>
              <w:bottom w:val="nil"/>
              <w:right w:val="nil"/>
            </w:tcBorders>
            <w:shd w:val="clear" w:color="FFFFFF" w:fill="FFFFFF"/>
            <w:noWrap/>
            <w:vAlign w:val="bottom"/>
            <w:hideMark/>
          </w:tcPr>
          <w:p w14:paraId="427931FE" w14:textId="77777777" w:rsidR="00C32CBD" w:rsidRDefault="00C32CBD" w:rsidP="00320D09">
            <w:pPr>
              <w:rPr>
                <w:rFonts w:cs="Arial"/>
              </w:rPr>
            </w:pPr>
            <w:r>
              <w:rPr>
                <w:rFonts w:cs="Arial"/>
              </w:rPr>
              <w:t> </w:t>
            </w:r>
          </w:p>
        </w:tc>
        <w:tc>
          <w:tcPr>
            <w:tcW w:w="1317" w:type="dxa"/>
            <w:tcBorders>
              <w:top w:val="nil"/>
              <w:left w:val="nil"/>
              <w:bottom w:val="nil"/>
              <w:right w:val="nil"/>
            </w:tcBorders>
            <w:shd w:val="clear" w:color="FFFFFF" w:fill="FFFFFF"/>
            <w:noWrap/>
            <w:vAlign w:val="bottom"/>
            <w:hideMark/>
          </w:tcPr>
          <w:p w14:paraId="3E7FB0F8" w14:textId="77777777" w:rsidR="00C32CBD" w:rsidRDefault="00C32CBD" w:rsidP="00320D09">
            <w:pPr>
              <w:rPr>
                <w:rFonts w:cs="Arial"/>
                <w:b/>
                <w:bCs/>
                <w:sz w:val="18"/>
                <w:szCs w:val="18"/>
              </w:rPr>
            </w:pPr>
            <w:r>
              <w:rPr>
                <w:rFonts w:cs="Arial"/>
                <w:b/>
                <w:bCs/>
                <w:sz w:val="18"/>
                <w:szCs w:val="18"/>
              </w:rPr>
              <w:t> </w:t>
            </w:r>
          </w:p>
        </w:tc>
      </w:tr>
      <w:tr w:rsidR="00C32CBD" w14:paraId="0C66C218" w14:textId="77777777" w:rsidTr="00320D09">
        <w:trPr>
          <w:trHeight w:val="255"/>
        </w:trPr>
        <w:tc>
          <w:tcPr>
            <w:tcW w:w="4831" w:type="dxa"/>
            <w:tcBorders>
              <w:top w:val="nil"/>
              <w:left w:val="nil"/>
              <w:bottom w:val="nil"/>
              <w:right w:val="nil"/>
            </w:tcBorders>
            <w:shd w:val="clear" w:color="FFFFFF" w:fill="FFFFFF"/>
            <w:vAlign w:val="bottom"/>
            <w:hideMark/>
          </w:tcPr>
          <w:p w14:paraId="0F60D09D" w14:textId="77777777" w:rsidR="00C32CBD" w:rsidRDefault="00C32CBD" w:rsidP="00320D09">
            <w:pPr>
              <w:rPr>
                <w:rFonts w:cs="Arial"/>
                <w:sz w:val="18"/>
                <w:szCs w:val="18"/>
              </w:rPr>
            </w:pPr>
            <w:r>
              <w:rPr>
                <w:rFonts w:cs="Arial"/>
                <w:sz w:val="18"/>
                <w:szCs w:val="18"/>
              </w:rPr>
              <w:t>Surplus/(Deficit) for the period</w:t>
            </w:r>
          </w:p>
        </w:tc>
        <w:tc>
          <w:tcPr>
            <w:tcW w:w="1317" w:type="dxa"/>
            <w:tcBorders>
              <w:top w:val="nil"/>
              <w:left w:val="nil"/>
              <w:bottom w:val="nil"/>
              <w:right w:val="nil"/>
            </w:tcBorders>
            <w:shd w:val="clear" w:color="FFFFFF" w:fill="FFFFFF"/>
            <w:noWrap/>
            <w:vAlign w:val="bottom"/>
            <w:hideMark/>
          </w:tcPr>
          <w:p w14:paraId="102FC68B" w14:textId="77777777" w:rsidR="00C32CBD" w:rsidRDefault="00C32CBD" w:rsidP="00320D09">
            <w:pPr>
              <w:jc w:val="right"/>
              <w:rPr>
                <w:rFonts w:cs="Arial"/>
                <w:b/>
                <w:bCs/>
                <w:sz w:val="18"/>
                <w:szCs w:val="18"/>
              </w:rPr>
            </w:pPr>
            <w:r>
              <w:rPr>
                <w:rFonts w:cs="Arial"/>
                <w:b/>
                <w:bCs/>
                <w:sz w:val="18"/>
                <w:szCs w:val="18"/>
              </w:rPr>
              <w:t>617,068</w:t>
            </w:r>
          </w:p>
        </w:tc>
        <w:tc>
          <w:tcPr>
            <w:tcW w:w="1317" w:type="dxa"/>
            <w:tcBorders>
              <w:top w:val="nil"/>
              <w:left w:val="nil"/>
              <w:bottom w:val="nil"/>
              <w:right w:val="nil"/>
            </w:tcBorders>
            <w:shd w:val="clear" w:color="FFFFFF" w:fill="FFFFFF"/>
            <w:noWrap/>
            <w:vAlign w:val="bottom"/>
            <w:hideMark/>
          </w:tcPr>
          <w:p w14:paraId="13E07C1E" w14:textId="77777777" w:rsidR="00C32CBD" w:rsidRDefault="00C32CBD" w:rsidP="00320D09">
            <w:pPr>
              <w:jc w:val="right"/>
              <w:rPr>
                <w:rFonts w:cs="Arial"/>
                <w:sz w:val="18"/>
                <w:szCs w:val="18"/>
              </w:rPr>
            </w:pPr>
            <w:r>
              <w:rPr>
                <w:rFonts w:cs="Arial"/>
                <w:sz w:val="18"/>
                <w:szCs w:val="18"/>
              </w:rPr>
              <w:t>15,782</w:t>
            </w:r>
          </w:p>
        </w:tc>
        <w:tc>
          <w:tcPr>
            <w:tcW w:w="305" w:type="dxa"/>
            <w:tcBorders>
              <w:top w:val="nil"/>
              <w:left w:val="nil"/>
              <w:bottom w:val="nil"/>
              <w:right w:val="nil"/>
            </w:tcBorders>
            <w:shd w:val="clear" w:color="FFFFFF" w:fill="FFFFFF"/>
            <w:noWrap/>
            <w:vAlign w:val="bottom"/>
            <w:hideMark/>
          </w:tcPr>
          <w:p w14:paraId="26065887" w14:textId="77777777" w:rsidR="00C32CBD" w:rsidRDefault="00C32CBD" w:rsidP="00320D09">
            <w:pPr>
              <w:jc w:val="right"/>
              <w:rPr>
                <w:rFonts w:cs="Arial"/>
                <w:sz w:val="18"/>
                <w:szCs w:val="18"/>
              </w:rPr>
            </w:pPr>
            <w:r>
              <w:rPr>
                <w:rFonts w:cs="Arial"/>
                <w:sz w:val="18"/>
                <w:szCs w:val="18"/>
              </w:rPr>
              <w:t> </w:t>
            </w:r>
          </w:p>
        </w:tc>
        <w:tc>
          <w:tcPr>
            <w:tcW w:w="1317" w:type="dxa"/>
            <w:tcBorders>
              <w:top w:val="nil"/>
              <w:left w:val="nil"/>
              <w:bottom w:val="nil"/>
              <w:right w:val="nil"/>
            </w:tcBorders>
            <w:shd w:val="clear" w:color="FFFFFF" w:fill="FFFFFF"/>
            <w:noWrap/>
            <w:vAlign w:val="bottom"/>
            <w:hideMark/>
          </w:tcPr>
          <w:p w14:paraId="5C7EED69" w14:textId="77777777" w:rsidR="00C32CBD" w:rsidRDefault="00C32CBD" w:rsidP="00320D09">
            <w:pPr>
              <w:jc w:val="right"/>
              <w:rPr>
                <w:rFonts w:cs="Arial"/>
                <w:sz w:val="18"/>
                <w:szCs w:val="18"/>
              </w:rPr>
            </w:pPr>
            <w:r>
              <w:rPr>
                <w:rFonts w:cs="Arial"/>
                <w:sz w:val="18"/>
                <w:szCs w:val="18"/>
              </w:rPr>
              <w:t xml:space="preserve"> -</w:t>
            </w:r>
          </w:p>
        </w:tc>
      </w:tr>
      <w:tr w:rsidR="00C32CBD" w14:paraId="229E463E" w14:textId="77777777" w:rsidTr="00320D09">
        <w:trPr>
          <w:trHeight w:val="255"/>
        </w:trPr>
        <w:tc>
          <w:tcPr>
            <w:tcW w:w="4831" w:type="dxa"/>
            <w:tcBorders>
              <w:top w:val="single" w:sz="4" w:space="0" w:color="auto"/>
              <w:left w:val="nil"/>
              <w:bottom w:val="single" w:sz="4" w:space="0" w:color="auto"/>
              <w:right w:val="nil"/>
            </w:tcBorders>
            <w:shd w:val="clear" w:color="FFFFFF" w:fill="FFFFFF"/>
            <w:vAlign w:val="bottom"/>
            <w:hideMark/>
          </w:tcPr>
          <w:p w14:paraId="5D30CA3D" w14:textId="77777777" w:rsidR="00C32CBD" w:rsidRDefault="00C32CBD" w:rsidP="00320D09">
            <w:pPr>
              <w:rPr>
                <w:rFonts w:cs="Arial"/>
                <w:b/>
                <w:bCs/>
                <w:sz w:val="18"/>
                <w:szCs w:val="18"/>
              </w:rPr>
            </w:pPr>
            <w:r>
              <w:rPr>
                <w:rFonts w:cs="Arial"/>
                <w:b/>
                <w:bCs/>
                <w:sz w:val="18"/>
                <w:szCs w:val="18"/>
              </w:rPr>
              <w:t>Closing balance</w:t>
            </w:r>
          </w:p>
        </w:tc>
        <w:tc>
          <w:tcPr>
            <w:tcW w:w="1317" w:type="dxa"/>
            <w:tcBorders>
              <w:top w:val="single" w:sz="4" w:space="0" w:color="auto"/>
              <w:left w:val="nil"/>
              <w:bottom w:val="single" w:sz="4" w:space="0" w:color="auto"/>
              <w:right w:val="nil"/>
            </w:tcBorders>
            <w:shd w:val="clear" w:color="FFFFFF" w:fill="FFFFFF"/>
            <w:noWrap/>
            <w:vAlign w:val="bottom"/>
            <w:hideMark/>
          </w:tcPr>
          <w:p w14:paraId="33CB76DA" w14:textId="77777777" w:rsidR="00C32CBD" w:rsidRDefault="00C32CBD" w:rsidP="00320D09">
            <w:pPr>
              <w:jc w:val="right"/>
              <w:rPr>
                <w:rFonts w:cs="Arial"/>
                <w:b/>
                <w:bCs/>
                <w:sz w:val="18"/>
                <w:szCs w:val="18"/>
              </w:rPr>
            </w:pPr>
            <w:r>
              <w:rPr>
                <w:rFonts w:cs="Arial"/>
                <w:b/>
                <w:bCs/>
                <w:sz w:val="18"/>
                <w:szCs w:val="18"/>
              </w:rPr>
              <w:t>651,237</w:t>
            </w:r>
          </w:p>
        </w:tc>
        <w:tc>
          <w:tcPr>
            <w:tcW w:w="1317" w:type="dxa"/>
            <w:tcBorders>
              <w:top w:val="single" w:sz="4" w:space="0" w:color="auto"/>
              <w:left w:val="nil"/>
              <w:bottom w:val="single" w:sz="4" w:space="0" w:color="auto"/>
              <w:right w:val="nil"/>
            </w:tcBorders>
            <w:shd w:val="clear" w:color="FFFFFF" w:fill="FFFFFF"/>
            <w:noWrap/>
            <w:vAlign w:val="bottom"/>
            <w:hideMark/>
          </w:tcPr>
          <w:p w14:paraId="1F9B6A3B" w14:textId="77777777" w:rsidR="00C32CBD" w:rsidRDefault="00C32CBD" w:rsidP="00320D09">
            <w:pPr>
              <w:jc w:val="right"/>
              <w:rPr>
                <w:rFonts w:cs="Arial"/>
                <w:sz w:val="18"/>
                <w:szCs w:val="18"/>
              </w:rPr>
            </w:pPr>
            <w:r>
              <w:rPr>
                <w:rFonts w:cs="Arial"/>
                <w:sz w:val="18"/>
                <w:szCs w:val="18"/>
              </w:rPr>
              <w:t>34,169</w:t>
            </w:r>
          </w:p>
        </w:tc>
        <w:tc>
          <w:tcPr>
            <w:tcW w:w="305" w:type="dxa"/>
            <w:tcBorders>
              <w:top w:val="single" w:sz="4" w:space="0" w:color="auto"/>
              <w:left w:val="nil"/>
              <w:bottom w:val="single" w:sz="4" w:space="0" w:color="auto"/>
              <w:right w:val="nil"/>
            </w:tcBorders>
            <w:shd w:val="clear" w:color="FFFFFF" w:fill="FFFFFF"/>
            <w:noWrap/>
            <w:vAlign w:val="bottom"/>
            <w:hideMark/>
          </w:tcPr>
          <w:p w14:paraId="28471587" w14:textId="77777777" w:rsidR="00C32CBD" w:rsidRDefault="00C32CBD" w:rsidP="00320D09">
            <w:pPr>
              <w:jc w:val="right"/>
              <w:rPr>
                <w:rFonts w:cs="Arial"/>
                <w:sz w:val="18"/>
                <w:szCs w:val="18"/>
              </w:rPr>
            </w:pPr>
            <w:r>
              <w:rPr>
                <w:rFonts w:cs="Arial"/>
                <w:sz w:val="18"/>
                <w:szCs w:val="18"/>
              </w:rPr>
              <w:t> </w:t>
            </w:r>
          </w:p>
        </w:tc>
        <w:tc>
          <w:tcPr>
            <w:tcW w:w="1317" w:type="dxa"/>
            <w:tcBorders>
              <w:top w:val="single" w:sz="4" w:space="0" w:color="auto"/>
              <w:left w:val="nil"/>
              <w:bottom w:val="single" w:sz="4" w:space="0" w:color="auto"/>
              <w:right w:val="nil"/>
            </w:tcBorders>
            <w:shd w:val="clear" w:color="FFFFFF" w:fill="FFFFFF"/>
            <w:noWrap/>
            <w:vAlign w:val="bottom"/>
            <w:hideMark/>
          </w:tcPr>
          <w:p w14:paraId="4A11A972" w14:textId="77777777" w:rsidR="00C32CBD" w:rsidRDefault="00C32CBD" w:rsidP="00320D09">
            <w:pPr>
              <w:jc w:val="right"/>
              <w:rPr>
                <w:rFonts w:cs="Arial"/>
                <w:sz w:val="18"/>
                <w:szCs w:val="18"/>
              </w:rPr>
            </w:pPr>
            <w:r>
              <w:rPr>
                <w:rFonts w:cs="Arial"/>
                <w:sz w:val="18"/>
                <w:szCs w:val="18"/>
              </w:rPr>
              <w:t>19,254</w:t>
            </w:r>
          </w:p>
        </w:tc>
      </w:tr>
      <w:tr w:rsidR="00C32CBD" w14:paraId="49A11F9A" w14:textId="77777777" w:rsidTr="00320D09">
        <w:trPr>
          <w:trHeight w:val="255"/>
        </w:trPr>
        <w:tc>
          <w:tcPr>
            <w:tcW w:w="4831" w:type="dxa"/>
            <w:tcBorders>
              <w:top w:val="nil"/>
              <w:left w:val="nil"/>
              <w:bottom w:val="nil"/>
              <w:right w:val="nil"/>
            </w:tcBorders>
            <w:shd w:val="clear" w:color="FFFFFF" w:fill="FFFFFF"/>
            <w:noWrap/>
            <w:vAlign w:val="bottom"/>
            <w:hideMark/>
          </w:tcPr>
          <w:p w14:paraId="2CF98B78" w14:textId="77777777" w:rsidR="00C32CBD" w:rsidRDefault="00C32CBD" w:rsidP="00320D09">
            <w:pPr>
              <w:jc w:val="right"/>
              <w:rPr>
                <w:rFonts w:cs="Arial"/>
                <w:sz w:val="18"/>
                <w:szCs w:val="18"/>
              </w:rPr>
            </w:pPr>
            <w:r>
              <w:rPr>
                <w:rFonts w:cs="Arial"/>
                <w:sz w:val="18"/>
                <w:szCs w:val="18"/>
              </w:rPr>
              <w:t> </w:t>
            </w:r>
          </w:p>
        </w:tc>
        <w:tc>
          <w:tcPr>
            <w:tcW w:w="1317" w:type="dxa"/>
            <w:tcBorders>
              <w:top w:val="nil"/>
              <w:left w:val="nil"/>
              <w:bottom w:val="nil"/>
              <w:right w:val="nil"/>
            </w:tcBorders>
            <w:shd w:val="clear" w:color="FFFFFF" w:fill="FFFFFF"/>
            <w:noWrap/>
            <w:vAlign w:val="bottom"/>
            <w:hideMark/>
          </w:tcPr>
          <w:p w14:paraId="7C68575A" w14:textId="77777777" w:rsidR="00C32CBD" w:rsidRDefault="00C32CBD" w:rsidP="00320D09">
            <w:pPr>
              <w:jc w:val="right"/>
              <w:rPr>
                <w:rFonts w:cs="Arial"/>
                <w:sz w:val="18"/>
                <w:szCs w:val="18"/>
              </w:rPr>
            </w:pPr>
            <w:r>
              <w:rPr>
                <w:rFonts w:cs="Arial"/>
                <w:sz w:val="18"/>
                <w:szCs w:val="18"/>
              </w:rPr>
              <w:t> </w:t>
            </w:r>
          </w:p>
        </w:tc>
        <w:tc>
          <w:tcPr>
            <w:tcW w:w="1317" w:type="dxa"/>
            <w:tcBorders>
              <w:top w:val="nil"/>
              <w:left w:val="nil"/>
              <w:bottom w:val="nil"/>
              <w:right w:val="nil"/>
            </w:tcBorders>
            <w:shd w:val="clear" w:color="FFFFFF" w:fill="FFFFFF"/>
            <w:noWrap/>
            <w:vAlign w:val="bottom"/>
            <w:hideMark/>
          </w:tcPr>
          <w:p w14:paraId="49EC12F4" w14:textId="77777777" w:rsidR="00C32CBD" w:rsidRDefault="00C32CBD" w:rsidP="00320D09">
            <w:pPr>
              <w:jc w:val="right"/>
              <w:rPr>
                <w:rFonts w:cs="Arial"/>
                <w:sz w:val="18"/>
                <w:szCs w:val="18"/>
              </w:rPr>
            </w:pPr>
            <w:r>
              <w:rPr>
                <w:rFonts w:cs="Arial"/>
                <w:sz w:val="18"/>
                <w:szCs w:val="18"/>
              </w:rPr>
              <w:t> </w:t>
            </w:r>
          </w:p>
        </w:tc>
        <w:tc>
          <w:tcPr>
            <w:tcW w:w="305" w:type="dxa"/>
            <w:tcBorders>
              <w:top w:val="nil"/>
              <w:left w:val="nil"/>
              <w:bottom w:val="nil"/>
              <w:right w:val="nil"/>
            </w:tcBorders>
            <w:shd w:val="clear" w:color="FFFFFF" w:fill="FFFFFF"/>
            <w:noWrap/>
            <w:vAlign w:val="bottom"/>
            <w:hideMark/>
          </w:tcPr>
          <w:p w14:paraId="009FECD7" w14:textId="77777777" w:rsidR="00C32CBD" w:rsidRDefault="00C32CBD" w:rsidP="00320D09">
            <w:pPr>
              <w:jc w:val="right"/>
              <w:rPr>
                <w:rFonts w:cs="Arial"/>
                <w:sz w:val="18"/>
                <w:szCs w:val="18"/>
              </w:rPr>
            </w:pPr>
            <w:r>
              <w:rPr>
                <w:rFonts w:cs="Arial"/>
                <w:sz w:val="18"/>
                <w:szCs w:val="18"/>
              </w:rPr>
              <w:t> </w:t>
            </w:r>
          </w:p>
        </w:tc>
        <w:tc>
          <w:tcPr>
            <w:tcW w:w="1317" w:type="dxa"/>
            <w:tcBorders>
              <w:top w:val="nil"/>
              <w:left w:val="nil"/>
              <w:bottom w:val="nil"/>
              <w:right w:val="nil"/>
            </w:tcBorders>
            <w:shd w:val="clear" w:color="FFFFFF" w:fill="FFFFFF"/>
            <w:noWrap/>
            <w:vAlign w:val="bottom"/>
            <w:hideMark/>
          </w:tcPr>
          <w:p w14:paraId="124DB18D" w14:textId="77777777" w:rsidR="00C32CBD" w:rsidRDefault="00C32CBD" w:rsidP="00320D09">
            <w:pPr>
              <w:jc w:val="right"/>
              <w:rPr>
                <w:rFonts w:cs="Arial"/>
                <w:sz w:val="18"/>
                <w:szCs w:val="18"/>
              </w:rPr>
            </w:pPr>
            <w:r>
              <w:rPr>
                <w:rFonts w:cs="Arial"/>
                <w:sz w:val="18"/>
                <w:szCs w:val="18"/>
              </w:rPr>
              <w:t> </w:t>
            </w:r>
          </w:p>
        </w:tc>
      </w:tr>
      <w:tr w:rsidR="00C32CBD" w14:paraId="5DAB70DB" w14:textId="77777777" w:rsidTr="00320D09">
        <w:trPr>
          <w:trHeight w:val="255"/>
        </w:trPr>
        <w:tc>
          <w:tcPr>
            <w:tcW w:w="4831" w:type="dxa"/>
            <w:tcBorders>
              <w:top w:val="nil"/>
              <w:left w:val="nil"/>
              <w:bottom w:val="nil"/>
              <w:right w:val="nil"/>
            </w:tcBorders>
            <w:shd w:val="clear" w:color="FFFFFF" w:fill="FFFFFF"/>
            <w:vAlign w:val="bottom"/>
            <w:hideMark/>
          </w:tcPr>
          <w:p w14:paraId="454630D2" w14:textId="77777777" w:rsidR="00C32CBD" w:rsidRDefault="00C32CBD" w:rsidP="00320D09">
            <w:pPr>
              <w:rPr>
                <w:rFonts w:cs="Arial"/>
                <w:b/>
                <w:bCs/>
                <w:sz w:val="18"/>
                <w:szCs w:val="18"/>
              </w:rPr>
            </w:pPr>
            <w:r>
              <w:rPr>
                <w:rFonts w:cs="Arial"/>
                <w:b/>
                <w:bCs/>
                <w:sz w:val="18"/>
                <w:szCs w:val="18"/>
              </w:rPr>
              <w:t>ASSET REVALUATION RESERVE</w:t>
            </w:r>
          </w:p>
        </w:tc>
        <w:tc>
          <w:tcPr>
            <w:tcW w:w="1317" w:type="dxa"/>
            <w:tcBorders>
              <w:top w:val="nil"/>
              <w:left w:val="nil"/>
              <w:bottom w:val="nil"/>
              <w:right w:val="nil"/>
            </w:tcBorders>
            <w:shd w:val="clear" w:color="FFFFFF" w:fill="FFFFFF"/>
            <w:noWrap/>
            <w:vAlign w:val="bottom"/>
            <w:hideMark/>
          </w:tcPr>
          <w:p w14:paraId="30CBD097" w14:textId="77777777" w:rsidR="00C32CBD" w:rsidRDefault="00C32CBD" w:rsidP="00320D09">
            <w:pPr>
              <w:jc w:val="right"/>
              <w:rPr>
                <w:rFonts w:cs="Arial"/>
                <w:sz w:val="18"/>
                <w:szCs w:val="18"/>
              </w:rPr>
            </w:pPr>
            <w:r>
              <w:rPr>
                <w:rFonts w:cs="Arial"/>
                <w:sz w:val="18"/>
                <w:szCs w:val="18"/>
              </w:rPr>
              <w:t> </w:t>
            </w:r>
          </w:p>
        </w:tc>
        <w:tc>
          <w:tcPr>
            <w:tcW w:w="1317" w:type="dxa"/>
            <w:tcBorders>
              <w:top w:val="nil"/>
              <w:left w:val="nil"/>
              <w:bottom w:val="nil"/>
              <w:right w:val="nil"/>
            </w:tcBorders>
            <w:shd w:val="clear" w:color="FFFFFF" w:fill="FFFFFF"/>
            <w:noWrap/>
            <w:vAlign w:val="bottom"/>
            <w:hideMark/>
          </w:tcPr>
          <w:p w14:paraId="160E04B4" w14:textId="77777777" w:rsidR="00C32CBD" w:rsidRDefault="00C32CBD" w:rsidP="00320D09">
            <w:pPr>
              <w:jc w:val="right"/>
              <w:rPr>
                <w:rFonts w:cs="Arial"/>
                <w:sz w:val="18"/>
                <w:szCs w:val="18"/>
              </w:rPr>
            </w:pPr>
            <w:r>
              <w:rPr>
                <w:rFonts w:cs="Arial"/>
                <w:sz w:val="18"/>
                <w:szCs w:val="18"/>
              </w:rPr>
              <w:t> </w:t>
            </w:r>
          </w:p>
        </w:tc>
        <w:tc>
          <w:tcPr>
            <w:tcW w:w="305" w:type="dxa"/>
            <w:tcBorders>
              <w:top w:val="nil"/>
              <w:left w:val="nil"/>
              <w:bottom w:val="nil"/>
              <w:right w:val="nil"/>
            </w:tcBorders>
            <w:shd w:val="clear" w:color="FFFFFF" w:fill="FFFFFF"/>
            <w:noWrap/>
            <w:vAlign w:val="bottom"/>
            <w:hideMark/>
          </w:tcPr>
          <w:p w14:paraId="32D72AAF" w14:textId="77777777" w:rsidR="00C32CBD" w:rsidRDefault="00C32CBD" w:rsidP="00320D09">
            <w:pPr>
              <w:jc w:val="right"/>
              <w:rPr>
                <w:rFonts w:cs="Arial"/>
                <w:sz w:val="18"/>
                <w:szCs w:val="18"/>
              </w:rPr>
            </w:pPr>
            <w:r>
              <w:rPr>
                <w:rFonts w:cs="Arial"/>
                <w:sz w:val="18"/>
                <w:szCs w:val="18"/>
              </w:rPr>
              <w:t> </w:t>
            </w:r>
          </w:p>
        </w:tc>
        <w:tc>
          <w:tcPr>
            <w:tcW w:w="1317" w:type="dxa"/>
            <w:tcBorders>
              <w:top w:val="nil"/>
              <w:left w:val="nil"/>
              <w:bottom w:val="nil"/>
              <w:right w:val="nil"/>
            </w:tcBorders>
            <w:shd w:val="clear" w:color="FFFFFF" w:fill="FFFFFF"/>
            <w:noWrap/>
            <w:vAlign w:val="bottom"/>
            <w:hideMark/>
          </w:tcPr>
          <w:p w14:paraId="038D4562" w14:textId="77777777" w:rsidR="00C32CBD" w:rsidRDefault="00C32CBD" w:rsidP="00320D09">
            <w:pPr>
              <w:jc w:val="right"/>
              <w:rPr>
                <w:rFonts w:cs="Arial"/>
                <w:sz w:val="18"/>
                <w:szCs w:val="18"/>
              </w:rPr>
            </w:pPr>
            <w:r>
              <w:rPr>
                <w:rFonts w:cs="Arial"/>
                <w:sz w:val="18"/>
                <w:szCs w:val="18"/>
              </w:rPr>
              <w:t> </w:t>
            </w:r>
          </w:p>
        </w:tc>
      </w:tr>
      <w:tr w:rsidR="00C32CBD" w14:paraId="200FC173" w14:textId="77777777" w:rsidTr="00320D09">
        <w:trPr>
          <w:trHeight w:val="255"/>
        </w:trPr>
        <w:tc>
          <w:tcPr>
            <w:tcW w:w="4831" w:type="dxa"/>
            <w:tcBorders>
              <w:top w:val="nil"/>
              <w:left w:val="nil"/>
              <w:bottom w:val="nil"/>
              <w:right w:val="nil"/>
            </w:tcBorders>
            <w:shd w:val="clear" w:color="FFFFFF" w:fill="FFFFFF"/>
            <w:vAlign w:val="bottom"/>
            <w:hideMark/>
          </w:tcPr>
          <w:p w14:paraId="15155A80" w14:textId="77777777" w:rsidR="00C32CBD" w:rsidRDefault="00C32CBD" w:rsidP="00320D09">
            <w:pPr>
              <w:rPr>
                <w:rFonts w:cs="Arial"/>
                <w:b/>
                <w:bCs/>
                <w:sz w:val="18"/>
                <w:szCs w:val="18"/>
              </w:rPr>
            </w:pPr>
            <w:r>
              <w:rPr>
                <w:rFonts w:cs="Arial"/>
                <w:b/>
                <w:bCs/>
                <w:sz w:val="18"/>
                <w:szCs w:val="18"/>
              </w:rPr>
              <w:t>Opening balance</w:t>
            </w:r>
          </w:p>
        </w:tc>
        <w:tc>
          <w:tcPr>
            <w:tcW w:w="1317" w:type="dxa"/>
            <w:tcBorders>
              <w:top w:val="nil"/>
              <w:left w:val="nil"/>
              <w:bottom w:val="nil"/>
              <w:right w:val="nil"/>
            </w:tcBorders>
            <w:shd w:val="clear" w:color="FFFFFF" w:fill="FFFFFF"/>
            <w:noWrap/>
            <w:vAlign w:val="bottom"/>
            <w:hideMark/>
          </w:tcPr>
          <w:p w14:paraId="6F3DAB47" w14:textId="77777777" w:rsidR="00C32CBD" w:rsidRDefault="00C32CBD" w:rsidP="00320D09">
            <w:pPr>
              <w:jc w:val="right"/>
              <w:rPr>
                <w:rFonts w:cs="Arial"/>
                <w:b/>
                <w:bCs/>
                <w:sz w:val="18"/>
                <w:szCs w:val="18"/>
              </w:rPr>
            </w:pPr>
            <w:r>
              <w:rPr>
                <w:rFonts w:cs="Arial"/>
                <w:b/>
                <w:bCs/>
                <w:sz w:val="18"/>
                <w:szCs w:val="18"/>
              </w:rPr>
              <w:t>1,881</w:t>
            </w:r>
          </w:p>
        </w:tc>
        <w:tc>
          <w:tcPr>
            <w:tcW w:w="1317" w:type="dxa"/>
            <w:tcBorders>
              <w:top w:val="nil"/>
              <w:left w:val="nil"/>
              <w:bottom w:val="nil"/>
              <w:right w:val="nil"/>
            </w:tcBorders>
            <w:shd w:val="clear" w:color="FFFFFF" w:fill="FFFFFF"/>
            <w:noWrap/>
            <w:vAlign w:val="bottom"/>
            <w:hideMark/>
          </w:tcPr>
          <w:p w14:paraId="2BE0A746" w14:textId="77777777" w:rsidR="00C32CBD" w:rsidRDefault="00C32CBD" w:rsidP="00320D09">
            <w:pPr>
              <w:jc w:val="right"/>
              <w:rPr>
                <w:rFonts w:cs="Arial"/>
                <w:sz w:val="18"/>
                <w:szCs w:val="18"/>
              </w:rPr>
            </w:pPr>
            <w:r>
              <w:rPr>
                <w:rFonts w:cs="Arial"/>
                <w:sz w:val="18"/>
                <w:szCs w:val="18"/>
              </w:rPr>
              <w:t xml:space="preserve"> -</w:t>
            </w:r>
          </w:p>
        </w:tc>
        <w:tc>
          <w:tcPr>
            <w:tcW w:w="305" w:type="dxa"/>
            <w:tcBorders>
              <w:top w:val="nil"/>
              <w:left w:val="nil"/>
              <w:bottom w:val="nil"/>
              <w:right w:val="nil"/>
            </w:tcBorders>
            <w:shd w:val="clear" w:color="FFFFFF" w:fill="FFFFFF"/>
            <w:noWrap/>
            <w:vAlign w:val="bottom"/>
            <w:hideMark/>
          </w:tcPr>
          <w:p w14:paraId="647DF23B" w14:textId="77777777" w:rsidR="00C32CBD" w:rsidRDefault="00C32CBD" w:rsidP="00320D09">
            <w:pPr>
              <w:jc w:val="right"/>
              <w:rPr>
                <w:rFonts w:cs="Arial"/>
                <w:sz w:val="18"/>
                <w:szCs w:val="18"/>
              </w:rPr>
            </w:pPr>
            <w:r>
              <w:rPr>
                <w:rFonts w:cs="Arial"/>
                <w:sz w:val="18"/>
                <w:szCs w:val="18"/>
              </w:rPr>
              <w:t> </w:t>
            </w:r>
          </w:p>
        </w:tc>
        <w:tc>
          <w:tcPr>
            <w:tcW w:w="1317" w:type="dxa"/>
            <w:tcBorders>
              <w:top w:val="nil"/>
              <w:left w:val="nil"/>
              <w:bottom w:val="nil"/>
              <w:right w:val="nil"/>
            </w:tcBorders>
            <w:shd w:val="clear" w:color="FFFFFF" w:fill="FFFFFF"/>
            <w:noWrap/>
            <w:vAlign w:val="bottom"/>
            <w:hideMark/>
          </w:tcPr>
          <w:p w14:paraId="4EC2BE6A" w14:textId="77777777" w:rsidR="00C32CBD" w:rsidRDefault="00C32CBD" w:rsidP="00320D09">
            <w:pPr>
              <w:jc w:val="right"/>
              <w:rPr>
                <w:rFonts w:cs="Arial"/>
                <w:sz w:val="18"/>
                <w:szCs w:val="18"/>
              </w:rPr>
            </w:pPr>
            <w:r>
              <w:rPr>
                <w:rFonts w:cs="Arial"/>
                <w:sz w:val="18"/>
                <w:szCs w:val="18"/>
              </w:rPr>
              <w:t xml:space="preserve"> -</w:t>
            </w:r>
          </w:p>
        </w:tc>
      </w:tr>
      <w:tr w:rsidR="00C32CBD" w14:paraId="3A8C30F4" w14:textId="77777777" w:rsidTr="00320D09">
        <w:trPr>
          <w:trHeight w:val="255"/>
        </w:trPr>
        <w:tc>
          <w:tcPr>
            <w:tcW w:w="4831" w:type="dxa"/>
            <w:tcBorders>
              <w:top w:val="nil"/>
              <w:left w:val="nil"/>
              <w:bottom w:val="nil"/>
              <w:right w:val="nil"/>
            </w:tcBorders>
            <w:shd w:val="clear" w:color="FFFFFF" w:fill="FFFFFF"/>
            <w:vAlign w:val="bottom"/>
            <w:hideMark/>
          </w:tcPr>
          <w:p w14:paraId="177D238F" w14:textId="77777777" w:rsidR="00C32CBD" w:rsidRDefault="00C32CBD" w:rsidP="00320D09">
            <w:pPr>
              <w:rPr>
                <w:rFonts w:cs="Arial"/>
                <w:b/>
                <w:bCs/>
                <w:sz w:val="18"/>
                <w:szCs w:val="18"/>
              </w:rPr>
            </w:pPr>
            <w:r>
              <w:rPr>
                <w:rFonts w:cs="Arial"/>
                <w:b/>
                <w:bCs/>
                <w:sz w:val="18"/>
                <w:szCs w:val="18"/>
              </w:rPr>
              <w:t>Comprehensive income</w:t>
            </w:r>
          </w:p>
        </w:tc>
        <w:tc>
          <w:tcPr>
            <w:tcW w:w="1317" w:type="dxa"/>
            <w:tcBorders>
              <w:top w:val="nil"/>
              <w:left w:val="nil"/>
              <w:bottom w:val="nil"/>
              <w:right w:val="nil"/>
            </w:tcBorders>
            <w:shd w:val="clear" w:color="FFFFFF" w:fill="FFFFFF"/>
            <w:noWrap/>
            <w:vAlign w:val="bottom"/>
            <w:hideMark/>
          </w:tcPr>
          <w:p w14:paraId="36C9E311" w14:textId="77777777" w:rsidR="00C32CBD" w:rsidRDefault="00C32CBD" w:rsidP="00320D09">
            <w:pPr>
              <w:rPr>
                <w:rFonts w:cs="Arial"/>
                <w:b/>
                <w:bCs/>
                <w:sz w:val="18"/>
                <w:szCs w:val="18"/>
              </w:rPr>
            </w:pPr>
            <w:r>
              <w:rPr>
                <w:rFonts w:cs="Arial"/>
                <w:b/>
                <w:bCs/>
                <w:sz w:val="18"/>
                <w:szCs w:val="18"/>
              </w:rPr>
              <w:t> </w:t>
            </w:r>
          </w:p>
        </w:tc>
        <w:tc>
          <w:tcPr>
            <w:tcW w:w="1317" w:type="dxa"/>
            <w:tcBorders>
              <w:top w:val="nil"/>
              <w:left w:val="nil"/>
              <w:bottom w:val="nil"/>
              <w:right w:val="nil"/>
            </w:tcBorders>
            <w:shd w:val="clear" w:color="FFFFFF" w:fill="FFFFFF"/>
            <w:noWrap/>
            <w:vAlign w:val="bottom"/>
            <w:hideMark/>
          </w:tcPr>
          <w:p w14:paraId="7A18CCE7" w14:textId="77777777" w:rsidR="00C32CBD" w:rsidRDefault="00C32CBD" w:rsidP="00320D09">
            <w:pPr>
              <w:rPr>
                <w:rFonts w:cs="Arial"/>
              </w:rPr>
            </w:pPr>
            <w:r>
              <w:rPr>
                <w:rFonts w:cs="Arial"/>
              </w:rPr>
              <w:t> </w:t>
            </w:r>
          </w:p>
        </w:tc>
        <w:tc>
          <w:tcPr>
            <w:tcW w:w="305" w:type="dxa"/>
            <w:tcBorders>
              <w:top w:val="nil"/>
              <w:left w:val="nil"/>
              <w:bottom w:val="nil"/>
              <w:right w:val="nil"/>
            </w:tcBorders>
            <w:shd w:val="clear" w:color="FFFFFF" w:fill="FFFFFF"/>
            <w:noWrap/>
            <w:vAlign w:val="bottom"/>
            <w:hideMark/>
          </w:tcPr>
          <w:p w14:paraId="2479AFEF" w14:textId="77777777" w:rsidR="00C32CBD" w:rsidRDefault="00C32CBD" w:rsidP="00320D09">
            <w:pPr>
              <w:rPr>
                <w:rFonts w:cs="Arial"/>
              </w:rPr>
            </w:pPr>
            <w:r>
              <w:rPr>
                <w:rFonts w:cs="Arial"/>
              </w:rPr>
              <w:t> </w:t>
            </w:r>
          </w:p>
        </w:tc>
        <w:tc>
          <w:tcPr>
            <w:tcW w:w="1317" w:type="dxa"/>
            <w:tcBorders>
              <w:top w:val="nil"/>
              <w:left w:val="nil"/>
              <w:bottom w:val="nil"/>
              <w:right w:val="nil"/>
            </w:tcBorders>
            <w:shd w:val="clear" w:color="FFFFFF" w:fill="FFFFFF"/>
            <w:noWrap/>
            <w:vAlign w:val="bottom"/>
            <w:hideMark/>
          </w:tcPr>
          <w:p w14:paraId="6B5F1A98" w14:textId="77777777" w:rsidR="00C32CBD" w:rsidRDefault="00C32CBD" w:rsidP="00320D09">
            <w:pPr>
              <w:rPr>
                <w:rFonts w:cs="Arial"/>
                <w:b/>
                <w:bCs/>
                <w:sz w:val="18"/>
                <w:szCs w:val="18"/>
              </w:rPr>
            </w:pPr>
            <w:r>
              <w:rPr>
                <w:rFonts w:cs="Arial"/>
                <w:b/>
                <w:bCs/>
                <w:sz w:val="18"/>
                <w:szCs w:val="18"/>
              </w:rPr>
              <w:t> </w:t>
            </w:r>
          </w:p>
        </w:tc>
      </w:tr>
      <w:tr w:rsidR="00C32CBD" w14:paraId="73EC1839" w14:textId="77777777" w:rsidTr="00320D09">
        <w:trPr>
          <w:trHeight w:val="255"/>
        </w:trPr>
        <w:tc>
          <w:tcPr>
            <w:tcW w:w="4831" w:type="dxa"/>
            <w:tcBorders>
              <w:top w:val="nil"/>
              <w:left w:val="nil"/>
              <w:bottom w:val="nil"/>
              <w:right w:val="nil"/>
            </w:tcBorders>
            <w:shd w:val="clear" w:color="FFFFFF" w:fill="FFFFFF"/>
            <w:vAlign w:val="bottom"/>
            <w:hideMark/>
          </w:tcPr>
          <w:p w14:paraId="2F3EE4AC" w14:textId="77777777" w:rsidR="00C32CBD" w:rsidRDefault="00C32CBD" w:rsidP="00320D09">
            <w:pPr>
              <w:rPr>
                <w:rFonts w:cs="Arial"/>
                <w:sz w:val="18"/>
                <w:szCs w:val="18"/>
              </w:rPr>
            </w:pPr>
            <w:r>
              <w:rPr>
                <w:rFonts w:cs="Arial"/>
                <w:sz w:val="18"/>
                <w:szCs w:val="18"/>
              </w:rPr>
              <w:t>Other comprehensive income</w:t>
            </w:r>
          </w:p>
        </w:tc>
        <w:tc>
          <w:tcPr>
            <w:tcW w:w="1317" w:type="dxa"/>
            <w:tcBorders>
              <w:top w:val="nil"/>
              <w:left w:val="nil"/>
              <w:bottom w:val="nil"/>
              <w:right w:val="nil"/>
            </w:tcBorders>
            <w:shd w:val="clear" w:color="FFFFFF" w:fill="FFFFFF"/>
            <w:noWrap/>
            <w:vAlign w:val="bottom"/>
            <w:hideMark/>
          </w:tcPr>
          <w:p w14:paraId="1AD760C5" w14:textId="77777777" w:rsidR="00C32CBD" w:rsidRDefault="00C32CBD" w:rsidP="00320D09">
            <w:pPr>
              <w:jc w:val="right"/>
              <w:rPr>
                <w:rFonts w:cs="Arial"/>
                <w:b/>
                <w:bCs/>
                <w:sz w:val="18"/>
                <w:szCs w:val="18"/>
              </w:rPr>
            </w:pPr>
            <w:r>
              <w:rPr>
                <w:rFonts w:cs="Arial"/>
                <w:b/>
                <w:bCs/>
                <w:sz w:val="18"/>
                <w:szCs w:val="18"/>
              </w:rPr>
              <w:t>3,675</w:t>
            </w:r>
          </w:p>
        </w:tc>
        <w:tc>
          <w:tcPr>
            <w:tcW w:w="1317" w:type="dxa"/>
            <w:tcBorders>
              <w:top w:val="nil"/>
              <w:left w:val="nil"/>
              <w:bottom w:val="nil"/>
              <w:right w:val="nil"/>
            </w:tcBorders>
            <w:shd w:val="clear" w:color="FFFFFF" w:fill="FFFFFF"/>
            <w:noWrap/>
            <w:vAlign w:val="bottom"/>
            <w:hideMark/>
          </w:tcPr>
          <w:p w14:paraId="53A82794" w14:textId="77777777" w:rsidR="00C32CBD" w:rsidRDefault="00C32CBD" w:rsidP="00320D09">
            <w:pPr>
              <w:jc w:val="right"/>
              <w:rPr>
                <w:rFonts w:cs="Arial"/>
                <w:sz w:val="18"/>
                <w:szCs w:val="18"/>
              </w:rPr>
            </w:pPr>
            <w:r>
              <w:rPr>
                <w:rFonts w:cs="Arial"/>
                <w:sz w:val="18"/>
                <w:szCs w:val="18"/>
              </w:rPr>
              <w:t>1,881</w:t>
            </w:r>
          </w:p>
        </w:tc>
        <w:tc>
          <w:tcPr>
            <w:tcW w:w="305" w:type="dxa"/>
            <w:tcBorders>
              <w:top w:val="nil"/>
              <w:left w:val="nil"/>
              <w:bottom w:val="nil"/>
              <w:right w:val="nil"/>
            </w:tcBorders>
            <w:shd w:val="clear" w:color="FFFFFF" w:fill="FFFFFF"/>
            <w:noWrap/>
            <w:vAlign w:val="bottom"/>
            <w:hideMark/>
          </w:tcPr>
          <w:p w14:paraId="75033393" w14:textId="77777777" w:rsidR="00C32CBD" w:rsidRDefault="00C32CBD" w:rsidP="00320D09">
            <w:pPr>
              <w:jc w:val="right"/>
              <w:rPr>
                <w:rFonts w:cs="Arial"/>
                <w:sz w:val="18"/>
                <w:szCs w:val="18"/>
              </w:rPr>
            </w:pPr>
            <w:r>
              <w:rPr>
                <w:rFonts w:cs="Arial"/>
                <w:sz w:val="18"/>
                <w:szCs w:val="18"/>
              </w:rPr>
              <w:t> </w:t>
            </w:r>
          </w:p>
        </w:tc>
        <w:tc>
          <w:tcPr>
            <w:tcW w:w="1317" w:type="dxa"/>
            <w:tcBorders>
              <w:top w:val="nil"/>
              <w:left w:val="nil"/>
              <w:bottom w:val="nil"/>
              <w:right w:val="nil"/>
            </w:tcBorders>
            <w:shd w:val="clear" w:color="FFFFFF" w:fill="FFFFFF"/>
            <w:noWrap/>
            <w:vAlign w:val="bottom"/>
            <w:hideMark/>
          </w:tcPr>
          <w:p w14:paraId="16DE944D" w14:textId="77777777" w:rsidR="00C32CBD" w:rsidRDefault="00C32CBD" w:rsidP="00320D09">
            <w:pPr>
              <w:jc w:val="right"/>
              <w:rPr>
                <w:rFonts w:cs="Arial"/>
                <w:sz w:val="18"/>
                <w:szCs w:val="18"/>
              </w:rPr>
            </w:pPr>
            <w:r>
              <w:rPr>
                <w:rFonts w:cs="Arial"/>
                <w:sz w:val="18"/>
                <w:szCs w:val="18"/>
              </w:rPr>
              <w:t xml:space="preserve"> -</w:t>
            </w:r>
          </w:p>
        </w:tc>
      </w:tr>
      <w:tr w:rsidR="00C32CBD" w14:paraId="59B45A0A" w14:textId="77777777" w:rsidTr="00320D09">
        <w:trPr>
          <w:trHeight w:val="255"/>
        </w:trPr>
        <w:tc>
          <w:tcPr>
            <w:tcW w:w="4831" w:type="dxa"/>
            <w:tcBorders>
              <w:top w:val="single" w:sz="4" w:space="0" w:color="auto"/>
              <w:left w:val="nil"/>
              <w:bottom w:val="single" w:sz="4" w:space="0" w:color="auto"/>
              <w:right w:val="nil"/>
            </w:tcBorders>
            <w:shd w:val="clear" w:color="FFFFFF" w:fill="FFFFFF"/>
            <w:vAlign w:val="bottom"/>
            <w:hideMark/>
          </w:tcPr>
          <w:p w14:paraId="436A4322" w14:textId="77777777" w:rsidR="00C32CBD" w:rsidRDefault="00C32CBD" w:rsidP="00320D09">
            <w:pPr>
              <w:rPr>
                <w:rFonts w:cs="Arial"/>
                <w:b/>
                <w:bCs/>
                <w:sz w:val="18"/>
                <w:szCs w:val="18"/>
              </w:rPr>
            </w:pPr>
            <w:r>
              <w:rPr>
                <w:rFonts w:cs="Arial"/>
                <w:b/>
                <w:bCs/>
                <w:sz w:val="18"/>
                <w:szCs w:val="18"/>
              </w:rPr>
              <w:t>Closing balance</w:t>
            </w:r>
          </w:p>
        </w:tc>
        <w:tc>
          <w:tcPr>
            <w:tcW w:w="1317" w:type="dxa"/>
            <w:tcBorders>
              <w:top w:val="single" w:sz="4" w:space="0" w:color="auto"/>
              <w:left w:val="nil"/>
              <w:bottom w:val="single" w:sz="4" w:space="0" w:color="auto"/>
              <w:right w:val="nil"/>
            </w:tcBorders>
            <w:shd w:val="clear" w:color="FFFFFF" w:fill="FFFFFF"/>
            <w:noWrap/>
            <w:vAlign w:val="bottom"/>
            <w:hideMark/>
          </w:tcPr>
          <w:p w14:paraId="5E9E5614" w14:textId="77777777" w:rsidR="00C32CBD" w:rsidRDefault="00C32CBD" w:rsidP="00320D09">
            <w:pPr>
              <w:jc w:val="right"/>
              <w:rPr>
                <w:rFonts w:cs="Arial"/>
                <w:b/>
                <w:bCs/>
                <w:sz w:val="18"/>
                <w:szCs w:val="18"/>
              </w:rPr>
            </w:pPr>
            <w:r>
              <w:rPr>
                <w:rFonts w:cs="Arial"/>
                <w:b/>
                <w:bCs/>
                <w:sz w:val="18"/>
                <w:szCs w:val="18"/>
              </w:rPr>
              <w:t>5,556</w:t>
            </w:r>
          </w:p>
        </w:tc>
        <w:tc>
          <w:tcPr>
            <w:tcW w:w="1317" w:type="dxa"/>
            <w:tcBorders>
              <w:top w:val="single" w:sz="4" w:space="0" w:color="auto"/>
              <w:left w:val="nil"/>
              <w:bottom w:val="single" w:sz="4" w:space="0" w:color="auto"/>
              <w:right w:val="nil"/>
            </w:tcBorders>
            <w:shd w:val="clear" w:color="FFFFFF" w:fill="FFFFFF"/>
            <w:noWrap/>
            <w:vAlign w:val="bottom"/>
            <w:hideMark/>
          </w:tcPr>
          <w:p w14:paraId="7B59183A" w14:textId="77777777" w:rsidR="00C32CBD" w:rsidRDefault="00C32CBD" w:rsidP="00320D09">
            <w:pPr>
              <w:jc w:val="right"/>
              <w:rPr>
                <w:rFonts w:cs="Arial"/>
                <w:sz w:val="18"/>
                <w:szCs w:val="18"/>
              </w:rPr>
            </w:pPr>
            <w:r>
              <w:rPr>
                <w:rFonts w:cs="Arial"/>
                <w:sz w:val="18"/>
                <w:szCs w:val="18"/>
              </w:rPr>
              <w:t>1,881</w:t>
            </w:r>
          </w:p>
        </w:tc>
        <w:tc>
          <w:tcPr>
            <w:tcW w:w="305" w:type="dxa"/>
            <w:tcBorders>
              <w:top w:val="single" w:sz="4" w:space="0" w:color="auto"/>
              <w:left w:val="nil"/>
              <w:bottom w:val="single" w:sz="4" w:space="0" w:color="auto"/>
              <w:right w:val="nil"/>
            </w:tcBorders>
            <w:shd w:val="clear" w:color="FFFFFF" w:fill="FFFFFF"/>
            <w:noWrap/>
            <w:vAlign w:val="bottom"/>
            <w:hideMark/>
          </w:tcPr>
          <w:p w14:paraId="2403568B" w14:textId="77777777" w:rsidR="00C32CBD" w:rsidRDefault="00C32CBD" w:rsidP="00320D09">
            <w:pPr>
              <w:jc w:val="right"/>
              <w:rPr>
                <w:rFonts w:cs="Arial"/>
                <w:sz w:val="18"/>
                <w:szCs w:val="18"/>
              </w:rPr>
            </w:pPr>
            <w:r>
              <w:rPr>
                <w:rFonts w:cs="Arial"/>
                <w:sz w:val="18"/>
                <w:szCs w:val="18"/>
              </w:rPr>
              <w:t> </w:t>
            </w:r>
          </w:p>
        </w:tc>
        <w:tc>
          <w:tcPr>
            <w:tcW w:w="1317" w:type="dxa"/>
            <w:tcBorders>
              <w:top w:val="single" w:sz="4" w:space="0" w:color="auto"/>
              <w:left w:val="nil"/>
              <w:bottom w:val="single" w:sz="4" w:space="0" w:color="auto"/>
              <w:right w:val="nil"/>
            </w:tcBorders>
            <w:shd w:val="clear" w:color="FFFFFF" w:fill="FFFFFF"/>
            <w:noWrap/>
            <w:vAlign w:val="bottom"/>
            <w:hideMark/>
          </w:tcPr>
          <w:p w14:paraId="2F1BD482" w14:textId="77777777" w:rsidR="00C32CBD" w:rsidRDefault="00C32CBD" w:rsidP="00320D09">
            <w:pPr>
              <w:jc w:val="right"/>
              <w:rPr>
                <w:rFonts w:cs="Arial"/>
                <w:sz w:val="18"/>
                <w:szCs w:val="18"/>
              </w:rPr>
            </w:pPr>
            <w:r>
              <w:rPr>
                <w:rFonts w:cs="Arial"/>
                <w:sz w:val="18"/>
                <w:szCs w:val="18"/>
              </w:rPr>
              <w:t>-</w:t>
            </w:r>
          </w:p>
        </w:tc>
      </w:tr>
      <w:tr w:rsidR="00C32CBD" w14:paraId="0F48ED53" w14:textId="77777777" w:rsidTr="00320D09">
        <w:trPr>
          <w:trHeight w:val="255"/>
        </w:trPr>
        <w:tc>
          <w:tcPr>
            <w:tcW w:w="4831" w:type="dxa"/>
            <w:tcBorders>
              <w:top w:val="nil"/>
              <w:left w:val="nil"/>
              <w:bottom w:val="nil"/>
              <w:right w:val="nil"/>
            </w:tcBorders>
            <w:shd w:val="clear" w:color="FFFFFF" w:fill="FFFFFF"/>
            <w:noWrap/>
            <w:vAlign w:val="bottom"/>
            <w:hideMark/>
          </w:tcPr>
          <w:p w14:paraId="76EF112A" w14:textId="77777777" w:rsidR="00C32CBD" w:rsidRDefault="00C32CBD" w:rsidP="00320D09">
            <w:pPr>
              <w:jc w:val="right"/>
              <w:rPr>
                <w:rFonts w:cs="Arial"/>
                <w:sz w:val="18"/>
                <w:szCs w:val="18"/>
              </w:rPr>
            </w:pPr>
            <w:r>
              <w:rPr>
                <w:rFonts w:cs="Arial"/>
                <w:sz w:val="18"/>
                <w:szCs w:val="18"/>
              </w:rPr>
              <w:t> </w:t>
            </w:r>
          </w:p>
        </w:tc>
        <w:tc>
          <w:tcPr>
            <w:tcW w:w="1317" w:type="dxa"/>
            <w:tcBorders>
              <w:top w:val="nil"/>
              <w:left w:val="nil"/>
              <w:bottom w:val="nil"/>
              <w:right w:val="nil"/>
            </w:tcBorders>
            <w:shd w:val="clear" w:color="FFFFFF" w:fill="FFFFFF"/>
            <w:noWrap/>
            <w:vAlign w:val="bottom"/>
            <w:hideMark/>
          </w:tcPr>
          <w:p w14:paraId="4C7268CD" w14:textId="77777777" w:rsidR="00C32CBD" w:rsidRDefault="00C32CBD" w:rsidP="00320D09">
            <w:pPr>
              <w:jc w:val="right"/>
              <w:rPr>
                <w:rFonts w:cs="Arial"/>
                <w:sz w:val="18"/>
                <w:szCs w:val="18"/>
              </w:rPr>
            </w:pPr>
            <w:r>
              <w:rPr>
                <w:rFonts w:cs="Arial"/>
                <w:sz w:val="18"/>
                <w:szCs w:val="18"/>
              </w:rPr>
              <w:t> </w:t>
            </w:r>
          </w:p>
        </w:tc>
        <w:tc>
          <w:tcPr>
            <w:tcW w:w="1317" w:type="dxa"/>
            <w:tcBorders>
              <w:top w:val="nil"/>
              <w:left w:val="nil"/>
              <w:bottom w:val="nil"/>
              <w:right w:val="nil"/>
            </w:tcBorders>
            <w:shd w:val="clear" w:color="FFFFFF" w:fill="FFFFFF"/>
            <w:noWrap/>
            <w:vAlign w:val="bottom"/>
            <w:hideMark/>
          </w:tcPr>
          <w:p w14:paraId="5C2B53B7" w14:textId="77777777" w:rsidR="00C32CBD" w:rsidRDefault="00C32CBD" w:rsidP="00320D09">
            <w:pPr>
              <w:jc w:val="right"/>
              <w:rPr>
                <w:rFonts w:cs="Arial"/>
                <w:sz w:val="18"/>
                <w:szCs w:val="18"/>
              </w:rPr>
            </w:pPr>
            <w:r>
              <w:rPr>
                <w:rFonts w:cs="Arial"/>
                <w:sz w:val="18"/>
                <w:szCs w:val="18"/>
              </w:rPr>
              <w:t> </w:t>
            </w:r>
          </w:p>
        </w:tc>
        <w:tc>
          <w:tcPr>
            <w:tcW w:w="305" w:type="dxa"/>
            <w:tcBorders>
              <w:top w:val="nil"/>
              <w:left w:val="nil"/>
              <w:bottom w:val="nil"/>
              <w:right w:val="nil"/>
            </w:tcBorders>
            <w:shd w:val="clear" w:color="FFFFFF" w:fill="FFFFFF"/>
            <w:noWrap/>
            <w:vAlign w:val="bottom"/>
            <w:hideMark/>
          </w:tcPr>
          <w:p w14:paraId="05378C1E" w14:textId="77777777" w:rsidR="00C32CBD" w:rsidRDefault="00C32CBD" w:rsidP="00320D09">
            <w:pPr>
              <w:jc w:val="right"/>
              <w:rPr>
                <w:rFonts w:cs="Arial"/>
                <w:sz w:val="18"/>
                <w:szCs w:val="18"/>
              </w:rPr>
            </w:pPr>
            <w:r>
              <w:rPr>
                <w:rFonts w:cs="Arial"/>
                <w:sz w:val="18"/>
                <w:szCs w:val="18"/>
              </w:rPr>
              <w:t> </w:t>
            </w:r>
          </w:p>
        </w:tc>
        <w:tc>
          <w:tcPr>
            <w:tcW w:w="1317" w:type="dxa"/>
            <w:tcBorders>
              <w:top w:val="nil"/>
              <w:left w:val="nil"/>
              <w:bottom w:val="nil"/>
              <w:right w:val="nil"/>
            </w:tcBorders>
            <w:shd w:val="clear" w:color="FFFFFF" w:fill="FFFFFF"/>
            <w:noWrap/>
            <w:vAlign w:val="bottom"/>
            <w:hideMark/>
          </w:tcPr>
          <w:p w14:paraId="3F071F4F" w14:textId="77777777" w:rsidR="00C32CBD" w:rsidRDefault="00C32CBD" w:rsidP="00320D09">
            <w:pPr>
              <w:jc w:val="right"/>
              <w:rPr>
                <w:rFonts w:cs="Arial"/>
                <w:sz w:val="18"/>
                <w:szCs w:val="18"/>
              </w:rPr>
            </w:pPr>
            <w:r>
              <w:rPr>
                <w:rFonts w:cs="Arial"/>
                <w:sz w:val="18"/>
                <w:szCs w:val="18"/>
              </w:rPr>
              <w:t> </w:t>
            </w:r>
          </w:p>
        </w:tc>
      </w:tr>
      <w:tr w:rsidR="00C32CBD" w14:paraId="0D634463" w14:textId="77777777" w:rsidTr="00320D09">
        <w:trPr>
          <w:trHeight w:val="255"/>
        </w:trPr>
        <w:tc>
          <w:tcPr>
            <w:tcW w:w="4831" w:type="dxa"/>
            <w:tcBorders>
              <w:top w:val="nil"/>
              <w:left w:val="nil"/>
              <w:bottom w:val="nil"/>
              <w:right w:val="nil"/>
            </w:tcBorders>
            <w:shd w:val="clear" w:color="FFFFFF" w:fill="FFFFFF"/>
            <w:vAlign w:val="bottom"/>
            <w:hideMark/>
          </w:tcPr>
          <w:p w14:paraId="7BC53189" w14:textId="77777777" w:rsidR="00C32CBD" w:rsidRDefault="00C32CBD" w:rsidP="00320D09">
            <w:pPr>
              <w:rPr>
                <w:rFonts w:cs="Arial"/>
                <w:b/>
                <w:bCs/>
                <w:sz w:val="18"/>
                <w:szCs w:val="18"/>
              </w:rPr>
            </w:pPr>
            <w:r>
              <w:rPr>
                <w:rFonts w:cs="Arial"/>
                <w:b/>
                <w:bCs/>
                <w:sz w:val="18"/>
                <w:szCs w:val="18"/>
              </w:rPr>
              <w:t>TOTAL EQUITY</w:t>
            </w:r>
          </w:p>
        </w:tc>
        <w:tc>
          <w:tcPr>
            <w:tcW w:w="1317" w:type="dxa"/>
            <w:tcBorders>
              <w:top w:val="nil"/>
              <w:left w:val="nil"/>
              <w:bottom w:val="nil"/>
              <w:right w:val="nil"/>
            </w:tcBorders>
            <w:shd w:val="clear" w:color="FFFFFF" w:fill="FFFFFF"/>
            <w:noWrap/>
            <w:vAlign w:val="bottom"/>
            <w:hideMark/>
          </w:tcPr>
          <w:p w14:paraId="570A514D" w14:textId="77777777" w:rsidR="00C32CBD" w:rsidRDefault="00C32CBD" w:rsidP="00320D09">
            <w:pPr>
              <w:jc w:val="right"/>
              <w:rPr>
                <w:rFonts w:cs="Arial"/>
                <w:sz w:val="18"/>
                <w:szCs w:val="18"/>
              </w:rPr>
            </w:pPr>
            <w:r>
              <w:rPr>
                <w:rFonts w:cs="Arial"/>
                <w:sz w:val="18"/>
                <w:szCs w:val="18"/>
              </w:rPr>
              <w:t> </w:t>
            </w:r>
          </w:p>
        </w:tc>
        <w:tc>
          <w:tcPr>
            <w:tcW w:w="1317" w:type="dxa"/>
            <w:tcBorders>
              <w:top w:val="nil"/>
              <w:left w:val="nil"/>
              <w:bottom w:val="nil"/>
              <w:right w:val="nil"/>
            </w:tcBorders>
            <w:shd w:val="clear" w:color="FFFFFF" w:fill="FFFFFF"/>
            <w:noWrap/>
            <w:vAlign w:val="bottom"/>
            <w:hideMark/>
          </w:tcPr>
          <w:p w14:paraId="41DDCC9E" w14:textId="77777777" w:rsidR="00C32CBD" w:rsidRDefault="00C32CBD" w:rsidP="00320D09">
            <w:pPr>
              <w:jc w:val="right"/>
              <w:rPr>
                <w:rFonts w:cs="Arial"/>
                <w:sz w:val="18"/>
                <w:szCs w:val="18"/>
              </w:rPr>
            </w:pPr>
            <w:r>
              <w:rPr>
                <w:rFonts w:cs="Arial"/>
                <w:sz w:val="18"/>
                <w:szCs w:val="18"/>
              </w:rPr>
              <w:t> </w:t>
            </w:r>
          </w:p>
        </w:tc>
        <w:tc>
          <w:tcPr>
            <w:tcW w:w="305" w:type="dxa"/>
            <w:tcBorders>
              <w:top w:val="nil"/>
              <w:left w:val="nil"/>
              <w:bottom w:val="nil"/>
              <w:right w:val="nil"/>
            </w:tcBorders>
            <w:shd w:val="clear" w:color="FFFFFF" w:fill="FFFFFF"/>
            <w:noWrap/>
            <w:vAlign w:val="bottom"/>
            <w:hideMark/>
          </w:tcPr>
          <w:p w14:paraId="74FF9479" w14:textId="77777777" w:rsidR="00C32CBD" w:rsidRDefault="00C32CBD" w:rsidP="00320D09">
            <w:pPr>
              <w:jc w:val="right"/>
              <w:rPr>
                <w:rFonts w:cs="Arial"/>
                <w:sz w:val="18"/>
                <w:szCs w:val="18"/>
              </w:rPr>
            </w:pPr>
            <w:r>
              <w:rPr>
                <w:rFonts w:cs="Arial"/>
                <w:sz w:val="18"/>
                <w:szCs w:val="18"/>
              </w:rPr>
              <w:t> </w:t>
            </w:r>
          </w:p>
        </w:tc>
        <w:tc>
          <w:tcPr>
            <w:tcW w:w="1317" w:type="dxa"/>
            <w:tcBorders>
              <w:top w:val="nil"/>
              <w:left w:val="nil"/>
              <w:bottom w:val="nil"/>
              <w:right w:val="nil"/>
            </w:tcBorders>
            <w:shd w:val="clear" w:color="FFFFFF" w:fill="FFFFFF"/>
            <w:noWrap/>
            <w:vAlign w:val="bottom"/>
            <w:hideMark/>
          </w:tcPr>
          <w:p w14:paraId="0BEFE650" w14:textId="77777777" w:rsidR="00C32CBD" w:rsidRDefault="00C32CBD" w:rsidP="00320D09">
            <w:pPr>
              <w:jc w:val="right"/>
              <w:rPr>
                <w:rFonts w:cs="Arial"/>
                <w:sz w:val="18"/>
                <w:szCs w:val="18"/>
              </w:rPr>
            </w:pPr>
            <w:r>
              <w:rPr>
                <w:rFonts w:cs="Arial"/>
                <w:sz w:val="18"/>
                <w:szCs w:val="18"/>
              </w:rPr>
              <w:t> </w:t>
            </w:r>
          </w:p>
        </w:tc>
      </w:tr>
      <w:tr w:rsidR="00C32CBD" w14:paraId="1358CFC6" w14:textId="77777777" w:rsidTr="00320D09">
        <w:trPr>
          <w:trHeight w:val="240"/>
        </w:trPr>
        <w:tc>
          <w:tcPr>
            <w:tcW w:w="4831" w:type="dxa"/>
            <w:tcBorders>
              <w:top w:val="nil"/>
              <w:left w:val="nil"/>
              <w:bottom w:val="nil"/>
              <w:right w:val="nil"/>
            </w:tcBorders>
            <w:shd w:val="clear" w:color="FFFFFF" w:fill="FFFFFF"/>
            <w:vAlign w:val="bottom"/>
            <w:hideMark/>
          </w:tcPr>
          <w:p w14:paraId="34433BB8" w14:textId="77777777" w:rsidR="00C32CBD" w:rsidRDefault="00C32CBD" w:rsidP="00320D09">
            <w:pPr>
              <w:rPr>
                <w:rFonts w:cs="Arial"/>
                <w:b/>
                <w:bCs/>
                <w:sz w:val="18"/>
                <w:szCs w:val="18"/>
              </w:rPr>
            </w:pPr>
            <w:r>
              <w:rPr>
                <w:rFonts w:cs="Arial"/>
                <w:b/>
                <w:bCs/>
                <w:sz w:val="18"/>
                <w:szCs w:val="18"/>
              </w:rPr>
              <w:t>Opening balance</w:t>
            </w:r>
          </w:p>
        </w:tc>
        <w:tc>
          <w:tcPr>
            <w:tcW w:w="1317" w:type="dxa"/>
            <w:tcBorders>
              <w:top w:val="nil"/>
              <w:left w:val="nil"/>
              <w:bottom w:val="nil"/>
              <w:right w:val="nil"/>
            </w:tcBorders>
            <w:shd w:val="clear" w:color="FFFFFF" w:fill="FFFFFF"/>
            <w:noWrap/>
            <w:vAlign w:val="bottom"/>
            <w:hideMark/>
          </w:tcPr>
          <w:p w14:paraId="1256CCB3" w14:textId="77777777" w:rsidR="00C32CBD" w:rsidRDefault="00C32CBD" w:rsidP="00320D09">
            <w:pPr>
              <w:jc w:val="right"/>
              <w:rPr>
                <w:rFonts w:cs="Arial"/>
                <w:b/>
                <w:bCs/>
                <w:sz w:val="18"/>
                <w:szCs w:val="18"/>
              </w:rPr>
            </w:pPr>
            <w:r>
              <w:rPr>
                <w:rFonts w:cs="Arial"/>
                <w:b/>
                <w:bCs/>
                <w:sz w:val="18"/>
                <w:szCs w:val="18"/>
              </w:rPr>
              <w:t>125,586</w:t>
            </w:r>
          </w:p>
        </w:tc>
        <w:tc>
          <w:tcPr>
            <w:tcW w:w="1317" w:type="dxa"/>
            <w:tcBorders>
              <w:top w:val="nil"/>
              <w:left w:val="nil"/>
              <w:bottom w:val="nil"/>
              <w:right w:val="nil"/>
            </w:tcBorders>
            <w:shd w:val="clear" w:color="FFFFFF" w:fill="FFFFFF"/>
            <w:noWrap/>
            <w:vAlign w:val="bottom"/>
            <w:hideMark/>
          </w:tcPr>
          <w:p w14:paraId="26F7B41D" w14:textId="77777777" w:rsidR="00C32CBD" w:rsidRDefault="00C32CBD" w:rsidP="00320D09">
            <w:pPr>
              <w:jc w:val="right"/>
              <w:rPr>
                <w:rFonts w:cs="Arial"/>
                <w:sz w:val="18"/>
                <w:szCs w:val="18"/>
              </w:rPr>
            </w:pPr>
            <w:r>
              <w:rPr>
                <w:rFonts w:cs="Arial"/>
                <w:sz w:val="18"/>
                <w:szCs w:val="18"/>
              </w:rPr>
              <w:t>50,167</w:t>
            </w:r>
          </w:p>
        </w:tc>
        <w:tc>
          <w:tcPr>
            <w:tcW w:w="305" w:type="dxa"/>
            <w:tcBorders>
              <w:top w:val="nil"/>
              <w:left w:val="nil"/>
              <w:bottom w:val="nil"/>
              <w:right w:val="nil"/>
            </w:tcBorders>
            <w:shd w:val="clear" w:color="FFFFFF" w:fill="FFFFFF"/>
            <w:noWrap/>
            <w:vAlign w:val="bottom"/>
            <w:hideMark/>
          </w:tcPr>
          <w:p w14:paraId="07C58226" w14:textId="77777777" w:rsidR="00C32CBD" w:rsidRDefault="00C32CBD" w:rsidP="00320D09">
            <w:pPr>
              <w:jc w:val="right"/>
              <w:rPr>
                <w:rFonts w:cs="Arial"/>
                <w:sz w:val="18"/>
                <w:szCs w:val="18"/>
              </w:rPr>
            </w:pPr>
            <w:r>
              <w:rPr>
                <w:rFonts w:cs="Arial"/>
                <w:sz w:val="18"/>
                <w:szCs w:val="18"/>
              </w:rPr>
              <w:t> </w:t>
            </w:r>
          </w:p>
        </w:tc>
        <w:tc>
          <w:tcPr>
            <w:tcW w:w="1317" w:type="dxa"/>
            <w:tcBorders>
              <w:top w:val="nil"/>
              <w:left w:val="nil"/>
              <w:bottom w:val="nil"/>
              <w:right w:val="nil"/>
            </w:tcBorders>
            <w:shd w:val="clear" w:color="FFFFFF" w:fill="FFFFFF"/>
            <w:noWrap/>
            <w:vAlign w:val="bottom"/>
            <w:hideMark/>
          </w:tcPr>
          <w:p w14:paraId="3F1E9577" w14:textId="77777777" w:rsidR="00C32CBD" w:rsidRDefault="00C32CBD" w:rsidP="00320D09">
            <w:pPr>
              <w:jc w:val="right"/>
              <w:rPr>
                <w:rFonts w:cs="Arial"/>
                <w:sz w:val="18"/>
                <w:szCs w:val="18"/>
              </w:rPr>
            </w:pPr>
            <w:r>
              <w:rPr>
                <w:rFonts w:cs="Arial"/>
                <w:sz w:val="18"/>
                <w:szCs w:val="18"/>
              </w:rPr>
              <w:t>108,790</w:t>
            </w:r>
          </w:p>
        </w:tc>
      </w:tr>
      <w:tr w:rsidR="00C32CBD" w14:paraId="3D94F963" w14:textId="77777777" w:rsidTr="00320D09">
        <w:trPr>
          <w:trHeight w:val="106"/>
        </w:trPr>
        <w:tc>
          <w:tcPr>
            <w:tcW w:w="4831" w:type="dxa"/>
            <w:tcBorders>
              <w:top w:val="nil"/>
              <w:left w:val="nil"/>
              <w:bottom w:val="nil"/>
              <w:right w:val="nil"/>
            </w:tcBorders>
            <w:shd w:val="clear" w:color="FFFFFF" w:fill="FFFFFF"/>
            <w:vAlign w:val="bottom"/>
            <w:hideMark/>
          </w:tcPr>
          <w:p w14:paraId="512794BA" w14:textId="77777777" w:rsidR="00C32CBD" w:rsidRDefault="00C32CBD" w:rsidP="00320D09">
            <w:pPr>
              <w:rPr>
                <w:rFonts w:cs="Arial"/>
                <w:b/>
                <w:bCs/>
                <w:sz w:val="18"/>
                <w:szCs w:val="18"/>
              </w:rPr>
            </w:pPr>
            <w:r>
              <w:rPr>
                <w:rFonts w:cs="Arial"/>
                <w:b/>
                <w:bCs/>
                <w:sz w:val="18"/>
                <w:szCs w:val="18"/>
              </w:rPr>
              <w:t>Comprehensive income</w:t>
            </w:r>
          </w:p>
        </w:tc>
        <w:tc>
          <w:tcPr>
            <w:tcW w:w="1317" w:type="dxa"/>
            <w:tcBorders>
              <w:top w:val="nil"/>
              <w:left w:val="nil"/>
              <w:bottom w:val="nil"/>
              <w:right w:val="nil"/>
            </w:tcBorders>
            <w:shd w:val="clear" w:color="FFFFFF" w:fill="FFFFFF"/>
            <w:noWrap/>
            <w:vAlign w:val="bottom"/>
            <w:hideMark/>
          </w:tcPr>
          <w:p w14:paraId="76818D71" w14:textId="77777777" w:rsidR="00C32CBD" w:rsidRDefault="00C32CBD" w:rsidP="00320D09">
            <w:pPr>
              <w:rPr>
                <w:rFonts w:cs="Arial"/>
                <w:b/>
                <w:bCs/>
                <w:sz w:val="18"/>
                <w:szCs w:val="18"/>
              </w:rPr>
            </w:pPr>
            <w:r>
              <w:rPr>
                <w:rFonts w:cs="Arial"/>
                <w:b/>
                <w:bCs/>
                <w:sz w:val="18"/>
                <w:szCs w:val="18"/>
              </w:rPr>
              <w:t> </w:t>
            </w:r>
          </w:p>
        </w:tc>
        <w:tc>
          <w:tcPr>
            <w:tcW w:w="1317" w:type="dxa"/>
            <w:tcBorders>
              <w:top w:val="nil"/>
              <w:left w:val="nil"/>
              <w:bottom w:val="nil"/>
              <w:right w:val="nil"/>
            </w:tcBorders>
            <w:shd w:val="clear" w:color="FFFFFF" w:fill="FFFFFF"/>
            <w:noWrap/>
            <w:vAlign w:val="bottom"/>
            <w:hideMark/>
          </w:tcPr>
          <w:p w14:paraId="631C1B24" w14:textId="77777777" w:rsidR="00C32CBD" w:rsidRDefault="00C32CBD" w:rsidP="00320D09">
            <w:pPr>
              <w:rPr>
                <w:rFonts w:cs="Arial"/>
                <w:sz w:val="18"/>
                <w:szCs w:val="18"/>
              </w:rPr>
            </w:pPr>
            <w:r>
              <w:rPr>
                <w:rFonts w:cs="Arial"/>
                <w:sz w:val="18"/>
                <w:szCs w:val="18"/>
              </w:rPr>
              <w:t> </w:t>
            </w:r>
          </w:p>
        </w:tc>
        <w:tc>
          <w:tcPr>
            <w:tcW w:w="305" w:type="dxa"/>
            <w:tcBorders>
              <w:top w:val="nil"/>
              <w:left w:val="nil"/>
              <w:bottom w:val="nil"/>
              <w:right w:val="nil"/>
            </w:tcBorders>
            <w:shd w:val="clear" w:color="FFFFFF" w:fill="FFFFFF"/>
            <w:noWrap/>
            <w:vAlign w:val="bottom"/>
            <w:hideMark/>
          </w:tcPr>
          <w:p w14:paraId="484A0DEB" w14:textId="77777777" w:rsidR="00C32CBD" w:rsidRDefault="00C32CBD" w:rsidP="00320D09">
            <w:pPr>
              <w:rPr>
                <w:rFonts w:cs="Arial"/>
              </w:rPr>
            </w:pPr>
            <w:r>
              <w:rPr>
                <w:rFonts w:cs="Arial"/>
              </w:rPr>
              <w:t> </w:t>
            </w:r>
          </w:p>
        </w:tc>
        <w:tc>
          <w:tcPr>
            <w:tcW w:w="1317" w:type="dxa"/>
            <w:tcBorders>
              <w:top w:val="nil"/>
              <w:left w:val="nil"/>
              <w:bottom w:val="nil"/>
              <w:right w:val="nil"/>
            </w:tcBorders>
            <w:shd w:val="clear" w:color="FFFFFF" w:fill="FFFFFF"/>
            <w:noWrap/>
            <w:vAlign w:val="bottom"/>
            <w:hideMark/>
          </w:tcPr>
          <w:p w14:paraId="5C04C20B" w14:textId="77777777" w:rsidR="00C32CBD" w:rsidRDefault="00C32CBD" w:rsidP="00320D09">
            <w:pPr>
              <w:rPr>
                <w:rFonts w:cs="Arial"/>
                <w:sz w:val="18"/>
                <w:szCs w:val="18"/>
              </w:rPr>
            </w:pPr>
            <w:r>
              <w:rPr>
                <w:rFonts w:cs="Arial"/>
                <w:sz w:val="18"/>
                <w:szCs w:val="18"/>
              </w:rPr>
              <w:t> </w:t>
            </w:r>
          </w:p>
        </w:tc>
      </w:tr>
      <w:tr w:rsidR="00C32CBD" w14:paraId="2C0ECD38" w14:textId="77777777" w:rsidTr="00320D09">
        <w:trPr>
          <w:trHeight w:val="255"/>
        </w:trPr>
        <w:tc>
          <w:tcPr>
            <w:tcW w:w="4831" w:type="dxa"/>
            <w:tcBorders>
              <w:top w:val="nil"/>
              <w:left w:val="nil"/>
              <w:bottom w:val="nil"/>
              <w:right w:val="nil"/>
            </w:tcBorders>
            <w:shd w:val="clear" w:color="FFFFFF" w:fill="FFFFFF"/>
            <w:vAlign w:val="bottom"/>
            <w:hideMark/>
          </w:tcPr>
          <w:p w14:paraId="17301931" w14:textId="77777777" w:rsidR="00C32CBD" w:rsidRDefault="00C32CBD" w:rsidP="00320D09">
            <w:pPr>
              <w:rPr>
                <w:rFonts w:cs="Arial"/>
                <w:sz w:val="18"/>
                <w:szCs w:val="18"/>
              </w:rPr>
            </w:pPr>
            <w:r>
              <w:rPr>
                <w:rFonts w:cs="Arial"/>
                <w:sz w:val="18"/>
                <w:szCs w:val="18"/>
              </w:rPr>
              <w:t>Surplus/(Deficit) for the period</w:t>
            </w:r>
          </w:p>
        </w:tc>
        <w:tc>
          <w:tcPr>
            <w:tcW w:w="1317" w:type="dxa"/>
            <w:tcBorders>
              <w:top w:val="nil"/>
              <w:left w:val="nil"/>
              <w:bottom w:val="nil"/>
              <w:right w:val="nil"/>
            </w:tcBorders>
            <w:shd w:val="clear" w:color="FFFFFF" w:fill="FFFFFF"/>
            <w:noWrap/>
            <w:vAlign w:val="bottom"/>
            <w:hideMark/>
          </w:tcPr>
          <w:p w14:paraId="2B43388E" w14:textId="77777777" w:rsidR="00C32CBD" w:rsidRDefault="00C32CBD" w:rsidP="00320D09">
            <w:pPr>
              <w:jc w:val="right"/>
              <w:rPr>
                <w:rFonts w:cs="Arial"/>
                <w:b/>
                <w:bCs/>
                <w:sz w:val="18"/>
                <w:szCs w:val="18"/>
              </w:rPr>
            </w:pPr>
            <w:r>
              <w:rPr>
                <w:rFonts w:cs="Arial"/>
                <w:b/>
                <w:bCs/>
                <w:sz w:val="18"/>
                <w:szCs w:val="18"/>
              </w:rPr>
              <w:t>617,068</w:t>
            </w:r>
          </w:p>
        </w:tc>
        <w:tc>
          <w:tcPr>
            <w:tcW w:w="1317" w:type="dxa"/>
            <w:tcBorders>
              <w:top w:val="nil"/>
              <w:left w:val="nil"/>
              <w:bottom w:val="nil"/>
              <w:right w:val="nil"/>
            </w:tcBorders>
            <w:shd w:val="clear" w:color="FFFFFF" w:fill="FFFFFF"/>
            <w:noWrap/>
            <w:vAlign w:val="bottom"/>
            <w:hideMark/>
          </w:tcPr>
          <w:p w14:paraId="4CDD6B90" w14:textId="77777777" w:rsidR="00C32CBD" w:rsidRDefault="00C32CBD" w:rsidP="00320D09">
            <w:pPr>
              <w:jc w:val="right"/>
              <w:rPr>
                <w:rFonts w:cs="Arial"/>
                <w:sz w:val="18"/>
                <w:szCs w:val="18"/>
              </w:rPr>
            </w:pPr>
            <w:r>
              <w:rPr>
                <w:rFonts w:cs="Arial"/>
                <w:sz w:val="18"/>
                <w:szCs w:val="18"/>
              </w:rPr>
              <w:t>15,782</w:t>
            </w:r>
          </w:p>
        </w:tc>
        <w:tc>
          <w:tcPr>
            <w:tcW w:w="305" w:type="dxa"/>
            <w:tcBorders>
              <w:top w:val="nil"/>
              <w:left w:val="nil"/>
              <w:bottom w:val="nil"/>
              <w:right w:val="nil"/>
            </w:tcBorders>
            <w:shd w:val="clear" w:color="FFFFFF" w:fill="FFFFFF"/>
            <w:noWrap/>
            <w:vAlign w:val="bottom"/>
            <w:hideMark/>
          </w:tcPr>
          <w:p w14:paraId="65745431" w14:textId="77777777" w:rsidR="00C32CBD" w:rsidRDefault="00C32CBD" w:rsidP="00320D09">
            <w:pPr>
              <w:jc w:val="right"/>
              <w:rPr>
                <w:rFonts w:cs="Arial"/>
                <w:sz w:val="18"/>
                <w:szCs w:val="18"/>
              </w:rPr>
            </w:pPr>
            <w:r>
              <w:rPr>
                <w:rFonts w:cs="Arial"/>
                <w:sz w:val="18"/>
                <w:szCs w:val="18"/>
              </w:rPr>
              <w:t> </w:t>
            </w:r>
          </w:p>
        </w:tc>
        <w:tc>
          <w:tcPr>
            <w:tcW w:w="1317" w:type="dxa"/>
            <w:tcBorders>
              <w:top w:val="nil"/>
              <w:left w:val="nil"/>
              <w:bottom w:val="nil"/>
              <w:right w:val="nil"/>
            </w:tcBorders>
            <w:shd w:val="clear" w:color="FFFFFF" w:fill="FFFFFF"/>
            <w:noWrap/>
            <w:vAlign w:val="bottom"/>
            <w:hideMark/>
          </w:tcPr>
          <w:p w14:paraId="3ACED6AF" w14:textId="77777777" w:rsidR="00C32CBD" w:rsidRDefault="00C32CBD" w:rsidP="00320D09">
            <w:pPr>
              <w:jc w:val="right"/>
              <w:rPr>
                <w:rFonts w:cs="Arial"/>
                <w:sz w:val="18"/>
                <w:szCs w:val="18"/>
              </w:rPr>
            </w:pPr>
            <w:r>
              <w:rPr>
                <w:rFonts w:cs="Arial"/>
                <w:sz w:val="18"/>
                <w:szCs w:val="18"/>
              </w:rPr>
              <w:t>-</w:t>
            </w:r>
          </w:p>
        </w:tc>
      </w:tr>
      <w:tr w:rsidR="00C32CBD" w14:paraId="5AF39319" w14:textId="77777777" w:rsidTr="00320D09">
        <w:trPr>
          <w:trHeight w:val="255"/>
        </w:trPr>
        <w:tc>
          <w:tcPr>
            <w:tcW w:w="4831" w:type="dxa"/>
            <w:tcBorders>
              <w:top w:val="nil"/>
              <w:left w:val="nil"/>
              <w:bottom w:val="nil"/>
              <w:right w:val="nil"/>
            </w:tcBorders>
            <w:shd w:val="clear" w:color="FFFFFF" w:fill="FFFFFF"/>
            <w:vAlign w:val="bottom"/>
            <w:hideMark/>
          </w:tcPr>
          <w:p w14:paraId="4EE3A86C" w14:textId="77777777" w:rsidR="00C32CBD" w:rsidRDefault="00C32CBD" w:rsidP="00320D09">
            <w:pPr>
              <w:rPr>
                <w:rFonts w:cs="Arial"/>
                <w:sz w:val="18"/>
                <w:szCs w:val="18"/>
              </w:rPr>
            </w:pPr>
            <w:r>
              <w:rPr>
                <w:rFonts w:cs="Arial"/>
                <w:sz w:val="18"/>
                <w:szCs w:val="18"/>
              </w:rPr>
              <w:lastRenderedPageBreak/>
              <w:t>Other comprehensive income</w:t>
            </w:r>
          </w:p>
        </w:tc>
        <w:tc>
          <w:tcPr>
            <w:tcW w:w="1317" w:type="dxa"/>
            <w:tcBorders>
              <w:top w:val="nil"/>
              <w:left w:val="nil"/>
              <w:bottom w:val="nil"/>
              <w:right w:val="nil"/>
            </w:tcBorders>
            <w:shd w:val="clear" w:color="FFFFFF" w:fill="FFFFFF"/>
            <w:noWrap/>
            <w:vAlign w:val="bottom"/>
            <w:hideMark/>
          </w:tcPr>
          <w:p w14:paraId="0EC1113A" w14:textId="77777777" w:rsidR="00C32CBD" w:rsidRDefault="00C32CBD" w:rsidP="00320D09">
            <w:pPr>
              <w:jc w:val="right"/>
              <w:rPr>
                <w:rFonts w:cs="Arial"/>
                <w:b/>
                <w:bCs/>
                <w:sz w:val="18"/>
                <w:szCs w:val="18"/>
              </w:rPr>
            </w:pPr>
            <w:r>
              <w:rPr>
                <w:rFonts w:cs="Arial"/>
                <w:b/>
                <w:bCs/>
                <w:sz w:val="18"/>
                <w:szCs w:val="18"/>
              </w:rPr>
              <w:t>3,675</w:t>
            </w:r>
          </w:p>
        </w:tc>
        <w:tc>
          <w:tcPr>
            <w:tcW w:w="1317" w:type="dxa"/>
            <w:tcBorders>
              <w:top w:val="nil"/>
              <w:left w:val="nil"/>
              <w:bottom w:val="nil"/>
              <w:right w:val="nil"/>
            </w:tcBorders>
            <w:shd w:val="clear" w:color="FFFFFF" w:fill="FFFFFF"/>
            <w:noWrap/>
            <w:vAlign w:val="bottom"/>
            <w:hideMark/>
          </w:tcPr>
          <w:p w14:paraId="1FBE9751" w14:textId="77777777" w:rsidR="00C32CBD" w:rsidRDefault="00C32CBD" w:rsidP="00320D09">
            <w:pPr>
              <w:jc w:val="right"/>
              <w:rPr>
                <w:rFonts w:cs="Arial"/>
                <w:sz w:val="18"/>
                <w:szCs w:val="18"/>
              </w:rPr>
            </w:pPr>
            <w:r>
              <w:rPr>
                <w:rFonts w:cs="Arial"/>
                <w:sz w:val="18"/>
                <w:szCs w:val="18"/>
              </w:rPr>
              <w:t>1,881</w:t>
            </w:r>
          </w:p>
        </w:tc>
        <w:tc>
          <w:tcPr>
            <w:tcW w:w="305" w:type="dxa"/>
            <w:tcBorders>
              <w:top w:val="nil"/>
              <w:left w:val="nil"/>
              <w:bottom w:val="nil"/>
              <w:right w:val="nil"/>
            </w:tcBorders>
            <w:shd w:val="clear" w:color="FFFFFF" w:fill="FFFFFF"/>
            <w:noWrap/>
            <w:vAlign w:val="bottom"/>
            <w:hideMark/>
          </w:tcPr>
          <w:p w14:paraId="6DBFCF92" w14:textId="77777777" w:rsidR="00C32CBD" w:rsidRDefault="00C32CBD" w:rsidP="00320D09">
            <w:pPr>
              <w:jc w:val="right"/>
              <w:rPr>
                <w:rFonts w:cs="Arial"/>
                <w:sz w:val="18"/>
                <w:szCs w:val="18"/>
              </w:rPr>
            </w:pPr>
            <w:r>
              <w:rPr>
                <w:rFonts w:cs="Arial"/>
                <w:sz w:val="18"/>
                <w:szCs w:val="18"/>
              </w:rPr>
              <w:t> </w:t>
            </w:r>
          </w:p>
        </w:tc>
        <w:tc>
          <w:tcPr>
            <w:tcW w:w="1317" w:type="dxa"/>
            <w:tcBorders>
              <w:top w:val="nil"/>
              <w:left w:val="nil"/>
              <w:bottom w:val="nil"/>
              <w:right w:val="nil"/>
            </w:tcBorders>
            <w:shd w:val="clear" w:color="FFFFFF" w:fill="FFFFFF"/>
            <w:noWrap/>
            <w:vAlign w:val="bottom"/>
            <w:hideMark/>
          </w:tcPr>
          <w:p w14:paraId="728B0960" w14:textId="77777777" w:rsidR="00C32CBD" w:rsidRDefault="00C32CBD" w:rsidP="00320D09">
            <w:pPr>
              <w:jc w:val="right"/>
              <w:rPr>
                <w:rFonts w:cs="Arial"/>
                <w:sz w:val="18"/>
                <w:szCs w:val="18"/>
              </w:rPr>
            </w:pPr>
            <w:r>
              <w:rPr>
                <w:rFonts w:cs="Arial"/>
                <w:sz w:val="18"/>
                <w:szCs w:val="18"/>
              </w:rPr>
              <w:t>-</w:t>
            </w:r>
          </w:p>
        </w:tc>
      </w:tr>
      <w:tr w:rsidR="00C32CBD" w14:paraId="7246C9DB" w14:textId="77777777" w:rsidTr="00320D09">
        <w:trPr>
          <w:trHeight w:val="255"/>
        </w:trPr>
        <w:tc>
          <w:tcPr>
            <w:tcW w:w="4831" w:type="dxa"/>
            <w:tcBorders>
              <w:top w:val="single" w:sz="4" w:space="0" w:color="auto"/>
              <w:left w:val="nil"/>
              <w:bottom w:val="single" w:sz="4" w:space="0" w:color="auto"/>
              <w:right w:val="nil"/>
            </w:tcBorders>
            <w:shd w:val="clear" w:color="FFFFFF" w:fill="FFFFFF"/>
            <w:vAlign w:val="bottom"/>
            <w:hideMark/>
          </w:tcPr>
          <w:p w14:paraId="4D5EFD39" w14:textId="77777777" w:rsidR="00C32CBD" w:rsidRDefault="00C32CBD" w:rsidP="00320D09">
            <w:pPr>
              <w:rPr>
                <w:rFonts w:cs="Arial"/>
                <w:b/>
                <w:bCs/>
                <w:sz w:val="18"/>
                <w:szCs w:val="18"/>
              </w:rPr>
            </w:pPr>
            <w:r>
              <w:rPr>
                <w:rFonts w:cs="Arial"/>
                <w:b/>
                <w:bCs/>
                <w:sz w:val="18"/>
                <w:szCs w:val="18"/>
              </w:rPr>
              <w:t>Total comprehensive income/(loss)</w:t>
            </w:r>
          </w:p>
        </w:tc>
        <w:tc>
          <w:tcPr>
            <w:tcW w:w="1317" w:type="dxa"/>
            <w:tcBorders>
              <w:top w:val="single" w:sz="4" w:space="0" w:color="auto"/>
              <w:left w:val="nil"/>
              <w:bottom w:val="single" w:sz="4" w:space="0" w:color="auto"/>
              <w:right w:val="nil"/>
            </w:tcBorders>
            <w:shd w:val="clear" w:color="FFFFFF" w:fill="FFFFFF"/>
            <w:noWrap/>
            <w:vAlign w:val="bottom"/>
            <w:hideMark/>
          </w:tcPr>
          <w:p w14:paraId="50255710" w14:textId="77777777" w:rsidR="00C32CBD" w:rsidRDefault="00C32CBD" w:rsidP="00320D09">
            <w:pPr>
              <w:jc w:val="right"/>
              <w:rPr>
                <w:rFonts w:cs="Arial"/>
                <w:b/>
                <w:bCs/>
                <w:sz w:val="18"/>
                <w:szCs w:val="18"/>
              </w:rPr>
            </w:pPr>
            <w:r>
              <w:rPr>
                <w:rFonts w:cs="Arial"/>
                <w:b/>
                <w:bCs/>
                <w:sz w:val="18"/>
                <w:szCs w:val="18"/>
              </w:rPr>
              <w:t>746,329</w:t>
            </w:r>
          </w:p>
        </w:tc>
        <w:tc>
          <w:tcPr>
            <w:tcW w:w="1317" w:type="dxa"/>
            <w:tcBorders>
              <w:top w:val="single" w:sz="4" w:space="0" w:color="auto"/>
              <w:left w:val="nil"/>
              <w:bottom w:val="single" w:sz="4" w:space="0" w:color="auto"/>
              <w:right w:val="nil"/>
            </w:tcBorders>
            <w:shd w:val="clear" w:color="FFFFFF" w:fill="FFFFFF"/>
            <w:noWrap/>
            <w:vAlign w:val="bottom"/>
            <w:hideMark/>
          </w:tcPr>
          <w:p w14:paraId="4389D51B" w14:textId="77777777" w:rsidR="00C32CBD" w:rsidRDefault="00C32CBD" w:rsidP="00320D09">
            <w:pPr>
              <w:jc w:val="right"/>
              <w:rPr>
                <w:rFonts w:cs="Arial"/>
                <w:sz w:val="18"/>
                <w:szCs w:val="18"/>
              </w:rPr>
            </w:pPr>
            <w:r>
              <w:rPr>
                <w:rFonts w:cs="Arial"/>
                <w:sz w:val="18"/>
                <w:szCs w:val="18"/>
              </w:rPr>
              <w:t>17,663</w:t>
            </w:r>
          </w:p>
        </w:tc>
        <w:tc>
          <w:tcPr>
            <w:tcW w:w="305" w:type="dxa"/>
            <w:tcBorders>
              <w:top w:val="single" w:sz="4" w:space="0" w:color="auto"/>
              <w:left w:val="nil"/>
              <w:bottom w:val="single" w:sz="4" w:space="0" w:color="auto"/>
              <w:right w:val="nil"/>
            </w:tcBorders>
            <w:shd w:val="clear" w:color="FFFFFF" w:fill="FFFFFF"/>
            <w:noWrap/>
            <w:vAlign w:val="bottom"/>
            <w:hideMark/>
          </w:tcPr>
          <w:p w14:paraId="19C153EA" w14:textId="77777777" w:rsidR="00C32CBD" w:rsidRDefault="00C32CBD" w:rsidP="00320D09">
            <w:pPr>
              <w:jc w:val="right"/>
              <w:rPr>
                <w:rFonts w:cs="Arial"/>
                <w:sz w:val="18"/>
                <w:szCs w:val="18"/>
              </w:rPr>
            </w:pPr>
            <w:r>
              <w:rPr>
                <w:rFonts w:cs="Arial"/>
                <w:sz w:val="18"/>
                <w:szCs w:val="18"/>
              </w:rPr>
              <w:t> </w:t>
            </w:r>
          </w:p>
        </w:tc>
        <w:tc>
          <w:tcPr>
            <w:tcW w:w="1317" w:type="dxa"/>
            <w:tcBorders>
              <w:top w:val="single" w:sz="4" w:space="0" w:color="auto"/>
              <w:left w:val="nil"/>
              <w:bottom w:val="single" w:sz="4" w:space="0" w:color="auto"/>
              <w:right w:val="nil"/>
            </w:tcBorders>
            <w:shd w:val="clear" w:color="FFFFFF" w:fill="FFFFFF"/>
            <w:noWrap/>
            <w:vAlign w:val="bottom"/>
            <w:hideMark/>
          </w:tcPr>
          <w:p w14:paraId="28BCE916" w14:textId="77777777" w:rsidR="00C32CBD" w:rsidRDefault="00C32CBD" w:rsidP="00320D09">
            <w:pPr>
              <w:jc w:val="right"/>
              <w:rPr>
                <w:rFonts w:cs="Arial"/>
                <w:sz w:val="18"/>
                <w:szCs w:val="18"/>
              </w:rPr>
            </w:pPr>
            <w:r>
              <w:rPr>
                <w:rFonts w:cs="Arial"/>
                <w:sz w:val="18"/>
                <w:szCs w:val="18"/>
              </w:rPr>
              <w:t>-</w:t>
            </w:r>
          </w:p>
        </w:tc>
      </w:tr>
      <w:tr w:rsidR="00C32CBD" w14:paraId="3CC5FC68" w14:textId="77777777" w:rsidTr="00320D09">
        <w:trPr>
          <w:trHeight w:val="255"/>
        </w:trPr>
        <w:tc>
          <w:tcPr>
            <w:tcW w:w="4831" w:type="dxa"/>
            <w:tcBorders>
              <w:top w:val="nil"/>
              <w:left w:val="nil"/>
              <w:bottom w:val="nil"/>
              <w:right w:val="nil"/>
            </w:tcBorders>
            <w:shd w:val="clear" w:color="FFFFFF" w:fill="FFFFFF"/>
            <w:vAlign w:val="bottom"/>
            <w:hideMark/>
          </w:tcPr>
          <w:p w14:paraId="20BAC0BC" w14:textId="77777777" w:rsidR="00C32CBD" w:rsidRDefault="00C32CBD" w:rsidP="00320D09">
            <w:pPr>
              <w:rPr>
                <w:rFonts w:cs="Arial"/>
                <w:b/>
                <w:bCs/>
                <w:sz w:val="18"/>
                <w:szCs w:val="18"/>
              </w:rPr>
            </w:pPr>
            <w:r>
              <w:rPr>
                <w:rFonts w:cs="Arial"/>
                <w:b/>
                <w:bCs/>
                <w:sz w:val="18"/>
                <w:szCs w:val="18"/>
              </w:rPr>
              <w:t>Contributions by owners</w:t>
            </w:r>
          </w:p>
        </w:tc>
        <w:tc>
          <w:tcPr>
            <w:tcW w:w="1317" w:type="dxa"/>
            <w:tcBorders>
              <w:top w:val="nil"/>
              <w:left w:val="nil"/>
              <w:bottom w:val="nil"/>
              <w:right w:val="nil"/>
            </w:tcBorders>
            <w:shd w:val="clear" w:color="FFFFFF" w:fill="FFFFFF"/>
            <w:noWrap/>
            <w:vAlign w:val="bottom"/>
            <w:hideMark/>
          </w:tcPr>
          <w:p w14:paraId="3780AE9C" w14:textId="77777777" w:rsidR="00C32CBD" w:rsidRDefault="00C32CBD" w:rsidP="00320D09">
            <w:pPr>
              <w:jc w:val="right"/>
              <w:rPr>
                <w:rFonts w:cs="Arial"/>
                <w:b/>
                <w:bCs/>
                <w:sz w:val="18"/>
                <w:szCs w:val="18"/>
              </w:rPr>
            </w:pPr>
            <w:r>
              <w:rPr>
                <w:rFonts w:cs="Arial"/>
                <w:b/>
                <w:bCs/>
                <w:sz w:val="18"/>
                <w:szCs w:val="18"/>
              </w:rPr>
              <w:t> </w:t>
            </w:r>
          </w:p>
        </w:tc>
        <w:tc>
          <w:tcPr>
            <w:tcW w:w="1317" w:type="dxa"/>
            <w:tcBorders>
              <w:top w:val="nil"/>
              <w:left w:val="nil"/>
              <w:bottom w:val="nil"/>
              <w:right w:val="nil"/>
            </w:tcBorders>
            <w:shd w:val="clear" w:color="FFFFFF" w:fill="FFFFFF"/>
            <w:noWrap/>
            <w:vAlign w:val="bottom"/>
            <w:hideMark/>
          </w:tcPr>
          <w:p w14:paraId="5EB766FE" w14:textId="77777777" w:rsidR="00C32CBD" w:rsidRDefault="00C32CBD" w:rsidP="00320D09">
            <w:pPr>
              <w:jc w:val="right"/>
              <w:rPr>
                <w:rFonts w:cs="Arial"/>
                <w:sz w:val="18"/>
                <w:szCs w:val="18"/>
              </w:rPr>
            </w:pPr>
            <w:r>
              <w:rPr>
                <w:rFonts w:cs="Arial"/>
                <w:sz w:val="18"/>
                <w:szCs w:val="18"/>
              </w:rPr>
              <w:t> </w:t>
            </w:r>
          </w:p>
        </w:tc>
        <w:tc>
          <w:tcPr>
            <w:tcW w:w="305" w:type="dxa"/>
            <w:tcBorders>
              <w:top w:val="nil"/>
              <w:left w:val="nil"/>
              <w:bottom w:val="nil"/>
              <w:right w:val="nil"/>
            </w:tcBorders>
            <w:shd w:val="clear" w:color="FFFFFF" w:fill="FFFFFF"/>
            <w:noWrap/>
            <w:vAlign w:val="bottom"/>
            <w:hideMark/>
          </w:tcPr>
          <w:p w14:paraId="3CF713B0" w14:textId="77777777" w:rsidR="00C32CBD" w:rsidRDefault="00C32CBD" w:rsidP="00320D09">
            <w:pPr>
              <w:jc w:val="right"/>
              <w:rPr>
                <w:rFonts w:cs="Arial"/>
                <w:sz w:val="18"/>
                <w:szCs w:val="18"/>
              </w:rPr>
            </w:pPr>
            <w:r>
              <w:rPr>
                <w:rFonts w:cs="Arial"/>
                <w:sz w:val="18"/>
                <w:szCs w:val="18"/>
              </w:rPr>
              <w:t> </w:t>
            </w:r>
          </w:p>
        </w:tc>
        <w:tc>
          <w:tcPr>
            <w:tcW w:w="1317" w:type="dxa"/>
            <w:tcBorders>
              <w:top w:val="nil"/>
              <w:left w:val="nil"/>
              <w:bottom w:val="nil"/>
              <w:right w:val="nil"/>
            </w:tcBorders>
            <w:shd w:val="clear" w:color="FFFFFF" w:fill="FFFFFF"/>
            <w:noWrap/>
            <w:vAlign w:val="bottom"/>
            <w:hideMark/>
          </w:tcPr>
          <w:p w14:paraId="6DBB129D" w14:textId="77777777" w:rsidR="00C32CBD" w:rsidRDefault="00C32CBD" w:rsidP="00320D09">
            <w:pPr>
              <w:jc w:val="right"/>
              <w:rPr>
                <w:rFonts w:cs="Arial"/>
                <w:sz w:val="18"/>
                <w:szCs w:val="18"/>
              </w:rPr>
            </w:pPr>
            <w:r>
              <w:rPr>
                <w:rFonts w:cs="Arial"/>
                <w:sz w:val="18"/>
                <w:szCs w:val="18"/>
              </w:rPr>
              <w:t> </w:t>
            </w:r>
          </w:p>
        </w:tc>
      </w:tr>
      <w:tr w:rsidR="00C32CBD" w14:paraId="39BADF2C" w14:textId="77777777" w:rsidTr="00320D09">
        <w:trPr>
          <w:trHeight w:val="255"/>
        </w:trPr>
        <w:tc>
          <w:tcPr>
            <w:tcW w:w="4831" w:type="dxa"/>
            <w:tcBorders>
              <w:top w:val="nil"/>
              <w:left w:val="nil"/>
              <w:bottom w:val="nil"/>
              <w:right w:val="nil"/>
            </w:tcBorders>
            <w:shd w:val="clear" w:color="FFFFFF" w:fill="FFFFFF"/>
            <w:vAlign w:val="bottom"/>
            <w:hideMark/>
          </w:tcPr>
          <w:p w14:paraId="127106DD" w14:textId="77777777" w:rsidR="00C32CBD" w:rsidRDefault="00C32CBD" w:rsidP="00320D09">
            <w:pPr>
              <w:rPr>
                <w:rFonts w:cs="Arial"/>
                <w:sz w:val="18"/>
                <w:szCs w:val="18"/>
              </w:rPr>
            </w:pPr>
            <w:r>
              <w:rPr>
                <w:rFonts w:cs="Arial"/>
                <w:sz w:val="18"/>
                <w:szCs w:val="18"/>
              </w:rPr>
              <w:t>Equity injection</w:t>
            </w:r>
          </w:p>
        </w:tc>
        <w:tc>
          <w:tcPr>
            <w:tcW w:w="1317" w:type="dxa"/>
            <w:tcBorders>
              <w:top w:val="nil"/>
              <w:left w:val="nil"/>
              <w:bottom w:val="nil"/>
              <w:right w:val="nil"/>
            </w:tcBorders>
            <w:shd w:val="clear" w:color="FFFFFF" w:fill="FFFFFF"/>
            <w:noWrap/>
            <w:vAlign w:val="bottom"/>
            <w:hideMark/>
          </w:tcPr>
          <w:p w14:paraId="1521010A" w14:textId="77777777" w:rsidR="00C32CBD" w:rsidRDefault="00C32CBD" w:rsidP="00320D09">
            <w:pPr>
              <w:jc w:val="right"/>
              <w:rPr>
                <w:rFonts w:cs="Arial"/>
                <w:b/>
                <w:bCs/>
                <w:sz w:val="18"/>
                <w:szCs w:val="18"/>
              </w:rPr>
            </w:pPr>
            <w:r>
              <w:rPr>
                <w:rFonts w:cs="Arial"/>
                <w:b/>
                <w:bCs/>
                <w:sz w:val="18"/>
                <w:szCs w:val="18"/>
              </w:rPr>
              <w:t> </w:t>
            </w:r>
          </w:p>
        </w:tc>
        <w:tc>
          <w:tcPr>
            <w:tcW w:w="1317" w:type="dxa"/>
            <w:tcBorders>
              <w:top w:val="nil"/>
              <w:left w:val="nil"/>
              <w:bottom w:val="nil"/>
              <w:right w:val="nil"/>
            </w:tcBorders>
            <w:shd w:val="clear" w:color="FFFFFF" w:fill="FFFFFF"/>
            <w:noWrap/>
            <w:vAlign w:val="bottom"/>
            <w:hideMark/>
          </w:tcPr>
          <w:p w14:paraId="2E318B51" w14:textId="77777777" w:rsidR="00C32CBD" w:rsidRDefault="00C32CBD" w:rsidP="00320D09">
            <w:pPr>
              <w:jc w:val="right"/>
              <w:rPr>
                <w:rFonts w:cs="Arial"/>
                <w:sz w:val="18"/>
                <w:szCs w:val="18"/>
              </w:rPr>
            </w:pPr>
            <w:r>
              <w:rPr>
                <w:rFonts w:cs="Arial"/>
                <w:sz w:val="18"/>
                <w:szCs w:val="18"/>
              </w:rPr>
              <w:t> </w:t>
            </w:r>
          </w:p>
        </w:tc>
        <w:tc>
          <w:tcPr>
            <w:tcW w:w="305" w:type="dxa"/>
            <w:tcBorders>
              <w:top w:val="nil"/>
              <w:left w:val="nil"/>
              <w:bottom w:val="nil"/>
              <w:right w:val="nil"/>
            </w:tcBorders>
            <w:shd w:val="clear" w:color="FFFFFF" w:fill="FFFFFF"/>
            <w:noWrap/>
            <w:vAlign w:val="bottom"/>
            <w:hideMark/>
          </w:tcPr>
          <w:p w14:paraId="3DBA5C1F" w14:textId="77777777" w:rsidR="00C32CBD" w:rsidRDefault="00C32CBD" w:rsidP="00320D09">
            <w:pPr>
              <w:jc w:val="right"/>
              <w:rPr>
                <w:rFonts w:cs="Arial"/>
                <w:sz w:val="18"/>
                <w:szCs w:val="18"/>
              </w:rPr>
            </w:pPr>
            <w:r>
              <w:rPr>
                <w:rFonts w:cs="Arial"/>
                <w:sz w:val="18"/>
                <w:szCs w:val="18"/>
              </w:rPr>
              <w:t> </w:t>
            </w:r>
          </w:p>
        </w:tc>
        <w:tc>
          <w:tcPr>
            <w:tcW w:w="1317" w:type="dxa"/>
            <w:tcBorders>
              <w:top w:val="nil"/>
              <w:left w:val="nil"/>
              <w:bottom w:val="nil"/>
              <w:right w:val="nil"/>
            </w:tcBorders>
            <w:shd w:val="clear" w:color="FFFFFF" w:fill="FFFFFF"/>
            <w:noWrap/>
            <w:vAlign w:val="bottom"/>
            <w:hideMark/>
          </w:tcPr>
          <w:p w14:paraId="316CE5DB" w14:textId="77777777" w:rsidR="00C32CBD" w:rsidRDefault="00C32CBD" w:rsidP="00320D09">
            <w:pPr>
              <w:jc w:val="right"/>
              <w:rPr>
                <w:rFonts w:cs="Arial"/>
                <w:sz w:val="18"/>
                <w:szCs w:val="18"/>
              </w:rPr>
            </w:pPr>
            <w:r>
              <w:rPr>
                <w:rFonts w:cs="Arial"/>
                <w:sz w:val="18"/>
                <w:szCs w:val="18"/>
              </w:rPr>
              <w:t> </w:t>
            </w:r>
          </w:p>
        </w:tc>
      </w:tr>
      <w:tr w:rsidR="00C32CBD" w14:paraId="23699DD0" w14:textId="77777777" w:rsidTr="00320D09">
        <w:trPr>
          <w:trHeight w:val="255"/>
        </w:trPr>
        <w:tc>
          <w:tcPr>
            <w:tcW w:w="4831" w:type="dxa"/>
            <w:tcBorders>
              <w:top w:val="nil"/>
              <w:left w:val="nil"/>
              <w:bottom w:val="nil"/>
              <w:right w:val="nil"/>
            </w:tcBorders>
            <w:shd w:val="clear" w:color="FFFFFF" w:fill="FFFFFF"/>
            <w:vAlign w:val="bottom"/>
            <w:hideMark/>
          </w:tcPr>
          <w:p w14:paraId="511061F1" w14:textId="77777777" w:rsidR="00C32CBD" w:rsidRDefault="00C32CBD" w:rsidP="00320D09">
            <w:pPr>
              <w:ind w:firstLineChars="100" w:firstLine="180"/>
              <w:rPr>
                <w:rFonts w:cs="Arial"/>
                <w:sz w:val="18"/>
                <w:szCs w:val="18"/>
              </w:rPr>
            </w:pPr>
            <w:r>
              <w:rPr>
                <w:rFonts w:cs="Arial"/>
                <w:sz w:val="18"/>
                <w:szCs w:val="18"/>
              </w:rPr>
              <w:t>Corporate Commonwealth entity payment</w:t>
            </w:r>
          </w:p>
        </w:tc>
        <w:tc>
          <w:tcPr>
            <w:tcW w:w="1317" w:type="dxa"/>
            <w:tcBorders>
              <w:top w:val="nil"/>
              <w:left w:val="nil"/>
              <w:bottom w:val="nil"/>
              <w:right w:val="nil"/>
            </w:tcBorders>
            <w:shd w:val="clear" w:color="FFFFFF" w:fill="FFFFFF"/>
            <w:noWrap/>
            <w:vAlign w:val="bottom"/>
            <w:hideMark/>
          </w:tcPr>
          <w:p w14:paraId="7C8A34E9" w14:textId="77777777" w:rsidR="00C32CBD" w:rsidRDefault="00C32CBD" w:rsidP="00320D09">
            <w:pPr>
              <w:jc w:val="right"/>
              <w:rPr>
                <w:rFonts w:cs="Arial"/>
                <w:b/>
                <w:bCs/>
                <w:sz w:val="18"/>
                <w:szCs w:val="18"/>
              </w:rPr>
            </w:pPr>
            <w:r>
              <w:rPr>
                <w:rFonts w:cs="Arial"/>
                <w:b/>
                <w:bCs/>
                <w:sz w:val="18"/>
                <w:szCs w:val="18"/>
              </w:rPr>
              <w:t>116,197</w:t>
            </w:r>
          </w:p>
        </w:tc>
        <w:tc>
          <w:tcPr>
            <w:tcW w:w="1317" w:type="dxa"/>
            <w:tcBorders>
              <w:top w:val="nil"/>
              <w:left w:val="nil"/>
              <w:bottom w:val="nil"/>
              <w:right w:val="nil"/>
            </w:tcBorders>
            <w:shd w:val="clear" w:color="FFFFFF" w:fill="FFFFFF"/>
            <w:noWrap/>
            <w:vAlign w:val="bottom"/>
            <w:hideMark/>
          </w:tcPr>
          <w:p w14:paraId="5D1CD118" w14:textId="77777777" w:rsidR="00C32CBD" w:rsidRDefault="00C32CBD" w:rsidP="00320D09">
            <w:pPr>
              <w:jc w:val="right"/>
              <w:rPr>
                <w:rFonts w:cs="Arial"/>
                <w:sz w:val="18"/>
                <w:szCs w:val="18"/>
              </w:rPr>
            </w:pPr>
            <w:r>
              <w:rPr>
                <w:rFonts w:cs="Arial"/>
                <w:sz w:val="18"/>
                <w:szCs w:val="18"/>
              </w:rPr>
              <w:t>57,756</w:t>
            </w:r>
          </w:p>
        </w:tc>
        <w:tc>
          <w:tcPr>
            <w:tcW w:w="305" w:type="dxa"/>
            <w:tcBorders>
              <w:top w:val="nil"/>
              <w:left w:val="nil"/>
              <w:bottom w:val="nil"/>
              <w:right w:val="nil"/>
            </w:tcBorders>
            <w:shd w:val="clear" w:color="FFFFFF" w:fill="FFFFFF"/>
            <w:noWrap/>
            <w:vAlign w:val="bottom"/>
            <w:hideMark/>
          </w:tcPr>
          <w:p w14:paraId="358E68B3" w14:textId="77777777" w:rsidR="00C32CBD" w:rsidRDefault="00C32CBD" w:rsidP="00320D09">
            <w:pPr>
              <w:jc w:val="right"/>
              <w:rPr>
                <w:rFonts w:cs="Arial"/>
                <w:sz w:val="18"/>
                <w:szCs w:val="18"/>
              </w:rPr>
            </w:pPr>
            <w:r>
              <w:rPr>
                <w:rFonts w:cs="Arial"/>
                <w:sz w:val="18"/>
                <w:szCs w:val="18"/>
              </w:rPr>
              <w:t> </w:t>
            </w:r>
          </w:p>
        </w:tc>
        <w:tc>
          <w:tcPr>
            <w:tcW w:w="1317" w:type="dxa"/>
            <w:tcBorders>
              <w:top w:val="nil"/>
              <w:left w:val="nil"/>
              <w:bottom w:val="nil"/>
              <w:right w:val="nil"/>
            </w:tcBorders>
            <w:shd w:val="clear" w:color="FFFFFF" w:fill="FFFFFF"/>
            <w:noWrap/>
            <w:vAlign w:val="bottom"/>
            <w:hideMark/>
          </w:tcPr>
          <w:p w14:paraId="335372D8" w14:textId="77777777" w:rsidR="00C32CBD" w:rsidRDefault="00C32CBD" w:rsidP="00320D09">
            <w:pPr>
              <w:jc w:val="right"/>
              <w:rPr>
                <w:rFonts w:cs="Arial"/>
                <w:sz w:val="18"/>
                <w:szCs w:val="18"/>
              </w:rPr>
            </w:pPr>
            <w:r>
              <w:rPr>
                <w:rFonts w:cs="Arial"/>
                <w:sz w:val="18"/>
                <w:szCs w:val="18"/>
              </w:rPr>
              <w:t>116,197</w:t>
            </w:r>
          </w:p>
        </w:tc>
      </w:tr>
      <w:tr w:rsidR="00C32CBD" w14:paraId="633208B1" w14:textId="77777777" w:rsidTr="00320D09">
        <w:trPr>
          <w:trHeight w:val="255"/>
        </w:trPr>
        <w:tc>
          <w:tcPr>
            <w:tcW w:w="4831" w:type="dxa"/>
            <w:tcBorders>
              <w:top w:val="single" w:sz="4" w:space="0" w:color="auto"/>
              <w:left w:val="nil"/>
              <w:bottom w:val="single" w:sz="4" w:space="0" w:color="auto"/>
              <w:right w:val="nil"/>
            </w:tcBorders>
            <w:shd w:val="clear" w:color="FFFFFF" w:fill="FFFFFF"/>
            <w:vAlign w:val="bottom"/>
            <w:hideMark/>
          </w:tcPr>
          <w:p w14:paraId="25D80A22" w14:textId="77777777" w:rsidR="00C32CBD" w:rsidRDefault="00C32CBD" w:rsidP="00320D09">
            <w:pPr>
              <w:rPr>
                <w:rFonts w:cs="Arial"/>
                <w:b/>
                <w:bCs/>
                <w:sz w:val="18"/>
                <w:szCs w:val="18"/>
              </w:rPr>
            </w:pPr>
            <w:r>
              <w:rPr>
                <w:rFonts w:cs="Arial"/>
                <w:b/>
                <w:bCs/>
                <w:sz w:val="18"/>
                <w:szCs w:val="18"/>
              </w:rPr>
              <w:t>Closing balance</w:t>
            </w:r>
          </w:p>
        </w:tc>
        <w:tc>
          <w:tcPr>
            <w:tcW w:w="1317" w:type="dxa"/>
            <w:tcBorders>
              <w:top w:val="single" w:sz="4" w:space="0" w:color="auto"/>
              <w:left w:val="nil"/>
              <w:bottom w:val="single" w:sz="4" w:space="0" w:color="auto"/>
              <w:right w:val="nil"/>
            </w:tcBorders>
            <w:shd w:val="clear" w:color="FFFFFF" w:fill="FFFFFF"/>
            <w:noWrap/>
            <w:vAlign w:val="bottom"/>
            <w:hideMark/>
          </w:tcPr>
          <w:p w14:paraId="6C097E76" w14:textId="77777777" w:rsidR="00C32CBD" w:rsidRDefault="00C32CBD" w:rsidP="00320D09">
            <w:pPr>
              <w:jc w:val="right"/>
              <w:rPr>
                <w:rFonts w:cs="Arial"/>
                <w:b/>
                <w:bCs/>
                <w:sz w:val="18"/>
                <w:szCs w:val="18"/>
              </w:rPr>
            </w:pPr>
            <w:r>
              <w:rPr>
                <w:rFonts w:cs="Arial"/>
                <w:b/>
                <w:bCs/>
                <w:sz w:val="18"/>
                <w:szCs w:val="18"/>
              </w:rPr>
              <w:t>862,526</w:t>
            </w:r>
          </w:p>
        </w:tc>
        <w:tc>
          <w:tcPr>
            <w:tcW w:w="1317" w:type="dxa"/>
            <w:tcBorders>
              <w:top w:val="single" w:sz="4" w:space="0" w:color="auto"/>
              <w:left w:val="nil"/>
              <w:bottom w:val="single" w:sz="4" w:space="0" w:color="auto"/>
              <w:right w:val="nil"/>
            </w:tcBorders>
            <w:shd w:val="clear" w:color="FFFFFF" w:fill="FFFFFF"/>
            <w:noWrap/>
            <w:vAlign w:val="bottom"/>
            <w:hideMark/>
          </w:tcPr>
          <w:p w14:paraId="434552FA" w14:textId="77777777" w:rsidR="00C32CBD" w:rsidRDefault="00C32CBD" w:rsidP="00320D09">
            <w:pPr>
              <w:jc w:val="right"/>
              <w:rPr>
                <w:rFonts w:cs="Arial"/>
                <w:sz w:val="18"/>
                <w:szCs w:val="18"/>
              </w:rPr>
            </w:pPr>
            <w:r>
              <w:rPr>
                <w:rFonts w:cs="Arial"/>
                <w:sz w:val="18"/>
                <w:szCs w:val="18"/>
              </w:rPr>
              <w:t>125,586</w:t>
            </w:r>
          </w:p>
        </w:tc>
        <w:tc>
          <w:tcPr>
            <w:tcW w:w="305" w:type="dxa"/>
            <w:tcBorders>
              <w:top w:val="single" w:sz="4" w:space="0" w:color="auto"/>
              <w:left w:val="nil"/>
              <w:bottom w:val="single" w:sz="4" w:space="0" w:color="auto"/>
              <w:right w:val="nil"/>
            </w:tcBorders>
            <w:shd w:val="clear" w:color="FFFFFF" w:fill="FFFFFF"/>
            <w:noWrap/>
            <w:vAlign w:val="bottom"/>
            <w:hideMark/>
          </w:tcPr>
          <w:p w14:paraId="558D200E" w14:textId="77777777" w:rsidR="00C32CBD" w:rsidRDefault="00C32CBD" w:rsidP="00320D09">
            <w:pPr>
              <w:jc w:val="right"/>
              <w:rPr>
                <w:rFonts w:cs="Arial"/>
                <w:sz w:val="18"/>
                <w:szCs w:val="18"/>
              </w:rPr>
            </w:pPr>
            <w:r>
              <w:rPr>
                <w:rFonts w:cs="Arial"/>
                <w:sz w:val="18"/>
                <w:szCs w:val="18"/>
              </w:rPr>
              <w:t> </w:t>
            </w:r>
          </w:p>
        </w:tc>
        <w:tc>
          <w:tcPr>
            <w:tcW w:w="1317" w:type="dxa"/>
            <w:tcBorders>
              <w:top w:val="single" w:sz="4" w:space="0" w:color="auto"/>
              <w:left w:val="nil"/>
              <w:bottom w:val="single" w:sz="4" w:space="0" w:color="auto"/>
              <w:right w:val="nil"/>
            </w:tcBorders>
            <w:shd w:val="clear" w:color="FFFFFF" w:fill="FFFFFF"/>
            <w:noWrap/>
            <w:vAlign w:val="bottom"/>
            <w:hideMark/>
          </w:tcPr>
          <w:p w14:paraId="22138DC2" w14:textId="77777777" w:rsidR="00C32CBD" w:rsidRDefault="00C32CBD" w:rsidP="00320D09">
            <w:pPr>
              <w:jc w:val="right"/>
              <w:rPr>
                <w:rFonts w:cs="Arial"/>
                <w:sz w:val="18"/>
                <w:szCs w:val="18"/>
              </w:rPr>
            </w:pPr>
            <w:r>
              <w:rPr>
                <w:rFonts w:cs="Arial"/>
                <w:sz w:val="18"/>
                <w:szCs w:val="18"/>
              </w:rPr>
              <w:t>224,987</w:t>
            </w:r>
          </w:p>
        </w:tc>
      </w:tr>
    </w:tbl>
    <w:p w14:paraId="11845781" w14:textId="77777777" w:rsidR="00C32CBD" w:rsidRDefault="00C32CBD" w:rsidP="00C32CBD"/>
    <w:p w14:paraId="1D1DA43E" w14:textId="77777777" w:rsidR="00C32CBD" w:rsidRDefault="00C32CBD" w:rsidP="00C32CBD">
      <w:pPr>
        <w:rPr>
          <w:rFonts w:cs="Arial"/>
          <w:sz w:val="18"/>
          <w:szCs w:val="18"/>
        </w:rPr>
      </w:pPr>
      <w:r w:rsidRPr="00EA2B3D">
        <w:rPr>
          <w:rFonts w:cs="Arial"/>
          <w:sz w:val="18"/>
          <w:szCs w:val="18"/>
        </w:rPr>
        <w:t xml:space="preserve">The </w:t>
      </w:r>
      <w:r>
        <w:rPr>
          <w:rFonts w:cs="Arial"/>
          <w:sz w:val="18"/>
          <w:szCs w:val="18"/>
        </w:rPr>
        <w:t>above statement should be read in conjunction with the accompanying notes.</w:t>
      </w:r>
    </w:p>
    <w:p w14:paraId="153290BA" w14:textId="77777777" w:rsidR="00C32CBD" w:rsidRDefault="00C32CBD" w:rsidP="00C32CBD">
      <w:r>
        <w:br w:type="page"/>
      </w:r>
    </w:p>
    <w:p w14:paraId="4FE6FDDF" w14:textId="77777777" w:rsidR="00C32CBD" w:rsidRPr="009044C9" w:rsidRDefault="00C32CBD" w:rsidP="00C32CBD">
      <w:pPr>
        <w:pStyle w:val="PolicyheadingDept"/>
        <w:pBdr>
          <w:left w:val="single" w:sz="4" w:space="4" w:color="009560"/>
          <w:right w:val="single" w:sz="4" w:space="4" w:color="009560"/>
        </w:pBdr>
      </w:pPr>
      <w:r w:rsidRPr="009044C9">
        <w:lastRenderedPageBreak/>
        <w:t>Accounting Policy</w:t>
      </w:r>
    </w:p>
    <w:p w14:paraId="6BA626BB" w14:textId="77777777" w:rsidR="00C32CBD" w:rsidRPr="00C83FE8" w:rsidRDefault="00C32CBD" w:rsidP="00C32CBD">
      <w:pPr>
        <w:pStyle w:val="PolicytextDept"/>
        <w:pBdr>
          <w:left w:val="single" w:sz="4" w:space="4" w:color="009560"/>
          <w:right w:val="single" w:sz="4" w:space="4" w:color="009560"/>
        </w:pBdr>
        <w:rPr>
          <w:u w:val="single"/>
        </w:rPr>
      </w:pPr>
      <w:r w:rsidRPr="00C83FE8">
        <w:rPr>
          <w:u w:val="single"/>
        </w:rPr>
        <w:t xml:space="preserve">Equity injections </w:t>
      </w:r>
    </w:p>
    <w:p w14:paraId="6028C227" w14:textId="77777777" w:rsidR="00C32CBD" w:rsidRDefault="00C32CBD" w:rsidP="00C32CBD">
      <w:pPr>
        <w:pStyle w:val="PolicytextDept"/>
        <w:pBdr>
          <w:left w:val="single" w:sz="4" w:space="4" w:color="009560"/>
          <w:right w:val="single" w:sz="4" w:space="4" w:color="009560"/>
        </w:pBdr>
      </w:pPr>
      <w:r w:rsidRPr="00A65285">
        <w:t xml:space="preserve">Amounts received which are designated as ‘equity injections’ for a year (less any formal reductions) </w:t>
      </w:r>
      <w:r>
        <w:t>a</w:t>
      </w:r>
      <w:r w:rsidRPr="00A65285">
        <w:t xml:space="preserve">re recognised directly in contributed equity in that year. </w:t>
      </w:r>
    </w:p>
    <w:p w14:paraId="16AD3381" w14:textId="77777777" w:rsidR="00C32CBD" w:rsidRPr="00C83FE8" w:rsidRDefault="00C32CBD" w:rsidP="00C32CBD">
      <w:pPr>
        <w:pStyle w:val="PolicytextDept"/>
        <w:pBdr>
          <w:left w:val="single" w:sz="4" w:space="4" w:color="009560"/>
          <w:right w:val="single" w:sz="4" w:space="4" w:color="009560"/>
        </w:pBdr>
        <w:rPr>
          <w:u w:val="single"/>
        </w:rPr>
      </w:pPr>
      <w:r>
        <w:rPr>
          <w:u w:val="single"/>
        </w:rPr>
        <w:t>Transfer to/from other entities</w:t>
      </w:r>
    </w:p>
    <w:p w14:paraId="0D9D8D78" w14:textId="77777777" w:rsidR="00C32CBD" w:rsidRPr="00BB6CF4" w:rsidRDefault="00C32CBD" w:rsidP="00C32CBD">
      <w:pPr>
        <w:pStyle w:val="PolicytextDept"/>
        <w:pBdr>
          <w:left w:val="single" w:sz="4" w:space="4" w:color="009560"/>
          <w:right w:val="single" w:sz="4" w:space="4" w:color="009560"/>
        </w:pBdr>
      </w:pPr>
      <w:r w:rsidRPr="00BB6CF4">
        <w:t xml:space="preserve">Net assets received from or </w:t>
      </w:r>
      <w:r>
        <w:t>transferred</w:t>
      </w:r>
      <w:r w:rsidRPr="00BB6CF4">
        <w:t xml:space="preserve"> to another Government entity under a restructuring of administrative arrangements are adjusted at their book value directly against contributed equity. </w:t>
      </w:r>
    </w:p>
    <w:p w14:paraId="7048F182" w14:textId="77777777" w:rsidR="00C32CBD" w:rsidRPr="00C83FE8" w:rsidRDefault="00C32CBD" w:rsidP="00C32CBD">
      <w:pPr>
        <w:pStyle w:val="PolicytextDept"/>
        <w:pBdr>
          <w:left w:val="single" w:sz="4" w:space="4" w:color="009560"/>
          <w:right w:val="single" w:sz="4" w:space="4" w:color="009560"/>
        </w:pBdr>
        <w:rPr>
          <w:u w:val="single"/>
        </w:rPr>
      </w:pPr>
      <w:r w:rsidRPr="00C83FE8">
        <w:rPr>
          <w:u w:val="single"/>
        </w:rPr>
        <w:t>Other distributions to owners</w:t>
      </w:r>
    </w:p>
    <w:p w14:paraId="3965FBEB" w14:textId="77777777" w:rsidR="00C32CBD" w:rsidRDefault="00C32CBD" w:rsidP="00C32CBD">
      <w:pPr>
        <w:pStyle w:val="PolicytextDept"/>
        <w:pBdr>
          <w:left w:val="single" w:sz="4" w:space="4" w:color="009560"/>
          <w:right w:val="single" w:sz="4" w:space="4" w:color="009560"/>
        </w:pBdr>
      </w:pPr>
      <w:r w:rsidRPr="00BB6CF4">
        <w:t xml:space="preserve">The </w:t>
      </w:r>
      <w:r w:rsidRPr="00FC5B40">
        <w:rPr>
          <w:i/>
        </w:rPr>
        <w:t>Public Governance, Performance and Accountability (Financial Reporting) Rule 2015</w:t>
      </w:r>
      <w:r w:rsidRPr="00C23E8F">
        <w:t xml:space="preserve"> (FRR) </w:t>
      </w:r>
      <w:r w:rsidRPr="00BB6CF4">
        <w:t>require</w:t>
      </w:r>
      <w:r>
        <w:t>s</w:t>
      </w:r>
      <w:r w:rsidRPr="00BB6CF4">
        <w:t xml:space="preserve"> that distributions to owners be debited to contributed equity unless it is in the nature of a dividend. </w:t>
      </w:r>
    </w:p>
    <w:p w14:paraId="187E2B3C" w14:textId="77777777" w:rsidR="00C32CBD" w:rsidRDefault="00C32CBD" w:rsidP="00C32CBD">
      <w:pPr>
        <w:pStyle w:val="PolicyheadingDept"/>
        <w:pBdr>
          <w:left w:val="single" w:sz="4" w:space="4" w:color="009560"/>
          <w:right w:val="single" w:sz="4" w:space="4" w:color="009560"/>
        </w:pBdr>
      </w:pPr>
    </w:p>
    <w:p w14:paraId="3B4D4D80" w14:textId="77777777" w:rsidR="00C32CBD" w:rsidRDefault="00C32CBD" w:rsidP="00C32CBD">
      <w:pPr>
        <w:pStyle w:val="PolicyheadingDept"/>
        <w:pBdr>
          <w:left w:val="single" w:sz="4" w:space="4" w:color="009560"/>
          <w:right w:val="single" w:sz="4" w:space="4" w:color="009560"/>
        </w:pBdr>
      </w:pPr>
      <w:r w:rsidRPr="00D54E7F">
        <w:t>Budget Variances Commentary</w:t>
      </w:r>
    </w:p>
    <w:p w14:paraId="1FA303E4" w14:textId="77777777" w:rsidR="00C32CBD" w:rsidRPr="00BA6414" w:rsidRDefault="00C32CBD" w:rsidP="00C32CBD">
      <w:pPr>
        <w:pStyle w:val="PolicyheadingDept"/>
        <w:pBdr>
          <w:left w:val="single" w:sz="4" w:space="4" w:color="009560"/>
          <w:right w:val="single" w:sz="4" w:space="4" w:color="009560"/>
        </w:pBdr>
      </w:pPr>
      <w:r w:rsidRPr="00BA6414">
        <w:t>St</w:t>
      </w:r>
      <w:r>
        <w:t>atement of Changes in Equity</w:t>
      </w:r>
    </w:p>
    <w:p w14:paraId="4BD8F3E1" w14:textId="77777777" w:rsidR="00C32CBD" w:rsidRDefault="00C32CBD" w:rsidP="00C32CBD">
      <w:pPr>
        <w:pStyle w:val="PolicytextDept"/>
        <w:pBdr>
          <w:left w:val="single" w:sz="4" w:space="4" w:color="009560"/>
          <w:right w:val="single" w:sz="4" w:space="4" w:color="009560"/>
        </w:pBdr>
        <w:sectPr w:rsidR="00C32CBD" w:rsidSect="00320D09">
          <w:headerReference w:type="even" r:id="rId17"/>
          <w:headerReference w:type="default" r:id="rId18"/>
          <w:headerReference w:type="first" r:id="rId19"/>
          <w:pgSz w:w="11906" w:h="16838" w:code="9"/>
          <w:pgMar w:top="1134" w:right="1416" w:bottom="1134" w:left="1134" w:header="958" w:footer="737" w:gutter="0"/>
          <w:cols w:space="708"/>
          <w:docGrid w:linePitch="360"/>
        </w:sectPr>
      </w:pPr>
      <w:r>
        <w:t>Major budget variances for balances contained in the Statement of Changes in Equity have been included in the budget variances commentary for the Statement of Comprehensive Income and the Statement of Financial Position.</w:t>
      </w:r>
    </w:p>
    <w:tbl>
      <w:tblPr>
        <w:tblW w:w="9087" w:type="dxa"/>
        <w:tblInd w:w="80" w:type="dxa"/>
        <w:tblLayout w:type="fixed"/>
        <w:tblLook w:val="04A0" w:firstRow="1" w:lastRow="0" w:firstColumn="1" w:lastColumn="0" w:noHBand="0" w:noVBand="1"/>
      </w:tblPr>
      <w:tblGrid>
        <w:gridCol w:w="4472"/>
        <w:gridCol w:w="1026"/>
        <w:gridCol w:w="1057"/>
        <w:gridCol w:w="236"/>
        <w:gridCol w:w="1030"/>
        <w:gridCol w:w="236"/>
        <w:gridCol w:w="1030"/>
      </w:tblGrid>
      <w:tr w:rsidR="00C32CBD" w14:paraId="2250A3B1" w14:textId="77777777" w:rsidTr="00320D09">
        <w:trPr>
          <w:trHeight w:val="480"/>
        </w:trPr>
        <w:tc>
          <w:tcPr>
            <w:tcW w:w="4472" w:type="dxa"/>
            <w:tcBorders>
              <w:top w:val="single" w:sz="8" w:space="0" w:color="008000"/>
              <w:left w:val="nil"/>
              <w:bottom w:val="nil"/>
              <w:right w:val="nil"/>
            </w:tcBorders>
            <w:shd w:val="clear" w:color="FFFFFF" w:fill="FFFFFF"/>
            <w:noWrap/>
            <w:vAlign w:val="bottom"/>
            <w:hideMark/>
          </w:tcPr>
          <w:p w14:paraId="5D10E577" w14:textId="77777777" w:rsidR="00C32CBD" w:rsidRDefault="00C32CBD" w:rsidP="00320D09">
            <w:pPr>
              <w:rPr>
                <w:rFonts w:cs="Arial"/>
                <w:sz w:val="18"/>
                <w:szCs w:val="18"/>
              </w:rPr>
            </w:pPr>
            <w:bookmarkStart w:id="70" w:name="Note_DCFTABLE1" w:colFirst="0" w:colLast="0"/>
            <w:r>
              <w:rPr>
                <w:rFonts w:cs="Arial"/>
                <w:sz w:val="18"/>
                <w:szCs w:val="18"/>
              </w:rPr>
              <w:lastRenderedPageBreak/>
              <w:t> </w:t>
            </w:r>
          </w:p>
        </w:tc>
        <w:tc>
          <w:tcPr>
            <w:tcW w:w="1026" w:type="dxa"/>
            <w:tcBorders>
              <w:top w:val="single" w:sz="8" w:space="0" w:color="008000"/>
              <w:left w:val="nil"/>
              <w:bottom w:val="nil"/>
              <w:right w:val="nil"/>
            </w:tcBorders>
            <w:shd w:val="clear" w:color="FFFFFF" w:fill="FFFFFF"/>
            <w:noWrap/>
            <w:vAlign w:val="bottom"/>
            <w:hideMark/>
          </w:tcPr>
          <w:p w14:paraId="6C3FE131" w14:textId="77777777" w:rsidR="00C32CBD" w:rsidRDefault="00C32CBD" w:rsidP="00320D09">
            <w:pPr>
              <w:rPr>
                <w:rFonts w:cs="Arial"/>
                <w:sz w:val="18"/>
                <w:szCs w:val="18"/>
              </w:rPr>
            </w:pPr>
            <w:r>
              <w:rPr>
                <w:rFonts w:cs="Arial"/>
                <w:sz w:val="18"/>
                <w:szCs w:val="18"/>
              </w:rPr>
              <w:t> </w:t>
            </w:r>
          </w:p>
        </w:tc>
        <w:tc>
          <w:tcPr>
            <w:tcW w:w="1057" w:type="dxa"/>
            <w:tcBorders>
              <w:top w:val="single" w:sz="8" w:space="0" w:color="008000"/>
              <w:left w:val="nil"/>
              <w:bottom w:val="nil"/>
              <w:right w:val="nil"/>
            </w:tcBorders>
            <w:shd w:val="clear" w:color="FFFFFF" w:fill="FFFFFF"/>
            <w:noWrap/>
            <w:vAlign w:val="bottom"/>
            <w:hideMark/>
          </w:tcPr>
          <w:p w14:paraId="69AF0245" w14:textId="77777777" w:rsidR="00C32CBD" w:rsidRDefault="00C32CBD" w:rsidP="00320D09">
            <w:pPr>
              <w:jc w:val="right"/>
              <w:rPr>
                <w:rFonts w:cs="Arial"/>
                <w:b/>
                <w:bCs/>
                <w:sz w:val="18"/>
                <w:szCs w:val="18"/>
              </w:rPr>
            </w:pPr>
            <w:r>
              <w:rPr>
                <w:rFonts w:cs="Arial"/>
                <w:b/>
                <w:bCs/>
                <w:sz w:val="18"/>
                <w:szCs w:val="18"/>
              </w:rPr>
              <w:t> </w:t>
            </w:r>
          </w:p>
        </w:tc>
        <w:tc>
          <w:tcPr>
            <w:tcW w:w="236" w:type="dxa"/>
            <w:tcBorders>
              <w:top w:val="single" w:sz="8" w:space="0" w:color="008000"/>
              <w:left w:val="nil"/>
              <w:bottom w:val="nil"/>
              <w:right w:val="nil"/>
            </w:tcBorders>
            <w:shd w:val="clear" w:color="FFFFFF" w:fill="FFFFFF"/>
            <w:noWrap/>
            <w:vAlign w:val="bottom"/>
            <w:hideMark/>
          </w:tcPr>
          <w:p w14:paraId="79F6F970" w14:textId="77777777" w:rsidR="00C32CBD" w:rsidRDefault="00C32CBD" w:rsidP="00320D09">
            <w:pPr>
              <w:rPr>
                <w:rFonts w:cs="Arial"/>
                <w:sz w:val="18"/>
                <w:szCs w:val="18"/>
              </w:rPr>
            </w:pPr>
            <w:r>
              <w:rPr>
                <w:rFonts w:cs="Arial"/>
                <w:sz w:val="18"/>
                <w:szCs w:val="18"/>
              </w:rPr>
              <w:t> </w:t>
            </w:r>
          </w:p>
        </w:tc>
        <w:tc>
          <w:tcPr>
            <w:tcW w:w="1030" w:type="dxa"/>
            <w:tcBorders>
              <w:top w:val="single" w:sz="8" w:space="0" w:color="008000"/>
              <w:left w:val="nil"/>
              <w:bottom w:val="nil"/>
              <w:right w:val="nil"/>
            </w:tcBorders>
            <w:shd w:val="clear" w:color="FFFFFF" w:fill="FFFFFF"/>
            <w:noWrap/>
            <w:vAlign w:val="bottom"/>
            <w:hideMark/>
          </w:tcPr>
          <w:p w14:paraId="12CC3EDE" w14:textId="77777777" w:rsidR="00C32CBD" w:rsidRDefault="00C32CBD" w:rsidP="00320D09">
            <w:pPr>
              <w:jc w:val="right"/>
              <w:rPr>
                <w:rFonts w:cs="Arial"/>
                <w:sz w:val="18"/>
                <w:szCs w:val="18"/>
              </w:rPr>
            </w:pPr>
            <w:r>
              <w:rPr>
                <w:rFonts w:cs="Arial"/>
                <w:sz w:val="18"/>
                <w:szCs w:val="18"/>
              </w:rPr>
              <w:t> </w:t>
            </w:r>
          </w:p>
        </w:tc>
        <w:tc>
          <w:tcPr>
            <w:tcW w:w="236" w:type="dxa"/>
            <w:tcBorders>
              <w:top w:val="single" w:sz="8" w:space="0" w:color="008000"/>
              <w:left w:val="nil"/>
              <w:bottom w:val="nil"/>
              <w:right w:val="nil"/>
            </w:tcBorders>
            <w:shd w:val="clear" w:color="FFFFFF" w:fill="FFFFFF"/>
            <w:noWrap/>
            <w:vAlign w:val="bottom"/>
            <w:hideMark/>
          </w:tcPr>
          <w:p w14:paraId="409483D2" w14:textId="77777777" w:rsidR="00C32CBD" w:rsidRDefault="00C32CBD" w:rsidP="00320D09">
            <w:pPr>
              <w:rPr>
                <w:rFonts w:cs="Arial"/>
                <w:sz w:val="18"/>
                <w:szCs w:val="18"/>
              </w:rPr>
            </w:pPr>
            <w:r>
              <w:rPr>
                <w:rFonts w:cs="Arial"/>
                <w:sz w:val="18"/>
                <w:szCs w:val="18"/>
              </w:rPr>
              <w:t> </w:t>
            </w:r>
          </w:p>
        </w:tc>
        <w:tc>
          <w:tcPr>
            <w:tcW w:w="1030" w:type="dxa"/>
            <w:tcBorders>
              <w:top w:val="single" w:sz="8" w:space="0" w:color="008000"/>
              <w:left w:val="nil"/>
              <w:bottom w:val="nil"/>
              <w:right w:val="nil"/>
            </w:tcBorders>
            <w:shd w:val="clear" w:color="FFFFFF" w:fill="FFFFFF"/>
            <w:vAlign w:val="bottom"/>
            <w:hideMark/>
          </w:tcPr>
          <w:p w14:paraId="1C91D978" w14:textId="77777777" w:rsidR="00C32CBD" w:rsidRDefault="00C32CBD" w:rsidP="00320D09">
            <w:pPr>
              <w:jc w:val="right"/>
              <w:rPr>
                <w:rFonts w:cs="Arial"/>
                <w:color w:val="008000"/>
                <w:sz w:val="18"/>
                <w:szCs w:val="18"/>
              </w:rPr>
            </w:pPr>
            <w:r>
              <w:rPr>
                <w:rFonts w:cs="Arial"/>
                <w:color w:val="008000"/>
                <w:sz w:val="18"/>
                <w:szCs w:val="18"/>
              </w:rPr>
              <w:t>Original</w:t>
            </w:r>
            <w:r>
              <w:rPr>
                <w:rFonts w:cs="Arial"/>
                <w:color w:val="008000"/>
                <w:sz w:val="18"/>
                <w:szCs w:val="18"/>
              </w:rPr>
              <w:br/>
              <w:t>Budget</w:t>
            </w:r>
          </w:p>
        </w:tc>
      </w:tr>
      <w:bookmarkEnd w:id="70"/>
      <w:tr w:rsidR="00C32CBD" w14:paraId="3384B24D" w14:textId="77777777" w:rsidTr="00320D09">
        <w:trPr>
          <w:trHeight w:val="255"/>
        </w:trPr>
        <w:tc>
          <w:tcPr>
            <w:tcW w:w="4472" w:type="dxa"/>
            <w:tcBorders>
              <w:top w:val="nil"/>
              <w:left w:val="nil"/>
              <w:bottom w:val="nil"/>
              <w:right w:val="nil"/>
            </w:tcBorders>
            <w:shd w:val="clear" w:color="FFFFFF" w:fill="FFFFFF"/>
            <w:noWrap/>
            <w:vAlign w:val="bottom"/>
            <w:hideMark/>
          </w:tcPr>
          <w:p w14:paraId="0AA481A4" w14:textId="77777777" w:rsidR="00C32CBD" w:rsidRDefault="00C32CBD" w:rsidP="00320D09">
            <w:pPr>
              <w:rPr>
                <w:rFonts w:cs="Arial"/>
                <w:sz w:val="18"/>
                <w:szCs w:val="18"/>
              </w:rPr>
            </w:pPr>
            <w:r>
              <w:rPr>
                <w:rFonts w:cs="Arial"/>
                <w:sz w:val="18"/>
                <w:szCs w:val="18"/>
              </w:rPr>
              <w:t> </w:t>
            </w:r>
          </w:p>
        </w:tc>
        <w:tc>
          <w:tcPr>
            <w:tcW w:w="1026" w:type="dxa"/>
            <w:tcBorders>
              <w:top w:val="nil"/>
              <w:left w:val="nil"/>
              <w:bottom w:val="nil"/>
              <w:right w:val="nil"/>
            </w:tcBorders>
            <w:shd w:val="clear" w:color="FFFFFF" w:fill="FFFFFF"/>
            <w:noWrap/>
            <w:vAlign w:val="bottom"/>
            <w:hideMark/>
          </w:tcPr>
          <w:p w14:paraId="640E16DD" w14:textId="77777777" w:rsidR="00C32CBD" w:rsidRDefault="00C32CBD" w:rsidP="00320D09">
            <w:pPr>
              <w:rPr>
                <w:rFonts w:cs="Arial"/>
                <w:sz w:val="18"/>
                <w:szCs w:val="18"/>
              </w:rPr>
            </w:pPr>
            <w:r>
              <w:rPr>
                <w:rFonts w:cs="Arial"/>
                <w:sz w:val="18"/>
                <w:szCs w:val="18"/>
              </w:rPr>
              <w:t> </w:t>
            </w:r>
          </w:p>
        </w:tc>
        <w:tc>
          <w:tcPr>
            <w:tcW w:w="1057" w:type="dxa"/>
            <w:tcBorders>
              <w:top w:val="nil"/>
              <w:left w:val="nil"/>
              <w:bottom w:val="nil"/>
              <w:right w:val="nil"/>
            </w:tcBorders>
            <w:shd w:val="clear" w:color="FFFFFF" w:fill="FFFFFF"/>
            <w:noWrap/>
            <w:vAlign w:val="bottom"/>
            <w:hideMark/>
          </w:tcPr>
          <w:p w14:paraId="0B901586" w14:textId="77777777" w:rsidR="00C32CBD" w:rsidRDefault="00C32CBD" w:rsidP="00320D09">
            <w:pPr>
              <w:jc w:val="right"/>
              <w:rPr>
                <w:rFonts w:cs="Arial"/>
                <w:b/>
                <w:bCs/>
                <w:sz w:val="18"/>
                <w:szCs w:val="18"/>
              </w:rPr>
            </w:pPr>
            <w:r>
              <w:rPr>
                <w:rFonts w:cs="Arial"/>
                <w:b/>
                <w:bCs/>
                <w:sz w:val="18"/>
                <w:szCs w:val="18"/>
              </w:rPr>
              <w:t>2017</w:t>
            </w:r>
          </w:p>
        </w:tc>
        <w:tc>
          <w:tcPr>
            <w:tcW w:w="236" w:type="dxa"/>
            <w:tcBorders>
              <w:top w:val="nil"/>
              <w:left w:val="nil"/>
              <w:bottom w:val="nil"/>
              <w:right w:val="nil"/>
            </w:tcBorders>
            <w:shd w:val="clear" w:color="FFFFFF" w:fill="FFFFFF"/>
            <w:noWrap/>
            <w:vAlign w:val="bottom"/>
            <w:hideMark/>
          </w:tcPr>
          <w:p w14:paraId="3196651C" w14:textId="77777777" w:rsidR="00C32CBD" w:rsidRDefault="00C32CBD" w:rsidP="00320D09">
            <w:pPr>
              <w:rPr>
                <w:rFonts w:cs="Arial"/>
                <w:sz w:val="18"/>
                <w:szCs w:val="18"/>
              </w:rPr>
            </w:pPr>
            <w:r>
              <w:rPr>
                <w:rFonts w:cs="Arial"/>
                <w:sz w:val="18"/>
                <w:szCs w:val="18"/>
              </w:rPr>
              <w:t> </w:t>
            </w:r>
          </w:p>
        </w:tc>
        <w:tc>
          <w:tcPr>
            <w:tcW w:w="1030" w:type="dxa"/>
            <w:tcBorders>
              <w:top w:val="nil"/>
              <w:left w:val="nil"/>
              <w:bottom w:val="nil"/>
              <w:right w:val="nil"/>
            </w:tcBorders>
            <w:shd w:val="clear" w:color="FFFFFF" w:fill="FFFFFF"/>
            <w:noWrap/>
            <w:vAlign w:val="bottom"/>
            <w:hideMark/>
          </w:tcPr>
          <w:p w14:paraId="71B1BC2F" w14:textId="77777777" w:rsidR="00C32CBD" w:rsidRDefault="00C32CBD" w:rsidP="00320D09">
            <w:pPr>
              <w:jc w:val="right"/>
              <w:rPr>
                <w:rFonts w:cs="Arial"/>
                <w:sz w:val="18"/>
                <w:szCs w:val="18"/>
              </w:rPr>
            </w:pPr>
            <w:r>
              <w:rPr>
                <w:rFonts w:cs="Arial"/>
                <w:sz w:val="18"/>
                <w:szCs w:val="18"/>
              </w:rPr>
              <w:t>2016</w:t>
            </w:r>
          </w:p>
        </w:tc>
        <w:tc>
          <w:tcPr>
            <w:tcW w:w="236" w:type="dxa"/>
            <w:tcBorders>
              <w:top w:val="nil"/>
              <w:left w:val="nil"/>
              <w:bottom w:val="nil"/>
              <w:right w:val="nil"/>
            </w:tcBorders>
            <w:shd w:val="clear" w:color="FFFFFF" w:fill="FFFFFF"/>
            <w:noWrap/>
            <w:vAlign w:val="bottom"/>
            <w:hideMark/>
          </w:tcPr>
          <w:p w14:paraId="4A8D4F2F" w14:textId="77777777" w:rsidR="00C32CBD" w:rsidRDefault="00C32CBD" w:rsidP="00320D09">
            <w:pPr>
              <w:rPr>
                <w:rFonts w:cs="Arial"/>
                <w:sz w:val="18"/>
                <w:szCs w:val="18"/>
              </w:rPr>
            </w:pPr>
            <w:r>
              <w:rPr>
                <w:rFonts w:cs="Arial"/>
                <w:sz w:val="18"/>
                <w:szCs w:val="18"/>
              </w:rPr>
              <w:t> </w:t>
            </w:r>
          </w:p>
        </w:tc>
        <w:tc>
          <w:tcPr>
            <w:tcW w:w="1030" w:type="dxa"/>
            <w:tcBorders>
              <w:top w:val="nil"/>
              <w:left w:val="nil"/>
              <w:bottom w:val="nil"/>
              <w:right w:val="nil"/>
            </w:tcBorders>
            <w:shd w:val="clear" w:color="auto" w:fill="auto"/>
            <w:noWrap/>
            <w:vAlign w:val="bottom"/>
            <w:hideMark/>
          </w:tcPr>
          <w:p w14:paraId="2A239E82" w14:textId="77777777" w:rsidR="00C32CBD" w:rsidRDefault="00C32CBD" w:rsidP="00320D09">
            <w:pPr>
              <w:jc w:val="right"/>
              <w:rPr>
                <w:rFonts w:cs="Arial"/>
                <w:color w:val="008000"/>
                <w:sz w:val="18"/>
                <w:szCs w:val="18"/>
              </w:rPr>
            </w:pPr>
            <w:r>
              <w:rPr>
                <w:rFonts w:cs="Arial"/>
                <w:color w:val="008000"/>
                <w:sz w:val="18"/>
                <w:szCs w:val="18"/>
              </w:rPr>
              <w:t>2017</w:t>
            </w:r>
          </w:p>
        </w:tc>
      </w:tr>
      <w:tr w:rsidR="00C32CBD" w14:paraId="063FB835" w14:textId="77777777" w:rsidTr="00320D09">
        <w:trPr>
          <w:trHeight w:val="270"/>
        </w:trPr>
        <w:tc>
          <w:tcPr>
            <w:tcW w:w="4472" w:type="dxa"/>
            <w:tcBorders>
              <w:top w:val="nil"/>
              <w:left w:val="nil"/>
              <w:bottom w:val="single" w:sz="8" w:space="0" w:color="008000"/>
              <w:right w:val="nil"/>
            </w:tcBorders>
            <w:shd w:val="clear" w:color="FFFFFF" w:fill="FFFFFF"/>
            <w:noWrap/>
            <w:vAlign w:val="bottom"/>
            <w:hideMark/>
          </w:tcPr>
          <w:p w14:paraId="04B8FBFC" w14:textId="77777777" w:rsidR="00C32CBD" w:rsidRDefault="00C32CBD" w:rsidP="00320D09">
            <w:pPr>
              <w:rPr>
                <w:rFonts w:cs="Arial"/>
                <w:sz w:val="18"/>
                <w:szCs w:val="18"/>
              </w:rPr>
            </w:pPr>
            <w:r>
              <w:rPr>
                <w:rFonts w:cs="Arial"/>
                <w:sz w:val="18"/>
                <w:szCs w:val="18"/>
              </w:rPr>
              <w:t> </w:t>
            </w:r>
          </w:p>
        </w:tc>
        <w:tc>
          <w:tcPr>
            <w:tcW w:w="1026" w:type="dxa"/>
            <w:tcBorders>
              <w:top w:val="nil"/>
              <w:left w:val="nil"/>
              <w:bottom w:val="single" w:sz="8" w:space="0" w:color="008000"/>
              <w:right w:val="nil"/>
            </w:tcBorders>
            <w:shd w:val="clear" w:color="FFFFFF" w:fill="FFFFFF"/>
            <w:noWrap/>
            <w:vAlign w:val="bottom"/>
            <w:hideMark/>
          </w:tcPr>
          <w:p w14:paraId="47A79504" w14:textId="77777777" w:rsidR="00C32CBD" w:rsidRDefault="00C32CBD" w:rsidP="00320D09">
            <w:pPr>
              <w:jc w:val="center"/>
              <w:rPr>
                <w:rFonts w:cs="Arial"/>
                <w:b/>
                <w:bCs/>
                <w:sz w:val="18"/>
                <w:szCs w:val="18"/>
              </w:rPr>
            </w:pPr>
            <w:r>
              <w:rPr>
                <w:rFonts w:cs="Arial"/>
                <w:b/>
                <w:bCs/>
                <w:sz w:val="18"/>
                <w:szCs w:val="18"/>
              </w:rPr>
              <w:t>Notes</w:t>
            </w:r>
          </w:p>
        </w:tc>
        <w:tc>
          <w:tcPr>
            <w:tcW w:w="1057" w:type="dxa"/>
            <w:tcBorders>
              <w:top w:val="nil"/>
              <w:left w:val="nil"/>
              <w:bottom w:val="single" w:sz="8" w:space="0" w:color="008000"/>
              <w:right w:val="nil"/>
            </w:tcBorders>
            <w:shd w:val="clear" w:color="FFFFFF" w:fill="FFFFFF"/>
            <w:noWrap/>
            <w:vAlign w:val="bottom"/>
            <w:hideMark/>
          </w:tcPr>
          <w:p w14:paraId="030C8336" w14:textId="77777777" w:rsidR="00C32CBD" w:rsidRDefault="00C32CBD" w:rsidP="00320D09">
            <w:pPr>
              <w:jc w:val="right"/>
              <w:rPr>
                <w:rFonts w:cs="Arial"/>
                <w:b/>
                <w:bCs/>
                <w:sz w:val="18"/>
                <w:szCs w:val="18"/>
              </w:rPr>
            </w:pPr>
            <w:r>
              <w:rPr>
                <w:rFonts w:cs="Arial"/>
                <w:b/>
                <w:bCs/>
                <w:sz w:val="18"/>
                <w:szCs w:val="18"/>
              </w:rPr>
              <w:t>$'000</w:t>
            </w:r>
          </w:p>
        </w:tc>
        <w:tc>
          <w:tcPr>
            <w:tcW w:w="236" w:type="dxa"/>
            <w:tcBorders>
              <w:top w:val="nil"/>
              <w:left w:val="nil"/>
              <w:bottom w:val="single" w:sz="8" w:space="0" w:color="008000"/>
              <w:right w:val="nil"/>
            </w:tcBorders>
            <w:shd w:val="clear" w:color="FFFFFF" w:fill="FFFFFF"/>
            <w:noWrap/>
            <w:vAlign w:val="bottom"/>
            <w:hideMark/>
          </w:tcPr>
          <w:p w14:paraId="12127068" w14:textId="77777777" w:rsidR="00C32CBD" w:rsidRDefault="00C32CBD" w:rsidP="00320D09">
            <w:pPr>
              <w:rPr>
                <w:rFonts w:cs="Arial"/>
                <w:sz w:val="18"/>
                <w:szCs w:val="18"/>
              </w:rPr>
            </w:pPr>
            <w:r>
              <w:rPr>
                <w:rFonts w:cs="Arial"/>
                <w:sz w:val="18"/>
                <w:szCs w:val="18"/>
              </w:rPr>
              <w:t> </w:t>
            </w:r>
          </w:p>
        </w:tc>
        <w:tc>
          <w:tcPr>
            <w:tcW w:w="1030" w:type="dxa"/>
            <w:tcBorders>
              <w:top w:val="nil"/>
              <w:left w:val="nil"/>
              <w:bottom w:val="single" w:sz="8" w:space="0" w:color="008000"/>
              <w:right w:val="nil"/>
            </w:tcBorders>
            <w:shd w:val="clear" w:color="FFFFFF" w:fill="FFFFFF"/>
            <w:noWrap/>
            <w:vAlign w:val="bottom"/>
            <w:hideMark/>
          </w:tcPr>
          <w:p w14:paraId="686F0BB1" w14:textId="77777777" w:rsidR="00C32CBD" w:rsidRDefault="00C32CBD" w:rsidP="00320D09">
            <w:pPr>
              <w:jc w:val="right"/>
              <w:rPr>
                <w:rFonts w:cs="Arial"/>
                <w:sz w:val="18"/>
                <w:szCs w:val="18"/>
              </w:rPr>
            </w:pPr>
            <w:r>
              <w:rPr>
                <w:rFonts w:cs="Arial"/>
                <w:sz w:val="18"/>
                <w:szCs w:val="18"/>
              </w:rPr>
              <w:t>$'000</w:t>
            </w:r>
          </w:p>
        </w:tc>
        <w:tc>
          <w:tcPr>
            <w:tcW w:w="236" w:type="dxa"/>
            <w:tcBorders>
              <w:top w:val="nil"/>
              <w:left w:val="nil"/>
              <w:bottom w:val="single" w:sz="8" w:space="0" w:color="008000"/>
              <w:right w:val="nil"/>
            </w:tcBorders>
            <w:shd w:val="clear" w:color="FFFFFF" w:fill="FFFFFF"/>
            <w:noWrap/>
            <w:vAlign w:val="bottom"/>
            <w:hideMark/>
          </w:tcPr>
          <w:p w14:paraId="072061D7" w14:textId="77777777" w:rsidR="00C32CBD" w:rsidRDefault="00C32CBD" w:rsidP="00320D09">
            <w:pPr>
              <w:rPr>
                <w:rFonts w:cs="Arial"/>
                <w:sz w:val="18"/>
                <w:szCs w:val="18"/>
              </w:rPr>
            </w:pPr>
            <w:r>
              <w:rPr>
                <w:rFonts w:cs="Arial"/>
                <w:sz w:val="18"/>
                <w:szCs w:val="18"/>
              </w:rPr>
              <w:t> </w:t>
            </w:r>
          </w:p>
        </w:tc>
        <w:tc>
          <w:tcPr>
            <w:tcW w:w="1030" w:type="dxa"/>
            <w:tcBorders>
              <w:top w:val="nil"/>
              <w:left w:val="nil"/>
              <w:bottom w:val="single" w:sz="8" w:space="0" w:color="008000"/>
              <w:right w:val="nil"/>
            </w:tcBorders>
            <w:shd w:val="clear" w:color="FFFFFF" w:fill="FFFFFF"/>
            <w:noWrap/>
            <w:vAlign w:val="bottom"/>
            <w:hideMark/>
          </w:tcPr>
          <w:p w14:paraId="00563519" w14:textId="77777777" w:rsidR="00C32CBD" w:rsidRDefault="00C32CBD" w:rsidP="00320D09">
            <w:pPr>
              <w:jc w:val="right"/>
              <w:rPr>
                <w:rFonts w:cs="Arial"/>
                <w:color w:val="008000"/>
                <w:sz w:val="18"/>
                <w:szCs w:val="18"/>
              </w:rPr>
            </w:pPr>
            <w:r>
              <w:rPr>
                <w:rFonts w:cs="Arial"/>
                <w:color w:val="008000"/>
                <w:sz w:val="18"/>
                <w:szCs w:val="18"/>
              </w:rPr>
              <w:t>$'000</w:t>
            </w:r>
          </w:p>
        </w:tc>
      </w:tr>
      <w:tr w:rsidR="00C32CBD" w14:paraId="67FAF7B8" w14:textId="77777777" w:rsidTr="00320D09">
        <w:trPr>
          <w:trHeight w:val="255"/>
        </w:trPr>
        <w:tc>
          <w:tcPr>
            <w:tcW w:w="4472" w:type="dxa"/>
            <w:tcBorders>
              <w:top w:val="nil"/>
              <w:left w:val="nil"/>
              <w:bottom w:val="nil"/>
              <w:right w:val="nil"/>
            </w:tcBorders>
            <w:shd w:val="clear" w:color="FFFFFF" w:fill="FFFFFF"/>
            <w:noWrap/>
            <w:vAlign w:val="bottom"/>
            <w:hideMark/>
          </w:tcPr>
          <w:p w14:paraId="558A7E9A" w14:textId="77777777" w:rsidR="00C32CBD" w:rsidRDefault="00C32CBD" w:rsidP="00320D09">
            <w:pPr>
              <w:rPr>
                <w:rFonts w:cs="Arial"/>
                <w:sz w:val="18"/>
                <w:szCs w:val="18"/>
              </w:rPr>
            </w:pPr>
            <w:r>
              <w:rPr>
                <w:rFonts w:cs="Arial"/>
                <w:sz w:val="18"/>
                <w:szCs w:val="18"/>
              </w:rPr>
              <w:t> </w:t>
            </w:r>
          </w:p>
        </w:tc>
        <w:tc>
          <w:tcPr>
            <w:tcW w:w="1026" w:type="dxa"/>
            <w:tcBorders>
              <w:top w:val="nil"/>
              <w:left w:val="nil"/>
              <w:bottom w:val="nil"/>
              <w:right w:val="nil"/>
            </w:tcBorders>
            <w:shd w:val="clear" w:color="FFFFFF" w:fill="FFFFFF"/>
            <w:noWrap/>
            <w:vAlign w:val="bottom"/>
            <w:hideMark/>
          </w:tcPr>
          <w:p w14:paraId="3D27CEBF" w14:textId="77777777" w:rsidR="00C32CBD" w:rsidRDefault="00C32CBD" w:rsidP="00320D09">
            <w:pPr>
              <w:rPr>
                <w:rFonts w:cs="Arial"/>
                <w:sz w:val="18"/>
                <w:szCs w:val="18"/>
              </w:rPr>
            </w:pPr>
            <w:r>
              <w:rPr>
                <w:rFonts w:cs="Arial"/>
                <w:sz w:val="18"/>
                <w:szCs w:val="18"/>
              </w:rPr>
              <w:t> </w:t>
            </w:r>
          </w:p>
        </w:tc>
        <w:tc>
          <w:tcPr>
            <w:tcW w:w="1057" w:type="dxa"/>
            <w:tcBorders>
              <w:top w:val="nil"/>
              <w:left w:val="nil"/>
              <w:bottom w:val="nil"/>
              <w:right w:val="nil"/>
            </w:tcBorders>
            <w:shd w:val="clear" w:color="FFFFFF" w:fill="FFFFFF"/>
            <w:noWrap/>
            <w:vAlign w:val="bottom"/>
            <w:hideMark/>
          </w:tcPr>
          <w:p w14:paraId="3B333F31"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380C116B" w14:textId="77777777" w:rsidR="00C32CBD" w:rsidRDefault="00C32CBD" w:rsidP="00320D09">
            <w:pPr>
              <w:rPr>
                <w:rFonts w:cs="Arial"/>
                <w:sz w:val="18"/>
                <w:szCs w:val="18"/>
              </w:rPr>
            </w:pPr>
            <w:r>
              <w:rPr>
                <w:rFonts w:cs="Arial"/>
                <w:sz w:val="18"/>
                <w:szCs w:val="18"/>
              </w:rPr>
              <w:t> </w:t>
            </w:r>
          </w:p>
        </w:tc>
        <w:tc>
          <w:tcPr>
            <w:tcW w:w="1030" w:type="dxa"/>
            <w:tcBorders>
              <w:top w:val="nil"/>
              <w:left w:val="nil"/>
              <w:bottom w:val="nil"/>
              <w:right w:val="nil"/>
            </w:tcBorders>
            <w:shd w:val="clear" w:color="FFFFFF" w:fill="FFFFFF"/>
            <w:noWrap/>
            <w:vAlign w:val="bottom"/>
            <w:hideMark/>
          </w:tcPr>
          <w:p w14:paraId="42050ED0"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57160C57" w14:textId="77777777" w:rsidR="00C32CBD" w:rsidRDefault="00C32CBD" w:rsidP="00320D09">
            <w:pPr>
              <w:rPr>
                <w:rFonts w:cs="Arial"/>
                <w:sz w:val="18"/>
                <w:szCs w:val="18"/>
              </w:rPr>
            </w:pPr>
            <w:r>
              <w:rPr>
                <w:rFonts w:cs="Arial"/>
                <w:sz w:val="18"/>
                <w:szCs w:val="18"/>
              </w:rPr>
              <w:t> </w:t>
            </w:r>
          </w:p>
        </w:tc>
        <w:tc>
          <w:tcPr>
            <w:tcW w:w="1030" w:type="dxa"/>
            <w:tcBorders>
              <w:top w:val="nil"/>
              <w:left w:val="nil"/>
              <w:bottom w:val="nil"/>
              <w:right w:val="nil"/>
            </w:tcBorders>
            <w:shd w:val="clear" w:color="FFFFFF" w:fill="FFFFFF"/>
            <w:noWrap/>
            <w:vAlign w:val="bottom"/>
            <w:hideMark/>
          </w:tcPr>
          <w:p w14:paraId="03E44A17" w14:textId="77777777" w:rsidR="00C32CBD" w:rsidRDefault="00C32CBD" w:rsidP="00320D09">
            <w:pPr>
              <w:rPr>
                <w:rFonts w:cs="Arial"/>
                <w:sz w:val="18"/>
                <w:szCs w:val="18"/>
              </w:rPr>
            </w:pPr>
            <w:r>
              <w:rPr>
                <w:rFonts w:cs="Arial"/>
                <w:sz w:val="18"/>
                <w:szCs w:val="18"/>
              </w:rPr>
              <w:t> </w:t>
            </w:r>
          </w:p>
        </w:tc>
      </w:tr>
      <w:tr w:rsidR="00C32CBD" w14:paraId="2F8E6AD9" w14:textId="77777777" w:rsidTr="00320D09">
        <w:trPr>
          <w:trHeight w:val="255"/>
        </w:trPr>
        <w:tc>
          <w:tcPr>
            <w:tcW w:w="4472" w:type="dxa"/>
            <w:tcBorders>
              <w:top w:val="nil"/>
              <w:left w:val="nil"/>
              <w:bottom w:val="nil"/>
              <w:right w:val="nil"/>
            </w:tcBorders>
            <w:shd w:val="clear" w:color="FFFFFF" w:fill="FFFFFF"/>
            <w:vAlign w:val="bottom"/>
            <w:hideMark/>
          </w:tcPr>
          <w:p w14:paraId="21FE43DC" w14:textId="77777777" w:rsidR="00C32CBD" w:rsidRDefault="00C32CBD" w:rsidP="00320D09">
            <w:pPr>
              <w:rPr>
                <w:rFonts w:cs="Arial"/>
                <w:b/>
                <w:bCs/>
                <w:sz w:val="18"/>
                <w:szCs w:val="18"/>
              </w:rPr>
            </w:pPr>
            <w:r>
              <w:rPr>
                <w:rFonts w:cs="Arial"/>
                <w:b/>
                <w:bCs/>
                <w:sz w:val="18"/>
                <w:szCs w:val="18"/>
              </w:rPr>
              <w:t>OPERATING ACTIVITIES</w:t>
            </w:r>
          </w:p>
        </w:tc>
        <w:tc>
          <w:tcPr>
            <w:tcW w:w="1026" w:type="dxa"/>
            <w:tcBorders>
              <w:top w:val="nil"/>
              <w:left w:val="nil"/>
              <w:bottom w:val="nil"/>
              <w:right w:val="nil"/>
            </w:tcBorders>
            <w:shd w:val="clear" w:color="FFFFFF" w:fill="FFFFFF"/>
            <w:noWrap/>
            <w:vAlign w:val="bottom"/>
            <w:hideMark/>
          </w:tcPr>
          <w:p w14:paraId="327E059F" w14:textId="77777777" w:rsidR="00C32CBD" w:rsidRDefault="00C32CBD" w:rsidP="00320D09">
            <w:pPr>
              <w:jc w:val="center"/>
              <w:rPr>
                <w:rFonts w:cs="Arial"/>
                <w:sz w:val="18"/>
                <w:szCs w:val="18"/>
              </w:rPr>
            </w:pPr>
            <w:r>
              <w:rPr>
                <w:rFonts w:cs="Arial"/>
                <w:sz w:val="18"/>
                <w:szCs w:val="18"/>
              </w:rPr>
              <w:t> </w:t>
            </w:r>
          </w:p>
        </w:tc>
        <w:tc>
          <w:tcPr>
            <w:tcW w:w="1057" w:type="dxa"/>
            <w:tcBorders>
              <w:top w:val="nil"/>
              <w:left w:val="nil"/>
              <w:bottom w:val="nil"/>
              <w:right w:val="nil"/>
            </w:tcBorders>
            <w:shd w:val="clear" w:color="FFFFFF" w:fill="FFFFFF"/>
            <w:noWrap/>
            <w:vAlign w:val="bottom"/>
            <w:hideMark/>
          </w:tcPr>
          <w:p w14:paraId="27AA6F2B"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50778642" w14:textId="77777777" w:rsidR="00C32CBD" w:rsidRDefault="00C32CBD" w:rsidP="00320D09">
            <w:pPr>
              <w:rPr>
                <w:rFonts w:cs="Arial"/>
                <w:sz w:val="18"/>
                <w:szCs w:val="18"/>
              </w:rPr>
            </w:pPr>
            <w:r>
              <w:rPr>
                <w:rFonts w:cs="Arial"/>
                <w:sz w:val="18"/>
                <w:szCs w:val="18"/>
              </w:rPr>
              <w:t> </w:t>
            </w:r>
          </w:p>
        </w:tc>
        <w:tc>
          <w:tcPr>
            <w:tcW w:w="1030" w:type="dxa"/>
            <w:tcBorders>
              <w:top w:val="nil"/>
              <w:left w:val="nil"/>
              <w:bottom w:val="nil"/>
              <w:right w:val="nil"/>
            </w:tcBorders>
            <w:shd w:val="clear" w:color="FFFFFF" w:fill="FFFFFF"/>
            <w:noWrap/>
            <w:vAlign w:val="bottom"/>
            <w:hideMark/>
          </w:tcPr>
          <w:p w14:paraId="14667050"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38EF7AD7" w14:textId="77777777" w:rsidR="00C32CBD" w:rsidRDefault="00C32CBD" w:rsidP="00320D09">
            <w:pPr>
              <w:rPr>
                <w:rFonts w:cs="Arial"/>
                <w:sz w:val="18"/>
                <w:szCs w:val="18"/>
              </w:rPr>
            </w:pPr>
            <w:r>
              <w:rPr>
                <w:rFonts w:cs="Arial"/>
                <w:sz w:val="18"/>
                <w:szCs w:val="18"/>
              </w:rPr>
              <w:t> </w:t>
            </w:r>
          </w:p>
        </w:tc>
        <w:tc>
          <w:tcPr>
            <w:tcW w:w="1030" w:type="dxa"/>
            <w:tcBorders>
              <w:top w:val="nil"/>
              <w:left w:val="nil"/>
              <w:bottom w:val="nil"/>
              <w:right w:val="nil"/>
            </w:tcBorders>
            <w:shd w:val="clear" w:color="FFFFFF" w:fill="FFFFFF"/>
            <w:noWrap/>
            <w:vAlign w:val="bottom"/>
            <w:hideMark/>
          </w:tcPr>
          <w:p w14:paraId="56485269" w14:textId="77777777" w:rsidR="00C32CBD" w:rsidRDefault="00C32CBD" w:rsidP="00320D09">
            <w:pPr>
              <w:rPr>
                <w:rFonts w:cs="Arial"/>
                <w:sz w:val="18"/>
                <w:szCs w:val="18"/>
              </w:rPr>
            </w:pPr>
            <w:r>
              <w:rPr>
                <w:rFonts w:cs="Arial"/>
                <w:sz w:val="18"/>
                <w:szCs w:val="18"/>
              </w:rPr>
              <w:t> </w:t>
            </w:r>
          </w:p>
        </w:tc>
      </w:tr>
      <w:tr w:rsidR="00C32CBD" w14:paraId="26CBEA98" w14:textId="77777777" w:rsidTr="00320D09">
        <w:trPr>
          <w:trHeight w:val="255"/>
        </w:trPr>
        <w:tc>
          <w:tcPr>
            <w:tcW w:w="4472" w:type="dxa"/>
            <w:tcBorders>
              <w:top w:val="nil"/>
              <w:left w:val="nil"/>
              <w:bottom w:val="nil"/>
              <w:right w:val="nil"/>
            </w:tcBorders>
            <w:shd w:val="clear" w:color="FFFFFF" w:fill="FFFFFF"/>
            <w:vAlign w:val="bottom"/>
            <w:hideMark/>
          </w:tcPr>
          <w:p w14:paraId="05A5E578" w14:textId="77777777" w:rsidR="00C32CBD" w:rsidRDefault="00C32CBD" w:rsidP="00320D09">
            <w:pPr>
              <w:rPr>
                <w:rFonts w:cs="Arial"/>
                <w:b/>
                <w:bCs/>
                <w:sz w:val="18"/>
                <w:szCs w:val="18"/>
              </w:rPr>
            </w:pPr>
            <w:r>
              <w:rPr>
                <w:rFonts w:cs="Arial"/>
                <w:b/>
                <w:bCs/>
                <w:sz w:val="18"/>
                <w:szCs w:val="18"/>
              </w:rPr>
              <w:t>Cash received</w:t>
            </w:r>
          </w:p>
        </w:tc>
        <w:tc>
          <w:tcPr>
            <w:tcW w:w="1026" w:type="dxa"/>
            <w:tcBorders>
              <w:top w:val="nil"/>
              <w:left w:val="nil"/>
              <w:bottom w:val="nil"/>
              <w:right w:val="nil"/>
            </w:tcBorders>
            <w:shd w:val="clear" w:color="FFFFFF" w:fill="FFFFFF"/>
            <w:noWrap/>
            <w:vAlign w:val="bottom"/>
            <w:hideMark/>
          </w:tcPr>
          <w:p w14:paraId="4860EFE1" w14:textId="77777777" w:rsidR="00C32CBD" w:rsidRDefault="00C32CBD" w:rsidP="00320D09">
            <w:pPr>
              <w:jc w:val="center"/>
              <w:rPr>
                <w:rFonts w:cs="Arial"/>
                <w:sz w:val="18"/>
                <w:szCs w:val="18"/>
              </w:rPr>
            </w:pPr>
            <w:r>
              <w:rPr>
                <w:rFonts w:cs="Arial"/>
                <w:sz w:val="18"/>
                <w:szCs w:val="18"/>
              </w:rPr>
              <w:t> </w:t>
            </w:r>
          </w:p>
        </w:tc>
        <w:tc>
          <w:tcPr>
            <w:tcW w:w="1057" w:type="dxa"/>
            <w:tcBorders>
              <w:top w:val="nil"/>
              <w:left w:val="nil"/>
              <w:bottom w:val="nil"/>
              <w:right w:val="nil"/>
            </w:tcBorders>
            <w:shd w:val="clear" w:color="FFFFFF" w:fill="FFFFFF"/>
            <w:noWrap/>
            <w:vAlign w:val="bottom"/>
            <w:hideMark/>
          </w:tcPr>
          <w:p w14:paraId="49DF68EC"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1AC90BF0" w14:textId="77777777" w:rsidR="00C32CBD" w:rsidRDefault="00C32CBD" w:rsidP="00320D09">
            <w:pPr>
              <w:rPr>
                <w:rFonts w:cs="Arial"/>
                <w:sz w:val="18"/>
                <w:szCs w:val="18"/>
              </w:rPr>
            </w:pPr>
            <w:r>
              <w:rPr>
                <w:rFonts w:cs="Arial"/>
                <w:sz w:val="18"/>
                <w:szCs w:val="18"/>
              </w:rPr>
              <w:t> </w:t>
            </w:r>
          </w:p>
        </w:tc>
        <w:tc>
          <w:tcPr>
            <w:tcW w:w="1030" w:type="dxa"/>
            <w:tcBorders>
              <w:top w:val="nil"/>
              <w:left w:val="nil"/>
              <w:bottom w:val="nil"/>
              <w:right w:val="nil"/>
            </w:tcBorders>
            <w:shd w:val="clear" w:color="FFFFFF" w:fill="FFFFFF"/>
            <w:noWrap/>
            <w:vAlign w:val="bottom"/>
            <w:hideMark/>
          </w:tcPr>
          <w:p w14:paraId="2DDBC6BD"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6363FE40" w14:textId="77777777" w:rsidR="00C32CBD" w:rsidRDefault="00C32CBD" w:rsidP="00320D09">
            <w:pPr>
              <w:rPr>
                <w:rFonts w:cs="Arial"/>
                <w:sz w:val="18"/>
                <w:szCs w:val="18"/>
              </w:rPr>
            </w:pPr>
            <w:r>
              <w:rPr>
                <w:rFonts w:cs="Arial"/>
                <w:sz w:val="18"/>
                <w:szCs w:val="18"/>
              </w:rPr>
              <w:t> </w:t>
            </w:r>
          </w:p>
        </w:tc>
        <w:tc>
          <w:tcPr>
            <w:tcW w:w="1030" w:type="dxa"/>
            <w:tcBorders>
              <w:top w:val="nil"/>
              <w:left w:val="nil"/>
              <w:bottom w:val="nil"/>
              <w:right w:val="nil"/>
            </w:tcBorders>
            <w:shd w:val="clear" w:color="FFFFFF" w:fill="FFFFFF"/>
            <w:noWrap/>
            <w:vAlign w:val="bottom"/>
            <w:hideMark/>
          </w:tcPr>
          <w:p w14:paraId="0E1DC2EE" w14:textId="77777777" w:rsidR="00C32CBD" w:rsidRDefault="00C32CBD" w:rsidP="00320D09">
            <w:pPr>
              <w:rPr>
                <w:rFonts w:cs="Arial"/>
                <w:sz w:val="18"/>
                <w:szCs w:val="18"/>
              </w:rPr>
            </w:pPr>
            <w:r>
              <w:rPr>
                <w:rFonts w:cs="Arial"/>
                <w:sz w:val="18"/>
                <w:szCs w:val="18"/>
              </w:rPr>
              <w:t> </w:t>
            </w:r>
          </w:p>
        </w:tc>
      </w:tr>
      <w:tr w:rsidR="00C32CBD" w14:paraId="38081BD6" w14:textId="77777777" w:rsidTr="00320D09">
        <w:trPr>
          <w:trHeight w:val="255"/>
        </w:trPr>
        <w:tc>
          <w:tcPr>
            <w:tcW w:w="4472" w:type="dxa"/>
            <w:tcBorders>
              <w:top w:val="nil"/>
              <w:left w:val="nil"/>
              <w:bottom w:val="nil"/>
              <w:right w:val="nil"/>
            </w:tcBorders>
            <w:shd w:val="clear" w:color="FFFFFF" w:fill="FFFFFF"/>
            <w:vAlign w:val="bottom"/>
            <w:hideMark/>
          </w:tcPr>
          <w:p w14:paraId="77F3A3A7" w14:textId="77777777" w:rsidR="00C32CBD" w:rsidRDefault="00C32CBD" w:rsidP="00320D09">
            <w:pPr>
              <w:ind w:firstLineChars="100" w:firstLine="180"/>
              <w:rPr>
                <w:rFonts w:cs="Arial"/>
                <w:sz w:val="18"/>
                <w:szCs w:val="18"/>
              </w:rPr>
            </w:pPr>
            <w:r>
              <w:rPr>
                <w:rFonts w:cs="Arial"/>
                <w:sz w:val="18"/>
                <w:szCs w:val="18"/>
              </w:rPr>
              <w:t>Receipts from Government</w:t>
            </w:r>
          </w:p>
        </w:tc>
        <w:tc>
          <w:tcPr>
            <w:tcW w:w="1026" w:type="dxa"/>
            <w:tcBorders>
              <w:top w:val="nil"/>
              <w:left w:val="nil"/>
              <w:bottom w:val="nil"/>
              <w:right w:val="nil"/>
            </w:tcBorders>
            <w:shd w:val="clear" w:color="FFFFFF" w:fill="FFFFFF"/>
            <w:noWrap/>
            <w:vAlign w:val="bottom"/>
            <w:hideMark/>
          </w:tcPr>
          <w:p w14:paraId="58DA4716" w14:textId="77777777" w:rsidR="00C32CBD" w:rsidRDefault="00C32CBD" w:rsidP="00320D09">
            <w:pPr>
              <w:jc w:val="center"/>
              <w:rPr>
                <w:rFonts w:cs="Arial"/>
                <w:sz w:val="18"/>
                <w:szCs w:val="18"/>
              </w:rPr>
            </w:pPr>
            <w:r>
              <w:rPr>
                <w:rFonts w:cs="Arial"/>
                <w:sz w:val="18"/>
                <w:szCs w:val="18"/>
              </w:rPr>
              <w:t> </w:t>
            </w:r>
          </w:p>
        </w:tc>
        <w:tc>
          <w:tcPr>
            <w:tcW w:w="1057" w:type="dxa"/>
            <w:tcBorders>
              <w:top w:val="nil"/>
              <w:left w:val="nil"/>
              <w:bottom w:val="nil"/>
              <w:right w:val="nil"/>
            </w:tcBorders>
            <w:shd w:val="clear" w:color="FFFFFF" w:fill="FFFFFF"/>
            <w:noWrap/>
            <w:vAlign w:val="bottom"/>
            <w:hideMark/>
          </w:tcPr>
          <w:p w14:paraId="48E5F5ED" w14:textId="77777777" w:rsidR="00C32CBD" w:rsidRDefault="00C32CBD" w:rsidP="00320D09">
            <w:pPr>
              <w:jc w:val="right"/>
              <w:rPr>
                <w:rFonts w:cs="Arial"/>
                <w:b/>
                <w:bCs/>
                <w:sz w:val="18"/>
                <w:szCs w:val="18"/>
              </w:rPr>
            </w:pPr>
            <w:r>
              <w:rPr>
                <w:rFonts w:cs="Arial"/>
                <w:b/>
                <w:bCs/>
                <w:sz w:val="18"/>
                <w:szCs w:val="18"/>
              </w:rPr>
              <w:t>1,598,466</w:t>
            </w:r>
          </w:p>
        </w:tc>
        <w:tc>
          <w:tcPr>
            <w:tcW w:w="236" w:type="dxa"/>
            <w:tcBorders>
              <w:top w:val="nil"/>
              <w:left w:val="nil"/>
              <w:bottom w:val="nil"/>
              <w:right w:val="nil"/>
            </w:tcBorders>
            <w:shd w:val="clear" w:color="FFFFFF" w:fill="FFFFFF"/>
            <w:noWrap/>
            <w:vAlign w:val="bottom"/>
            <w:hideMark/>
          </w:tcPr>
          <w:p w14:paraId="39186442" w14:textId="77777777" w:rsidR="00C32CBD" w:rsidRDefault="00C32CBD" w:rsidP="00320D09">
            <w:pPr>
              <w:rPr>
                <w:rFonts w:cs="Arial"/>
                <w:sz w:val="18"/>
                <w:szCs w:val="18"/>
              </w:rPr>
            </w:pPr>
            <w:r>
              <w:rPr>
                <w:rFonts w:cs="Arial"/>
                <w:sz w:val="18"/>
                <w:szCs w:val="18"/>
              </w:rPr>
              <w:t> </w:t>
            </w:r>
          </w:p>
        </w:tc>
        <w:tc>
          <w:tcPr>
            <w:tcW w:w="1030" w:type="dxa"/>
            <w:tcBorders>
              <w:top w:val="nil"/>
              <w:left w:val="nil"/>
              <w:bottom w:val="nil"/>
              <w:right w:val="nil"/>
            </w:tcBorders>
            <w:shd w:val="clear" w:color="FFFFFF" w:fill="FFFFFF"/>
            <w:noWrap/>
            <w:vAlign w:val="bottom"/>
            <w:hideMark/>
          </w:tcPr>
          <w:p w14:paraId="77CB05AD" w14:textId="77777777" w:rsidR="00C32CBD" w:rsidRDefault="00C32CBD" w:rsidP="00320D09">
            <w:pPr>
              <w:jc w:val="right"/>
              <w:rPr>
                <w:rFonts w:cs="Arial"/>
                <w:sz w:val="18"/>
                <w:szCs w:val="18"/>
              </w:rPr>
            </w:pPr>
            <w:r>
              <w:rPr>
                <w:rFonts w:cs="Arial"/>
                <w:sz w:val="18"/>
                <w:szCs w:val="18"/>
              </w:rPr>
              <w:t>581,070</w:t>
            </w:r>
          </w:p>
        </w:tc>
        <w:tc>
          <w:tcPr>
            <w:tcW w:w="236" w:type="dxa"/>
            <w:tcBorders>
              <w:top w:val="nil"/>
              <w:left w:val="nil"/>
              <w:bottom w:val="nil"/>
              <w:right w:val="nil"/>
            </w:tcBorders>
            <w:shd w:val="clear" w:color="FFFFFF" w:fill="FFFFFF"/>
            <w:noWrap/>
            <w:vAlign w:val="bottom"/>
            <w:hideMark/>
          </w:tcPr>
          <w:p w14:paraId="42A5A58C" w14:textId="77777777" w:rsidR="00C32CBD" w:rsidRDefault="00C32CBD" w:rsidP="00320D09">
            <w:pPr>
              <w:rPr>
                <w:rFonts w:cs="Arial"/>
                <w:sz w:val="18"/>
                <w:szCs w:val="18"/>
              </w:rPr>
            </w:pPr>
            <w:r>
              <w:rPr>
                <w:rFonts w:cs="Arial"/>
                <w:sz w:val="18"/>
                <w:szCs w:val="18"/>
              </w:rPr>
              <w:t> </w:t>
            </w:r>
          </w:p>
        </w:tc>
        <w:tc>
          <w:tcPr>
            <w:tcW w:w="1030" w:type="dxa"/>
            <w:tcBorders>
              <w:top w:val="nil"/>
              <w:left w:val="nil"/>
              <w:bottom w:val="nil"/>
              <w:right w:val="nil"/>
            </w:tcBorders>
            <w:shd w:val="clear" w:color="FFFFFF" w:fill="FFFFFF"/>
            <w:noWrap/>
            <w:vAlign w:val="bottom"/>
            <w:hideMark/>
          </w:tcPr>
          <w:p w14:paraId="67CCD4AF" w14:textId="77777777" w:rsidR="00C32CBD" w:rsidRDefault="00C32CBD" w:rsidP="00320D09">
            <w:pPr>
              <w:jc w:val="right"/>
              <w:rPr>
                <w:rFonts w:cs="Arial"/>
                <w:sz w:val="18"/>
                <w:szCs w:val="18"/>
              </w:rPr>
            </w:pPr>
            <w:r>
              <w:rPr>
                <w:rFonts w:cs="Arial"/>
                <w:sz w:val="18"/>
                <w:szCs w:val="18"/>
              </w:rPr>
              <w:t>1,598,466</w:t>
            </w:r>
          </w:p>
        </w:tc>
      </w:tr>
      <w:tr w:rsidR="00C32CBD" w14:paraId="1625E42A" w14:textId="77777777" w:rsidTr="00320D09">
        <w:trPr>
          <w:trHeight w:val="255"/>
        </w:trPr>
        <w:tc>
          <w:tcPr>
            <w:tcW w:w="4472" w:type="dxa"/>
            <w:tcBorders>
              <w:top w:val="nil"/>
              <w:left w:val="nil"/>
              <w:bottom w:val="nil"/>
              <w:right w:val="nil"/>
            </w:tcBorders>
            <w:shd w:val="clear" w:color="FFFFFF" w:fill="FFFFFF"/>
            <w:vAlign w:val="bottom"/>
            <w:hideMark/>
          </w:tcPr>
          <w:p w14:paraId="2A20A78D" w14:textId="77777777" w:rsidR="00C32CBD" w:rsidRDefault="00C32CBD" w:rsidP="00320D09">
            <w:pPr>
              <w:ind w:firstLineChars="100" w:firstLine="180"/>
              <w:rPr>
                <w:rFonts w:cs="Arial"/>
                <w:sz w:val="18"/>
                <w:szCs w:val="18"/>
              </w:rPr>
            </w:pPr>
            <w:r>
              <w:rPr>
                <w:rFonts w:cs="Arial"/>
                <w:sz w:val="18"/>
                <w:szCs w:val="18"/>
              </w:rPr>
              <w:t>State and territory government contributions</w:t>
            </w:r>
          </w:p>
        </w:tc>
        <w:tc>
          <w:tcPr>
            <w:tcW w:w="1026" w:type="dxa"/>
            <w:tcBorders>
              <w:top w:val="nil"/>
              <w:left w:val="nil"/>
              <w:bottom w:val="nil"/>
              <w:right w:val="nil"/>
            </w:tcBorders>
            <w:shd w:val="clear" w:color="FFFFFF" w:fill="FFFFFF"/>
            <w:noWrap/>
            <w:vAlign w:val="bottom"/>
            <w:hideMark/>
          </w:tcPr>
          <w:p w14:paraId="41C898A6" w14:textId="77777777" w:rsidR="00C32CBD" w:rsidRDefault="00C32CBD" w:rsidP="00320D09">
            <w:pPr>
              <w:jc w:val="center"/>
              <w:rPr>
                <w:rFonts w:cs="Arial"/>
                <w:sz w:val="18"/>
                <w:szCs w:val="18"/>
              </w:rPr>
            </w:pPr>
            <w:r>
              <w:rPr>
                <w:rFonts w:cs="Arial"/>
                <w:sz w:val="18"/>
                <w:szCs w:val="18"/>
              </w:rPr>
              <w:t> </w:t>
            </w:r>
          </w:p>
        </w:tc>
        <w:tc>
          <w:tcPr>
            <w:tcW w:w="1057" w:type="dxa"/>
            <w:tcBorders>
              <w:top w:val="nil"/>
              <w:left w:val="nil"/>
              <w:bottom w:val="nil"/>
              <w:right w:val="nil"/>
            </w:tcBorders>
            <w:shd w:val="clear" w:color="FFFFFF" w:fill="FFFFFF"/>
            <w:noWrap/>
            <w:vAlign w:val="bottom"/>
            <w:hideMark/>
          </w:tcPr>
          <w:p w14:paraId="4794FCA2" w14:textId="77777777" w:rsidR="00C32CBD" w:rsidRDefault="00C32CBD" w:rsidP="00320D09">
            <w:pPr>
              <w:jc w:val="right"/>
              <w:rPr>
                <w:rFonts w:cs="Arial"/>
                <w:b/>
                <w:bCs/>
                <w:sz w:val="18"/>
                <w:szCs w:val="18"/>
              </w:rPr>
            </w:pPr>
            <w:r>
              <w:rPr>
                <w:rFonts w:cs="Arial"/>
                <w:b/>
                <w:bCs/>
                <w:sz w:val="18"/>
                <w:szCs w:val="18"/>
              </w:rPr>
              <w:t>1,256,873</w:t>
            </w:r>
          </w:p>
        </w:tc>
        <w:tc>
          <w:tcPr>
            <w:tcW w:w="236" w:type="dxa"/>
            <w:tcBorders>
              <w:top w:val="nil"/>
              <w:left w:val="nil"/>
              <w:bottom w:val="nil"/>
              <w:right w:val="nil"/>
            </w:tcBorders>
            <w:shd w:val="clear" w:color="FFFFFF" w:fill="FFFFFF"/>
            <w:noWrap/>
            <w:vAlign w:val="bottom"/>
            <w:hideMark/>
          </w:tcPr>
          <w:p w14:paraId="39ACB502" w14:textId="77777777" w:rsidR="00C32CBD" w:rsidRDefault="00C32CBD" w:rsidP="00320D09">
            <w:pPr>
              <w:rPr>
                <w:rFonts w:cs="Arial"/>
                <w:sz w:val="18"/>
                <w:szCs w:val="18"/>
              </w:rPr>
            </w:pPr>
            <w:r>
              <w:rPr>
                <w:rFonts w:cs="Arial"/>
                <w:sz w:val="18"/>
                <w:szCs w:val="18"/>
              </w:rPr>
              <w:t> </w:t>
            </w:r>
          </w:p>
        </w:tc>
        <w:tc>
          <w:tcPr>
            <w:tcW w:w="1030" w:type="dxa"/>
            <w:tcBorders>
              <w:top w:val="nil"/>
              <w:left w:val="nil"/>
              <w:bottom w:val="nil"/>
              <w:right w:val="nil"/>
            </w:tcBorders>
            <w:shd w:val="clear" w:color="FFFFFF" w:fill="FFFFFF"/>
            <w:noWrap/>
            <w:vAlign w:val="bottom"/>
            <w:hideMark/>
          </w:tcPr>
          <w:p w14:paraId="31A8E59E" w14:textId="77777777" w:rsidR="00C32CBD" w:rsidRDefault="00C32CBD" w:rsidP="00320D09">
            <w:pPr>
              <w:jc w:val="right"/>
              <w:rPr>
                <w:rFonts w:cs="Arial"/>
                <w:sz w:val="18"/>
                <w:szCs w:val="18"/>
              </w:rPr>
            </w:pPr>
            <w:r>
              <w:rPr>
                <w:rFonts w:cs="Arial"/>
                <w:sz w:val="18"/>
                <w:szCs w:val="18"/>
              </w:rPr>
              <w:t>268,650</w:t>
            </w:r>
          </w:p>
        </w:tc>
        <w:tc>
          <w:tcPr>
            <w:tcW w:w="236" w:type="dxa"/>
            <w:tcBorders>
              <w:top w:val="nil"/>
              <w:left w:val="nil"/>
              <w:bottom w:val="nil"/>
              <w:right w:val="nil"/>
            </w:tcBorders>
            <w:shd w:val="clear" w:color="FFFFFF" w:fill="FFFFFF"/>
            <w:noWrap/>
            <w:vAlign w:val="bottom"/>
            <w:hideMark/>
          </w:tcPr>
          <w:p w14:paraId="377DBAB6" w14:textId="77777777" w:rsidR="00C32CBD" w:rsidRDefault="00C32CBD" w:rsidP="00320D09">
            <w:pPr>
              <w:rPr>
                <w:rFonts w:cs="Arial"/>
                <w:sz w:val="18"/>
                <w:szCs w:val="18"/>
              </w:rPr>
            </w:pPr>
            <w:r>
              <w:rPr>
                <w:rFonts w:cs="Arial"/>
                <w:sz w:val="18"/>
                <w:szCs w:val="18"/>
              </w:rPr>
              <w:t> </w:t>
            </w:r>
          </w:p>
        </w:tc>
        <w:tc>
          <w:tcPr>
            <w:tcW w:w="1030" w:type="dxa"/>
            <w:tcBorders>
              <w:top w:val="nil"/>
              <w:left w:val="nil"/>
              <w:bottom w:val="nil"/>
              <w:right w:val="nil"/>
            </w:tcBorders>
            <w:shd w:val="clear" w:color="FFFFFF" w:fill="FFFFFF"/>
            <w:noWrap/>
            <w:vAlign w:val="bottom"/>
            <w:hideMark/>
          </w:tcPr>
          <w:p w14:paraId="6D70A990" w14:textId="77777777" w:rsidR="00C32CBD" w:rsidRDefault="00C32CBD" w:rsidP="00320D09">
            <w:pPr>
              <w:jc w:val="right"/>
              <w:rPr>
                <w:rFonts w:cs="Arial"/>
                <w:sz w:val="18"/>
                <w:szCs w:val="18"/>
              </w:rPr>
            </w:pPr>
            <w:r>
              <w:rPr>
                <w:rFonts w:cs="Arial"/>
                <w:sz w:val="18"/>
                <w:szCs w:val="18"/>
              </w:rPr>
              <w:t>1,793,177</w:t>
            </w:r>
          </w:p>
        </w:tc>
      </w:tr>
      <w:tr w:rsidR="00C32CBD" w14:paraId="0651FFCD" w14:textId="77777777" w:rsidTr="00320D09">
        <w:trPr>
          <w:trHeight w:val="255"/>
        </w:trPr>
        <w:tc>
          <w:tcPr>
            <w:tcW w:w="4472" w:type="dxa"/>
            <w:tcBorders>
              <w:top w:val="nil"/>
              <w:left w:val="nil"/>
              <w:bottom w:val="nil"/>
              <w:right w:val="nil"/>
            </w:tcBorders>
            <w:shd w:val="clear" w:color="FFFFFF" w:fill="FFFFFF"/>
            <w:vAlign w:val="bottom"/>
            <w:hideMark/>
          </w:tcPr>
          <w:p w14:paraId="46AED3A2" w14:textId="77777777" w:rsidR="00C32CBD" w:rsidRDefault="00C32CBD" w:rsidP="00320D09">
            <w:pPr>
              <w:ind w:firstLineChars="100" w:firstLine="180"/>
              <w:rPr>
                <w:rFonts w:cs="Arial"/>
                <w:sz w:val="18"/>
                <w:szCs w:val="18"/>
              </w:rPr>
            </w:pPr>
            <w:r>
              <w:rPr>
                <w:rFonts w:cs="Arial"/>
                <w:sz w:val="18"/>
                <w:szCs w:val="18"/>
              </w:rPr>
              <w:t>Interest received</w:t>
            </w:r>
          </w:p>
        </w:tc>
        <w:tc>
          <w:tcPr>
            <w:tcW w:w="1026" w:type="dxa"/>
            <w:tcBorders>
              <w:top w:val="nil"/>
              <w:left w:val="nil"/>
              <w:bottom w:val="nil"/>
              <w:right w:val="nil"/>
            </w:tcBorders>
            <w:shd w:val="clear" w:color="FFFFFF" w:fill="FFFFFF"/>
            <w:noWrap/>
            <w:vAlign w:val="bottom"/>
            <w:hideMark/>
          </w:tcPr>
          <w:p w14:paraId="3BF9C66B" w14:textId="77777777" w:rsidR="00C32CBD" w:rsidRDefault="00C32CBD" w:rsidP="00320D09">
            <w:pPr>
              <w:jc w:val="center"/>
              <w:rPr>
                <w:rFonts w:cs="Arial"/>
                <w:sz w:val="18"/>
                <w:szCs w:val="18"/>
              </w:rPr>
            </w:pPr>
            <w:r>
              <w:rPr>
                <w:rFonts w:cs="Arial"/>
                <w:sz w:val="18"/>
                <w:szCs w:val="18"/>
              </w:rPr>
              <w:t> </w:t>
            </w:r>
          </w:p>
        </w:tc>
        <w:tc>
          <w:tcPr>
            <w:tcW w:w="1057" w:type="dxa"/>
            <w:tcBorders>
              <w:top w:val="nil"/>
              <w:left w:val="nil"/>
              <w:bottom w:val="nil"/>
              <w:right w:val="nil"/>
            </w:tcBorders>
            <w:shd w:val="clear" w:color="FFFFFF" w:fill="FFFFFF"/>
            <w:noWrap/>
            <w:vAlign w:val="bottom"/>
            <w:hideMark/>
          </w:tcPr>
          <w:p w14:paraId="783DC52B" w14:textId="77777777" w:rsidR="00C32CBD" w:rsidRDefault="00C32CBD" w:rsidP="00320D09">
            <w:pPr>
              <w:jc w:val="right"/>
              <w:rPr>
                <w:rFonts w:cs="Arial"/>
                <w:b/>
                <w:bCs/>
                <w:sz w:val="18"/>
                <w:szCs w:val="18"/>
              </w:rPr>
            </w:pPr>
            <w:r>
              <w:rPr>
                <w:rFonts w:cs="Arial"/>
                <w:b/>
                <w:bCs/>
                <w:sz w:val="18"/>
                <w:szCs w:val="18"/>
              </w:rPr>
              <w:t>13,237</w:t>
            </w:r>
          </w:p>
        </w:tc>
        <w:tc>
          <w:tcPr>
            <w:tcW w:w="236" w:type="dxa"/>
            <w:tcBorders>
              <w:top w:val="nil"/>
              <w:left w:val="nil"/>
              <w:bottom w:val="nil"/>
              <w:right w:val="nil"/>
            </w:tcBorders>
            <w:shd w:val="clear" w:color="FFFFFF" w:fill="FFFFFF"/>
            <w:noWrap/>
            <w:vAlign w:val="bottom"/>
            <w:hideMark/>
          </w:tcPr>
          <w:p w14:paraId="74C1FBB4" w14:textId="77777777" w:rsidR="00C32CBD" w:rsidRDefault="00C32CBD" w:rsidP="00320D09">
            <w:pPr>
              <w:rPr>
                <w:rFonts w:cs="Arial"/>
                <w:sz w:val="18"/>
                <w:szCs w:val="18"/>
              </w:rPr>
            </w:pPr>
            <w:r>
              <w:rPr>
                <w:rFonts w:cs="Arial"/>
                <w:sz w:val="18"/>
                <w:szCs w:val="18"/>
              </w:rPr>
              <w:t> </w:t>
            </w:r>
          </w:p>
        </w:tc>
        <w:tc>
          <w:tcPr>
            <w:tcW w:w="1030" w:type="dxa"/>
            <w:tcBorders>
              <w:top w:val="nil"/>
              <w:left w:val="nil"/>
              <w:bottom w:val="nil"/>
              <w:right w:val="nil"/>
            </w:tcBorders>
            <w:shd w:val="clear" w:color="FFFFFF" w:fill="FFFFFF"/>
            <w:noWrap/>
            <w:vAlign w:val="bottom"/>
            <w:hideMark/>
          </w:tcPr>
          <w:p w14:paraId="50E2169C" w14:textId="77777777" w:rsidR="00C32CBD" w:rsidRDefault="00C32CBD" w:rsidP="00320D09">
            <w:pPr>
              <w:jc w:val="right"/>
              <w:rPr>
                <w:rFonts w:cs="Arial"/>
                <w:sz w:val="18"/>
                <w:szCs w:val="18"/>
              </w:rPr>
            </w:pPr>
            <w:r>
              <w:rPr>
                <w:rFonts w:cs="Arial"/>
                <w:sz w:val="18"/>
                <w:szCs w:val="18"/>
              </w:rPr>
              <w:t>5,035</w:t>
            </w:r>
          </w:p>
        </w:tc>
        <w:tc>
          <w:tcPr>
            <w:tcW w:w="236" w:type="dxa"/>
            <w:tcBorders>
              <w:top w:val="nil"/>
              <w:left w:val="nil"/>
              <w:bottom w:val="nil"/>
              <w:right w:val="nil"/>
            </w:tcBorders>
            <w:shd w:val="clear" w:color="FFFFFF" w:fill="FFFFFF"/>
            <w:noWrap/>
            <w:vAlign w:val="bottom"/>
            <w:hideMark/>
          </w:tcPr>
          <w:p w14:paraId="0C8A4002" w14:textId="77777777" w:rsidR="00C32CBD" w:rsidRDefault="00C32CBD" w:rsidP="00320D09">
            <w:pPr>
              <w:rPr>
                <w:rFonts w:cs="Arial"/>
                <w:sz w:val="18"/>
                <w:szCs w:val="18"/>
              </w:rPr>
            </w:pPr>
            <w:r>
              <w:rPr>
                <w:rFonts w:cs="Arial"/>
                <w:sz w:val="18"/>
                <w:szCs w:val="18"/>
              </w:rPr>
              <w:t> </w:t>
            </w:r>
          </w:p>
        </w:tc>
        <w:tc>
          <w:tcPr>
            <w:tcW w:w="1030" w:type="dxa"/>
            <w:tcBorders>
              <w:top w:val="nil"/>
              <w:left w:val="nil"/>
              <w:bottom w:val="nil"/>
              <w:right w:val="nil"/>
            </w:tcBorders>
            <w:shd w:val="clear" w:color="FFFFFF" w:fill="FFFFFF"/>
            <w:noWrap/>
            <w:vAlign w:val="bottom"/>
            <w:hideMark/>
          </w:tcPr>
          <w:p w14:paraId="2EC63E55" w14:textId="77777777" w:rsidR="00C32CBD" w:rsidRDefault="00C32CBD" w:rsidP="00320D09">
            <w:pPr>
              <w:jc w:val="right"/>
              <w:rPr>
                <w:rFonts w:cs="Arial"/>
                <w:sz w:val="18"/>
                <w:szCs w:val="18"/>
              </w:rPr>
            </w:pPr>
            <w:r>
              <w:rPr>
                <w:rFonts w:cs="Arial"/>
                <w:sz w:val="18"/>
                <w:szCs w:val="18"/>
              </w:rPr>
              <w:t xml:space="preserve"> -</w:t>
            </w:r>
          </w:p>
        </w:tc>
      </w:tr>
      <w:tr w:rsidR="00C32CBD" w14:paraId="3B1BE676" w14:textId="77777777" w:rsidTr="00320D09">
        <w:trPr>
          <w:trHeight w:val="255"/>
        </w:trPr>
        <w:tc>
          <w:tcPr>
            <w:tcW w:w="4472" w:type="dxa"/>
            <w:tcBorders>
              <w:top w:val="nil"/>
              <w:left w:val="nil"/>
              <w:bottom w:val="nil"/>
              <w:right w:val="nil"/>
            </w:tcBorders>
            <w:shd w:val="clear" w:color="FFFFFF" w:fill="FFFFFF"/>
            <w:vAlign w:val="bottom"/>
            <w:hideMark/>
          </w:tcPr>
          <w:p w14:paraId="12CF0270" w14:textId="77777777" w:rsidR="00C32CBD" w:rsidRDefault="00C32CBD" w:rsidP="00320D09">
            <w:pPr>
              <w:ind w:firstLineChars="100" w:firstLine="180"/>
              <w:rPr>
                <w:rFonts w:cs="Arial"/>
                <w:sz w:val="18"/>
                <w:szCs w:val="18"/>
              </w:rPr>
            </w:pPr>
            <w:r>
              <w:rPr>
                <w:rFonts w:cs="Arial"/>
                <w:sz w:val="18"/>
                <w:szCs w:val="18"/>
              </w:rPr>
              <w:t>Other</w:t>
            </w:r>
          </w:p>
        </w:tc>
        <w:tc>
          <w:tcPr>
            <w:tcW w:w="1026" w:type="dxa"/>
            <w:tcBorders>
              <w:top w:val="nil"/>
              <w:left w:val="nil"/>
              <w:bottom w:val="nil"/>
              <w:right w:val="nil"/>
            </w:tcBorders>
            <w:shd w:val="clear" w:color="FFFFFF" w:fill="FFFFFF"/>
            <w:noWrap/>
            <w:vAlign w:val="bottom"/>
            <w:hideMark/>
          </w:tcPr>
          <w:p w14:paraId="2A9D478C" w14:textId="77777777" w:rsidR="00C32CBD" w:rsidRDefault="00C32CBD" w:rsidP="00320D09">
            <w:pPr>
              <w:jc w:val="center"/>
              <w:rPr>
                <w:rFonts w:cs="Arial"/>
                <w:sz w:val="18"/>
                <w:szCs w:val="18"/>
              </w:rPr>
            </w:pPr>
            <w:r>
              <w:rPr>
                <w:rFonts w:cs="Arial"/>
                <w:sz w:val="18"/>
                <w:szCs w:val="18"/>
              </w:rPr>
              <w:t> </w:t>
            </w:r>
          </w:p>
        </w:tc>
        <w:tc>
          <w:tcPr>
            <w:tcW w:w="1057" w:type="dxa"/>
            <w:tcBorders>
              <w:top w:val="nil"/>
              <w:left w:val="nil"/>
              <w:bottom w:val="nil"/>
              <w:right w:val="nil"/>
            </w:tcBorders>
            <w:shd w:val="clear" w:color="FFFFFF" w:fill="FFFFFF"/>
            <w:noWrap/>
            <w:vAlign w:val="bottom"/>
            <w:hideMark/>
          </w:tcPr>
          <w:p w14:paraId="6ECE9CEC" w14:textId="77777777" w:rsidR="00C32CBD" w:rsidRDefault="00C32CBD" w:rsidP="00320D09">
            <w:pPr>
              <w:jc w:val="right"/>
              <w:rPr>
                <w:rFonts w:cs="Arial"/>
                <w:b/>
                <w:bCs/>
                <w:sz w:val="18"/>
                <w:szCs w:val="18"/>
              </w:rPr>
            </w:pPr>
            <w:r>
              <w:rPr>
                <w:rFonts w:cs="Arial"/>
                <w:b/>
                <w:bCs/>
                <w:sz w:val="18"/>
                <w:szCs w:val="18"/>
              </w:rPr>
              <w:t>938</w:t>
            </w:r>
          </w:p>
        </w:tc>
        <w:tc>
          <w:tcPr>
            <w:tcW w:w="236" w:type="dxa"/>
            <w:tcBorders>
              <w:top w:val="nil"/>
              <w:left w:val="nil"/>
              <w:bottom w:val="nil"/>
              <w:right w:val="nil"/>
            </w:tcBorders>
            <w:shd w:val="clear" w:color="FFFFFF" w:fill="FFFFFF"/>
            <w:noWrap/>
            <w:vAlign w:val="bottom"/>
            <w:hideMark/>
          </w:tcPr>
          <w:p w14:paraId="07670C7D" w14:textId="77777777" w:rsidR="00C32CBD" w:rsidRDefault="00C32CBD" w:rsidP="00320D09">
            <w:pPr>
              <w:rPr>
                <w:rFonts w:cs="Arial"/>
                <w:sz w:val="18"/>
                <w:szCs w:val="18"/>
              </w:rPr>
            </w:pPr>
            <w:r>
              <w:rPr>
                <w:rFonts w:cs="Arial"/>
                <w:sz w:val="18"/>
                <w:szCs w:val="18"/>
              </w:rPr>
              <w:t> </w:t>
            </w:r>
          </w:p>
        </w:tc>
        <w:tc>
          <w:tcPr>
            <w:tcW w:w="1030" w:type="dxa"/>
            <w:tcBorders>
              <w:top w:val="nil"/>
              <w:left w:val="nil"/>
              <w:bottom w:val="nil"/>
              <w:right w:val="nil"/>
            </w:tcBorders>
            <w:shd w:val="clear" w:color="FFFFFF" w:fill="FFFFFF"/>
            <w:noWrap/>
            <w:vAlign w:val="bottom"/>
            <w:hideMark/>
          </w:tcPr>
          <w:p w14:paraId="1756C98A" w14:textId="77777777" w:rsidR="00C32CBD" w:rsidRDefault="00C32CBD" w:rsidP="00320D09">
            <w:pPr>
              <w:jc w:val="right"/>
              <w:rPr>
                <w:rFonts w:cs="Arial"/>
                <w:sz w:val="18"/>
                <w:szCs w:val="18"/>
              </w:rPr>
            </w:pPr>
            <w:r>
              <w:rPr>
                <w:rFonts w:cs="Arial"/>
                <w:sz w:val="18"/>
                <w:szCs w:val="18"/>
              </w:rPr>
              <w:t>17,762</w:t>
            </w:r>
          </w:p>
        </w:tc>
        <w:tc>
          <w:tcPr>
            <w:tcW w:w="236" w:type="dxa"/>
            <w:tcBorders>
              <w:top w:val="nil"/>
              <w:left w:val="nil"/>
              <w:bottom w:val="nil"/>
              <w:right w:val="nil"/>
            </w:tcBorders>
            <w:shd w:val="clear" w:color="FFFFFF" w:fill="FFFFFF"/>
            <w:noWrap/>
            <w:vAlign w:val="bottom"/>
            <w:hideMark/>
          </w:tcPr>
          <w:p w14:paraId="777E7A76" w14:textId="77777777" w:rsidR="00C32CBD" w:rsidRDefault="00C32CBD" w:rsidP="00320D09">
            <w:pPr>
              <w:rPr>
                <w:rFonts w:cs="Arial"/>
                <w:sz w:val="18"/>
                <w:szCs w:val="18"/>
              </w:rPr>
            </w:pPr>
            <w:r>
              <w:rPr>
                <w:rFonts w:cs="Arial"/>
                <w:sz w:val="18"/>
                <w:szCs w:val="18"/>
              </w:rPr>
              <w:t> </w:t>
            </w:r>
          </w:p>
        </w:tc>
        <w:tc>
          <w:tcPr>
            <w:tcW w:w="1030" w:type="dxa"/>
            <w:tcBorders>
              <w:top w:val="nil"/>
              <w:left w:val="nil"/>
              <w:bottom w:val="nil"/>
              <w:right w:val="nil"/>
            </w:tcBorders>
            <w:shd w:val="clear" w:color="FFFFFF" w:fill="FFFFFF"/>
            <w:noWrap/>
            <w:vAlign w:val="bottom"/>
            <w:hideMark/>
          </w:tcPr>
          <w:p w14:paraId="4A2CFE12" w14:textId="77777777" w:rsidR="00C32CBD" w:rsidRDefault="00C32CBD" w:rsidP="00320D09">
            <w:pPr>
              <w:jc w:val="right"/>
              <w:rPr>
                <w:rFonts w:cs="Arial"/>
                <w:sz w:val="18"/>
                <w:szCs w:val="18"/>
              </w:rPr>
            </w:pPr>
            <w:r>
              <w:rPr>
                <w:rFonts w:cs="Arial"/>
                <w:sz w:val="18"/>
                <w:szCs w:val="18"/>
              </w:rPr>
              <w:t xml:space="preserve"> -</w:t>
            </w:r>
          </w:p>
        </w:tc>
      </w:tr>
      <w:tr w:rsidR="00C32CBD" w14:paraId="78085D30" w14:textId="77777777" w:rsidTr="00320D09">
        <w:trPr>
          <w:trHeight w:val="255"/>
        </w:trPr>
        <w:tc>
          <w:tcPr>
            <w:tcW w:w="4472" w:type="dxa"/>
            <w:tcBorders>
              <w:top w:val="nil"/>
              <w:left w:val="nil"/>
              <w:bottom w:val="nil"/>
              <w:right w:val="nil"/>
            </w:tcBorders>
            <w:shd w:val="clear" w:color="FFFFFF" w:fill="FFFFFF"/>
            <w:vAlign w:val="bottom"/>
            <w:hideMark/>
          </w:tcPr>
          <w:p w14:paraId="38650240" w14:textId="77777777" w:rsidR="00C32CBD" w:rsidRDefault="00C32CBD" w:rsidP="00320D09">
            <w:pPr>
              <w:ind w:firstLineChars="100" w:firstLine="180"/>
              <w:rPr>
                <w:rFonts w:cs="Arial"/>
                <w:sz w:val="18"/>
                <w:szCs w:val="18"/>
              </w:rPr>
            </w:pPr>
            <w:r>
              <w:rPr>
                <w:rFonts w:cs="Arial"/>
                <w:sz w:val="18"/>
                <w:szCs w:val="18"/>
              </w:rPr>
              <w:t>Net GST received</w:t>
            </w:r>
          </w:p>
        </w:tc>
        <w:tc>
          <w:tcPr>
            <w:tcW w:w="1026" w:type="dxa"/>
            <w:tcBorders>
              <w:top w:val="nil"/>
              <w:left w:val="nil"/>
              <w:bottom w:val="nil"/>
              <w:right w:val="nil"/>
            </w:tcBorders>
            <w:shd w:val="clear" w:color="FFFFFF" w:fill="FFFFFF"/>
            <w:noWrap/>
            <w:vAlign w:val="bottom"/>
            <w:hideMark/>
          </w:tcPr>
          <w:p w14:paraId="161432BC" w14:textId="77777777" w:rsidR="00C32CBD" w:rsidRDefault="00C32CBD" w:rsidP="00320D09">
            <w:pPr>
              <w:jc w:val="center"/>
              <w:rPr>
                <w:rFonts w:cs="Arial"/>
                <w:sz w:val="18"/>
                <w:szCs w:val="18"/>
              </w:rPr>
            </w:pPr>
            <w:r>
              <w:rPr>
                <w:rFonts w:cs="Arial"/>
                <w:sz w:val="18"/>
                <w:szCs w:val="18"/>
              </w:rPr>
              <w:t> </w:t>
            </w:r>
          </w:p>
        </w:tc>
        <w:tc>
          <w:tcPr>
            <w:tcW w:w="1057" w:type="dxa"/>
            <w:tcBorders>
              <w:top w:val="nil"/>
              <w:left w:val="nil"/>
              <w:bottom w:val="nil"/>
              <w:right w:val="nil"/>
            </w:tcBorders>
            <w:shd w:val="clear" w:color="FFFFFF" w:fill="FFFFFF"/>
            <w:noWrap/>
            <w:vAlign w:val="bottom"/>
            <w:hideMark/>
          </w:tcPr>
          <w:p w14:paraId="1FEB15D7" w14:textId="77777777" w:rsidR="00C32CBD" w:rsidRDefault="00C32CBD" w:rsidP="00320D09">
            <w:pPr>
              <w:jc w:val="right"/>
              <w:rPr>
                <w:rFonts w:cs="Arial"/>
                <w:b/>
                <w:bCs/>
                <w:sz w:val="18"/>
                <w:szCs w:val="18"/>
              </w:rPr>
            </w:pPr>
            <w:r>
              <w:rPr>
                <w:rFonts w:cs="Arial"/>
                <w:b/>
                <w:bCs/>
                <w:sz w:val="18"/>
                <w:szCs w:val="18"/>
              </w:rPr>
              <w:t>27,990</w:t>
            </w:r>
          </w:p>
        </w:tc>
        <w:tc>
          <w:tcPr>
            <w:tcW w:w="236" w:type="dxa"/>
            <w:tcBorders>
              <w:top w:val="nil"/>
              <w:left w:val="nil"/>
              <w:bottom w:val="nil"/>
              <w:right w:val="nil"/>
            </w:tcBorders>
            <w:shd w:val="clear" w:color="FFFFFF" w:fill="FFFFFF"/>
            <w:noWrap/>
            <w:vAlign w:val="bottom"/>
            <w:hideMark/>
          </w:tcPr>
          <w:p w14:paraId="18B18DC8" w14:textId="77777777" w:rsidR="00C32CBD" w:rsidRDefault="00C32CBD" w:rsidP="00320D09">
            <w:pPr>
              <w:rPr>
                <w:rFonts w:cs="Arial"/>
                <w:sz w:val="18"/>
                <w:szCs w:val="18"/>
              </w:rPr>
            </w:pPr>
            <w:r>
              <w:rPr>
                <w:rFonts w:cs="Arial"/>
                <w:sz w:val="18"/>
                <w:szCs w:val="18"/>
              </w:rPr>
              <w:t> </w:t>
            </w:r>
          </w:p>
        </w:tc>
        <w:tc>
          <w:tcPr>
            <w:tcW w:w="1030" w:type="dxa"/>
            <w:tcBorders>
              <w:top w:val="nil"/>
              <w:left w:val="nil"/>
              <w:bottom w:val="nil"/>
              <w:right w:val="nil"/>
            </w:tcBorders>
            <w:shd w:val="clear" w:color="FFFFFF" w:fill="FFFFFF"/>
            <w:noWrap/>
            <w:vAlign w:val="bottom"/>
            <w:hideMark/>
          </w:tcPr>
          <w:p w14:paraId="6E98FFBB" w14:textId="77777777" w:rsidR="00C32CBD" w:rsidRDefault="00C32CBD" w:rsidP="00320D09">
            <w:pPr>
              <w:jc w:val="right"/>
              <w:rPr>
                <w:rFonts w:cs="Arial"/>
                <w:sz w:val="18"/>
                <w:szCs w:val="18"/>
              </w:rPr>
            </w:pPr>
            <w:r>
              <w:rPr>
                <w:rFonts w:cs="Arial"/>
                <w:sz w:val="18"/>
                <w:szCs w:val="18"/>
              </w:rPr>
              <w:t>9,909</w:t>
            </w:r>
          </w:p>
        </w:tc>
        <w:tc>
          <w:tcPr>
            <w:tcW w:w="236" w:type="dxa"/>
            <w:tcBorders>
              <w:top w:val="nil"/>
              <w:left w:val="nil"/>
              <w:bottom w:val="nil"/>
              <w:right w:val="nil"/>
            </w:tcBorders>
            <w:shd w:val="clear" w:color="FFFFFF" w:fill="FFFFFF"/>
            <w:noWrap/>
            <w:vAlign w:val="bottom"/>
            <w:hideMark/>
          </w:tcPr>
          <w:p w14:paraId="7E978D1C" w14:textId="77777777" w:rsidR="00C32CBD" w:rsidRDefault="00C32CBD" w:rsidP="00320D09">
            <w:pPr>
              <w:rPr>
                <w:rFonts w:cs="Arial"/>
                <w:sz w:val="18"/>
                <w:szCs w:val="18"/>
              </w:rPr>
            </w:pPr>
            <w:r>
              <w:rPr>
                <w:rFonts w:cs="Arial"/>
                <w:sz w:val="18"/>
                <w:szCs w:val="18"/>
              </w:rPr>
              <w:t> </w:t>
            </w:r>
          </w:p>
        </w:tc>
        <w:tc>
          <w:tcPr>
            <w:tcW w:w="1030" w:type="dxa"/>
            <w:tcBorders>
              <w:top w:val="nil"/>
              <w:left w:val="nil"/>
              <w:bottom w:val="nil"/>
              <w:right w:val="nil"/>
            </w:tcBorders>
            <w:shd w:val="clear" w:color="FFFFFF" w:fill="FFFFFF"/>
            <w:noWrap/>
            <w:vAlign w:val="bottom"/>
            <w:hideMark/>
          </w:tcPr>
          <w:p w14:paraId="170D65D5" w14:textId="77777777" w:rsidR="00C32CBD" w:rsidRDefault="00C32CBD" w:rsidP="00320D09">
            <w:pPr>
              <w:jc w:val="right"/>
              <w:rPr>
                <w:rFonts w:cs="Arial"/>
                <w:sz w:val="18"/>
                <w:szCs w:val="18"/>
              </w:rPr>
            </w:pPr>
            <w:r>
              <w:rPr>
                <w:rFonts w:cs="Arial"/>
                <w:sz w:val="18"/>
                <w:szCs w:val="18"/>
              </w:rPr>
              <w:t>44,028</w:t>
            </w:r>
          </w:p>
        </w:tc>
      </w:tr>
      <w:tr w:rsidR="00C32CBD" w14:paraId="6FC6D012" w14:textId="77777777" w:rsidTr="00320D09">
        <w:trPr>
          <w:trHeight w:val="255"/>
        </w:trPr>
        <w:tc>
          <w:tcPr>
            <w:tcW w:w="4472" w:type="dxa"/>
            <w:tcBorders>
              <w:top w:val="nil"/>
              <w:left w:val="nil"/>
              <w:bottom w:val="nil"/>
              <w:right w:val="nil"/>
            </w:tcBorders>
            <w:shd w:val="clear" w:color="FFFFFF" w:fill="FFFFFF"/>
            <w:vAlign w:val="bottom"/>
            <w:hideMark/>
          </w:tcPr>
          <w:p w14:paraId="73EBFF35" w14:textId="77777777" w:rsidR="00C32CBD" w:rsidRDefault="00C32CBD" w:rsidP="00320D09">
            <w:pPr>
              <w:rPr>
                <w:rFonts w:cs="Arial"/>
                <w:b/>
                <w:bCs/>
                <w:sz w:val="18"/>
                <w:szCs w:val="18"/>
              </w:rPr>
            </w:pPr>
            <w:r>
              <w:rPr>
                <w:rFonts w:cs="Arial"/>
                <w:b/>
                <w:bCs/>
                <w:sz w:val="18"/>
                <w:szCs w:val="18"/>
              </w:rPr>
              <w:t>Total cash received</w:t>
            </w:r>
          </w:p>
        </w:tc>
        <w:tc>
          <w:tcPr>
            <w:tcW w:w="1026" w:type="dxa"/>
            <w:tcBorders>
              <w:top w:val="nil"/>
              <w:left w:val="nil"/>
              <w:bottom w:val="nil"/>
              <w:right w:val="nil"/>
            </w:tcBorders>
            <w:shd w:val="clear" w:color="FFFFFF" w:fill="FFFFFF"/>
            <w:noWrap/>
            <w:vAlign w:val="bottom"/>
            <w:hideMark/>
          </w:tcPr>
          <w:p w14:paraId="3FAA8F5D" w14:textId="77777777" w:rsidR="00C32CBD" w:rsidRDefault="00C32CBD" w:rsidP="00320D09">
            <w:pPr>
              <w:jc w:val="center"/>
              <w:rPr>
                <w:rFonts w:cs="Arial"/>
                <w:sz w:val="18"/>
                <w:szCs w:val="18"/>
              </w:rPr>
            </w:pPr>
            <w:r>
              <w:rPr>
                <w:rFonts w:cs="Arial"/>
                <w:sz w:val="18"/>
                <w:szCs w:val="18"/>
              </w:rPr>
              <w:t> </w:t>
            </w:r>
          </w:p>
        </w:tc>
        <w:tc>
          <w:tcPr>
            <w:tcW w:w="1057" w:type="dxa"/>
            <w:tcBorders>
              <w:top w:val="single" w:sz="4" w:space="0" w:color="auto"/>
              <w:left w:val="nil"/>
              <w:bottom w:val="single" w:sz="4" w:space="0" w:color="auto"/>
              <w:right w:val="nil"/>
            </w:tcBorders>
            <w:shd w:val="clear" w:color="FFFFFF" w:fill="FFFFFF"/>
            <w:noWrap/>
            <w:vAlign w:val="bottom"/>
            <w:hideMark/>
          </w:tcPr>
          <w:p w14:paraId="0D4AA70C" w14:textId="77777777" w:rsidR="00C32CBD" w:rsidRDefault="00C32CBD" w:rsidP="00320D09">
            <w:pPr>
              <w:jc w:val="right"/>
              <w:rPr>
                <w:rFonts w:cs="Arial"/>
                <w:b/>
                <w:bCs/>
                <w:sz w:val="18"/>
                <w:szCs w:val="18"/>
              </w:rPr>
            </w:pPr>
            <w:r>
              <w:rPr>
                <w:rFonts w:cs="Arial"/>
                <w:b/>
                <w:bCs/>
                <w:sz w:val="18"/>
                <w:szCs w:val="18"/>
              </w:rPr>
              <w:t>2,897,504</w:t>
            </w:r>
          </w:p>
        </w:tc>
        <w:tc>
          <w:tcPr>
            <w:tcW w:w="236" w:type="dxa"/>
            <w:tcBorders>
              <w:top w:val="nil"/>
              <w:left w:val="nil"/>
              <w:bottom w:val="nil"/>
              <w:right w:val="nil"/>
            </w:tcBorders>
            <w:shd w:val="clear" w:color="FFFFFF" w:fill="FFFFFF"/>
            <w:noWrap/>
            <w:vAlign w:val="bottom"/>
            <w:hideMark/>
          </w:tcPr>
          <w:p w14:paraId="03F73D0C" w14:textId="77777777" w:rsidR="00C32CBD" w:rsidRDefault="00C32CBD" w:rsidP="00320D09">
            <w:pPr>
              <w:rPr>
                <w:rFonts w:cs="Arial"/>
                <w:sz w:val="18"/>
                <w:szCs w:val="18"/>
              </w:rPr>
            </w:pPr>
            <w:r>
              <w:rPr>
                <w:rFonts w:cs="Arial"/>
                <w:sz w:val="18"/>
                <w:szCs w:val="18"/>
              </w:rPr>
              <w:t> </w:t>
            </w:r>
          </w:p>
        </w:tc>
        <w:tc>
          <w:tcPr>
            <w:tcW w:w="1030" w:type="dxa"/>
            <w:tcBorders>
              <w:top w:val="single" w:sz="4" w:space="0" w:color="auto"/>
              <w:left w:val="nil"/>
              <w:bottom w:val="single" w:sz="4" w:space="0" w:color="auto"/>
              <w:right w:val="nil"/>
            </w:tcBorders>
            <w:shd w:val="clear" w:color="FFFFFF" w:fill="FFFFFF"/>
            <w:noWrap/>
            <w:vAlign w:val="bottom"/>
            <w:hideMark/>
          </w:tcPr>
          <w:p w14:paraId="3EEDA5FD" w14:textId="77777777" w:rsidR="00C32CBD" w:rsidRDefault="00C32CBD" w:rsidP="00320D09">
            <w:pPr>
              <w:jc w:val="right"/>
              <w:rPr>
                <w:rFonts w:cs="Arial"/>
                <w:sz w:val="18"/>
                <w:szCs w:val="18"/>
              </w:rPr>
            </w:pPr>
            <w:r>
              <w:rPr>
                <w:rFonts w:cs="Arial"/>
                <w:sz w:val="18"/>
                <w:szCs w:val="18"/>
              </w:rPr>
              <w:t>882,426</w:t>
            </w:r>
          </w:p>
        </w:tc>
        <w:tc>
          <w:tcPr>
            <w:tcW w:w="236" w:type="dxa"/>
            <w:tcBorders>
              <w:top w:val="nil"/>
              <w:left w:val="nil"/>
              <w:bottom w:val="nil"/>
              <w:right w:val="nil"/>
            </w:tcBorders>
            <w:shd w:val="clear" w:color="FFFFFF" w:fill="FFFFFF"/>
            <w:noWrap/>
            <w:vAlign w:val="bottom"/>
            <w:hideMark/>
          </w:tcPr>
          <w:p w14:paraId="3E05B054" w14:textId="77777777" w:rsidR="00C32CBD" w:rsidRDefault="00C32CBD" w:rsidP="00320D09">
            <w:pPr>
              <w:rPr>
                <w:rFonts w:cs="Arial"/>
                <w:sz w:val="18"/>
                <w:szCs w:val="18"/>
              </w:rPr>
            </w:pPr>
            <w:r>
              <w:rPr>
                <w:rFonts w:cs="Arial"/>
                <w:sz w:val="18"/>
                <w:szCs w:val="18"/>
              </w:rPr>
              <w:t> </w:t>
            </w:r>
          </w:p>
        </w:tc>
        <w:tc>
          <w:tcPr>
            <w:tcW w:w="1030" w:type="dxa"/>
            <w:tcBorders>
              <w:top w:val="single" w:sz="4" w:space="0" w:color="auto"/>
              <w:left w:val="nil"/>
              <w:bottom w:val="single" w:sz="4" w:space="0" w:color="auto"/>
              <w:right w:val="nil"/>
            </w:tcBorders>
            <w:shd w:val="clear" w:color="FFFFFF" w:fill="FFFFFF"/>
            <w:noWrap/>
            <w:vAlign w:val="bottom"/>
            <w:hideMark/>
          </w:tcPr>
          <w:p w14:paraId="7B4A630C" w14:textId="77777777" w:rsidR="00C32CBD" w:rsidRDefault="00C32CBD" w:rsidP="00320D09">
            <w:pPr>
              <w:jc w:val="right"/>
              <w:rPr>
                <w:rFonts w:cs="Arial"/>
                <w:sz w:val="18"/>
                <w:szCs w:val="18"/>
              </w:rPr>
            </w:pPr>
            <w:r>
              <w:rPr>
                <w:rFonts w:cs="Arial"/>
                <w:sz w:val="18"/>
                <w:szCs w:val="18"/>
              </w:rPr>
              <w:t>3,435,671</w:t>
            </w:r>
          </w:p>
        </w:tc>
      </w:tr>
      <w:tr w:rsidR="00C32CBD" w14:paraId="5F2CF2F6" w14:textId="77777777" w:rsidTr="00320D09">
        <w:trPr>
          <w:trHeight w:val="255"/>
        </w:trPr>
        <w:tc>
          <w:tcPr>
            <w:tcW w:w="4472" w:type="dxa"/>
            <w:tcBorders>
              <w:top w:val="nil"/>
              <w:left w:val="nil"/>
              <w:bottom w:val="nil"/>
              <w:right w:val="nil"/>
            </w:tcBorders>
            <w:shd w:val="clear" w:color="FFFFFF" w:fill="FFFFFF"/>
            <w:vAlign w:val="bottom"/>
            <w:hideMark/>
          </w:tcPr>
          <w:p w14:paraId="3929478A" w14:textId="77777777" w:rsidR="00C32CBD" w:rsidRDefault="00C32CBD" w:rsidP="00320D09">
            <w:pPr>
              <w:rPr>
                <w:rFonts w:cs="Arial"/>
                <w:b/>
                <w:bCs/>
                <w:sz w:val="18"/>
                <w:szCs w:val="18"/>
              </w:rPr>
            </w:pPr>
            <w:r>
              <w:rPr>
                <w:rFonts w:cs="Arial"/>
                <w:b/>
                <w:bCs/>
                <w:sz w:val="18"/>
                <w:szCs w:val="18"/>
              </w:rPr>
              <w:t>Cash used</w:t>
            </w:r>
          </w:p>
        </w:tc>
        <w:tc>
          <w:tcPr>
            <w:tcW w:w="1026" w:type="dxa"/>
            <w:tcBorders>
              <w:top w:val="nil"/>
              <w:left w:val="nil"/>
              <w:bottom w:val="nil"/>
              <w:right w:val="nil"/>
            </w:tcBorders>
            <w:shd w:val="clear" w:color="FFFFFF" w:fill="FFFFFF"/>
            <w:noWrap/>
            <w:vAlign w:val="bottom"/>
            <w:hideMark/>
          </w:tcPr>
          <w:p w14:paraId="7FAA3C7D" w14:textId="77777777" w:rsidR="00C32CBD" w:rsidRDefault="00C32CBD" w:rsidP="00320D09">
            <w:pPr>
              <w:jc w:val="center"/>
              <w:rPr>
                <w:rFonts w:cs="Arial"/>
                <w:sz w:val="18"/>
                <w:szCs w:val="18"/>
              </w:rPr>
            </w:pPr>
            <w:r>
              <w:rPr>
                <w:rFonts w:cs="Arial"/>
                <w:sz w:val="18"/>
                <w:szCs w:val="18"/>
              </w:rPr>
              <w:t> </w:t>
            </w:r>
          </w:p>
        </w:tc>
        <w:tc>
          <w:tcPr>
            <w:tcW w:w="1057" w:type="dxa"/>
            <w:tcBorders>
              <w:top w:val="nil"/>
              <w:left w:val="nil"/>
              <w:bottom w:val="nil"/>
              <w:right w:val="nil"/>
            </w:tcBorders>
            <w:shd w:val="clear" w:color="FFFFFF" w:fill="FFFFFF"/>
            <w:noWrap/>
            <w:vAlign w:val="bottom"/>
            <w:hideMark/>
          </w:tcPr>
          <w:p w14:paraId="40DF92ED"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5C147054" w14:textId="77777777" w:rsidR="00C32CBD" w:rsidRDefault="00C32CBD" w:rsidP="00320D09">
            <w:pPr>
              <w:rPr>
                <w:rFonts w:cs="Arial"/>
                <w:sz w:val="18"/>
                <w:szCs w:val="18"/>
              </w:rPr>
            </w:pPr>
            <w:r>
              <w:rPr>
                <w:rFonts w:cs="Arial"/>
                <w:sz w:val="18"/>
                <w:szCs w:val="18"/>
              </w:rPr>
              <w:t> </w:t>
            </w:r>
          </w:p>
        </w:tc>
        <w:tc>
          <w:tcPr>
            <w:tcW w:w="1030" w:type="dxa"/>
            <w:tcBorders>
              <w:top w:val="nil"/>
              <w:left w:val="nil"/>
              <w:bottom w:val="nil"/>
              <w:right w:val="nil"/>
            </w:tcBorders>
            <w:shd w:val="clear" w:color="FFFFFF" w:fill="FFFFFF"/>
            <w:noWrap/>
            <w:vAlign w:val="bottom"/>
            <w:hideMark/>
          </w:tcPr>
          <w:p w14:paraId="17262561"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2D74AC11" w14:textId="77777777" w:rsidR="00C32CBD" w:rsidRDefault="00C32CBD" w:rsidP="00320D09">
            <w:pPr>
              <w:rPr>
                <w:rFonts w:cs="Arial"/>
                <w:sz w:val="18"/>
                <w:szCs w:val="18"/>
              </w:rPr>
            </w:pPr>
            <w:r>
              <w:rPr>
                <w:rFonts w:cs="Arial"/>
                <w:sz w:val="18"/>
                <w:szCs w:val="18"/>
              </w:rPr>
              <w:t> </w:t>
            </w:r>
          </w:p>
        </w:tc>
        <w:tc>
          <w:tcPr>
            <w:tcW w:w="1030" w:type="dxa"/>
            <w:tcBorders>
              <w:top w:val="nil"/>
              <w:left w:val="nil"/>
              <w:bottom w:val="nil"/>
              <w:right w:val="nil"/>
            </w:tcBorders>
            <w:shd w:val="clear" w:color="FFFFFF" w:fill="FFFFFF"/>
            <w:noWrap/>
            <w:vAlign w:val="bottom"/>
            <w:hideMark/>
          </w:tcPr>
          <w:p w14:paraId="6FF9D9FF" w14:textId="77777777" w:rsidR="00C32CBD" w:rsidRDefault="00C32CBD" w:rsidP="00320D09">
            <w:pPr>
              <w:rPr>
                <w:rFonts w:cs="Arial"/>
                <w:sz w:val="18"/>
                <w:szCs w:val="18"/>
              </w:rPr>
            </w:pPr>
            <w:r>
              <w:rPr>
                <w:rFonts w:cs="Arial"/>
                <w:sz w:val="18"/>
                <w:szCs w:val="18"/>
              </w:rPr>
              <w:t> </w:t>
            </w:r>
          </w:p>
        </w:tc>
      </w:tr>
      <w:tr w:rsidR="00C32CBD" w14:paraId="12F7B094" w14:textId="77777777" w:rsidTr="00320D09">
        <w:trPr>
          <w:trHeight w:val="240"/>
        </w:trPr>
        <w:tc>
          <w:tcPr>
            <w:tcW w:w="4472" w:type="dxa"/>
            <w:tcBorders>
              <w:top w:val="nil"/>
              <w:left w:val="nil"/>
              <w:bottom w:val="nil"/>
              <w:right w:val="nil"/>
            </w:tcBorders>
            <w:shd w:val="clear" w:color="FFFFFF" w:fill="FFFFFF"/>
            <w:vAlign w:val="bottom"/>
            <w:hideMark/>
          </w:tcPr>
          <w:p w14:paraId="5A71B3CA" w14:textId="77777777" w:rsidR="00C32CBD" w:rsidRDefault="00C32CBD" w:rsidP="00320D09">
            <w:pPr>
              <w:ind w:firstLineChars="100" w:firstLine="180"/>
              <w:rPr>
                <w:rFonts w:cs="Arial"/>
                <w:sz w:val="18"/>
                <w:szCs w:val="18"/>
              </w:rPr>
            </w:pPr>
            <w:r>
              <w:rPr>
                <w:rFonts w:cs="Arial"/>
                <w:sz w:val="18"/>
                <w:szCs w:val="18"/>
              </w:rPr>
              <w:t>Employee benefits</w:t>
            </w:r>
          </w:p>
        </w:tc>
        <w:tc>
          <w:tcPr>
            <w:tcW w:w="1026" w:type="dxa"/>
            <w:tcBorders>
              <w:top w:val="nil"/>
              <w:left w:val="nil"/>
              <w:bottom w:val="nil"/>
              <w:right w:val="nil"/>
            </w:tcBorders>
            <w:shd w:val="clear" w:color="FFFFFF" w:fill="FFFFFF"/>
            <w:noWrap/>
            <w:vAlign w:val="bottom"/>
            <w:hideMark/>
          </w:tcPr>
          <w:p w14:paraId="570B1FDA" w14:textId="77777777" w:rsidR="00C32CBD" w:rsidRDefault="00C32CBD" w:rsidP="00320D09">
            <w:pPr>
              <w:jc w:val="center"/>
              <w:rPr>
                <w:rFonts w:cs="Arial"/>
                <w:sz w:val="18"/>
                <w:szCs w:val="18"/>
              </w:rPr>
            </w:pPr>
            <w:r>
              <w:rPr>
                <w:rFonts w:cs="Arial"/>
                <w:sz w:val="18"/>
                <w:szCs w:val="18"/>
              </w:rPr>
              <w:t> </w:t>
            </w:r>
          </w:p>
        </w:tc>
        <w:tc>
          <w:tcPr>
            <w:tcW w:w="1057" w:type="dxa"/>
            <w:tcBorders>
              <w:top w:val="nil"/>
              <w:left w:val="nil"/>
              <w:bottom w:val="nil"/>
              <w:right w:val="nil"/>
            </w:tcBorders>
            <w:shd w:val="clear" w:color="FFFFFF" w:fill="FFFFFF"/>
            <w:noWrap/>
            <w:vAlign w:val="bottom"/>
            <w:hideMark/>
          </w:tcPr>
          <w:p w14:paraId="60D1D55F" w14:textId="77777777" w:rsidR="00C32CBD" w:rsidRDefault="00C32CBD" w:rsidP="00320D09">
            <w:pPr>
              <w:jc w:val="right"/>
              <w:rPr>
                <w:rFonts w:cs="Arial"/>
                <w:b/>
                <w:bCs/>
                <w:sz w:val="18"/>
                <w:szCs w:val="18"/>
              </w:rPr>
            </w:pPr>
            <w:r>
              <w:rPr>
                <w:rFonts w:cs="Arial"/>
                <w:b/>
                <w:bCs/>
                <w:sz w:val="18"/>
                <w:szCs w:val="18"/>
              </w:rPr>
              <w:t>162,812</w:t>
            </w:r>
          </w:p>
        </w:tc>
        <w:tc>
          <w:tcPr>
            <w:tcW w:w="236" w:type="dxa"/>
            <w:tcBorders>
              <w:top w:val="nil"/>
              <w:left w:val="nil"/>
              <w:bottom w:val="nil"/>
              <w:right w:val="nil"/>
            </w:tcBorders>
            <w:shd w:val="clear" w:color="FFFFFF" w:fill="FFFFFF"/>
            <w:noWrap/>
            <w:vAlign w:val="bottom"/>
            <w:hideMark/>
          </w:tcPr>
          <w:p w14:paraId="6CF37BEB" w14:textId="77777777" w:rsidR="00C32CBD" w:rsidRDefault="00C32CBD" w:rsidP="00320D09">
            <w:pPr>
              <w:rPr>
                <w:rFonts w:cs="Arial"/>
                <w:sz w:val="18"/>
                <w:szCs w:val="18"/>
              </w:rPr>
            </w:pPr>
            <w:r>
              <w:rPr>
                <w:rFonts w:cs="Arial"/>
                <w:sz w:val="18"/>
                <w:szCs w:val="18"/>
              </w:rPr>
              <w:t> </w:t>
            </w:r>
          </w:p>
        </w:tc>
        <w:tc>
          <w:tcPr>
            <w:tcW w:w="1030" w:type="dxa"/>
            <w:tcBorders>
              <w:top w:val="nil"/>
              <w:left w:val="nil"/>
              <w:bottom w:val="nil"/>
              <w:right w:val="nil"/>
            </w:tcBorders>
            <w:shd w:val="clear" w:color="FFFFFF" w:fill="FFFFFF"/>
            <w:noWrap/>
            <w:vAlign w:val="bottom"/>
            <w:hideMark/>
          </w:tcPr>
          <w:p w14:paraId="53E5E17A" w14:textId="77777777" w:rsidR="00C32CBD" w:rsidRDefault="00C32CBD" w:rsidP="00320D09">
            <w:pPr>
              <w:jc w:val="right"/>
              <w:rPr>
                <w:rFonts w:cs="Arial"/>
                <w:sz w:val="18"/>
                <w:szCs w:val="18"/>
              </w:rPr>
            </w:pPr>
            <w:r>
              <w:rPr>
                <w:rFonts w:cs="Arial"/>
                <w:sz w:val="18"/>
                <w:szCs w:val="18"/>
              </w:rPr>
              <w:t>107,611</w:t>
            </w:r>
          </w:p>
        </w:tc>
        <w:tc>
          <w:tcPr>
            <w:tcW w:w="236" w:type="dxa"/>
            <w:tcBorders>
              <w:top w:val="nil"/>
              <w:left w:val="nil"/>
              <w:bottom w:val="nil"/>
              <w:right w:val="nil"/>
            </w:tcBorders>
            <w:shd w:val="clear" w:color="FFFFFF" w:fill="FFFFFF"/>
            <w:noWrap/>
            <w:vAlign w:val="bottom"/>
            <w:hideMark/>
          </w:tcPr>
          <w:p w14:paraId="3507EFF2" w14:textId="77777777" w:rsidR="00C32CBD" w:rsidRDefault="00C32CBD" w:rsidP="00320D09">
            <w:pPr>
              <w:rPr>
                <w:rFonts w:cs="Arial"/>
                <w:sz w:val="18"/>
                <w:szCs w:val="18"/>
              </w:rPr>
            </w:pPr>
            <w:r>
              <w:rPr>
                <w:rFonts w:cs="Arial"/>
                <w:sz w:val="18"/>
                <w:szCs w:val="18"/>
              </w:rPr>
              <w:t> </w:t>
            </w:r>
          </w:p>
        </w:tc>
        <w:tc>
          <w:tcPr>
            <w:tcW w:w="1030" w:type="dxa"/>
            <w:tcBorders>
              <w:top w:val="nil"/>
              <w:left w:val="nil"/>
              <w:bottom w:val="nil"/>
              <w:right w:val="nil"/>
            </w:tcBorders>
            <w:shd w:val="clear" w:color="FFFFFF" w:fill="FFFFFF"/>
            <w:noWrap/>
            <w:vAlign w:val="bottom"/>
            <w:hideMark/>
          </w:tcPr>
          <w:p w14:paraId="0C8CDC9A" w14:textId="77777777" w:rsidR="00C32CBD" w:rsidRDefault="00C32CBD" w:rsidP="00320D09">
            <w:pPr>
              <w:jc w:val="right"/>
              <w:rPr>
                <w:rFonts w:cs="Arial"/>
                <w:sz w:val="18"/>
                <w:szCs w:val="18"/>
              </w:rPr>
            </w:pPr>
            <w:r>
              <w:rPr>
                <w:rFonts w:cs="Arial"/>
                <w:sz w:val="18"/>
                <w:szCs w:val="18"/>
              </w:rPr>
              <w:t>174,762</w:t>
            </w:r>
          </w:p>
        </w:tc>
      </w:tr>
      <w:tr w:rsidR="00C32CBD" w14:paraId="31FA7EE7" w14:textId="77777777" w:rsidTr="00320D09">
        <w:trPr>
          <w:trHeight w:val="255"/>
        </w:trPr>
        <w:tc>
          <w:tcPr>
            <w:tcW w:w="4472" w:type="dxa"/>
            <w:tcBorders>
              <w:top w:val="nil"/>
              <w:left w:val="nil"/>
              <w:bottom w:val="nil"/>
              <w:right w:val="nil"/>
            </w:tcBorders>
            <w:shd w:val="clear" w:color="FFFFFF" w:fill="FFFFFF"/>
            <w:vAlign w:val="bottom"/>
            <w:hideMark/>
          </w:tcPr>
          <w:p w14:paraId="433DCCD2" w14:textId="77777777" w:rsidR="00C32CBD" w:rsidRDefault="00C32CBD" w:rsidP="00320D09">
            <w:pPr>
              <w:ind w:firstLineChars="100" w:firstLine="180"/>
              <w:rPr>
                <w:rFonts w:cs="Arial"/>
                <w:sz w:val="18"/>
                <w:szCs w:val="18"/>
              </w:rPr>
            </w:pPr>
            <w:r>
              <w:rPr>
                <w:rFonts w:cs="Arial"/>
                <w:sz w:val="18"/>
                <w:szCs w:val="18"/>
              </w:rPr>
              <w:t>Supplier expenses</w:t>
            </w:r>
          </w:p>
        </w:tc>
        <w:tc>
          <w:tcPr>
            <w:tcW w:w="1026" w:type="dxa"/>
            <w:tcBorders>
              <w:top w:val="nil"/>
              <w:left w:val="nil"/>
              <w:bottom w:val="nil"/>
              <w:right w:val="nil"/>
            </w:tcBorders>
            <w:shd w:val="clear" w:color="FFFFFF" w:fill="FFFFFF"/>
            <w:noWrap/>
            <w:vAlign w:val="bottom"/>
            <w:hideMark/>
          </w:tcPr>
          <w:p w14:paraId="34E770D4" w14:textId="77777777" w:rsidR="00C32CBD" w:rsidRDefault="00C32CBD" w:rsidP="00320D09">
            <w:pPr>
              <w:jc w:val="center"/>
              <w:rPr>
                <w:rFonts w:cs="Arial"/>
                <w:sz w:val="18"/>
                <w:szCs w:val="18"/>
              </w:rPr>
            </w:pPr>
            <w:r>
              <w:rPr>
                <w:rFonts w:cs="Arial"/>
                <w:sz w:val="18"/>
                <w:szCs w:val="18"/>
              </w:rPr>
              <w:t> </w:t>
            </w:r>
          </w:p>
        </w:tc>
        <w:tc>
          <w:tcPr>
            <w:tcW w:w="1057" w:type="dxa"/>
            <w:tcBorders>
              <w:top w:val="nil"/>
              <w:left w:val="nil"/>
              <w:bottom w:val="nil"/>
              <w:right w:val="nil"/>
            </w:tcBorders>
            <w:shd w:val="clear" w:color="FFFFFF" w:fill="FFFFFF"/>
            <w:noWrap/>
            <w:vAlign w:val="bottom"/>
            <w:hideMark/>
          </w:tcPr>
          <w:p w14:paraId="2DE03501" w14:textId="77777777" w:rsidR="00C32CBD" w:rsidRDefault="00C32CBD" w:rsidP="00320D09">
            <w:pPr>
              <w:jc w:val="right"/>
              <w:rPr>
                <w:rFonts w:cs="Arial"/>
                <w:b/>
                <w:bCs/>
                <w:sz w:val="18"/>
                <w:szCs w:val="18"/>
              </w:rPr>
            </w:pPr>
            <w:r>
              <w:rPr>
                <w:rFonts w:cs="Arial"/>
                <w:b/>
                <w:bCs/>
                <w:sz w:val="18"/>
                <w:szCs w:val="18"/>
              </w:rPr>
              <w:t>211,681</w:t>
            </w:r>
          </w:p>
        </w:tc>
        <w:tc>
          <w:tcPr>
            <w:tcW w:w="236" w:type="dxa"/>
            <w:tcBorders>
              <w:top w:val="nil"/>
              <w:left w:val="nil"/>
              <w:bottom w:val="nil"/>
              <w:right w:val="nil"/>
            </w:tcBorders>
            <w:shd w:val="clear" w:color="FFFFFF" w:fill="FFFFFF"/>
            <w:noWrap/>
            <w:vAlign w:val="bottom"/>
            <w:hideMark/>
          </w:tcPr>
          <w:p w14:paraId="0D5E45DA" w14:textId="77777777" w:rsidR="00C32CBD" w:rsidRDefault="00C32CBD" w:rsidP="00320D09">
            <w:pPr>
              <w:rPr>
                <w:rFonts w:cs="Arial"/>
                <w:sz w:val="18"/>
                <w:szCs w:val="18"/>
              </w:rPr>
            </w:pPr>
            <w:r>
              <w:rPr>
                <w:rFonts w:cs="Arial"/>
                <w:sz w:val="18"/>
                <w:szCs w:val="18"/>
              </w:rPr>
              <w:t> </w:t>
            </w:r>
          </w:p>
        </w:tc>
        <w:tc>
          <w:tcPr>
            <w:tcW w:w="1030" w:type="dxa"/>
            <w:tcBorders>
              <w:top w:val="nil"/>
              <w:left w:val="nil"/>
              <w:bottom w:val="nil"/>
              <w:right w:val="nil"/>
            </w:tcBorders>
            <w:shd w:val="clear" w:color="FFFFFF" w:fill="FFFFFF"/>
            <w:noWrap/>
            <w:vAlign w:val="bottom"/>
            <w:hideMark/>
          </w:tcPr>
          <w:p w14:paraId="74AA718B" w14:textId="77777777" w:rsidR="00C32CBD" w:rsidRDefault="00C32CBD" w:rsidP="00320D09">
            <w:pPr>
              <w:jc w:val="right"/>
              <w:rPr>
                <w:rFonts w:cs="Arial"/>
                <w:sz w:val="18"/>
                <w:szCs w:val="18"/>
              </w:rPr>
            </w:pPr>
            <w:r>
              <w:rPr>
                <w:rFonts w:cs="Arial"/>
                <w:sz w:val="18"/>
                <w:szCs w:val="18"/>
              </w:rPr>
              <w:t>114,573</w:t>
            </w:r>
          </w:p>
        </w:tc>
        <w:tc>
          <w:tcPr>
            <w:tcW w:w="236" w:type="dxa"/>
            <w:tcBorders>
              <w:top w:val="nil"/>
              <w:left w:val="nil"/>
              <w:bottom w:val="nil"/>
              <w:right w:val="nil"/>
            </w:tcBorders>
            <w:shd w:val="clear" w:color="FFFFFF" w:fill="FFFFFF"/>
            <w:noWrap/>
            <w:vAlign w:val="bottom"/>
            <w:hideMark/>
          </w:tcPr>
          <w:p w14:paraId="49D2C7EC" w14:textId="77777777" w:rsidR="00C32CBD" w:rsidRDefault="00C32CBD" w:rsidP="00320D09">
            <w:pPr>
              <w:rPr>
                <w:rFonts w:cs="Arial"/>
                <w:sz w:val="18"/>
                <w:szCs w:val="18"/>
              </w:rPr>
            </w:pPr>
            <w:r>
              <w:rPr>
                <w:rFonts w:cs="Arial"/>
                <w:sz w:val="18"/>
                <w:szCs w:val="18"/>
              </w:rPr>
              <w:t> </w:t>
            </w:r>
          </w:p>
        </w:tc>
        <w:tc>
          <w:tcPr>
            <w:tcW w:w="1030" w:type="dxa"/>
            <w:tcBorders>
              <w:top w:val="nil"/>
              <w:left w:val="nil"/>
              <w:bottom w:val="nil"/>
              <w:right w:val="nil"/>
            </w:tcBorders>
            <w:shd w:val="clear" w:color="FFFFFF" w:fill="FFFFFF"/>
            <w:noWrap/>
            <w:vAlign w:val="bottom"/>
            <w:hideMark/>
          </w:tcPr>
          <w:p w14:paraId="364C8E43" w14:textId="77777777" w:rsidR="00C32CBD" w:rsidRDefault="00C32CBD" w:rsidP="00320D09">
            <w:pPr>
              <w:jc w:val="right"/>
              <w:rPr>
                <w:rFonts w:cs="Arial"/>
                <w:sz w:val="18"/>
                <w:szCs w:val="18"/>
              </w:rPr>
            </w:pPr>
            <w:r>
              <w:rPr>
                <w:rFonts w:cs="Arial"/>
                <w:sz w:val="18"/>
                <w:szCs w:val="18"/>
              </w:rPr>
              <w:t>489,240</w:t>
            </w:r>
          </w:p>
        </w:tc>
      </w:tr>
      <w:tr w:rsidR="00C32CBD" w14:paraId="41F57110" w14:textId="77777777" w:rsidTr="00320D09">
        <w:trPr>
          <w:trHeight w:val="255"/>
        </w:trPr>
        <w:tc>
          <w:tcPr>
            <w:tcW w:w="4472" w:type="dxa"/>
            <w:tcBorders>
              <w:top w:val="nil"/>
              <w:left w:val="nil"/>
              <w:bottom w:val="nil"/>
              <w:right w:val="nil"/>
            </w:tcBorders>
            <w:shd w:val="clear" w:color="FFFFFF" w:fill="FFFFFF"/>
            <w:vAlign w:val="bottom"/>
            <w:hideMark/>
          </w:tcPr>
          <w:p w14:paraId="71E3203C" w14:textId="77777777" w:rsidR="00C32CBD" w:rsidRDefault="00C32CBD" w:rsidP="00320D09">
            <w:pPr>
              <w:ind w:firstLineChars="100" w:firstLine="180"/>
              <w:rPr>
                <w:rFonts w:cs="Arial"/>
                <w:sz w:val="18"/>
                <w:szCs w:val="18"/>
              </w:rPr>
            </w:pPr>
            <w:r>
              <w:rPr>
                <w:rFonts w:cs="Arial"/>
                <w:sz w:val="18"/>
                <w:szCs w:val="18"/>
              </w:rPr>
              <w:t>Community partnership costs</w:t>
            </w:r>
          </w:p>
        </w:tc>
        <w:tc>
          <w:tcPr>
            <w:tcW w:w="1026" w:type="dxa"/>
            <w:tcBorders>
              <w:top w:val="nil"/>
              <w:left w:val="nil"/>
              <w:bottom w:val="nil"/>
              <w:right w:val="nil"/>
            </w:tcBorders>
            <w:shd w:val="clear" w:color="FFFFFF" w:fill="FFFFFF"/>
            <w:noWrap/>
            <w:vAlign w:val="bottom"/>
            <w:hideMark/>
          </w:tcPr>
          <w:p w14:paraId="3158801B" w14:textId="77777777" w:rsidR="00C32CBD" w:rsidRDefault="00C32CBD" w:rsidP="00320D09">
            <w:pPr>
              <w:jc w:val="center"/>
              <w:rPr>
                <w:rFonts w:cs="Arial"/>
                <w:sz w:val="18"/>
                <w:szCs w:val="18"/>
              </w:rPr>
            </w:pPr>
            <w:r>
              <w:rPr>
                <w:rFonts w:cs="Arial"/>
                <w:sz w:val="18"/>
                <w:szCs w:val="18"/>
              </w:rPr>
              <w:t> </w:t>
            </w:r>
          </w:p>
        </w:tc>
        <w:tc>
          <w:tcPr>
            <w:tcW w:w="1057" w:type="dxa"/>
            <w:tcBorders>
              <w:top w:val="nil"/>
              <w:left w:val="nil"/>
              <w:bottom w:val="nil"/>
              <w:right w:val="nil"/>
            </w:tcBorders>
            <w:shd w:val="clear" w:color="FFFFFF" w:fill="FFFFFF"/>
            <w:noWrap/>
            <w:vAlign w:val="bottom"/>
            <w:hideMark/>
          </w:tcPr>
          <w:p w14:paraId="2B374B46" w14:textId="77777777" w:rsidR="00C32CBD" w:rsidRDefault="00C32CBD" w:rsidP="00320D09">
            <w:pPr>
              <w:jc w:val="right"/>
              <w:rPr>
                <w:rFonts w:cs="Arial"/>
                <w:b/>
                <w:bCs/>
                <w:sz w:val="18"/>
                <w:szCs w:val="18"/>
              </w:rPr>
            </w:pPr>
            <w:r>
              <w:rPr>
                <w:rFonts w:cs="Arial"/>
                <w:b/>
                <w:bCs/>
                <w:sz w:val="18"/>
                <w:szCs w:val="18"/>
              </w:rPr>
              <w:t>134,697</w:t>
            </w:r>
          </w:p>
        </w:tc>
        <w:tc>
          <w:tcPr>
            <w:tcW w:w="236" w:type="dxa"/>
            <w:tcBorders>
              <w:top w:val="nil"/>
              <w:left w:val="nil"/>
              <w:bottom w:val="nil"/>
              <w:right w:val="nil"/>
            </w:tcBorders>
            <w:shd w:val="clear" w:color="FFFFFF" w:fill="FFFFFF"/>
            <w:noWrap/>
            <w:vAlign w:val="bottom"/>
            <w:hideMark/>
          </w:tcPr>
          <w:p w14:paraId="034F9081" w14:textId="77777777" w:rsidR="00C32CBD" w:rsidRDefault="00C32CBD" w:rsidP="00320D09">
            <w:pPr>
              <w:rPr>
                <w:rFonts w:cs="Arial"/>
                <w:sz w:val="18"/>
                <w:szCs w:val="18"/>
              </w:rPr>
            </w:pPr>
            <w:r>
              <w:rPr>
                <w:rFonts w:cs="Arial"/>
                <w:sz w:val="18"/>
                <w:szCs w:val="18"/>
              </w:rPr>
              <w:t> </w:t>
            </w:r>
          </w:p>
        </w:tc>
        <w:tc>
          <w:tcPr>
            <w:tcW w:w="1030" w:type="dxa"/>
            <w:tcBorders>
              <w:top w:val="nil"/>
              <w:left w:val="nil"/>
              <w:bottom w:val="nil"/>
              <w:right w:val="nil"/>
            </w:tcBorders>
            <w:shd w:val="clear" w:color="FFFFFF" w:fill="FFFFFF"/>
            <w:noWrap/>
            <w:vAlign w:val="bottom"/>
            <w:hideMark/>
          </w:tcPr>
          <w:p w14:paraId="1E6750B3" w14:textId="77777777" w:rsidR="00C32CBD" w:rsidRDefault="00C32CBD" w:rsidP="00320D09">
            <w:pPr>
              <w:jc w:val="right"/>
              <w:rPr>
                <w:rFonts w:cs="Arial"/>
                <w:sz w:val="18"/>
                <w:szCs w:val="18"/>
              </w:rPr>
            </w:pPr>
            <w:r>
              <w:rPr>
                <w:rFonts w:cs="Arial"/>
                <w:sz w:val="18"/>
                <w:szCs w:val="18"/>
              </w:rPr>
              <w:t>23,774</w:t>
            </w:r>
          </w:p>
        </w:tc>
        <w:tc>
          <w:tcPr>
            <w:tcW w:w="236" w:type="dxa"/>
            <w:tcBorders>
              <w:top w:val="nil"/>
              <w:left w:val="nil"/>
              <w:bottom w:val="nil"/>
              <w:right w:val="nil"/>
            </w:tcBorders>
            <w:shd w:val="clear" w:color="FFFFFF" w:fill="FFFFFF"/>
            <w:noWrap/>
            <w:vAlign w:val="bottom"/>
            <w:hideMark/>
          </w:tcPr>
          <w:p w14:paraId="7C8FA078" w14:textId="77777777" w:rsidR="00C32CBD" w:rsidRDefault="00C32CBD" w:rsidP="00320D09">
            <w:pPr>
              <w:rPr>
                <w:rFonts w:cs="Arial"/>
                <w:sz w:val="18"/>
                <w:szCs w:val="18"/>
              </w:rPr>
            </w:pPr>
            <w:r>
              <w:rPr>
                <w:rFonts w:cs="Arial"/>
                <w:sz w:val="18"/>
                <w:szCs w:val="18"/>
              </w:rPr>
              <w:t> </w:t>
            </w:r>
          </w:p>
        </w:tc>
        <w:tc>
          <w:tcPr>
            <w:tcW w:w="1030" w:type="dxa"/>
            <w:tcBorders>
              <w:top w:val="nil"/>
              <w:left w:val="nil"/>
              <w:bottom w:val="nil"/>
              <w:right w:val="nil"/>
            </w:tcBorders>
            <w:shd w:val="clear" w:color="FFFFFF" w:fill="FFFFFF"/>
            <w:noWrap/>
            <w:vAlign w:val="bottom"/>
            <w:hideMark/>
          </w:tcPr>
          <w:p w14:paraId="2D0C0A57" w14:textId="77777777" w:rsidR="00C32CBD" w:rsidRDefault="00C32CBD" w:rsidP="00320D09">
            <w:pPr>
              <w:jc w:val="right"/>
              <w:rPr>
                <w:rFonts w:cs="Arial"/>
                <w:sz w:val="18"/>
                <w:szCs w:val="18"/>
              </w:rPr>
            </w:pPr>
            <w:r>
              <w:rPr>
                <w:rFonts w:cs="Arial"/>
                <w:sz w:val="18"/>
                <w:szCs w:val="18"/>
              </w:rPr>
              <w:t xml:space="preserve"> -</w:t>
            </w:r>
          </w:p>
        </w:tc>
      </w:tr>
      <w:tr w:rsidR="00C32CBD" w14:paraId="1EE42945" w14:textId="77777777" w:rsidTr="00320D09">
        <w:trPr>
          <w:trHeight w:val="255"/>
        </w:trPr>
        <w:tc>
          <w:tcPr>
            <w:tcW w:w="4472" w:type="dxa"/>
            <w:tcBorders>
              <w:top w:val="nil"/>
              <w:left w:val="nil"/>
              <w:bottom w:val="nil"/>
              <w:right w:val="nil"/>
            </w:tcBorders>
            <w:shd w:val="clear" w:color="FFFFFF" w:fill="FFFFFF"/>
            <w:vAlign w:val="bottom"/>
            <w:hideMark/>
          </w:tcPr>
          <w:p w14:paraId="7FFF5B42" w14:textId="77777777" w:rsidR="00C32CBD" w:rsidRDefault="00C32CBD" w:rsidP="00320D09">
            <w:pPr>
              <w:ind w:firstLineChars="100" w:firstLine="180"/>
              <w:rPr>
                <w:rFonts w:cs="Arial"/>
                <w:sz w:val="18"/>
                <w:szCs w:val="18"/>
              </w:rPr>
            </w:pPr>
            <w:r>
              <w:rPr>
                <w:rFonts w:cs="Arial"/>
                <w:sz w:val="18"/>
                <w:szCs w:val="18"/>
              </w:rPr>
              <w:t>Participant plan expenses</w:t>
            </w:r>
          </w:p>
        </w:tc>
        <w:tc>
          <w:tcPr>
            <w:tcW w:w="1026" w:type="dxa"/>
            <w:tcBorders>
              <w:top w:val="nil"/>
              <w:left w:val="nil"/>
              <w:bottom w:val="nil"/>
              <w:right w:val="nil"/>
            </w:tcBorders>
            <w:shd w:val="clear" w:color="FFFFFF" w:fill="FFFFFF"/>
            <w:noWrap/>
            <w:vAlign w:val="bottom"/>
            <w:hideMark/>
          </w:tcPr>
          <w:p w14:paraId="025CFB20" w14:textId="77777777" w:rsidR="00C32CBD" w:rsidRDefault="00C32CBD" w:rsidP="00320D09">
            <w:pPr>
              <w:jc w:val="center"/>
              <w:rPr>
                <w:rFonts w:cs="Arial"/>
                <w:sz w:val="18"/>
                <w:szCs w:val="18"/>
              </w:rPr>
            </w:pPr>
            <w:r>
              <w:rPr>
                <w:rFonts w:cs="Arial"/>
                <w:sz w:val="18"/>
                <w:szCs w:val="18"/>
              </w:rPr>
              <w:t> </w:t>
            </w:r>
          </w:p>
        </w:tc>
        <w:tc>
          <w:tcPr>
            <w:tcW w:w="1057" w:type="dxa"/>
            <w:tcBorders>
              <w:top w:val="nil"/>
              <w:left w:val="nil"/>
              <w:bottom w:val="nil"/>
              <w:right w:val="nil"/>
            </w:tcBorders>
            <w:shd w:val="clear" w:color="FFFFFF" w:fill="FFFFFF"/>
            <w:noWrap/>
            <w:vAlign w:val="bottom"/>
            <w:hideMark/>
          </w:tcPr>
          <w:p w14:paraId="441AAFC0" w14:textId="77777777" w:rsidR="00C32CBD" w:rsidRDefault="00C32CBD" w:rsidP="00320D09">
            <w:pPr>
              <w:jc w:val="right"/>
              <w:rPr>
                <w:rFonts w:cs="Arial"/>
                <w:b/>
                <w:bCs/>
                <w:sz w:val="18"/>
                <w:szCs w:val="18"/>
              </w:rPr>
            </w:pPr>
            <w:r>
              <w:rPr>
                <w:rFonts w:cs="Arial"/>
                <w:b/>
                <w:bCs/>
                <w:sz w:val="18"/>
                <w:szCs w:val="18"/>
              </w:rPr>
              <w:t>1,457,486</w:t>
            </w:r>
          </w:p>
        </w:tc>
        <w:tc>
          <w:tcPr>
            <w:tcW w:w="236" w:type="dxa"/>
            <w:tcBorders>
              <w:top w:val="nil"/>
              <w:left w:val="nil"/>
              <w:bottom w:val="nil"/>
              <w:right w:val="nil"/>
            </w:tcBorders>
            <w:shd w:val="clear" w:color="FFFFFF" w:fill="FFFFFF"/>
            <w:noWrap/>
            <w:vAlign w:val="bottom"/>
            <w:hideMark/>
          </w:tcPr>
          <w:p w14:paraId="4ED52A46" w14:textId="77777777" w:rsidR="00C32CBD" w:rsidRDefault="00C32CBD" w:rsidP="00320D09">
            <w:pPr>
              <w:rPr>
                <w:rFonts w:cs="Arial"/>
                <w:sz w:val="18"/>
                <w:szCs w:val="18"/>
              </w:rPr>
            </w:pPr>
            <w:r>
              <w:rPr>
                <w:rFonts w:cs="Arial"/>
                <w:sz w:val="18"/>
                <w:szCs w:val="18"/>
              </w:rPr>
              <w:t> </w:t>
            </w:r>
          </w:p>
        </w:tc>
        <w:tc>
          <w:tcPr>
            <w:tcW w:w="1030" w:type="dxa"/>
            <w:tcBorders>
              <w:top w:val="nil"/>
              <w:left w:val="nil"/>
              <w:bottom w:val="nil"/>
              <w:right w:val="nil"/>
            </w:tcBorders>
            <w:shd w:val="clear" w:color="FFFFFF" w:fill="FFFFFF"/>
            <w:noWrap/>
            <w:vAlign w:val="bottom"/>
            <w:hideMark/>
          </w:tcPr>
          <w:p w14:paraId="62C3A1E2" w14:textId="77777777" w:rsidR="00C32CBD" w:rsidRDefault="00C32CBD" w:rsidP="00320D09">
            <w:pPr>
              <w:jc w:val="right"/>
              <w:rPr>
                <w:rFonts w:cs="Arial"/>
                <w:sz w:val="18"/>
                <w:szCs w:val="18"/>
              </w:rPr>
            </w:pPr>
            <w:r>
              <w:rPr>
                <w:rFonts w:cs="Arial"/>
                <w:sz w:val="18"/>
                <w:szCs w:val="18"/>
              </w:rPr>
              <w:t>479,680</w:t>
            </w:r>
          </w:p>
        </w:tc>
        <w:tc>
          <w:tcPr>
            <w:tcW w:w="236" w:type="dxa"/>
            <w:tcBorders>
              <w:top w:val="nil"/>
              <w:left w:val="nil"/>
              <w:bottom w:val="nil"/>
              <w:right w:val="nil"/>
            </w:tcBorders>
            <w:shd w:val="clear" w:color="FFFFFF" w:fill="FFFFFF"/>
            <w:noWrap/>
            <w:vAlign w:val="bottom"/>
            <w:hideMark/>
          </w:tcPr>
          <w:p w14:paraId="06264EDF" w14:textId="77777777" w:rsidR="00C32CBD" w:rsidRDefault="00C32CBD" w:rsidP="00320D09">
            <w:pPr>
              <w:rPr>
                <w:rFonts w:cs="Arial"/>
                <w:sz w:val="18"/>
                <w:szCs w:val="18"/>
              </w:rPr>
            </w:pPr>
            <w:r>
              <w:rPr>
                <w:rFonts w:cs="Arial"/>
                <w:sz w:val="18"/>
                <w:szCs w:val="18"/>
              </w:rPr>
              <w:t> </w:t>
            </w:r>
          </w:p>
        </w:tc>
        <w:tc>
          <w:tcPr>
            <w:tcW w:w="1030" w:type="dxa"/>
            <w:tcBorders>
              <w:top w:val="nil"/>
              <w:left w:val="nil"/>
              <w:bottom w:val="nil"/>
              <w:right w:val="nil"/>
            </w:tcBorders>
            <w:shd w:val="clear" w:color="FFFFFF" w:fill="FFFFFF"/>
            <w:noWrap/>
            <w:vAlign w:val="bottom"/>
            <w:hideMark/>
          </w:tcPr>
          <w:p w14:paraId="06AC667B" w14:textId="77777777" w:rsidR="00C32CBD" w:rsidRDefault="00C32CBD" w:rsidP="00320D09">
            <w:pPr>
              <w:jc w:val="right"/>
              <w:rPr>
                <w:rFonts w:cs="Arial"/>
                <w:sz w:val="18"/>
                <w:szCs w:val="18"/>
              </w:rPr>
            </w:pPr>
            <w:r>
              <w:rPr>
                <w:rFonts w:cs="Arial"/>
                <w:sz w:val="18"/>
                <w:szCs w:val="18"/>
              </w:rPr>
              <w:t>2,657,043</w:t>
            </w:r>
          </w:p>
        </w:tc>
      </w:tr>
      <w:tr w:rsidR="00C32CBD" w14:paraId="580E10CF" w14:textId="77777777" w:rsidTr="00320D09">
        <w:trPr>
          <w:trHeight w:val="255"/>
        </w:trPr>
        <w:tc>
          <w:tcPr>
            <w:tcW w:w="4472" w:type="dxa"/>
            <w:tcBorders>
              <w:top w:val="nil"/>
              <w:left w:val="nil"/>
              <w:bottom w:val="nil"/>
              <w:right w:val="nil"/>
            </w:tcBorders>
            <w:shd w:val="clear" w:color="FFFFFF" w:fill="FFFFFF"/>
            <w:vAlign w:val="bottom"/>
            <w:hideMark/>
          </w:tcPr>
          <w:p w14:paraId="320FF277" w14:textId="77777777" w:rsidR="00C32CBD" w:rsidRDefault="00C32CBD" w:rsidP="00320D09">
            <w:pPr>
              <w:ind w:firstLineChars="100" w:firstLine="180"/>
              <w:rPr>
                <w:rFonts w:cs="Arial"/>
                <w:sz w:val="18"/>
                <w:szCs w:val="18"/>
              </w:rPr>
            </w:pPr>
            <w:r>
              <w:rPr>
                <w:rFonts w:cs="Arial"/>
                <w:sz w:val="18"/>
                <w:szCs w:val="18"/>
              </w:rPr>
              <w:t>Grant payments</w:t>
            </w:r>
          </w:p>
        </w:tc>
        <w:tc>
          <w:tcPr>
            <w:tcW w:w="1026" w:type="dxa"/>
            <w:tcBorders>
              <w:top w:val="nil"/>
              <w:left w:val="nil"/>
              <w:bottom w:val="nil"/>
              <w:right w:val="nil"/>
            </w:tcBorders>
            <w:shd w:val="clear" w:color="FFFFFF" w:fill="FFFFFF"/>
            <w:noWrap/>
            <w:vAlign w:val="bottom"/>
            <w:hideMark/>
          </w:tcPr>
          <w:p w14:paraId="28D59420" w14:textId="77777777" w:rsidR="00C32CBD" w:rsidRDefault="00C32CBD" w:rsidP="00320D09">
            <w:pPr>
              <w:jc w:val="center"/>
              <w:rPr>
                <w:rFonts w:cs="Arial"/>
                <w:sz w:val="18"/>
                <w:szCs w:val="18"/>
              </w:rPr>
            </w:pPr>
            <w:r>
              <w:rPr>
                <w:rFonts w:cs="Arial"/>
                <w:sz w:val="18"/>
                <w:szCs w:val="18"/>
              </w:rPr>
              <w:t> </w:t>
            </w:r>
          </w:p>
        </w:tc>
        <w:tc>
          <w:tcPr>
            <w:tcW w:w="1057" w:type="dxa"/>
            <w:tcBorders>
              <w:top w:val="nil"/>
              <w:left w:val="nil"/>
              <w:bottom w:val="nil"/>
              <w:right w:val="nil"/>
            </w:tcBorders>
            <w:shd w:val="clear" w:color="FFFFFF" w:fill="FFFFFF"/>
            <w:noWrap/>
            <w:vAlign w:val="bottom"/>
            <w:hideMark/>
          </w:tcPr>
          <w:p w14:paraId="24A061C0" w14:textId="77777777" w:rsidR="00C32CBD" w:rsidRDefault="00C32CBD" w:rsidP="00320D09">
            <w:pPr>
              <w:jc w:val="right"/>
              <w:rPr>
                <w:rFonts w:cs="Arial"/>
                <w:b/>
                <w:bCs/>
                <w:sz w:val="18"/>
                <w:szCs w:val="18"/>
              </w:rPr>
            </w:pPr>
            <w:r>
              <w:rPr>
                <w:rFonts w:cs="Arial"/>
                <w:b/>
                <w:bCs/>
                <w:sz w:val="18"/>
                <w:szCs w:val="18"/>
              </w:rPr>
              <w:t>42,206</w:t>
            </w:r>
          </w:p>
        </w:tc>
        <w:tc>
          <w:tcPr>
            <w:tcW w:w="236" w:type="dxa"/>
            <w:tcBorders>
              <w:top w:val="nil"/>
              <w:left w:val="nil"/>
              <w:bottom w:val="nil"/>
              <w:right w:val="nil"/>
            </w:tcBorders>
            <w:shd w:val="clear" w:color="FFFFFF" w:fill="FFFFFF"/>
            <w:noWrap/>
            <w:vAlign w:val="bottom"/>
            <w:hideMark/>
          </w:tcPr>
          <w:p w14:paraId="37D2B939" w14:textId="77777777" w:rsidR="00C32CBD" w:rsidRDefault="00C32CBD" w:rsidP="00320D09">
            <w:pPr>
              <w:rPr>
                <w:rFonts w:cs="Arial"/>
                <w:sz w:val="18"/>
                <w:szCs w:val="18"/>
              </w:rPr>
            </w:pPr>
            <w:r>
              <w:rPr>
                <w:rFonts w:cs="Arial"/>
                <w:sz w:val="18"/>
                <w:szCs w:val="18"/>
              </w:rPr>
              <w:t> </w:t>
            </w:r>
          </w:p>
        </w:tc>
        <w:tc>
          <w:tcPr>
            <w:tcW w:w="1030" w:type="dxa"/>
            <w:tcBorders>
              <w:top w:val="nil"/>
              <w:left w:val="nil"/>
              <w:bottom w:val="nil"/>
              <w:right w:val="nil"/>
            </w:tcBorders>
            <w:shd w:val="clear" w:color="FFFFFF" w:fill="FFFFFF"/>
            <w:noWrap/>
            <w:vAlign w:val="bottom"/>
            <w:hideMark/>
          </w:tcPr>
          <w:p w14:paraId="2A189B92" w14:textId="77777777" w:rsidR="00C32CBD" w:rsidRDefault="00C32CBD" w:rsidP="00320D09">
            <w:pPr>
              <w:jc w:val="right"/>
              <w:rPr>
                <w:rFonts w:cs="Arial"/>
                <w:sz w:val="18"/>
                <w:szCs w:val="18"/>
              </w:rPr>
            </w:pPr>
            <w:r>
              <w:rPr>
                <w:rFonts w:cs="Arial"/>
                <w:sz w:val="18"/>
                <w:szCs w:val="18"/>
              </w:rPr>
              <w:t>10,441</w:t>
            </w:r>
          </w:p>
        </w:tc>
        <w:tc>
          <w:tcPr>
            <w:tcW w:w="236" w:type="dxa"/>
            <w:tcBorders>
              <w:top w:val="nil"/>
              <w:left w:val="nil"/>
              <w:bottom w:val="nil"/>
              <w:right w:val="nil"/>
            </w:tcBorders>
            <w:shd w:val="clear" w:color="FFFFFF" w:fill="FFFFFF"/>
            <w:noWrap/>
            <w:vAlign w:val="bottom"/>
            <w:hideMark/>
          </w:tcPr>
          <w:p w14:paraId="0D14FE0B" w14:textId="77777777" w:rsidR="00C32CBD" w:rsidRDefault="00C32CBD" w:rsidP="00320D09">
            <w:pPr>
              <w:rPr>
                <w:rFonts w:cs="Arial"/>
                <w:sz w:val="18"/>
                <w:szCs w:val="18"/>
              </w:rPr>
            </w:pPr>
            <w:r>
              <w:rPr>
                <w:rFonts w:cs="Arial"/>
                <w:sz w:val="18"/>
                <w:szCs w:val="18"/>
              </w:rPr>
              <w:t> </w:t>
            </w:r>
          </w:p>
        </w:tc>
        <w:tc>
          <w:tcPr>
            <w:tcW w:w="1030" w:type="dxa"/>
            <w:tcBorders>
              <w:top w:val="nil"/>
              <w:left w:val="nil"/>
              <w:bottom w:val="nil"/>
              <w:right w:val="nil"/>
            </w:tcBorders>
            <w:shd w:val="clear" w:color="FFFFFF" w:fill="FFFFFF"/>
            <w:noWrap/>
            <w:vAlign w:val="bottom"/>
            <w:hideMark/>
          </w:tcPr>
          <w:p w14:paraId="7962A2D7" w14:textId="77777777" w:rsidR="00C32CBD" w:rsidRDefault="00C32CBD" w:rsidP="00320D09">
            <w:pPr>
              <w:jc w:val="right"/>
              <w:rPr>
                <w:rFonts w:cs="Arial"/>
                <w:sz w:val="18"/>
                <w:szCs w:val="18"/>
              </w:rPr>
            </w:pPr>
            <w:r>
              <w:rPr>
                <w:rFonts w:cs="Arial"/>
                <w:sz w:val="18"/>
                <w:szCs w:val="18"/>
              </w:rPr>
              <w:t>33,284</w:t>
            </w:r>
          </w:p>
        </w:tc>
      </w:tr>
      <w:tr w:rsidR="00C32CBD" w14:paraId="073C8072" w14:textId="77777777" w:rsidTr="00320D09">
        <w:trPr>
          <w:trHeight w:val="255"/>
        </w:trPr>
        <w:tc>
          <w:tcPr>
            <w:tcW w:w="4472" w:type="dxa"/>
            <w:tcBorders>
              <w:top w:val="nil"/>
              <w:left w:val="nil"/>
              <w:bottom w:val="nil"/>
              <w:right w:val="nil"/>
            </w:tcBorders>
            <w:shd w:val="clear" w:color="FFFFFF" w:fill="FFFFFF"/>
            <w:vAlign w:val="bottom"/>
            <w:hideMark/>
          </w:tcPr>
          <w:p w14:paraId="2EA7B509" w14:textId="77777777" w:rsidR="00C32CBD" w:rsidRDefault="00C32CBD" w:rsidP="00320D09">
            <w:pPr>
              <w:rPr>
                <w:rFonts w:cs="Arial"/>
                <w:b/>
                <w:bCs/>
                <w:sz w:val="18"/>
                <w:szCs w:val="18"/>
              </w:rPr>
            </w:pPr>
            <w:r>
              <w:rPr>
                <w:rFonts w:cs="Arial"/>
                <w:b/>
                <w:bCs/>
                <w:sz w:val="18"/>
                <w:szCs w:val="18"/>
              </w:rPr>
              <w:t>Total cash used</w:t>
            </w:r>
          </w:p>
        </w:tc>
        <w:tc>
          <w:tcPr>
            <w:tcW w:w="1026" w:type="dxa"/>
            <w:tcBorders>
              <w:top w:val="nil"/>
              <w:left w:val="nil"/>
              <w:bottom w:val="nil"/>
              <w:right w:val="nil"/>
            </w:tcBorders>
            <w:shd w:val="clear" w:color="FFFFFF" w:fill="FFFFFF"/>
            <w:noWrap/>
            <w:vAlign w:val="bottom"/>
            <w:hideMark/>
          </w:tcPr>
          <w:p w14:paraId="72D8D9F5" w14:textId="77777777" w:rsidR="00C32CBD" w:rsidRDefault="00C32CBD" w:rsidP="00320D09">
            <w:pPr>
              <w:jc w:val="center"/>
              <w:rPr>
                <w:rFonts w:cs="Arial"/>
                <w:sz w:val="18"/>
                <w:szCs w:val="18"/>
              </w:rPr>
            </w:pPr>
            <w:r>
              <w:rPr>
                <w:rFonts w:cs="Arial"/>
                <w:sz w:val="18"/>
                <w:szCs w:val="18"/>
              </w:rPr>
              <w:t> </w:t>
            </w:r>
          </w:p>
        </w:tc>
        <w:tc>
          <w:tcPr>
            <w:tcW w:w="1057" w:type="dxa"/>
            <w:tcBorders>
              <w:top w:val="single" w:sz="4" w:space="0" w:color="auto"/>
              <w:left w:val="nil"/>
              <w:bottom w:val="single" w:sz="4" w:space="0" w:color="auto"/>
              <w:right w:val="nil"/>
            </w:tcBorders>
            <w:shd w:val="clear" w:color="FFFFFF" w:fill="FFFFFF"/>
            <w:noWrap/>
            <w:vAlign w:val="bottom"/>
            <w:hideMark/>
          </w:tcPr>
          <w:p w14:paraId="042E74FC" w14:textId="77777777" w:rsidR="00C32CBD" w:rsidRDefault="00C32CBD" w:rsidP="00320D09">
            <w:pPr>
              <w:jc w:val="right"/>
              <w:rPr>
                <w:rFonts w:cs="Arial"/>
                <w:b/>
                <w:bCs/>
                <w:sz w:val="18"/>
                <w:szCs w:val="18"/>
              </w:rPr>
            </w:pPr>
            <w:r>
              <w:rPr>
                <w:rFonts w:cs="Arial"/>
                <w:b/>
                <w:bCs/>
                <w:sz w:val="18"/>
                <w:szCs w:val="18"/>
              </w:rPr>
              <w:t>2,008,882</w:t>
            </w:r>
          </w:p>
        </w:tc>
        <w:tc>
          <w:tcPr>
            <w:tcW w:w="236" w:type="dxa"/>
            <w:tcBorders>
              <w:top w:val="nil"/>
              <w:left w:val="nil"/>
              <w:bottom w:val="nil"/>
              <w:right w:val="nil"/>
            </w:tcBorders>
            <w:shd w:val="clear" w:color="FFFFFF" w:fill="FFFFFF"/>
            <w:noWrap/>
            <w:vAlign w:val="bottom"/>
            <w:hideMark/>
          </w:tcPr>
          <w:p w14:paraId="054A8718" w14:textId="77777777" w:rsidR="00C32CBD" w:rsidRDefault="00C32CBD" w:rsidP="00320D09">
            <w:pPr>
              <w:rPr>
                <w:rFonts w:cs="Arial"/>
                <w:sz w:val="18"/>
                <w:szCs w:val="18"/>
              </w:rPr>
            </w:pPr>
            <w:r>
              <w:rPr>
                <w:rFonts w:cs="Arial"/>
                <w:sz w:val="18"/>
                <w:szCs w:val="18"/>
              </w:rPr>
              <w:t> </w:t>
            </w:r>
          </w:p>
        </w:tc>
        <w:tc>
          <w:tcPr>
            <w:tcW w:w="1030" w:type="dxa"/>
            <w:tcBorders>
              <w:top w:val="single" w:sz="4" w:space="0" w:color="auto"/>
              <w:left w:val="nil"/>
              <w:bottom w:val="single" w:sz="4" w:space="0" w:color="auto"/>
              <w:right w:val="nil"/>
            </w:tcBorders>
            <w:shd w:val="clear" w:color="FFFFFF" w:fill="FFFFFF"/>
            <w:noWrap/>
            <w:vAlign w:val="bottom"/>
            <w:hideMark/>
          </w:tcPr>
          <w:p w14:paraId="172D6941" w14:textId="77777777" w:rsidR="00C32CBD" w:rsidRDefault="00C32CBD" w:rsidP="00320D09">
            <w:pPr>
              <w:jc w:val="right"/>
              <w:rPr>
                <w:rFonts w:cs="Arial"/>
                <w:sz w:val="18"/>
                <w:szCs w:val="18"/>
              </w:rPr>
            </w:pPr>
            <w:r>
              <w:rPr>
                <w:rFonts w:cs="Arial"/>
                <w:sz w:val="18"/>
                <w:szCs w:val="18"/>
              </w:rPr>
              <w:t>736,079</w:t>
            </w:r>
          </w:p>
        </w:tc>
        <w:tc>
          <w:tcPr>
            <w:tcW w:w="236" w:type="dxa"/>
            <w:tcBorders>
              <w:top w:val="nil"/>
              <w:left w:val="nil"/>
              <w:bottom w:val="nil"/>
              <w:right w:val="nil"/>
            </w:tcBorders>
            <w:shd w:val="clear" w:color="FFFFFF" w:fill="FFFFFF"/>
            <w:noWrap/>
            <w:vAlign w:val="bottom"/>
            <w:hideMark/>
          </w:tcPr>
          <w:p w14:paraId="442BABAB" w14:textId="77777777" w:rsidR="00C32CBD" w:rsidRDefault="00C32CBD" w:rsidP="00320D09">
            <w:pPr>
              <w:rPr>
                <w:rFonts w:cs="Arial"/>
                <w:sz w:val="18"/>
                <w:szCs w:val="18"/>
              </w:rPr>
            </w:pPr>
            <w:r>
              <w:rPr>
                <w:rFonts w:cs="Arial"/>
                <w:sz w:val="18"/>
                <w:szCs w:val="18"/>
              </w:rPr>
              <w:t> </w:t>
            </w:r>
          </w:p>
        </w:tc>
        <w:tc>
          <w:tcPr>
            <w:tcW w:w="1030" w:type="dxa"/>
            <w:tcBorders>
              <w:top w:val="single" w:sz="4" w:space="0" w:color="auto"/>
              <w:left w:val="nil"/>
              <w:bottom w:val="single" w:sz="4" w:space="0" w:color="auto"/>
              <w:right w:val="nil"/>
            </w:tcBorders>
            <w:shd w:val="clear" w:color="FFFFFF" w:fill="FFFFFF"/>
            <w:noWrap/>
            <w:vAlign w:val="bottom"/>
            <w:hideMark/>
          </w:tcPr>
          <w:p w14:paraId="5A659CC8" w14:textId="77777777" w:rsidR="00C32CBD" w:rsidRDefault="00C32CBD" w:rsidP="00320D09">
            <w:pPr>
              <w:jc w:val="right"/>
              <w:rPr>
                <w:rFonts w:cs="Arial"/>
                <w:sz w:val="18"/>
                <w:szCs w:val="18"/>
              </w:rPr>
            </w:pPr>
            <w:r>
              <w:rPr>
                <w:rFonts w:cs="Arial"/>
                <w:sz w:val="18"/>
                <w:szCs w:val="18"/>
              </w:rPr>
              <w:t>3,354,329</w:t>
            </w:r>
          </w:p>
        </w:tc>
      </w:tr>
      <w:tr w:rsidR="00C32CBD" w14:paraId="5DDA4969" w14:textId="77777777" w:rsidTr="00320D09">
        <w:trPr>
          <w:trHeight w:val="255"/>
        </w:trPr>
        <w:tc>
          <w:tcPr>
            <w:tcW w:w="4472" w:type="dxa"/>
            <w:tcBorders>
              <w:top w:val="nil"/>
              <w:left w:val="nil"/>
              <w:bottom w:val="nil"/>
              <w:right w:val="nil"/>
            </w:tcBorders>
            <w:shd w:val="clear" w:color="FFFFFF" w:fill="FFFFFF"/>
            <w:vAlign w:val="bottom"/>
            <w:hideMark/>
          </w:tcPr>
          <w:p w14:paraId="37185C72" w14:textId="77777777" w:rsidR="00C32CBD" w:rsidRDefault="00C32CBD" w:rsidP="00320D09">
            <w:pPr>
              <w:rPr>
                <w:rFonts w:cs="Arial"/>
                <w:b/>
                <w:bCs/>
                <w:sz w:val="18"/>
                <w:szCs w:val="18"/>
              </w:rPr>
            </w:pPr>
            <w:r>
              <w:rPr>
                <w:rFonts w:cs="Arial"/>
                <w:b/>
                <w:bCs/>
                <w:sz w:val="18"/>
                <w:szCs w:val="18"/>
              </w:rPr>
              <w:t>Net cash from operating activities</w:t>
            </w:r>
          </w:p>
        </w:tc>
        <w:tc>
          <w:tcPr>
            <w:tcW w:w="1026" w:type="dxa"/>
            <w:tcBorders>
              <w:top w:val="nil"/>
              <w:left w:val="nil"/>
              <w:bottom w:val="nil"/>
              <w:right w:val="nil"/>
            </w:tcBorders>
            <w:shd w:val="clear" w:color="FFFFFF" w:fill="FFFFFF"/>
            <w:noWrap/>
            <w:vAlign w:val="bottom"/>
            <w:hideMark/>
          </w:tcPr>
          <w:p w14:paraId="3C9F62BF" w14:textId="77777777" w:rsidR="00C32CBD" w:rsidRDefault="00C32CBD" w:rsidP="00320D09">
            <w:pPr>
              <w:jc w:val="center"/>
              <w:rPr>
                <w:rFonts w:cs="Arial"/>
                <w:sz w:val="18"/>
                <w:szCs w:val="18"/>
              </w:rPr>
            </w:pPr>
            <w:r>
              <w:rPr>
                <w:rFonts w:cs="Arial"/>
                <w:sz w:val="18"/>
                <w:szCs w:val="18"/>
              </w:rPr>
              <w:t>3.1</w:t>
            </w:r>
          </w:p>
        </w:tc>
        <w:tc>
          <w:tcPr>
            <w:tcW w:w="1057" w:type="dxa"/>
            <w:tcBorders>
              <w:top w:val="nil"/>
              <w:left w:val="nil"/>
              <w:bottom w:val="single" w:sz="4" w:space="0" w:color="auto"/>
              <w:right w:val="nil"/>
            </w:tcBorders>
            <w:shd w:val="clear" w:color="FFFFFF" w:fill="FFFFFF"/>
            <w:noWrap/>
            <w:vAlign w:val="bottom"/>
            <w:hideMark/>
          </w:tcPr>
          <w:p w14:paraId="499C115A" w14:textId="77777777" w:rsidR="00C32CBD" w:rsidRDefault="00C32CBD" w:rsidP="00320D09">
            <w:pPr>
              <w:jc w:val="right"/>
              <w:rPr>
                <w:rFonts w:cs="Arial"/>
                <w:b/>
                <w:bCs/>
                <w:sz w:val="18"/>
                <w:szCs w:val="18"/>
              </w:rPr>
            </w:pPr>
            <w:r>
              <w:rPr>
                <w:rFonts w:cs="Arial"/>
                <w:b/>
                <w:bCs/>
                <w:sz w:val="18"/>
                <w:szCs w:val="18"/>
              </w:rPr>
              <w:t>888,622</w:t>
            </w:r>
          </w:p>
        </w:tc>
        <w:tc>
          <w:tcPr>
            <w:tcW w:w="236" w:type="dxa"/>
            <w:tcBorders>
              <w:top w:val="nil"/>
              <w:left w:val="nil"/>
              <w:bottom w:val="nil"/>
              <w:right w:val="nil"/>
            </w:tcBorders>
            <w:shd w:val="clear" w:color="FFFFFF" w:fill="FFFFFF"/>
            <w:noWrap/>
            <w:vAlign w:val="bottom"/>
            <w:hideMark/>
          </w:tcPr>
          <w:p w14:paraId="03528CFB" w14:textId="77777777" w:rsidR="00C32CBD" w:rsidRDefault="00C32CBD" w:rsidP="00320D09">
            <w:pPr>
              <w:rPr>
                <w:rFonts w:cs="Arial"/>
                <w:sz w:val="18"/>
                <w:szCs w:val="18"/>
              </w:rPr>
            </w:pPr>
            <w:r>
              <w:rPr>
                <w:rFonts w:cs="Arial"/>
                <w:sz w:val="18"/>
                <w:szCs w:val="18"/>
              </w:rPr>
              <w:t> </w:t>
            </w:r>
          </w:p>
        </w:tc>
        <w:tc>
          <w:tcPr>
            <w:tcW w:w="1030" w:type="dxa"/>
            <w:tcBorders>
              <w:top w:val="nil"/>
              <w:left w:val="nil"/>
              <w:bottom w:val="single" w:sz="4" w:space="0" w:color="auto"/>
              <w:right w:val="nil"/>
            </w:tcBorders>
            <w:shd w:val="clear" w:color="FFFFFF" w:fill="FFFFFF"/>
            <w:noWrap/>
            <w:vAlign w:val="bottom"/>
            <w:hideMark/>
          </w:tcPr>
          <w:p w14:paraId="10F72026" w14:textId="77777777" w:rsidR="00C32CBD" w:rsidRDefault="00C32CBD" w:rsidP="00320D09">
            <w:pPr>
              <w:jc w:val="right"/>
              <w:rPr>
                <w:rFonts w:cs="Arial"/>
                <w:sz w:val="18"/>
                <w:szCs w:val="18"/>
              </w:rPr>
            </w:pPr>
            <w:r>
              <w:rPr>
                <w:rFonts w:cs="Arial"/>
                <w:sz w:val="18"/>
                <w:szCs w:val="18"/>
              </w:rPr>
              <w:t>146,347</w:t>
            </w:r>
          </w:p>
        </w:tc>
        <w:tc>
          <w:tcPr>
            <w:tcW w:w="236" w:type="dxa"/>
            <w:tcBorders>
              <w:top w:val="nil"/>
              <w:left w:val="nil"/>
              <w:bottom w:val="nil"/>
              <w:right w:val="nil"/>
            </w:tcBorders>
            <w:shd w:val="clear" w:color="FFFFFF" w:fill="FFFFFF"/>
            <w:noWrap/>
            <w:vAlign w:val="bottom"/>
            <w:hideMark/>
          </w:tcPr>
          <w:p w14:paraId="739916AA" w14:textId="77777777" w:rsidR="00C32CBD" w:rsidRDefault="00C32CBD" w:rsidP="00320D09">
            <w:pPr>
              <w:rPr>
                <w:rFonts w:cs="Arial"/>
                <w:sz w:val="18"/>
                <w:szCs w:val="18"/>
              </w:rPr>
            </w:pPr>
            <w:r>
              <w:rPr>
                <w:rFonts w:cs="Arial"/>
                <w:sz w:val="18"/>
                <w:szCs w:val="18"/>
              </w:rPr>
              <w:t> </w:t>
            </w:r>
          </w:p>
        </w:tc>
        <w:tc>
          <w:tcPr>
            <w:tcW w:w="1030" w:type="dxa"/>
            <w:tcBorders>
              <w:top w:val="nil"/>
              <w:left w:val="nil"/>
              <w:bottom w:val="single" w:sz="4" w:space="0" w:color="auto"/>
              <w:right w:val="nil"/>
            </w:tcBorders>
            <w:shd w:val="clear" w:color="FFFFFF" w:fill="FFFFFF"/>
            <w:noWrap/>
            <w:vAlign w:val="bottom"/>
            <w:hideMark/>
          </w:tcPr>
          <w:p w14:paraId="530765D4" w14:textId="77777777" w:rsidR="00C32CBD" w:rsidRDefault="00C32CBD" w:rsidP="00320D09">
            <w:pPr>
              <w:jc w:val="right"/>
              <w:rPr>
                <w:rFonts w:cs="Arial"/>
                <w:sz w:val="18"/>
                <w:szCs w:val="18"/>
              </w:rPr>
            </w:pPr>
            <w:r>
              <w:rPr>
                <w:rFonts w:cs="Arial"/>
                <w:sz w:val="18"/>
                <w:szCs w:val="18"/>
              </w:rPr>
              <w:t>81,342</w:t>
            </w:r>
          </w:p>
        </w:tc>
      </w:tr>
      <w:tr w:rsidR="00C32CBD" w14:paraId="3529C0CB" w14:textId="77777777" w:rsidTr="00320D09">
        <w:trPr>
          <w:trHeight w:val="120"/>
        </w:trPr>
        <w:tc>
          <w:tcPr>
            <w:tcW w:w="4472" w:type="dxa"/>
            <w:tcBorders>
              <w:top w:val="nil"/>
              <w:left w:val="nil"/>
              <w:bottom w:val="nil"/>
              <w:right w:val="nil"/>
            </w:tcBorders>
            <w:shd w:val="clear" w:color="FFFFFF" w:fill="FFFFFF"/>
            <w:noWrap/>
            <w:vAlign w:val="bottom"/>
            <w:hideMark/>
          </w:tcPr>
          <w:p w14:paraId="1A3F215B" w14:textId="77777777" w:rsidR="00C32CBD" w:rsidRDefault="00C32CBD" w:rsidP="00320D09">
            <w:pPr>
              <w:rPr>
                <w:rFonts w:cs="Arial"/>
                <w:sz w:val="18"/>
                <w:szCs w:val="18"/>
              </w:rPr>
            </w:pPr>
            <w:r>
              <w:rPr>
                <w:rFonts w:cs="Arial"/>
                <w:sz w:val="18"/>
                <w:szCs w:val="18"/>
              </w:rPr>
              <w:t> </w:t>
            </w:r>
          </w:p>
        </w:tc>
        <w:tc>
          <w:tcPr>
            <w:tcW w:w="1026" w:type="dxa"/>
            <w:tcBorders>
              <w:top w:val="nil"/>
              <w:left w:val="nil"/>
              <w:bottom w:val="nil"/>
              <w:right w:val="nil"/>
            </w:tcBorders>
            <w:shd w:val="clear" w:color="FFFFFF" w:fill="FFFFFF"/>
            <w:noWrap/>
            <w:vAlign w:val="bottom"/>
            <w:hideMark/>
          </w:tcPr>
          <w:p w14:paraId="02EF5C3B" w14:textId="77777777" w:rsidR="00C32CBD" w:rsidRDefault="00C32CBD" w:rsidP="00320D09">
            <w:pPr>
              <w:jc w:val="center"/>
              <w:rPr>
                <w:rFonts w:cs="Arial"/>
                <w:sz w:val="18"/>
                <w:szCs w:val="18"/>
              </w:rPr>
            </w:pPr>
            <w:r>
              <w:rPr>
                <w:rFonts w:cs="Arial"/>
                <w:sz w:val="18"/>
                <w:szCs w:val="18"/>
              </w:rPr>
              <w:t> </w:t>
            </w:r>
          </w:p>
        </w:tc>
        <w:tc>
          <w:tcPr>
            <w:tcW w:w="1057" w:type="dxa"/>
            <w:tcBorders>
              <w:top w:val="nil"/>
              <w:left w:val="nil"/>
              <w:bottom w:val="nil"/>
              <w:right w:val="nil"/>
            </w:tcBorders>
            <w:shd w:val="clear" w:color="FFFFFF" w:fill="FFFFFF"/>
            <w:noWrap/>
            <w:vAlign w:val="bottom"/>
            <w:hideMark/>
          </w:tcPr>
          <w:p w14:paraId="33B1F171"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4C8843C2" w14:textId="77777777" w:rsidR="00C32CBD" w:rsidRDefault="00C32CBD" w:rsidP="00320D09">
            <w:pPr>
              <w:rPr>
                <w:rFonts w:cs="Arial"/>
                <w:sz w:val="18"/>
                <w:szCs w:val="18"/>
              </w:rPr>
            </w:pPr>
            <w:r>
              <w:rPr>
                <w:rFonts w:cs="Arial"/>
                <w:sz w:val="18"/>
                <w:szCs w:val="18"/>
              </w:rPr>
              <w:t> </w:t>
            </w:r>
          </w:p>
        </w:tc>
        <w:tc>
          <w:tcPr>
            <w:tcW w:w="1030" w:type="dxa"/>
            <w:tcBorders>
              <w:top w:val="nil"/>
              <w:left w:val="nil"/>
              <w:bottom w:val="nil"/>
              <w:right w:val="nil"/>
            </w:tcBorders>
            <w:shd w:val="clear" w:color="FFFFFF" w:fill="FFFFFF"/>
            <w:noWrap/>
            <w:vAlign w:val="bottom"/>
            <w:hideMark/>
          </w:tcPr>
          <w:p w14:paraId="229C53CD"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6247AFA5" w14:textId="77777777" w:rsidR="00C32CBD" w:rsidRDefault="00C32CBD" w:rsidP="00320D09">
            <w:pPr>
              <w:rPr>
                <w:rFonts w:cs="Arial"/>
                <w:sz w:val="18"/>
                <w:szCs w:val="18"/>
              </w:rPr>
            </w:pPr>
            <w:r>
              <w:rPr>
                <w:rFonts w:cs="Arial"/>
                <w:sz w:val="18"/>
                <w:szCs w:val="18"/>
              </w:rPr>
              <w:t> </w:t>
            </w:r>
          </w:p>
        </w:tc>
        <w:tc>
          <w:tcPr>
            <w:tcW w:w="1030" w:type="dxa"/>
            <w:tcBorders>
              <w:top w:val="nil"/>
              <w:left w:val="nil"/>
              <w:bottom w:val="nil"/>
              <w:right w:val="nil"/>
            </w:tcBorders>
            <w:shd w:val="clear" w:color="FFFFFF" w:fill="FFFFFF"/>
            <w:noWrap/>
            <w:vAlign w:val="bottom"/>
            <w:hideMark/>
          </w:tcPr>
          <w:p w14:paraId="732A346A" w14:textId="77777777" w:rsidR="00C32CBD" w:rsidRDefault="00C32CBD" w:rsidP="00320D09">
            <w:pPr>
              <w:rPr>
                <w:rFonts w:cs="Arial"/>
                <w:sz w:val="18"/>
                <w:szCs w:val="18"/>
              </w:rPr>
            </w:pPr>
            <w:r>
              <w:rPr>
                <w:rFonts w:cs="Arial"/>
                <w:sz w:val="18"/>
                <w:szCs w:val="18"/>
              </w:rPr>
              <w:t> </w:t>
            </w:r>
          </w:p>
        </w:tc>
      </w:tr>
      <w:tr w:rsidR="00C32CBD" w14:paraId="379562DC" w14:textId="77777777" w:rsidTr="00320D09">
        <w:trPr>
          <w:trHeight w:val="255"/>
        </w:trPr>
        <w:tc>
          <w:tcPr>
            <w:tcW w:w="4472" w:type="dxa"/>
            <w:tcBorders>
              <w:top w:val="nil"/>
              <w:left w:val="nil"/>
              <w:bottom w:val="nil"/>
              <w:right w:val="nil"/>
            </w:tcBorders>
            <w:shd w:val="clear" w:color="FFFFFF" w:fill="FFFFFF"/>
            <w:vAlign w:val="bottom"/>
            <w:hideMark/>
          </w:tcPr>
          <w:p w14:paraId="1DD5F002" w14:textId="77777777" w:rsidR="00C32CBD" w:rsidRDefault="00C32CBD" w:rsidP="00320D09">
            <w:pPr>
              <w:rPr>
                <w:rFonts w:cs="Arial"/>
                <w:b/>
                <w:bCs/>
                <w:sz w:val="18"/>
                <w:szCs w:val="18"/>
              </w:rPr>
            </w:pPr>
            <w:r>
              <w:rPr>
                <w:rFonts w:cs="Arial"/>
                <w:b/>
                <w:bCs/>
                <w:sz w:val="18"/>
                <w:szCs w:val="18"/>
              </w:rPr>
              <w:t>INVESTING ACTIVITIES</w:t>
            </w:r>
          </w:p>
        </w:tc>
        <w:tc>
          <w:tcPr>
            <w:tcW w:w="1026" w:type="dxa"/>
            <w:tcBorders>
              <w:top w:val="nil"/>
              <w:left w:val="nil"/>
              <w:bottom w:val="nil"/>
              <w:right w:val="nil"/>
            </w:tcBorders>
            <w:shd w:val="clear" w:color="FFFFFF" w:fill="FFFFFF"/>
            <w:noWrap/>
            <w:vAlign w:val="bottom"/>
            <w:hideMark/>
          </w:tcPr>
          <w:p w14:paraId="33654269" w14:textId="77777777" w:rsidR="00C32CBD" w:rsidRDefault="00C32CBD" w:rsidP="00320D09">
            <w:pPr>
              <w:jc w:val="center"/>
              <w:rPr>
                <w:rFonts w:cs="Arial"/>
                <w:sz w:val="18"/>
                <w:szCs w:val="18"/>
              </w:rPr>
            </w:pPr>
            <w:r>
              <w:rPr>
                <w:rFonts w:cs="Arial"/>
                <w:sz w:val="18"/>
                <w:szCs w:val="18"/>
              </w:rPr>
              <w:t> </w:t>
            </w:r>
          </w:p>
        </w:tc>
        <w:tc>
          <w:tcPr>
            <w:tcW w:w="1057" w:type="dxa"/>
            <w:tcBorders>
              <w:top w:val="nil"/>
              <w:left w:val="nil"/>
              <w:bottom w:val="nil"/>
              <w:right w:val="nil"/>
            </w:tcBorders>
            <w:shd w:val="clear" w:color="FFFFFF" w:fill="FFFFFF"/>
            <w:noWrap/>
            <w:vAlign w:val="bottom"/>
            <w:hideMark/>
          </w:tcPr>
          <w:p w14:paraId="4EB18D23"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0C804D23" w14:textId="77777777" w:rsidR="00C32CBD" w:rsidRDefault="00C32CBD" w:rsidP="00320D09">
            <w:pPr>
              <w:rPr>
                <w:rFonts w:cs="Arial"/>
                <w:sz w:val="18"/>
                <w:szCs w:val="18"/>
              </w:rPr>
            </w:pPr>
            <w:r>
              <w:rPr>
                <w:rFonts w:cs="Arial"/>
                <w:sz w:val="18"/>
                <w:szCs w:val="18"/>
              </w:rPr>
              <w:t> </w:t>
            </w:r>
          </w:p>
        </w:tc>
        <w:tc>
          <w:tcPr>
            <w:tcW w:w="1030" w:type="dxa"/>
            <w:tcBorders>
              <w:top w:val="nil"/>
              <w:left w:val="nil"/>
              <w:bottom w:val="nil"/>
              <w:right w:val="nil"/>
            </w:tcBorders>
            <w:shd w:val="clear" w:color="FFFFFF" w:fill="FFFFFF"/>
            <w:noWrap/>
            <w:vAlign w:val="bottom"/>
            <w:hideMark/>
          </w:tcPr>
          <w:p w14:paraId="311BEDE4"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178203D2" w14:textId="77777777" w:rsidR="00C32CBD" w:rsidRDefault="00C32CBD" w:rsidP="00320D09">
            <w:pPr>
              <w:rPr>
                <w:rFonts w:cs="Arial"/>
                <w:sz w:val="18"/>
                <w:szCs w:val="18"/>
              </w:rPr>
            </w:pPr>
            <w:r>
              <w:rPr>
                <w:rFonts w:cs="Arial"/>
                <w:sz w:val="18"/>
                <w:szCs w:val="18"/>
              </w:rPr>
              <w:t> </w:t>
            </w:r>
          </w:p>
        </w:tc>
        <w:tc>
          <w:tcPr>
            <w:tcW w:w="1030" w:type="dxa"/>
            <w:tcBorders>
              <w:top w:val="nil"/>
              <w:left w:val="nil"/>
              <w:bottom w:val="nil"/>
              <w:right w:val="nil"/>
            </w:tcBorders>
            <w:shd w:val="clear" w:color="FFFFFF" w:fill="FFFFFF"/>
            <w:noWrap/>
            <w:vAlign w:val="bottom"/>
            <w:hideMark/>
          </w:tcPr>
          <w:p w14:paraId="71D94768" w14:textId="77777777" w:rsidR="00C32CBD" w:rsidRDefault="00C32CBD" w:rsidP="00320D09">
            <w:pPr>
              <w:rPr>
                <w:rFonts w:cs="Arial"/>
                <w:sz w:val="18"/>
                <w:szCs w:val="18"/>
              </w:rPr>
            </w:pPr>
            <w:r>
              <w:rPr>
                <w:rFonts w:cs="Arial"/>
                <w:sz w:val="18"/>
                <w:szCs w:val="18"/>
              </w:rPr>
              <w:t> </w:t>
            </w:r>
          </w:p>
        </w:tc>
      </w:tr>
      <w:tr w:rsidR="00C32CBD" w14:paraId="0892C390" w14:textId="77777777" w:rsidTr="00320D09">
        <w:trPr>
          <w:trHeight w:val="255"/>
        </w:trPr>
        <w:tc>
          <w:tcPr>
            <w:tcW w:w="4472" w:type="dxa"/>
            <w:tcBorders>
              <w:top w:val="nil"/>
              <w:left w:val="nil"/>
              <w:bottom w:val="nil"/>
              <w:right w:val="nil"/>
            </w:tcBorders>
            <w:shd w:val="clear" w:color="FFFFFF" w:fill="FFFFFF"/>
            <w:noWrap/>
            <w:vAlign w:val="bottom"/>
            <w:hideMark/>
          </w:tcPr>
          <w:p w14:paraId="78FE51FB" w14:textId="77777777" w:rsidR="00C32CBD" w:rsidRDefault="00C32CBD" w:rsidP="00320D09">
            <w:pPr>
              <w:rPr>
                <w:rFonts w:cs="Arial"/>
                <w:b/>
                <w:bCs/>
                <w:sz w:val="18"/>
                <w:szCs w:val="18"/>
              </w:rPr>
            </w:pPr>
            <w:r>
              <w:rPr>
                <w:rFonts w:cs="Arial"/>
                <w:b/>
                <w:bCs/>
                <w:sz w:val="18"/>
                <w:szCs w:val="18"/>
              </w:rPr>
              <w:t>Cash received</w:t>
            </w:r>
          </w:p>
        </w:tc>
        <w:tc>
          <w:tcPr>
            <w:tcW w:w="1026" w:type="dxa"/>
            <w:tcBorders>
              <w:top w:val="nil"/>
              <w:left w:val="nil"/>
              <w:bottom w:val="nil"/>
              <w:right w:val="nil"/>
            </w:tcBorders>
            <w:shd w:val="clear" w:color="FFFFFF" w:fill="FFFFFF"/>
            <w:noWrap/>
            <w:vAlign w:val="bottom"/>
            <w:hideMark/>
          </w:tcPr>
          <w:p w14:paraId="4F9C1600" w14:textId="77777777" w:rsidR="00C32CBD" w:rsidRDefault="00C32CBD" w:rsidP="00320D09">
            <w:pPr>
              <w:rPr>
                <w:rFonts w:cs="Arial"/>
                <w:sz w:val="18"/>
                <w:szCs w:val="18"/>
              </w:rPr>
            </w:pPr>
            <w:r>
              <w:rPr>
                <w:rFonts w:cs="Arial"/>
                <w:sz w:val="18"/>
                <w:szCs w:val="18"/>
              </w:rPr>
              <w:t> </w:t>
            </w:r>
          </w:p>
        </w:tc>
        <w:tc>
          <w:tcPr>
            <w:tcW w:w="1057" w:type="dxa"/>
            <w:tcBorders>
              <w:top w:val="nil"/>
              <w:left w:val="nil"/>
              <w:bottom w:val="nil"/>
              <w:right w:val="nil"/>
            </w:tcBorders>
            <w:shd w:val="clear" w:color="FFFFFF" w:fill="FFFFFF"/>
            <w:noWrap/>
            <w:vAlign w:val="bottom"/>
            <w:hideMark/>
          </w:tcPr>
          <w:p w14:paraId="3204D5BE"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7E88A865" w14:textId="77777777" w:rsidR="00C32CBD" w:rsidRDefault="00C32CBD" w:rsidP="00320D09">
            <w:pPr>
              <w:rPr>
                <w:rFonts w:cs="Arial"/>
                <w:sz w:val="18"/>
                <w:szCs w:val="18"/>
              </w:rPr>
            </w:pPr>
            <w:r>
              <w:rPr>
                <w:rFonts w:cs="Arial"/>
                <w:sz w:val="18"/>
                <w:szCs w:val="18"/>
              </w:rPr>
              <w:t> </w:t>
            </w:r>
          </w:p>
        </w:tc>
        <w:tc>
          <w:tcPr>
            <w:tcW w:w="1030" w:type="dxa"/>
            <w:tcBorders>
              <w:top w:val="nil"/>
              <w:left w:val="nil"/>
              <w:bottom w:val="nil"/>
              <w:right w:val="nil"/>
            </w:tcBorders>
            <w:shd w:val="clear" w:color="FFFFFF" w:fill="FFFFFF"/>
            <w:noWrap/>
            <w:vAlign w:val="bottom"/>
            <w:hideMark/>
          </w:tcPr>
          <w:p w14:paraId="5BB12ABE"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36C1A533" w14:textId="77777777" w:rsidR="00C32CBD" w:rsidRDefault="00C32CBD" w:rsidP="00320D09">
            <w:pPr>
              <w:rPr>
                <w:rFonts w:cs="Arial"/>
                <w:sz w:val="18"/>
                <w:szCs w:val="18"/>
              </w:rPr>
            </w:pPr>
            <w:r>
              <w:rPr>
                <w:rFonts w:cs="Arial"/>
                <w:sz w:val="18"/>
                <w:szCs w:val="18"/>
              </w:rPr>
              <w:t> </w:t>
            </w:r>
          </w:p>
        </w:tc>
        <w:tc>
          <w:tcPr>
            <w:tcW w:w="1030" w:type="dxa"/>
            <w:tcBorders>
              <w:top w:val="nil"/>
              <w:left w:val="nil"/>
              <w:bottom w:val="nil"/>
              <w:right w:val="nil"/>
            </w:tcBorders>
            <w:shd w:val="clear" w:color="FFFFFF" w:fill="FFFFFF"/>
            <w:noWrap/>
            <w:vAlign w:val="bottom"/>
            <w:hideMark/>
          </w:tcPr>
          <w:p w14:paraId="3DEB57C4" w14:textId="77777777" w:rsidR="00C32CBD" w:rsidRDefault="00C32CBD" w:rsidP="00320D09">
            <w:pPr>
              <w:rPr>
                <w:rFonts w:cs="Arial"/>
                <w:sz w:val="18"/>
                <w:szCs w:val="18"/>
              </w:rPr>
            </w:pPr>
            <w:r>
              <w:rPr>
                <w:rFonts w:cs="Arial"/>
                <w:sz w:val="18"/>
                <w:szCs w:val="18"/>
              </w:rPr>
              <w:t> </w:t>
            </w:r>
          </w:p>
        </w:tc>
      </w:tr>
      <w:tr w:rsidR="00C32CBD" w14:paraId="4BBB7EE5" w14:textId="77777777" w:rsidTr="00320D09">
        <w:trPr>
          <w:trHeight w:val="255"/>
        </w:trPr>
        <w:tc>
          <w:tcPr>
            <w:tcW w:w="4472" w:type="dxa"/>
            <w:tcBorders>
              <w:top w:val="nil"/>
              <w:left w:val="nil"/>
              <w:bottom w:val="nil"/>
              <w:right w:val="nil"/>
            </w:tcBorders>
            <w:shd w:val="clear" w:color="FFFFFF" w:fill="FFFFFF"/>
            <w:vAlign w:val="bottom"/>
            <w:hideMark/>
          </w:tcPr>
          <w:p w14:paraId="01651820" w14:textId="77777777" w:rsidR="00C32CBD" w:rsidRDefault="00C32CBD" w:rsidP="00320D09">
            <w:pPr>
              <w:ind w:firstLineChars="100" w:firstLine="180"/>
              <w:rPr>
                <w:rFonts w:cs="Arial"/>
                <w:sz w:val="18"/>
                <w:szCs w:val="18"/>
              </w:rPr>
            </w:pPr>
            <w:r>
              <w:rPr>
                <w:rFonts w:cs="Arial"/>
                <w:sz w:val="18"/>
                <w:szCs w:val="18"/>
              </w:rPr>
              <w:t>Proceeds from sales of long-term deposits</w:t>
            </w:r>
          </w:p>
        </w:tc>
        <w:tc>
          <w:tcPr>
            <w:tcW w:w="1026" w:type="dxa"/>
            <w:tcBorders>
              <w:top w:val="nil"/>
              <w:left w:val="nil"/>
              <w:bottom w:val="nil"/>
              <w:right w:val="nil"/>
            </w:tcBorders>
            <w:shd w:val="clear" w:color="FFFFFF" w:fill="FFFFFF"/>
            <w:noWrap/>
            <w:vAlign w:val="bottom"/>
            <w:hideMark/>
          </w:tcPr>
          <w:p w14:paraId="1E5B2891" w14:textId="77777777" w:rsidR="00C32CBD" w:rsidRDefault="00C32CBD" w:rsidP="00320D09">
            <w:pPr>
              <w:jc w:val="center"/>
              <w:rPr>
                <w:rFonts w:cs="Arial"/>
                <w:sz w:val="18"/>
                <w:szCs w:val="18"/>
              </w:rPr>
            </w:pPr>
            <w:r>
              <w:rPr>
                <w:rFonts w:cs="Arial"/>
                <w:sz w:val="18"/>
                <w:szCs w:val="18"/>
              </w:rPr>
              <w:t> </w:t>
            </w:r>
          </w:p>
        </w:tc>
        <w:tc>
          <w:tcPr>
            <w:tcW w:w="1057" w:type="dxa"/>
            <w:tcBorders>
              <w:top w:val="nil"/>
              <w:left w:val="nil"/>
              <w:bottom w:val="nil"/>
              <w:right w:val="nil"/>
            </w:tcBorders>
            <w:shd w:val="clear" w:color="FFFFFF" w:fill="FFFFFF"/>
            <w:noWrap/>
            <w:vAlign w:val="bottom"/>
            <w:hideMark/>
          </w:tcPr>
          <w:p w14:paraId="2A300B36" w14:textId="77777777" w:rsidR="00C32CBD" w:rsidRDefault="00C32CBD" w:rsidP="00320D09">
            <w:pPr>
              <w:jc w:val="right"/>
              <w:rPr>
                <w:rFonts w:cs="Arial"/>
                <w:b/>
                <w:bCs/>
                <w:sz w:val="18"/>
                <w:szCs w:val="18"/>
              </w:rPr>
            </w:pPr>
            <w:r>
              <w:rPr>
                <w:rFonts w:cs="Arial"/>
                <w:b/>
                <w:bCs/>
                <w:sz w:val="18"/>
                <w:szCs w:val="18"/>
              </w:rPr>
              <w:t>33,194</w:t>
            </w:r>
          </w:p>
        </w:tc>
        <w:tc>
          <w:tcPr>
            <w:tcW w:w="236" w:type="dxa"/>
            <w:tcBorders>
              <w:top w:val="nil"/>
              <w:left w:val="nil"/>
              <w:bottom w:val="nil"/>
              <w:right w:val="nil"/>
            </w:tcBorders>
            <w:shd w:val="clear" w:color="FFFFFF" w:fill="FFFFFF"/>
            <w:noWrap/>
            <w:vAlign w:val="bottom"/>
            <w:hideMark/>
          </w:tcPr>
          <w:p w14:paraId="102ACF01" w14:textId="77777777" w:rsidR="00C32CBD" w:rsidRDefault="00C32CBD" w:rsidP="00320D09">
            <w:pPr>
              <w:rPr>
                <w:rFonts w:cs="Arial"/>
                <w:sz w:val="18"/>
                <w:szCs w:val="18"/>
              </w:rPr>
            </w:pPr>
            <w:r>
              <w:rPr>
                <w:rFonts w:cs="Arial"/>
                <w:sz w:val="18"/>
                <w:szCs w:val="18"/>
              </w:rPr>
              <w:t> </w:t>
            </w:r>
          </w:p>
        </w:tc>
        <w:tc>
          <w:tcPr>
            <w:tcW w:w="1030" w:type="dxa"/>
            <w:tcBorders>
              <w:top w:val="nil"/>
              <w:left w:val="nil"/>
              <w:bottom w:val="nil"/>
              <w:right w:val="nil"/>
            </w:tcBorders>
            <w:shd w:val="clear" w:color="FFFFFF" w:fill="FFFFFF"/>
            <w:noWrap/>
            <w:vAlign w:val="bottom"/>
            <w:hideMark/>
          </w:tcPr>
          <w:p w14:paraId="555413EB" w14:textId="77777777" w:rsidR="00C32CBD" w:rsidRDefault="00C32CBD" w:rsidP="00320D09">
            <w:pPr>
              <w:jc w:val="right"/>
              <w:rPr>
                <w:rFonts w:cs="Arial"/>
                <w:sz w:val="18"/>
                <w:szCs w:val="18"/>
              </w:rPr>
            </w:pPr>
            <w:r>
              <w:rPr>
                <w:rFonts w:cs="Arial"/>
                <w:sz w:val="18"/>
                <w:szCs w:val="18"/>
              </w:rPr>
              <w:t>219,375</w:t>
            </w:r>
          </w:p>
        </w:tc>
        <w:tc>
          <w:tcPr>
            <w:tcW w:w="236" w:type="dxa"/>
            <w:tcBorders>
              <w:top w:val="nil"/>
              <w:left w:val="nil"/>
              <w:bottom w:val="nil"/>
              <w:right w:val="nil"/>
            </w:tcBorders>
            <w:shd w:val="clear" w:color="FFFFFF" w:fill="FFFFFF"/>
            <w:noWrap/>
            <w:vAlign w:val="bottom"/>
            <w:hideMark/>
          </w:tcPr>
          <w:p w14:paraId="158D098F" w14:textId="77777777" w:rsidR="00C32CBD" w:rsidRDefault="00C32CBD" w:rsidP="00320D09">
            <w:pPr>
              <w:rPr>
                <w:rFonts w:cs="Arial"/>
                <w:sz w:val="18"/>
                <w:szCs w:val="18"/>
              </w:rPr>
            </w:pPr>
            <w:r>
              <w:rPr>
                <w:rFonts w:cs="Arial"/>
                <w:sz w:val="18"/>
                <w:szCs w:val="18"/>
              </w:rPr>
              <w:t> </w:t>
            </w:r>
          </w:p>
        </w:tc>
        <w:tc>
          <w:tcPr>
            <w:tcW w:w="1030" w:type="dxa"/>
            <w:tcBorders>
              <w:top w:val="nil"/>
              <w:left w:val="nil"/>
              <w:bottom w:val="nil"/>
              <w:right w:val="nil"/>
            </w:tcBorders>
            <w:shd w:val="clear" w:color="FFFFFF" w:fill="FFFFFF"/>
            <w:noWrap/>
            <w:vAlign w:val="bottom"/>
            <w:hideMark/>
          </w:tcPr>
          <w:p w14:paraId="5EB47363" w14:textId="77777777" w:rsidR="00C32CBD" w:rsidRDefault="00C32CBD" w:rsidP="00320D09">
            <w:pPr>
              <w:jc w:val="right"/>
              <w:rPr>
                <w:rFonts w:cs="Arial"/>
                <w:sz w:val="18"/>
                <w:szCs w:val="18"/>
              </w:rPr>
            </w:pPr>
            <w:r>
              <w:rPr>
                <w:rFonts w:cs="Arial"/>
                <w:sz w:val="18"/>
                <w:szCs w:val="18"/>
              </w:rPr>
              <w:t xml:space="preserve"> -</w:t>
            </w:r>
          </w:p>
        </w:tc>
      </w:tr>
      <w:tr w:rsidR="00C32CBD" w14:paraId="0A63810E" w14:textId="77777777" w:rsidTr="00320D09">
        <w:trPr>
          <w:trHeight w:val="255"/>
        </w:trPr>
        <w:tc>
          <w:tcPr>
            <w:tcW w:w="4472" w:type="dxa"/>
            <w:tcBorders>
              <w:top w:val="nil"/>
              <w:left w:val="nil"/>
              <w:bottom w:val="nil"/>
              <w:right w:val="nil"/>
            </w:tcBorders>
            <w:shd w:val="clear" w:color="FFFFFF" w:fill="FFFFFF"/>
            <w:vAlign w:val="bottom"/>
            <w:hideMark/>
          </w:tcPr>
          <w:p w14:paraId="7300008A" w14:textId="77777777" w:rsidR="00C32CBD" w:rsidRDefault="00C32CBD" w:rsidP="00320D09">
            <w:pPr>
              <w:rPr>
                <w:rFonts w:cs="Arial"/>
                <w:b/>
                <w:bCs/>
                <w:sz w:val="18"/>
                <w:szCs w:val="18"/>
              </w:rPr>
            </w:pPr>
            <w:r>
              <w:rPr>
                <w:rFonts w:cs="Arial"/>
                <w:b/>
                <w:bCs/>
                <w:sz w:val="18"/>
                <w:szCs w:val="18"/>
              </w:rPr>
              <w:t>Total cash received</w:t>
            </w:r>
          </w:p>
        </w:tc>
        <w:tc>
          <w:tcPr>
            <w:tcW w:w="1026" w:type="dxa"/>
            <w:tcBorders>
              <w:top w:val="nil"/>
              <w:left w:val="nil"/>
              <w:bottom w:val="nil"/>
              <w:right w:val="nil"/>
            </w:tcBorders>
            <w:shd w:val="clear" w:color="FFFFFF" w:fill="FFFFFF"/>
            <w:noWrap/>
            <w:vAlign w:val="bottom"/>
            <w:hideMark/>
          </w:tcPr>
          <w:p w14:paraId="622196CE" w14:textId="77777777" w:rsidR="00C32CBD" w:rsidRDefault="00C32CBD" w:rsidP="00320D09">
            <w:pPr>
              <w:jc w:val="center"/>
              <w:rPr>
                <w:rFonts w:cs="Arial"/>
                <w:sz w:val="18"/>
                <w:szCs w:val="18"/>
              </w:rPr>
            </w:pPr>
            <w:r>
              <w:rPr>
                <w:rFonts w:cs="Arial"/>
                <w:sz w:val="18"/>
                <w:szCs w:val="18"/>
              </w:rPr>
              <w:t> </w:t>
            </w:r>
          </w:p>
        </w:tc>
        <w:tc>
          <w:tcPr>
            <w:tcW w:w="1057" w:type="dxa"/>
            <w:tcBorders>
              <w:top w:val="single" w:sz="4" w:space="0" w:color="auto"/>
              <w:left w:val="nil"/>
              <w:bottom w:val="single" w:sz="4" w:space="0" w:color="auto"/>
              <w:right w:val="nil"/>
            </w:tcBorders>
            <w:shd w:val="clear" w:color="FFFFFF" w:fill="FFFFFF"/>
            <w:noWrap/>
            <w:vAlign w:val="bottom"/>
            <w:hideMark/>
          </w:tcPr>
          <w:p w14:paraId="3DA35399" w14:textId="77777777" w:rsidR="00C32CBD" w:rsidRDefault="00C32CBD" w:rsidP="00320D09">
            <w:pPr>
              <w:jc w:val="right"/>
              <w:rPr>
                <w:rFonts w:cs="Arial"/>
                <w:b/>
                <w:bCs/>
                <w:sz w:val="18"/>
                <w:szCs w:val="18"/>
              </w:rPr>
            </w:pPr>
            <w:r>
              <w:rPr>
                <w:rFonts w:cs="Arial"/>
                <w:b/>
                <w:bCs/>
                <w:sz w:val="18"/>
                <w:szCs w:val="18"/>
              </w:rPr>
              <w:t>33,194</w:t>
            </w:r>
          </w:p>
        </w:tc>
        <w:tc>
          <w:tcPr>
            <w:tcW w:w="236" w:type="dxa"/>
            <w:tcBorders>
              <w:top w:val="nil"/>
              <w:left w:val="nil"/>
              <w:bottom w:val="nil"/>
              <w:right w:val="nil"/>
            </w:tcBorders>
            <w:shd w:val="clear" w:color="FFFFFF" w:fill="FFFFFF"/>
            <w:noWrap/>
            <w:vAlign w:val="bottom"/>
            <w:hideMark/>
          </w:tcPr>
          <w:p w14:paraId="3DCAEA9A" w14:textId="77777777" w:rsidR="00C32CBD" w:rsidRDefault="00C32CBD" w:rsidP="00320D09">
            <w:pPr>
              <w:rPr>
                <w:rFonts w:cs="Arial"/>
                <w:sz w:val="18"/>
                <w:szCs w:val="18"/>
              </w:rPr>
            </w:pPr>
            <w:r>
              <w:rPr>
                <w:rFonts w:cs="Arial"/>
                <w:sz w:val="18"/>
                <w:szCs w:val="18"/>
              </w:rPr>
              <w:t> </w:t>
            </w:r>
          </w:p>
        </w:tc>
        <w:tc>
          <w:tcPr>
            <w:tcW w:w="1030" w:type="dxa"/>
            <w:tcBorders>
              <w:top w:val="single" w:sz="4" w:space="0" w:color="auto"/>
              <w:left w:val="nil"/>
              <w:bottom w:val="single" w:sz="4" w:space="0" w:color="auto"/>
              <w:right w:val="nil"/>
            </w:tcBorders>
            <w:shd w:val="clear" w:color="FFFFFF" w:fill="FFFFFF"/>
            <w:noWrap/>
            <w:vAlign w:val="bottom"/>
            <w:hideMark/>
          </w:tcPr>
          <w:p w14:paraId="2C96DD81" w14:textId="77777777" w:rsidR="00C32CBD" w:rsidRDefault="00C32CBD" w:rsidP="00320D09">
            <w:pPr>
              <w:jc w:val="right"/>
              <w:rPr>
                <w:rFonts w:cs="Arial"/>
                <w:sz w:val="18"/>
                <w:szCs w:val="18"/>
              </w:rPr>
            </w:pPr>
            <w:r>
              <w:rPr>
                <w:rFonts w:cs="Arial"/>
                <w:sz w:val="18"/>
                <w:szCs w:val="18"/>
              </w:rPr>
              <w:t>219,375</w:t>
            </w:r>
          </w:p>
        </w:tc>
        <w:tc>
          <w:tcPr>
            <w:tcW w:w="236" w:type="dxa"/>
            <w:tcBorders>
              <w:top w:val="nil"/>
              <w:left w:val="nil"/>
              <w:bottom w:val="nil"/>
              <w:right w:val="nil"/>
            </w:tcBorders>
            <w:shd w:val="clear" w:color="FFFFFF" w:fill="FFFFFF"/>
            <w:noWrap/>
            <w:vAlign w:val="bottom"/>
            <w:hideMark/>
          </w:tcPr>
          <w:p w14:paraId="32BC633F" w14:textId="77777777" w:rsidR="00C32CBD" w:rsidRDefault="00C32CBD" w:rsidP="00320D09">
            <w:pPr>
              <w:rPr>
                <w:rFonts w:cs="Arial"/>
                <w:sz w:val="18"/>
                <w:szCs w:val="18"/>
              </w:rPr>
            </w:pPr>
            <w:r>
              <w:rPr>
                <w:rFonts w:cs="Arial"/>
                <w:sz w:val="18"/>
                <w:szCs w:val="18"/>
              </w:rPr>
              <w:t> </w:t>
            </w:r>
          </w:p>
        </w:tc>
        <w:tc>
          <w:tcPr>
            <w:tcW w:w="1030" w:type="dxa"/>
            <w:tcBorders>
              <w:top w:val="single" w:sz="4" w:space="0" w:color="auto"/>
              <w:left w:val="nil"/>
              <w:bottom w:val="single" w:sz="4" w:space="0" w:color="auto"/>
              <w:right w:val="nil"/>
            </w:tcBorders>
            <w:shd w:val="clear" w:color="FFFFFF" w:fill="FFFFFF"/>
            <w:noWrap/>
            <w:vAlign w:val="bottom"/>
            <w:hideMark/>
          </w:tcPr>
          <w:p w14:paraId="0038495F" w14:textId="77777777" w:rsidR="00C32CBD" w:rsidRDefault="00C32CBD" w:rsidP="00320D09">
            <w:pPr>
              <w:jc w:val="right"/>
              <w:rPr>
                <w:rFonts w:cs="Arial"/>
                <w:sz w:val="18"/>
                <w:szCs w:val="18"/>
              </w:rPr>
            </w:pPr>
            <w:r>
              <w:rPr>
                <w:rFonts w:cs="Arial"/>
                <w:sz w:val="18"/>
                <w:szCs w:val="18"/>
              </w:rPr>
              <w:t>-</w:t>
            </w:r>
          </w:p>
        </w:tc>
      </w:tr>
      <w:tr w:rsidR="00C32CBD" w14:paraId="2F390EAC" w14:textId="77777777" w:rsidTr="00320D09">
        <w:trPr>
          <w:trHeight w:val="255"/>
        </w:trPr>
        <w:tc>
          <w:tcPr>
            <w:tcW w:w="4472" w:type="dxa"/>
            <w:tcBorders>
              <w:top w:val="nil"/>
              <w:left w:val="nil"/>
              <w:bottom w:val="nil"/>
              <w:right w:val="nil"/>
            </w:tcBorders>
            <w:shd w:val="clear" w:color="FFFFFF" w:fill="FFFFFF"/>
            <w:vAlign w:val="bottom"/>
            <w:hideMark/>
          </w:tcPr>
          <w:p w14:paraId="265AAAC4" w14:textId="77777777" w:rsidR="00C32CBD" w:rsidRDefault="00C32CBD" w:rsidP="00320D09">
            <w:pPr>
              <w:rPr>
                <w:rFonts w:cs="Arial"/>
                <w:b/>
                <w:bCs/>
                <w:sz w:val="18"/>
                <w:szCs w:val="18"/>
              </w:rPr>
            </w:pPr>
            <w:r>
              <w:rPr>
                <w:rFonts w:cs="Arial"/>
                <w:b/>
                <w:bCs/>
                <w:sz w:val="18"/>
                <w:szCs w:val="18"/>
              </w:rPr>
              <w:t>Cash used</w:t>
            </w:r>
          </w:p>
        </w:tc>
        <w:tc>
          <w:tcPr>
            <w:tcW w:w="1026" w:type="dxa"/>
            <w:tcBorders>
              <w:top w:val="nil"/>
              <w:left w:val="nil"/>
              <w:bottom w:val="nil"/>
              <w:right w:val="nil"/>
            </w:tcBorders>
            <w:shd w:val="clear" w:color="FFFFFF" w:fill="FFFFFF"/>
            <w:noWrap/>
            <w:vAlign w:val="bottom"/>
            <w:hideMark/>
          </w:tcPr>
          <w:p w14:paraId="7F55D74A" w14:textId="77777777" w:rsidR="00C32CBD" w:rsidRDefault="00C32CBD" w:rsidP="00320D09">
            <w:pPr>
              <w:jc w:val="center"/>
              <w:rPr>
                <w:rFonts w:cs="Arial"/>
                <w:sz w:val="18"/>
                <w:szCs w:val="18"/>
              </w:rPr>
            </w:pPr>
            <w:r>
              <w:rPr>
                <w:rFonts w:cs="Arial"/>
                <w:sz w:val="18"/>
                <w:szCs w:val="18"/>
              </w:rPr>
              <w:t> </w:t>
            </w:r>
          </w:p>
        </w:tc>
        <w:tc>
          <w:tcPr>
            <w:tcW w:w="1057" w:type="dxa"/>
            <w:tcBorders>
              <w:top w:val="nil"/>
              <w:left w:val="nil"/>
              <w:bottom w:val="nil"/>
              <w:right w:val="nil"/>
            </w:tcBorders>
            <w:shd w:val="clear" w:color="FFFFFF" w:fill="FFFFFF"/>
            <w:noWrap/>
            <w:vAlign w:val="bottom"/>
            <w:hideMark/>
          </w:tcPr>
          <w:p w14:paraId="1B312862"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47E70873" w14:textId="77777777" w:rsidR="00C32CBD" w:rsidRDefault="00C32CBD" w:rsidP="00320D09">
            <w:pPr>
              <w:rPr>
                <w:rFonts w:cs="Arial"/>
                <w:sz w:val="18"/>
                <w:szCs w:val="18"/>
              </w:rPr>
            </w:pPr>
            <w:r>
              <w:rPr>
                <w:rFonts w:cs="Arial"/>
                <w:sz w:val="18"/>
                <w:szCs w:val="18"/>
              </w:rPr>
              <w:t> </w:t>
            </w:r>
          </w:p>
        </w:tc>
        <w:tc>
          <w:tcPr>
            <w:tcW w:w="1030" w:type="dxa"/>
            <w:tcBorders>
              <w:top w:val="nil"/>
              <w:left w:val="nil"/>
              <w:bottom w:val="nil"/>
              <w:right w:val="nil"/>
            </w:tcBorders>
            <w:shd w:val="clear" w:color="FFFFFF" w:fill="FFFFFF"/>
            <w:noWrap/>
            <w:vAlign w:val="bottom"/>
            <w:hideMark/>
          </w:tcPr>
          <w:p w14:paraId="053BFD3F"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696F08B7" w14:textId="77777777" w:rsidR="00C32CBD" w:rsidRDefault="00C32CBD" w:rsidP="00320D09">
            <w:pPr>
              <w:rPr>
                <w:rFonts w:cs="Arial"/>
                <w:sz w:val="18"/>
                <w:szCs w:val="18"/>
              </w:rPr>
            </w:pPr>
            <w:r>
              <w:rPr>
                <w:rFonts w:cs="Arial"/>
                <w:sz w:val="18"/>
                <w:szCs w:val="18"/>
              </w:rPr>
              <w:t> </w:t>
            </w:r>
          </w:p>
        </w:tc>
        <w:tc>
          <w:tcPr>
            <w:tcW w:w="1030" w:type="dxa"/>
            <w:tcBorders>
              <w:top w:val="nil"/>
              <w:left w:val="nil"/>
              <w:bottom w:val="nil"/>
              <w:right w:val="nil"/>
            </w:tcBorders>
            <w:shd w:val="clear" w:color="FFFFFF" w:fill="FFFFFF"/>
            <w:noWrap/>
            <w:vAlign w:val="bottom"/>
            <w:hideMark/>
          </w:tcPr>
          <w:p w14:paraId="63AE4279" w14:textId="77777777" w:rsidR="00C32CBD" w:rsidRDefault="00C32CBD" w:rsidP="00320D09">
            <w:pPr>
              <w:rPr>
                <w:rFonts w:cs="Arial"/>
                <w:sz w:val="18"/>
                <w:szCs w:val="18"/>
              </w:rPr>
            </w:pPr>
            <w:r>
              <w:rPr>
                <w:rFonts w:cs="Arial"/>
                <w:sz w:val="18"/>
                <w:szCs w:val="18"/>
              </w:rPr>
              <w:t> </w:t>
            </w:r>
          </w:p>
        </w:tc>
      </w:tr>
      <w:tr w:rsidR="00C32CBD" w14:paraId="6B4F0744" w14:textId="77777777" w:rsidTr="00320D09">
        <w:trPr>
          <w:trHeight w:val="255"/>
        </w:trPr>
        <w:tc>
          <w:tcPr>
            <w:tcW w:w="4472" w:type="dxa"/>
            <w:tcBorders>
              <w:top w:val="nil"/>
              <w:left w:val="nil"/>
              <w:bottom w:val="nil"/>
              <w:right w:val="nil"/>
            </w:tcBorders>
            <w:shd w:val="clear" w:color="FFFFFF" w:fill="FFFFFF"/>
            <w:vAlign w:val="bottom"/>
            <w:hideMark/>
          </w:tcPr>
          <w:p w14:paraId="3AF4B9D8" w14:textId="77777777" w:rsidR="00C32CBD" w:rsidRDefault="00C32CBD" w:rsidP="00320D09">
            <w:pPr>
              <w:ind w:firstLineChars="100" w:firstLine="180"/>
              <w:rPr>
                <w:rFonts w:cs="Arial"/>
                <w:sz w:val="18"/>
                <w:szCs w:val="18"/>
              </w:rPr>
            </w:pPr>
            <w:r>
              <w:rPr>
                <w:rFonts w:cs="Arial"/>
                <w:sz w:val="18"/>
                <w:szCs w:val="18"/>
              </w:rPr>
              <w:lastRenderedPageBreak/>
              <w:t xml:space="preserve">Purchase of property, plant and equipment, </w:t>
            </w:r>
          </w:p>
          <w:p w14:paraId="598A79BF" w14:textId="77777777" w:rsidR="00C32CBD" w:rsidRDefault="00C32CBD" w:rsidP="00320D09">
            <w:pPr>
              <w:ind w:firstLineChars="100" w:firstLine="180"/>
              <w:rPr>
                <w:rFonts w:cs="Arial"/>
                <w:sz w:val="18"/>
                <w:szCs w:val="18"/>
              </w:rPr>
            </w:pPr>
            <w:r>
              <w:rPr>
                <w:rFonts w:cs="Arial"/>
                <w:sz w:val="18"/>
                <w:szCs w:val="18"/>
              </w:rPr>
              <w:t>and intangibles</w:t>
            </w:r>
          </w:p>
        </w:tc>
        <w:tc>
          <w:tcPr>
            <w:tcW w:w="1026" w:type="dxa"/>
            <w:tcBorders>
              <w:top w:val="nil"/>
              <w:left w:val="nil"/>
              <w:bottom w:val="nil"/>
              <w:right w:val="nil"/>
            </w:tcBorders>
            <w:shd w:val="clear" w:color="FFFFFF" w:fill="FFFFFF"/>
            <w:noWrap/>
            <w:vAlign w:val="bottom"/>
            <w:hideMark/>
          </w:tcPr>
          <w:p w14:paraId="306D6BE7" w14:textId="77777777" w:rsidR="00C32CBD" w:rsidRDefault="00C32CBD" w:rsidP="00320D09">
            <w:pPr>
              <w:jc w:val="center"/>
              <w:rPr>
                <w:rFonts w:cs="Arial"/>
                <w:sz w:val="18"/>
                <w:szCs w:val="18"/>
              </w:rPr>
            </w:pPr>
            <w:r>
              <w:rPr>
                <w:rFonts w:cs="Arial"/>
                <w:sz w:val="18"/>
                <w:szCs w:val="18"/>
              </w:rPr>
              <w:t> </w:t>
            </w:r>
          </w:p>
        </w:tc>
        <w:tc>
          <w:tcPr>
            <w:tcW w:w="1057" w:type="dxa"/>
            <w:tcBorders>
              <w:top w:val="nil"/>
              <w:left w:val="nil"/>
              <w:bottom w:val="nil"/>
              <w:right w:val="nil"/>
            </w:tcBorders>
            <w:shd w:val="clear" w:color="FFFFFF" w:fill="FFFFFF"/>
            <w:noWrap/>
            <w:vAlign w:val="bottom"/>
            <w:hideMark/>
          </w:tcPr>
          <w:p w14:paraId="70D15CC0" w14:textId="77777777" w:rsidR="00C32CBD" w:rsidRDefault="00C32CBD" w:rsidP="00320D09">
            <w:pPr>
              <w:jc w:val="right"/>
              <w:rPr>
                <w:rFonts w:cs="Arial"/>
                <w:b/>
                <w:bCs/>
                <w:sz w:val="18"/>
                <w:szCs w:val="18"/>
              </w:rPr>
            </w:pPr>
            <w:r>
              <w:rPr>
                <w:rFonts w:cs="Arial"/>
                <w:b/>
                <w:bCs/>
                <w:sz w:val="18"/>
                <w:szCs w:val="18"/>
              </w:rPr>
              <w:t>16,156</w:t>
            </w:r>
          </w:p>
        </w:tc>
        <w:tc>
          <w:tcPr>
            <w:tcW w:w="236" w:type="dxa"/>
            <w:tcBorders>
              <w:top w:val="nil"/>
              <w:left w:val="nil"/>
              <w:bottom w:val="nil"/>
              <w:right w:val="nil"/>
            </w:tcBorders>
            <w:shd w:val="clear" w:color="FFFFFF" w:fill="FFFFFF"/>
            <w:noWrap/>
            <w:vAlign w:val="bottom"/>
            <w:hideMark/>
          </w:tcPr>
          <w:p w14:paraId="2AE017CE" w14:textId="77777777" w:rsidR="00C32CBD" w:rsidRDefault="00C32CBD" w:rsidP="00320D09">
            <w:pPr>
              <w:rPr>
                <w:rFonts w:cs="Arial"/>
                <w:sz w:val="18"/>
                <w:szCs w:val="18"/>
              </w:rPr>
            </w:pPr>
            <w:r>
              <w:rPr>
                <w:rFonts w:cs="Arial"/>
                <w:sz w:val="18"/>
                <w:szCs w:val="18"/>
              </w:rPr>
              <w:t> </w:t>
            </w:r>
          </w:p>
        </w:tc>
        <w:tc>
          <w:tcPr>
            <w:tcW w:w="1030" w:type="dxa"/>
            <w:tcBorders>
              <w:top w:val="nil"/>
              <w:left w:val="nil"/>
              <w:bottom w:val="nil"/>
              <w:right w:val="nil"/>
            </w:tcBorders>
            <w:shd w:val="clear" w:color="FFFFFF" w:fill="FFFFFF"/>
            <w:noWrap/>
            <w:vAlign w:val="bottom"/>
            <w:hideMark/>
          </w:tcPr>
          <w:p w14:paraId="71FDFC98" w14:textId="77777777" w:rsidR="00C32CBD" w:rsidRDefault="00C32CBD" w:rsidP="00320D09">
            <w:pPr>
              <w:jc w:val="right"/>
              <w:rPr>
                <w:rFonts w:cs="Arial"/>
                <w:sz w:val="18"/>
                <w:szCs w:val="18"/>
              </w:rPr>
            </w:pPr>
            <w:r>
              <w:rPr>
                <w:rFonts w:cs="Arial"/>
                <w:sz w:val="18"/>
                <w:szCs w:val="18"/>
              </w:rPr>
              <w:t>961</w:t>
            </w:r>
          </w:p>
        </w:tc>
        <w:tc>
          <w:tcPr>
            <w:tcW w:w="236" w:type="dxa"/>
            <w:tcBorders>
              <w:top w:val="nil"/>
              <w:left w:val="nil"/>
              <w:bottom w:val="nil"/>
              <w:right w:val="nil"/>
            </w:tcBorders>
            <w:shd w:val="clear" w:color="FFFFFF" w:fill="FFFFFF"/>
            <w:noWrap/>
            <w:vAlign w:val="bottom"/>
            <w:hideMark/>
          </w:tcPr>
          <w:p w14:paraId="37D04D5A" w14:textId="77777777" w:rsidR="00C32CBD" w:rsidRDefault="00C32CBD" w:rsidP="00320D09">
            <w:pPr>
              <w:rPr>
                <w:rFonts w:cs="Arial"/>
                <w:sz w:val="18"/>
                <w:szCs w:val="18"/>
              </w:rPr>
            </w:pPr>
            <w:r>
              <w:rPr>
                <w:rFonts w:cs="Arial"/>
                <w:sz w:val="18"/>
                <w:szCs w:val="18"/>
              </w:rPr>
              <w:t> </w:t>
            </w:r>
          </w:p>
        </w:tc>
        <w:tc>
          <w:tcPr>
            <w:tcW w:w="1030" w:type="dxa"/>
            <w:tcBorders>
              <w:top w:val="nil"/>
              <w:left w:val="nil"/>
              <w:bottom w:val="nil"/>
              <w:right w:val="nil"/>
            </w:tcBorders>
            <w:shd w:val="clear" w:color="FFFFFF" w:fill="FFFFFF"/>
            <w:noWrap/>
            <w:vAlign w:val="bottom"/>
            <w:hideMark/>
          </w:tcPr>
          <w:p w14:paraId="4D345288" w14:textId="77777777" w:rsidR="00C32CBD" w:rsidRDefault="00C32CBD" w:rsidP="00320D09">
            <w:pPr>
              <w:jc w:val="right"/>
              <w:rPr>
                <w:rFonts w:cs="Arial"/>
                <w:sz w:val="18"/>
                <w:szCs w:val="18"/>
              </w:rPr>
            </w:pPr>
            <w:r>
              <w:rPr>
                <w:rFonts w:cs="Arial"/>
                <w:sz w:val="18"/>
                <w:szCs w:val="18"/>
              </w:rPr>
              <w:t>116,197</w:t>
            </w:r>
          </w:p>
        </w:tc>
      </w:tr>
      <w:tr w:rsidR="00C32CBD" w14:paraId="17F5159D" w14:textId="77777777" w:rsidTr="00320D09">
        <w:trPr>
          <w:trHeight w:val="255"/>
        </w:trPr>
        <w:tc>
          <w:tcPr>
            <w:tcW w:w="4472" w:type="dxa"/>
            <w:tcBorders>
              <w:top w:val="nil"/>
              <w:left w:val="nil"/>
              <w:bottom w:val="nil"/>
              <w:right w:val="nil"/>
            </w:tcBorders>
            <w:shd w:val="clear" w:color="FFFFFF" w:fill="FFFFFF"/>
            <w:vAlign w:val="bottom"/>
            <w:hideMark/>
          </w:tcPr>
          <w:p w14:paraId="51D6B011" w14:textId="77777777" w:rsidR="00C32CBD" w:rsidRDefault="00C32CBD" w:rsidP="00320D09">
            <w:pPr>
              <w:ind w:firstLineChars="100" w:firstLine="180"/>
              <w:rPr>
                <w:rFonts w:cs="Arial"/>
                <w:sz w:val="18"/>
                <w:szCs w:val="18"/>
              </w:rPr>
            </w:pPr>
            <w:r>
              <w:rPr>
                <w:rFonts w:cs="Arial"/>
                <w:sz w:val="18"/>
                <w:szCs w:val="18"/>
              </w:rPr>
              <w:t xml:space="preserve">Purchase of long-term deposits </w:t>
            </w:r>
          </w:p>
        </w:tc>
        <w:tc>
          <w:tcPr>
            <w:tcW w:w="1026" w:type="dxa"/>
            <w:tcBorders>
              <w:top w:val="nil"/>
              <w:left w:val="nil"/>
              <w:bottom w:val="nil"/>
              <w:right w:val="nil"/>
            </w:tcBorders>
            <w:shd w:val="clear" w:color="FFFFFF" w:fill="FFFFFF"/>
            <w:noWrap/>
            <w:vAlign w:val="bottom"/>
            <w:hideMark/>
          </w:tcPr>
          <w:p w14:paraId="342D5976" w14:textId="77777777" w:rsidR="00C32CBD" w:rsidRDefault="00C32CBD" w:rsidP="00320D09">
            <w:pPr>
              <w:jc w:val="center"/>
              <w:rPr>
                <w:rFonts w:cs="Arial"/>
                <w:sz w:val="18"/>
                <w:szCs w:val="18"/>
              </w:rPr>
            </w:pPr>
            <w:r>
              <w:rPr>
                <w:rFonts w:cs="Arial"/>
                <w:sz w:val="18"/>
                <w:szCs w:val="18"/>
              </w:rPr>
              <w:t> </w:t>
            </w:r>
          </w:p>
        </w:tc>
        <w:tc>
          <w:tcPr>
            <w:tcW w:w="1057" w:type="dxa"/>
            <w:tcBorders>
              <w:top w:val="nil"/>
              <w:left w:val="nil"/>
              <w:bottom w:val="nil"/>
              <w:right w:val="nil"/>
            </w:tcBorders>
            <w:shd w:val="clear" w:color="FFFFFF" w:fill="FFFFFF"/>
            <w:noWrap/>
            <w:vAlign w:val="bottom"/>
            <w:hideMark/>
          </w:tcPr>
          <w:p w14:paraId="4ACDE32D" w14:textId="77777777" w:rsidR="00C32CBD" w:rsidRDefault="00C32CBD" w:rsidP="00320D09">
            <w:pPr>
              <w:jc w:val="right"/>
              <w:rPr>
                <w:rFonts w:cs="Arial"/>
                <w:b/>
                <w:bCs/>
                <w:sz w:val="18"/>
                <w:szCs w:val="18"/>
              </w:rPr>
            </w:pPr>
            <w:r>
              <w:rPr>
                <w:rFonts w:cs="Arial"/>
                <w:b/>
                <w:bCs/>
                <w:sz w:val="18"/>
                <w:szCs w:val="18"/>
              </w:rPr>
              <w:t>-</w:t>
            </w:r>
          </w:p>
        </w:tc>
        <w:tc>
          <w:tcPr>
            <w:tcW w:w="236" w:type="dxa"/>
            <w:tcBorders>
              <w:top w:val="nil"/>
              <w:left w:val="nil"/>
              <w:bottom w:val="nil"/>
              <w:right w:val="nil"/>
            </w:tcBorders>
            <w:shd w:val="clear" w:color="FFFFFF" w:fill="FFFFFF"/>
            <w:noWrap/>
            <w:vAlign w:val="bottom"/>
            <w:hideMark/>
          </w:tcPr>
          <w:p w14:paraId="579110FC" w14:textId="77777777" w:rsidR="00C32CBD" w:rsidRDefault="00C32CBD" w:rsidP="00320D09">
            <w:pPr>
              <w:rPr>
                <w:rFonts w:cs="Arial"/>
                <w:sz w:val="18"/>
                <w:szCs w:val="18"/>
              </w:rPr>
            </w:pPr>
            <w:r>
              <w:rPr>
                <w:rFonts w:cs="Arial"/>
                <w:sz w:val="18"/>
                <w:szCs w:val="18"/>
              </w:rPr>
              <w:t> </w:t>
            </w:r>
          </w:p>
        </w:tc>
        <w:tc>
          <w:tcPr>
            <w:tcW w:w="1030" w:type="dxa"/>
            <w:tcBorders>
              <w:top w:val="nil"/>
              <w:left w:val="nil"/>
              <w:bottom w:val="nil"/>
              <w:right w:val="nil"/>
            </w:tcBorders>
            <w:shd w:val="clear" w:color="FFFFFF" w:fill="FFFFFF"/>
            <w:noWrap/>
            <w:vAlign w:val="bottom"/>
            <w:hideMark/>
          </w:tcPr>
          <w:p w14:paraId="73457301" w14:textId="77777777" w:rsidR="00C32CBD" w:rsidRDefault="00C32CBD" w:rsidP="00320D09">
            <w:pPr>
              <w:jc w:val="right"/>
              <w:rPr>
                <w:rFonts w:cs="Arial"/>
                <w:sz w:val="18"/>
                <w:szCs w:val="18"/>
              </w:rPr>
            </w:pPr>
            <w:r>
              <w:rPr>
                <w:rFonts w:cs="Arial"/>
                <w:sz w:val="18"/>
                <w:szCs w:val="18"/>
              </w:rPr>
              <w:t>252,569</w:t>
            </w:r>
          </w:p>
        </w:tc>
        <w:tc>
          <w:tcPr>
            <w:tcW w:w="236" w:type="dxa"/>
            <w:tcBorders>
              <w:top w:val="nil"/>
              <w:left w:val="nil"/>
              <w:bottom w:val="nil"/>
              <w:right w:val="nil"/>
            </w:tcBorders>
            <w:shd w:val="clear" w:color="FFFFFF" w:fill="FFFFFF"/>
            <w:noWrap/>
            <w:vAlign w:val="bottom"/>
            <w:hideMark/>
          </w:tcPr>
          <w:p w14:paraId="4A59D6F0" w14:textId="77777777" w:rsidR="00C32CBD" w:rsidRDefault="00C32CBD" w:rsidP="00320D09">
            <w:pPr>
              <w:rPr>
                <w:rFonts w:cs="Arial"/>
                <w:sz w:val="18"/>
                <w:szCs w:val="18"/>
              </w:rPr>
            </w:pPr>
            <w:r>
              <w:rPr>
                <w:rFonts w:cs="Arial"/>
                <w:sz w:val="18"/>
                <w:szCs w:val="18"/>
              </w:rPr>
              <w:t> </w:t>
            </w:r>
          </w:p>
        </w:tc>
        <w:tc>
          <w:tcPr>
            <w:tcW w:w="1030" w:type="dxa"/>
            <w:tcBorders>
              <w:top w:val="nil"/>
              <w:left w:val="nil"/>
              <w:bottom w:val="nil"/>
              <w:right w:val="nil"/>
            </w:tcBorders>
            <w:shd w:val="clear" w:color="FFFFFF" w:fill="FFFFFF"/>
            <w:noWrap/>
            <w:vAlign w:val="bottom"/>
            <w:hideMark/>
          </w:tcPr>
          <w:p w14:paraId="73978C7A" w14:textId="77777777" w:rsidR="00C32CBD" w:rsidRDefault="00C32CBD" w:rsidP="00320D09">
            <w:pPr>
              <w:jc w:val="right"/>
              <w:rPr>
                <w:rFonts w:cs="Arial"/>
                <w:sz w:val="18"/>
                <w:szCs w:val="18"/>
              </w:rPr>
            </w:pPr>
            <w:r>
              <w:rPr>
                <w:rFonts w:cs="Arial"/>
                <w:sz w:val="18"/>
                <w:szCs w:val="18"/>
              </w:rPr>
              <w:t xml:space="preserve"> -</w:t>
            </w:r>
          </w:p>
        </w:tc>
      </w:tr>
      <w:tr w:rsidR="00C32CBD" w14:paraId="52672AEE" w14:textId="77777777" w:rsidTr="00320D09">
        <w:trPr>
          <w:trHeight w:val="255"/>
        </w:trPr>
        <w:tc>
          <w:tcPr>
            <w:tcW w:w="4472" w:type="dxa"/>
            <w:tcBorders>
              <w:top w:val="nil"/>
              <w:left w:val="nil"/>
              <w:bottom w:val="nil"/>
              <w:right w:val="nil"/>
            </w:tcBorders>
            <w:shd w:val="clear" w:color="FFFFFF" w:fill="FFFFFF"/>
            <w:vAlign w:val="bottom"/>
            <w:hideMark/>
          </w:tcPr>
          <w:p w14:paraId="304AF417" w14:textId="77777777" w:rsidR="00C32CBD" w:rsidRDefault="00C32CBD" w:rsidP="00320D09">
            <w:pPr>
              <w:rPr>
                <w:rFonts w:cs="Arial"/>
                <w:b/>
                <w:bCs/>
                <w:sz w:val="18"/>
                <w:szCs w:val="18"/>
              </w:rPr>
            </w:pPr>
            <w:r>
              <w:rPr>
                <w:rFonts w:cs="Arial"/>
                <w:b/>
                <w:bCs/>
                <w:sz w:val="18"/>
                <w:szCs w:val="18"/>
              </w:rPr>
              <w:t>Total cash used</w:t>
            </w:r>
          </w:p>
        </w:tc>
        <w:tc>
          <w:tcPr>
            <w:tcW w:w="1026" w:type="dxa"/>
            <w:tcBorders>
              <w:top w:val="nil"/>
              <w:left w:val="nil"/>
              <w:bottom w:val="nil"/>
              <w:right w:val="nil"/>
            </w:tcBorders>
            <w:shd w:val="clear" w:color="FFFFFF" w:fill="FFFFFF"/>
            <w:noWrap/>
            <w:vAlign w:val="bottom"/>
            <w:hideMark/>
          </w:tcPr>
          <w:p w14:paraId="4682D7D8" w14:textId="77777777" w:rsidR="00C32CBD" w:rsidRDefault="00C32CBD" w:rsidP="00320D09">
            <w:pPr>
              <w:jc w:val="center"/>
              <w:rPr>
                <w:rFonts w:cs="Arial"/>
                <w:sz w:val="18"/>
                <w:szCs w:val="18"/>
              </w:rPr>
            </w:pPr>
            <w:r>
              <w:rPr>
                <w:rFonts w:cs="Arial"/>
                <w:sz w:val="18"/>
                <w:szCs w:val="18"/>
              </w:rPr>
              <w:t> </w:t>
            </w:r>
          </w:p>
        </w:tc>
        <w:tc>
          <w:tcPr>
            <w:tcW w:w="1057" w:type="dxa"/>
            <w:tcBorders>
              <w:top w:val="single" w:sz="4" w:space="0" w:color="auto"/>
              <w:left w:val="nil"/>
              <w:bottom w:val="single" w:sz="4" w:space="0" w:color="auto"/>
              <w:right w:val="nil"/>
            </w:tcBorders>
            <w:shd w:val="clear" w:color="FFFFFF" w:fill="FFFFFF"/>
            <w:noWrap/>
            <w:vAlign w:val="bottom"/>
            <w:hideMark/>
          </w:tcPr>
          <w:p w14:paraId="249F49DE" w14:textId="77777777" w:rsidR="00C32CBD" w:rsidRDefault="00C32CBD" w:rsidP="00320D09">
            <w:pPr>
              <w:jc w:val="right"/>
              <w:rPr>
                <w:rFonts w:cs="Arial"/>
                <w:b/>
                <w:bCs/>
                <w:sz w:val="18"/>
                <w:szCs w:val="18"/>
              </w:rPr>
            </w:pPr>
            <w:r>
              <w:rPr>
                <w:rFonts w:cs="Arial"/>
                <w:b/>
                <w:bCs/>
                <w:sz w:val="18"/>
                <w:szCs w:val="18"/>
              </w:rPr>
              <w:t>16,156</w:t>
            </w:r>
          </w:p>
        </w:tc>
        <w:tc>
          <w:tcPr>
            <w:tcW w:w="236" w:type="dxa"/>
            <w:tcBorders>
              <w:top w:val="nil"/>
              <w:left w:val="nil"/>
              <w:bottom w:val="nil"/>
              <w:right w:val="nil"/>
            </w:tcBorders>
            <w:shd w:val="clear" w:color="FFFFFF" w:fill="FFFFFF"/>
            <w:noWrap/>
            <w:vAlign w:val="bottom"/>
            <w:hideMark/>
          </w:tcPr>
          <w:p w14:paraId="0DE19FAB" w14:textId="77777777" w:rsidR="00C32CBD" w:rsidRDefault="00C32CBD" w:rsidP="00320D09">
            <w:pPr>
              <w:rPr>
                <w:rFonts w:cs="Arial"/>
                <w:sz w:val="18"/>
                <w:szCs w:val="18"/>
              </w:rPr>
            </w:pPr>
            <w:r>
              <w:rPr>
                <w:rFonts w:cs="Arial"/>
                <w:sz w:val="18"/>
                <w:szCs w:val="18"/>
              </w:rPr>
              <w:t> </w:t>
            </w:r>
          </w:p>
        </w:tc>
        <w:tc>
          <w:tcPr>
            <w:tcW w:w="1030" w:type="dxa"/>
            <w:tcBorders>
              <w:top w:val="single" w:sz="4" w:space="0" w:color="auto"/>
              <w:left w:val="nil"/>
              <w:bottom w:val="single" w:sz="4" w:space="0" w:color="auto"/>
              <w:right w:val="nil"/>
            </w:tcBorders>
            <w:shd w:val="clear" w:color="FFFFFF" w:fill="FFFFFF"/>
            <w:noWrap/>
            <w:vAlign w:val="bottom"/>
            <w:hideMark/>
          </w:tcPr>
          <w:p w14:paraId="23B72AAE" w14:textId="77777777" w:rsidR="00C32CBD" w:rsidRDefault="00C32CBD" w:rsidP="00320D09">
            <w:pPr>
              <w:jc w:val="right"/>
              <w:rPr>
                <w:rFonts w:cs="Arial"/>
                <w:sz w:val="18"/>
                <w:szCs w:val="18"/>
              </w:rPr>
            </w:pPr>
            <w:r>
              <w:rPr>
                <w:rFonts w:cs="Arial"/>
                <w:sz w:val="18"/>
                <w:szCs w:val="18"/>
              </w:rPr>
              <w:t>253,530</w:t>
            </w:r>
          </w:p>
        </w:tc>
        <w:tc>
          <w:tcPr>
            <w:tcW w:w="236" w:type="dxa"/>
            <w:tcBorders>
              <w:top w:val="nil"/>
              <w:left w:val="nil"/>
              <w:bottom w:val="nil"/>
              <w:right w:val="nil"/>
            </w:tcBorders>
            <w:shd w:val="clear" w:color="FFFFFF" w:fill="FFFFFF"/>
            <w:noWrap/>
            <w:vAlign w:val="bottom"/>
            <w:hideMark/>
          </w:tcPr>
          <w:p w14:paraId="44ED1A98" w14:textId="77777777" w:rsidR="00C32CBD" w:rsidRDefault="00C32CBD" w:rsidP="00320D09">
            <w:pPr>
              <w:rPr>
                <w:rFonts w:cs="Arial"/>
                <w:sz w:val="18"/>
                <w:szCs w:val="18"/>
              </w:rPr>
            </w:pPr>
            <w:r>
              <w:rPr>
                <w:rFonts w:cs="Arial"/>
                <w:sz w:val="18"/>
                <w:szCs w:val="18"/>
              </w:rPr>
              <w:t> </w:t>
            </w:r>
          </w:p>
        </w:tc>
        <w:tc>
          <w:tcPr>
            <w:tcW w:w="1030" w:type="dxa"/>
            <w:tcBorders>
              <w:top w:val="single" w:sz="4" w:space="0" w:color="auto"/>
              <w:left w:val="nil"/>
              <w:bottom w:val="single" w:sz="4" w:space="0" w:color="auto"/>
              <w:right w:val="nil"/>
            </w:tcBorders>
            <w:shd w:val="clear" w:color="FFFFFF" w:fill="FFFFFF"/>
            <w:noWrap/>
            <w:vAlign w:val="bottom"/>
            <w:hideMark/>
          </w:tcPr>
          <w:p w14:paraId="57221AB3" w14:textId="77777777" w:rsidR="00C32CBD" w:rsidRDefault="00C32CBD" w:rsidP="00320D09">
            <w:pPr>
              <w:jc w:val="right"/>
              <w:rPr>
                <w:rFonts w:cs="Arial"/>
                <w:sz w:val="18"/>
                <w:szCs w:val="18"/>
              </w:rPr>
            </w:pPr>
            <w:r>
              <w:rPr>
                <w:rFonts w:cs="Arial"/>
                <w:sz w:val="18"/>
                <w:szCs w:val="18"/>
              </w:rPr>
              <w:t>116,197</w:t>
            </w:r>
          </w:p>
        </w:tc>
      </w:tr>
      <w:tr w:rsidR="00C32CBD" w14:paraId="328B037E" w14:textId="77777777" w:rsidTr="00320D09">
        <w:trPr>
          <w:trHeight w:val="255"/>
        </w:trPr>
        <w:tc>
          <w:tcPr>
            <w:tcW w:w="4472" w:type="dxa"/>
            <w:tcBorders>
              <w:top w:val="nil"/>
              <w:left w:val="nil"/>
              <w:bottom w:val="nil"/>
              <w:right w:val="nil"/>
            </w:tcBorders>
            <w:shd w:val="clear" w:color="FFFFFF" w:fill="FFFFFF"/>
            <w:vAlign w:val="bottom"/>
            <w:hideMark/>
          </w:tcPr>
          <w:p w14:paraId="5AE6C77F" w14:textId="77777777" w:rsidR="00C32CBD" w:rsidRDefault="00C32CBD" w:rsidP="00320D09">
            <w:pPr>
              <w:rPr>
                <w:rFonts w:cs="Arial"/>
                <w:b/>
                <w:bCs/>
                <w:sz w:val="18"/>
                <w:szCs w:val="18"/>
              </w:rPr>
            </w:pPr>
            <w:r>
              <w:rPr>
                <w:rFonts w:cs="Arial"/>
                <w:b/>
                <w:bCs/>
                <w:sz w:val="18"/>
                <w:szCs w:val="18"/>
              </w:rPr>
              <w:t>Net cash from investing activities</w:t>
            </w:r>
          </w:p>
        </w:tc>
        <w:tc>
          <w:tcPr>
            <w:tcW w:w="1026" w:type="dxa"/>
            <w:tcBorders>
              <w:top w:val="nil"/>
              <w:left w:val="nil"/>
              <w:bottom w:val="nil"/>
              <w:right w:val="nil"/>
            </w:tcBorders>
            <w:shd w:val="clear" w:color="FFFFFF" w:fill="FFFFFF"/>
            <w:noWrap/>
            <w:vAlign w:val="bottom"/>
            <w:hideMark/>
          </w:tcPr>
          <w:p w14:paraId="62804793" w14:textId="77777777" w:rsidR="00C32CBD" w:rsidRDefault="00C32CBD" w:rsidP="00320D09">
            <w:pPr>
              <w:jc w:val="center"/>
              <w:rPr>
                <w:rFonts w:cs="Arial"/>
                <w:sz w:val="18"/>
                <w:szCs w:val="18"/>
              </w:rPr>
            </w:pPr>
            <w:r>
              <w:rPr>
                <w:rFonts w:cs="Arial"/>
                <w:sz w:val="18"/>
                <w:szCs w:val="18"/>
              </w:rPr>
              <w:t> </w:t>
            </w:r>
          </w:p>
        </w:tc>
        <w:tc>
          <w:tcPr>
            <w:tcW w:w="1057" w:type="dxa"/>
            <w:tcBorders>
              <w:top w:val="nil"/>
              <w:left w:val="nil"/>
              <w:bottom w:val="single" w:sz="4" w:space="0" w:color="auto"/>
              <w:right w:val="nil"/>
            </w:tcBorders>
            <w:shd w:val="clear" w:color="FFFFFF" w:fill="FFFFFF"/>
            <w:noWrap/>
            <w:vAlign w:val="bottom"/>
            <w:hideMark/>
          </w:tcPr>
          <w:p w14:paraId="6E46B694" w14:textId="77777777" w:rsidR="00C32CBD" w:rsidRDefault="00C32CBD" w:rsidP="00320D09">
            <w:pPr>
              <w:jc w:val="right"/>
              <w:rPr>
                <w:rFonts w:cs="Arial"/>
                <w:b/>
                <w:bCs/>
                <w:sz w:val="18"/>
                <w:szCs w:val="18"/>
              </w:rPr>
            </w:pPr>
            <w:r>
              <w:rPr>
                <w:rFonts w:cs="Arial"/>
                <w:b/>
                <w:bCs/>
                <w:sz w:val="18"/>
                <w:szCs w:val="18"/>
              </w:rPr>
              <w:t>17,038</w:t>
            </w:r>
          </w:p>
        </w:tc>
        <w:tc>
          <w:tcPr>
            <w:tcW w:w="236" w:type="dxa"/>
            <w:tcBorders>
              <w:top w:val="nil"/>
              <w:left w:val="nil"/>
              <w:bottom w:val="nil"/>
              <w:right w:val="nil"/>
            </w:tcBorders>
            <w:shd w:val="clear" w:color="FFFFFF" w:fill="FFFFFF"/>
            <w:noWrap/>
            <w:vAlign w:val="bottom"/>
            <w:hideMark/>
          </w:tcPr>
          <w:p w14:paraId="29D7465A" w14:textId="77777777" w:rsidR="00C32CBD" w:rsidRDefault="00C32CBD" w:rsidP="00320D09">
            <w:pPr>
              <w:rPr>
                <w:rFonts w:cs="Arial"/>
                <w:sz w:val="18"/>
                <w:szCs w:val="18"/>
              </w:rPr>
            </w:pPr>
            <w:r>
              <w:rPr>
                <w:rFonts w:cs="Arial"/>
                <w:sz w:val="18"/>
                <w:szCs w:val="18"/>
              </w:rPr>
              <w:t> </w:t>
            </w:r>
          </w:p>
        </w:tc>
        <w:tc>
          <w:tcPr>
            <w:tcW w:w="1030" w:type="dxa"/>
            <w:tcBorders>
              <w:top w:val="nil"/>
              <w:left w:val="nil"/>
              <w:bottom w:val="single" w:sz="4" w:space="0" w:color="auto"/>
              <w:right w:val="nil"/>
            </w:tcBorders>
            <w:shd w:val="clear" w:color="FFFFFF" w:fill="FFFFFF"/>
            <w:noWrap/>
            <w:vAlign w:val="bottom"/>
            <w:hideMark/>
          </w:tcPr>
          <w:p w14:paraId="42B2A477" w14:textId="77777777" w:rsidR="00C32CBD" w:rsidRDefault="00C32CBD" w:rsidP="00320D09">
            <w:pPr>
              <w:jc w:val="right"/>
              <w:rPr>
                <w:rFonts w:cs="Arial"/>
                <w:sz w:val="18"/>
                <w:szCs w:val="18"/>
              </w:rPr>
            </w:pPr>
            <w:r>
              <w:rPr>
                <w:rFonts w:cs="Arial"/>
                <w:sz w:val="18"/>
                <w:szCs w:val="18"/>
              </w:rPr>
              <w:t>(34,155)</w:t>
            </w:r>
          </w:p>
        </w:tc>
        <w:tc>
          <w:tcPr>
            <w:tcW w:w="236" w:type="dxa"/>
            <w:tcBorders>
              <w:top w:val="nil"/>
              <w:left w:val="nil"/>
              <w:bottom w:val="nil"/>
              <w:right w:val="nil"/>
            </w:tcBorders>
            <w:shd w:val="clear" w:color="FFFFFF" w:fill="FFFFFF"/>
            <w:noWrap/>
            <w:vAlign w:val="bottom"/>
            <w:hideMark/>
          </w:tcPr>
          <w:p w14:paraId="5A5C44CB" w14:textId="77777777" w:rsidR="00C32CBD" w:rsidRDefault="00C32CBD" w:rsidP="00320D09">
            <w:pPr>
              <w:rPr>
                <w:rFonts w:cs="Arial"/>
                <w:sz w:val="18"/>
                <w:szCs w:val="18"/>
              </w:rPr>
            </w:pPr>
            <w:r>
              <w:rPr>
                <w:rFonts w:cs="Arial"/>
                <w:sz w:val="18"/>
                <w:szCs w:val="18"/>
              </w:rPr>
              <w:t> </w:t>
            </w:r>
          </w:p>
        </w:tc>
        <w:tc>
          <w:tcPr>
            <w:tcW w:w="1030" w:type="dxa"/>
            <w:tcBorders>
              <w:top w:val="nil"/>
              <w:left w:val="nil"/>
              <w:bottom w:val="single" w:sz="4" w:space="0" w:color="auto"/>
              <w:right w:val="nil"/>
            </w:tcBorders>
            <w:shd w:val="clear" w:color="FFFFFF" w:fill="FFFFFF"/>
            <w:noWrap/>
            <w:vAlign w:val="bottom"/>
            <w:hideMark/>
          </w:tcPr>
          <w:p w14:paraId="20C7F83D" w14:textId="77777777" w:rsidR="00C32CBD" w:rsidRDefault="00C32CBD" w:rsidP="00320D09">
            <w:pPr>
              <w:jc w:val="right"/>
              <w:rPr>
                <w:rFonts w:cs="Arial"/>
                <w:sz w:val="18"/>
                <w:szCs w:val="18"/>
              </w:rPr>
            </w:pPr>
            <w:r>
              <w:rPr>
                <w:rFonts w:cs="Arial"/>
                <w:sz w:val="18"/>
                <w:szCs w:val="18"/>
              </w:rPr>
              <w:t>(116,197)</w:t>
            </w:r>
          </w:p>
        </w:tc>
      </w:tr>
      <w:tr w:rsidR="00C32CBD" w14:paraId="3671E25D" w14:textId="77777777" w:rsidTr="00320D09">
        <w:trPr>
          <w:trHeight w:val="120"/>
        </w:trPr>
        <w:tc>
          <w:tcPr>
            <w:tcW w:w="4472" w:type="dxa"/>
            <w:tcBorders>
              <w:top w:val="nil"/>
              <w:left w:val="nil"/>
              <w:bottom w:val="nil"/>
              <w:right w:val="nil"/>
            </w:tcBorders>
            <w:shd w:val="clear" w:color="FFFFFF" w:fill="FFFFFF"/>
            <w:noWrap/>
            <w:vAlign w:val="bottom"/>
            <w:hideMark/>
          </w:tcPr>
          <w:p w14:paraId="1A11CF9E" w14:textId="77777777" w:rsidR="00C32CBD" w:rsidRDefault="00C32CBD" w:rsidP="00320D09">
            <w:pPr>
              <w:rPr>
                <w:rFonts w:cs="Arial"/>
                <w:sz w:val="18"/>
                <w:szCs w:val="18"/>
              </w:rPr>
            </w:pPr>
            <w:r>
              <w:rPr>
                <w:rFonts w:cs="Arial"/>
                <w:sz w:val="18"/>
                <w:szCs w:val="18"/>
              </w:rPr>
              <w:t> </w:t>
            </w:r>
          </w:p>
        </w:tc>
        <w:tc>
          <w:tcPr>
            <w:tcW w:w="1026" w:type="dxa"/>
            <w:tcBorders>
              <w:top w:val="nil"/>
              <w:left w:val="nil"/>
              <w:bottom w:val="nil"/>
              <w:right w:val="nil"/>
            </w:tcBorders>
            <w:shd w:val="clear" w:color="FFFFFF" w:fill="FFFFFF"/>
            <w:noWrap/>
            <w:vAlign w:val="bottom"/>
            <w:hideMark/>
          </w:tcPr>
          <w:p w14:paraId="3856A7E1" w14:textId="77777777" w:rsidR="00C32CBD" w:rsidRDefault="00C32CBD" w:rsidP="00320D09">
            <w:pPr>
              <w:jc w:val="center"/>
              <w:rPr>
                <w:rFonts w:cs="Arial"/>
                <w:sz w:val="18"/>
                <w:szCs w:val="18"/>
              </w:rPr>
            </w:pPr>
            <w:r>
              <w:rPr>
                <w:rFonts w:cs="Arial"/>
                <w:sz w:val="18"/>
                <w:szCs w:val="18"/>
              </w:rPr>
              <w:t> </w:t>
            </w:r>
          </w:p>
        </w:tc>
        <w:tc>
          <w:tcPr>
            <w:tcW w:w="1057" w:type="dxa"/>
            <w:tcBorders>
              <w:top w:val="nil"/>
              <w:left w:val="nil"/>
              <w:bottom w:val="nil"/>
              <w:right w:val="nil"/>
            </w:tcBorders>
            <w:shd w:val="clear" w:color="FFFFFF" w:fill="FFFFFF"/>
            <w:noWrap/>
            <w:vAlign w:val="bottom"/>
            <w:hideMark/>
          </w:tcPr>
          <w:p w14:paraId="6F734784"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348B788F" w14:textId="77777777" w:rsidR="00C32CBD" w:rsidRDefault="00C32CBD" w:rsidP="00320D09">
            <w:pPr>
              <w:rPr>
                <w:rFonts w:cs="Arial"/>
                <w:sz w:val="18"/>
                <w:szCs w:val="18"/>
              </w:rPr>
            </w:pPr>
            <w:r>
              <w:rPr>
                <w:rFonts w:cs="Arial"/>
                <w:sz w:val="18"/>
                <w:szCs w:val="18"/>
              </w:rPr>
              <w:t> </w:t>
            </w:r>
          </w:p>
        </w:tc>
        <w:tc>
          <w:tcPr>
            <w:tcW w:w="1030" w:type="dxa"/>
            <w:tcBorders>
              <w:top w:val="nil"/>
              <w:left w:val="nil"/>
              <w:bottom w:val="nil"/>
              <w:right w:val="nil"/>
            </w:tcBorders>
            <w:shd w:val="clear" w:color="FFFFFF" w:fill="FFFFFF"/>
            <w:noWrap/>
            <w:vAlign w:val="bottom"/>
            <w:hideMark/>
          </w:tcPr>
          <w:p w14:paraId="659CC51D"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4A42C818" w14:textId="77777777" w:rsidR="00C32CBD" w:rsidRDefault="00C32CBD" w:rsidP="00320D09">
            <w:pPr>
              <w:rPr>
                <w:rFonts w:cs="Arial"/>
                <w:sz w:val="18"/>
                <w:szCs w:val="18"/>
              </w:rPr>
            </w:pPr>
            <w:r>
              <w:rPr>
                <w:rFonts w:cs="Arial"/>
                <w:sz w:val="18"/>
                <w:szCs w:val="18"/>
              </w:rPr>
              <w:t> </w:t>
            </w:r>
          </w:p>
        </w:tc>
        <w:tc>
          <w:tcPr>
            <w:tcW w:w="1030" w:type="dxa"/>
            <w:tcBorders>
              <w:top w:val="nil"/>
              <w:left w:val="nil"/>
              <w:bottom w:val="nil"/>
              <w:right w:val="nil"/>
            </w:tcBorders>
            <w:shd w:val="clear" w:color="FFFFFF" w:fill="FFFFFF"/>
            <w:noWrap/>
            <w:vAlign w:val="bottom"/>
            <w:hideMark/>
          </w:tcPr>
          <w:p w14:paraId="7F032365" w14:textId="77777777" w:rsidR="00C32CBD" w:rsidRDefault="00C32CBD" w:rsidP="00320D09">
            <w:pPr>
              <w:rPr>
                <w:rFonts w:cs="Arial"/>
                <w:sz w:val="18"/>
                <w:szCs w:val="18"/>
              </w:rPr>
            </w:pPr>
            <w:r>
              <w:rPr>
                <w:rFonts w:cs="Arial"/>
                <w:sz w:val="18"/>
                <w:szCs w:val="18"/>
              </w:rPr>
              <w:t> </w:t>
            </w:r>
          </w:p>
        </w:tc>
      </w:tr>
      <w:tr w:rsidR="00C32CBD" w14:paraId="6662DE7D" w14:textId="77777777" w:rsidTr="00320D09">
        <w:trPr>
          <w:trHeight w:val="255"/>
        </w:trPr>
        <w:tc>
          <w:tcPr>
            <w:tcW w:w="4472" w:type="dxa"/>
            <w:tcBorders>
              <w:top w:val="nil"/>
              <w:left w:val="nil"/>
              <w:bottom w:val="nil"/>
              <w:right w:val="nil"/>
            </w:tcBorders>
            <w:shd w:val="clear" w:color="FFFFFF" w:fill="FFFFFF"/>
            <w:vAlign w:val="bottom"/>
            <w:hideMark/>
          </w:tcPr>
          <w:p w14:paraId="4A05C940" w14:textId="77777777" w:rsidR="00C32CBD" w:rsidRDefault="00C32CBD" w:rsidP="00320D09">
            <w:pPr>
              <w:rPr>
                <w:rFonts w:cs="Arial"/>
                <w:b/>
                <w:bCs/>
                <w:sz w:val="18"/>
                <w:szCs w:val="18"/>
              </w:rPr>
            </w:pPr>
            <w:r>
              <w:rPr>
                <w:rFonts w:cs="Arial"/>
                <w:b/>
                <w:bCs/>
                <w:sz w:val="18"/>
                <w:szCs w:val="18"/>
              </w:rPr>
              <w:t>FINANCING ACTIVITIES</w:t>
            </w:r>
          </w:p>
        </w:tc>
        <w:tc>
          <w:tcPr>
            <w:tcW w:w="1026" w:type="dxa"/>
            <w:tcBorders>
              <w:top w:val="nil"/>
              <w:left w:val="nil"/>
              <w:bottom w:val="nil"/>
              <w:right w:val="nil"/>
            </w:tcBorders>
            <w:shd w:val="clear" w:color="FFFFFF" w:fill="FFFFFF"/>
            <w:noWrap/>
            <w:vAlign w:val="bottom"/>
            <w:hideMark/>
          </w:tcPr>
          <w:p w14:paraId="5B067051" w14:textId="77777777" w:rsidR="00C32CBD" w:rsidRDefault="00C32CBD" w:rsidP="00320D09">
            <w:pPr>
              <w:jc w:val="center"/>
              <w:rPr>
                <w:rFonts w:cs="Arial"/>
                <w:sz w:val="18"/>
                <w:szCs w:val="18"/>
              </w:rPr>
            </w:pPr>
            <w:r>
              <w:rPr>
                <w:rFonts w:cs="Arial"/>
                <w:sz w:val="18"/>
                <w:szCs w:val="18"/>
              </w:rPr>
              <w:t> </w:t>
            </w:r>
          </w:p>
        </w:tc>
        <w:tc>
          <w:tcPr>
            <w:tcW w:w="1057" w:type="dxa"/>
            <w:tcBorders>
              <w:top w:val="nil"/>
              <w:left w:val="nil"/>
              <w:bottom w:val="nil"/>
              <w:right w:val="nil"/>
            </w:tcBorders>
            <w:shd w:val="clear" w:color="FFFFFF" w:fill="FFFFFF"/>
            <w:noWrap/>
            <w:vAlign w:val="bottom"/>
            <w:hideMark/>
          </w:tcPr>
          <w:p w14:paraId="210FCBFD"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76116659" w14:textId="77777777" w:rsidR="00C32CBD" w:rsidRDefault="00C32CBD" w:rsidP="00320D09">
            <w:pPr>
              <w:rPr>
                <w:rFonts w:cs="Arial"/>
                <w:sz w:val="18"/>
                <w:szCs w:val="18"/>
              </w:rPr>
            </w:pPr>
            <w:r>
              <w:rPr>
                <w:rFonts w:cs="Arial"/>
                <w:sz w:val="18"/>
                <w:szCs w:val="18"/>
              </w:rPr>
              <w:t> </w:t>
            </w:r>
          </w:p>
        </w:tc>
        <w:tc>
          <w:tcPr>
            <w:tcW w:w="1030" w:type="dxa"/>
            <w:tcBorders>
              <w:top w:val="nil"/>
              <w:left w:val="nil"/>
              <w:bottom w:val="nil"/>
              <w:right w:val="nil"/>
            </w:tcBorders>
            <w:shd w:val="clear" w:color="FFFFFF" w:fill="FFFFFF"/>
            <w:noWrap/>
            <w:vAlign w:val="bottom"/>
            <w:hideMark/>
          </w:tcPr>
          <w:p w14:paraId="14906270"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021D3124" w14:textId="77777777" w:rsidR="00C32CBD" w:rsidRDefault="00C32CBD" w:rsidP="00320D09">
            <w:pPr>
              <w:rPr>
                <w:rFonts w:cs="Arial"/>
                <w:sz w:val="18"/>
                <w:szCs w:val="18"/>
              </w:rPr>
            </w:pPr>
            <w:r>
              <w:rPr>
                <w:rFonts w:cs="Arial"/>
                <w:sz w:val="18"/>
                <w:szCs w:val="18"/>
              </w:rPr>
              <w:t> </w:t>
            </w:r>
          </w:p>
        </w:tc>
        <w:tc>
          <w:tcPr>
            <w:tcW w:w="1030" w:type="dxa"/>
            <w:tcBorders>
              <w:top w:val="nil"/>
              <w:left w:val="nil"/>
              <w:bottom w:val="nil"/>
              <w:right w:val="nil"/>
            </w:tcBorders>
            <w:shd w:val="clear" w:color="FFFFFF" w:fill="FFFFFF"/>
            <w:noWrap/>
            <w:vAlign w:val="bottom"/>
            <w:hideMark/>
          </w:tcPr>
          <w:p w14:paraId="34F2EC60" w14:textId="77777777" w:rsidR="00C32CBD" w:rsidRDefault="00C32CBD" w:rsidP="00320D09">
            <w:pPr>
              <w:rPr>
                <w:rFonts w:cs="Arial"/>
                <w:sz w:val="18"/>
                <w:szCs w:val="18"/>
              </w:rPr>
            </w:pPr>
            <w:r>
              <w:rPr>
                <w:rFonts w:cs="Arial"/>
                <w:sz w:val="18"/>
                <w:szCs w:val="18"/>
              </w:rPr>
              <w:t> </w:t>
            </w:r>
          </w:p>
        </w:tc>
      </w:tr>
      <w:tr w:rsidR="00C32CBD" w14:paraId="40F1EFE3" w14:textId="77777777" w:rsidTr="00320D09">
        <w:trPr>
          <w:trHeight w:val="255"/>
        </w:trPr>
        <w:tc>
          <w:tcPr>
            <w:tcW w:w="4472" w:type="dxa"/>
            <w:tcBorders>
              <w:top w:val="nil"/>
              <w:left w:val="nil"/>
              <w:bottom w:val="nil"/>
              <w:right w:val="nil"/>
            </w:tcBorders>
            <w:shd w:val="clear" w:color="FFFFFF" w:fill="FFFFFF"/>
            <w:vAlign w:val="bottom"/>
            <w:hideMark/>
          </w:tcPr>
          <w:p w14:paraId="79FE5A6B" w14:textId="77777777" w:rsidR="00C32CBD" w:rsidRDefault="00C32CBD" w:rsidP="00320D09">
            <w:pPr>
              <w:rPr>
                <w:rFonts w:cs="Arial"/>
                <w:b/>
                <w:bCs/>
                <w:sz w:val="18"/>
                <w:szCs w:val="18"/>
              </w:rPr>
            </w:pPr>
            <w:r>
              <w:rPr>
                <w:rFonts w:cs="Arial"/>
                <w:b/>
                <w:bCs/>
                <w:sz w:val="18"/>
                <w:szCs w:val="18"/>
              </w:rPr>
              <w:t>Cash received</w:t>
            </w:r>
          </w:p>
        </w:tc>
        <w:tc>
          <w:tcPr>
            <w:tcW w:w="1026" w:type="dxa"/>
            <w:tcBorders>
              <w:top w:val="nil"/>
              <w:left w:val="nil"/>
              <w:bottom w:val="nil"/>
              <w:right w:val="nil"/>
            </w:tcBorders>
            <w:shd w:val="clear" w:color="FFFFFF" w:fill="FFFFFF"/>
            <w:noWrap/>
            <w:vAlign w:val="bottom"/>
            <w:hideMark/>
          </w:tcPr>
          <w:p w14:paraId="2DDFA220" w14:textId="77777777" w:rsidR="00C32CBD" w:rsidRDefault="00C32CBD" w:rsidP="00320D09">
            <w:pPr>
              <w:jc w:val="center"/>
              <w:rPr>
                <w:rFonts w:cs="Arial"/>
                <w:sz w:val="18"/>
                <w:szCs w:val="18"/>
              </w:rPr>
            </w:pPr>
            <w:r>
              <w:rPr>
                <w:rFonts w:cs="Arial"/>
                <w:sz w:val="18"/>
                <w:szCs w:val="18"/>
              </w:rPr>
              <w:t> </w:t>
            </w:r>
          </w:p>
        </w:tc>
        <w:tc>
          <w:tcPr>
            <w:tcW w:w="1057" w:type="dxa"/>
            <w:tcBorders>
              <w:top w:val="nil"/>
              <w:left w:val="nil"/>
              <w:bottom w:val="nil"/>
              <w:right w:val="nil"/>
            </w:tcBorders>
            <w:shd w:val="clear" w:color="FFFFFF" w:fill="FFFFFF"/>
            <w:noWrap/>
            <w:vAlign w:val="bottom"/>
            <w:hideMark/>
          </w:tcPr>
          <w:p w14:paraId="775B64C9"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083677F2" w14:textId="77777777" w:rsidR="00C32CBD" w:rsidRDefault="00C32CBD" w:rsidP="00320D09">
            <w:pPr>
              <w:rPr>
                <w:rFonts w:cs="Arial"/>
                <w:sz w:val="18"/>
                <w:szCs w:val="18"/>
              </w:rPr>
            </w:pPr>
            <w:r>
              <w:rPr>
                <w:rFonts w:cs="Arial"/>
                <w:sz w:val="18"/>
                <w:szCs w:val="18"/>
              </w:rPr>
              <w:t> </w:t>
            </w:r>
          </w:p>
        </w:tc>
        <w:tc>
          <w:tcPr>
            <w:tcW w:w="1030" w:type="dxa"/>
            <w:tcBorders>
              <w:top w:val="nil"/>
              <w:left w:val="nil"/>
              <w:bottom w:val="nil"/>
              <w:right w:val="nil"/>
            </w:tcBorders>
            <w:shd w:val="clear" w:color="FFFFFF" w:fill="FFFFFF"/>
            <w:noWrap/>
            <w:vAlign w:val="bottom"/>
            <w:hideMark/>
          </w:tcPr>
          <w:p w14:paraId="2CA43B62"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3386E87B" w14:textId="77777777" w:rsidR="00C32CBD" w:rsidRDefault="00C32CBD" w:rsidP="00320D09">
            <w:pPr>
              <w:rPr>
                <w:rFonts w:cs="Arial"/>
                <w:sz w:val="18"/>
                <w:szCs w:val="18"/>
              </w:rPr>
            </w:pPr>
            <w:r>
              <w:rPr>
                <w:rFonts w:cs="Arial"/>
                <w:sz w:val="18"/>
                <w:szCs w:val="18"/>
              </w:rPr>
              <w:t> </w:t>
            </w:r>
          </w:p>
        </w:tc>
        <w:tc>
          <w:tcPr>
            <w:tcW w:w="1030" w:type="dxa"/>
            <w:tcBorders>
              <w:top w:val="nil"/>
              <w:left w:val="nil"/>
              <w:bottom w:val="nil"/>
              <w:right w:val="nil"/>
            </w:tcBorders>
            <w:shd w:val="clear" w:color="FFFFFF" w:fill="FFFFFF"/>
            <w:noWrap/>
            <w:vAlign w:val="bottom"/>
            <w:hideMark/>
          </w:tcPr>
          <w:p w14:paraId="59919445" w14:textId="77777777" w:rsidR="00C32CBD" w:rsidRDefault="00C32CBD" w:rsidP="00320D09">
            <w:pPr>
              <w:rPr>
                <w:rFonts w:cs="Arial"/>
                <w:sz w:val="18"/>
                <w:szCs w:val="18"/>
              </w:rPr>
            </w:pPr>
            <w:r>
              <w:rPr>
                <w:rFonts w:cs="Arial"/>
                <w:sz w:val="18"/>
                <w:szCs w:val="18"/>
              </w:rPr>
              <w:t> </w:t>
            </w:r>
          </w:p>
        </w:tc>
      </w:tr>
      <w:tr w:rsidR="00C32CBD" w14:paraId="6869E418" w14:textId="77777777" w:rsidTr="00320D09">
        <w:trPr>
          <w:trHeight w:val="255"/>
        </w:trPr>
        <w:tc>
          <w:tcPr>
            <w:tcW w:w="4472" w:type="dxa"/>
            <w:tcBorders>
              <w:top w:val="nil"/>
              <w:left w:val="nil"/>
              <w:bottom w:val="nil"/>
              <w:right w:val="nil"/>
            </w:tcBorders>
            <w:shd w:val="clear" w:color="FFFFFF" w:fill="FFFFFF"/>
            <w:vAlign w:val="bottom"/>
            <w:hideMark/>
          </w:tcPr>
          <w:p w14:paraId="1C8CA29F" w14:textId="77777777" w:rsidR="00C32CBD" w:rsidRDefault="00C32CBD" w:rsidP="00320D09">
            <w:pPr>
              <w:ind w:firstLineChars="100" w:firstLine="180"/>
              <w:rPr>
                <w:rFonts w:cs="Arial"/>
                <w:sz w:val="18"/>
                <w:szCs w:val="18"/>
              </w:rPr>
            </w:pPr>
            <w:r>
              <w:rPr>
                <w:rFonts w:cs="Arial"/>
                <w:sz w:val="18"/>
                <w:szCs w:val="18"/>
              </w:rPr>
              <w:t>Corporate Commonwealth entity payment</w:t>
            </w:r>
          </w:p>
        </w:tc>
        <w:tc>
          <w:tcPr>
            <w:tcW w:w="1026" w:type="dxa"/>
            <w:tcBorders>
              <w:top w:val="nil"/>
              <w:left w:val="nil"/>
              <w:bottom w:val="nil"/>
              <w:right w:val="nil"/>
            </w:tcBorders>
            <w:shd w:val="clear" w:color="FFFFFF" w:fill="FFFFFF"/>
            <w:noWrap/>
            <w:vAlign w:val="bottom"/>
            <w:hideMark/>
          </w:tcPr>
          <w:p w14:paraId="5A47685B" w14:textId="77777777" w:rsidR="00C32CBD" w:rsidRDefault="00C32CBD" w:rsidP="00320D09">
            <w:pPr>
              <w:jc w:val="center"/>
              <w:rPr>
                <w:rFonts w:cs="Arial"/>
                <w:sz w:val="18"/>
                <w:szCs w:val="18"/>
              </w:rPr>
            </w:pPr>
            <w:r>
              <w:rPr>
                <w:rFonts w:cs="Arial"/>
                <w:sz w:val="18"/>
                <w:szCs w:val="18"/>
              </w:rPr>
              <w:t> </w:t>
            </w:r>
          </w:p>
        </w:tc>
        <w:tc>
          <w:tcPr>
            <w:tcW w:w="1057" w:type="dxa"/>
            <w:tcBorders>
              <w:top w:val="nil"/>
              <w:left w:val="nil"/>
              <w:bottom w:val="nil"/>
              <w:right w:val="nil"/>
            </w:tcBorders>
            <w:shd w:val="clear" w:color="FFFFFF" w:fill="FFFFFF"/>
            <w:noWrap/>
            <w:vAlign w:val="bottom"/>
            <w:hideMark/>
          </w:tcPr>
          <w:p w14:paraId="007B468D" w14:textId="77777777" w:rsidR="00C32CBD" w:rsidRDefault="00C32CBD" w:rsidP="00320D09">
            <w:pPr>
              <w:jc w:val="right"/>
              <w:rPr>
                <w:rFonts w:cs="Arial"/>
                <w:b/>
                <w:bCs/>
                <w:sz w:val="18"/>
                <w:szCs w:val="18"/>
              </w:rPr>
            </w:pPr>
            <w:r>
              <w:rPr>
                <w:rFonts w:cs="Arial"/>
                <w:b/>
                <w:bCs/>
                <w:sz w:val="18"/>
                <w:szCs w:val="18"/>
              </w:rPr>
              <w:t>116,197</w:t>
            </w:r>
          </w:p>
        </w:tc>
        <w:tc>
          <w:tcPr>
            <w:tcW w:w="236" w:type="dxa"/>
            <w:tcBorders>
              <w:top w:val="nil"/>
              <w:left w:val="nil"/>
              <w:bottom w:val="nil"/>
              <w:right w:val="nil"/>
            </w:tcBorders>
            <w:shd w:val="clear" w:color="FFFFFF" w:fill="FFFFFF"/>
            <w:noWrap/>
            <w:vAlign w:val="bottom"/>
            <w:hideMark/>
          </w:tcPr>
          <w:p w14:paraId="144E3A62" w14:textId="77777777" w:rsidR="00C32CBD" w:rsidRDefault="00C32CBD" w:rsidP="00320D09">
            <w:pPr>
              <w:rPr>
                <w:rFonts w:cs="Arial"/>
                <w:sz w:val="18"/>
                <w:szCs w:val="18"/>
              </w:rPr>
            </w:pPr>
            <w:r>
              <w:rPr>
                <w:rFonts w:cs="Arial"/>
                <w:sz w:val="18"/>
                <w:szCs w:val="18"/>
              </w:rPr>
              <w:t> </w:t>
            </w:r>
          </w:p>
        </w:tc>
        <w:tc>
          <w:tcPr>
            <w:tcW w:w="1030" w:type="dxa"/>
            <w:tcBorders>
              <w:top w:val="nil"/>
              <w:left w:val="nil"/>
              <w:bottom w:val="nil"/>
              <w:right w:val="nil"/>
            </w:tcBorders>
            <w:shd w:val="clear" w:color="FFFFFF" w:fill="FFFFFF"/>
            <w:noWrap/>
            <w:vAlign w:val="bottom"/>
            <w:hideMark/>
          </w:tcPr>
          <w:p w14:paraId="18228D0F" w14:textId="77777777" w:rsidR="00C32CBD" w:rsidRDefault="00C32CBD" w:rsidP="00320D09">
            <w:pPr>
              <w:jc w:val="right"/>
              <w:rPr>
                <w:rFonts w:cs="Arial"/>
                <w:sz w:val="18"/>
                <w:szCs w:val="18"/>
              </w:rPr>
            </w:pPr>
            <w:r>
              <w:rPr>
                <w:rFonts w:cs="Arial"/>
                <w:sz w:val="18"/>
                <w:szCs w:val="18"/>
              </w:rPr>
              <w:t>57,756</w:t>
            </w:r>
          </w:p>
        </w:tc>
        <w:tc>
          <w:tcPr>
            <w:tcW w:w="236" w:type="dxa"/>
            <w:tcBorders>
              <w:top w:val="nil"/>
              <w:left w:val="nil"/>
              <w:bottom w:val="nil"/>
              <w:right w:val="nil"/>
            </w:tcBorders>
            <w:shd w:val="clear" w:color="FFFFFF" w:fill="FFFFFF"/>
            <w:noWrap/>
            <w:vAlign w:val="bottom"/>
            <w:hideMark/>
          </w:tcPr>
          <w:p w14:paraId="008A340F" w14:textId="77777777" w:rsidR="00C32CBD" w:rsidRDefault="00C32CBD" w:rsidP="00320D09">
            <w:pPr>
              <w:rPr>
                <w:rFonts w:cs="Arial"/>
                <w:sz w:val="18"/>
                <w:szCs w:val="18"/>
              </w:rPr>
            </w:pPr>
            <w:r>
              <w:rPr>
                <w:rFonts w:cs="Arial"/>
                <w:sz w:val="18"/>
                <w:szCs w:val="18"/>
              </w:rPr>
              <w:t> </w:t>
            </w:r>
          </w:p>
        </w:tc>
        <w:tc>
          <w:tcPr>
            <w:tcW w:w="1030" w:type="dxa"/>
            <w:tcBorders>
              <w:top w:val="nil"/>
              <w:left w:val="nil"/>
              <w:bottom w:val="nil"/>
              <w:right w:val="nil"/>
            </w:tcBorders>
            <w:shd w:val="clear" w:color="FFFFFF" w:fill="FFFFFF"/>
            <w:noWrap/>
            <w:vAlign w:val="bottom"/>
            <w:hideMark/>
          </w:tcPr>
          <w:p w14:paraId="50FBD6BD" w14:textId="77777777" w:rsidR="00C32CBD" w:rsidRDefault="00C32CBD" w:rsidP="00320D09">
            <w:pPr>
              <w:jc w:val="right"/>
              <w:rPr>
                <w:rFonts w:cs="Arial"/>
                <w:sz w:val="18"/>
                <w:szCs w:val="18"/>
              </w:rPr>
            </w:pPr>
            <w:r>
              <w:rPr>
                <w:rFonts w:cs="Arial"/>
                <w:sz w:val="18"/>
                <w:szCs w:val="18"/>
              </w:rPr>
              <w:t>116,197</w:t>
            </w:r>
          </w:p>
        </w:tc>
      </w:tr>
      <w:tr w:rsidR="00C32CBD" w14:paraId="1BE58EC8" w14:textId="77777777" w:rsidTr="00320D09">
        <w:trPr>
          <w:trHeight w:val="255"/>
        </w:trPr>
        <w:tc>
          <w:tcPr>
            <w:tcW w:w="4472" w:type="dxa"/>
            <w:tcBorders>
              <w:top w:val="nil"/>
              <w:left w:val="nil"/>
              <w:bottom w:val="nil"/>
              <w:right w:val="nil"/>
            </w:tcBorders>
            <w:shd w:val="clear" w:color="FFFFFF" w:fill="FFFFFF"/>
            <w:vAlign w:val="bottom"/>
            <w:hideMark/>
          </w:tcPr>
          <w:p w14:paraId="416048BB" w14:textId="77777777" w:rsidR="00C32CBD" w:rsidRDefault="00C32CBD" w:rsidP="00320D09">
            <w:pPr>
              <w:rPr>
                <w:rFonts w:cs="Arial"/>
                <w:b/>
                <w:bCs/>
                <w:sz w:val="18"/>
                <w:szCs w:val="18"/>
              </w:rPr>
            </w:pPr>
            <w:r>
              <w:rPr>
                <w:rFonts w:cs="Arial"/>
                <w:b/>
                <w:bCs/>
                <w:sz w:val="18"/>
                <w:szCs w:val="18"/>
              </w:rPr>
              <w:t>Total cash received</w:t>
            </w:r>
          </w:p>
        </w:tc>
        <w:tc>
          <w:tcPr>
            <w:tcW w:w="1026" w:type="dxa"/>
            <w:tcBorders>
              <w:top w:val="nil"/>
              <w:left w:val="nil"/>
              <w:bottom w:val="nil"/>
              <w:right w:val="nil"/>
            </w:tcBorders>
            <w:shd w:val="clear" w:color="FFFFFF" w:fill="FFFFFF"/>
            <w:noWrap/>
            <w:vAlign w:val="bottom"/>
            <w:hideMark/>
          </w:tcPr>
          <w:p w14:paraId="25D309DF" w14:textId="77777777" w:rsidR="00C32CBD" w:rsidRDefault="00C32CBD" w:rsidP="00320D09">
            <w:pPr>
              <w:jc w:val="center"/>
              <w:rPr>
                <w:rFonts w:cs="Arial"/>
                <w:sz w:val="18"/>
                <w:szCs w:val="18"/>
              </w:rPr>
            </w:pPr>
            <w:r>
              <w:rPr>
                <w:rFonts w:cs="Arial"/>
                <w:sz w:val="18"/>
                <w:szCs w:val="18"/>
              </w:rPr>
              <w:t> </w:t>
            </w:r>
          </w:p>
        </w:tc>
        <w:tc>
          <w:tcPr>
            <w:tcW w:w="1057" w:type="dxa"/>
            <w:tcBorders>
              <w:top w:val="single" w:sz="4" w:space="0" w:color="auto"/>
              <w:left w:val="nil"/>
              <w:bottom w:val="single" w:sz="4" w:space="0" w:color="auto"/>
              <w:right w:val="nil"/>
            </w:tcBorders>
            <w:shd w:val="clear" w:color="FFFFFF" w:fill="FFFFFF"/>
            <w:noWrap/>
            <w:vAlign w:val="bottom"/>
            <w:hideMark/>
          </w:tcPr>
          <w:p w14:paraId="2C2E84FB" w14:textId="77777777" w:rsidR="00C32CBD" w:rsidRDefault="00C32CBD" w:rsidP="00320D09">
            <w:pPr>
              <w:jc w:val="right"/>
              <w:rPr>
                <w:rFonts w:cs="Arial"/>
                <w:b/>
                <w:bCs/>
                <w:sz w:val="18"/>
                <w:szCs w:val="18"/>
              </w:rPr>
            </w:pPr>
            <w:r>
              <w:rPr>
                <w:rFonts w:cs="Arial"/>
                <w:b/>
                <w:bCs/>
                <w:sz w:val="18"/>
                <w:szCs w:val="18"/>
              </w:rPr>
              <w:t>116,197</w:t>
            </w:r>
          </w:p>
        </w:tc>
        <w:tc>
          <w:tcPr>
            <w:tcW w:w="236" w:type="dxa"/>
            <w:tcBorders>
              <w:top w:val="nil"/>
              <w:left w:val="nil"/>
              <w:bottom w:val="nil"/>
              <w:right w:val="nil"/>
            </w:tcBorders>
            <w:shd w:val="clear" w:color="FFFFFF" w:fill="FFFFFF"/>
            <w:noWrap/>
            <w:vAlign w:val="bottom"/>
            <w:hideMark/>
          </w:tcPr>
          <w:p w14:paraId="0FB06A47" w14:textId="77777777" w:rsidR="00C32CBD" w:rsidRDefault="00C32CBD" w:rsidP="00320D09">
            <w:pPr>
              <w:rPr>
                <w:rFonts w:cs="Arial"/>
                <w:sz w:val="18"/>
                <w:szCs w:val="18"/>
              </w:rPr>
            </w:pPr>
            <w:r>
              <w:rPr>
                <w:rFonts w:cs="Arial"/>
                <w:sz w:val="18"/>
                <w:szCs w:val="18"/>
              </w:rPr>
              <w:t> </w:t>
            </w:r>
          </w:p>
        </w:tc>
        <w:tc>
          <w:tcPr>
            <w:tcW w:w="1030" w:type="dxa"/>
            <w:tcBorders>
              <w:top w:val="single" w:sz="4" w:space="0" w:color="auto"/>
              <w:left w:val="nil"/>
              <w:bottom w:val="single" w:sz="4" w:space="0" w:color="auto"/>
              <w:right w:val="nil"/>
            </w:tcBorders>
            <w:shd w:val="clear" w:color="FFFFFF" w:fill="FFFFFF"/>
            <w:noWrap/>
            <w:vAlign w:val="bottom"/>
            <w:hideMark/>
          </w:tcPr>
          <w:p w14:paraId="7DE9D824" w14:textId="77777777" w:rsidR="00C32CBD" w:rsidRDefault="00C32CBD" w:rsidP="00320D09">
            <w:pPr>
              <w:jc w:val="right"/>
              <w:rPr>
                <w:rFonts w:cs="Arial"/>
                <w:sz w:val="18"/>
                <w:szCs w:val="18"/>
              </w:rPr>
            </w:pPr>
            <w:r>
              <w:rPr>
                <w:rFonts w:cs="Arial"/>
                <w:sz w:val="18"/>
                <w:szCs w:val="18"/>
              </w:rPr>
              <w:t>57,756</w:t>
            </w:r>
          </w:p>
        </w:tc>
        <w:tc>
          <w:tcPr>
            <w:tcW w:w="236" w:type="dxa"/>
            <w:tcBorders>
              <w:top w:val="nil"/>
              <w:left w:val="nil"/>
              <w:bottom w:val="nil"/>
              <w:right w:val="nil"/>
            </w:tcBorders>
            <w:shd w:val="clear" w:color="FFFFFF" w:fill="FFFFFF"/>
            <w:noWrap/>
            <w:vAlign w:val="bottom"/>
            <w:hideMark/>
          </w:tcPr>
          <w:p w14:paraId="0F15DFAE" w14:textId="77777777" w:rsidR="00C32CBD" w:rsidRDefault="00C32CBD" w:rsidP="00320D09">
            <w:pPr>
              <w:rPr>
                <w:rFonts w:cs="Arial"/>
                <w:sz w:val="18"/>
                <w:szCs w:val="18"/>
              </w:rPr>
            </w:pPr>
            <w:r>
              <w:rPr>
                <w:rFonts w:cs="Arial"/>
                <w:sz w:val="18"/>
                <w:szCs w:val="18"/>
              </w:rPr>
              <w:t> </w:t>
            </w:r>
          </w:p>
        </w:tc>
        <w:tc>
          <w:tcPr>
            <w:tcW w:w="1030" w:type="dxa"/>
            <w:tcBorders>
              <w:top w:val="single" w:sz="4" w:space="0" w:color="auto"/>
              <w:left w:val="nil"/>
              <w:bottom w:val="single" w:sz="4" w:space="0" w:color="auto"/>
              <w:right w:val="nil"/>
            </w:tcBorders>
            <w:shd w:val="clear" w:color="FFFFFF" w:fill="FFFFFF"/>
            <w:noWrap/>
            <w:vAlign w:val="bottom"/>
            <w:hideMark/>
          </w:tcPr>
          <w:p w14:paraId="5532E0C3" w14:textId="77777777" w:rsidR="00C32CBD" w:rsidRDefault="00C32CBD" w:rsidP="00320D09">
            <w:pPr>
              <w:jc w:val="right"/>
              <w:rPr>
                <w:rFonts w:cs="Arial"/>
                <w:sz w:val="18"/>
                <w:szCs w:val="18"/>
              </w:rPr>
            </w:pPr>
            <w:r>
              <w:rPr>
                <w:rFonts w:cs="Arial"/>
                <w:sz w:val="18"/>
                <w:szCs w:val="18"/>
              </w:rPr>
              <w:t>116,197</w:t>
            </w:r>
          </w:p>
        </w:tc>
      </w:tr>
      <w:tr w:rsidR="00C32CBD" w14:paraId="32AD520A" w14:textId="77777777" w:rsidTr="00320D09">
        <w:trPr>
          <w:trHeight w:val="255"/>
        </w:trPr>
        <w:tc>
          <w:tcPr>
            <w:tcW w:w="4472" w:type="dxa"/>
            <w:tcBorders>
              <w:top w:val="nil"/>
              <w:left w:val="nil"/>
              <w:bottom w:val="nil"/>
              <w:right w:val="nil"/>
            </w:tcBorders>
            <w:shd w:val="clear" w:color="FFFFFF" w:fill="FFFFFF"/>
            <w:vAlign w:val="bottom"/>
            <w:hideMark/>
          </w:tcPr>
          <w:p w14:paraId="50A33E63" w14:textId="77777777" w:rsidR="00C32CBD" w:rsidRDefault="00C32CBD" w:rsidP="00320D09">
            <w:pPr>
              <w:rPr>
                <w:rFonts w:cs="Arial"/>
                <w:b/>
                <w:bCs/>
                <w:sz w:val="18"/>
                <w:szCs w:val="18"/>
              </w:rPr>
            </w:pPr>
            <w:r>
              <w:rPr>
                <w:rFonts w:cs="Arial"/>
                <w:b/>
                <w:bCs/>
                <w:sz w:val="18"/>
                <w:szCs w:val="18"/>
              </w:rPr>
              <w:t>Net cash from / (used by) financing activities</w:t>
            </w:r>
          </w:p>
        </w:tc>
        <w:tc>
          <w:tcPr>
            <w:tcW w:w="1026" w:type="dxa"/>
            <w:tcBorders>
              <w:top w:val="nil"/>
              <w:left w:val="nil"/>
              <w:bottom w:val="nil"/>
              <w:right w:val="nil"/>
            </w:tcBorders>
            <w:shd w:val="clear" w:color="FFFFFF" w:fill="FFFFFF"/>
            <w:noWrap/>
            <w:vAlign w:val="bottom"/>
            <w:hideMark/>
          </w:tcPr>
          <w:p w14:paraId="219D2A7E" w14:textId="77777777" w:rsidR="00C32CBD" w:rsidRDefault="00C32CBD" w:rsidP="00320D09">
            <w:pPr>
              <w:jc w:val="center"/>
              <w:rPr>
                <w:rFonts w:cs="Arial"/>
                <w:sz w:val="18"/>
                <w:szCs w:val="18"/>
              </w:rPr>
            </w:pPr>
            <w:r>
              <w:rPr>
                <w:rFonts w:cs="Arial"/>
                <w:sz w:val="18"/>
                <w:szCs w:val="18"/>
              </w:rPr>
              <w:t> </w:t>
            </w:r>
          </w:p>
        </w:tc>
        <w:tc>
          <w:tcPr>
            <w:tcW w:w="1057" w:type="dxa"/>
            <w:tcBorders>
              <w:top w:val="nil"/>
              <w:left w:val="nil"/>
              <w:bottom w:val="single" w:sz="4" w:space="0" w:color="auto"/>
              <w:right w:val="nil"/>
            </w:tcBorders>
            <w:shd w:val="clear" w:color="FFFFFF" w:fill="FFFFFF"/>
            <w:noWrap/>
            <w:vAlign w:val="bottom"/>
            <w:hideMark/>
          </w:tcPr>
          <w:p w14:paraId="2573E50A" w14:textId="77777777" w:rsidR="00C32CBD" w:rsidRDefault="00C32CBD" w:rsidP="00320D09">
            <w:pPr>
              <w:jc w:val="right"/>
              <w:rPr>
                <w:rFonts w:cs="Arial"/>
                <w:b/>
                <w:bCs/>
                <w:sz w:val="18"/>
                <w:szCs w:val="18"/>
              </w:rPr>
            </w:pPr>
            <w:r>
              <w:rPr>
                <w:rFonts w:cs="Arial"/>
                <w:b/>
                <w:bCs/>
                <w:sz w:val="18"/>
                <w:szCs w:val="18"/>
              </w:rPr>
              <w:t>116,197</w:t>
            </w:r>
          </w:p>
        </w:tc>
        <w:tc>
          <w:tcPr>
            <w:tcW w:w="236" w:type="dxa"/>
            <w:tcBorders>
              <w:top w:val="nil"/>
              <w:left w:val="nil"/>
              <w:bottom w:val="nil"/>
              <w:right w:val="nil"/>
            </w:tcBorders>
            <w:shd w:val="clear" w:color="FFFFFF" w:fill="FFFFFF"/>
            <w:noWrap/>
            <w:vAlign w:val="bottom"/>
            <w:hideMark/>
          </w:tcPr>
          <w:p w14:paraId="6A266C20" w14:textId="77777777" w:rsidR="00C32CBD" w:rsidRDefault="00C32CBD" w:rsidP="00320D09">
            <w:pPr>
              <w:rPr>
                <w:rFonts w:cs="Arial"/>
                <w:sz w:val="18"/>
                <w:szCs w:val="18"/>
              </w:rPr>
            </w:pPr>
            <w:r>
              <w:rPr>
                <w:rFonts w:cs="Arial"/>
                <w:sz w:val="18"/>
                <w:szCs w:val="18"/>
              </w:rPr>
              <w:t> </w:t>
            </w:r>
          </w:p>
        </w:tc>
        <w:tc>
          <w:tcPr>
            <w:tcW w:w="1030" w:type="dxa"/>
            <w:tcBorders>
              <w:top w:val="nil"/>
              <w:left w:val="nil"/>
              <w:bottom w:val="single" w:sz="4" w:space="0" w:color="auto"/>
              <w:right w:val="nil"/>
            </w:tcBorders>
            <w:shd w:val="clear" w:color="FFFFFF" w:fill="FFFFFF"/>
            <w:noWrap/>
            <w:vAlign w:val="bottom"/>
            <w:hideMark/>
          </w:tcPr>
          <w:p w14:paraId="5F0EEA01" w14:textId="77777777" w:rsidR="00C32CBD" w:rsidRDefault="00C32CBD" w:rsidP="00320D09">
            <w:pPr>
              <w:jc w:val="right"/>
              <w:rPr>
                <w:rFonts w:cs="Arial"/>
                <w:sz w:val="18"/>
                <w:szCs w:val="18"/>
              </w:rPr>
            </w:pPr>
            <w:r>
              <w:rPr>
                <w:rFonts w:cs="Arial"/>
                <w:sz w:val="18"/>
                <w:szCs w:val="18"/>
              </w:rPr>
              <w:t>57,756</w:t>
            </w:r>
          </w:p>
        </w:tc>
        <w:tc>
          <w:tcPr>
            <w:tcW w:w="236" w:type="dxa"/>
            <w:tcBorders>
              <w:top w:val="nil"/>
              <w:left w:val="nil"/>
              <w:bottom w:val="nil"/>
              <w:right w:val="nil"/>
            </w:tcBorders>
            <w:shd w:val="clear" w:color="FFFFFF" w:fill="FFFFFF"/>
            <w:noWrap/>
            <w:vAlign w:val="bottom"/>
            <w:hideMark/>
          </w:tcPr>
          <w:p w14:paraId="5A341528" w14:textId="77777777" w:rsidR="00C32CBD" w:rsidRDefault="00C32CBD" w:rsidP="00320D09">
            <w:pPr>
              <w:rPr>
                <w:rFonts w:cs="Arial"/>
                <w:sz w:val="18"/>
                <w:szCs w:val="18"/>
              </w:rPr>
            </w:pPr>
            <w:r>
              <w:rPr>
                <w:rFonts w:cs="Arial"/>
                <w:sz w:val="18"/>
                <w:szCs w:val="18"/>
              </w:rPr>
              <w:t> </w:t>
            </w:r>
          </w:p>
        </w:tc>
        <w:tc>
          <w:tcPr>
            <w:tcW w:w="1030" w:type="dxa"/>
            <w:tcBorders>
              <w:top w:val="nil"/>
              <w:left w:val="nil"/>
              <w:bottom w:val="single" w:sz="4" w:space="0" w:color="auto"/>
              <w:right w:val="nil"/>
            </w:tcBorders>
            <w:shd w:val="clear" w:color="FFFFFF" w:fill="FFFFFF"/>
            <w:noWrap/>
            <w:vAlign w:val="bottom"/>
            <w:hideMark/>
          </w:tcPr>
          <w:p w14:paraId="1B1C95D8" w14:textId="77777777" w:rsidR="00C32CBD" w:rsidRDefault="00C32CBD" w:rsidP="00320D09">
            <w:pPr>
              <w:jc w:val="right"/>
              <w:rPr>
                <w:rFonts w:cs="Arial"/>
                <w:sz w:val="18"/>
                <w:szCs w:val="18"/>
              </w:rPr>
            </w:pPr>
            <w:r>
              <w:rPr>
                <w:rFonts w:cs="Arial"/>
                <w:sz w:val="18"/>
                <w:szCs w:val="18"/>
              </w:rPr>
              <w:t>116,197</w:t>
            </w:r>
          </w:p>
        </w:tc>
      </w:tr>
      <w:tr w:rsidR="00C32CBD" w14:paraId="55DC2FDE" w14:textId="77777777" w:rsidTr="00320D09">
        <w:trPr>
          <w:trHeight w:val="120"/>
        </w:trPr>
        <w:tc>
          <w:tcPr>
            <w:tcW w:w="4472" w:type="dxa"/>
            <w:tcBorders>
              <w:top w:val="nil"/>
              <w:left w:val="nil"/>
              <w:bottom w:val="nil"/>
              <w:right w:val="nil"/>
            </w:tcBorders>
            <w:shd w:val="clear" w:color="FFFFFF" w:fill="FFFFFF"/>
            <w:noWrap/>
            <w:vAlign w:val="bottom"/>
            <w:hideMark/>
          </w:tcPr>
          <w:p w14:paraId="3E3129EB" w14:textId="77777777" w:rsidR="00C32CBD" w:rsidRDefault="00C32CBD" w:rsidP="00320D09">
            <w:pPr>
              <w:rPr>
                <w:rFonts w:cs="Arial"/>
                <w:sz w:val="18"/>
                <w:szCs w:val="18"/>
              </w:rPr>
            </w:pPr>
            <w:r>
              <w:rPr>
                <w:rFonts w:cs="Arial"/>
                <w:sz w:val="18"/>
                <w:szCs w:val="18"/>
              </w:rPr>
              <w:t> </w:t>
            </w:r>
          </w:p>
        </w:tc>
        <w:tc>
          <w:tcPr>
            <w:tcW w:w="1026" w:type="dxa"/>
            <w:tcBorders>
              <w:top w:val="nil"/>
              <w:left w:val="nil"/>
              <w:bottom w:val="nil"/>
              <w:right w:val="nil"/>
            </w:tcBorders>
            <w:shd w:val="clear" w:color="FFFFFF" w:fill="FFFFFF"/>
            <w:noWrap/>
            <w:vAlign w:val="bottom"/>
            <w:hideMark/>
          </w:tcPr>
          <w:p w14:paraId="7F21DF81" w14:textId="77777777" w:rsidR="00C32CBD" w:rsidRDefault="00C32CBD" w:rsidP="00320D09">
            <w:pPr>
              <w:jc w:val="center"/>
              <w:rPr>
                <w:rFonts w:cs="Arial"/>
                <w:sz w:val="18"/>
                <w:szCs w:val="18"/>
              </w:rPr>
            </w:pPr>
            <w:r>
              <w:rPr>
                <w:rFonts w:cs="Arial"/>
                <w:sz w:val="18"/>
                <w:szCs w:val="18"/>
              </w:rPr>
              <w:t> </w:t>
            </w:r>
          </w:p>
        </w:tc>
        <w:tc>
          <w:tcPr>
            <w:tcW w:w="1057" w:type="dxa"/>
            <w:tcBorders>
              <w:top w:val="nil"/>
              <w:left w:val="nil"/>
              <w:bottom w:val="nil"/>
              <w:right w:val="nil"/>
            </w:tcBorders>
            <w:shd w:val="clear" w:color="FFFFFF" w:fill="FFFFFF"/>
            <w:noWrap/>
            <w:vAlign w:val="bottom"/>
            <w:hideMark/>
          </w:tcPr>
          <w:p w14:paraId="51884E79"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75376679" w14:textId="77777777" w:rsidR="00C32CBD" w:rsidRDefault="00C32CBD" w:rsidP="00320D09">
            <w:pPr>
              <w:rPr>
                <w:rFonts w:cs="Arial"/>
                <w:sz w:val="18"/>
                <w:szCs w:val="18"/>
              </w:rPr>
            </w:pPr>
            <w:r>
              <w:rPr>
                <w:rFonts w:cs="Arial"/>
                <w:sz w:val="18"/>
                <w:szCs w:val="18"/>
              </w:rPr>
              <w:t> </w:t>
            </w:r>
          </w:p>
        </w:tc>
        <w:tc>
          <w:tcPr>
            <w:tcW w:w="1030" w:type="dxa"/>
            <w:tcBorders>
              <w:top w:val="nil"/>
              <w:left w:val="nil"/>
              <w:bottom w:val="nil"/>
              <w:right w:val="nil"/>
            </w:tcBorders>
            <w:shd w:val="clear" w:color="FFFFFF" w:fill="FFFFFF"/>
            <w:noWrap/>
            <w:vAlign w:val="bottom"/>
            <w:hideMark/>
          </w:tcPr>
          <w:p w14:paraId="69632D16"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1CC58C05" w14:textId="77777777" w:rsidR="00C32CBD" w:rsidRDefault="00C32CBD" w:rsidP="00320D09">
            <w:pPr>
              <w:rPr>
                <w:rFonts w:cs="Arial"/>
                <w:sz w:val="18"/>
                <w:szCs w:val="18"/>
              </w:rPr>
            </w:pPr>
            <w:r>
              <w:rPr>
                <w:rFonts w:cs="Arial"/>
                <w:sz w:val="18"/>
                <w:szCs w:val="18"/>
              </w:rPr>
              <w:t> </w:t>
            </w:r>
          </w:p>
        </w:tc>
        <w:tc>
          <w:tcPr>
            <w:tcW w:w="1030" w:type="dxa"/>
            <w:tcBorders>
              <w:top w:val="nil"/>
              <w:left w:val="nil"/>
              <w:bottom w:val="nil"/>
              <w:right w:val="nil"/>
            </w:tcBorders>
            <w:shd w:val="clear" w:color="FFFFFF" w:fill="FFFFFF"/>
            <w:noWrap/>
            <w:vAlign w:val="bottom"/>
            <w:hideMark/>
          </w:tcPr>
          <w:p w14:paraId="61996C4A" w14:textId="77777777" w:rsidR="00C32CBD" w:rsidRDefault="00C32CBD" w:rsidP="00320D09">
            <w:pPr>
              <w:rPr>
                <w:rFonts w:cs="Arial"/>
                <w:sz w:val="18"/>
                <w:szCs w:val="18"/>
              </w:rPr>
            </w:pPr>
            <w:r>
              <w:rPr>
                <w:rFonts w:cs="Arial"/>
                <w:sz w:val="18"/>
                <w:szCs w:val="18"/>
              </w:rPr>
              <w:t> </w:t>
            </w:r>
          </w:p>
        </w:tc>
      </w:tr>
      <w:tr w:rsidR="00C32CBD" w14:paraId="6E33F32F" w14:textId="77777777" w:rsidTr="00320D09">
        <w:trPr>
          <w:trHeight w:val="255"/>
        </w:trPr>
        <w:tc>
          <w:tcPr>
            <w:tcW w:w="4472" w:type="dxa"/>
            <w:tcBorders>
              <w:top w:val="nil"/>
              <w:left w:val="nil"/>
              <w:bottom w:val="nil"/>
              <w:right w:val="nil"/>
            </w:tcBorders>
            <w:shd w:val="clear" w:color="FFFFFF" w:fill="FFFFFF"/>
            <w:vAlign w:val="bottom"/>
            <w:hideMark/>
          </w:tcPr>
          <w:p w14:paraId="7B254172" w14:textId="77777777" w:rsidR="00C32CBD" w:rsidRDefault="00C32CBD" w:rsidP="00320D09">
            <w:pPr>
              <w:rPr>
                <w:rFonts w:cs="Arial"/>
                <w:b/>
                <w:bCs/>
                <w:sz w:val="18"/>
                <w:szCs w:val="18"/>
              </w:rPr>
            </w:pPr>
            <w:r>
              <w:rPr>
                <w:rFonts w:cs="Arial"/>
                <w:b/>
                <w:bCs/>
                <w:sz w:val="18"/>
                <w:szCs w:val="18"/>
              </w:rPr>
              <w:t>Net (decrease) / increase in cash held</w:t>
            </w:r>
          </w:p>
        </w:tc>
        <w:tc>
          <w:tcPr>
            <w:tcW w:w="1026" w:type="dxa"/>
            <w:tcBorders>
              <w:top w:val="nil"/>
              <w:left w:val="nil"/>
              <w:bottom w:val="nil"/>
              <w:right w:val="nil"/>
            </w:tcBorders>
            <w:shd w:val="clear" w:color="FFFFFF" w:fill="FFFFFF"/>
            <w:noWrap/>
            <w:vAlign w:val="bottom"/>
            <w:hideMark/>
          </w:tcPr>
          <w:p w14:paraId="5F4C9E89" w14:textId="77777777" w:rsidR="00C32CBD" w:rsidRDefault="00C32CBD" w:rsidP="00320D09">
            <w:pPr>
              <w:jc w:val="center"/>
              <w:rPr>
                <w:rFonts w:cs="Arial"/>
                <w:sz w:val="18"/>
                <w:szCs w:val="18"/>
              </w:rPr>
            </w:pPr>
            <w:r>
              <w:rPr>
                <w:rFonts w:cs="Arial"/>
                <w:sz w:val="18"/>
                <w:szCs w:val="18"/>
              </w:rPr>
              <w:t> </w:t>
            </w:r>
          </w:p>
        </w:tc>
        <w:tc>
          <w:tcPr>
            <w:tcW w:w="1057" w:type="dxa"/>
            <w:tcBorders>
              <w:top w:val="single" w:sz="4" w:space="0" w:color="auto"/>
              <w:left w:val="nil"/>
              <w:bottom w:val="single" w:sz="4" w:space="0" w:color="auto"/>
              <w:right w:val="nil"/>
            </w:tcBorders>
            <w:shd w:val="clear" w:color="FFFFFF" w:fill="FFFFFF"/>
            <w:noWrap/>
            <w:vAlign w:val="bottom"/>
            <w:hideMark/>
          </w:tcPr>
          <w:p w14:paraId="196ACBCF" w14:textId="77777777" w:rsidR="00C32CBD" w:rsidRDefault="00C32CBD" w:rsidP="00320D09">
            <w:pPr>
              <w:jc w:val="right"/>
              <w:rPr>
                <w:rFonts w:cs="Arial"/>
                <w:b/>
                <w:bCs/>
                <w:sz w:val="18"/>
                <w:szCs w:val="18"/>
              </w:rPr>
            </w:pPr>
            <w:r>
              <w:rPr>
                <w:rFonts w:cs="Arial"/>
                <w:b/>
                <w:bCs/>
                <w:sz w:val="18"/>
                <w:szCs w:val="18"/>
              </w:rPr>
              <w:t>1,021,857</w:t>
            </w:r>
          </w:p>
        </w:tc>
        <w:tc>
          <w:tcPr>
            <w:tcW w:w="236" w:type="dxa"/>
            <w:tcBorders>
              <w:top w:val="nil"/>
              <w:left w:val="nil"/>
              <w:bottom w:val="nil"/>
              <w:right w:val="nil"/>
            </w:tcBorders>
            <w:shd w:val="clear" w:color="FFFFFF" w:fill="FFFFFF"/>
            <w:noWrap/>
            <w:vAlign w:val="bottom"/>
            <w:hideMark/>
          </w:tcPr>
          <w:p w14:paraId="3119761A" w14:textId="77777777" w:rsidR="00C32CBD" w:rsidRDefault="00C32CBD" w:rsidP="00320D09">
            <w:pPr>
              <w:rPr>
                <w:rFonts w:cs="Arial"/>
                <w:sz w:val="18"/>
                <w:szCs w:val="18"/>
              </w:rPr>
            </w:pPr>
            <w:r>
              <w:rPr>
                <w:rFonts w:cs="Arial"/>
                <w:sz w:val="18"/>
                <w:szCs w:val="18"/>
              </w:rPr>
              <w:t> </w:t>
            </w:r>
          </w:p>
        </w:tc>
        <w:tc>
          <w:tcPr>
            <w:tcW w:w="1030" w:type="dxa"/>
            <w:tcBorders>
              <w:top w:val="single" w:sz="4" w:space="0" w:color="auto"/>
              <w:left w:val="nil"/>
              <w:bottom w:val="single" w:sz="4" w:space="0" w:color="auto"/>
              <w:right w:val="nil"/>
            </w:tcBorders>
            <w:shd w:val="clear" w:color="FFFFFF" w:fill="FFFFFF"/>
            <w:noWrap/>
            <w:vAlign w:val="bottom"/>
            <w:hideMark/>
          </w:tcPr>
          <w:p w14:paraId="38D49C3C" w14:textId="77777777" w:rsidR="00C32CBD" w:rsidRDefault="00C32CBD" w:rsidP="00320D09">
            <w:pPr>
              <w:jc w:val="right"/>
              <w:rPr>
                <w:rFonts w:cs="Arial"/>
                <w:sz w:val="18"/>
                <w:szCs w:val="18"/>
              </w:rPr>
            </w:pPr>
            <w:r>
              <w:rPr>
                <w:rFonts w:cs="Arial"/>
                <w:sz w:val="18"/>
                <w:szCs w:val="18"/>
              </w:rPr>
              <w:t>169,948</w:t>
            </w:r>
          </w:p>
        </w:tc>
        <w:tc>
          <w:tcPr>
            <w:tcW w:w="236" w:type="dxa"/>
            <w:tcBorders>
              <w:top w:val="nil"/>
              <w:left w:val="nil"/>
              <w:bottom w:val="nil"/>
              <w:right w:val="nil"/>
            </w:tcBorders>
            <w:shd w:val="clear" w:color="FFFFFF" w:fill="FFFFFF"/>
            <w:noWrap/>
            <w:vAlign w:val="bottom"/>
            <w:hideMark/>
          </w:tcPr>
          <w:p w14:paraId="4F7A8D00" w14:textId="77777777" w:rsidR="00C32CBD" w:rsidRDefault="00C32CBD" w:rsidP="00320D09">
            <w:pPr>
              <w:rPr>
                <w:rFonts w:cs="Arial"/>
                <w:sz w:val="18"/>
                <w:szCs w:val="18"/>
              </w:rPr>
            </w:pPr>
            <w:r>
              <w:rPr>
                <w:rFonts w:cs="Arial"/>
                <w:sz w:val="18"/>
                <w:szCs w:val="18"/>
              </w:rPr>
              <w:t> </w:t>
            </w:r>
          </w:p>
        </w:tc>
        <w:tc>
          <w:tcPr>
            <w:tcW w:w="1030" w:type="dxa"/>
            <w:tcBorders>
              <w:top w:val="single" w:sz="4" w:space="0" w:color="auto"/>
              <w:left w:val="nil"/>
              <w:bottom w:val="single" w:sz="4" w:space="0" w:color="auto"/>
              <w:right w:val="nil"/>
            </w:tcBorders>
            <w:shd w:val="clear" w:color="FFFFFF" w:fill="FFFFFF"/>
            <w:noWrap/>
            <w:vAlign w:val="bottom"/>
            <w:hideMark/>
          </w:tcPr>
          <w:p w14:paraId="2B8025B9" w14:textId="77777777" w:rsidR="00C32CBD" w:rsidRDefault="00C32CBD" w:rsidP="00320D09">
            <w:pPr>
              <w:jc w:val="right"/>
              <w:rPr>
                <w:rFonts w:cs="Arial"/>
                <w:sz w:val="18"/>
                <w:szCs w:val="18"/>
              </w:rPr>
            </w:pPr>
            <w:r>
              <w:rPr>
                <w:rFonts w:cs="Arial"/>
                <w:sz w:val="18"/>
                <w:szCs w:val="18"/>
              </w:rPr>
              <w:t>81,342</w:t>
            </w:r>
          </w:p>
        </w:tc>
      </w:tr>
      <w:tr w:rsidR="00C32CBD" w14:paraId="0DC6379E" w14:textId="77777777" w:rsidTr="00320D09">
        <w:trPr>
          <w:trHeight w:val="255"/>
        </w:trPr>
        <w:tc>
          <w:tcPr>
            <w:tcW w:w="4472" w:type="dxa"/>
            <w:tcBorders>
              <w:top w:val="nil"/>
              <w:left w:val="nil"/>
              <w:bottom w:val="nil"/>
              <w:right w:val="nil"/>
            </w:tcBorders>
            <w:shd w:val="clear" w:color="FFFFFF" w:fill="FFFFFF"/>
            <w:vAlign w:val="bottom"/>
            <w:hideMark/>
          </w:tcPr>
          <w:p w14:paraId="5A054F21" w14:textId="77777777" w:rsidR="00C32CBD" w:rsidRDefault="00C32CBD" w:rsidP="00320D09">
            <w:pPr>
              <w:rPr>
                <w:rFonts w:cs="Arial"/>
                <w:sz w:val="18"/>
                <w:szCs w:val="18"/>
              </w:rPr>
            </w:pPr>
            <w:r>
              <w:rPr>
                <w:rFonts w:cs="Arial"/>
                <w:sz w:val="18"/>
                <w:szCs w:val="18"/>
              </w:rPr>
              <w:t>Cash and cash equivalents at the beginning of the reporting period</w:t>
            </w:r>
          </w:p>
        </w:tc>
        <w:tc>
          <w:tcPr>
            <w:tcW w:w="1026" w:type="dxa"/>
            <w:tcBorders>
              <w:top w:val="nil"/>
              <w:left w:val="nil"/>
              <w:bottom w:val="nil"/>
              <w:right w:val="nil"/>
            </w:tcBorders>
            <w:shd w:val="clear" w:color="FFFFFF" w:fill="FFFFFF"/>
            <w:noWrap/>
            <w:vAlign w:val="bottom"/>
            <w:hideMark/>
          </w:tcPr>
          <w:p w14:paraId="18B984F9" w14:textId="77777777" w:rsidR="00C32CBD" w:rsidRDefault="00C32CBD" w:rsidP="00320D09">
            <w:pPr>
              <w:jc w:val="center"/>
              <w:rPr>
                <w:rFonts w:cs="Arial"/>
                <w:sz w:val="18"/>
                <w:szCs w:val="18"/>
              </w:rPr>
            </w:pPr>
            <w:r>
              <w:rPr>
                <w:rFonts w:cs="Arial"/>
                <w:sz w:val="18"/>
                <w:szCs w:val="18"/>
              </w:rPr>
              <w:t> </w:t>
            </w:r>
          </w:p>
        </w:tc>
        <w:tc>
          <w:tcPr>
            <w:tcW w:w="1057" w:type="dxa"/>
            <w:tcBorders>
              <w:top w:val="nil"/>
              <w:left w:val="nil"/>
              <w:bottom w:val="nil"/>
              <w:right w:val="nil"/>
            </w:tcBorders>
            <w:shd w:val="clear" w:color="FFFFFF" w:fill="FFFFFF"/>
            <w:noWrap/>
            <w:vAlign w:val="bottom"/>
            <w:hideMark/>
          </w:tcPr>
          <w:p w14:paraId="202F1216" w14:textId="77777777" w:rsidR="00C32CBD" w:rsidRDefault="00C32CBD" w:rsidP="00320D09">
            <w:pPr>
              <w:jc w:val="right"/>
              <w:rPr>
                <w:rFonts w:cs="Arial"/>
                <w:b/>
                <w:bCs/>
                <w:sz w:val="18"/>
                <w:szCs w:val="18"/>
              </w:rPr>
            </w:pPr>
            <w:r>
              <w:rPr>
                <w:rFonts w:cs="Arial"/>
                <w:b/>
                <w:bCs/>
                <w:sz w:val="18"/>
                <w:szCs w:val="18"/>
              </w:rPr>
              <w:t>306,430</w:t>
            </w:r>
          </w:p>
        </w:tc>
        <w:tc>
          <w:tcPr>
            <w:tcW w:w="236" w:type="dxa"/>
            <w:tcBorders>
              <w:top w:val="nil"/>
              <w:left w:val="nil"/>
              <w:bottom w:val="nil"/>
              <w:right w:val="nil"/>
            </w:tcBorders>
            <w:shd w:val="clear" w:color="FFFFFF" w:fill="FFFFFF"/>
            <w:noWrap/>
            <w:vAlign w:val="bottom"/>
            <w:hideMark/>
          </w:tcPr>
          <w:p w14:paraId="48D5905C" w14:textId="77777777" w:rsidR="00C32CBD" w:rsidRDefault="00C32CBD" w:rsidP="00320D09">
            <w:pPr>
              <w:rPr>
                <w:rFonts w:cs="Arial"/>
                <w:sz w:val="18"/>
                <w:szCs w:val="18"/>
              </w:rPr>
            </w:pPr>
            <w:r>
              <w:rPr>
                <w:rFonts w:cs="Arial"/>
                <w:sz w:val="18"/>
                <w:szCs w:val="18"/>
              </w:rPr>
              <w:t> </w:t>
            </w:r>
          </w:p>
        </w:tc>
        <w:tc>
          <w:tcPr>
            <w:tcW w:w="1030" w:type="dxa"/>
            <w:tcBorders>
              <w:top w:val="nil"/>
              <w:left w:val="nil"/>
              <w:bottom w:val="nil"/>
              <w:right w:val="nil"/>
            </w:tcBorders>
            <w:shd w:val="clear" w:color="FFFFFF" w:fill="FFFFFF"/>
            <w:noWrap/>
            <w:vAlign w:val="bottom"/>
            <w:hideMark/>
          </w:tcPr>
          <w:p w14:paraId="4410065E" w14:textId="77777777" w:rsidR="00C32CBD" w:rsidRDefault="00C32CBD" w:rsidP="00320D09">
            <w:pPr>
              <w:jc w:val="right"/>
              <w:rPr>
                <w:rFonts w:cs="Arial"/>
                <w:sz w:val="18"/>
                <w:szCs w:val="18"/>
              </w:rPr>
            </w:pPr>
            <w:r>
              <w:rPr>
                <w:rFonts w:cs="Arial"/>
                <w:sz w:val="18"/>
                <w:szCs w:val="18"/>
              </w:rPr>
              <w:t>136,482</w:t>
            </w:r>
          </w:p>
        </w:tc>
        <w:tc>
          <w:tcPr>
            <w:tcW w:w="236" w:type="dxa"/>
            <w:tcBorders>
              <w:top w:val="nil"/>
              <w:left w:val="nil"/>
              <w:bottom w:val="nil"/>
              <w:right w:val="nil"/>
            </w:tcBorders>
            <w:shd w:val="clear" w:color="FFFFFF" w:fill="FFFFFF"/>
            <w:noWrap/>
            <w:vAlign w:val="bottom"/>
            <w:hideMark/>
          </w:tcPr>
          <w:p w14:paraId="35D12209" w14:textId="77777777" w:rsidR="00C32CBD" w:rsidRDefault="00C32CBD" w:rsidP="00320D09">
            <w:pPr>
              <w:rPr>
                <w:rFonts w:cs="Arial"/>
                <w:sz w:val="18"/>
                <w:szCs w:val="18"/>
              </w:rPr>
            </w:pPr>
            <w:r>
              <w:rPr>
                <w:rFonts w:cs="Arial"/>
                <w:sz w:val="18"/>
                <w:szCs w:val="18"/>
              </w:rPr>
              <w:t> </w:t>
            </w:r>
          </w:p>
        </w:tc>
        <w:tc>
          <w:tcPr>
            <w:tcW w:w="1030" w:type="dxa"/>
            <w:tcBorders>
              <w:top w:val="nil"/>
              <w:left w:val="nil"/>
              <w:bottom w:val="nil"/>
              <w:right w:val="nil"/>
            </w:tcBorders>
            <w:shd w:val="clear" w:color="FFFFFF" w:fill="FFFFFF"/>
            <w:noWrap/>
            <w:vAlign w:val="bottom"/>
            <w:hideMark/>
          </w:tcPr>
          <w:p w14:paraId="33137D99" w14:textId="77777777" w:rsidR="00C32CBD" w:rsidRDefault="00C32CBD" w:rsidP="00320D09">
            <w:pPr>
              <w:jc w:val="right"/>
              <w:rPr>
                <w:rFonts w:cs="Arial"/>
                <w:sz w:val="18"/>
                <w:szCs w:val="18"/>
              </w:rPr>
            </w:pPr>
            <w:r>
              <w:rPr>
                <w:rFonts w:cs="Arial"/>
                <w:sz w:val="18"/>
                <w:szCs w:val="18"/>
              </w:rPr>
              <w:t>164,154</w:t>
            </w:r>
          </w:p>
        </w:tc>
      </w:tr>
      <w:tr w:rsidR="00C32CBD" w14:paraId="397958DF" w14:textId="77777777" w:rsidTr="00320D09">
        <w:trPr>
          <w:trHeight w:val="255"/>
        </w:trPr>
        <w:tc>
          <w:tcPr>
            <w:tcW w:w="4472" w:type="dxa"/>
            <w:tcBorders>
              <w:top w:val="nil"/>
              <w:left w:val="nil"/>
              <w:bottom w:val="nil"/>
              <w:right w:val="nil"/>
            </w:tcBorders>
            <w:shd w:val="clear" w:color="FFFFFF" w:fill="FFFFFF"/>
            <w:vAlign w:val="bottom"/>
            <w:hideMark/>
          </w:tcPr>
          <w:p w14:paraId="0850647F" w14:textId="77777777" w:rsidR="00C32CBD" w:rsidRDefault="00C32CBD" w:rsidP="00320D09">
            <w:pPr>
              <w:rPr>
                <w:rFonts w:cs="Arial"/>
                <w:b/>
                <w:bCs/>
                <w:sz w:val="18"/>
                <w:szCs w:val="18"/>
              </w:rPr>
            </w:pPr>
            <w:r>
              <w:rPr>
                <w:rFonts w:cs="Arial"/>
                <w:b/>
                <w:bCs/>
                <w:sz w:val="18"/>
                <w:szCs w:val="18"/>
              </w:rPr>
              <w:t>Cash and cash equivalents at the end of the reporting period</w:t>
            </w:r>
          </w:p>
        </w:tc>
        <w:tc>
          <w:tcPr>
            <w:tcW w:w="1026" w:type="dxa"/>
            <w:tcBorders>
              <w:top w:val="nil"/>
              <w:left w:val="nil"/>
              <w:bottom w:val="nil"/>
              <w:right w:val="nil"/>
            </w:tcBorders>
            <w:shd w:val="clear" w:color="FFFFFF" w:fill="FFFFFF"/>
            <w:noWrap/>
            <w:vAlign w:val="bottom"/>
            <w:hideMark/>
          </w:tcPr>
          <w:p w14:paraId="0F2C032D" w14:textId="77777777" w:rsidR="00C32CBD" w:rsidRDefault="00C32CBD" w:rsidP="00320D09">
            <w:pPr>
              <w:jc w:val="center"/>
              <w:rPr>
                <w:rFonts w:cs="Arial"/>
                <w:sz w:val="18"/>
                <w:szCs w:val="18"/>
              </w:rPr>
            </w:pPr>
            <w:r>
              <w:rPr>
                <w:rFonts w:cs="Arial"/>
                <w:sz w:val="18"/>
                <w:szCs w:val="18"/>
              </w:rPr>
              <w:t>2.1A</w:t>
            </w:r>
          </w:p>
        </w:tc>
        <w:tc>
          <w:tcPr>
            <w:tcW w:w="1057" w:type="dxa"/>
            <w:tcBorders>
              <w:top w:val="single" w:sz="4" w:space="0" w:color="auto"/>
              <w:left w:val="nil"/>
              <w:bottom w:val="single" w:sz="4" w:space="0" w:color="auto"/>
              <w:right w:val="nil"/>
            </w:tcBorders>
            <w:shd w:val="clear" w:color="FFFFFF" w:fill="FFFFFF"/>
            <w:noWrap/>
            <w:vAlign w:val="bottom"/>
            <w:hideMark/>
          </w:tcPr>
          <w:p w14:paraId="2682A12D" w14:textId="77777777" w:rsidR="00C32CBD" w:rsidRDefault="00C32CBD" w:rsidP="00320D09">
            <w:pPr>
              <w:jc w:val="right"/>
              <w:rPr>
                <w:rFonts w:cs="Arial"/>
                <w:b/>
                <w:bCs/>
                <w:sz w:val="18"/>
                <w:szCs w:val="18"/>
              </w:rPr>
            </w:pPr>
            <w:r>
              <w:rPr>
                <w:rFonts w:cs="Arial"/>
                <w:b/>
                <w:bCs/>
                <w:sz w:val="18"/>
                <w:szCs w:val="18"/>
              </w:rPr>
              <w:t>1,328,287</w:t>
            </w:r>
          </w:p>
        </w:tc>
        <w:tc>
          <w:tcPr>
            <w:tcW w:w="236" w:type="dxa"/>
            <w:tcBorders>
              <w:top w:val="nil"/>
              <w:left w:val="nil"/>
              <w:bottom w:val="nil"/>
              <w:right w:val="nil"/>
            </w:tcBorders>
            <w:shd w:val="clear" w:color="FFFFFF" w:fill="FFFFFF"/>
            <w:noWrap/>
            <w:vAlign w:val="bottom"/>
            <w:hideMark/>
          </w:tcPr>
          <w:p w14:paraId="7C6E0E4A" w14:textId="77777777" w:rsidR="00C32CBD" w:rsidRDefault="00C32CBD" w:rsidP="00320D09">
            <w:pPr>
              <w:rPr>
                <w:rFonts w:cs="Arial"/>
                <w:sz w:val="18"/>
                <w:szCs w:val="18"/>
              </w:rPr>
            </w:pPr>
            <w:r>
              <w:rPr>
                <w:rFonts w:cs="Arial"/>
                <w:sz w:val="18"/>
                <w:szCs w:val="18"/>
              </w:rPr>
              <w:t> </w:t>
            </w:r>
          </w:p>
        </w:tc>
        <w:tc>
          <w:tcPr>
            <w:tcW w:w="1030" w:type="dxa"/>
            <w:tcBorders>
              <w:top w:val="single" w:sz="4" w:space="0" w:color="auto"/>
              <w:left w:val="nil"/>
              <w:bottom w:val="single" w:sz="4" w:space="0" w:color="auto"/>
              <w:right w:val="nil"/>
            </w:tcBorders>
            <w:shd w:val="clear" w:color="FFFFFF" w:fill="FFFFFF"/>
            <w:noWrap/>
            <w:vAlign w:val="bottom"/>
            <w:hideMark/>
          </w:tcPr>
          <w:p w14:paraId="25273002" w14:textId="77777777" w:rsidR="00C32CBD" w:rsidRDefault="00C32CBD" w:rsidP="00320D09">
            <w:pPr>
              <w:jc w:val="right"/>
              <w:rPr>
                <w:rFonts w:cs="Arial"/>
                <w:sz w:val="18"/>
                <w:szCs w:val="18"/>
              </w:rPr>
            </w:pPr>
            <w:r>
              <w:rPr>
                <w:rFonts w:cs="Arial"/>
                <w:sz w:val="18"/>
                <w:szCs w:val="18"/>
              </w:rPr>
              <w:t>306,430</w:t>
            </w:r>
          </w:p>
        </w:tc>
        <w:tc>
          <w:tcPr>
            <w:tcW w:w="236" w:type="dxa"/>
            <w:tcBorders>
              <w:top w:val="nil"/>
              <w:left w:val="nil"/>
              <w:bottom w:val="nil"/>
              <w:right w:val="nil"/>
            </w:tcBorders>
            <w:shd w:val="clear" w:color="FFFFFF" w:fill="FFFFFF"/>
            <w:noWrap/>
            <w:vAlign w:val="bottom"/>
            <w:hideMark/>
          </w:tcPr>
          <w:p w14:paraId="6B6991C5" w14:textId="77777777" w:rsidR="00C32CBD" w:rsidRDefault="00C32CBD" w:rsidP="00320D09">
            <w:pPr>
              <w:rPr>
                <w:rFonts w:cs="Arial"/>
                <w:sz w:val="18"/>
                <w:szCs w:val="18"/>
              </w:rPr>
            </w:pPr>
            <w:r>
              <w:rPr>
                <w:rFonts w:cs="Arial"/>
                <w:sz w:val="18"/>
                <w:szCs w:val="18"/>
              </w:rPr>
              <w:t> </w:t>
            </w:r>
          </w:p>
        </w:tc>
        <w:tc>
          <w:tcPr>
            <w:tcW w:w="1030" w:type="dxa"/>
            <w:tcBorders>
              <w:top w:val="single" w:sz="4" w:space="0" w:color="auto"/>
              <w:left w:val="nil"/>
              <w:bottom w:val="single" w:sz="4" w:space="0" w:color="auto"/>
              <w:right w:val="nil"/>
            </w:tcBorders>
            <w:shd w:val="clear" w:color="FFFFFF" w:fill="FFFFFF"/>
            <w:noWrap/>
            <w:vAlign w:val="bottom"/>
            <w:hideMark/>
          </w:tcPr>
          <w:p w14:paraId="4C0A12A0" w14:textId="77777777" w:rsidR="00C32CBD" w:rsidRDefault="00C32CBD" w:rsidP="00320D09">
            <w:pPr>
              <w:jc w:val="right"/>
              <w:rPr>
                <w:rFonts w:cs="Arial"/>
                <w:sz w:val="18"/>
                <w:szCs w:val="18"/>
              </w:rPr>
            </w:pPr>
            <w:r>
              <w:rPr>
                <w:rFonts w:cs="Arial"/>
                <w:sz w:val="18"/>
                <w:szCs w:val="18"/>
              </w:rPr>
              <w:t>245,496</w:t>
            </w:r>
          </w:p>
        </w:tc>
      </w:tr>
    </w:tbl>
    <w:p w14:paraId="7F532731" w14:textId="77777777" w:rsidR="00C32CBD" w:rsidRDefault="00C32CBD" w:rsidP="00C32CBD">
      <w:pPr>
        <w:pStyle w:val="ReferenceText"/>
      </w:pPr>
    </w:p>
    <w:p w14:paraId="34138E3E" w14:textId="77777777" w:rsidR="00C32CBD" w:rsidRDefault="00C32CBD" w:rsidP="00C32CBD">
      <w:pPr>
        <w:pStyle w:val="ReferenceText"/>
      </w:pPr>
      <w:r w:rsidRPr="005E5430">
        <w:t>The above statement should be read in conjunction with the accompanying notes.</w:t>
      </w:r>
    </w:p>
    <w:p w14:paraId="6D44BBB5" w14:textId="77777777" w:rsidR="00C32CBD" w:rsidRDefault="00C32CBD" w:rsidP="00C32CBD">
      <w:pPr>
        <w:pStyle w:val="PolicyheadingDept"/>
        <w:pBdr>
          <w:top w:val="none" w:sz="0" w:space="0" w:color="auto"/>
          <w:left w:val="none" w:sz="0" w:space="0" w:color="auto"/>
          <w:bottom w:val="none" w:sz="0" w:space="0" w:color="auto"/>
          <w:right w:val="none" w:sz="0" w:space="0" w:color="auto"/>
        </w:pBdr>
      </w:pPr>
    </w:p>
    <w:p w14:paraId="00E21122" w14:textId="77777777" w:rsidR="00C32CBD" w:rsidRDefault="00C32CBD" w:rsidP="00C32CBD">
      <w:pPr>
        <w:pStyle w:val="PolicyheadingDept"/>
        <w:pBdr>
          <w:top w:val="none" w:sz="0" w:space="0" w:color="auto"/>
          <w:left w:val="none" w:sz="0" w:space="0" w:color="auto"/>
          <w:bottom w:val="none" w:sz="0" w:space="0" w:color="auto"/>
          <w:right w:val="none" w:sz="0" w:space="0" w:color="auto"/>
        </w:pBdr>
      </w:pPr>
    </w:p>
    <w:p w14:paraId="7BB7FAEC" w14:textId="77777777" w:rsidR="00C32CBD" w:rsidRDefault="00C32CBD" w:rsidP="00C32CBD">
      <w:pPr>
        <w:pStyle w:val="PolicyheadingDept"/>
        <w:pBdr>
          <w:top w:val="none" w:sz="0" w:space="0" w:color="auto"/>
          <w:left w:val="none" w:sz="0" w:space="0" w:color="auto"/>
          <w:bottom w:val="none" w:sz="0" w:space="0" w:color="auto"/>
          <w:right w:val="none" w:sz="0" w:space="0" w:color="auto"/>
        </w:pBdr>
      </w:pPr>
    </w:p>
    <w:p w14:paraId="5C222B11" w14:textId="77777777" w:rsidR="00C32CBD" w:rsidRDefault="00C32CBD" w:rsidP="00C32CBD">
      <w:pPr>
        <w:pStyle w:val="PolicyheadingDept"/>
        <w:pBdr>
          <w:top w:val="none" w:sz="0" w:space="0" w:color="auto"/>
          <w:left w:val="none" w:sz="0" w:space="0" w:color="auto"/>
          <w:bottom w:val="none" w:sz="0" w:space="0" w:color="auto"/>
          <w:right w:val="none" w:sz="0" w:space="0" w:color="auto"/>
        </w:pBdr>
      </w:pPr>
    </w:p>
    <w:p w14:paraId="25DB0FCE" w14:textId="77777777" w:rsidR="00C32CBD" w:rsidRDefault="00C32CBD" w:rsidP="00C32CBD">
      <w:pPr>
        <w:pStyle w:val="PolicyheadingDept"/>
        <w:pBdr>
          <w:top w:val="none" w:sz="0" w:space="0" w:color="auto"/>
          <w:left w:val="none" w:sz="0" w:space="0" w:color="auto"/>
          <w:bottom w:val="none" w:sz="0" w:space="0" w:color="auto"/>
          <w:right w:val="none" w:sz="0" w:space="0" w:color="auto"/>
        </w:pBdr>
      </w:pPr>
      <w:r w:rsidRPr="00C85147">
        <w:t>Budget Variances Commentary</w:t>
      </w:r>
    </w:p>
    <w:p w14:paraId="5FFA2980" w14:textId="77777777" w:rsidR="00C32CBD" w:rsidRPr="00BA6414" w:rsidRDefault="00C32CBD" w:rsidP="00C32CBD">
      <w:pPr>
        <w:pStyle w:val="PolicyheadingDept"/>
        <w:pBdr>
          <w:top w:val="none" w:sz="0" w:space="0" w:color="auto"/>
          <w:left w:val="none" w:sz="0" w:space="0" w:color="auto"/>
          <w:bottom w:val="none" w:sz="0" w:space="0" w:color="auto"/>
          <w:right w:val="none" w:sz="0" w:space="0" w:color="auto"/>
        </w:pBdr>
      </w:pPr>
      <w:r>
        <w:t>Cash Flow Statement</w:t>
      </w:r>
    </w:p>
    <w:tbl>
      <w:tblPr>
        <w:tblW w:w="9119"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0"/>
        <w:gridCol w:w="6379"/>
      </w:tblGrid>
      <w:tr w:rsidR="00C32CBD" w14:paraId="64212819" w14:textId="77777777" w:rsidTr="00320D09">
        <w:trPr>
          <w:cantSplit/>
          <w:trHeight w:val="255"/>
          <w:tblHeader/>
        </w:trPr>
        <w:tc>
          <w:tcPr>
            <w:tcW w:w="2740" w:type="dxa"/>
            <w:tcBorders>
              <w:top w:val="single" w:sz="12" w:space="0" w:color="auto"/>
              <w:left w:val="single" w:sz="12" w:space="0" w:color="auto"/>
              <w:bottom w:val="single" w:sz="12" w:space="0" w:color="auto"/>
              <w:right w:val="single" w:sz="6" w:space="0" w:color="auto"/>
            </w:tcBorders>
            <w:shd w:val="clear" w:color="FFFFFF" w:fill="FFFFFF"/>
            <w:noWrap/>
            <w:vAlign w:val="center"/>
          </w:tcPr>
          <w:p w14:paraId="1B170146" w14:textId="77777777" w:rsidR="00C32CBD" w:rsidRPr="002E4757" w:rsidRDefault="00C32CBD" w:rsidP="00320D09">
            <w:pPr>
              <w:rPr>
                <w:rFonts w:cs="Arial"/>
                <w:b/>
                <w:sz w:val="18"/>
                <w:szCs w:val="18"/>
              </w:rPr>
            </w:pPr>
            <w:r>
              <w:rPr>
                <w:rFonts w:cs="Arial"/>
                <w:b/>
                <w:sz w:val="18"/>
                <w:szCs w:val="18"/>
              </w:rPr>
              <w:t>Affected line items</w:t>
            </w:r>
          </w:p>
        </w:tc>
        <w:tc>
          <w:tcPr>
            <w:tcW w:w="6379" w:type="dxa"/>
            <w:tcBorders>
              <w:top w:val="single" w:sz="12" w:space="0" w:color="auto"/>
              <w:left w:val="single" w:sz="6" w:space="0" w:color="auto"/>
              <w:bottom w:val="single" w:sz="12" w:space="0" w:color="auto"/>
              <w:right w:val="single" w:sz="12" w:space="0" w:color="auto"/>
            </w:tcBorders>
            <w:shd w:val="clear" w:color="FFFFFF" w:fill="FFFFFF"/>
            <w:vAlign w:val="center"/>
          </w:tcPr>
          <w:p w14:paraId="5C9891E0" w14:textId="77777777" w:rsidR="00C32CBD" w:rsidRPr="002E4757" w:rsidRDefault="00C32CBD" w:rsidP="00320D09">
            <w:pPr>
              <w:rPr>
                <w:rFonts w:cs="Arial"/>
                <w:b/>
                <w:sz w:val="18"/>
                <w:szCs w:val="18"/>
              </w:rPr>
            </w:pPr>
            <w:r>
              <w:rPr>
                <w:rFonts w:cs="Arial"/>
                <w:b/>
                <w:sz w:val="18"/>
                <w:szCs w:val="18"/>
              </w:rPr>
              <w:t>Explanations of major variances</w:t>
            </w:r>
          </w:p>
        </w:tc>
      </w:tr>
      <w:tr w:rsidR="00C32CBD" w14:paraId="77A98ED3" w14:textId="77777777" w:rsidTr="00320D09">
        <w:trPr>
          <w:cantSplit/>
          <w:trHeight w:val="255"/>
        </w:trPr>
        <w:tc>
          <w:tcPr>
            <w:tcW w:w="2740" w:type="dxa"/>
            <w:tcBorders>
              <w:top w:val="single" w:sz="6" w:space="0" w:color="auto"/>
              <w:left w:val="single" w:sz="12" w:space="0" w:color="auto"/>
              <w:bottom w:val="single" w:sz="6" w:space="0" w:color="auto"/>
            </w:tcBorders>
            <w:shd w:val="clear" w:color="FFFFFF" w:fill="FFFFFF"/>
            <w:noWrap/>
          </w:tcPr>
          <w:p w14:paraId="670C2C3C" w14:textId="77777777" w:rsidR="00C32CBD" w:rsidRPr="00DD6C40" w:rsidRDefault="00C32CBD" w:rsidP="00320D09">
            <w:pPr>
              <w:rPr>
                <w:rFonts w:cs="Arial"/>
                <w:bCs/>
                <w:sz w:val="18"/>
                <w:szCs w:val="18"/>
              </w:rPr>
            </w:pPr>
            <w:r>
              <w:rPr>
                <w:rFonts w:cs="Arial"/>
                <w:bCs/>
                <w:sz w:val="18"/>
                <w:szCs w:val="18"/>
              </w:rPr>
              <w:t>Operating activities</w:t>
            </w:r>
          </w:p>
          <w:p w14:paraId="5909DBE0" w14:textId="77777777" w:rsidR="00C32CBD" w:rsidRPr="00DD6C40" w:rsidRDefault="00C32CBD" w:rsidP="00320D09">
            <w:pPr>
              <w:rPr>
                <w:rFonts w:cs="Arial"/>
                <w:bCs/>
                <w:i/>
                <w:sz w:val="18"/>
                <w:szCs w:val="18"/>
              </w:rPr>
            </w:pPr>
            <w:r w:rsidRPr="002D2BAA">
              <w:rPr>
                <w:rFonts w:cs="Arial"/>
                <w:i/>
                <w:sz w:val="18"/>
                <w:szCs w:val="18"/>
              </w:rPr>
              <w:t>State and territory government contributions</w:t>
            </w:r>
          </w:p>
        </w:tc>
        <w:tc>
          <w:tcPr>
            <w:tcW w:w="6379" w:type="dxa"/>
            <w:tcBorders>
              <w:top w:val="single" w:sz="6" w:space="0" w:color="auto"/>
              <w:bottom w:val="single" w:sz="6" w:space="0" w:color="auto"/>
              <w:right w:val="single" w:sz="12" w:space="0" w:color="auto"/>
            </w:tcBorders>
            <w:shd w:val="clear" w:color="FFFFFF" w:fill="FFFFFF"/>
            <w:noWrap/>
          </w:tcPr>
          <w:p w14:paraId="6A4517A9" w14:textId="77777777" w:rsidR="00C32CBD" w:rsidRPr="00DD6C40" w:rsidRDefault="00C32CBD" w:rsidP="00320D09">
            <w:pPr>
              <w:rPr>
                <w:rFonts w:cs="Arial"/>
                <w:sz w:val="18"/>
                <w:szCs w:val="18"/>
              </w:rPr>
            </w:pPr>
            <w:r w:rsidRPr="009B2BA6">
              <w:rPr>
                <w:rFonts w:cs="Arial"/>
                <w:sz w:val="18"/>
                <w:szCs w:val="18"/>
              </w:rPr>
              <w:t xml:space="preserve">Cash from the rendering of services is lower than </w:t>
            </w:r>
            <w:r>
              <w:rPr>
                <w:rFonts w:cs="Arial"/>
                <w:sz w:val="18"/>
                <w:szCs w:val="18"/>
              </w:rPr>
              <w:t>predicted</w:t>
            </w:r>
            <w:r w:rsidRPr="009B2BA6">
              <w:rPr>
                <w:rFonts w:cs="Arial"/>
                <w:sz w:val="18"/>
                <w:szCs w:val="18"/>
              </w:rPr>
              <w:t xml:space="preserve"> in the budget. The budget anticipated the phasing of participants in acco</w:t>
            </w:r>
            <w:r>
              <w:rPr>
                <w:rFonts w:cs="Arial"/>
                <w:sz w:val="18"/>
                <w:szCs w:val="18"/>
              </w:rPr>
              <w:t>rdance with Bilateral Agreements, however, t</w:t>
            </w:r>
            <w:r w:rsidRPr="009B2BA6">
              <w:rPr>
                <w:rFonts w:cs="Arial"/>
                <w:sz w:val="18"/>
                <w:szCs w:val="18"/>
              </w:rPr>
              <w:t>he delays experienced in transitioning participants from existing st</w:t>
            </w:r>
            <w:r>
              <w:rPr>
                <w:rFonts w:cs="Arial"/>
                <w:sz w:val="18"/>
                <w:szCs w:val="18"/>
              </w:rPr>
              <w:t>ate and territory programs during</w:t>
            </w:r>
            <w:r w:rsidRPr="009B2BA6">
              <w:rPr>
                <w:rFonts w:cs="Arial"/>
                <w:sz w:val="18"/>
                <w:szCs w:val="18"/>
              </w:rPr>
              <w:t xml:space="preserve"> in the year </w:t>
            </w:r>
            <w:r>
              <w:rPr>
                <w:rFonts w:cs="Arial"/>
                <w:sz w:val="18"/>
                <w:szCs w:val="18"/>
              </w:rPr>
              <w:t>impacted revenue received</w:t>
            </w:r>
            <w:r w:rsidRPr="009B2BA6">
              <w:rPr>
                <w:rFonts w:cs="Arial"/>
                <w:sz w:val="18"/>
                <w:szCs w:val="18"/>
              </w:rPr>
              <w:t>.</w:t>
            </w:r>
          </w:p>
        </w:tc>
      </w:tr>
      <w:tr w:rsidR="00C32CBD" w14:paraId="70E387EF" w14:textId="77777777" w:rsidTr="00320D09">
        <w:trPr>
          <w:cantSplit/>
          <w:trHeight w:val="255"/>
        </w:trPr>
        <w:tc>
          <w:tcPr>
            <w:tcW w:w="2740" w:type="dxa"/>
            <w:tcBorders>
              <w:top w:val="single" w:sz="6" w:space="0" w:color="auto"/>
              <w:left w:val="single" w:sz="12" w:space="0" w:color="auto"/>
              <w:bottom w:val="single" w:sz="6" w:space="0" w:color="auto"/>
            </w:tcBorders>
            <w:shd w:val="clear" w:color="FFFFFF" w:fill="FFFFFF"/>
            <w:noWrap/>
          </w:tcPr>
          <w:p w14:paraId="3ED92C17" w14:textId="77777777" w:rsidR="00C32CBD" w:rsidRPr="00DD6C40" w:rsidRDefault="00C32CBD" w:rsidP="00320D09">
            <w:pPr>
              <w:rPr>
                <w:rFonts w:cs="Arial"/>
                <w:bCs/>
                <w:sz w:val="18"/>
                <w:szCs w:val="18"/>
              </w:rPr>
            </w:pPr>
            <w:r>
              <w:rPr>
                <w:rFonts w:cs="Arial"/>
                <w:bCs/>
                <w:sz w:val="18"/>
                <w:szCs w:val="18"/>
              </w:rPr>
              <w:lastRenderedPageBreak/>
              <w:t>Operating activities</w:t>
            </w:r>
          </w:p>
          <w:p w14:paraId="2C7D3683" w14:textId="77777777" w:rsidR="00C32CBD" w:rsidRDefault="00C32CBD" w:rsidP="00320D09">
            <w:pPr>
              <w:rPr>
                <w:rFonts w:cs="Arial"/>
                <w:bCs/>
                <w:sz w:val="18"/>
                <w:szCs w:val="18"/>
              </w:rPr>
            </w:pPr>
            <w:r>
              <w:rPr>
                <w:rFonts w:cs="Arial"/>
                <w:bCs/>
                <w:i/>
                <w:sz w:val="18"/>
                <w:szCs w:val="18"/>
              </w:rPr>
              <w:t>Interest received</w:t>
            </w:r>
          </w:p>
        </w:tc>
        <w:tc>
          <w:tcPr>
            <w:tcW w:w="6379" w:type="dxa"/>
            <w:tcBorders>
              <w:top w:val="single" w:sz="6" w:space="0" w:color="auto"/>
              <w:bottom w:val="single" w:sz="6" w:space="0" w:color="auto"/>
              <w:right w:val="single" w:sz="12" w:space="0" w:color="auto"/>
            </w:tcBorders>
            <w:shd w:val="clear" w:color="FFFFFF" w:fill="FFFFFF"/>
            <w:noWrap/>
          </w:tcPr>
          <w:p w14:paraId="5AA1165B" w14:textId="77777777" w:rsidR="00C32CBD" w:rsidRPr="00DD6C40" w:rsidRDefault="00C32CBD" w:rsidP="00320D09">
            <w:pPr>
              <w:rPr>
                <w:rFonts w:cs="Arial"/>
                <w:sz w:val="18"/>
                <w:szCs w:val="18"/>
              </w:rPr>
            </w:pPr>
            <w:r w:rsidRPr="00576E9D">
              <w:rPr>
                <w:rFonts w:cs="Arial"/>
                <w:sz w:val="18"/>
                <w:szCs w:val="18"/>
              </w:rPr>
              <w:t xml:space="preserve">Interest received is derived from the Agency investing cash in short-term deposits. </w:t>
            </w:r>
            <w:r>
              <w:rPr>
                <w:rFonts w:cs="Arial"/>
                <w:sz w:val="18"/>
                <w:szCs w:val="18"/>
              </w:rPr>
              <w:t>The original budget does not assume that cash on hand will be in excess to immediate requirements.</w:t>
            </w:r>
          </w:p>
        </w:tc>
      </w:tr>
      <w:tr w:rsidR="00C32CBD" w14:paraId="319090AD" w14:textId="77777777" w:rsidTr="00320D09">
        <w:trPr>
          <w:cantSplit/>
          <w:trHeight w:val="255"/>
        </w:trPr>
        <w:tc>
          <w:tcPr>
            <w:tcW w:w="2740" w:type="dxa"/>
            <w:tcBorders>
              <w:top w:val="single" w:sz="6" w:space="0" w:color="auto"/>
              <w:left w:val="single" w:sz="12" w:space="0" w:color="auto"/>
              <w:bottom w:val="single" w:sz="6" w:space="0" w:color="auto"/>
            </w:tcBorders>
            <w:shd w:val="clear" w:color="FFFFFF" w:fill="FFFFFF"/>
            <w:noWrap/>
          </w:tcPr>
          <w:p w14:paraId="63E2C4B9" w14:textId="77777777" w:rsidR="00C32CBD" w:rsidRPr="00DD6C40" w:rsidRDefault="00C32CBD" w:rsidP="00320D09">
            <w:pPr>
              <w:rPr>
                <w:rFonts w:cs="Arial"/>
                <w:bCs/>
                <w:sz w:val="18"/>
                <w:szCs w:val="18"/>
              </w:rPr>
            </w:pPr>
            <w:r>
              <w:rPr>
                <w:rFonts w:cs="Arial"/>
                <w:bCs/>
                <w:sz w:val="18"/>
                <w:szCs w:val="18"/>
              </w:rPr>
              <w:t>Operating activities</w:t>
            </w:r>
          </w:p>
          <w:p w14:paraId="0DA1D270" w14:textId="77777777" w:rsidR="00C32CBD" w:rsidRDefault="00C32CBD" w:rsidP="00320D09">
            <w:pPr>
              <w:rPr>
                <w:rFonts w:cs="Arial"/>
                <w:bCs/>
                <w:sz w:val="18"/>
                <w:szCs w:val="18"/>
              </w:rPr>
            </w:pPr>
            <w:r>
              <w:rPr>
                <w:rFonts w:cs="Arial"/>
                <w:bCs/>
                <w:i/>
                <w:sz w:val="18"/>
                <w:szCs w:val="18"/>
              </w:rPr>
              <w:t>Net GST received</w:t>
            </w:r>
          </w:p>
        </w:tc>
        <w:tc>
          <w:tcPr>
            <w:tcW w:w="6379" w:type="dxa"/>
            <w:tcBorders>
              <w:top w:val="single" w:sz="6" w:space="0" w:color="auto"/>
              <w:bottom w:val="single" w:sz="6" w:space="0" w:color="auto"/>
              <w:right w:val="single" w:sz="12" w:space="0" w:color="auto"/>
            </w:tcBorders>
            <w:shd w:val="clear" w:color="FFFFFF" w:fill="FFFFFF"/>
            <w:noWrap/>
          </w:tcPr>
          <w:p w14:paraId="1412D560" w14:textId="77777777" w:rsidR="00C32CBD" w:rsidRDefault="00C32CBD" w:rsidP="00320D09">
            <w:pPr>
              <w:rPr>
                <w:rFonts w:cs="Arial"/>
                <w:sz w:val="18"/>
                <w:szCs w:val="18"/>
              </w:rPr>
            </w:pPr>
            <w:r w:rsidRPr="00576E9D">
              <w:rPr>
                <w:rFonts w:cs="Arial"/>
                <w:sz w:val="18"/>
                <w:szCs w:val="18"/>
              </w:rPr>
              <w:t xml:space="preserve">Net GST received is lower than budget due to the </w:t>
            </w:r>
            <w:r>
              <w:rPr>
                <w:rFonts w:cs="Arial"/>
                <w:sz w:val="18"/>
                <w:szCs w:val="18"/>
              </w:rPr>
              <w:t xml:space="preserve">budget assumption that cash flows from the </w:t>
            </w:r>
            <w:r w:rsidRPr="00576E9D">
              <w:rPr>
                <w:rFonts w:cs="Arial"/>
                <w:sz w:val="18"/>
                <w:szCs w:val="18"/>
              </w:rPr>
              <w:t xml:space="preserve">purchase of capital items, supplier </w:t>
            </w:r>
            <w:r>
              <w:rPr>
                <w:rFonts w:cs="Arial"/>
                <w:sz w:val="18"/>
                <w:szCs w:val="18"/>
              </w:rPr>
              <w:t>expenses</w:t>
            </w:r>
            <w:r w:rsidRPr="00576E9D">
              <w:rPr>
                <w:rFonts w:cs="Arial"/>
                <w:sz w:val="18"/>
                <w:szCs w:val="18"/>
              </w:rPr>
              <w:t xml:space="preserve"> and participant expens</w:t>
            </w:r>
            <w:r>
              <w:rPr>
                <w:rFonts w:cs="Arial"/>
                <w:sz w:val="18"/>
                <w:szCs w:val="18"/>
              </w:rPr>
              <w:t>e related payments would be considerably higher.</w:t>
            </w:r>
          </w:p>
        </w:tc>
      </w:tr>
      <w:tr w:rsidR="00C32CBD" w14:paraId="1F0F843E" w14:textId="77777777" w:rsidTr="00320D09">
        <w:trPr>
          <w:cantSplit/>
          <w:trHeight w:val="255"/>
        </w:trPr>
        <w:tc>
          <w:tcPr>
            <w:tcW w:w="2740" w:type="dxa"/>
            <w:tcBorders>
              <w:top w:val="single" w:sz="6" w:space="0" w:color="auto"/>
              <w:left w:val="single" w:sz="12" w:space="0" w:color="auto"/>
              <w:bottom w:val="single" w:sz="6" w:space="0" w:color="auto"/>
            </w:tcBorders>
            <w:shd w:val="clear" w:color="FFFFFF" w:fill="FFFFFF"/>
            <w:noWrap/>
          </w:tcPr>
          <w:p w14:paraId="120B1DA8" w14:textId="77777777" w:rsidR="00C32CBD" w:rsidRPr="00DD6C40" w:rsidRDefault="00C32CBD" w:rsidP="00320D09">
            <w:pPr>
              <w:rPr>
                <w:rFonts w:cs="Arial"/>
                <w:bCs/>
                <w:sz w:val="18"/>
                <w:szCs w:val="18"/>
              </w:rPr>
            </w:pPr>
            <w:r>
              <w:rPr>
                <w:rFonts w:cs="Arial"/>
                <w:bCs/>
                <w:sz w:val="18"/>
                <w:szCs w:val="18"/>
              </w:rPr>
              <w:t>Operating activities</w:t>
            </w:r>
          </w:p>
          <w:p w14:paraId="4F7D8395" w14:textId="77777777" w:rsidR="00C32CBD" w:rsidRDefault="00C32CBD" w:rsidP="00320D09">
            <w:pPr>
              <w:rPr>
                <w:rFonts w:cs="Arial"/>
                <w:bCs/>
                <w:i/>
                <w:sz w:val="18"/>
                <w:szCs w:val="18"/>
              </w:rPr>
            </w:pPr>
            <w:r w:rsidRPr="00DD6C40">
              <w:rPr>
                <w:rFonts w:cs="Arial"/>
                <w:bCs/>
                <w:i/>
                <w:sz w:val="18"/>
                <w:szCs w:val="18"/>
              </w:rPr>
              <w:t>Employee benefits, Supplier</w:t>
            </w:r>
            <w:r>
              <w:rPr>
                <w:rFonts w:cs="Arial"/>
                <w:bCs/>
                <w:i/>
                <w:sz w:val="18"/>
                <w:szCs w:val="18"/>
              </w:rPr>
              <w:t xml:space="preserve"> expenses</w:t>
            </w:r>
            <w:r w:rsidRPr="00DD6C40">
              <w:rPr>
                <w:rFonts w:cs="Arial"/>
                <w:bCs/>
                <w:i/>
                <w:sz w:val="18"/>
                <w:szCs w:val="18"/>
              </w:rPr>
              <w:t xml:space="preserve">, </w:t>
            </w:r>
            <w:r>
              <w:rPr>
                <w:rFonts w:cs="Arial"/>
                <w:bCs/>
                <w:i/>
                <w:sz w:val="18"/>
                <w:szCs w:val="18"/>
              </w:rPr>
              <w:t>Community partnership expenses</w:t>
            </w:r>
          </w:p>
          <w:p w14:paraId="1D2DC4E5" w14:textId="77777777" w:rsidR="00C32CBD" w:rsidRDefault="00C32CBD" w:rsidP="00320D09">
            <w:pPr>
              <w:rPr>
                <w:rFonts w:cs="Arial"/>
                <w:bCs/>
                <w:sz w:val="18"/>
                <w:szCs w:val="18"/>
              </w:rPr>
            </w:pPr>
          </w:p>
          <w:p w14:paraId="7FE74FE4" w14:textId="77777777" w:rsidR="00C32CBD" w:rsidRPr="003E5046" w:rsidRDefault="00C32CBD" w:rsidP="00320D09">
            <w:pPr>
              <w:rPr>
                <w:rFonts w:cs="Arial"/>
                <w:bCs/>
                <w:sz w:val="18"/>
                <w:szCs w:val="18"/>
              </w:rPr>
            </w:pPr>
          </w:p>
        </w:tc>
        <w:tc>
          <w:tcPr>
            <w:tcW w:w="6379" w:type="dxa"/>
            <w:tcBorders>
              <w:top w:val="single" w:sz="6" w:space="0" w:color="auto"/>
              <w:bottom w:val="single" w:sz="6" w:space="0" w:color="auto"/>
              <w:right w:val="single" w:sz="12" w:space="0" w:color="auto"/>
            </w:tcBorders>
            <w:shd w:val="clear" w:color="FFFFFF" w:fill="FFFFFF"/>
            <w:noWrap/>
          </w:tcPr>
          <w:p w14:paraId="67F0E1B3" w14:textId="77777777" w:rsidR="00C32CBD" w:rsidRDefault="00C32CBD" w:rsidP="00320D09">
            <w:pPr>
              <w:rPr>
                <w:rFonts w:cs="Arial"/>
                <w:sz w:val="18"/>
                <w:szCs w:val="18"/>
              </w:rPr>
            </w:pPr>
            <w:r w:rsidRPr="00AD6A52">
              <w:rPr>
                <w:rFonts w:cs="Arial"/>
                <w:sz w:val="18"/>
                <w:szCs w:val="18"/>
              </w:rPr>
              <w:t>Cash outlays for employee related expenditure were lower due to delays in recr</w:t>
            </w:r>
            <w:r>
              <w:rPr>
                <w:rFonts w:cs="Arial"/>
                <w:sz w:val="18"/>
                <w:szCs w:val="18"/>
              </w:rPr>
              <w:t xml:space="preserve">uitment and on boarding staff.  The Agency also relied on the use of secondees funded on a cost recovery basis. </w:t>
            </w:r>
            <w:r w:rsidRPr="00AD6A52">
              <w:rPr>
                <w:rFonts w:cs="Arial"/>
                <w:sz w:val="18"/>
                <w:szCs w:val="18"/>
              </w:rPr>
              <w:t xml:space="preserve">Community partnership costs </w:t>
            </w:r>
            <w:r>
              <w:rPr>
                <w:rFonts w:cs="Arial"/>
                <w:sz w:val="18"/>
                <w:szCs w:val="18"/>
              </w:rPr>
              <w:t>were</w:t>
            </w:r>
            <w:r w:rsidRPr="00AD6A52">
              <w:rPr>
                <w:rFonts w:cs="Arial"/>
                <w:sz w:val="18"/>
                <w:szCs w:val="18"/>
              </w:rPr>
              <w:t xml:space="preserve"> lower than budget due to the slower rollout of local area coordinator </w:t>
            </w:r>
            <w:r>
              <w:rPr>
                <w:rFonts w:cs="Arial"/>
                <w:sz w:val="18"/>
                <w:szCs w:val="18"/>
              </w:rPr>
              <w:t xml:space="preserve">LAC </w:t>
            </w:r>
            <w:r w:rsidRPr="00AD6A52">
              <w:rPr>
                <w:rFonts w:cs="Arial"/>
                <w:sz w:val="18"/>
                <w:szCs w:val="18"/>
              </w:rPr>
              <w:t xml:space="preserve">services and </w:t>
            </w:r>
            <w:r>
              <w:rPr>
                <w:rFonts w:cs="Arial"/>
                <w:sz w:val="18"/>
                <w:szCs w:val="18"/>
              </w:rPr>
              <w:t>ECEI</w:t>
            </w:r>
            <w:r w:rsidRPr="00AD6A52">
              <w:rPr>
                <w:rFonts w:cs="Arial"/>
                <w:sz w:val="18"/>
                <w:szCs w:val="18"/>
              </w:rPr>
              <w:t xml:space="preserve"> arrangements. Supplier cash spending is lower than budget due to less services contracted out than anticipated</w:t>
            </w:r>
            <w:r>
              <w:rPr>
                <w:rFonts w:cs="Arial"/>
                <w:sz w:val="18"/>
                <w:szCs w:val="18"/>
              </w:rPr>
              <w:t xml:space="preserve"> in the budget</w:t>
            </w:r>
            <w:r w:rsidRPr="00AD6A52">
              <w:rPr>
                <w:rFonts w:cs="Arial"/>
                <w:sz w:val="18"/>
                <w:szCs w:val="18"/>
              </w:rPr>
              <w:t>.</w:t>
            </w:r>
          </w:p>
        </w:tc>
      </w:tr>
      <w:tr w:rsidR="00C32CBD" w14:paraId="4FDFFE98" w14:textId="77777777" w:rsidTr="00320D09">
        <w:trPr>
          <w:cantSplit/>
          <w:trHeight w:val="255"/>
        </w:trPr>
        <w:tc>
          <w:tcPr>
            <w:tcW w:w="2740" w:type="dxa"/>
            <w:tcBorders>
              <w:top w:val="single" w:sz="6" w:space="0" w:color="auto"/>
              <w:left w:val="single" w:sz="12" w:space="0" w:color="auto"/>
              <w:bottom w:val="single" w:sz="6" w:space="0" w:color="auto"/>
            </w:tcBorders>
            <w:shd w:val="clear" w:color="FFFFFF" w:fill="FFFFFF"/>
            <w:noWrap/>
          </w:tcPr>
          <w:p w14:paraId="31510DCC" w14:textId="77777777" w:rsidR="00C32CBD" w:rsidRPr="00DD6C40" w:rsidRDefault="00C32CBD" w:rsidP="00320D09">
            <w:pPr>
              <w:rPr>
                <w:rFonts w:cs="Arial"/>
                <w:bCs/>
                <w:sz w:val="18"/>
                <w:szCs w:val="18"/>
              </w:rPr>
            </w:pPr>
            <w:r>
              <w:rPr>
                <w:rFonts w:cs="Arial"/>
                <w:bCs/>
                <w:sz w:val="18"/>
                <w:szCs w:val="18"/>
              </w:rPr>
              <w:t>Operating activities</w:t>
            </w:r>
          </w:p>
          <w:p w14:paraId="0D8B2BB2" w14:textId="77777777" w:rsidR="00C32CBD" w:rsidRDefault="00C32CBD" w:rsidP="00320D09">
            <w:pPr>
              <w:rPr>
                <w:rFonts w:cs="Arial"/>
                <w:bCs/>
                <w:i/>
                <w:sz w:val="18"/>
                <w:szCs w:val="18"/>
              </w:rPr>
            </w:pPr>
            <w:r w:rsidRPr="00DD6C40">
              <w:rPr>
                <w:rFonts w:cs="Arial"/>
                <w:bCs/>
                <w:i/>
                <w:sz w:val="18"/>
                <w:szCs w:val="18"/>
              </w:rPr>
              <w:t xml:space="preserve">Grant </w:t>
            </w:r>
            <w:r>
              <w:rPr>
                <w:rFonts w:cs="Arial"/>
                <w:bCs/>
                <w:i/>
                <w:sz w:val="18"/>
                <w:szCs w:val="18"/>
              </w:rPr>
              <w:t>payments</w:t>
            </w:r>
          </w:p>
          <w:p w14:paraId="2F180450" w14:textId="77777777" w:rsidR="00C32CBD" w:rsidRPr="008E7291" w:rsidRDefault="00C32CBD" w:rsidP="00320D09">
            <w:pPr>
              <w:rPr>
                <w:rFonts w:cs="Arial"/>
                <w:bCs/>
                <w:i/>
                <w:sz w:val="18"/>
                <w:szCs w:val="18"/>
              </w:rPr>
            </w:pPr>
          </w:p>
        </w:tc>
        <w:tc>
          <w:tcPr>
            <w:tcW w:w="6379" w:type="dxa"/>
            <w:tcBorders>
              <w:top w:val="single" w:sz="6" w:space="0" w:color="auto"/>
              <w:bottom w:val="single" w:sz="6" w:space="0" w:color="auto"/>
              <w:right w:val="single" w:sz="12" w:space="0" w:color="auto"/>
            </w:tcBorders>
            <w:shd w:val="clear" w:color="FFFFFF" w:fill="FFFFFF"/>
            <w:noWrap/>
          </w:tcPr>
          <w:p w14:paraId="476A30D4" w14:textId="77777777" w:rsidR="00C32CBD" w:rsidRDefault="00C32CBD" w:rsidP="00320D09">
            <w:pPr>
              <w:rPr>
                <w:rFonts w:cs="Arial"/>
                <w:sz w:val="18"/>
                <w:szCs w:val="18"/>
              </w:rPr>
            </w:pPr>
            <w:r w:rsidRPr="008E262A">
              <w:rPr>
                <w:rFonts w:cs="Arial"/>
                <w:sz w:val="18"/>
                <w:szCs w:val="18"/>
              </w:rPr>
              <w:t xml:space="preserve">The budget </w:t>
            </w:r>
            <w:r>
              <w:rPr>
                <w:rFonts w:cs="Arial"/>
                <w:sz w:val="18"/>
                <w:szCs w:val="18"/>
              </w:rPr>
              <w:t>comprises</w:t>
            </w:r>
            <w:r w:rsidRPr="008E262A">
              <w:rPr>
                <w:rFonts w:cs="Arial"/>
                <w:sz w:val="18"/>
                <w:szCs w:val="18"/>
              </w:rPr>
              <w:t xml:space="preserve"> Community Inclusion and Capacity Development (CICD) grants, whereas </w:t>
            </w:r>
            <w:r>
              <w:rPr>
                <w:rFonts w:cs="Arial"/>
                <w:sz w:val="18"/>
                <w:szCs w:val="18"/>
              </w:rPr>
              <w:t>actual</w:t>
            </w:r>
            <w:r w:rsidRPr="008E262A">
              <w:rPr>
                <w:rFonts w:cs="Arial"/>
                <w:sz w:val="18"/>
                <w:szCs w:val="18"/>
              </w:rPr>
              <w:t xml:space="preserve"> payments also include </w:t>
            </w:r>
            <w:r>
              <w:rPr>
                <w:rFonts w:cs="Arial"/>
                <w:sz w:val="18"/>
                <w:szCs w:val="18"/>
              </w:rPr>
              <w:t>SDF</w:t>
            </w:r>
            <w:r w:rsidRPr="008E262A">
              <w:rPr>
                <w:rFonts w:cs="Arial"/>
                <w:sz w:val="18"/>
                <w:szCs w:val="18"/>
              </w:rPr>
              <w:t xml:space="preserve"> and sponsorship granting activities.</w:t>
            </w:r>
          </w:p>
        </w:tc>
      </w:tr>
      <w:tr w:rsidR="00C32CBD" w14:paraId="2EC3FD6C" w14:textId="77777777" w:rsidTr="00320D09">
        <w:trPr>
          <w:cantSplit/>
          <w:trHeight w:val="255"/>
        </w:trPr>
        <w:tc>
          <w:tcPr>
            <w:tcW w:w="2740" w:type="dxa"/>
            <w:tcBorders>
              <w:top w:val="single" w:sz="6" w:space="0" w:color="auto"/>
              <w:left w:val="single" w:sz="12" w:space="0" w:color="auto"/>
              <w:bottom w:val="single" w:sz="6" w:space="0" w:color="auto"/>
            </w:tcBorders>
            <w:shd w:val="clear" w:color="FFFFFF" w:fill="FFFFFF"/>
            <w:noWrap/>
          </w:tcPr>
          <w:p w14:paraId="5F36F54B" w14:textId="77777777" w:rsidR="00C32CBD" w:rsidRPr="00DD6C40" w:rsidRDefault="00C32CBD" w:rsidP="00320D09">
            <w:pPr>
              <w:rPr>
                <w:rFonts w:cs="Arial"/>
                <w:bCs/>
                <w:sz w:val="18"/>
                <w:szCs w:val="18"/>
              </w:rPr>
            </w:pPr>
            <w:r>
              <w:rPr>
                <w:rFonts w:cs="Arial"/>
                <w:bCs/>
                <w:sz w:val="18"/>
                <w:szCs w:val="18"/>
              </w:rPr>
              <w:t>Operating activities</w:t>
            </w:r>
          </w:p>
          <w:p w14:paraId="5A6D238C" w14:textId="77777777" w:rsidR="00C32CBD" w:rsidRPr="005013FF" w:rsidRDefault="00C32CBD" w:rsidP="00320D09">
            <w:pPr>
              <w:rPr>
                <w:rFonts w:cs="Arial"/>
                <w:bCs/>
                <w:sz w:val="18"/>
                <w:szCs w:val="18"/>
              </w:rPr>
            </w:pPr>
            <w:r>
              <w:rPr>
                <w:rFonts w:cs="Arial"/>
                <w:bCs/>
                <w:i/>
                <w:sz w:val="18"/>
                <w:szCs w:val="18"/>
              </w:rPr>
              <w:t>Participant plan expenses</w:t>
            </w:r>
          </w:p>
        </w:tc>
        <w:tc>
          <w:tcPr>
            <w:tcW w:w="6379" w:type="dxa"/>
            <w:tcBorders>
              <w:top w:val="single" w:sz="6" w:space="0" w:color="auto"/>
              <w:bottom w:val="single" w:sz="6" w:space="0" w:color="auto"/>
              <w:right w:val="single" w:sz="12" w:space="0" w:color="auto"/>
            </w:tcBorders>
            <w:shd w:val="clear" w:color="FFFFFF" w:fill="FFFFFF"/>
            <w:noWrap/>
          </w:tcPr>
          <w:p w14:paraId="27F9A1E1" w14:textId="77777777" w:rsidR="00C32CBD" w:rsidRPr="00DD6C40" w:rsidRDefault="00C32CBD" w:rsidP="00320D09">
            <w:pPr>
              <w:rPr>
                <w:rFonts w:cs="Arial"/>
                <w:sz w:val="18"/>
                <w:szCs w:val="18"/>
              </w:rPr>
            </w:pPr>
            <w:r>
              <w:rPr>
                <w:rFonts w:cs="Arial"/>
                <w:sz w:val="18"/>
                <w:szCs w:val="18"/>
              </w:rPr>
              <w:t>Participant plan payments are less than projected in the budget, primarily due to lower than projected utilisation of committed supports and delays in the timing of claims.</w:t>
            </w:r>
            <w:r w:rsidRPr="00AB766C">
              <w:rPr>
                <w:rFonts w:cs="Arial"/>
                <w:sz w:val="18"/>
                <w:szCs w:val="18"/>
              </w:rPr>
              <w:t xml:space="preserve"> </w:t>
            </w:r>
          </w:p>
        </w:tc>
      </w:tr>
      <w:tr w:rsidR="00C32CBD" w14:paraId="3EE11A1A" w14:textId="77777777" w:rsidTr="00320D09">
        <w:trPr>
          <w:cantSplit/>
          <w:trHeight w:val="255"/>
        </w:trPr>
        <w:tc>
          <w:tcPr>
            <w:tcW w:w="2740" w:type="dxa"/>
            <w:tcBorders>
              <w:top w:val="single" w:sz="6" w:space="0" w:color="auto"/>
              <w:left w:val="single" w:sz="12" w:space="0" w:color="auto"/>
              <w:bottom w:val="single" w:sz="6" w:space="0" w:color="auto"/>
            </w:tcBorders>
            <w:shd w:val="clear" w:color="FFFFFF" w:fill="FFFFFF"/>
            <w:noWrap/>
          </w:tcPr>
          <w:p w14:paraId="2FDDD30E" w14:textId="77777777" w:rsidR="00C32CBD" w:rsidRPr="002D2BAA" w:rsidRDefault="00C32CBD" w:rsidP="00320D09">
            <w:pPr>
              <w:rPr>
                <w:rFonts w:cs="Arial"/>
                <w:bCs/>
                <w:sz w:val="18"/>
                <w:szCs w:val="18"/>
              </w:rPr>
            </w:pPr>
            <w:r>
              <w:rPr>
                <w:rFonts w:cs="Arial"/>
                <w:bCs/>
                <w:sz w:val="18"/>
                <w:szCs w:val="18"/>
              </w:rPr>
              <w:t>Investing activities</w:t>
            </w:r>
          </w:p>
          <w:p w14:paraId="6BF68A1D" w14:textId="77777777" w:rsidR="00C32CBD" w:rsidRPr="005013FF" w:rsidRDefault="00C32CBD" w:rsidP="00320D09">
            <w:pPr>
              <w:rPr>
                <w:rFonts w:cs="Arial"/>
                <w:bCs/>
                <w:sz w:val="18"/>
                <w:szCs w:val="18"/>
              </w:rPr>
            </w:pPr>
            <w:r>
              <w:rPr>
                <w:rFonts w:cs="Arial"/>
                <w:bCs/>
                <w:i/>
                <w:sz w:val="18"/>
                <w:szCs w:val="18"/>
              </w:rPr>
              <w:t>Proceeds from sales of financial instruments</w:t>
            </w:r>
          </w:p>
        </w:tc>
        <w:tc>
          <w:tcPr>
            <w:tcW w:w="6379" w:type="dxa"/>
            <w:tcBorders>
              <w:top w:val="single" w:sz="6" w:space="0" w:color="auto"/>
              <w:bottom w:val="single" w:sz="6" w:space="0" w:color="auto"/>
              <w:right w:val="single" w:sz="12" w:space="0" w:color="auto"/>
            </w:tcBorders>
            <w:shd w:val="clear" w:color="FFFFFF" w:fill="FFFFFF"/>
            <w:noWrap/>
          </w:tcPr>
          <w:p w14:paraId="6C1D660E" w14:textId="77777777" w:rsidR="00C32CBD" w:rsidRPr="00DD6C40" w:rsidRDefault="00C32CBD" w:rsidP="00320D09">
            <w:pPr>
              <w:rPr>
                <w:rFonts w:cs="Arial"/>
                <w:sz w:val="18"/>
                <w:szCs w:val="18"/>
              </w:rPr>
            </w:pPr>
            <w:r w:rsidRPr="00AB766C">
              <w:rPr>
                <w:rFonts w:cs="Arial"/>
                <w:sz w:val="18"/>
                <w:szCs w:val="18"/>
              </w:rPr>
              <w:t xml:space="preserve">Proceeds of financial instruments reflect the investment of cash in term deposits with maturities over three months. The budget </w:t>
            </w:r>
            <w:r>
              <w:rPr>
                <w:rFonts w:cs="Arial"/>
                <w:sz w:val="18"/>
                <w:szCs w:val="18"/>
              </w:rPr>
              <w:t>did</w:t>
            </w:r>
            <w:r w:rsidRPr="00AB766C">
              <w:rPr>
                <w:rFonts w:cs="Arial"/>
                <w:sz w:val="18"/>
                <w:szCs w:val="18"/>
              </w:rPr>
              <w:t xml:space="preserve"> not assume cash on hand </w:t>
            </w:r>
            <w:r>
              <w:rPr>
                <w:rFonts w:cs="Arial"/>
                <w:sz w:val="18"/>
                <w:szCs w:val="18"/>
              </w:rPr>
              <w:t>to be</w:t>
            </w:r>
            <w:r w:rsidRPr="00AB766C">
              <w:rPr>
                <w:rFonts w:cs="Arial"/>
                <w:sz w:val="18"/>
                <w:szCs w:val="18"/>
              </w:rPr>
              <w:t xml:space="preserve"> in excess </w:t>
            </w:r>
            <w:r>
              <w:rPr>
                <w:rFonts w:cs="Arial"/>
                <w:sz w:val="18"/>
                <w:szCs w:val="18"/>
              </w:rPr>
              <w:t>of</w:t>
            </w:r>
            <w:r w:rsidRPr="00AB766C">
              <w:rPr>
                <w:rFonts w:cs="Arial"/>
                <w:sz w:val="18"/>
                <w:szCs w:val="18"/>
              </w:rPr>
              <w:t xml:space="preserve"> immediate requirements.</w:t>
            </w:r>
          </w:p>
        </w:tc>
      </w:tr>
      <w:tr w:rsidR="00C32CBD" w14:paraId="7FEC675E" w14:textId="77777777" w:rsidTr="00320D09">
        <w:trPr>
          <w:cantSplit/>
          <w:trHeight w:val="255"/>
        </w:trPr>
        <w:tc>
          <w:tcPr>
            <w:tcW w:w="2740" w:type="dxa"/>
            <w:tcBorders>
              <w:top w:val="single" w:sz="6" w:space="0" w:color="auto"/>
              <w:left w:val="single" w:sz="12" w:space="0" w:color="auto"/>
              <w:bottom w:val="single" w:sz="6" w:space="0" w:color="auto"/>
            </w:tcBorders>
            <w:shd w:val="clear" w:color="FFFFFF" w:fill="FFFFFF"/>
            <w:noWrap/>
          </w:tcPr>
          <w:p w14:paraId="5CB32A64" w14:textId="77777777" w:rsidR="00C32CBD" w:rsidRPr="002D2BAA" w:rsidRDefault="00C32CBD" w:rsidP="00320D09">
            <w:pPr>
              <w:rPr>
                <w:rFonts w:cs="Arial"/>
                <w:bCs/>
                <w:sz w:val="18"/>
                <w:szCs w:val="18"/>
              </w:rPr>
            </w:pPr>
            <w:r>
              <w:rPr>
                <w:rFonts w:cs="Arial"/>
                <w:bCs/>
                <w:sz w:val="18"/>
                <w:szCs w:val="18"/>
              </w:rPr>
              <w:t>Investing activities</w:t>
            </w:r>
          </w:p>
          <w:p w14:paraId="606E1B16" w14:textId="77777777" w:rsidR="00C32CBD" w:rsidRPr="00DD6C40" w:rsidRDefault="00C32CBD" w:rsidP="00320D09">
            <w:pPr>
              <w:rPr>
                <w:rFonts w:cs="Arial"/>
                <w:bCs/>
                <w:i/>
                <w:sz w:val="18"/>
                <w:szCs w:val="18"/>
              </w:rPr>
            </w:pPr>
            <w:r>
              <w:rPr>
                <w:rFonts w:cs="Arial"/>
                <w:bCs/>
                <w:i/>
                <w:sz w:val="18"/>
                <w:szCs w:val="18"/>
              </w:rPr>
              <w:t>Purchase of property, plant and equipment and intangibles</w:t>
            </w:r>
          </w:p>
        </w:tc>
        <w:tc>
          <w:tcPr>
            <w:tcW w:w="6379" w:type="dxa"/>
            <w:tcBorders>
              <w:top w:val="single" w:sz="6" w:space="0" w:color="auto"/>
              <w:bottom w:val="single" w:sz="6" w:space="0" w:color="auto"/>
              <w:right w:val="single" w:sz="12" w:space="0" w:color="auto"/>
            </w:tcBorders>
            <w:shd w:val="clear" w:color="FFFFFF" w:fill="FFFFFF"/>
            <w:noWrap/>
          </w:tcPr>
          <w:p w14:paraId="7B12163F" w14:textId="77777777" w:rsidR="00C32CBD" w:rsidRPr="00DD6C40" w:rsidRDefault="00C32CBD" w:rsidP="00320D09">
            <w:pPr>
              <w:rPr>
                <w:rFonts w:cs="Arial"/>
                <w:sz w:val="18"/>
                <w:szCs w:val="18"/>
              </w:rPr>
            </w:pPr>
            <w:r w:rsidRPr="00AB766C">
              <w:rPr>
                <w:rFonts w:cs="Arial"/>
                <w:sz w:val="18"/>
                <w:szCs w:val="18"/>
              </w:rPr>
              <w:t>The Agency has adopted whole-of-government policies for co-locating service delivery sites within existing Commonwealth property infrastructure, where feasible.  As a consequence, cash outlays for property is less than projected in the budget.</w:t>
            </w:r>
          </w:p>
        </w:tc>
      </w:tr>
    </w:tbl>
    <w:p w14:paraId="2B468459" w14:textId="77777777" w:rsidR="00C32CBD" w:rsidRPr="005E5430" w:rsidRDefault="00C32CBD" w:rsidP="00C32CBD">
      <w:pPr>
        <w:pStyle w:val="PolicytextDept"/>
        <w:pBdr>
          <w:top w:val="none" w:sz="0" w:space="0" w:color="auto"/>
          <w:left w:val="none" w:sz="0" w:space="0" w:color="auto"/>
          <w:bottom w:val="none" w:sz="0" w:space="0" w:color="auto"/>
          <w:right w:val="none" w:sz="0" w:space="0" w:color="auto"/>
        </w:pBdr>
      </w:pPr>
    </w:p>
    <w:p w14:paraId="4B502645" w14:textId="77777777" w:rsidR="00C32CBD" w:rsidRPr="005E5430" w:rsidRDefault="00C32CBD" w:rsidP="00C32CBD"/>
    <w:p w14:paraId="5CD8FA09" w14:textId="77777777" w:rsidR="00C32CBD" w:rsidRPr="005E5430" w:rsidRDefault="00C32CBD" w:rsidP="00C32CBD">
      <w:pPr>
        <w:spacing w:line="240" w:lineRule="auto"/>
      </w:pPr>
    </w:p>
    <w:p w14:paraId="0AFD045D" w14:textId="77777777" w:rsidR="00C32CBD" w:rsidRPr="005E5430" w:rsidRDefault="00C32CBD" w:rsidP="00C32CBD">
      <w:pPr>
        <w:rPr>
          <w:rFonts w:eastAsia="Calibri" w:cs="Arial"/>
          <w:sz w:val="18"/>
          <w:szCs w:val="18"/>
        </w:rPr>
        <w:sectPr w:rsidR="00C32CBD" w:rsidRPr="005E5430" w:rsidSect="00320D09">
          <w:headerReference w:type="even" r:id="rId20"/>
          <w:headerReference w:type="default" r:id="rId21"/>
          <w:headerReference w:type="first" r:id="rId22"/>
          <w:pgSz w:w="11906" w:h="16838" w:code="9"/>
          <w:pgMar w:top="1134" w:right="1700" w:bottom="1134" w:left="1134" w:header="958" w:footer="737" w:gutter="0"/>
          <w:cols w:space="708"/>
          <w:docGrid w:linePitch="360"/>
        </w:sectPr>
      </w:pPr>
    </w:p>
    <w:p w14:paraId="279D1624" w14:textId="77777777" w:rsidR="00C32CBD" w:rsidRPr="00A92359" w:rsidRDefault="00C32CBD" w:rsidP="00C32CBD">
      <w:pPr>
        <w:pStyle w:val="TOC1"/>
        <w:tabs>
          <w:tab w:val="left" w:pos="9214"/>
        </w:tabs>
        <w:rPr>
          <w:rFonts w:asciiTheme="minorHAnsi" w:eastAsiaTheme="minorEastAsia" w:hAnsiTheme="minorHAnsi"/>
          <w:noProof/>
          <w:color w:val="auto"/>
          <w:sz w:val="22"/>
          <w:szCs w:val="22"/>
          <w:lang w:eastAsia="en-AU"/>
        </w:rPr>
      </w:pPr>
      <w:r>
        <w:fldChar w:fldCharType="begin"/>
      </w:r>
      <w:r>
        <w:instrText xml:space="preserve"> TOC \o "1-3" \h \z \u </w:instrText>
      </w:r>
      <w:r>
        <w:fldChar w:fldCharType="separate"/>
      </w:r>
      <w:hyperlink w:anchor="_Toc456865052" w:history="1">
        <w:r w:rsidRPr="00A92359">
          <w:rPr>
            <w:rStyle w:val="Hyperlink"/>
            <w:noProof/>
            <w:color w:val="auto"/>
          </w:rPr>
          <w:t>Overview</w:t>
        </w:r>
        <w:r w:rsidRPr="00A92359">
          <w:rPr>
            <w:noProof/>
            <w:webHidden/>
            <w:color w:val="auto"/>
          </w:rPr>
          <w:tab/>
        </w:r>
        <w:r w:rsidRPr="00A92359">
          <w:rPr>
            <w:noProof/>
            <w:webHidden/>
            <w:color w:val="auto"/>
          </w:rPr>
          <w:fldChar w:fldCharType="begin"/>
        </w:r>
        <w:r w:rsidRPr="00A92359">
          <w:rPr>
            <w:noProof/>
            <w:webHidden/>
            <w:color w:val="auto"/>
          </w:rPr>
          <w:instrText xml:space="preserve"> PAGEREF _Toc456865052 \h </w:instrText>
        </w:r>
        <w:r w:rsidRPr="00A92359">
          <w:rPr>
            <w:noProof/>
            <w:webHidden/>
            <w:color w:val="auto"/>
          </w:rPr>
        </w:r>
        <w:r w:rsidRPr="00A92359">
          <w:rPr>
            <w:noProof/>
            <w:webHidden/>
            <w:color w:val="auto"/>
          </w:rPr>
          <w:fldChar w:fldCharType="separate"/>
        </w:r>
        <w:r w:rsidR="009834BE">
          <w:rPr>
            <w:noProof/>
            <w:webHidden/>
            <w:color w:val="auto"/>
          </w:rPr>
          <w:t>141</w:t>
        </w:r>
        <w:r w:rsidRPr="00A92359">
          <w:rPr>
            <w:noProof/>
            <w:webHidden/>
            <w:color w:val="auto"/>
          </w:rPr>
          <w:fldChar w:fldCharType="end"/>
        </w:r>
      </w:hyperlink>
    </w:p>
    <w:p w14:paraId="506718F3" w14:textId="77777777" w:rsidR="00C32CBD" w:rsidRPr="00A92359" w:rsidRDefault="00E707FE" w:rsidP="00C32CBD">
      <w:pPr>
        <w:pStyle w:val="TOC1"/>
        <w:tabs>
          <w:tab w:val="left" w:pos="9214"/>
        </w:tabs>
        <w:rPr>
          <w:rFonts w:asciiTheme="minorHAnsi" w:eastAsiaTheme="minorEastAsia" w:hAnsiTheme="minorHAnsi"/>
          <w:noProof/>
          <w:color w:val="auto"/>
          <w:sz w:val="22"/>
          <w:szCs w:val="22"/>
          <w:lang w:eastAsia="en-AU"/>
        </w:rPr>
      </w:pPr>
      <w:hyperlink w:anchor="_Toc456865053" w:history="1">
        <w:r w:rsidR="00C32CBD" w:rsidRPr="00A92359">
          <w:rPr>
            <w:rStyle w:val="Hyperlink"/>
            <w:noProof/>
            <w:color w:val="auto"/>
          </w:rPr>
          <w:t>1. Financial Performance</w:t>
        </w:r>
        <w:r w:rsidR="00C32CBD" w:rsidRPr="00A92359">
          <w:rPr>
            <w:noProof/>
            <w:webHidden/>
            <w:color w:val="auto"/>
          </w:rPr>
          <w:tab/>
        </w:r>
        <w:r w:rsidR="00C32CBD" w:rsidRPr="00A92359">
          <w:rPr>
            <w:noProof/>
            <w:webHidden/>
            <w:color w:val="auto"/>
          </w:rPr>
          <w:fldChar w:fldCharType="begin"/>
        </w:r>
        <w:r w:rsidR="00C32CBD" w:rsidRPr="00A92359">
          <w:rPr>
            <w:noProof/>
            <w:webHidden/>
            <w:color w:val="auto"/>
          </w:rPr>
          <w:instrText xml:space="preserve"> PAGEREF _Toc456865053 \h </w:instrText>
        </w:r>
        <w:r w:rsidR="00C32CBD" w:rsidRPr="00A92359">
          <w:rPr>
            <w:noProof/>
            <w:webHidden/>
            <w:color w:val="auto"/>
          </w:rPr>
        </w:r>
        <w:r w:rsidR="00C32CBD" w:rsidRPr="00A92359">
          <w:rPr>
            <w:noProof/>
            <w:webHidden/>
            <w:color w:val="auto"/>
          </w:rPr>
          <w:fldChar w:fldCharType="separate"/>
        </w:r>
        <w:r w:rsidR="009834BE">
          <w:rPr>
            <w:noProof/>
            <w:webHidden/>
            <w:color w:val="auto"/>
          </w:rPr>
          <w:t>145</w:t>
        </w:r>
        <w:r w:rsidR="00C32CBD" w:rsidRPr="00A92359">
          <w:rPr>
            <w:noProof/>
            <w:webHidden/>
            <w:color w:val="auto"/>
          </w:rPr>
          <w:fldChar w:fldCharType="end"/>
        </w:r>
      </w:hyperlink>
    </w:p>
    <w:p w14:paraId="1E35131F" w14:textId="77777777" w:rsidR="00C32CBD" w:rsidRPr="00A92359" w:rsidRDefault="00E707FE" w:rsidP="00C32CBD">
      <w:pPr>
        <w:pStyle w:val="TOC2"/>
        <w:tabs>
          <w:tab w:val="left" w:pos="9214"/>
        </w:tabs>
        <w:rPr>
          <w:rFonts w:asciiTheme="minorHAnsi" w:eastAsiaTheme="minorEastAsia" w:hAnsiTheme="minorHAnsi"/>
          <w:noProof/>
          <w:lang w:eastAsia="en-AU"/>
        </w:rPr>
      </w:pPr>
      <w:hyperlink w:anchor="_Toc456865054" w:history="1">
        <w:r w:rsidR="00C32CBD" w:rsidRPr="00A92359">
          <w:rPr>
            <w:rStyle w:val="Hyperlink"/>
            <w:noProof/>
            <w:color w:val="auto"/>
          </w:rPr>
          <w:t>1.1.</w:t>
        </w:r>
        <w:r w:rsidR="00C32CBD" w:rsidRPr="00A92359">
          <w:rPr>
            <w:rFonts w:asciiTheme="minorHAnsi" w:eastAsiaTheme="minorEastAsia" w:hAnsiTheme="minorHAnsi"/>
            <w:noProof/>
            <w:lang w:eastAsia="en-AU"/>
          </w:rPr>
          <w:tab/>
        </w:r>
        <w:r w:rsidR="00C32CBD" w:rsidRPr="00A92359">
          <w:rPr>
            <w:rStyle w:val="Hyperlink"/>
            <w:noProof/>
            <w:color w:val="auto"/>
          </w:rPr>
          <w:t>Expenses</w:t>
        </w:r>
        <w:r w:rsidR="00C32CBD" w:rsidRPr="00A92359">
          <w:rPr>
            <w:noProof/>
            <w:webHidden/>
          </w:rPr>
          <w:tab/>
        </w:r>
        <w:r w:rsidR="00C32CBD" w:rsidRPr="00A92359">
          <w:rPr>
            <w:noProof/>
            <w:webHidden/>
          </w:rPr>
          <w:fldChar w:fldCharType="begin"/>
        </w:r>
        <w:r w:rsidR="00C32CBD" w:rsidRPr="00A92359">
          <w:rPr>
            <w:noProof/>
            <w:webHidden/>
          </w:rPr>
          <w:instrText xml:space="preserve"> PAGEREF _Toc456865054 \h </w:instrText>
        </w:r>
        <w:r w:rsidR="00C32CBD" w:rsidRPr="00A92359">
          <w:rPr>
            <w:noProof/>
            <w:webHidden/>
          </w:rPr>
        </w:r>
        <w:r w:rsidR="00C32CBD" w:rsidRPr="00A92359">
          <w:rPr>
            <w:noProof/>
            <w:webHidden/>
          </w:rPr>
          <w:fldChar w:fldCharType="separate"/>
        </w:r>
        <w:r w:rsidR="009834BE">
          <w:rPr>
            <w:noProof/>
            <w:webHidden/>
          </w:rPr>
          <w:t>145</w:t>
        </w:r>
        <w:r w:rsidR="00C32CBD" w:rsidRPr="00A92359">
          <w:rPr>
            <w:noProof/>
            <w:webHidden/>
          </w:rPr>
          <w:fldChar w:fldCharType="end"/>
        </w:r>
      </w:hyperlink>
    </w:p>
    <w:p w14:paraId="752B54DD" w14:textId="77777777" w:rsidR="00C32CBD" w:rsidRPr="00A92359" w:rsidRDefault="00E707FE" w:rsidP="00C32CBD">
      <w:pPr>
        <w:pStyle w:val="TOC2"/>
        <w:tabs>
          <w:tab w:val="left" w:pos="9214"/>
        </w:tabs>
        <w:rPr>
          <w:rFonts w:asciiTheme="minorHAnsi" w:eastAsiaTheme="minorEastAsia" w:hAnsiTheme="minorHAnsi"/>
          <w:noProof/>
          <w:lang w:eastAsia="en-AU"/>
        </w:rPr>
      </w:pPr>
      <w:hyperlink w:anchor="_Toc456865055" w:history="1">
        <w:r w:rsidR="00C32CBD" w:rsidRPr="00A92359">
          <w:rPr>
            <w:rStyle w:val="Hyperlink"/>
            <w:noProof/>
            <w:color w:val="auto"/>
          </w:rPr>
          <w:t>1.2.</w:t>
        </w:r>
        <w:r w:rsidR="00C32CBD" w:rsidRPr="00A92359">
          <w:rPr>
            <w:rFonts w:asciiTheme="minorHAnsi" w:eastAsiaTheme="minorEastAsia" w:hAnsiTheme="minorHAnsi"/>
            <w:noProof/>
            <w:lang w:eastAsia="en-AU"/>
          </w:rPr>
          <w:tab/>
        </w:r>
        <w:r w:rsidR="00C32CBD" w:rsidRPr="00A92359">
          <w:rPr>
            <w:rStyle w:val="Hyperlink"/>
            <w:noProof/>
            <w:color w:val="auto"/>
          </w:rPr>
          <w:t>Own-Source Revenue and Gains</w:t>
        </w:r>
        <w:r w:rsidR="00C32CBD" w:rsidRPr="00A92359">
          <w:rPr>
            <w:noProof/>
            <w:webHidden/>
          </w:rPr>
          <w:tab/>
        </w:r>
        <w:r w:rsidR="00C32CBD" w:rsidRPr="00A92359">
          <w:rPr>
            <w:noProof/>
            <w:webHidden/>
          </w:rPr>
          <w:fldChar w:fldCharType="begin"/>
        </w:r>
        <w:r w:rsidR="00C32CBD" w:rsidRPr="00A92359">
          <w:rPr>
            <w:noProof/>
            <w:webHidden/>
          </w:rPr>
          <w:instrText xml:space="preserve"> PAGEREF _Toc456865055 \h </w:instrText>
        </w:r>
        <w:r w:rsidR="00C32CBD" w:rsidRPr="00A92359">
          <w:rPr>
            <w:noProof/>
            <w:webHidden/>
          </w:rPr>
        </w:r>
        <w:r w:rsidR="00C32CBD" w:rsidRPr="00A92359">
          <w:rPr>
            <w:noProof/>
            <w:webHidden/>
          </w:rPr>
          <w:fldChar w:fldCharType="separate"/>
        </w:r>
        <w:r w:rsidR="009834BE">
          <w:rPr>
            <w:noProof/>
            <w:webHidden/>
          </w:rPr>
          <w:t>149</w:t>
        </w:r>
        <w:r w:rsidR="00C32CBD" w:rsidRPr="00A92359">
          <w:rPr>
            <w:noProof/>
            <w:webHidden/>
          </w:rPr>
          <w:fldChar w:fldCharType="end"/>
        </w:r>
      </w:hyperlink>
    </w:p>
    <w:p w14:paraId="1A63A2DD" w14:textId="77777777" w:rsidR="00C32CBD" w:rsidRPr="00A92359" w:rsidRDefault="00E707FE" w:rsidP="00C32CBD">
      <w:pPr>
        <w:pStyle w:val="TOC1"/>
        <w:tabs>
          <w:tab w:val="left" w:pos="9214"/>
        </w:tabs>
        <w:rPr>
          <w:rFonts w:asciiTheme="minorHAnsi" w:eastAsiaTheme="minorEastAsia" w:hAnsiTheme="minorHAnsi"/>
          <w:noProof/>
          <w:color w:val="auto"/>
          <w:sz w:val="22"/>
          <w:szCs w:val="22"/>
          <w:lang w:eastAsia="en-AU"/>
        </w:rPr>
      </w:pPr>
      <w:hyperlink w:anchor="_Toc456865056" w:history="1">
        <w:r w:rsidR="00C32CBD" w:rsidRPr="00A92359">
          <w:rPr>
            <w:rStyle w:val="Hyperlink"/>
            <w:noProof/>
            <w:color w:val="auto"/>
          </w:rPr>
          <w:t>2. Financial Position</w:t>
        </w:r>
        <w:r w:rsidR="00C32CBD" w:rsidRPr="00A92359">
          <w:rPr>
            <w:noProof/>
            <w:webHidden/>
            <w:color w:val="auto"/>
          </w:rPr>
          <w:tab/>
        </w:r>
        <w:r w:rsidR="00C32CBD" w:rsidRPr="00A92359">
          <w:rPr>
            <w:noProof/>
            <w:webHidden/>
            <w:color w:val="auto"/>
          </w:rPr>
          <w:fldChar w:fldCharType="begin"/>
        </w:r>
        <w:r w:rsidR="00C32CBD" w:rsidRPr="00A92359">
          <w:rPr>
            <w:noProof/>
            <w:webHidden/>
            <w:color w:val="auto"/>
          </w:rPr>
          <w:instrText xml:space="preserve"> PAGEREF _Toc456865056 \h </w:instrText>
        </w:r>
        <w:r w:rsidR="00C32CBD" w:rsidRPr="00A92359">
          <w:rPr>
            <w:noProof/>
            <w:webHidden/>
            <w:color w:val="auto"/>
          </w:rPr>
        </w:r>
        <w:r w:rsidR="00C32CBD" w:rsidRPr="00A92359">
          <w:rPr>
            <w:noProof/>
            <w:webHidden/>
            <w:color w:val="auto"/>
          </w:rPr>
          <w:fldChar w:fldCharType="separate"/>
        </w:r>
        <w:r w:rsidR="009834BE">
          <w:rPr>
            <w:noProof/>
            <w:webHidden/>
            <w:color w:val="auto"/>
          </w:rPr>
          <w:t>153</w:t>
        </w:r>
        <w:r w:rsidR="00C32CBD" w:rsidRPr="00A92359">
          <w:rPr>
            <w:noProof/>
            <w:webHidden/>
            <w:color w:val="auto"/>
          </w:rPr>
          <w:fldChar w:fldCharType="end"/>
        </w:r>
      </w:hyperlink>
    </w:p>
    <w:p w14:paraId="7B6BC66F" w14:textId="77777777" w:rsidR="00C32CBD" w:rsidRPr="00A92359" w:rsidRDefault="00E707FE" w:rsidP="00C32CBD">
      <w:pPr>
        <w:pStyle w:val="TOC2"/>
        <w:tabs>
          <w:tab w:val="left" w:pos="9214"/>
        </w:tabs>
        <w:rPr>
          <w:rFonts w:asciiTheme="minorHAnsi" w:eastAsiaTheme="minorEastAsia" w:hAnsiTheme="minorHAnsi"/>
          <w:noProof/>
          <w:lang w:eastAsia="en-AU"/>
        </w:rPr>
      </w:pPr>
      <w:hyperlink w:anchor="_Toc456865058" w:history="1">
        <w:r w:rsidR="00C32CBD" w:rsidRPr="00A92359">
          <w:rPr>
            <w:rStyle w:val="Hyperlink"/>
            <w:noProof/>
            <w:color w:val="auto"/>
          </w:rPr>
          <w:t>2.1.</w:t>
        </w:r>
        <w:r w:rsidR="00C32CBD" w:rsidRPr="00A92359">
          <w:rPr>
            <w:rFonts w:asciiTheme="minorHAnsi" w:eastAsiaTheme="minorEastAsia" w:hAnsiTheme="minorHAnsi"/>
            <w:noProof/>
            <w:lang w:eastAsia="en-AU"/>
          </w:rPr>
          <w:tab/>
        </w:r>
        <w:r w:rsidR="00C32CBD" w:rsidRPr="00A92359">
          <w:rPr>
            <w:rStyle w:val="Hyperlink"/>
            <w:noProof/>
            <w:color w:val="auto"/>
          </w:rPr>
          <w:t>Financial Assets</w:t>
        </w:r>
        <w:r w:rsidR="00C32CBD" w:rsidRPr="00A92359">
          <w:rPr>
            <w:noProof/>
            <w:webHidden/>
          </w:rPr>
          <w:tab/>
        </w:r>
        <w:r w:rsidR="00C32CBD" w:rsidRPr="00A92359">
          <w:rPr>
            <w:noProof/>
            <w:webHidden/>
          </w:rPr>
          <w:fldChar w:fldCharType="begin"/>
        </w:r>
        <w:r w:rsidR="00C32CBD" w:rsidRPr="00A92359">
          <w:rPr>
            <w:noProof/>
            <w:webHidden/>
          </w:rPr>
          <w:instrText xml:space="preserve"> PAGEREF _Toc456865058 \h </w:instrText>
        </w:r>
        <w:r w:rsidR="00C32CBD" w:rsidRPr="00A92359">
          <w:rPr>
            <w:noProof/>
            <w:webHidden/>
          </w:rPr>
        </w:r>
        <w:r w:rsidR="00C32CBD" w:rsidRPr="00A92359">
          <w:rPr>
            <w:noProof/>
            <w:webHidden/>
          </w:rPr>
          <w:fldChar w:fldCharType="separate"/>
        </w:r>
        <w:r w:rsidR="009834BE">
          <w:rPr>
            <w:noProof/>
            <w:webHidden/>
          </w:rPr>
          <w:t>153</w:t>
        </w:r>
        <w:r w:rsidR="00C32CBD" w:rsidRPr="00A92359">
          <w:rPr>
            <w:noProof/>
            <w:webHidden/>
          </w:rPr>
          <w:fldChar w:fldCharType="end"/>
        </w:r>
      </w:hyperlink>
    </w:p>
    <w:p w14:paraId="70A87B78" w14:textId="77777777" w:rsidR="00C32CBD" w:rsidRPr="00A92359" w:rsidRDefault="00E707FE" w:rsidP="00C32CBD">
      <w:pPr>
        <w:pStyle w:val="TOC2"/>
        <w:tabs>
          <w:tab w:val="left" w:pos="9214"/>
        </w:tabs>
        <w:rPr>
          <w:rFonts w:asciiTheme="minorHAnsi" w:eastAsiaTheme="minorEastAsia" w:hAnsiTheme="minorHAnsi"/>
          <w:noProof/>
          <w:lang w:eastAsia="en-AU"/>
        </w:rPr>
      </w:pPr>
      <w:hyperlink w:anchor="_Toc456865059" w:history="1">
        <w:r w:rsidR="00C32CBD" w:rsidRPr="00A92359">
          <w:rPr>
            <w:rStyle w:val="Hyperlink"/>
            <w:noProof/>
            <w:color w:val="auto"/>
          </w:rPr>
          <w:t>2.2.</w:t>
        </w:r>
        <w:r w:rsidR="00C32CBD" w:rsidRPr="00A92359">
          <w:rPr>
            <w:rFonts w:asciiTheme="minorHAnsi" w:eastAsiaTheme="minorEastAsia" w:hAnsiTheme="minorHAnsi"/>
            <w:noProof/>
            <w:lang w:eastAsia="en-AU"/>
          </w:rPr>
          <w:tab/>
        </w:r>
        <w:r w:rsidR="00C32CBD" w:rsidRPr="00A92359">
          <w:rPr>
            <w:rStyle w:val="Hyperlink"/>
            <w:noProof/>
            <w:color w:val="auto"/>
          </w:rPr>
          <w:t>Non-Financial Assets</w:t>
        </w:r>
        <w:r w:rsidR="00C32CBD" w:rsidRPr="00A92359">
          <w:rPr>
            <w:noProof/>
            <w:webHidden/>
          </w:rPr>
          <w:tab/>
        </w:r>
        <w:r w:rsidR="00C32CBD" w:rsidRPr="00A92359">
          <w:rPr>
            <w:noProof/>
            <w:webHidden/>
          </w:rPr>
          <w:fldChar w:fldCharType="begin"/>
        </w:r>
        <w:r w:rsidR="00C32CBD" w:rsidRPr="00A92359">
          <w:rPr>
            <w:noProof/>
            <w:webHidden/>
          </w:rPr>
          <w:instrText xml:space="preserve"> PAGEREF _Toc456865059 \h </w:instrText>
        </w:r>
        <w:r w:rsidR="00C32CBD" w:rsidRPr="00A92359">
          <w:rPr>
            <w:noProof/>
            <w:webHidden/>
          </w:rPr>
        </w:r>
        <w:r w:rsidR="00C32CBD" w:rsidRPr="00A92359">
          <w:rPr>
            <w:noProof/>
            <w:webHidden/>
          </w:rPr>
          <w:fldChar w:fldCharType="separate"/>
        </w:r>
        <w:r w:rsidR="009834BE">
          <w:rPr>
            <w:noProof/>
            <w:webHidden/>
          </w:rPr>
          <w:t>157</w:t>
        </w:r>
        <w:r w:rsidR="00C32CBD" w:rsidRPr="00A92359">
          <w:rPr>
            <w:noProof/>
            <w:webHidden/>
          </w:rPr>
          <w:fldChar w:fldCharType="end"/>
        </w:r>
      </w:hyperlink>
    </w:p>
    <w:p w14:paraId="0A95A135" w14:textId="77777777" w:rsidR="00C32CBD" w:rsidRPr="00A92359" w:rsidRDefault="00E707FE" w:rsidP="00C32CBD">
      <w:pPr>
        <w:pStyle w:val="TOC2"/>
        <w:tabs>
          <w:tab w:val="left" w:pos="9214"/>
        </w:tabs>
        <w:rPr>
          <w:rFonts w:asciiTheme="minorHAnsi" w:eastAsiaTheme="minorEastAsia" w:hAnsiTheme="minorHAnsi"/>
          <w:noProof/>
          <w:lang w:eastAsia="en-AU"/>
        </w:rPr>
      </w:pPr>
      <w:hyperlink w:anchor="_Toc456865060" w:history="1">
        <w:r w:rsidR="00C32CBD" w:rsidRPr="00A92359">
          <w:rPr>
            <w:rStyle w:val="Hyperlink"/>
            <w:noProof/>
            <w:color w:val="auto"/>
          </w:rPr>
          <w:t>2.3.</w:t>
        </w:r>
        <w:r w:rsidR="00C32CBD" w:rsidRPr="00A92359">
          <w:rPr>
            <w:rFonts w:asciiTheme="minorHAnsi" w:eastAsiaTheme="minorEastAsia" w:hAnsiTheme="minorHAnsi"/>
            <w:noProof/>
            <w:lang w:eastAsia="en-AU"/>
          </w:rPr>
          <w:tab/>
        </w:r>
        <w:r w:rsidR="00C32CBD" w:rsidRPr="00A92359">
          <w:rPr>
            <w:rStyle w:val="Hyperlink"/>
            <w:noProof/>
            <w:color w:val="auto"/>
          </w:rPr>
          <w:t>Payables</w:t>
        </w:r>
        <w:r w:rsidR="00C32CBD" w:rsidRPr="00A92359">
          <w:rPr>
            <w:noProof/>
            <w:webHidden/>
          </w:rPr>
          <w:tab/>
        </w:r>
        <w:r w:rsidR="00C32CBD" w:rsidRPr="00A92359">
          <w:rPr>
            <w:noProof/>
            <w:webHidden/>
          </w:rPr>
          <w:fldChar w:fldCharType="begin"/>
        </w:r>
        <w:r w:rsidR="00C32CBD" w:rsidRPr="00A92359">
          <w:rPr>
            <w:noProof/>
            <w:webHidden/>
          </w:rPr>
          <w:instrText xml:space="preserve"> PAGEREF _Toc456865060 \h </w:instrText>
        </w:r>
        <w:r w:rsidR="00C32CBD" w:rsidRPr="00A92359">
          <w:rPr>
            <w:noProof/>
            <w:webHidden/>
          </w:rPr>
        </w:r>
        <w:r w:rsidR="00C32CBD" w:rsidRPr="00A92359">
          <w:rPr>
            <w:noProof/>
            <w:webHidden/>
          </w:rPr>
          <w:fldChar w:fldCharType="separate"/>
        </w:r>
        <w:r w:rsidR="009834BE">
          <w:rPr>
            <w:noProof/>
            <w:webHidden/>
          </w:rPr>
          <w:t>163</w:t>
        </w:r>
        <w:r w:rsidR="00C32CBD" w:rsidRPr="00A92359">
          <w:rPr>
            <w:noProof/>
            <w:webHidden/>
          </w:rPr>
          <w:fldChar w:fldCharType="end"/>
        </w:r>
      </w:hyperlink>
    </w:p>
    <w:p w14:paraId="29563669" w14:textId="77777777" w:rsidR="00C32CBD" w:rsidRPr="00A92359" w:rsidRDefault="00E707FE" w:rsidP="00C32CBD">
      <w:pPr>
        <w:pStyle w:val="TOC2"/>
        <w:tabs>
          <w:tab w:val="left" w:pos="9214"/>
        </w:tabs>
        <w:rPr>
          <w:rFonts w:asciiTheme="minorHAnsi" w:eastAsiaTheme="minorEastAsia" w:hAnsiTheme="minorHAnsi"/>
          <w:noProof/>
          <w:lang w:eastAsia="en-AU"/>
        </w:rPr>
      </w:pPr>
      <w:hyperlink w:anchor="_Toc456865061" w:history="1">
        <w:r w:rsidR="00C32CBD" w:rsidRPr="00A92359">
          <w:rPr>
            <w:rStyle w:val="Hyperlink"/>
            <w:noProof/>
            <w:color w:val="auto"/>
          </w:rPr>
          <w:t>2.4.</w:t>
        </w:r>
        <w:r w:rsidR="00C32CBD" w:rsidRPr="00A92359">
          <w:rPr>
            <w:rFonts w:asciiTheme="minorHAnsi" w:eastAsiaTheme="minorEastAsia" w:hAnsiTheme="minorHAnsi"/>
            <w:noProof/>
            <w:lang w:eastAsia="en-AU"/>
          </w:rPr>
          <w:tab/>
        </w:r>
        <w:r w:rsidR="00C32CBD" w:rsidRPr="00A92359">
          <w:rPr>
            <w:rStyle w:val="Hyperlink"/>
            <w:noProof/>
            <w:color w:val="auto"/>
          </w:rPr>
          <w:t>Other Provisions</w:t>
        </w:r>
        <w:r w:rsidR="00C32CBD" w:rsidRPr="00A92359">
          <w:rPr>
            <w:noProof/>
            <w:webHidden/>
          </w:rPr>
          <w:tab/>
        </w:r>
        <w:r w:rsidR="00C32CBD" w:rsidRPr="00A92359">
          <w:rPr>
            <w:noProof/>
            <w:webHidden/>
          </w:rPr>
          <w:fldChar w:fldCharType="begin"/>
        </w:r>
        <w:r w:rsidR="00C32CBD" w:rsidRPr="00A92359">
          <w:rPr>
            <w:noProof/>
            <w:webHidden/>
          </w:rPr>
          <w:instrText xml:space="preserve"> PAGEREF _Toc456865061 \h </w:instrText>
        </w:r>
        <w:r w:rsidR="00C32CBD" w:rsidRPr="00A92359">
          <w:rPr>
            <w:noProof/>
            <w:webHidden/>
          </w:rPr>
        </w:r>
        <w:r w:rsidR="00C32CBD" w:rsidRPr="00A92359">
          <w:rPr>
            <w:noProof/>
            <w:webHidden/>
          </w:rPr>
          <w:fldChar w:fldCharType="separate"/>
        </w:r>
        <w:r w:rsidR="009834BE">
          <w:rPr>
            <w:noProof/>
            <w:webHidden/>
          </w:rPr>
          <w:t>165</w:t>
        </w:r>
        <w:r w:rsidR="00C32CBD" w:rsidRPr="00A92359">
          <w:rPr>
            <w:noProof/>
            <w:webHidden/>
          </w:rPr>
          <w:fldChar w:fldCharType="end"/>
        </w:r>
      </w:hyperlink>
    </w:p>
    <w:p w14:paraId="6B7230E9" w14:textId="77777777" w:rsidR="00C32CBD" w:rsidRPr="00A92359" w:rsidRDefault="00E707FE" w:rsidP="00C32CBD">
      <w:pPr>
        <w:pStyle w:val="TOC1"/>
        <w:tabs>
          <w:tab w:val="left" w:pos="9214"/>
        </w:tabs>
        <w:rPr>
          <w:rFonts w:asciiTheme="minorHAnsi" w:eastAsiaTheme="minorEastAsia" w:hAnsiTheme="minorHAnsi"/>
          <w:noProof/>
          <w:color w:val="auto"/>
          <w:sz w:val="22"/>
          <w:szCs w:val="22"/>
          <w:lang w:eastAsia="en-AU"/>
        </w:rPr>
      </w:pPr>
      <w:hyperlink w:anchor="_Toc456865062" w:history="1">
        <w:r w:rsidR="00C32CBD" w:rsidRPr="00A92359">
          <w:rPr>
            <w:rStyle w:val="Hyperlink"/>
            <w:noProof/>
            <w:color w:val="auto"/>
          </w:rPr>
          <w:t>3. Funding</w:t>
        </w:r>
        <w:r w:rsidR="00C32CBD" w:rsidRPr="00A92359">
          <w:rPr>
            <w:noProof/>
            <w:webHidden/>
            <w:color w:val="auto"/>
          </w:rPr>
          <w:tab/>
        </w:r>
        <w:r w:rsidR="00C32CBD" w:rsidRPr="00A92359">
          <w:rPr>
            <w:noProof/>
            <w:webHidden/>
            <w:color w:val="auto"/>
          </w:rPr>
          <w:fldChar w:fldCharType="begin"/>
        </w:r>
        <w:r w:rsidR="00C32CBD" w:rsidRPr="00A92359">
          <w:rPr>
            <w:noProof/>
            <w:webHidden/>
            <w:color w:val="auto"/>
          </w:rPr>
          <w:instrText xml:space="preserve"> PAGEREF _Toc456865062 \h </w:instrText>
        </w:r>
        <w:r w:rsidR="00C32CBD" w:rsidRPr="00A92359">
          <w:rPr>
            <w:noProof/>
            <w:webHidden/>
            <w:color w:val="auto"/>
          </w:rPr>
        </w:r>
        <w:r w:rsidR="00C32CBD" w:rsidRPr="00A92359">
          <w:rPr>
            <w:noProof/>
            <w:webHidden/>
            <w:color w:val="auto"/>
          </w:rPr>
          <w:fldChar w:fldCharType="separate"/>
        </w:r>
        <w:r w:rsidR="009834BE">
          <w:rPr>
            <w:noProof/>
            <w:webHidden/>
            <w:color w:val="auto"/>
          </w:rPr>
          <w:t>168</w:t>
        </w:r>
        <w:r w:rsidR="00C32CBD" w:rsidRPr="00A92359">
          <w:rPr>
            <w:noProof/>
            <w:webHidden/>
            <w:color w:val="auto"/>
          </w:rPr>
          <w:fldChar w:fldCharType="end"/>
        </w:r>
      </w:hyperlink>
    </w:p>
    <w:p w14:paraId="16CB4186" w14:textId="77777777" w:rsidR="00C32CBD" w:rsidRPr="00A92359" w:rsidRDefault="00E707FE" w:rsidP="00C32CBD">
      <w:pPr>
        <w:pStyle w:val="TOC2"/>
        <w:tabs>
          <w:tab w:val="left" w:pos="9214"/>
        </w:tabs>
        <w:rPr>
          <w:rFonts w:asciiTheme="minorHAnsi" w:eastAsiaTheme="minorEastAsia" w:hAnsiTheme="minorHAnsi"/>
          <w:noProof/>
          <w:lang w:eastAsia="en-AU"/>
        </w:rPr>
      </w:pPr>
      <w:hyperlink w:anchor="_Toc456865064" w:history="1">
        <w:r w:rsidR="00C32CBD" w:rsidRPr="00A92359">
          <w:rPr>
            <w:rStyle w:val="Hyperlink"/>
            <w:noProof/>
            <w:color w:val="auto"/>
          </w:rPr>
          <w:t>3.1.</w:t>
        </w:r>
        <w:r w:rsidR="00C32CBD" w:rsidRPr="00A92359">
          <w:rPr>
            <w:rFonts w:asciiTheme="minorHAnsi" w:eastAsiaTheme="minorEastAsia" w:hAnsiTheme="minorHAnsi"/>
            <w:noProof/>
            <w:lang w:eastAsia="en-AU"/>
          </w:rPr>
          <w:tab/>
        </w:r>
        <w:r w:rsidR="00C32CBD" w:rsidRPr="00A92359">
          <w:rPr>
            <w:rStyle w:val="Hyperlink"/>
            <w:noProof/>
            <w:color w:val="auto"/>
          </w:rPr>
          <w:t>Cash Flow Reconciliation</w:t>
        </w:r>
        <w:r w:rsidR="00C32CBD" w:rsidRPr="00A92359">
          <w:rPr>
            <w:noProof/>
            <w:webHidden/>
          </w:rPr>
          <w:tab/>
        </w:r>
        <w:r w:rsidR="00C32CBD" w:rsidRPr="00A92359">
          <w:rPr>
            <w:noProof/>
            <w:webHidden/>
          </w:rPr>
          <w:fldChar w:fldCharType="begin"/>
        </w:r>
        <w:r w:rsidR="00C32CBD" w:rsidRPr="00A92359">
          <w:rPr>
            <w:noProof/>
            <w:webHidden/>
          </w:rPr>
          <w:instrText xml:space="preserve"> PAGEREF _Toc456865064 \h </w:instrText>
        </w:r>
        <w:r w:rsidR="00C32CBD" w:rsidRPr="00A92359">
          <w:rPr>
            <w:noProof/>
            <w:webHidden/>
          </w:rPr>
        </w:r>
        <w:r w:rsidR="00C32CBD" w:rsidRPr="00A92359">
          <w:rPr>
            <w:noProof/>
            <w:webHidden/>
          </w:rPr>
          <w:fldChar w:fldCharType="separate"/>
        </w:r>
        <w:r w:rsidR="009834BE">
          <w:rPr>
            <w:noProof/>
            <w:webHidden/>
          </w:rPr>
          <w:t>168</w:t>
        </w:r>
        <w:r w:rsidR="00C32CBD" w:rsidRPr="00A92359">
          <w:rPr>
            <w:noProof/>
            <w:webHidden/>
          </w:rPr>
          <w:fldChar w:fldCharType="end"/>
        </w:r>
      </w:hyperlink>
    </w:p>
    <w:p w14:paraId="0E9D744B" w14:textId="77777777" w:rsidR="00C32CBD" w:rsidRPr="00A92359" w:rsidRDefault="00E707FE" w:rsidP="00C32CBD">
      <w:pPr>
        <w:pStyle w:val="TOC1"/>
        <w:tabs>
          <w:tab w:val="left" w:pos="9214"/>
        </w:tabs>
        <w:rPr>
          <w:rFonts w:asciiTheme="minorHAnsi" w:eastAsiaTheme="minorEastAsia" w:hAnsiTheme="minorHAnsi"/>
          <w:noProof/>
          <w:color w:val="auto"/>
          <w:sz w:val="22"/>
          <w:szCs w:val="22"/>
          <w:lang w:eastAsia="en-AU"/>
        </w:rPr>
      </w:pPr>
      <w:hyperlink w:anchor="_Toc456865065" w:history="1">
        <w:r w:rsidR="00C32CBD" w:rsidRPr="00A92359">
          <w:rPr>
            <w:rStyle w:val="Hyperlink"/>
            <w:noProof/>
            <w:color w:val="auto"/>
          </w:rPr>
          <w:t>4. Governance, Employees and Relationships</w:t>
        </w:r>
        <w:r w:rsidR="00C32CBD" w:rsidRPr="00A92359">
          <w:rPr>
            <w:noProof/>
            <w:webHidden/>
            <w:color w:val="auto"/>
          </w:rPr>
          <w:tab/>
        </w:r>
        <w:r w:rsidR="00C32CBD" w:rsidRPr="00A92359">
          <w:rPr>
            <w:noProof/>
            <w:webHidden/>
            <w:color w:val="auto"/>
          </w:rPr>
          <w:fldChar w:fldCharType="begin"/>
        </w:r>
        <w:r w:rsidR="00C32CBD" w:rsidRPr="00A92359">
          <w:rPr>
            <w:noProof/>
            <w:webHidden/>
            <w:color w:val="auto"/>
          </w:rPr>
          <w:instrText xml:space="preserve"> PAGEREF _Toc456865065 \h </w:instrText>
        </w:r>
        <w:r w:rsidR="00C32CBD" w:rsidRPr="00A92359">
          <w:rPr>
            <w:noProof/>
            <w:webHidden/>
            <w:color w:val="auto"/>
          </w:rPr>
        </w:r>
        <w:r w:rsidR="00C32CBD" w:rsidRPr="00A92359">
          <w:rPr>
            <w:noProof/>
            <w:webHidden/>
            <w:color w:val="auto"/>
          </w:rPr>
          <w:fldChar w:fldCharType="separate"/>
        </w:r>
        <w:r w:rsidR="009834BE">
          <w:rPr>
            <w:noProof/>
            <w:webHidden/>
            <w:color w:val="auto"/>
          </w:rPr>
          <w:t>170</w:t>
        </w:r>
        <w:r w:rsidR="00C32CBD" w:rsidRPr="00A92359">
          <w:rPr>
            <w:noProof/>
            <w:webHidden/>
            <w:color w:val="auto"/>
          </w:rPr>
          <w:fldChar w:fldCharType="end"/>
        </w:r>
      </w:hyperlink>
    </w:p>
    <w:p w14:paraId="49832714" w14:textId="77777777" w:rsidR="00C32CBD" w:rsidRPr="00A92359" w:rsidRDefault="00E707FE" w:rsidP="00C32CBD">
      <w:pPr>
        <w:pStyle w:val="TOC2"/>
        <w:tabs>
          <w:tab w:val="left" w:pos="9214"/>
        </w:tabs>
        <w:rPr>
          <w:rFonts w:asciiTheme="minorHAnsi" w:eastAsiaTheme="minorEastAsia" w:hAnsiTheme="minorHAnsi"/>
          <w:noProof/>
          <w:lang w:eastAsia="en-AU"/>
        </w:rPr>
      </w:pPr>
      <w:hyperlink w:anchor="_Toc456865067" w:history="1">
        <w:r w:rsidR="00C32CBD" w:rsidRPr="00A92359">
          <w:rPr>
            <w:rStyle w:val="Hyperlink"/>
            <w:noProof/>
            <w:color w:val="auto"/>
          </w:rPr>
          <w:t>4.1.</w:t>
        </w:r>
        <w:r w:rsidR="00C32CBD" w:rsidRPr="00A92359">
          <w:rPr>
            <w:rFonts w:asciiTheme="minorHAnsi" w:eastAsiaTheme="minorEastAsia" w:hAnsiTheme="minorHAnsi"/>
            <w:noProof/>
            <w:lang w:eastAsia="en-AU"/>
          </w:rPr>
          <w:tab/>
        </w:r>
        <w:r w:rsidR="00C32CBD" w:rsidRPr="00A92359">
          <w:rPr>
            <w:rStyle w:val="Hyperlink"/>
            <w:noProof/>
            <w:color w:val="auto"/>
          </w:rPr>
          <w:t>Employee Provisions</w:t>
        </w:r>
        <w:r w:rsidR="00C32CBD" w:rsidRPr="00A92359">
          <w:rPr>
            <w:noProof/>
            <w:webHidden/>
          </w:rPr>
          <w:tab/>
        </w:r>
        <w:r w:rsidR="00C32CBD" w:rsidRPr="00A92359">
          <w:rPr>
            <w:noProof/>
            <w:webHidden/>
          </w:rPr>
          <w:fldChar w:fldCharType="begin"/>
        </w:r>
        <w:r w:rsidR="00C32CBD" w:rsidRPr="00A92359">
          <w:rPr>
            <w:noProof/>
            <w:webHidden/>
          </w:rPr>
          <w:instrText xml:space="preserve"> PAGEREF _Toc456865067 \h </w:instrText>
        </w:r>
        <w:r w:rsidR="00C32CBD" w:rsidRPr="00A92359">
          <w:rPr>
            <w:noProof/>
            <w:webHidden/>
          </w:rPr>
        </w:r>
        <w:r w:rsidR="00C32CBD" w:rsidRPr="00A92359">
          <w:rPr>
            <w:noProof/>
            <w:webHidden/>
          </w:rPr>
          <w:fldChar w:fldCharType="separate"/>
        </w:r>
        <w:r w:rsidR="009834BE">
          <w:rPr>
            <w:noProof/>
            <w:webHidden/>
          </w:rPr>
          <w:t>170</w:t>
        </w:r>
        <w:r w:rsidR="00C32CBD" w:rsidRPr="00A92359">
          <w:rPr>
            <w:noProof/>
            <w:webHidden/>
          </w:rPr>
          <w:fldChar w:fldCharType="end"/>
        </w:r>
      </w:hyperlink>
    </w:p>
    <w:p w14:paraId="477F0F32" w14:textId="77777777" w:rsidR="00C32CBD" w:rsidRPr="00A92359" w:rsidRDefault="00E707FE" w:rsidP="00C32CBD">
      <w:pPr>
        <w:pStyle w:val="TOC2"/>
        <w:tabs>
          <w:tab w:val="left" w:pos="9214"/>
        </w:tabs>
        <w:rPr>
          <w:rFonts w:asciiTheme="minorHAnsi" w:eastAsiaTheme="minorEastAsia" w:hAnsiTheme="minorHAnsi"/>
          <w:noProof/>
          <w:lang w:eastAsia="en-AU"/>
        </w:rPr>
      </w:pPr>
      <w:hyperlink w:anchor="_Toc456865068" w:history="1">
        <w:r w:rsidR="00C32CBD" w:rsidRPr="00A92359">
          <w:rPr>
            <w:rStyle w:val="Hyperlink"/>
            <w:noProof/>
            <w:color w:val="auto"/>
          </w:rPr>
          <w:t>4.2.</w:t>
        </w:r>
        <w:r w:rsidR="00C32CBD" w:rsidRPr="00A92359">
          <w:rPr>
            <w:rFonts w:asciiTheme="minorHAnsi" w:eastAsiaTheme="minorEastAsia" w:hAnsiTheme="minorHAnsi"/>
            <w:noProof/>
            <w:lang w:eastAsia="en-AU"/>
          </w:rPr>
          <w:tab/>
        </w:r>
        <w:r w:rsidR="00C32CBD" w:rsidRPr="00A92359">
          <w:rPr>
            <w:rStyle w:val="Hyperlink"/>
            <w:noProof/>
            <w:color w:val="auto"/>
          </w:rPr>
          <w:t>Key Management Personnel Remuneration</w:t>
        </w:r>
        <w:r w:rsidR="00C32CBD" w:rsidRPr="00A92359">
          <w:rPr>
            <w:noProof/>
            <w:webHidden/>
          </w:rPr>
          <w:tab/>
        </w:r>
        <w:r w:rsidR="00C32CBD" w:rsidRPr="00A92359">
          <w:rPr>
            <w:noProof/>
            <w:webHidden/>
          </w:rPr>
          <w:fldChar w:fldCharType="begin"/>
        </w:r>
        <w:r w:rsidR="00C32CBD" w:rsidRPr="00A92359">
          <w:rPr>
            <w:noProof/>
            <w:webHidden/>
          </w:rPr>
          <w:instrText xml:space="preserve"> PAGEREF _Toc456865068 \h </w:instrText>
        </w:r>
        <w:r w:rsidR="00C32CBD" w:rsidRPr="00A92359">
          <w:rPr>
            <w:noProof/>
            <w:webHidden/>
          </w:rPr>
        </w:r>
        <w:r w:rsidR="00C32CBD" w:rsidRPr="00A92359">
          <w:rPr>
            <w:noProof/>
            <w:webHidden/>
          </w:rPr>
          <w:fldChar w:fldCharType="separate"/>
        </w:r>
        <w:r w:rsidR="009834BE">
          <w:rPr>
            <w:noProof/>
            <w:webHidden/>
          </w:rPr>
          <w:t>172</w:t>
        </w:r>
        <w:r w:rsidR="00C32CBD" w:rsidRPr="00A92359">
          <w:rPr>
            <w:noProof/>
            <w:webHidden/>
          </w:rPr>
          <w:fldChar w:fldCharType="end"/>
        </w:r>
      </w:hyperlink>
    </w:p>
    <w:p w14:paraId="7076BE56" w14:textId="77777777" w:rsidR="00C32CBD" w:rsidRPr="00A92359" w:rsidRDefault="00E707FE" w:rsidP="00C32CBD">
      <w:pPr>
        <w:pStyle w:val="TOC2"/>
        <w:tabs>
          <w:tab w:val="left" w:pos="9214"/>
        </w:tabs>
        <w:rPr>
          <w:rFonts w:asciiTheme="minorHAnsi" w:eastAsiaTheme="minorEastAsia" w:hAnsiTheme="minorHAnsi"/>
          <w:noProof/>
          <w:lang w:eastAsia="en-AU"/>
        </w:rPr>
      </w:pPr>
      <w:hyperlink w:anchor="_Toc456865069" w:history="1">
        <w:r w:rsidR="00C32CBD" w:rsidRPr="00A92359">
          <w:rPr>
            <w:rStyle w:val="Hyperlink"/>
            <w:noProof/>
            <w:color w:val="auto"/>
          </w:rPr>
          <w:t>4.3.</w:t>
        </w:r>
        <w:r w:rsidR="00C32CBD" w:rsidRPr="00A92359">
          <w:rPr>
            <w:rFonts w:asciiTheme="minorHAnsi" w:eastAsiaTheme="minorEastAsia" w:hAnsiTheme="minorHAnsi"/>
            <w:noProof/>
            <w:lang w:eastAsia="en-AU"/>
          </w:rPr>
          <w:tab/>
        </w:r>
        <w:r w:rsidR="00C32CBD" w:rsidRPr="00A92359">
          <w:rPr>
            <w:rStyle w:val="Hyperlink"/>
            <w:noProof/>
            <w:color w:val="auto"/>
          </w:rPr>
          <w:t>Related Party Disclosures</w:t>
        </w:r>
        <w:r w:rsidR="00C32CBD" w:rsidRPr="00A92359">
          <w:rPr>
            <w:noProof/>
            <w:webHidden/>
          </w:rPr>
          <w:tab/>
        </w:r>
        <w:r w:rsidR="00C32CBD" w:rsidRPr="00A92359">
          <w:rPr>
            <w:noProof/>
            <w:webHidden/>
          </w:rPr>
          <w:fldChar w:fldCharType="begin"/>
        </w:r>
        <w:r w:rsidR="00C32CBD" w:rsidRPr="00A92359">
          <w:rPr>
            <w:noProof/>
            <w:webHidden/>
          </w:rPr>
          <w:instrText xml:space="preserve"> PAGEREF _Toc456865069 \h </w:instrText>
        </w:r>
        <w:r w:rsidR="00C32CBD" w:rsidRPr="00A92359">
          <w:rPr>
            <w:noProof/>
            <w:webHidden/>
          </w:rPr>
        </w:r>
        <w:r w:rsidR="00C32CBD" w:rsidRPr="00A92359">
          <w:rPr>
            <w:noProof/>
            <w:webHidden/>
          </w:rPr>
          <w:fldChar w:fldCharType="separate"/>
        </w:r>
        <w:r w:rsidR="009834BE">
          <w:rPr>
            <w:noProof/>
            <w:webHidden/>
          </w:rPr>
          <w:t>172</w:t>
        </w:r>
        <w:r w:rsidR="00C32CBD" w:rsidRPr="00A92359">
          <w:rPr>
            <w:noProof/>
            <w:webHidden/>
          </w:rPr>
          <w:fldChar w:fldCharType="end"/>
        </w:r>
      </w:hyperlink>
    </w:p>
    <w:p w14:paraId="1670ECE5" w14:textId="77777777" w:rsidR="00C32CBD" w:rsidRPr="00A92359" w:rsidRDefault="00E707FE" w:rsidP="00C32CBD">
      <w:pPr>
        <w:pStyle w:val="TOC2"/>
        <w:tabs>
          <w:tab w:val="left" w:pos="9214"/>
        </w:tabs>
        <w:rPr>
          <w:rFonts w:asciiTheme="minorHAnsi" w:eastAsiaTheme="minorEastAsia" w:hAnsiTheme="minorHAnsi"/>
          <w:noProof/>
          <w:lang w:eastAsia="en-AU"/>
        </w:rPr>
      </w:pPr>
      <w:hyperlink w:anchor="_Toc456865070" w:history="1">
        <w:r w:rsidR="00C32CBD" w:rsidRPr="00A92359">
          <w:rPr>
            <w:rStyle w:val="Hyperlink"/>
            <w:noProof/>
            <w:color w:val="auto"/>
          </w:rPr>
          <w:t>4.4.</w:t>
        </w:r>
        <w:r w:rsidR="00C32CBD" w:rsidRPr="00A92359">
          <w:rPr>
            <w:rFonts w:asciiTheme="minorHAnsi" w:eastAsiaTheme="minorEastAsia" w:hAnsiTheme="minorHAnsi"/>
            <w:noProof/>
            <w:lang w:eastAsia="en-AU"/>
          </w:rPr>
          <w:tab/>
        </w:r>
        <w:r w:rsidR="00C32CBD" w:rsidRPr="00A92359">
          <w:rPr>
            <w:rStyle w:val="Hyperlink"/>
            <w:noProof/>
            <w:color w:val="auto"/>
          </w:rPr>
          <w:t>Remuneration of Auditors</w:t>
        </w:r>
        <w:r w:rsidR="00C32CBD" w:rsidRPr="00A92359">
          <w:rPr>
            <w:noProof/>
            <w:webHidden/>
          </w:rPr>
          <w:tab/>
        </w:r>
        <w:r w:rsidR="00C32CBD" w:rsidRPr="00A92359">
          <w:rPr>
            <w:noProof/>
            <w:webHidden/>
          </w:rPr>
          <w:fldChar w:fldCharType="begin"/>
        </w:r>
        <w:r w:rsidR="00C32CBD" w:rsidRPr="00A92359">
          <w:rPr>
            <w:noProof/>
            <w:webHidden/>
          </w:rPr>
          <w:instrText xml:space="preserve"> PAGEREF _Toc456865070 \h </w:instrText>
        </w:r>
        <w:r w:rsidR="00C32CBD" w:rsidRPr="00A92359">
          <w:rPr>
            <w:noProof/>
            <w:webHidden/>
          </w:rPr>
        </w:r>
        <w:r w:rsidR="00C32CBD" w:rsidRPr="00A92359">
          <w:rPr>
            <w:noProof/>
            <w:webHidden/>
          </w:rPr>
          <w:fldChar w:fldCharType="separate"/>
        </w:r>
        <w:r w:rsidR="009834BE">
          <w:rPr>
            <w:noProof/>
            <w:webHidden/>
          </w:rPr>
          <w:t>174</w:t>
        </w:r>
        <w:r w:rsidR="00C32CBD" w:rsidRPr="00A92359">
          <w:rPr>
            <w:noProof/>
            <w:webHidden/>
          </w:rPr>
          <w:fldChar w:fldCharType="end"/>
        </w:r>
      </w:hyperlink>
    </w:p>
    <w:p w14:paraId="053CC637" w14:textId="77777777" w:rsidR="00C32CBD" w:rsidRPr="00A92359" w:rsidRDefault="00E707FE" w:rsidP="00C32CBD">
      <w:pPr>
        <w:pStyle w:val="TOC1"/>
        <w:tabs>
          <w:tab w:val="left" w:pos="9214"/>
        </w:tabs>
        <w:rPr>
          <w:rFonts w:asciiTheme="minorHAnsi" w:eastAsiaTheme="minorEastAsia" w:hAnsiTheme="minorHAnsi"/>
          <w:noProof/>
          <w:color w:val="auto"/>
          <w:sz w:val="22"/>
          <w:szCs w:val="22"/>
          <w:lang w:eastAsia="en-AU"/>
        </w:rPr>
      </w:pPr>
      <w:hyperlink w:anchor="_Toc456865071" w:history="1">
        <w:r w:rsidR="00C32CBD" w:rsidRPr="00A92359">
          <w:rPr>
            <w:rStyle w:val="Hyperlink"/>
            <w:noProof/>
            <w:color w:val="auto"/>
          </w:rPr>
          <w:t>5. Managing Uncertainties</w:t>
        </w:r>
        <w:r w:rsidR="00C32CBD" w:rsidRPr="00A92359">
          <w:rPr>
            <w:noProof/>
            <w:webHidden/>
            <w:color w:val="auto"/>
          </w:rPr>
          <w:tab/>
        </w:r>
        <w:r w:rsidR="00C32CBD" w:rsidRPr="00A92359">
          <w:rPr>
            <w:noProof/>
            <w:webHidden/>
            <w:color w:val="auto"/>
          </w:rPr>
          <w:fldChar w:fldCharType="begin"/>
        </w:r>
        <w:r w:rsidR="00C32CBD" w:rsidRPr="00A92359">
          <w:rPr>
            <w:noProof/>
            <w:webHidden/>
            <w:color w:val="auto"/>
          </w:rPr>
          <w:instrText xml:space="preserve"> PAGEREF _Toc456865071 \h </w:instrText>
        </w:r>
        <w:r w:rsidR="00C32CBD" w:rsidRPr="00A92359">
          <w:rPr>
            <w:noProof/>
            <w:webHidden/>
            <w:color w:val="auto"/>
          </w:rPr>
        </w:r>
        <w:r w:rsidR="00C32CBD" w:rsidRPr="00A92359">
          <w:rPr>
            <w:noProof/>
            <w:webHidden/>
            <w:color w:val="auto"/>
          </w:rPr>
          <w:fldChar w:fldCharType="separate"/>
        </w:r>
        <w:r w:rsidR="009834BE">
          <w:rPr>
            <w:noProof/>
            <w:webHidden/>
            <w:color w:val="auto"/>
          </w:rPr>
          <w:t>175</w:t>
        </w:r>
        <w:r w:rsidR="00C32CBD" w:rsidRPr="00A92359">
          <w:rPr>
            <w:noProof/>
            <w:webHidden/>
            <w:color w:val="auto"/>
          </w:rPr>
          <w:fldChar w:fldCharType="end"/>
        </w:r>
      </w:hyperlink>
    </w:p>
    <w:p w14:paraId="078CE83A" w14:textId="77777777" w:rsidR="00C32CBD" w:rsidRPr="00A92359" w:rsidRDefault="00E707FE" w:rsidP="00C32CBD">
      <w:pPr>
        <w:pStyle w:val="TOC2"/>
        <w:tabs>
          <w:tab w:val="left" w:pos="9214"/>
        </w:tabs>
        <w:rPr>
          <w:rFonts w:asciiTheme="minorHAnsi" w:eastAsiaTheme="minorEastAsia" w:hAnsiTheme="minorHAnsi"/>
          <w:noProof/>
          <w:lang w:eastAsia="en-AU"/>
        </w:rPr>
      </w:pPr>
      <w:hyperlink w:anchor="_Toc456865073" w:history="1">
        <w:r w:rsidR="00C32CBD" w:rsidRPr="00A92359">
          <w:rPr>
            <w:rStyle w:val="Hyperlink"/>
            <w:noProof/>
            <w:color w:val="auto"/>
          </w:rPr>
          <w:t>5.1.</w:t>
        </w:r>
        <w:r w:rsidR="00C32CBD" w:rsidRPr="00A92359">
          <w:rPr>
            <w:rFonts w:asciiTheme="minorHAnsi" w:eastAsiaTheme="minorEastAsia" w:hAnsiTheme="minorHAnsi"/>
            <w:noProof/>
            <w:lang w:eastAsia="en-AU"/>
          </w:rPr>
          <w:tab/>
        </w:r>
        <w:r w:rsidR="00C32CBD" w:rsidRPr="00A92359">
          <w:rPr>
            <w:rStyle w:val="Hyperlink"/>
            <w:noProof/>
            <w:color w:val="auto"/>
          </w:rPr>
          <w:t>Contingent Assets and Liabilities</w:t>
        </w:r>
        <w:r w:rsidR="00C32CBD" w:rsidRPr="00A92359">
          <w:rPr>
            <w:noProof/>
            <w:webHidden/>
          </w:rPr>
          <w:tab/>
        </w:r>
        <w:r w:rsidR="00C32CBD" w:rsidRPr="00A92359">
          <w:rPr>
            <w:noProof/>
            <w:webHidden/>
          </w:rPr>
          <w:fldChar w:fldCharType="begin"/>
        </w:r>
        <w:r w:rsidR="00C32CBD" w:rsidRPr="00A92359">
          <w:rPr>
            <w:noProof/>
            <w:webHidden/>
          </w:rPr>
          <w:instrText xml:space="preserve"> PAGEREF _Toc456865073 \h </w:instrText>
        </w:r>
        <w:r w:rsidR="00C32CBD" w:rsidRPr="00A92359">
          <w:rPr>
            <w:noProof/>
            <w:webHidden/>
          </w:rPr>
        </w:r>
        <w:r w:rsidR="00C32CBD" w:rsidRPr="00A92359">
          <w:rPr>
            <w:noProof/>
            <w:webHidden/>
          </w:rPr>
          <w:fldChar w:fldCharType="separate"/>
        </w:r>
        <w:r w:rsidR="009834BE">
          <w:rPr>
            <w:noProof/>
            <w:webHidden/>
          </w:rPr>
          <w:t>175</w:t>
        </w:r>
        <w:r w:rsidR="00C32CBD" w:rsidRPr="00A92359">
          <w:rPr>
            <w:noProof/>
            <w:webHidden/>
          </w:rPr>
          <w:fldChar w:fldCharType="end"/>
        </w:r>
      </w:hyperlink>
    </w:p>
    <w:p w14:paraId="43B5AE0B" w14:textId="77777777" w:rsidR="00C32CBD" w:rsidRPr="00A92359" w:rsidRDefault="00E707FE" w:rsidP="00C32CBD">
      <w:pPr>
        <w:pStyle w:val="TOC2"/>
        <w:tabs>
          <w:tab w:val="left" w:pos="9214"/>
        </w:tabs>
        <w:rPr>
          <w:rFonts w:asciiTheme="minorHAnsi" w:eastAsiaTheme="minorEastAsia" w:hAnsiTheme="minorHAnsi"/>
          <w:noProof/>
          <w:lang w:eastAsia="en-AU"/>
        </w:rPr>
      </w:pPr>
      <w:hyperlink w:anchor="_Toc456865074" w:history="1">
        <w:r w:rsidR="00C32CBD" w:rsidRPr="00A92359">
          <w:rPr>
            <w:rStyle w:val="Hyperlink"/>
            <w:noProof/>
            <w:color w:val="auto"/>
          </w:rPr>
          <w:t>5.2.</w:t>
        </w:r>
        <w:r w:rsidR="00C32CBD" w:rsidRPr="00A92359">
          <w:rPr>
            <w:rFonts w:asciiTheme="minorHAnsi" w:eastAsiaTheme="minorEastAsia" w:hAnsiTheme="minorHAnsi"/>
            <w:noProof/>
            <w:lang w:eastAsia="en-AU"/>
          </w:rPr>
          <w:tab/>
        </w:r>
        <w:r w:rsidR="00C32CBD" w:rsidRPr="00A92359">
          <w:rPr>
            <w:rStyle w:val="Hyperlink"/>
            <w:noProof/>
            <w:color w:val="auto"/>
          </w:rPr>
          <w:t>Financial Instruments</w:t>
        </w:r>
        <w:r w:rsidR="00C32CBD" w:rsidRPr="00A92359">
          <w:rPr>
            <w:noProof/>
            <w:webHidden/>
          </w:rPr>
          <w:tab/>
        </w:r>
        <w:r w:rsidR="00C32CBD" w:rsidRPr="00A92359">
          <w:rPr>
            <w:noProof/>
            <w:webHidden/>
          </w:rPr>
          <w:fldChar w:fldCharType="begin"/>
        </w:r>
        <w:r w:rsidR="00C32CBD" w:rsidRPr="00A92359">
          <w:rPr>
            <w:noProof/>
            <w:webHidden/>
          </w:rPr>
          <w:instrText xml:space="preserve"> PAGEREF _Toc456865074 \h </w:instrText>
        </w:r>
        <w:r w:rsidR="00C32CBD" w:rsidRPr="00A92359">
          <w:rPr>
            <w:noProof/>
            <w:webHidden/>
          </w:rPr>
        </w:r>
        <w:r w:rsidR="00C32CBD" w:rsidRPr="00A92359">
          <w:rPr>
            <w:noProof/>
            <w:webHidden/>
          </w:rPr>
          <w:fldChar w:fldCharType="separate"/>
        </w:r>
        <w:r w:rsidR="009834BE">
          <w:rPr>
            <w:noProof/>
            <w:webHidden/>
          </w:rPr>
          <w:t>175</w:t>
        </w:r>
        <w:r w:rsidR="00C32CBD" w:rsidRPr="00A92359">
          <w:rPr>
            <w:noProof/>
            <w:webHidden/>
          </w:rPr>
          <w:fldChar w:fldCharType="end"/>
        </w:r>
      </w:hyperlink>
    </w:p>
    <w:p w14:paraId="2BE2C5F2" w14:textId="77777777" w:rsidR="00C32CBD" w:rsidRPr="00A92359" w:rsidRDefault="00E707FE" w:rsidP="00C32CBD">
      <w:pPr>
        <w:pStyle w:val="TOC2"/>
        <w:tabs>
          <w:tab w:val="left" w:pos="9214"/>
        </w:tabs>
        <w:rPr>
          <w:rFonts w:asciiTheme="minorHAnsi" w:eastAsiaTheme="minorEastAsia" w:hAnsiTheme="minorHAnsi"/>
          <w:noProof/>
          <w:lang w:eastAsia="en-AU"/>
        </w:rPr>
      </w:pPr>
      <w:hyperlink w:anchor="_Toc456865075" w:history="1">
        <w:r w:rsidR="00C32CBD" w:rsidRPr="00A92359">
          <w:rPr>
            <w:rStyle w:val="Hyperlink"/>
            <w:noProof/>
            <w:color w:val="auto"/>
          </w:rPr>
          <w:t>5.3.</w:t>
        </w:r>
        <w:r w:rsidR="00C32CBD" w:rsidRPr="00A92359">
          <w:rPr>
            <w:rFonts w:asciiTheme="minorHAnsi" w:eastAsiaTheme="minorEastAsia" w:hAnsiTheme="minorHAnsi"/>
            <w:noProof/>
            <w:lang w:eastAsia="en-AU"/>
          </w:rPr>
          <w:tab/>
        </w:r>
        <w:r w:rsidR="00C32CBD" w:rsidRPr="00A92359">
          <w:rPr>
            <w:rStyle w:val="Hyperlink"/>
            <w:noProof/>
            <w:color w:val="auto"/>
          </w:rPr>
          <w:t>Fair Value Measurement</w:t>
        </w:r>
        <w:r w:rsidR="00C32CBD" w:rsidRPr="00A92359">
          <w:rPr>
            <w:noProof/>
            <w:webHidden/>
          </w:rPr>
          <w:tab/>
        </w:r>
        <w:r w:rsidR="00C32CBD" w:rsidRPr="00A92359">
          <w:rPr>
            <w:noProof/>
            <w:webHidden/>
          </w:rPr>
          <w:fldChar w:fldCharType="begin"/>
        </w:r>
        <w:r w:rsidR="00C32CBD" w:rsidRPr="00A92359">
          <w:rPr>
            <w:noProof/>
            <w:webHidden/>
          </w:rPr>
          <w:instrText xml:space="preserve"> PAGEREF _Toc456865075 \h </w:instrText>
        </w:r>
        <w:r w:rsidR="00C32CBD" w:rsidRPr="00A92359">
          <w:rPr>
            <w:noProof/>
            <w:webHidden/>
          </w:rPr>
        </w:r>
        <w:r w:rsidR="00C32CBD" w:rsidRPr="00A92359">
          <w:rPr>
            <w:noProof/>
            <w:webHidden/>
          </w:rPr>
          <w:fldChar w:fldCharType="separate"/>
        </w:r>
        <w:r w:rsidR="009834BE">
          <w:rPr>
            <w:noProof/>
            <w:webHidden/>
          </w:rPr>
          <w:t>180</w:t>
        </w:r>
        <w:r w:rsidR="00C32CBD" w:rsidRPr="00A92359">
          <w:rPr>
            <w:noProof/>
            <w:webHidden/>
          </w:rPr>
          <w:fldChar w:fldCharType="end"/>
        </w:r>
      </w:hyperlink>
    </w:p>
    <w:p w14:paraId="35D0A89C" w14:textId="77777777" w:rsidR="00C32CBD" w:rsidRPr="005E5430" w:rsidRDefault="00C32CBD" w:rsidP="00C32CBD">
      <w:pPr>
        <w:tabs>
          <w:tab w:val="left" w:pos="9214"/>
        </w:tabs>
        <w:spacing w:line="240" w:lineRule="auto"/>
        <w:sectPr w:rsidR="00C32CBD" w:rsidRPr="005E5430" w:rsidSect="00320D09">
          <w:headerReference w:type="even" r:id="rId23"/>
          <w:headerReference w:type="default" r:id="rId24"/>
          <w:headerReference w:type="first" r:id="rId25"/>
          <w:pgSz w:w="11906" w:h="16838" w:code="9"/>
          <w:pgMar w:top="1134" w:right="1134" w:bottom="1134" w:left="1134" w:header="958" w:footer="737" w:gutter="0"/>
          <w:cols w:space="708"/>
          <w:docGrid w:linePitch="360"/>
        </w:sectPr>
      </w:pPr>
      <w:r>
        <w:rPr>
          <w:rFonts w:ascii="Arial Bold" w:hAnsi="Arial Bold"/>
          <w:noProof/>
          <w:color w:val="FEFFFF" w:themeColor="text1"/>
          <w:sz w:val="18"/>
        </w:rPr>
        <w:fldChar w:fldCharType="end"/>
      </w:r>
    </w:p>
    <w:p w14:paraId="20E13E64" w14:textId="77777777" w:rsidR="00C32CBD" w:rsidRPr="005E5430" w:rsidRDefault="00C32CBD" w:rsidP="00C32CBD">
      <w:pPr>
        <w:spacing w:line="240" w:lineRule="auto"/>
      </w:pPr>
      <w:r w:rsidRPr="005E5430">
        <w:br w:type="page"/>
      </w:r>
    </w:p>
    <w:p w14:paraId="7C23545F" w14:textId="77777777" w:rsidR="00C32CBD" w:rsidRDefault="00C32CBD" w:rsidP="00C32CBD">
      <w:pPr>
        <w:pStyle w:val="NotesHeading-Level1"/>
        <w:numPr>
          <w:ilvl w:val="0"/>
          <w:numId w:val="0"/>
        </w:numPr>
        <w:ind w:left="1134"/>
        <w:rPr>
          <w:rFonts w:cs="Arial"/>
          <w:sz w:val="18"/>
          <w:szCs w:val="18"/>
        </w:rPr>
        <w:sectPr w:rsidR="00C32CBD" w:rsidSect="00320D09">
          <w:type w:val="continuous"/>
          <w:pgSz w:w="11906" w:h="16838" w:code="9"/>
          <w:pgMar w:top="1134" w:right="1700" w:bottom="1134" w:left="1134" w:header="958" w:footer="737" w:gutter="0"/>
          <w:cols w:space="708"/>
          <w:docGrid w:linePitch="360"/>
        </w:sectPr>
      </w:pPr>
      <w:bookmarkStart w:id="71" w:name="_Toc393360771"/>
      <w:bookmarkStart w:id="72" w:name="_Toc393784905"/>
    </w:p>
    <w:p w14:paraId="7268BCBD" w14:textId="77777777" w:rsidR="00C32CBD" w:rsidRPr="00737116" w:rsidRDefault="00C32CBD" w:rsidP="00C32CBD">
      <w:pPr>
        <w:pStyle w:val="SectionHeading"/>
        <w:numPr>
          <w:ilvl w:val="0"/>
          <w:numId w:val="0"/>
        </w:numPr>
      </w:pPr>
      <w:bookmarkStart w:id="73" w:name="_Toc443469521"/>
      <w:bookmarkStart w:id="74" w:name="_Toc444065769"/>
      <w:bookmarkStart w:id="75" w:name="_Toc444077331"/>
      <w:bookmarkStart w:id="76" w:name="_Toc447030534"/>
      <w:bookmarkStart w:id="77" w:name="_Toc447030686"/>
      <w:bookmarkStart w:id="78" w:name="_Toc447030779"/>
      <w:bookmarkStart w:id="79" w:name="_Toc456865052"/>
      <w:bookmarkStart w:id="80" w:name="_Toc496611896"/>
      <w:r w:rsidRPr="00737116">
        <w:t>Overview</w:t>
      </w:r>
      <w:bookmarkEnd w:id="73"/>
      <w:bookmarkEnd w:id="74"/>
      <w:bookmarkEnd w:id="75"/>
      <w:bookmarkEnd w:id="76"/>
      <w:bookmarkEnd w:id="77"/>
      <w:bookmarkEnd w:id="78"/>
      <w:bookmarkEnd w:id="79"/>
      <w:bookmarkEnd w:id="80"/>
    </w:p>
    <w:p w14:paraId="371DA528" w14:textId="77777777" w:rsidR="00C32CBD" w:rsidRPr="00737116" w:rsidRDefault="00C32CBD" w:rsidP="00C32CBD">
      <w:pPr>
        <w:spacing w:line="120" w:lineRule="atLeast"/>
        <w:rPr>
          <w:b/>
          <w:bCs/>
          <w:sz w:val="4"/>
          <w:szCs w:val="4"/>
        </w:rPr>
      </w:pPr>
    </w:p>
    <w:p w14:paraId="0755CB2C" w14:textId="77777777" w:rsidR="00C32CBD" w:rsidRPr="00BB6CF4" w:rsidRDefault="00C32CBD" w:rsidP="00C32CBD">
      <w:pPr>
        <w:spacing w:line="240" w:lineRule="auto"/>
        <w:rPr>
          <w:rFonts w:cs="Arial"/>
          <w:b/>
          <w:bCs/>
          <w:color w:val="009560"/>
          <w:sz w:val="18"/>
          <w:szCs w:val="18"/>
          <w:lang w:eastAsia="en-AU"/>
        </w:rPr>
      </w:pPr>
      <w:r>
        <w:rPr>
          <w:rFonts w:cs="Arial"/>
          <w:b/>
          <w:bCs/>
          <w:color w:val="009560"/>
          <w:sz w:val="18"/>
          <w:szCs w:val="18"/>
          <w:lang w:eastAsia="en-AU"/>
        </w:rPr>
        <w:t>General information</w:t>
      </w:r>
    </w:p>
    <w:p w14:paraId="01601015" w14:textId="77777777" w:rsidR="00C32CBD" w:rsidRPr="00BB6CF4" w:rsidRDefault="00C32CBD" w:rsidP="00C32CBD">
      <w:pPr>
        <w:spacing w:line="240" w:lineRule="auto"/>
        <w:rPr>
          <w:rFonts w:cs="Arial"/>
          <w:sz w:val="18"/>
          <w:szCs w:val="18"/>
          <w:lang w:eastAsia="en-AU"/>
        </w:rPr>
      </w:pPr>
    </w:p>
    <w:p w14:paraId="5D55B8D7" w14:textId="77777777" w:rsidR="00C32CBD" w:rsidRDefault="00C32CBD" w:rsidP="00C32CBD">
      <w:pPr>
        <w:tabs>
          <w:tab w:val="left" w:pos="9504"/>
        </w:tabs>
        <w:spacing w:line="240" w:lineRule="auto"/>
        <w:jc w:val="both"/>
        <w:rPr>
          <w:rFonts w:cs="Arial"/>
          <w:sz w:val="18"/>
          <w:szCs w:val="18"/>
          <w:lang w:eastAsia="en-AU"/>
        </w:rPr>
      </w:pPr>
      <w:r>
        <w:rPr>
          <w:rFonts w:cs="Arial"/>
          <w:sz w:val="18"/>
          <w:szCs w:val="18"/>
          <w:lang w:eastAsia="en-AU"/>
        </w:rPr>
        <w:t xml:space="preserve">The </w:t>
      </w:r>
      <w:r w:rsidRPr="002F2D92">
        <w:rPr>
          <w:rFonts w:cs="Arial"/>
          <w:sz w:val="18"/>
          <w:szCs w:val="18"/>
          <w:lang w:eastAsia="en-AU"/>
        </w:rPr>
        <w:t>National Disability Insurance Scheme Launch Transition Agency</w:t>
      </w:r>
      <w:r w:rsidRPr="005E5430">
        <w:rPr>
          <w:rFonts w:cs="Arial"/>
          <w:sz w:val="18"/>
          <w:szCs w:val="18"/>
          <w:lang w:eastAsia="en-AU"/>
        </w:rPr>
        <w:t xml:space="preserve"> (‘the Agency’) </w:t>
      </w:r>
      <w:r>
        <w:rPr>
          <w:rFonts w:cs="Arial"/>
          <w:sz w:val="18"/>
          <w:szCs w:val="18"/>
          <w:lang w:eastAsia="en-AU"/>
        </w:rPr>
        <w:t xml:space="preserve">was established on 29 March 2013 by the </w:t>
      </w:r>
      <w:r w:rsidRPr="00B57DF1">
        <w:rPr>
          <w:rFonts w:cs="Arial"/>
          <w:i/>
          <w:sz w:val="18"/>
          <w:szCs w:val="18"/>
          <w:lang w:eastAsia="en-AU"/>
        </w:rPr>
        <w:t>National Disability Insurance Scheme Act 2013</w:t>
      </w:r>
      <w:r>
        <w:rPr>
          <w:rFonts w:cs="Arial"/>
          <w:sz w:val="18"/>
          <w:szCs w:val="18"/>
          <w:lang w:eastAsia="en-AU"/>
        </w:rPr>
        <w:t xml:space="preserve"> (‘the Act’). The Agency became financially independent on 1 July 2013 and is an Australian Government controlled not-for-profit entity</w:t>
      </w:r>
      <w:r w:rsidRPr="00BB6CF4">
        <w:rPr>
          <w:rFonts w:cs="Arial"/>
          <w:sz w:val="18"/>
          <w:szCs w:val="18"/>
          <w:lang w:eastAsia="en-AU"/>
        </w:rPr>
        <w:t>.</w:t>
      </w:r>
    </w:p>
    <w:p w14:paraId="3CA0E753" w14:textId="77777777" w:rsidR="00C32CBD" w:rsidRDefault="00C32CBD" w:rsidP="00C32CBD">
      <w:pPr>
        <w:tabs>
          <w:tab w:val="left" w:pos="9504"/>
        </w:tabs>
        <w:spacing w:line="240" w:lineRule="auto"/>
        <w:jc w:val="both"/>
        <w:rPr>
          <w:rFonts w:cs="Arial"/>
          <w:sz w:val="18"/>
          <w:szCs w:val="18"/>
          <w:lang w:eastAsia="en-AU"/>
        </w:rPr>
      </w:pPr>
    </w:p>
    <w:p w14:paraId="03D72A95" w14:textId="77777777" w:rsidR="00C32CBD" w:rsidRDefault="00C32CBD" w:rsidP="00C32CBD">
      <w:pPr>
        <w:tabs>
          <w:tab w:val="left" w:pos="7230"/>
          <w:tab w:val="left" w:pos="9504"/>
        </w:tabs>
        <w:spacing w:line="240" w:lineRule="auto"/>
        <w:jc w:val="both"/>
        <w:rPr>
          <w:rFonts w:cs="Arial"/>
          <w:sz w:val="18"/>
          <w:szCs w:val="18"/>
          <w:lang w:eastAsia="en-AU"/>
        </w:rPr>
      </w:pPr>
      <w:r>
        <w:rPr>
          <w:rFonts w:cs="Arial"/>
          <w:sz w:val="18"/>
          <w:szCs w:val="18"/>
          <w:lang w:eastAsia="en-AU"/>
        </w:rPr>
        <w:t>From 1 July 2013, arrangements were put in place to ensure that the National Disability Insurance Scheme (‘the Scheme’) could be introduced gradually, ensuring a smooth transition for people with disability and support providers. The Scheme now has operations in all states and territories of Australia with full access to the Scheme commencing progressively from 1 July 2016.</w:t>
      </w:r>
    </w:p>
    <w:p w14:paraId="708937EB" w14:textId="77777777" w:rsidR="00C32CBD" w:rsidRPr="00BB6CF4" w:rsidRDefault="00C32CBD" w:rsidP="00C32CBD">
      <w:pPr>
        <w:tabs>
          <w:tab w:val="left" w:pos="7230"/>
          <w:tab w:val="left" w:pos="9504"/>
        </w:tabs>
        <w:spacing w:line="240" w:lineRule="auto"/>
        <w:rPr>
          <w:rFonts w:cs="Arial"/>
          <w:sz w:val="18"/>
          <w:szCs w:val="18"/>
          <w:lang w:eastAsia="en-AU"/>
        </w:rPr>
      </w:pPr>
      <w:r>
        <w:rPr>
          <w:rFonts w:cs="Arial"/>
          <w:sz w:val="18"/>
          <w:szCs w:val="18"/>
          <w:lang w:eastAsia="en-AU"/>
        </w:rPr>
        <w:tab/>
      </w:r>
    </w:p>
    <w:p w14:paraId="5B332F80" w14:textId="77777777" w:rsidR="00C32CBD" w:rsidRPr="00BB6CF4" w:rsidRDefault="00C32CBD" w:rsidP="00C32CBD">
      <w:pPr>
        <w:spacing w:line="240" w:lineRule="auto"/>
        <w:rPr>
          <w:rFonts w:cs="Arial"/>
          <w:b/>
          <w:bCs/>
          <w:color w:val="009560"/>
          <w:sz w:val="18"/>
          <w:szCs w:val="18"/>
          <w:lang w:eastAsia="en-AU"/>
        </w:rPr>
      </w:pPr>
      <w:r w:rsidRPr="00BB6CF4">
        <w:rPr>
          <w:rFonts w:cs="Arial"/>
          <w:b/>
          <w:bCs/>
          <w:color w:val="009560"/>
          <w:sz w:val="18"/>
          <w:szCs w:val="18"/>
          <w:lang w:eastAsia="en-AU"/>
        </w:rPr>
        <w:t xml:space="preserve">Objectives of the </w:t>
      </w:r>
      <w:r>
        <w:rPr>
          <w:rFonts w:cs="Arial"/>
          <w:b/>
          <w:bCs/>
          <w:color w:val="009560"/>
          <w:sz w:val="18"/>
          <w:szCs w:val="18"/>
          <w:lang w:eastAsia="en-AU"/>
        </w:rPr>
        <w:t>Agency</w:t>
      </w:r>
    </w:p>
    <w:p w14:paraId="55B22887" w14:textId="77777777" w:rsidR="00C32CBD" w:rsidRPr="00BB6CF4" w:rsidRDefault="00C32CBD" w:rsidP="00C32CBD">
      <w:pPr>
        <w:spacing w:line="240" w:lineRule="auto"/>
        <w:rPr>
          <w:rFonts w:cs="Arial"/>
          <w:sz w:val="18"/>
          <w:szCs w:val="18"/>
          <w:lang w:eastAsia="en-AU"/>
        </w:rPr>
      </w:pPr>
    </w:p>
    <w:p w14:paraId="2EC99384" w14:textId="77777777" w:rsidR="00C32CBD" w:rsidRPr="004B5EF2" w:rsidRDefault="00C32CBD" w:rsidP="00C32CBD">
      <w:pPr>
        <w:spacing w:line="240" w:lineRule="auto"/>
        <w:rPr>
          <w:rFonts w:cs="Arial"/>
          <w:sz w:val="18"/>
          <w:szCs w:val="18"/>
          <w:lang w:eastAsia="en-AU"/>
        </w:rPr>
      </w:pPr>
      <w:r w:rsidRPr="004B5EF2">
        <w:rPr>
          <w:rFonts w:cs="Arial"/>
          <w:sz w:val="18"/>
          <w:szCs w:val="18"/>
          <w:lang w:eastAsia="en-AU"/>
        </w:rPr>
        <w:t xml:space="preserve">The objective of the Agency is to operate under the Act, and in conjunction with other legislation, to give effect to Australia’s obligations under the Convention on the Rights of Persons with Disabilities. In doing so, the Agency supports the independence and social and economic participation of people with a disability.  </w:t>
      </w:r>
    </w:p>
    <w:p w14:paraId="062D0BF1" w14:textId="77777777" w:rsidR="00C32CBD" w:rsidRPr="004B5EF2" w:rsidRDefault="00C32CBD" w:rsidP="00C32CBD">
      <w:pPr>
        <w:spacing w:line="240" w:lineRule="auto"/>
        <w:rPr>
          <w:rFonts w:cs="Arial"/>
          <w:sz w:val="18"/>
          <w:szCs w:val="18"/>
          <w:lang w:eastAsia="en-AU"/>
        </w:rPr>
      </w:pPr>
    </w:p>
    <w:p w14:paraId="092FDFFD" w14:textId="77777777" w:rsidR="00C32CBD" w:rsidRPr="004B5EF2" w:rsidRDefault="00C32CBD" w:rsidP="00C32CBD">
      <w:pPr>
        <w:spacing w:line="240" w:lineRule="auto"/>
        <w:rPr>
          <w:rFonts w:cs="Arial"/>
          <w:sz w:val="18"/>
          <w:szCs w:val="18"/>
          <w:lang w:eastAsia="en-AU"/>
        </w:rPr>
      </w:pPr>
      <w:r w:rsidRPr="004B5EF2">
        <w:rPr>
          <w:rFonts w:cs="Arial"/>
          <w:sz w:val="18"/>
          <w:szCs w:val="18"/>
          <w:lang w:eastAsia="en-AU"/>
        </w:rPr>
        <w:t>The Agency is structured to meet a single Government outcome (Outcome 1):</w:t>
      </w:r>
    </w:p>
    <w:p w14:paraId="0CB0B2AC" w14:textId="77777777" w:rsidR="00C32CBD" w:rsidRPr="004B5EF2" w:rsidRDefault="00C32CBD" w:rsidP="00C32CBD">
      <w:pPr>
        <w:spacing w:line="240" w:lineRule="auto"/>
        <w:rPr>
          <w:rFonts w:cs="Arial"/>
          <w:sz w:val="18"/>
          <w:szCs w:val="18"/>
          <w:lang w:eastAsia="en-AU"/>
        </w:rPr>
      </w:pPr>
    </w:p>
    <w:p w14:paraId="71C32814" w14:textId="77777777" w:rsidR="00C32CBD" w:rsidRPr="004B5EF2" w:rsidRDefault="00C32CBD" w:rsidP="00C32CBD">
      <w:pPr>
        <w:spacing w:line="240" w:lineRule="auto"/>
        <w:rPr>
          <w:rFonts w:cs="Arial"/>
          <w:sz w:val="18"/>
          <w:szCs w:val="18"/>
          <w:lang w:eastAsia="en-AU"/>
        </w:rPr>
      </w:pPr>
      <w:r w:rsidRPr="004B5EF2">
        <w:rPr>
          <w:rFonts w:cs="Arial"/>
          <w:sz w:val="18"/>
          <w:szCs w:val="18"/>
          <w:lang w:eastAsia="en-AU"/>
        </w:rPr>
        <w:t>Individual control and choice in the delivery of reasonable and necessary care and supports to improve the independence, social and economic participation of eligible people with disability, their families and carers, and associated referral services and activities.</w:t>
      </w:r>
    </w:p>
    <w:p w14:paraId="66E57EED" w14:textId="77777777" w:rsidR="00C32CBD" w:rsidRPr="004B5EF2" w:rsidRDefault="00C32CBD" w:rsidP="00C32CBD">
      <w:pPr>
        <w:spacing w:line="240" w:lineRule="auto"/>
        <w:rPr>
          <w:rFonts w:cs="Arial"/>
          <w:sz w:val="18"/>
          <w:szCs w:val="18"/>
          <w:lang w:eastAsia="en-AU"/>
        </w:rPr>
      </w:pPr>
    </w:p>
    <w:p w14:paraId="0D432716" w14:textId="77777777" w:rsidR="00C32CBD" w:rsidRPr="004B5EF2" w:rsidRDefault="00C32CBD" w:rsidP="00C32CBD">
      <w:pPr>
        <w:spacing w:line="240" w:lineRule="auto"/>
        <w:rPr>
          <w:rFonts w:cs="Arial"/>
          <w:sz w:val="18"/>
          <w:szCs w:val="18"/>
          <w:lang w:eastAsia="en-AU"/>
        </w:rPr>
      </w:pPr>
      <w:r w:rsidRPr="004B5EF2">
        <w:rPr>
          <w:rFonts w:cs="Arial"/>
          <w:sz w:val="18"/>
          <w:szCs w:val="18"/>
          <w:lang w:eastAsia="en-AU"/>
        </w:rPr>
        <w:t>The net cost of delivering thi</w:t>
      </w:r>
      <w:r>
        <w:rPr>
          <w:rFonts w:cs="Arial"/>
          <w:sz w:val="18"/>
          <w:szCs w:val="18"/>
          <w:lang w:eastAsia="en-AU"/>
        </w:rPr>
        <w:t>s outcome at 30 June 2017 was $981.4</w:t>
      </w:r>
      <w:r w:rsidRPr="004B5EF2">
        <w:rPr>
          <w:rFonts w:cs="Arial"/>
          <w:sz w:val="18"/>
          <w:szCs w:val="18"/>
          <w:lang w:eastAsia="en-AU"/>
        </w:rPr>
        <w:t>M (2016: $565.29M).</w:t>
      </w:r>
    </w:p>
    <w:p w14:paraId="643F3A6D" w14:textId="77777777" w:rsidR="00C32CBD" w:rsidRPr="004B5EF2" w:rsidRDefault="00C32CBD" w:rsidP="00C32CBD">
      <w:pPr>
        <w:spacing w:line="240" w:lineRule="auto"/>
        <w:rPr>
          <w:rFonts w:cs="Arial"/>
          <w:sz w:val="18"/>
          <w:szCs w:val="18"/>
          <w:lang w:eastAsia="en-AU"/>
        </w:rPr>
      </w:pPr>
    </w:p>
    <w:p w14:paraId="68B153B8" w14:textId="77777777" w:rsidR="00C32CBD" w:rsidRPr="004B5EF2" w:rsidRDefault="00C32CBD" w:rsidP="00C32CBD">
      <w:pPr>
        <w:spacing w:line="240" w:lineRule="auto"/>
        <w:rPr>
          <w:rFonts w:cs="Arial"/>
          <w:sz w:val="18"/>
          <w:szCs w:val="18"/>
          <w:lang w:eastAsia="en-AU"/>
        </w:rPr>
      </w:pPr>
      <w:r w:rsidRPr="004B5EF2">
        <w:rPr>
          <w:rFonts w:cs="Arial"/>
          <w:sz w:val="18"/>
          <w:szCs w:val="18"/>
          <w:lang w:eastAsia="en-AU"/>
        </w:rPr>
        <w:t>The Agency supports participants in the Scheme to exercise individual choice and control in respect to the delivery of reasonable and necessary supports. This allows people with disabilities, their families and carers to achieve improved outcomes in their lives. It also works to support the wider disability sector to promote better outcomes for people with a disability, in areas such as research and building community awareness.</w:t>
      </w:r>
    </w:p>
    <w:p w14:paraId="75E597CD" w14:textId="77777777" w:rsidR="00C32CBD" w:rsidRPr="004B5EF2" w:rsidRDefault="00C32CBD" w:rsidP="00C32CBD">
      <w:pPr>
        <w:spacing w:line="240" w:lineRule="auto"/>
        <w:rPr>
          <w:rFonts w:cs="Arial"/>
          <w:sz w:val="18"/>
          <w:szCs w:val="18"/>
          <w:lang w:eastAsia="en-AU"/>
        </w:rPr>
      </w:pPr>
    </w:p>
    <w:p w14:paraId="03FD8B23" w14:textId="77777777" w:rsidR="00C32CBD" w:rsidRPr="004B5EF2" w:rsidRDefault="00C32CBD" w:rsidP="00C32CBD">
      <w:pPr>
        <w:spacing w:line="240" w:lineRule="auto"/>
        <w:rPr>
          <w:rFonts w:cs="Arial"/>
          <w:sz w:val="18"/>
          <w:szCs w:val="18"/>
          <w:lang w:eastAsia="en-AU"/>
        </w:rPr>
      </w:pPr>
      <w:r w:rsidRPr="004B5EF2">
        <w:rPr>
          <w:rFonts w:cs="Arial"/>
          <w:sz w:val="18"/>
          <w:szCs w:val="18"/>
          <w:lang w:eastAsia="en-AU"/>
        </w:rPr>
        <w:t>The Agency makes estimates of current and future expenditure as well as identifies and manages financial risks and issues relevant to the financial sustainability of the Scheme. This is achieved by adopting an insurance-based approach, informed by actuarial analysis, to the provision and funding of support for people with a disability. It also regularly reports on the sustainability of the Scheme.</w:t>
      </w:r>
    </w:p>
    <w:p w14:paraId="30CF7457" w14:textId="77777777" w:rsidR="00C32CBD" w:rsidRPr="004B5EF2" w:rsidRDefault="00C32CBD" w:rsidP="00C32CBD">
      <w:pPr>
        <w:spacing w:line="240" w:lineRule="auto"/>
        <w:rPr>
          <w:rFonts w:cs="Arial"/>
          <w:sz w:val="18"/>
          <w:szCs w:val="18"/>
          <w:lang w:eastAsia="en-AU"/>
        </w:rPr>
      </w:pPr>
    </w:p>
    <w:p w14:paraId="21AEF10B" w14:textId="77777777" w:rsidR="00C32CBD" w:rsidRDefault="00C32CBD" w:rsidP="00C32CBD">
      <w:pPr>
        <w:spacing w:line="240" w:lineRule="auto"/>
        <w:rPr>
          <w:rFonts w:cs="Arial"/>
          <w:sz w:val="18"/>
          <w:szCs w:val="18"/>
          <w:lang w:eastAsia="en-AU"/>
        </w:rPr>
      </w:pPr>
      <w:r w:rsidRPr="004B5EF2">
        <w:rPr>
          <w:rFonts w:cs="Arial"/>
          <w:sz w:val="18"/>
          <w:szCs w:val="18"/>
          <w:lang w:eastAsia="en-AU"/>
        </w:rPr>
        <w:t>The continued existence of the Agency in its present form and with its present programs is dependent on Commonwealth Government policy, continuing funding by Parliament for the Agency’s administration and programs and agreement with state and territory governments.</w:t>
      </w:r>
    </w:p>
    <w:p w14:paraId="4F61F8C1" w14:textId="77777777" w:rsidR="00C32CBD" w:rsidRPr="00BB6CF4" w:rsidRDefault="00C32CBD" w:rsidP="00C32CBD">
      <w:pPr>
        <w:spacing w:line="240" w:lineRule="auto"/>
        <w:rPr>
          <w:rFonts w:cs="Arial"/>
          <w:sz w:val="18"/>
          <w:szCs w:val="18"/>
          <w:lang w:eastAsia="en-AU"/>
        </w:rPr>
      </w:pPr>
    </w:p>
    <w:p w14:paraId="7C90E212" w14:textId="77777777" w:rsidR="00C32CBD" w:rsidRPr="00BB6CF4" w:rsidRDefault="00C32CBD" w:rsidP="00C32CBD">
      <w:pPr>
        <w:spacing w:line="240" w:lineRule="auto"/>
        <w:rPr>
          <w:rFonts w:cs="Arial"/>
          <w:b/>
          <w:bCs/>
          <w:color w:val="009560"/>
          <w:sz w:val="18"/>
          <w:szCs w:val="18"/>
          <w:lang w:eastAsia="en-AU"/>
        </w:rPr>
      </w:pPr>
      <w:r w:rsidRPr="00BB6CF4">
        <w:rPr>
          <w:rFonts w:cs="Arial"/>
          <w:b/>
          <w:bCs/>
          <w:color w:val="009560"/>
          <w:sz w:val="18"/>
          <w:szCs w:val="18"/>
          <w:lang w:eastAsia="en-AU"/>
        </w:rPr>
        <w:t>The Basis of Preparation</w:t>
      </w:r>
    </w:p>
    <w:p w14:paraId="5D3DC433" w14:textId="77777777" w:rsidR="00C32CBD" w:rsidRPr="00BB6CF4" w:rsidRDefault="00C32CBD" w:rsidP="00C32CBD">
      <w:pPr>
        <w:spacing w:line="240" w:lineRule="auto"/>
        <w:rPr>
          <w:rFonts w:cs="Arial"/>
          <w:sz w:val="18"/>
          <w:szCs w:val="18"/>
          <w:lang w:eastAsia="en-AU"/>
        </w:rPr>
      </w:pPr>
    </w:p>
    <w:p w14:paraId="259CB584" w14:textId="77777777" w:rsidR="00C32CBD" w:rsidRPr="00BB6CF4" w:rsidRDefault="00C32CBD" w:rsidP="00C32CBD">
      <w:pPr>
        <w:spacing w:line="240" w:lineRule="auto"/>
        <w:jc w:val="both"/>
        <w:rPr>
          <w:rFonts w:cs="Arial"/>
          <w:bCs/>
          <w:sz w:val="18"/>
          <w:szCs w:val="18"/>
          <w:lang w:eastAsia="en-AU"/>
        </w:rPr>
      </w:pPr>
      <w:r w:rsidRPr="00BB6CF4">
        <w:rPr>
          <w:rFonts w:cs="Arial"/>
          <w:bCs/>
          <w:sz w:val="18"/>
          <w:szCs w:val="18"/>
          <w:lang w:eastAsia="en-AU"/>
        </w:rPr>
        <w:t xml:space="preserve">The financial statements are general purpose financial statements as required by section 42 of the </w:t>
      </w:r>
      <w:r w:rsidRPr="00BB6CF4">
        <w:rPr>
          <w:rFonts w:cs="Arial"/>
          <w:bCs/>
          <w:i/>
          <w:sz w:val="18"/>
          <w:szCs w:val="18"/>
          <w:lang w:eastAsia="en-AU"/>
        </w:rPr>
        <w:t>Public Governance, Performance and Accountability Act 2013</w:t>
      </w:r>
      <w:r w:rsidRPr="00BB6CF4">
        <w:rPr>
          <w:rFonts w:cs="Arial"/>
          <w:bCs/>
          <w:sz w:val="18"/>
          <w:szCs w:val="18"/>
          <w:lang w:eastAsia="en-AU"/>
        </w:rPr>
        <w:t>.</w:t>
      </w:r>
    </w:p>
    <w:p w14:paraId="07EC4C64" w14:textId="77777777" w:rsidR="00C32CBD" w:rsidRPr="00BB6CF4" w:rsidRDefault="00C32CBD" w:rsidP="00C32CBD">
      <w:pPr>
        <w:spacing w:line="240" w:lineRule="auto"/>
        <w:jc w:val="both"/>
        <w:rPr>
          <w:rFonts w:cs="Arial"/>
          <w:sz w:val="18"/>
          <w:szCs w:val="18"/>
          <w:lang w:eastAsia="en-AU"/>
        </w:rPr>
      </w:pPr>
    </w:p>
    <w:p w14:paraId="0F3B5E17" w14:textId="77777777" w:rsidR="00C32CBD" w:rsidRPr="00BB6CF4" w:rsidRDefault="00C32CBD" w:rsidP="00C32CBD">
      <w:pPr>
        <w:spacing w:line="240" w:lineRule="auto"/>
        <w:jc w:val="both"/>
        <w:rPr>
          <w:rFonts w:cs="Arial"/>
          <w:sz w:val="18"/>
          <w:szCs w:val="18"/>
          <w:lang w:eastAsia="en-AU"/>
        </w:rPr>
      </w:pPr>
      <w:r w:rsidRPr="00BB6CF4">
        <w:rPr>
          <w:rFonts w:cs="Arial"/>
          <w:sz w:val="18"/>
          <w:szCs w:val="18"/>
          <w:lang w:eastAsia="en-AU"/>
        </w:rPr>
        <w:t>The financial statements have been prepared in accordance with:</w:t>
      </w:r>
    </w:p>
    <w:p w14:paraId="73954FF3" w14:textId="77777777" w:rsidR="00C32CBD" w:rsidRPr="00BB6CF4" w:rsidRDefault="00C32CBD" w:rsidP="00C32CBD">
      <w:pPr>
        <w:numPr>
          <w:ilvl w:val="0"/>
          <w:numId w:val="26"/>
        </w:numPr>
        <w:spacing w:before="0" w:after="0" w:line="240" w:lineRule="auto"/>
        <w:contextualSpacing/>
        <w:jc w:val="both"/>
        <w:rPr>
          <w:rFonts w:cs="Arial"/>
          <w:sz w:val="18"/>
          <w:szCs w:val="18"/>
          <w:lang w:eastAsia="en-AU"/>
        </w:rPr>
      </w:pPr>
      <w:r w:rsidRPr="00FD020F">
        <w:rPr>
          <w:rFonts w:cs="Arial"/>
          <w:i/>
          <w:sz w:val="18"/>
          <w:szCs w:val="18"/>
          <w:lang w:eastAsia="en-AU"/>
        </w:rPr>
        <w:t>Public Governance, Performance and Accountability (Financial Reporting) Rule 2015</w:t>
      </w:r>
      <w:r w:rsidRPr="00BB6CF4">
        <w:rPr>
          <w:rFonts w:cs="Arial"/>
          <w:sz w:val="18"/>
          <w:szCs w:val="18"/>
          <w:lang w:eastAsia="en-AU"/>
        </w:rPr>
        <w:t xml:space="preserve"> (FRR) for reporting periods ending on or </w:t>
      </w:r>
      <w:r w:rsidRPr="00FD020F">
        <w:rPr>
          <w:rFonts w:cs="Arial"/>
          <w:sz w:val="18"/>
          <w:szCs w:val="18"/>
          <w:lang w:eastAsia="en-AU"/>
        </w:rPr>
        <w:t>after 1 July 2015;</w:t>
      </w:r>
      <w:r w:rsidRPr="00BB6CF4">
        <w:rPr>
          <w:rFonts w:cs="Arial"/>
          <w:sz w:val="18"/>
          <w:szCs w:val="18"/>
          <w:lang w:eastAsia="en-AU"/>
        </w:rPr>
        <w:t xml:space="preserve"> and  </w:t>
      </w:r>
    </w:p>
    <w:p w14:paraId="422914F0" w14:textId="77777777" w:rsidR="00C32CBD" w:rsidRPr="00BB6CF4" w:rsidRDefault="00C32CBD" w:rsidP="00C32CBD">
      <w:pPr>
        <w:numPr>
          <w:ilvl w:val="0"/>
          <w:numId w:val="26"/>
        </w:numPr>
        <w:spacing w:before="0" w:after="0" w:line="240" w:lineRule="auto"/>
        <w:contextualSpacing/>
        <w:jc w:val="both"/>
        <w:rPr>
          <w:rFonts w:cs="Arial"/>
          <w:sz w:val="18"/>
          <w:szCs w:val="18"/>
          <w:lang w:eastAsia="en-AU"/>
        </w:rPr>
      </w:pPr>
      <w:r w:rsidRPr="00BB6CF4">
        <w:rPr>
          <w:rFonts w:cs="Arial"/>
          <w:sz w:val="18"/>
          <w:szCs w:val="18"/>
          <w:lang w:eastAsia="en-AU"/>
        </w:rPr>
        <w:t>Australian Accounti</w:t>
      </w:r>
      <w:r>
        <w:rPr>
          <w:rFonts w:cs="Arial"/>
          <w:sz w:val="18"/>
          <w:szCs w:val="18"/>
          <w:lang w:eastAsia="en-AU"/>
        </w:rPr>
        <w:t xml:space="preserve">ng Standards and Interpretations reduced disclosure requirements </w:t>
      </w:r>
      <w:r w:rsidRPr="00BB6CF4">
        <w:rPr>
          <w:rFonts w:cs="Arial"/>
          <w:sz w:val="18"/>
          <w:szCs w:val="18"/>
          <w:lang w:eastAsia="en-AU"/>
        </w:rPr>
        <w:t>issued by the Australian Accounting Standards Board (‘AASB’) that apply for the reporting period.</w:t>
      </w:r>
      <w:r w:rsidRPr="00BB6CF4">
        <w:rPr>
          <w:rFonts w:cs="Arial"/>
          <w:sz w:val="18"/>
          <w:szCs w:val="18"/>
          <w:lang w:eastAsia="en-AU"/>
        </w:rPr>
        <w:tab/>
      </w:r>
    </w:p>
    <w:p w14:paraId="3D15182D" w14:textId="77777777" w:rsidR="00C32CBD" w:rsidRPr="00BB6CF4" w:rsidRDefault="00C32CBD" w:rsidP="00C32CBD">
      <w:pPr>
        <w:spacing w:line="240" w:lineRule="auto"/>
        <w:jc w:val="both"/>
        <w:rPr>
          <w:rFonts w:cs="Arial"/>
          <w:sz w:val="18"/>
          <w:szCs w:val="18"/>
          <w:lang w:eastAsia="en-AU"/>
        </w:rPr>
      </w:pPr>
    </w:p>
    <w:p w14:paraId="6D4D39C8" w14:textId="77777777" w:rsidR="00C32CBD" w:rsidRPr="00BB6CF4" w:rsidRDefault="00C32CBD" w:rsidP="00C32CBD">
      <w:pPr>
        <w:spacing w:line="240" w:lineRule="auto"/>
        <w:jc w:val="both"/>
        <w:rPr>
          <w:rFonts w:cs="Arial"/>
          <w:sz w:val="18"/>
          <w:szCs w:val="18"/>
          <w:lang w:eastAsia="en-AU"/>
        </w:rPr>
      </w:pPr>
      <w:r w:rsidRPr="00BB6CF4">
        <w:rPr>
          <w:rFonts w:cs="Arial"/>
          <w:sz w:val="18"/>
          <w:szCs w:val="18"/>
          <w:lang w:eastAsia="en-AU"/>
        </w:rPr>
        <w:t xml:space="preserve">The financial statements have been prepared on an accrual basis and in accordance with the historical cost convention, except for certain assets and liabilities which are recorded at fair value. </w:t>
      </w:r>
    </w:p>
    <w:p w14:paraId="46AE99C7" w14:textId="77777777" w:rsidR="00C32CBD" w:rsidRPr="00BB6CF4" w:rsidRDefault="00C32CBD" w:rsidP="00C32CBD">
      <w:pPr>
        <w:spacing w:line="240" w:lineRule="auto"/>
        <w:jc w:val="both"/>
        <w:rPr>
          <w:rFonts w:cs="Arial"/>
          <w:sz w:val="18"/>
          <w:szCs w:val="18"/>
          <w:lang w:eastAsia="en-AU"/>
        </w:rPr>
      </w:pPr>
    </w:p>
    <w:p w14:paraId="334E4554" w14:textId="77777777" w:rsidR="00C32CBD" w:rsidRPr="00BB6CF4" w:rsidRDefault="00C32CBD" w:rsidP="00C32CBD">
      <w:pPr>
        <w:spacing w:line="240" w:lineRule="auto"/>
        <w:jc w:val="both"/>
        <w:rPr>
          <w:rFonts w:cs="Arial"/>
          <w:sz w:val="18"/>
          <w:szCs w:val="18"/>
          <w:lang w:eastAsia="en-AU"/>
        </w:rPr>
      </w:pPr>
      <w:r w:rsidRPr="00BB6CF4">
        <w:rPr>
          <w:rFonts w:cs="Arial"/>
          <w:sz w:val="18"/>
          <w:szCs w:val="18"/>
          <w:lang w:eastAsia="en-AU"/>
        </w:rPr>
        <w:t>Except where stated, no allowance is made for the effect of changing prices on the results or the financial position of the Agency. The financial statements are presented in Australian dollars and values are rounded to the nearest thousand dollars, unless otherwise specified.</w:t>
      </w:r>
    </w:p>
    <w:p w14:paraId="5CC67FC8" w14:textId="77777777" w:rsidR="00C32CBD" w:rsidRPr="00BB6CF4" w:rsidRDefault="00C32CBD" w:rsidP="00C32CBD">
      <w:pPr>
        <w:spacing w:line="240" w:lineRule="auto"/>
        <w:rPr>
          <w:rFonts w:cs="Arial"/>
          <w:sz w:val="18"/>
          <w:szCs w:val="18"/>
          <w:lang w:eastAsia="en-AU"/>
        </w:rPr>
      </w:pPr>
      <w:r w:rsidRPr="00BB6CF4">
        <w:rPr>
          <w:rFonts w:cs="Arial"/>
          <w:sz w:val="18"/>
          <w:szCs w:val="18"/>
          <w:lang w:eastAsia="en-AU"/>
        </w:rPr>
        <w:tab/>
      </w:r>
    </w:p>
    <w:p w14:paraId="4620F472" w14:textId="77777777" w:rsidR="00C32CBD" w:rsidRDefault="00C32CBD" w:rsidP="00C32CBD">
      <w:pPr>
        <w:spacing w:line="240" w:lineRule="auto"/>
        <w:rPr>
          <w:rFonts w:cs="Arial"/>
          <w:b/>
          <w:bCs/>
          <w:color w:val="009560"/>
          <w:sz w:val="18"/>
          <w:szCs w:val="18"/>
          <w:lang w:eastAsia="en-AU"/>
        </w:rPr>
      </w:pPr>
    </w:p>
    <w:p w14:paraId="794E9C9E" w14:textId="77777777" w:rsidR="00C32CBD" w:rsidRDefault="00C32CBD" w:rsidP="00C32CBD">
      <w:pPr>
        <w:spacing w:line="240" w:lineRule="auto"/>
        <w:rPr>
          <w:rFonts w:cs="Arial"/>
          <w:b/>
          <w:bCs/>
          <w:color w:val="009560"/>
          <w:sz w:val="18"/>
          <w:szCs w:val="18"/>
          <w:lang w:eastAsia="en-AU"/>
        </w:rPr>
      </w:pPr>
    </w:p>
    <w:p w14:paraId="57DB461E" w14:textId="77777777" w:rsidR="00C32CBD" w:rsidRDefault="00C32CBD" w:rsidP="00C32CBD">
      <w:pPr>
        <w:spacing w:line="240" w:lineRule="auto"/>
        <w:rPr>
          <w:rFonts w:cs="Arial"/>
          <w:b/>
          <w:bCs/>
          <w:color w:val="009560"/>
          <w:sz w:val="18"/>
          <w:szCs w:val="18"/>
          <w:lang w:eastAsia="en-AU"/>
        </w:rPr>
      </w:pPr>
    </w:p>
    <w:p w14:paraId="121DDC52" w14:textId="77777777" w:rsidR="00C32CBD" w:rsidRDefault="00C32CBD" w:rsidP="00C32CBD">
      <w:pPr>
        <w:spacing w:line="240" w:lineRule="auto"/>
        <w:rPr>
          <w:rFonts w:cs="Arial"/>
          <w:b/>
          <w:bCs/>
          <w:color w:val="009560"/>
          <w:sz w:val="18"/>
          <w:szCs w:val="18"/>
          <w:lang w:eastAsia="en-AU"/>
        </w:rPr>
      </w:pPr>
    </w:p>
    <w:p w14:paraId="1E99ED17" w14:textId="77777777" w:rsidR="00C32CBD" w:rsidRDefault="00C32CBD" w:rsidP="00C32CBD">
      <w:pPr>
        <w:spacing w:line="240" w:lineRule="auto"/>
        <w:rPr>
          <w:rFonts w:cs="Arial"/>
          <w:b/>
          <w:bCs/>
          <w:color w:val="009560"/>
          <w:sz w:val="18"/>
          <w:szCs w:val="18"/>
          <w:lang w:eastAsia="en-AU"/>
        </w:rPr>
      </w:pPr>
    </w:p>
    <w:p w14:paraId="122940C8" w14:textId="77777777" w:rsidR="00C32CBD" w:rsidRDefault="00C32CBD" w:rsidP="00C32CBD">
      <w:pPr>
        <w:spacing w:line="240" w:lineRule="auto"/>
        <w:rPr>
          <w:rFonts w:cs="Arial"/>
          <w:b/>
          <w:bCs/>
          <w:color w:val="009560"/>
          <w:sz w:val="18"/>
          <w:szCs w:val="18"/>
          <w:lang w:eastAsia="en-AU"/>
        </w:rPr>
      </w:pPr>
    </w:p>
    <w:p w14:paraId="53A6FFB0" w14:textId="77777777" w:rsidR="00C32CBD" w:rsidRDefault="00C32CBD" w:rsidP="00C32CBD">
      <w:pPr>
        <w:spacing w:line="240" w:lineRule="auto"/>
        <w:rPr>
          <w:rFonts w:cs="Arial"/>
          <w:b/>
          <w:bCs/>
          <w:color w:val="009560"/>
          <w:sz w:val="18"/>
          <w:szCs w:val="18"/>
          <w:lang w:eastAsia="en-AU"/>
        </w:rPr>
      </w:pPr>
    </w:p>
    <w:p w14:paraId="48ABE445" w14:textId="77777777" w:rsidR="00C32CBD" w:rsidRDefault="00C32CBD" w:rsidP="00C32CBD">
      <w:pPr>
        <w:spacing w:line="240" w:lineRule="auto"/>
        <w:rPr>
          <w:rFonts w:cs="Arial"/>
          <w:b/>
          <w:bCs/>
          <w:color w:val="009560"/>
          <w:sz w:val="18"/>
          <w:szCs w:val="18"/>
          <w:lang w:eastAsia="en-AU"/>
        </w:rPr>
      </w:pPr>
      <w:r w:rsidRPr="00C12BB6">
        <w:rPr>
          <w:rFonts w:cs="Arial"/>
          <w:b/>
          <w:bCs/>
          <w:color w:val="009560"/>
          <w:sz w:val="18"/>
          <w:szCs w:val="18"/>
          <w:lang w:eastAsia="en-AU"/>
        </w:rPr>
        <w:t>New Australian Accounting Standards</w:t>
      </w:r>
    </w:p>
    <w:p w14:paraId="05610309" w14:textId="77777777" w:rsidR="00C32CBD" w:rsidRPr="00C12BB6" w:rsidRDefault="00C32CBD" w:rsidP="00C32CBD">
      <w:pPr>
        <w:spacing w:line="240" w:lineRule="auto"/>
        <w:rPr>
          <w:rFonts w:cs="Arial"/>
          <w:b/>
          <w:bCs/>
          <w:color w:val="009560"/>
          <w:sz w:val="18"/>
          <w:szCs w:val="18"/>
          <w:lang w:eastAsia="en-AU"/>
        </w:rPr>
      </w:pPr>
    </w:p>
    <w:p w14:paraId="75BE2D2F" w14:textId="77777777" w:rsidR="00C32CBD" w:rsidRPr="001E3338" w:rsidRDefault="00C32CBD" w:rsidP="00C32CBD">
      <w:pPr>
        <w:rPr>
          <w:rFonts w:cs="Arial"/>
          <w:i/>
          <w:sz w:val="18"/>
          <w:u w:val="single"/>
          <w:lang w:eastAsia="en-AU"/>
        </w:rPr>
      </w:pPr>
      <w:r w:rsidRPr="001E3338">
        <w:rPr>
          <w:rFonts w:cs="Arial"/>
          <w:i/>
          <w:sz w:val="18"/>
          <w:u w:val="single"/>
          <w:lang w:eastAsia="en-AU"/>
        </w:rPr>
        <w:t xml:space="preserve">Adoption of </w:t>
      </w:r>
      <w:r>
        <w:rPr>
          <w:rFonts w:cs="Arial"/>
          <w:i/>
          <w:sz w:val="18"/>
          <w:u w:val="single"/>
          <w:lang w:eastAsia="en-AU"/>
        </w:rPr>
        <w:t>N</w:t>
      </w:r>
      <w:r w:rsidRPr="001E3338">
        <w:rPr>
          <w:rFonts w:cs="Arial"/>
          <w:i/>
          <w:sz w:val="18"/>
          <w:u w:val="single"/>
          <w:lang w:eastAsia="en-AU"/>
        </w:rPr>
        <w:t xml:space="preserve">ew Australian Accounting Standard </w:t>
      </w:r>
      <w:r>
        <w:rPr>
          <w:rFonts w:cs="Arial"/>
          <w:i/>
          <w:sz w:val="18"/>
          <w:u w:val="single"/>
          <w:lang w:eastAsia="en-AU"/>
        </w:rPr>
        <w:t>R</w:t>
      </w:r>
      <w:r w:rsidRPr="001E3338">
        <w:rPr>
          <w:rFonts w:cs="Arial"/>
          <w:i/>
          <w:sz w:val="18"/>
          <w:u w:val="single"/>
          <w:lang w:eastAsia="en-AU"/>
        </w:rPr>
        <w:t>equirements</w:t>
      </w:r>
    </w:p>
    <w:p w14:paraId="1BD857C4" w14:textId="77777777" w:rsidR="00C32CBD" w:rsidRDefault="00C32CBD" w:rsidP="00C32CBD">
      <w:pPr>
        <w:spacing w:line="240" w:lineRule="auto"/>
        <w:contextualSpacing/>
        <w:jc w:val="both"/>
        <w:rPr>
          <w:rFonts w:eastAsia="Calibri" w:cs="Arial"/>
          <w:sz w:val="18"/>
          <w:szCs w:val="18"/>
        </w:rPr>
      </w:pPr>
      <w:r>
        <w:rPr>
          <w:rFonts w:eastAsia="Calibri" w:cs="Arial"/>
          <w:sz w:val="18"/>
          <w:szCs w:val="18"/>
        </w:rPr>
        <w:t xml:space="preserve">No accounting standard has been adopted earlier than the application date as stated in the standard. There have been other new, revised or amended standards or interpretation that were issued by the Australian Accounting Standards Board prior to the sign off date that are applicable to the current reporting period that had a material effect, or that are not expected to have a future material effect, on the Agency’s financial statements. </w:t>
      </w:r>
    </w:p>
    <w:p w14:paraId="55ABBF10" w14:textId="77777777" w:rsidR="00C32CBD" w:rsidRPr="00AD44FC" w:rsidRDefault="00C32CBD" w:rsidP="00C32CBD">
      <w:pPr>
        <w:rPr>
          <w:rFonts w:cs="Arial"/>
          <w:i/>
          <w:sz w:val="18"/>
          <w:szCs w:val="18"/>
          <w:u w:val="single"/>
          <w:lang w:eastAsia="en-AU"/>
        </w:rPr>
      </w:pPr>
      <w:r w:rsidRPr="00AD44FC">
        <w:rPr>
          <w:rFonts w:cs="Arial"/>
          <w:i/>
          <w:sz w:val="18"/>
          <w:szCs w:val="18"/>
          <w:u w:val="single"/>
          <w:lang w:eastAsia="en-AU"/>
        </w:rPr>
        <w:t>Future Australian Accounting Standard requirements</w:t>
      </w:r>
    </w:p>
    <w:p w14:paraId="38CD9FE1" w14:textId="77777777" w:rsidR="00C32CBD" w:rsidRDefault="00C32CBD" w:rsidP="00C32CBD">
      <w:pPr>
        <w:spacing w:line="240" w:lineRule="auto"/>
        <w:contextualSpacing/>
        <w:jc w:val="both"/>
        <w:rPr>
          <w:rFonts w:eastAsia="Calibri" w:cs="Arial"/>
          <w:sz w:val="18"/>
          <w:szCs w:val="18"/>
        </w:rPr>
      </w:pPr>
      <w:r w:rsidRPr="00AD44FC">
        <w:rPr>
          <w:rFonts w:eastAsia="Calibri" w:cs="Arial"/>
          <w:sz w:val="18"/>
          <w:szCs w:val="18"/>
        </w:rPr>
        <w:t>The following new, revised and amending standards and interpretations were issued by the Australian Accounting Standards Board prior to the signing of the statement by the Accountable</w:t>
      </w:r>
      <w:r w:rsidRPr="00633717">
        <w:rPr>
          <w:rFonts w:eastAsia="Calibri" w:cs="Arial"/>
          <w:sz w:val="18"/>
          <w:szCs w:val="18"/>
        </w:rPr>
        <w:t xml:space="preserve"> </w:t>
      </w:r>
      <w:r>
        <w:rPr>
          <w:rFonts w:eastAsia="Calibri" w:cs="Arial"/>
          <w:sz w:val="18"/>
          <w:szCs w:val="18"/>
        </w:rPr>
        <w:t>A</w:t>
      </w:r>
      <w:r w:rsidRPr="00633717">
        <w:rPr>
          <w:rFonts w:eastAsia="Calibri" w:cs="Arial"/>
          <w:sz w:val="18"/>
          <w:szCs w:val="18"/>
        </w:rPr>
        <w:t xml:space="preserve">uthority and </w:t>
      </w:r>
      <w:r>
        <w:rPr>
          <w:rFonts w:eastAsia="Calibri" w:cs="Arial"/>
          <w:sz w:val="18"/>
          <w:szCs w:val="18"/>
        </w:rPr>
        <w:t>C</w:t>
      </w:r>
      <w:r w:rsidRPr="00633717">
        <w:rPr>
          <w:rFonts w:eastAsia="Calibri" w:cs="Arial"/>
          <w:sz w:val="18"/>
          <w:szCs w:val="18"/>
        </w:rPr>
        <w:t xml:space="preserve">hief </w:t>
      </w:r>
      <w:r>
        <w:rPr>
          <w:rFonts w:eastAsia="Calibri" w:cs="Arial"/>
          <w:sz w:val="18"/>
          <w:szCs w:val="18"/>
        </w:rPr>
        <w:t>F</w:t>
      </w:r>
      <w:r w:rsidRPr="00633717">
        <w:rPr>
          <w:rFonts w:eastAsia="Calibri" w:cs="Arial"/>
          <w:sz w:val="18"/>
          <w:szCs w:val="18"/>
        </w:rPr>
        <w:t xml:space="preserve">inancial </w:t>
      </w:r>
      <w:r>
        <w:rPr>
          <w:rFonts w:eastAsia="Calibri" w:cs="Arial"/>
          <w:sz w:val="18"/>
          <w:szCs w:val="18"/>
        </w:rPr>
        <w:t>O</w:t>
      </w:r>
      <w:r w:rsidRPr="00633717">
        <w:rPr>
          <w:rFonts w:eastAsia="Calibri" w:cs="Arial"/>
          <w:sz w:val="18"/>
          <w:szCs w:val="18"/>
        </w:rPr>
        <w:t xml:space="preserve">fficer, which are expected to have a material financial impact on the </w:t>
      </w:r>
      <w:r>
        <w:rPr>
          <w:rFonts w:eastAsia="Calibri" w:cs="Arial"/>
          <w:sz w:val="18"/>
          <w:szCs w:val="18"/>
        </w:rPr>
        <w:t>Agenc</w:t>
      </w:r>
      <w:r w:rsidRPr="00633717">
        <w:rPr>
          <w:rFonts w:eastAsia="Calibri" w:cs="Arial"/>
          <w:sz w:val="18"/>
          <w:szCs w:val="18"/>
        </w:rPr>
        <w:t>y’s financial statements for future reporting periods:</w:t>
      </w:r>
    </w:p>
    <w:p w14:paraId="437B5720" w14:textId="77777777" w:rsidR="00C32CBD" w:rsidRDefault="00C32CBD" w:rsidP="00C32CBD">
      <w:pPr>
        <w:spacing w:line="240" w:lineRule="auto"/>
        <w:contextualSpacing/>
        <w:jc w:val="both"/>
        <w:rPr>
          <w:rFonts w:eastAsia="Calibri" w:cs="Arial"/>
          <w:sz w:val="18"/>
          <w:szCs w:val="18"/>
        </w:rPr>
      </w:pPr>
    </w:p>
    <w:p w14:paraId="6DCA3F0A" w14:textId="77777777" w:rsidR="00C32CBD" w:rsidRDefault="00C32CBD" w:rsidP="00C32CBD">
      <w:pPr>
        <w:rPr>
          <w:rFonts w:cs="Arial"/>
          <w:sz w:val="18"/>
          <w:szCs w:val="18"/>
          <w:lang w:eastAsia="en-AU"/>
        </w:rPr>
      </w:pPr>
    </w:p>
    <w:tbl>
      <w:tblPr>
        <w:tblW w:w="8848"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4"/>
        <w:gridCol w:w="1559"/>
        <w:gridCol w:w="4265"/>
      </w:tblGrid>
      <w:tr w:rsidR="00C32CBD" w14:paraId="051955BD" w14:textId="77777777" w:rsidTr="00320D09">
        <w:trPr>
          <w:cantSplit/>
          <w:trHeight w:val="255"/>
          <w:tblHeader/>
        </w:trPr>
        <w:tc>
          <w:tcPr>
            <w:tcW w:w="3024" w:type="dxa"/>
            <w:tcBorders>
              <w:top w:val="single" w:sz="12" w:space="0" w:color="auto"/>
              <w:left w:val="single" w:sz="12" w:space="0" w:color="auto"/>
              <w:bottom w:val="single" w:sz="12" w:space="0" w:color="auto"/>
              <w:right w:val="single" w:sz="6" w:space="0" w:color="auto"/>
            </w:tcBorders>
            <w:shd w:val="clear" w:color="FFFFFF" w:fill="FFFFFF"/>
            <w:noWrap/>
            <w:vAlign w:val="center"/>
          </w:tcPr>
          <w:p w14:paraId="02E1495D" w14:textId="77777777" w:rsidR="00C32CBD" w:rsidRPr="002E4757" w:rsidRDefault="00C32CBD" w:rsidP="00320D09">
            <w:pPr>
              <w:rPr>
                <w:rFonts w:cs="Arial"/>
                <w:b/>
                <w:sz w:val="18"/>
                <w:szCs w:val="18"/>
              </w:rPr>
            </w:pPr>
            <w:r w:rsidRPr="002E4757">
              <w:rPr>
                <w:rFonts w:cs="Arial"/>
                <w:b/>
                <w:sz w:val="18"/>
                <w:szCs w:val="18"/>
              </w:rPr>
              <w:t>Standard/Interpretation</w:t>
            </w:r>
          </w:p>
        </w:tc>
        <w:tc>
          <w:tcPr>
            <w:tcW w:w="1559" w:type="dxa"/>
            <w:tcBorders>
              <w:top w:val="single" w:sz="12" w:space="0" w:color="auto"/>
              <w:left w:val="single" w:sz="6" w:space="0" w:color="auto"/>
              <w:bottom w:val="single" w:sz="12" w:space="0" w:color="auto"/>
              <w:right w:val="single" w:sz="6" w:space="0" w:color="auto"/>
            </w:tcBorders>
            <w:shd w:val="clear" w:color="FFFFFF" w:fill="FFFFFF"/>
            <w:vAlign w:val="center"/>
          </w:tcPr>
          <w:p w14:paraId="17C82976" w14:textId="77777777" w:rsidR="00C32CBD" w:rsidRPr="002E4757" w:rsidRDefault="00C32CBD" w:rsidP="00320D09">
            <w:pPr>
              <w:jc w:val="center"/>
              <w:rPr>
                <w:rFonts w:cs="Arial"/>
                <w:b/>
                <w:bCs/>
                <w:sz w:val="18"/>
                <w:szCs w:val="18"/>
              </w:rPr>
            </w:pPr>
            <w:r w:rsidRPr="002E4757">
              <w:rPr>
                <w:rFonts w:cs="Arial"/>
                <w:b/>
                <w:bCs/>
                <w:sz w:val="18"/>
                <w:szCs w:val="18"/>
              </w:rPr>
              <w:t>Application date for the Agency</w:t>
            </w:r>
          </w:p>
        </w:tc>
        <w:tc>
          <w:tcPr>
            <w:tcW w:w="4265" w:type="dxa"/>
            <w:tcBorders>
              <w:top w:val="single" w:sz="12" w:space="0" w:color="auto"/>
              <w:left w:val="single" w:sz="6" w:space="0" w:color="auto"/>
              <w:bottom w:val="single" w:sz="12" w:space="0" w:color="auto"/>
              <w:right w:val="single" w:sz="12" w:space="0" w:color="auto"/>
            </w:tcBorders>
            <w:shd w:val="clear" w:color="FFFFFF" w:fill="FFFFFF"/>
            <w:vAlign w:val="center"/>
          </w:tcPr>
          <w:p w14:paraId="74EB61F1" w14:textId="77777777" w:rsidR="00C32CBD" w:rsidRPr="002E4757" w:rsidRDefault="00C32CBD" w:rsidP="00320D09">
            <w:pPr>
              <w:rPr>
                <w:rFonts w:cs="Arial"/>
                <w:b/>
                <w:sz w:val="18"/>
                <w:szCs w:val="18"/>
              </w:rPr>
            </w:pPr>
            <w:r w:rsidRPr="002E4757">
              <w:rPr>
                <w:rFonts w:cs="Arial"/>
                <w:b/>
                <w:sz w:val="18"/>
                <w:szCs w:val="18"/>
              </w:rPr>
              <w:t>Nature of impending change/s in accounting policy and likely impact on initial application</w:t>
            </w:r>
          </w:p>
        </w:tc>
      </w:tr>
      <w:tr w:rsidR="00C32CBD" w14:paraId="135E4B18" w14:textId="77777777" w:rsidTr="00320D09">
        <w:trPr>
          <w:cantSplit/>
          <w:trHeight w:val="255"/>
        </w:trPr>
        <w:tc>
          <w:tcPr>
            <w:tcW w:w="3024" w:type="dxa"/>
            <w:tcBorders>
              <w:top w:val="single" w:sz="6" w:space="0" w:color="auto"/>
              <w:left w:val="single" w:sz="12" w:space="0" w:color="auto"/>
              <w:bottom w:val="single" w:sz="6" w:space="0" w:color="auto"/>
            </w:tcBorders>
            <w:shd w:val="clear" w:color="FFFFFF" w:fill="FFFFFF"/>
            <w:noWrap/>
          </w:tcPr>
          <w:p w14:paraId="37FAD873" w14:textId="77777777" w:rsidR="00C32CBD" w:rsidRDefault="00C32CBD" w:rsidP="00320D09">
            <w:pPr>
              <w:rPr>
                <w:rFonts w:cs="Arial"/>
                <w:bCs/>
                <w:i/>
                <w:sz w:val="18"/>
                <w:szCs w:val="18"/>
              </w:rPr>
            </w:pPr>
            <w:r w:rsidRPr="005013FF">
              <w:rPr>
                <w:rFonts w:cs="Arial"/>
                <w:bCs/>
                <w:sz w:val="18"/>
                <w:szCs w:val="18"/>
              </w:rPr>
              <w:t xml:space="preserve">AASB 15 </w:t>
            </w:r>
            <w:r w:rsidRPr="005013FF">
              <w:rPr>
                <w:rFonts w:cs="Arial"/>
                <w:bCs/>
                <w:i/>
                <w:sz w:val="18"/>
                <w:szCs w:val="18"/>
              </w:rPr>
              <w:t>Revenue from Contracts with Customers</w:t>
            </w:r>
            <w:r>
              <w:rPr>
                <w:rFonts w:cs="Arial"/>
                <w:bCs/>
                <w:i/>
                <w:sz w:val="18"/>
                <w:szCs w:val="18"/>
              </w:rPr>
              <w:t>;</w:t>
            </w:r>
          </w:p>
          <w:p w14:paraId="2D4E94BC" w14:textId="77777777" w:rsidR="00C32CBD" w:rsidRDefault="00C32CBD" w:rsidP="00320D09">
            <w:pPr>
              <w:rPr>
                <w:rFonts w:cs="Arial"/>
                <w:bCs/>
                <w:i/>
                <w:sz w:val="18"/>
                <w:szCs w:val="18"/>
              </w:rPr>
            </w:pPr>
            <w:r w:rsidRPr="005013FF">
              <w:rPr>
                <w:rFonts w:cs="Arial"/>
                <w:bCs/>
                <w:sz w:val="18"/>
                <w:szCs w:val="18"/>
              </w:rPr>
              <w:t xml:space="preserve">AASB 2014-5 </w:t>
            </w:r>
            <w:r w:rsidRPr="005013FF">
              <w:rPr>
                <w:rFonts w:cs="Arial"/>
                <w:bCs/>
                <w:i/>
                <w:sz w:val="18"/>
                <w:szCs w:val="18"/>
              </w:rPr>
              <w:t>Amendments to Australian Accounting Standards arising from AASB 15</w:t>
            </w:r>
            <w:r>
              <w:rPr>
                <w:rFonts w:cs="Arial"/>
                <w:bCs/>
                <w:i/>
                <w:sz w:val="18"/>
                <w:szCs w:val="18"/>
              </w:rPr>
              <w:t>;</w:t>
            </w:r>
          </w:p>
          <w:p w14:paraId="3AACCBC9" w14:textId="77777777" w:rsidR="00C32CBD" w:rsidRPr="005013FF" w:rsidRDefault="00C32CBD" w:rsidP="00320D09">
            <w:pPr>
              <w:rPr>
                <w:rFonts w:cs="Arial"/>
                <w:bCs/>
                <w:sz w:val="18"/>
                <w:szCs w:val="18"/>
              </w:rPr>
            </w:pPr>
            <w:r w:rsidRPr="005013FF">
              <w:rPr>
                <w:rFonts w:cs="Arial"/>
                <w:bCs/>
                <w:sz w:val="18"/>
                <w:szCs w:val="18"/>
              </w:rPr>
              <w:t xml:space="preserve">AASB 2015-8 </w:t>
            </w:r>
            <w:r w:rsidRPr="005539E7">
              <w:rPr>
                <w:rFonts w:cs="Arial"/>
                <w:bCs/>
                <w:i/>
                <w:sz w:val="18"/>
                <w:szCs w:val="18"/>
              </w:rPr>
              <w:t>Amendments to Australian Accounting Standards – Effective Date of AASB 15</w:t>
            </w:r>
          </w:p>
        </w:tc>
        <w:tc>
          <w:tcPr>
            <w:tcW w:w="1559" w:type="dxa"/>
            <w:tcBorders>
              <w:top w:val="single" w:sz="6" w:space="0" w:color="auto"/>
              <w:bottom w:val="single" w:sz="6" w:space="0" w:color="auto"/>
            </w:tcBorders>
            <w:shd w:val="clear" w:color="FFFFFF" w:fill="FFFFFF"/>
            <w:noWrap/>
          </w:tcPr>
          <w:p w14:paraId="1212AF8B" w14:textId="77777777" w:rsidR="00C32CBD" w:rsidRPr="00C87EF5" w:rsidRDefault="00C32CBD" w:rsidP="00320D09">
            <w:pPr>
              <w:jc w:val="center"/>
              <w:rPr>
                <w:rFonts w:cs="Arial"/>
                <w:bCs/>
                <w:sz w:val="18"/>
                <w:szCs w:val="18"/>
              </w:rPr>
            </w:pPr>
            <w:r>
              <w:rPr>
                <w:rFonts w:cs="Arial"/>
                <w:bCs/>
                <w:sz w:val="18"/>
                <w:szCs w:val="18"/>
              </w:rPr>
              <w:t>1 July</w:t>
            </w:r>
            <w:r w:rsidRPr="00C87EF5">
              <w:rPr>
                <w:rFonts w:cs="Arial"/>
                <w:bCs/>
                <w:sz w:val="18"/>
                <w:szCs w:val="18"/>
              </w:rPr>
              <w:t xml:space="preserve"> 201</w:t>
            </w:r>
            <w:r>
              <w:rPr>
                <w:rFonts w:cs="Arial"/>
                <w:bCs/>
                <w:sz w:val="18"/>
                <w:szCs w:val="18"/>
              </w:rPr>
              <w:t>9</w:t>
            </w:r>
          </w:p>
        </w:tc>
        <w:tc>
          <w:tcPr>
            <w:tcW w:w="4265" w:type="dxa"/>
            <w:tcBorders>
              <w:top w:val="single" w:sz="6" w:space="0" w:color="auto"/>
              <w:bottom w:val="single" w:sz="6" w:space="0" w:color="auto"/>
              <w:right w:val="single" w:sz="12" w:space="0" w:color="auto"/>
            </w:tcBorders>
            <w:shd w:val="clear" w:color="FFFFFF" w:fill="FFFFFF"/>
            <w:noWrap/>
          </w:tcPr>
          <w:p w14:paraId="71E532F2" w14:textId="77777777" w:rsidR="00C32CBD" w:rsidRDefault="00C32CBD" w:rsidP="00320D09">
            <w:pPr>
              <w:rPr>
                <w:rFonts w:cs="Arial"/>
                <w:sz w:val="18"/>
                <w:szCs w:val="18"/>
              </w:rPr>
            </w:pPr>
            <w:r>
              <w:rPr>
                <w:rFonts w:cs="Arial"/>
                <w:sz w:val="18"/>
                <w:szCs w:val="18"/>
              </w:rPr>
              <w:t xml:space="preserve">Nature: The revised Standard outlines a single comprehensive model for entities to use in accounting for revenue arising from contracts with customers, replacing </w:t>
            </w:r>
            <w:r w:rsidRPr="00001A4A">
              <w:rPr>
                <w:rFonts w:cs="Arial"/>
                <w:sz w:val="18"/>
                <w:szCs w:val="18"/>
              </w:rPr>
              <w:t xml:space="preserve">AASB 111 </w:t>
            </w:r>
            <w:r w:rsidRPr="00001A4A">
              <w:rPr>
                <w:rFonts w:cs="Arial"/>
                <w:i/>
                <w:sz w:val="18"/>
                <w:szCs w:val="18"/>
              </w:rPr>
              <w:t>Construction Contracts</w:t>
            </w:r>
            <w:r w:rsidRPr="00001A4A">
              <w:rPr>
                <w:rFonts w:cs="Arial"/>
                <w:sz w:val="18"/>
                <w:szCs w:val="18"/>
              </w:rPr>
              <w:t xml:space="preserve">, AASB 118 </w:t>
            </w:r>
            <w:r w:rsidRPr="00001A4A">
              <w:rPr>
                <w:rFonts w:cs="Arial"/>
                <w:i/>
                <w:sz w:val="18"/>
                <w:szCs w:val="18"/>
              </w:rPr>
              <w:t>Revenue</w:t>
            </w:r>
            <w:r w:rsidRPr="00001A4A">
              <w:rPr>
                <w:rFonts w:cs="Arial"/>
                <w:sz w:val="18"/>
                <w:szCs w:val="18"/>
              </w:rPr>
              <w:t xml:space="preserve">, Interpretation 13 </w:t>
            </w:r>
            <w:r w:rsidRPr="00001A4A">
              <w:rPr>
                <w:rFonts w:cs="Arial"/>
                <w:i/>
                <w:sz w:val="18"/>
                <w:szCs w:val="18"/>
              </w:rPr>
              <w:t>Customer Loyalty Programmes</w:t>
            </w:r>
            <w:r w:rsidRPr="00001A4A">
              <w:rPr>
                <w:rFonts w:cs="Arial"/>
                <w:sz w:val="18"/>
                <w:szCs w:val="18"/>
              </w:rPr>
              <w:t xml:space="preserve">, and Interpretation 15 </w:t>
            </w:r>
            <w:r w:rsidRPr="00001A4A">
              <w:rPr>
                <w:rFonts w:cs="Arial"/>
                <w:i/>
                <w:sz w:val="18"/>
                <w:szCs w:val="18"/>
              </w:rPr>
              <w:t>Agreements for the Construction of Real Estate</w:t>
            </w:r>
            <w:r w:rsidRPr="00001A4A">
              <w:rPr>
                <w:rFonts w:cs="Arial"/>
                <w:sz w:val="18"/>
                <w:szCs w:val="18"/>
              </w:rPr>
              <w:t xml:space="preserve">, Interpretation 18 </w:t>
            </w:r>
            <w:r w:rsidRPr="00001A4A">
              <w:rPr>
                <w:rFonts w:cs="Arial"/>
                <w:i/>
                <w:sz w:val="18"/>
                <w:szCs w:val="18"/>
              </w:rPr>
              <w:t>Transfers of Assets from Customers</w:t>
            </w:r>
            <w:r w:rsidRPr="00001A4A">
              <w:rPr>
                <w:rFonts w:cs="Arial"/>
                <w:sz w:val="18"/>
                <w:szCs w:val="18"/>
              </w:rPr>
              <w:t xml:space="preserve">, and Interpretation 131 </w:t>
            </w:r>
            <w:r w:rsidRPr="00001A4A">
              <w:rPr>
                <w:rFonts w:cs="Arial"/>
                <w:i/>
                <w:sz w:val="18"/>
                <w:szCs w:val="18"/>
              </w:rPr>
              <w:t>Revenue-Barter Transactions Involving Advertising Services</w:t>
            </w:r>
            <w:r w:rsidRPr="00001A4A">
              <w:rPr>
                <w:rFonts w:cs="Arial"/>
                <w:sz w:val="18"/>
                <w:szCs w:val="18"/>
              </w:rPr>
              <w:t xml:space="preserve">. The core principle is that an entity recognises revenue to depict the transfer of promised goods or services to customers in an amount that reflects the </w:t>
            </w:r>
            <w:r>
              <w:rPr>
                <w:rFonts w:cs="Arial"/>
                <w:sz w:val="18"/>
                <w:szCs w:val="18"/>
              </w:rPr>
              <w:t xml:space="preserve">expected </w:t>
            </w:r>
            <w:r w:rsidRPr="00001A4A">
              <w:rPr>
                <w:rFonts w:cs="Arial"/>
                <w:sz w:val="18"/>
                <w:szCs w:val="18"/>
              </w:rPr>
              <w:t>consideration in exchange for those goods or services.</w:t>
            </w:r>
          </w:p>
          <w:p w14:paraId="00E06AC0" w14:textId="77777777" w:rsidR="00C32CBD" w:rsidRDefault="00C32CBD" w:rsidP="00320D09">
            <w:pPr>
              <w:rPr>
                <w:rFonts w:cs="Arial"/>
                <w:sz w:val="18"/>
                <w:szCs w:val="18"/>
              </w:rPr>
            </w:pPr>
          </w:p>
          <w:p w14:paraId="3C6BEC8A" w14:textId="77777777" w:rsidR="00C32CBD" w:rsidRDefault="00C32CBD" w:rsidP="00320D09">
            <w:pPr>
              <w:rPr>
                <w:rFonts w:cs="Arial"/>
                <w:sz w:val="18"/>
                <w:szCs w:val="18"/>
              </w:rPr>
            </w:pPr>
            <w:r>
              <w:rPr>
                <w:rFonts w:cs="Arial"/>
                <w:sz w:val="18"/>
                <w:szCs w:val="18"/>
              </w:rPr>
              <w:t>Likely impact: Expected to have minimal impact on the Agency’s financial statements as at the date of assessment, the Agency does not earn a significant amount of revenue from contracts with customers.</w:t>
            </w:r>
          </w:p>
        </w:tc>
      </w:tr>
      <w:tr w:rsidR="00C32CBD" w14:paraId="557046EB" w14:textId="77777777" w:rsidTr="00320D09">
        <w:trPr>
          <w:cantSplit/>
          <w:trHeight w:val="255"/>
        </w:trPr>
        <w:tc>
          <w:tcPr>
            <w:tcW w:w="3024" w:type="dxa"/>
            <w:tcBorders>
              <w:top w:val="single" w:sz="6" w:space="0" w:color="auto"/>
              <w:left w:val="single" w:sz="12" w:space="0" w:color="auto"/>
              <w:bottom w:val="single" w:sz="6" w:space="0" w:color="auto"/>
            </w:tcBorders>
            <w:shd w:val="clear" w:color="FFFFFF" w:fill="FFFFFF"/>
            <w:noWrap/>
          </w:tcPr>
          <w:p w14:paraId="2373984F" w14:textId="77777777" w:rsidR="00C32CBD" w:rsidRPr="005013FF" w:rsidRDefault="00C32CBD" w:rsidP="00320D09">
            <w:pPr>
              <w:rPr>
                <w:rFonts w:cs="Arial"/>
                <w:bCs/>
                <w:sz w:val="18"/>
                <w:szCs w:val="18"/>
              </w:rPr>
            </w:pPr>
            <w:r>
              <w:rPr>
                <w:rFonts w:cs="Arial"/>
                <w:bCs/>
                <w:sz w:val="18"/>
                <w:szCs w:val="18"/>
              </w:rPr>
              <w:t xml:space="preserve">AASB 16 </w:t>
            </w:r>
            <w:r w:rsidRPr="00D94913">
              <w:rPr>
                <w:rFonts w:cs="Arial"/>
                <w:bCs/>
                <w:i/>
                <w:sz w:val="18"/>
                <w:szCs w:val="18"/>
              </w:rPr>
              <w:t>Leases</w:t>
            </w:r>
          </w:p>
        </w:tc>
        <w:tc>
          <w:tcPr>
            <w:tcW w:w="1559" w:type="dxa"/>
            <w:tcBorders>
              <w:top w:val="single" w:sz="6" w:space="0" w:color="auto"/>
              <w:bottom w:val="single" w:sz="6" w:space="0" w:color="auto"/>
            </w:tcBorders>
            <w:shd w:val="clear" w:color="FFFFFF" w:fill="FFFFFF"/>
            <w:noWrap/>
          </w:tcPr>
          <w:p w14:paraId="24A6D835" w14:textId="77777777" w:rsidR="00C32CBD" w:rsidRPr="00C87EF5" w:rsidRDefault="00C32CBD" w:rsidP="00320D09">
            <w:pPr>
              <w:jc w:val="center"/>
              <w:rPr>
                <w:rFonts w:cs="Arial"/>
                <w:bCs/>
                <w:sz w:val="18"/>
                <w:szCs w:val="18"/>
              </w:rPr>
            </w:pPr>
            <w:r>
              <w:rPr>
                <w:rFonts w:cs="Arial"/>
                <w:bCs/>
                <w:sz w:val="18"/>
                <w:szCs w:val="18"/>
              </w:rPr>
              <w:t>1 July</w:t>
            </w:r>
            <w:r w:rsidRPr="00C87EF5">
              <w:rPr>
                <w:rFonts w:cs="Arial"/>
                <w:bCs/>
                <w:sz w:val="18"/>
                <w:szCs w:val="18"/>
              </w:rPr>
              <w:t xml:space="preserve"> 201</w:t>
            </w:r>
            <w:r>
              <w:rPr>
                <w:rFonts w:cs="Arial"/>
                <w:bCs/>
                <w:sz w:val="18"/>
                <w:szCs w:val="18"/>
              </w:rPr>
              <w:t>9</w:t>
            </w:r>
          </w:p>
        </w:tc>
        <w:tc>
          <w:tcPr>
            <w:tcW w:w="4265" w:type="dxa"/>
            <w:tcBorders>
              <w:top w:val="single" w:sz="6" w:space="0" w:color="auto"/>
              <w:bottom w:val="single" w:sz="6" w:space="0" w:color="auto"/>
              <w:right w:val="single" w:sz="12" w:space="0" w:color="auto"/>
            </w:tcBorders>
            <w:shd w:val="clear" w:color="FFFFFF" w:fill="FFFFFF"/>
            <w:noWrap/>
          </w:tcPr>
          <w:p w14:paraId="2FC12400" w14:textId="77777777" w:rsidR="00C32CBD" w:rsidRDefault="00C32CBD" w:rsidP="00320D09">
            <w:pPr>
              <w:rPr>
                <w:rFonts w:cs="Arial"/>
                <w:sz w:val="18"/>
                <w:szCs w:val="18"/>
              </w:rPr>
            </w:pPr>
            <w:r>
              <w:rPr>
                <w:rFonts w:cs="Arial"/>
                <w:sz w:val="18"/>
                <w:szCs w:val="18"/>
              </w:rPr>
              <w:t xml:space="preserve">Nature: The revised standard replaces AASB 117 </w:t>
            </w:r>
            <w:r w:rsidRPr="00633717">
              <w:rPr>
                <w:rFonts w:cs="Arial"/>
                <w:i/>
                <w:sz w:val="18"/>
                <w:szCs w:val="18"/>
              </w:rPr>
              <w:t>Leases</w:t>
            </w:r>
            <w:r>
              <w:rPr>
                <w:rFonts w:cs="Arial"/>
                <w:sz w:val="18"/>
                <w:szCs w:val="18"/>
              </w:rPr>
              <w:t xml:space="preserve"> and</w:t>
            </w:r>
            <w:r w:rsidRPr="00B62A8E">
              <w:rPr>
                <w:rFonts w:cs="Arial"/>
                <w:sz w:val="18"/>
                <w:szCs w:val="18"/>
              </w:rPr>
              <w:t xml:space="preserve"> provides a single lessee accounting model, requiring lessees to recognise assets and liabilities for all leases unless the lease term is 12 months or less or the underlying asset has a low value. Lessors continue to classify leases as operating or finance, with </w:t>
            </w:r>
            <w:r>
              <w:rPr>
                <w:rFonts w:cs="Arial"/>
                <w:sz w:val="18"/>
                <w:szCs w:val="18"/>
              </w:rPr>
              <w:t>AASB</w:t>
            </w:r>
            <w:r w:rsidRPr="00B62A8E">
              <w:rPr>
                <w:rFonts w:cs="Arial"/>
                <w:sz w:val="18"/>
                <w:szCs w:val="18"/>
              </w:rPr>
              <w:t xml:space="preserve"> 16’s approach to lessor accounting substantially unchanged from its predecessor, </w:t>
            </w:r>
            <w:r>
              <w:rPr>
                <w:rFonts w:cs="Arial"/>
                <w:sz w:val="18"/>
                <w:szCs w:val="18"/>
              </w:rPr>
              <w:t>AASB1</w:t>
            </w:r>
            <w:r w:rsidRPr="00B62A8E">
              <w:rPr>
                <w:rFonts w:cs="Arial"/>
                <w:sz w:val="18"/>
                <w:szCs w:val="18"/>
              </w:rPr>
              <w:t>17.</w:t>
            </w:r>
          </w:p>
          <w:p w14:paraId="1F8ED710" w14:textId="77777777" w:rsidR="00C32CBD" w:rsidRDefault="00C32CBD" w:rsidP="00320D09">
            <w:pPr>
              <w:rPr>
                <w:rFonts w:cs="Arial"/>
                <w:sz w:val="18"/>
                <w:szCs w:val="18"/>
              </w:rPr>
            </w:pPr>
          </w:p>
          <w:p w14:paraId="45DD4A18" w14:textId="77777777" w:rsidR="00C32CBD" w:rsidRDefault="00C32CBD" w:rsidP="00320D09">
            <w:pPr>
              <w:rPr>
                <w:rFonts w:cs="Arial"/>
                <w:sz w:val="18"/>
                <w:szCs w:val="18"/>
              </w:rPr>
            </w:pPr>
            <w:r>
              <w:rPr>
                <w:rFonts w:cs="Arial"/>
                <w:sz w:val="18"/>
                <w:szCs w:val="18"/>
              </w:rPr>
              <w:t>Likely impact: Expected to have an impact on the recognition, measurement and disclosure of leases.</w:t>
            </w:r>
          </w:p>
        </w:tc>
      </w:tr>
      <w:tr w:rsidR="00C32CBD" w14:paraId="55B43B27" w14:textId="77777777" w:rsidTr="00320D09">
        <w:trPr>
          <w:cantSplit/>
          <w:trHeight w:val="255"/>
        </w:trPr>
        <w:tc>
          <w:tcPr>
            <w:tcW w:w="3024" w:type="dxa"/>
            <w:tcBorders>
              <w:top w:val="single" w:sz="6" w:space="0" w:color="auto"/>
              <w:left w:val="single" w:sz="12" w:space="0" w:color="auto"/>
              <w:bottom w:val="single" w:sz="6" w:space="0" w:color="auto"/>
            </w:tcBorders>
            <w:shd w:val="clear" w:color="FFFFFF" w:fill="FFFFFF"/>
            <w:noWrap/>
          </w:tcPr>
          <w:p w14:paraId="4F5D9B28" w14:textId="77777777" w:rsidR="00C32CBD" w:rsidRPr="00C10208" w:rsidRDefault="00C32CBD" w:rsidP="00320D09">
            <w:pPr>
              <w:rPr>
                <w:rFonts w:cs="Arial"/>
                <w:bCs/>
                <w:sz w:val="18"/>
                <w:szCs w:val="18"/>
              </w:rPr>
            </w:pPr>
            <w:r w:rsidRPr="00C10208">
              <w:rPr>
                <w:rFonts w:cs="Arial"/>
                <w:bCs/>
                <w:sz w:val="18"/>
                <w:szCs w:val="18"/>
              </w:rPr>
              <w:t>AASB 1058 Income of Not-for-Profit Entities</w:t>
            </w:r>
          </w:p>
          <w:p w14:paraId="55163C0D" w14:textId="77777777" w:rsidR="00C32CBD" w:rsidRPr="00C10208" w:rsidRDefault="00C32CBD" w:rsidP="00320D09">
            <w:pPr>
              <w:rPr>
                <w:rFonts w:cs="Arial"/>
                <w:bCs/>
                <w:sz w:val="18"/>
                <w:szCs w:val="18"/>
              </w:rPr>
            </w:pPr>
            <w:r w:rsidRPr="00C10208">
              <w:rPr>
                <w:rFonts w:cs="Arial"/>
                <w:bCs/>
                <w:sz w:val="18"/>
                <w:szCs w:val="18"/>
              </w:rPr>
              <w:t>and</w:t>
            </w:r>
          </w:p>
          <w:p w14:paraId="510A957D" w14:textId="77777777" w:rsidR="00C32CBD" w:rsidRPr="005013FF" w:rsidRDefault="00C32CBD" w:rsidP="00320D09">
            <w:pPr>
              <w:rPr>
                <w:rFonts w:cs="Arial"/>
                <w:bCs/>
                <w:sz w:val="18"/>
                <w:szCs w:val="18"/>
              </w:rPr>
            </w:pPr>
            <w:r w:rsidRPr="00C10208">
              <w:rPr>
                <w:rFonts w:cs="Arial"/>
                <w:bCs/>
                <w:sz w:val="18"/>
                <w:szCs w:val="18"/>
              </w:rPr>
              <w:t>AASB 2016-8 Amendments to Australian Accounting Standards – Australian Implementation Guidance for Not-for-Profit Entities</w:t>
            </w:r>
          </w:p>
        </w:tc>
        <w:tc>
          <w:tcPr>
            <w:tcW w:w="1559" w:type="dxa"/>
            <w:tcBorders>
              <w:top w:val="single" w:sz="6" w:space="0" w:color="auto"/>
              <w:bottom w:val="single" w:sz="6" w:space="0" w:color="auto"/>
            </w:tcBorders>
            <w:shd w:val="clear" w:color="FFFFFF" w:fill="FFFFFF"/>
            <w:noWrap/>
          </w:tcPr>
          <w:p w14:paraId="1E15C34A" w14:textId="77777777" w:rsidR="00C32CBD" w:rsidRDefault="00C32CBD" w:rsidP="00320D09">
            <w:pPr>
              <w:jc w:val="center"/>
              <w:rPr>
                <w:rFonts w:cs="Arial"/>
                <w:bCs/>
                <w:sz w:val="18"/>
                <w:szCs w:val="18"/>
              </w:rPr>
            </w:pPr>
            <w:r>
              <w:rPr>
                <w:rFonts w:cs="Arial"/>
                <w:bCs/>
                <w:sz w:val="18"/>
                <w:szCs w:val="18"/>
              </w:rPr>
              <w:t>1 July</w:t>
            </w:r>
            <w:r w:rsidRPr="00C87EF5">
              <w:rPr>
                <w:rFonts w:cs="Arial"/>
                <w:bCs/>
                <w:sz w:val="18"/>
                <w:szCs w:val="18"/>
              </w:rPr>
              <w:t xml:space="preserve"> 201</w:t>
            </w:r>
            <w:r>
              <w:rPr>
                <w:rFonts w:cs="Arial"/>
                <w:bCs/>
                <w:sz w:val="18"/>
                <w:szCs w:val="18"/>
              </w:rPr>
              <w:t>9</w:t>
            </w:r>
          </w:p>
        </w:tc>
        <w:tc>
          <w:tcPr>
            <w:tcW w:w="4265" w:type="dxa"/>
            <w:tcBorders>
              <w:top w:val="single" w:sz="6" w:space="0" w:color="auto"/>
              <w:bottom w:val="single" w:sz="6" w:space="0" w:color="auto"/>
              <w:right w:val="single" w:sz="12" w:space="0" w:color="auto"/>
            </w:tcBorders>
            <w:shd w:val="clear" w:color="FFFFFF" w:fill="FFFFFF"/>
            <w:noWrap/>
          </w:tcPr>
          <w:p w14:paraId="43F1B06B" w14:textId="77777777" w:rsidR="00C32CBD" w:rsidRDefault="00C32CBD" w:rsidP="00320D09">
            <w:pPr>
              <w:rPr>
                <w:rFonts w:cs="Arial"/>
                <w:sz w:val="18"/>
                <w:szCs w:val="18"/>
              </w:rPr>
            </w:pPr>
            <w:r w:rsidRPr="008322E5">
              <w:rPr>
                <w:rFonts w:cs="Arial"/>
                <w:sz w:val="18"/>
                <w:szCs w:val="18"/>
              </w:rPr>
              <w:t xml:space="preserve">Nature: AASB 1058, AASB 2016-7 and AASB 2016-8 clarify and simplify the income recognition requirements that apply to not-for-profit (NFP) entities, in conjunction with AASB 15 Revenue from Contracts with Customers. They supersede all the income recognition requirements relating to private sector NFP entities, and the majority of income recognition requirements relating to public sector NFP entities, previously in AASB 1004 Contributions.  The requirements of AASB 1058 more closely reflect the economic reality of NFP entity transactions that are not contracts with customers (as defined in AASB 15).  The timing of income recognition depends on whether such a transaction gives rise to a liability or other performance obligation (a promise to transfer a good or service), or a contribution by owners, related to an asset (such as cash or another asset) received by an entity.  </w:t>
            </w:r>
          </w:p>
          <w:p w14:paraId="2A09DE1A" w14:textId="77777777" w:rsidR="00C32CBD" w:rsidRPr="008322E5" w:rsidRDefault="00C32CBD" w:rsidP="00320D09">
            <w:pPr>
              <w:rPr>
                <w:rFonts w:cs="Arial"/>
                <w:sz w:val="18"/>
                <w:szCs w:val="18"/>
              </w:rPr>
            </w:pPr>
          </w:p>
          <w:p w14:paraId="579A4E21" w14:textId="77777777" w:rsidR="00C32CBD" w:rsidRDefault="00C32CBD" w:rsidP="00320D09">
            <w:pPr>
              <w:rPr>
                <w:rFonts w:cs="Arial"/>
                <w:sz w:val="18"/>
                <w:szCs w:val="18"/>
              </w:rPr>
            </w:pPr>
            <w:r w:rsidRPr="008322E5">
              <w:rPr>
                <w:rFonts w:cs="Arial"/>
                <w:sz w:val="18"/>
                <w:szCs w:val="18"/>
              </w:rPr>
              <w:t xml:space="preserve">Likely impact: Expected to have an impact on the recognition, measurement and disclosure of </w:t>
            </w:r>
            <w:r>
              <w:rPr>
                <w:rFonts w:cs="Arial"/>
                <w:sz w:val="18"/>
                <w:szCs w:val="18"/>
              </w:rPr>
              <w:t>in</w:t>
            </w:r>
            <w:r>
              <w:rPr>
                <w:rFonts w:cs="Arial"/>
                <w:sz w:val="18"/>
                <w:szCs w:val="18"/>
              </w:rPr>
              <w:noBreakHyphen/>
              <w:t>kind</w:t>
            </w:r>
            <w:r w:rsidRPr="008322E5">
              <w:rPr>
                <w:rFonts w:cs="Arial"/>
                <w:sz w:val="18"/>
                <w:szCs w:val="18"/>
              </w:rPr>
              <w:t xml:space="preserve"> </w:t>
            </w:r>
            <w:r>
              <w:rPr>
                <w:rFonts w:cs="Arial"/>
                <w:sz w:val="18"/>
                <w:szCs w:val="18"/>
              </w:rPr>
              <w:t>gains recognised</w:t>
            </w:r>
            <w:r w:rsidRPr="008322E5">
              <w:rPr>
                <w:rFonts w:cs="Arial"/>
                <w:sz w:val="18"/>
                <w:szCs w:val="18"/>
              </w:rPr>
              <w:t xml:space="preserve"> as a result of the difference between consideration paid and the fair value of services received by the </w:t>
            </w:r>
            <w:r>
              <w:rPr>
                <w:rFonts w:cs="Arial"/>
                <w:sz w:val="18"/>
                <w:szCs w:val="18"/>
              </w:rPr>
              <w:t>Agency</w:t>
            </w:r>
            <w:r w:rsidRPr="008322E5">
              <w:rPr>
                <w:rFonts w:cs="Arial"/>
                <w:sz w:val="18"/>
                <w:szCs w:val="18"/>
              </w:rPr>
              <w:t>.</w:t>
            </w:r>
          </w:p>
        </w:tc>
      </w:tr>
    </w:tbl>
    <w:p w14:paraId="7E4E27F9" w14:textId="77777777" w:rsidR="00C32CBD" w:rsidRDefault="00C32CBD" w:rsidP="00C32CBD">
      <w:pPr>
        <w:spacing w:line="120" w:lineRule="atLeast"/>
        <w:jc w:val="both"/>
        <w:rPr>
          <w:rFonts w:cs="Arial"/>
          <w:sz w:val="18"/>
          <w:szCs w:val="18"/>
          <w:lang w:eastAsia="en-AU"/>
        </w:rPr>
      </w:pPr>
    </w:p>
    <w:p w14:paraId="17606F60" w14:textId="77777777" w:rsidR="00C32CBD" w:rsidRDefault="00C32CBD" w:rsidP="00C32CBD">
      <w:pPr>
        <w:spacing w:line="120" w:lineRule="atLeast"/>
        <w:jc w:val="both"/>
        <w:rPr>
          <w:rFonts w:cs="Arial"/>
          <w:sz w:val="18"/>
          <w:szCs w:val="18"/>
          <w:lang w:eastAsia="en-AU"/>
        </w:rPr>
      </w:pPr>
      <w:r>
        <w:rPr>
          <w:rFonts w:cs="Arial"/>
          <w:sz w:val="18"/>
          <w:szCs w:val="18"/>
          <w:lang w:eastAsia="en-AU"/>
        </w:rPr>
        <w:t>All other new, revised and amending standards and interpretations that were issued prior to signing date and are applicable to future reporting periods are not expected to have a material impact on the Agency’s financial statements.</w:t>
      </w:r>
    </w:p>
    <w:p w14:paraId="699D6959" w14:textId="77777777" w:rsidR="00C32CBD" w:rsidRDefault="00C32CBD" w:rsidP="00C32CBD">
      <w:pPr>
        <w:spacing w:line="120" w:lineRule="atLeast"/>
        <w:jc w:val="both"/>
        <w:rPr>
          <w:rFonts w:cs="Arial"/>
          <w:sz w:val="18"/>
          <w:szCs w:val="18"/>
          <w:lang w:eastAsia="en-AU"/>
        </w:rPr>
      </w:pPr>
    </w:p>
    <w:p w14:paraId="56DF735E" w14:textId="77777777" w:rsidR="00C32CBD" w:rsidRPr="00C12BB6" w:rsidRDefault="00C32CBD" w:rsidP="00C32CBD">
      <w:pPr>
        <w:spacing w:line="240" w:lineRule="auto"/>
        <w:rPr>
          <w:rFonts w:cs="Arial"/>
          <w:b/>
          <w:bCs/>
          <w:color w:val="009560"/>
          <w:sz w:val="18"/>
          <w:szCs w:val="18"/>
          <w:lang w:eastAsia="en-AU"/>
        </w:rPr>
      </w:pPr>
      <w:r>
        <w:rPr>
          <w:rFonts w:cs="Arial"/>
          <w:b/>
          <w:bCs/>
          <w:color w:val="009560"/>
          <w:sz w:val="18"/>
          <w:szCs w:val="18"/>
          <w:lang w:eastAsia="en-AU"/>
        </w:rPr>
        <w:t>Taxation</w:t>
      </w:r>
    </w:p>
    <w:p w14:paraId="5559B689" w14:textId="77777777" w:rsidR="00C32CBD" w:rsidRDefault="00C32CBD" w:rsidP="00C32CBD">
      <w:pPr>
        <w:keepNext/>
        <w:spacing w:line="240" w:lineRule="auto"/>
        <w:jc w:val="both"/>
        <w:rPr>
          <w:rFonts w:cs="Arial"/>
          <w:sz w:val="18"/>
          <w:szCs w:val="18"/>
          <w:lang w:eastAsia="en-AU"/>
        </w:rPr>
      </w:pPr>
    </w:p>
    <w:p w14:paraId="6DBC9A5B" w14:textId="77777777" w:rsidR="00C32CBD" w:rsidRDefault="00C32CBD" w:rsidP="00C32CBD">
      <w:pPr>
        <w:keepNext/>
        <w:spacing w:line="240" w:lineRule="auto"/>
        <w:jc w:val="both"/>
        <w:rPr>
          <w:rFonts w:cs="Arial"/>
          <w:sz w:val="18"/>
          <w:szCs w:val="18"/>
          <w:lang w:eastAsia="en-AU"/>
        </w:rPr>
      </w:pPr>
      <w:r w:rsidRPr="00BB6CF4">
        <w:rPr>
          <w:rFonts w:cs="Arial"/>
          <w:sz w:val="18"/>
          <w:szCs w:val="18"/>
          <w:lang w:eastAsia="en-AU"/>
        </w:rPr>
        <w:t xml:space="preserve">The Agency is exempt from all forms of taxation except Fringe Benefits Tax (FBT) and the Goods </w:t>
      </w:r>
      <w:r>
        <w:rPr>
          <w:rFonts w:cs="Arial"/>
          <w:sz w:val="18"/>
          <w:szCs w:val="18"/>
          <w:lang w:eastAsia="en-AU"/>
        </w:rPr>
        <w:t>and Services Tax (GST).</w:t>
      </w:r>
    </w:p>
    <w:p w14:paraId="777A872C" w14:textId="77777777" w:rsidR="00C32CBD" w:rsidRPr="00BB6CF4" w:rsidRDefault="00C32CBD" w:rsidP="00C32CBD">
      <w:pPr>
        <w:keepNext/>
        <w:spacing w:line="240" w:lineRule="auto"/>
        <w:jc w:val="both"/>
        <w:rPr>
          <w:rFonts w:cs="Arial"/>
          <w:sz w:val="18"/>
          <w:szCs w:val="18"/>
          <w:lang w:eastAsia="en-AU"/>
        </w:rPr>
      </w:pPr>
    </w:p>
    <w:p w14:paraId="32A09567" w14:textId="77777777" w:rsidR="00C32CBD" w:rsidRDefault="00C32CBD" w:rsidP="00C32CBD"/>
    <w:p w14:paraId="559051FB" w14:textId="77777777" w:rsidR="00C32CBD" w:rsidRDefault="00C32CBD" w:rsidP="00C32CBD">
      <w:pPr>
        <w:spacing w:line="240" w:lineRule="auto"/>
        <w:rPr>
          <w:rFonts w:cs="Arial"/>
          <w:b/>
          <w:bCs/>
          <w:color w:val="009560"/>
          <w:sz w:val="18"/>
          <w:szCs w:val="18"/>
          <w:lang w:eastAsia="en-AU"/>
        </w:rPr>
      </w:pPr>
      <w:r w:rsidRPr="00C12BB6">
        <w:rPr>
          <w:rFonts w:cs="Arial"/>
          <w:b/>
          <w:bCs/>
          <w:color w:val="009560"/>
          <w:sz w:val="18"/>
          <w:szCs w:val="18"/>
          <w:lang w:eastAsia="en-AU"/>
        </w:rPr>
        <w:t xml:space="preserve">Events after the </w:t>
      </w:r>
      <w:r>
        <w:rPr>
          <w:rFonts w:cs="Arial"/>
          <w:b/>
          <w:bCs/>
          <w:color w:val="009560"/>
          <w:sz w:val="18"/>
          <w:szCs w:val="18"/>
          <w:lang w:eastAsia="en-AU"/>
        </w:rPr>
        <w:t>r</w:t>
      </w:r>
      <w:r w:rsidRPr="00C12BB6">
        <w:rPr>
          <w:rFonts w:cs="Arial"/>
          <w:b/>
          <w:bCs/>
          <w:color w:val="009560"/>
          <w:sz w:val="18"/>
          <w:szCs w:val="18"/>
          <w:lang w:eastAsia="en-AU"/>
        </w:rPr>
        <w:t xml:space="preserve">eporting </w:t>
      </w:r>
      <w:r>
        <w:rPr>
          <w:rFonts w:cs="Arial"/>
          <w:b/>
          <w:bCs/>
          <w:color w:val="009560"/>
          <w:sz w:val="18"/>
          <w:szCs w:val="18"/>
          <w:lang w:eastAsia="en-AU"/>
        </w:rPr>
        <w:t>p</w:t>
      </w:r>
      <w:r w:rsidRPr="00C12BB6">
        <w:rPr>
          <w:rFonts w:cs="Arial"/>
          <w:b/>
          <w:bCs/>
          <w:color w:val="009560"/>
          <w:sz w:val="18"/>
          <w:szCs w:val="18"/>
          <w:lang w:eastAsia="en-AU"/>
        </w:rPr>
        <w:t>eriod</w:t>
      </w:r>
    </w:p>
    <w:p w14:paraId="1CA5E18D" w14:textId="77777777" w:rsidR="00C32CBD" w:rsidRDefault="00C32CBD" w:rsidP="00C32CBD">
      <w:pPr>
        <w:spacing w:line="240" w:lineRule="auto"/>
        <w:jc w:val="both"/>
        <w:rPr>
          <w:rFonts w:cs="Arial"/>
          <w:sz w:val="18"/>
          <w:szCs w:val="18"/>
          <w:lang w:eastAsia="en-AU"/>
        </w:rPr>
      </w:pPr>
    </w:p>
    <w:p w14:paraId="22CAB01F" w14:textId="77777777" w:rsidR="00C32CBD" w:rsidRDefault="00C32CBD" w:rsidP="00C32CBD">
      <w:pPr>
        <w:keepNext/>
        <w:spacing w:line="240" w:lineRule="auto"/>
        <w:jc w:val="both"/>
        <w:rPr>
          <w:rFonts w:cs="Arial"/>
          <w:bCs/>
          <w:color w:val="009560"/>
          <w:sz w:val="18"/>
          <w:szCs w:val="18"/>
          <w:lang w:eastAsia="en-AU"/>
        </w:rPr>
      </w:pPr>
      <w:r w:rsidRPr="00D303C2">
        <w:rPr>
          <w:rFonts w:cs="Arial"/>
          <w:sz w:val="18"/>
          <w:szCs w:val="18"/>
          <w:lang w:eastAsia="en-AU"/>
        </w:rPr>
        <w:t>The Commonwealth and West A</w:t>
      </w:r>
      <w:r>
        <w:rPr>
          <w:rFonts w:cs="Arial"/>
          <w:sz w:val="18"/>
          <w:szCs w:val="18"/>
          <w:lang w:eastAsia="en-AU"/>
        </w:rPr>
        <w:t xml:space="preserve">ustralian (WA) governments </w:t>
      </w:r>
      <w:r w:rsidRPr="00D303C2">
        <w:rPr>
          <w:rFonts w:cs="Arial"/>
          <w:sz w:val="18"/>
          <w:szCs w:val="18"/>
          <w:lang w:eastAsia="en-AU"/>
        </w:rPr>
        <w:t>announced an agreement for a nationally consistent but state-run National Disability Insurance Scheme (NDIS) in Western Australia.  The NDIS and WA NDIS trials were set to en</w:t>
      </w:r>
      <w:r>
        <w:rPr>
          <w:rFonts w:cs="Arial"/>
          <w:sz w:val="18"/>
          <w:szCs w:val="18"/>
          <w:lang w:eastAsia="en-AU"/>
        </w:rPr>
        <w:t xml:space="preserve">d on 30 June 2017, however, </w:t>
      </w:r>
      <w:r w:rsidRPr="00D303C2">
        <w:rPr>
          <w:rFonts w:cs="Arial"/>
          <w:sz w:val="18"/>
          <w:szCs w:val="18"/>
          <w:lang w:eastAsia="en-AU"/>
        </w:rPr>
        <w:t>WA and Commonweal</w:t>
      </w:r>
      <w:r>
        <w:rPr>
          <w:rFonts w:cs="Arial"/>
          <w:sz w:val="18"/>
          <w:szCs w:val="18"/>
          <w:lang w:eastAsia="en-AU"/>
        </w:rPr>
        <w:t xml:space="preserve">th negotiations are continuing. To ensure </w:t>
      </w:r>
      <w:r w:rsidRPr="005A7083">
        <w:rPr>
          <w:rFonts w:cs="Arial"/>
          <w:sz w:val="18"/>
          <w:szCs w:val="18"/>
          <w:lang w:eastAsia="en-AU"/>
        </w:rPr>
        <w:t>people with disabilities are not delayed in accessing the Scheme,</w:t>
      </w:r>
      <w:r w:rsidRPr="00D303C2">
        <w:rPr>
          <w:rFonts w:cs="Arial"/>
          <w:sz w:val="18"/>
          <w:szCs w:val="18"/>
          <w:lang w:eastAsia="en-AU"/>
        </w:rPr>
        <w:t xml:space="preserve"> interim arrangements </w:t>
      </w:r>
      <w:r>
        <w:rPr>
          <w:rFonts w:cs="Arial"/>
          <w:sz w:val="18"/>
          <w:szCs w:val="18"/>
          <w:lang w:eastAsia="en-AU"/>
        </w:rPr>
        <w:t xml:space="preserve">have been implemented, and this involves the Agency continuing to operate the WA site. </w:t>
      </w:r>
      <w:r>
        <w:t xml:space="preserve">  </w:t>
      </w:r>
      <w:r>
        <w:rPr>
          <w:rFonts w:cs="Arial"/>
          <w:bCs/>
          <w:color w:val="009560"/>
          <w:sz w:val="18"/>
          <w:szCs w:val="18"/>
          <w:lang w:eastAsia="en-AU"/>
        </w:rPr>
        <w:br w:type="page"/>
      </w:r>
    </w:p>
    <w:p w14:paraId="54D35D31" w14:textId="77777777" w:rsidR="00C32CBD" w:rsidRDefault="00C32CBD" w:rsidP="00C32CBD">
      <w:pPr>
        <w:pStyle w:val="ContinuedNotesHeading-Level1"/>
        <w:sectPr w:rsidR="00C32CBD" w:rsidSect="00320D09">
          <w:type w:val="continuous"/>
          <w:pgSz w:w="11906" w:h="16838" w:code="9"/>
          <w:pgMar w:top="1134" w:right="1700" w:bottom="1134" w:left="1134" w:header="958" w:footer="737" w:gutter="0"/>
          <w:cols w:space="708"/>
          <w:docGrid w:linePitch="360"/>
        </w:sectPr>
      </w:pPr>
      <w:bookmarkStart w:id="81" w:name="_Toc444065770"/>
      <w:bookmarkStart w:id="82" w:name="_Toc444077332"/>
      <w:bookmarkEnd w:id="71"/>
      <w:bookmarkEnd w:id="72"/>
    </w:p>
    <w:p w14:paraId="4BAB0907" w14:textId="77777777" w:rsidR="00C32CBD" w:rsidRPr="00EE5DE1" w:rsidRDefault="00C32CBD" w:rsidP="00C32CBD">
      <w:pPr>
        <w:pStyle w:val="SectionHeading"/>
      </w:pPr>
      <w:bookmarkStart w:id="83" w:name="_Toc447030535"/>
      <w:bookmarkStart w:id="84" w:name="_Toc447030687"/>
      <w:bookmarkStart w:id="85" w:name="_Toc447030780"/>
      <w:bookmarkStart w:id="86" w:name="_Toc456865053"/>
      <w:bookmarkStart w:id="87" w:name="_Toc496611897"/>
      <w:r w:rsidRPr="00EE5DE1">
        <w:t>Financial Performance</w:t>
      </w:r>
      <w:bookmarkEnd w:id="81"/>
      <w:bookmarkEnd w:id="82"/>
      <w:bookmarkEnd w:id="83"/>
      <w:bookmarkEnd w:id="84"/>
      <w:bookmarkEnd w:id="85"/>
      <w:bookmarkEnd w:id="86"/>
      <w:bookmarkEnd w:id="87"/>
    </w:p>
    <w:p w14:paraId="7B861E6B" w14:textId="256EA3D9" w:rsidR="00C32CBD" w:rsidRDefault="00C32CBD" w:rsidP="00C32CBD">
      <w:pPr>
        <w:pStyle w:val="SectionHeadingDescription"/>
      </w:pPr>
      <w:bookmarkStart w:id="88" w:name="_Toc444065771"/>
      <w:r w:rsidRPr="00EE5DE1">
        <w:t xml:space="preserve">This section analyses the financial performance of the </w:t>
      </w:r>
      <w:r>
        <w:t>Agency</w:t>
      </w:r>
      <w:r w:rsidRPr="00EE5DE1">
        <w:t xml:space="preserve"> for the </w:t>
      </w:r>
      <w:r>
        <w:t>period</w:t>
      </w:r>
      <w:r w:rsidRPr="00EE5DE1">
        <w:t xml:space="preserve"> ended</w:t>
      </w:r>
      <w:r w:rsidR="00DE4C08" w:rsidRPr="00DE4C08">
        <w:t xml:space="preserve"> 30 June 2017</w:t>
      </w:r>
      <w:r w:rsidRPr="00EE5DE1">
        <w:t>.</w:t>
      </w:r>
      <w:bookmarkStart w:id="89" w:name="_Toc443469523"/>
      <w:bookmarkStart w:id="90" w:name="_Toc444065772"/>
      <w:bookmarkStart w:id="91" w:name="_Toc444077333"/>
      <w:bookmarkEnd w:id="88"/>
    </w:p>
    <w:p w14:paraId="6349D6A5" w14:textId="77777777" w:rsidR="00C32CBD" w:rsidRPr="00FF78A0" w:rsidRDefault="00C32CBD" w:rsidP="00C32CBD">
      <w:pPr>
        <w:pStyle w:val="SubHeading"/>
      </w:pPr>
      <w:bookmarkStart w:id="92" w:name="_Toc447030536"/>
      <w:bookmarkStart w:id="93" w:name="_Toc447030688"/>
      <w:bookmarkStart w:id="94" w:name="_Toc447030781"/>
      <w:bookmarkStart w:id="95" w:name="_Toc456865054"/>
      <w:bookmarkStart w:id="96" w:name="_Toc496611898"/>
      <w:r w:rsidRPr="00714F4A">
        <w:t>Exp</w:t>
      </w:r>
      <w:r w:rsidRPr="00FF3E9C">
        <w:t>enses</w:t>
      </w:r>
      <w:bookmarkEnd w:id="89"/>
      <w:bookmarkEnd w:id="90"/>
      <w:bookmarkEnd w:id="91"/>
      <w:bookmarkEnd w:id="92"/>
      <w:bookmarkEnd w:id="93"/>
      <w:bookmarkEnd w:id="94"/>
      <w:bookmarkEnd w:id="95"/>
      <w:bookmarkEnd w:id="96"/>
    </w:p>
    <w:tbl>
      <w:tblPr>
        <w:tblW w:w="9087" w:type="dxa"/>
        <w:tblInd w:w="80" w:type="dxa"/>
        <w:tblLayout w:type="fixed"/>
        <w:tblLook w:val="04A0" w:firstRow="1" w:lastRow="0" w:firstColumn="1" w:lastColumn="0" w:noHBand="0" w:noVBand="1"/>
      </w:tblPr>
      <w:tblGrid>
        <w:gridCol w:w="6375"/>
        <w:gridCol w:w="1252"/>
        <w:gridCol w:w="267"/>
        <w:gridCol w:w="1193"/>
      </w:tblGrid>
      <w:tr w:rsidR="00C32CBD" w14:paraId="3AB1E177" w14:textId="77777777" w:rsidTr="00320D09">
        <w:trPr>
          <w:trHeight w:val="240"/>
        </w:trPr>
        <w:tc>
          <w:tcPr>
            <w:tcW w:w="6383" w:type="dxa"/>
            <w:tcBorders>
              <w:top w:val="nil"/>
              <w:left w:val="nil"/>
              <w:bottom w:val="nil"/>
              <w:right w:val="nil"/>
            </w:tcBorders>
            <w:shd w:val="clear" w:color="FFFFFF" w:fill="FFFFFF"/>
            <w:noWrap/>
            <w:vAlign w:val="bottom"/>
            <w:hideMark/>
          </w:tcPr>
          <w:p w14:paraId="22BC67D0" w14:textId="77777777" w:rsidR="00C32CBD" w:rsidRDefault="00C32CBD" w:rsidP="00320D09">
            <w:pPr>
              <w:rPr>
                <w:rFonts w:cs="Arial"/>
                <w:sz w:val="18"/>
                <w:szCs w:val="18"/>
              </w:rPr>
            </w:pPr>
            <w:bookmarkStart w:id="97" w:name="Note_EEXTABLE1" w:colFirst="0" w:colLast="0"/>
            <w:r>
              <w:rPr>
                <w:rFonts w:cs="Arial"/>
                <w:sz w:val="18"/>
                <w:szCs w:val="18"/>
              </w:rPr>
              <w:t> </w:t>
            </w:r>
          </w:p>
        </w:tc>
        <w:tc>
          <w:tcPr>
            <w:tcW w:w="1253" w:type="dxa"/>
            <w:tcBorders>
              <w:top w:val="nil"/>
              <w:left w:val="nil"/>
              <w:bottom w:val="nil"/>
              <w:right w:val="nil"/>
            </w:tcBorders>
            <w:shd w:val="clear" w:color="FFFFFF" w:fill="FFFFFF"/>
            <w:vAlign w:val="bottom"/>
            <w:hideMark/>
          </w:tcPr>
          <w:p w14:paraId="30E7514F" w14:textId="77777777" w:rsidR="00C32CBD" w:rsidRDefault="00C32CBD" w:rsidP="00320D09">
            <w:pPr>
              <w:jc w:val="right"/>
              <w:rPr>
                <w:rFonts w:cs="Arial"/>
                <w:b/>
                <w:bCs/>
                <w:sz w:val="18"/>
                <w:szCs w:val="18"/>
              </w:rPr>
            </w:pPr>
            <w:r>
              <w:rPr>
                <w:rFonts w:cs="Arial"/>
                <w:b/>
                <w:bCs/>
                <w:sz w:val="18"/>
                <w:szCs w:val="18"/>
              </w:rPr>
              <w:t>2017</w:t>
            </w:r>
          </w:p>
        </w:tc>
        <w:tc>
          <w:tcPr>
            <w:tcW w:w="267" w:type="dxa"/>
            <w:tcBorders>
              <w:top w:val="nil"/>
              <w:left w:val="nil"/>
              <w:bottom w:val="nil"/>
              <w:right w:val="nil"/>
            </w:tcBorders>
            <w:shd w:val="clear" w:color="FFFFFF" w:fill="FFFFFF"/>
            <w:noWrap/>
            <w:vAlign w:val="bottom"/>
            <w:hideMark/>
          </w:tcPr>
          <w:p w14:paraId="352706C3" w14:textId="77777777" w:rsidR="00C32CBD" w:rsidRDefault="00C32CBD" w:rsidP="00320D09">
            <w:pPr>
              <w:rPr>
                <w:rFonts w:cs="Arial"/>
                <w:sz w:val="18"/>
                <w:szCs w:val="18"/>
              </w:rPr>
            </w:pPr>
            <w:r>
              <w:rPr>
                <w:rFonts w:cs="Arial"/>
                <w:sz w:val="18"/>
                <w:szCs w:val="18"/>
              </w:rPr>
              <w:t> </w:t>
            </w:r>
          </w:p>
        </w:tc>
        <w:tc>
          <w:tcPr>
            <w:tcW w:w="1194" w:type="dxa"/>
            <w:tcBorders>
              <w:top w:val="nil"/>
              <w:left w:val="nil"/>
              <w:bottom w:val="nil"/>
              <w:right w:val="nil"/>
            </w:tcBorders>
            <w:shd w:val="clear" w:color="FFFFFF" w:fill="FFFFFF"/>
            <w:vAlign w:val="bottom"/>
            <w:hideMark/>
          </w:tcPr>
          <w:p w14:paraId="353B301F" w14:textId="77777777" w:rsidR="00C32CBD" w:rsidRDefault="00C32CBD" w:rsidP="00320D09">
            <w:pPr>
              <w:jc w:val="right"/>
              <w:rPr>
                <w:rFonts w:cs="Arial"/>
                <w:sz w:val="18"/>
                <w:szCs w:val="18"/>
              </w:rPr>
            </w:pPr>
            <w:r>
              <w:rPr>
                <w:rFonts w:cs="Arial"/>
                <w:sz w:val="18"/>
                <w:szCs w:val="18"/>
              </w:rPr>
              <w:t>2016</w:t>
            </w:r>
          </w:p>
        </w:tc>
      </w:tr>
      <w:bookmarkEnd w:id="97"/>
      <w:tr w:rsidR="00C32CBD" w14:paraId="04A5D72E" w14:textId="77777777" w:rsidTr="00320D09">
        <w:trPr>
          <w:trHeight w:val="240"/>
        </w:trPr>
        <w:tc>
          <w:tcPr>
            <w:tcW w:w="6383" w:type="dxa"/>
            <w:tcBorders>
              <w:top w:val="nil"/>
              <w:left w:val="nil"/>
              <w:bottom w:val="nil"/>
              <w:right w:val="nil"/>
            </w:tcBorders>
            <w:shd w:val="clear" w:color="FFFFFF" w:fill="FFFFFF"/>
            <w:noWrap/>
            <w:vAlign w:val="bottom"/>
            <w:hideMark/>
          </w:tcPr>
          <w:p w14:paraId="552361A7" w14:textId="77777777" w:rsidR="00C32CBD" w:rsidRDefault="00C32CBD" w:rsidP="00320D09">
            <w:pPr>
              <w:rPr>
                <w:rFonts w:cs="Arial"/>
                <w:sz w:val="18"/>
                <w:szCs w:val="18"/>
              </w:rPr>
            </w:pPr>
            <w:r>
              <w:rPr>
                <w:rFonts w:cs="Arial"/>
                <w:sz w:val="18"/>
                <w:szCs w:val="18"/>
              </w:rPr>
              <w:t> </w:t>
            </w:r>
          </w:p>
        </w:tc>
        <w:tc>
          <w:tcPr>
            <w:tcW w:w="1253" w:type="dxa"/>
            <w:tcBorders>
              <w:top w:val="nil"/>
              <w:left w:val="nil"/>
              <w:bottom w:val="nil"/>
              <w:right w:val="nil"/>
            </w:tcBorders>
            <w:shd w:val="clear" w:color="FFFFFF" w:fill="FFFFFF"/>
            <w:vAlign w:val="bottom"/>
            <w:hideMark/>
          </w:tcPr>
          <w:p w14:paraId="49663230" w14:textId="77777777" w:rsidR="00C32CBD" w:rsidRDefault="00C32CBD" w:rsidP="00320D09">
            <w:pPr>
              <w:jc w:val="right"/>
              <w:rPr>
                <w:rFonts w:cs="Arial"/>
                <w:b/>
                <w:bCs/>
                <w:sz w:val="18"/>
                <w:szCs w:val="18"/>
              </w:rPr>
            </w:pPr>
            <w:r>
              <w:rPr>
                <w:rFonts w:cs="Arial"/>
                <w:b/>
                <w:bCs/>
                <w:sz w:val="18"/>
                <w:szCs w:val="18"/>
              </w:rPr>
              <w:t>$'000</w:t>
            </w:r>
          </w:p>
        </w:tc>
        <w:tc>
          <w:tcPr>
            <w:tcW w:w="267" w:type="dxa"/>
            <w:tcBorders>
              <w:top w:val="nil"/>
              <w:left w:val="nil"/>
              <w:bottom w:val="nil"/>
              <w:right w:val="nil"/>
            </w:tcBorders>
            <w:shd w:val="clear" w:color="FFFFFF" w:fill="FFFFFF"/>
            <w:noWrap/>
            <w:vAlign w:val="bottom"/>
            <w:hideMark/>
          </w:tcPr>
          <w:p w14:paraId="70A03234" w14:textId="77777777" w:rsidR="00C32CBD" w:rsidRDefault="00C32CBD" w:rsidP="00320D09">
            <w:pPr>
              <w:rPr>
                <w:rFonts w:cs="Arial"/>
                <w:sz w:val="18"/>
                <w:szCs w:val="18"/>
              </w:rPr>
            </w:pPr>
            <w:r>
              <w:rPr>
                <w:rFonts w:cs="Arial"/>
                <w:sz w:val="18"/>
                <w:szCs w:val="18"/>
              </w:rPr>
              <w:t> </w:t>
            </w:r>
          </w:p>
        </w:tc>
        <w:tc>
          <w:tcPr>
            <w:tcW w:w="1194" w:type="dxa"/>
            <w:tcBorders>
              <w:top w:val="nil"/>
              <w:left w:val="nil"/>
              <w:bottom w:val="nil"/>
              <w:right w:val="nil"/>
            </w:tcBorders>
            <w:shd w:val="clear" w:color="FFFFFF" w:fill="FFFFFF"/>
            <w:vAlign w:val="bottom"/>
            <w:hideMark/>
          </w:tcPr>
          <w:p w14:paraId="4CB2DBC4" w14:textId="77777777" w:rsidR="00C32CBD" w:rsidRDefault="00C32CBD" w:rsidP="00320D09">
            <w:pPr>
              <w:jc w:val="right"/>
              <w:rPr>
                <w:rFonts w:cs="Arial"/>
                <w:sz w:val="18"/>
                <w:szCs w:val="18"/>
              </w:rPr>
            </w:pPr>
            <w:r>
              <w:rPr>
                <w:rFonts w:cs="Arial"/>
                <w:sz w:val="18"/>
                <w:szCs w:val="18"/>
              </w:rPr>
              <w:t>$'000</w:t>
            </w:r>
          </w:p>
        </w:tc>
      </w:tr>
      <w:tr w:rsidR="00C32CBD" w14:paraId="4CE9065D" w14:textId="77777777" w:rsidTr="00320D09">
        <w:trPr>
          <w:trHeight w:val="240"/>
        </w:trPr>
        <w:tc>
          <w:tcPr>
            <w:tcW w:w="6383" w:type="dxa"/>
            <w:tcBorders>
              <w:top w:val="nil"/>
              <w:left w:val="nil"/>
              <w:bottom w:val="nil"/>
              <w:right w:val="nil"/>
            </w:tcBorders>
            <w:shd w:val="clear" w:color="FFFFFF" w:fill="FFFFFF"/>
            <w:noWrap/>
            <w:vAlign w:val="bottom"/>
            <w:hideMark/>
          </w:tcPr>
          <w:p w14:paraId="693CC58B" w14:textId="77777777" w:rsidR="00C32CBD" w:rsidRDefault="00C32CBD" w:rsidP="00320D09">
            <w:pPr>
              <w:rPr>
                <w:rFonts w:cs="Arial"/>
                <w:b/>
                <w:bCs/>
                <w:sz w:val="18"/>
                <w:szCs w:val="18"/>
                <w:u w:val="single"/>
              </w:rPr>
            </w:pPr>
            <w:r>
              <w:rPr>
                <w:rFonts w:cs="Arial"/>
                <w:b/>
                <w:bCs/>
                <w:sz w:val="18"/>
                <w:szCs w:val="18"/>
                <w:u w:val="single"/>
              </w:rPr>
              <w:t>Note 1.1A: Employee benefits</w:t>
            </w:r>
          </w:p>
        </w:tc>
        <w:tc>
          <w:tcPr>
            <w:tcW w:w="1253" w:type="dxa"/>
            <w:tcBorders>
              <w:top w:val="nil"/>
              <w:left w:val="nil"/>
              <w:bottom w:val="nil"/>
              <w:right w:val="nil"/>
            </w:tcBorders>
            <w:shd w:val="clear" w:color="FFFFFF" w:fill="FFFFFF"/>
            <w:vAlign w:val="bottom"/>
            <w:hideMark/>
          </w:tcPr>
          <w:p w14:paraId="5B734A6C" w14:textId="77777777" w:rsidR="00C32CBD" w:rsidRDefault="00C32CBD" w:rsidP="00320D09">
            <w:pPr>
              <w:jc w:val="right"/>
              <w:rPr>
                <w:rFonts w:cs="Arial"/>
                <w:b/>
                <w:bCs/>
                <w:sz w:val="18"/>
                <w:szCs w:val="18"/>
              </w:rPr>
            </w:pPr>
            <w:r>
              <w:rPr>
                <w:rFonts w:cs="Arial"/>
                <w:b/>
                <w:bCs/>
                <w:sz w:val="18"/>
                <w:szCs w:val="18"/>
              </w:rPr>
              <w:t> </w:t>
            </w:r>
          </w:p>
        </w:tc>
        <w:tc>
          <w:tcPr>
            <w:tcW w:w="267" w:type="dxa"/>
            <w:tcBorders>
              <w:top w:val="nil"/>
              <w:left w:val="nil"/>
              <w:bottom w:val="nil"/>
              <w:right w:val="nil"/>
            </w:tcBorders>
            <w:shd w:val="clear" w:color="FFFFFF" w:fill="FFFFFF"/>
            <w:noWrap/>
            <w:vAlign w:val="bottom"/>
            <w:hideMark/>
          </w:tcPr>
          <w:p w14:paraId="70FB04C5" w14:textId="77777777" w:rsidR="00C32CBD" w:rsidRDefault="00C32CBD" w:rsidP="00320D09">
            <w:pPr>
              <w:rPr>
                <w:rFonts w:cs="Arial"/>
                <w:sz w:val="18"/>
                <w:szCs w:val="18"/>
              </w:rPr>
            </w:pPr>
            <w:r>
              <w:rPr>
                <w:rFonts w:cs="Arial"/>
                <w:sz w:val="18"/>
                <w:szCs w:val="18"/>
              </w:rPr>
              <w:t> </w:t>
            </w:r>
          </w:p>
        </w:tc>
        <w:tc>
          <w:tcPr>
            <w:tcW w:w="1194" w:type="dxa"/>
            <w:tcBorders>
              <w:top w:val="nil"/>
              <w:left w:val="nil"/>
              <w:bottom w:val="nil"/>
              <w:right w:val="nil"/>
            </w:tcBorders>
            <w:shd w:val="clear" w:color="FFFFFF" w:fill="FFFFFF"/>
            <w:vAlign w:val="bottom"/>
            <w:hideMark/>
          </w:tcPr>
          <w:p w14:paraId="68F2FD37" w14:textId="77777777" w:rsidR="00C32CBD" w:rsidRDefault="00C32CBD" w:rsidP="00320D09">
            <w:pPr>
              <w:jc w:val="right"/>
              <w:rPr>
                <w:rFonts w:cs="Arial"/>
                <w:sz w:val="18"/>
                <w:szCs w:val="18"/>
              </w:rPr>
            </w:pPr>
            <w:r>
              <w:rPr>
                <w:rFonts w:cs="Arial"/>
                <w:sz w:val="18"/>
                <w:szCs w:val="18"/>
              </w:rPr>
              <w:t> </w:t>
            </w:r>
          </w:p>
        </w:tc>
      </w:tr>
      <w:tr w:rsidR="00C32CBD" w14:paraId="7BF7467E" w14:textId="77777777" w:rsidTr="00320D09">
        <w:trPr>
          <w:trHeight w:val="240"/>
        </w:trPr>
        <w:tc>
          <w:tcPr>
            <w:tcW w:w="6383" w:type="dxa"/>
            <w:tcBorders>
              <w:top w:val="nil"/>
              <w:left w:val="nil"/>
              <w:bottom w:val="nil"/>
              <w:right w:val="nil"/>
            </w:tcBorders>
            <w:shd w:val="clear" w:color="FFFFFF" w:fill="FFFFFF"/>
            <w:vAlign w:val="bottom"/>
            <w:hideMark/>
          </w:tcPr>
          <w:p w14:paraId="22A60065" w14:textId="77777777" w:rsidR="00C32CBD" w:rsidRDefault="00C32CBD" w:rsidP="00320D09">
            <w:pPr>
              <w:rPr>
                <w:rFonts w:cs="Arial"/>
                <w:sz w:val="18"/>
                <w:szCs w:val="18"/>
              </w:rPr>
            </w:pPr>
            <w:r>
              <w:rPr>
                <w:rFonts w:cs="Arial"/>
                <w:sz w:val="18"/>
                <w:szCs w:val="18"/>
              </w:rPr>
              <w:t>Wages and salaries</w:t>
            </w:r>
          </w:p>
        </w:tc>
        <w:tc>
          <w:tcPr>
            <w:tcW w:w="1253" w:type="dxa"/>
            <w:tcBorders>
              <w:top w:val="nil"/>
              <w:left w:val="nil"/>
              <w:bottom w:val="nil"/>
              <w:right w:val="nil"/>
            </w:tcBorders>
            <w:shd w:val="clear" w:color="FFFFFF" w:fill="FFFFFF"/>
            <w:noWrap/>
            <w:vAlign w:val="bottom"/>
            <w:hideMark/>
          </w:tcPr>
          <w:p w14:paraId="5569D7AA" w14:textId="77777777" w:rsidR="00C32CBD" w:rsidRDefault="00C32CBD" w:rsidP="00320D09">
            <w:pPr>
              <w:jc w:val="right"/>
              <w:rPr>
                <w:rFonts w:cs="Arial"/>
                <w:b/>
                <w:bCs/>
                <w:sz w:val="18"/>
                <w:szCs w:val="18"/>
              </w:rPr>
            </w:pPr>
            <w:r>
              <w:rPr>
                <w:rFonts w:cs="Arial"/>
                <w:b/>
                <w:bCs/>
                <w:sz w:val="18"/>
                <w:szCs w:val="18"/>
              </w:rPr>
              <w:t>133,744</w:t>
            </w:r>
          </w:p>
        </w:tc>
        <w:tc>
          <w:tcPr>
            <w:tcW w:w="267" w:type="dxa"/>
            <w:tcBorders>
              <w:top w:val="nil"/>
              <w:left w:val="nil"/>
              <w:bottom w:val="nil"/>
              <w:right w:val="nil"/>
            </w:tcBorders>
            <w:shd w:val="clear" w:color="FFFFFF" w:fill="FFFFFF"/>
            <w:noWrap/>
            <w:vAlign w:val="bottom"/>
            <w:hideMark/>
          </w:tcPr>
          <w:p w14:paraId="58837EB5" w14:textId="77777777" w:rsidR="00C32CBD" w:rsidRDefault="00C32CBD" w:rsidP="00320D09">
            <w:pPr>
              <w:rPr>
                <w:rFonts w:cs="Arial"/>
                <w:sz w:val="18"/>
                <w:szCs w:val="18"/>
              </w:rPr>
            </w:pPr>
            <w:r>
              <w:rPr>
                <w:rFonts w:cs="Arial"/>
                <w:sz w:val="18"/>
                <w:szCs w:val="18"/>
              </w:rPr>
              <w:t> </w:t>
            </w:r>
          </w:p>
        </w:tc>
        <w:tc>
          <w:tcPr>
            <w:tcW w:w="1194" w:type="dxa"/>
            <w:tcBorders>
              <w:top w:val="nil"/>
              <w:left w:val="nil"/>
              <w:bottom w:val="nil"/>
              <w:right w:val="nil"/>
            </w:tcBorders>
            <w:shd w:val="clear" w:color="FFFFFF" w:fill="FFFFFF"/>
            <w:noWrap/>
            <w:vAlign w:val="bottom"/>
            <w:hideMark/>
          </w:tcPr>
          <w:p w14:paraId="47A0B973" w14:textId="77777777" w:rsidR="00C32CBD" w:rsidRDefault="00C32CBD" w:rsidP="00320D09">
            <w:pPr>
              <w:jc w:val="right"/>
              <w:rPr>
                <w:rFonts w:cs="Arial"/>
                <w:sz w:val="18"/>
                <w:szCs w:val="18"/>
              </w:rPr>
            </w:pPr>
            <w:r>
              <w:rPr>
                <w:rFonts w:cs="Arial"/>
                <w:sz w:val="18"/>
                <w:szCs w:val="18"/>
              </w:rPr>
              <w:t>88,342</w:t>
            </w:r>
          </w:p>
        </w:tc>
      </w:tr>
      <w:tr w:rsidR="00C32CBD" w14:paraId="06D001A1" w14:textId="77777777" w:rsidTr="00320D09">
        <w:trPr>
          <w:trHeight w:val="240"/>
        </w:trPr>
        <w:tc>
          <w:tcPr>
            <w:tcW w:w="6383" w:type="dxa"/>
            <w:tcBorders>
              <w:top w:val="nil"/>
              <w:left w:val="nil"/>
              <w:bottom w:val="nil"/>
              <w:right w:val="nil"/>
            </w:tcBorders>
            <w:shd w:val="clear" w:color="FFFFFF" w:fill="FFFFFF"/>
            <w:vAlign w:val="bottom"/>
            <w:hideMark/>
          </w:tcPr>
          <w:p w14:paraId="5858482F" w14:textId="77777777" w:rsidR="00C32CBD" w:rsidRDefault="00C32CBD" w:rsidP="00320D09">
            <w:pPr>
              <w:rPr>
                <w:rFonts w:cs="Arial"/>
                <w:sz w:val="18"/>
                <w:szCs w:val="18"/>
              </w:rPr>
            </w:pPr>
            <w:r>
              <w:rPr>
                <w:rFonts w:cs="Arial"/>
                <w:sz w:val="18"/>
                <w:szCs w:val="18"/>
              </w:rPr>
              <w:t>Superannuation</w:t>
            </w:r>
          </w:p>
        </w:tc>
        <w:tc>
          <w:tcPr>
            <w:tcW w:w="1253" w:type="dxa"/>
            <w:tcBorders>
              <w:top w:val="nil"/>
              <w:left w:val="nil"/>
              <w:bottom w:val="nil"/>
              <w:right w:val="nil"/>
            </w:tcBorders>
            <w:shd w:val="clear" w:color="FFFFFF" w:fill="FFFFFF"/>
            <w:noWrap/>
            <w:vAlign w:val="bottom"/>
            <w:hideMark/>
          </w:tcPr>
          <w:p w14:paraId="4DD60904" w14:textId="77777777" w:rsidR="00C32CBD" w:rsidRDefault="00C32CBD" w:rsidP="00320D09">
            <w:pPr>
              <w:rPr>
                <w:rFonts w:cs="Arial"/>
                <w:sz w:val="18"/>
                <w:szCs w:val="18"/>
              </w:rPr>
            </w:pPr>
            <w:r>
              <w:rPr>
                <w:rFonts w:cs="Arial"/>
                <w:sz w:val="18"/>
                <w:szCs w:val="18"/>
              </w:rPr>
              <w:t> </w:t>
            </w:r>
          </w:p>
        </w:tc>
        <w:tc>
          <w:tcPr>
            <w:tcW w:w="267" w:type="dxa"/>
            <w:tcBorders>
              <w:top w:val="nil"/>
              <w:left w:val="nil"/>
              <w:bottom w:val="nil"/>
              <w:right w:val="nil"/>
            </w:tcBorders>
            <w:shd w:val="clear" w:color="FFFFFF" w:fill="FFFFFF"/>
            <w:noWrap/>
            <w:vAlign w:val="bottom"/>
            <w:hideMark/>
          </w:tcPr>
          <w:p w14:paraId="2724C568" w14:textId="77777777" w:rsidR="00C32CBD" w:rsidRDefault="00C32CBD" w:rsidP="00320D09">
            <w:pPr>
              <w:rPr>
                <w:rFonts w:cs="Arial"/>
                <w:sz w:val="18"/>
                <w:szCs w:val="18"/>
              </w:rPr>
            </w:pPr>
            <w:r>
              <w:rPr>
                <w:rFonts w:cs="Arial"/>
                <w:sz w:val="18"/>
                <w:szCs w:val="18"/>
              </w:rPr>
              <w:t> </w:t>
            </w:r>
          </w:p>
        </w:tc>
        <w:tc>
          <w:tcPr>
            <w:tcW w:w="1194" w:type="dxa"/>
            <w:tcBorders>
              <w:top w:val="nil"/>
              <w:left w:val="nil"/>
              <w:bottom w:val="nil"/>
              <w:right w:val="nil"/>
            </w:tcBorders>
            <w:shd w:val="clear" w:color="FFFFFF" w:fill="FFFFFF"/>
            <w:noWrap/>
            <w:vAlign w:val="bottom"/>
            <w:hideMark/>
          </w:tcPr>
          <w:p w14:paraId="48B5F049" w14:textId="77777777" w:rsidR="00C32CBD" w:rsidRDefault="00C32CBD" w:rsidP="00320D09">
            <w:pPr>
              <w:jc w:val="right"/>
              <w:rPr>
                <w:rFonts w:cs="Arial"/>
                <w:sz w:val="18"/>
                <w:szCs w:val="18"/>
              </w:rPr>
            </w:pPr>
            <w:r>
              <w:rPr>
                <w:rFonts w:cs="Arial"/>
                <w:sz w:val="18"/>
                <w:szCs w:val="18"/>
              </w:rPr>
              <w:t> </w:t>
            </w:r>
          </w:p>
        </w:tc>
      </w:tr>
      <w:tr w:rsidR="00C32CBD" w14:paraId="399679E2" w14:textId="77777777" w:rsidTr="00320D09">
        <w:trPr>
          <w:trHeight w:val="240"/>
        </w:trPr>
        <w:tc>
          <w:tcPr>
            <w:tcW w:w="6383" w:type="dxa"/>
            <w:tcBorders>
              <w:top w:val="nil"/>
              <w:left w:val="nil"/>
              <w:bottom w:val="nil"/>
              <w:right w:val="nil"/>
            </w:tcBorders>
            <w:shd w:val="clear" w:color="FFFFFF" w:fill="FFFFFF"/>
            <w:noWrap/>
            <w:vAlign w:val="bottom"/>
            <w:hideMark/>
          </w:tcPr>
          <w:p w14:paraId="74DB408C" w14:textId="77777777" w:rsidR="00C32CBD" w:rsidRDefault="00C32CBD" w:rsidP="00320D09">
            <w:pPr>
              <w:ind w:firstLineChars="100" w:firstLine="180"/>
              <w:rPr>
                <w:rFonts w:cs="Arial"/>
                <w:sz w:val="18"/>
                <w:szCs w:val="18"/>
              </w:rPr>
            </w:pPr>
            <w:r>
              <w:rPr>
                <w:rFonts w:cs="Arial"/>
                <w:sz w:val="18"/>
                <w:szCs w:val="18"/>
              </w:rPr>
              <w:t>Defined contribution plans</w:t>
            </w:r>
          </w:p>
        </w:tc>
        <w:tc>
          <w:tcPr>
            <w:tcW w:w="1253" w:type="dxa"/>
            <w:tcBorders>
              <w:top w:val="nil"/>
              <w:left w:val="nil"/>
              <w:bottom w:val="nil"/>
              <w:right w:val="nil"/>
            </w:tcBorders>
            <w:shd w:val="clear" w:color="FFFFFF" w:fill="FFFFFF"/>
            <w:noWrap/>
            <w:vAlign w:val="bottom"/>
            <w:hideMark/>
          </w:tcPr>
          <w:p w14:paraId="1A482A81" w14:textId="77777777" w:rsidR="00C32CBD" w:rsidRDefault="00C32CBD" w:rsidP="00320D09">
            <w:pPr>
              <w:jc w:val="right"/>
              <w:rPr>
                <w:rFonts w:cs="Arial"/>
                <w:b/>
                <w:bCs/>
                <w:sz w:val="18"/>
                <w:szCs w:val="18"/>
              </w:rPr>
            </w:pPr>
            <w:r>
              <w:rPr>
                <w:rFonts w:cs="Arial"/>
                <w:b/>
                <w:bCs/>
                <w:sz w:val="18"/>
                <w:szCs w:val="18"/>
              </w:rPr>
              <w:t>17,125</w:t>
            </w:r>
          </w:p>
        </w:tc>
        <w:tc>
          <w:tcPr>
            <w:tcW w:w="267" w:type="dxa"/>
            <w:tcBorders>
              <w:top w:val="nil"/>
              <w:left w:val="nil"/>
              <w:bottom w:val="nil"/>
              <w:right w:val="nil"/>
            </w:tcBorders>
            <w:shd w:val="clear" w:color="FFFFFF" w:fill="FFFFFF"/>
            <w:noWrap/>
            <w:vAlign w:val="bottom"/>
            <w:hideMark/>
          </w:tcPr>
          <w:p w14:paraId="5D936337" w14:textId="77777777" w:rsidR="00C32CBD" w:rsidRDefault="00C32CBD" w:rsidP="00320D09">
            <w:pPr>
              <w:rPr>
                <w:rFonts w:cs="Arial"/>
                <w:sz w:val="18"/>
                <w:szCs w:val="18"/>
              </w:rPr>
            </w:pPr>
            <w:r>
              <w:rPr>
                <w:rFonts w:cs="Arial"/>
                <w:sz w:val="18"/>
                <w:szCs w:val="18"/>
              </w:rPr>
              <w:t> </w:t>
            </w:r>
          </w:p>
        </w:tc>
        <w:tc>
          <w:tcPr>
            <w:tcW w:w="1194" w:type="dxa"/>
            <w:tcBorders>
              <w:top w:val="nil"/>
              <w:left w:val="nil"/>
              <w:bottom w:val="nil"/>
              <w:right w:val="nil"/>
            </w:tcBorders>
            <w:shd w:val="clear" w:color="FFFFFF" w:fill="FFFFFF"/>
            <w:noWrap/>
            <w:vAlign w:val="bottom"/>
            <w:hideMark/>
          </w:tcPr>
          <w:p w14:paraId="7A521256" w14:textId="77777777" w:rsidR="00C32CBD" w:rsidRDefault="00C32CBD" w:rsidP="00320D09">
            <w:pPr>
              <w:jc w:val="right"/>
              <w:rPr>
                <w:rFonts w:cs="Arial"/>
                <w:sz w:val="18"/>
                <w:szCs w:val="18"/>
              </w:rPr>
            </w:pPr>
            <w:r>
              <w:rPr>
                <w:rFonts w:cs="Arial"/>
                <w:sz w:val="18"/>
                <w:szCs w:val="18"/>
              </w:rPr>
              <w:t>10,965</w:t>
            </w:r>
          </w:p>
        </w:tc>
      </w:tr>
      <w:tr w:rsidR="00C32CBD" w14:paraId="746E1940" w14:textId="77777777" w:rsidTr="00320D09">
        <w:trPr>
          <w:trHeight w:val="240"/>
        </w:trPr>
        <w:tc>
          <w:tcPr>
            <w:tcW w:w="6383" w:type="dxa"/>
            <w:tcBorders>
              <w:top w:val="nil"/>
              <w:left w:val="nil"/>
              <w:bottom w:val="nil"/>
              <w:right w:val="nil"/>
            </w:tcBorders>
            <w:shd w:val="clear" w:color="FFFFFF" w:fill="FFFFFF"/>
            <w:noWrap/>
            <w:vAlign w:val="bottom"/>
            <w:hideMark/>
          </w:tcPr>
          <w:p w14:paraId="5CCEAAB1" w14:textId="77777777" w:rsidR="00C32CBD" w:rsidRDefault="00C32CBD" w:rsidP="00320D09">
            <w:pPr>
              <w:ind w:firstLineChars="100" w:firstLine="180"/>
              <w:rPr>
                <w:rFonts w:cs="Arial"/>
                <w:sz w:val="18"/>
                <w:szCs w:val="18"/>
              </w:rPr>
            </w:pPr>
            <w:r>
              <w:rPr>
                <w:rFonts w:cs="Arial"/>
                <w:sz w:val="18"/>
                <w:szCs w:val="18"/>
              </w:rPr>
              <w:t>Defined benefit plans</w:t>
            </w:r>
          </w:p>
        </w:tc>
        <w:tc>
          <w:tcPr>
            <w:tcW w:w="1253" w:type="dxa"/>
            <w:tcBorders>
              <w:top w:val="nil"/>
              <w:left w:val="nil"/>
              <w:bottom w:val="nil"/>
              <w:right w:val="nil"/>
            </w:tcBorders>
            <w:shd w:val="clear" w:color="FFFFFF" w:fill="FFFFFF"/>
            <w:noWrap/>
            <w:vAlign w:val="bottom"/>
            <w:hideMark/>
          </w:tcPr>
          <w:p w14:paraId="7F772F19" w14:textId="77777777" w:rsidR="00C32CBD" w:rsidRDefault="00C32CBD" w:rsidP="00320D09">
            <w:pPr>
              <w:jc w:val="right"/>
              <w:rPr>
                <w:rFonts w:cs="Arial"/>
                <w:b/>
                <w:bCs/>
                <w:sz w:val="18"/>
                <w:szCs w:val="18"/>
              </w:rPr>
            </w:pPr>
            <w:r>
              <w:rPr>
                <w:rFonts w:cs="Arial"/>
                <w:b/>
                <w:bCs/>
                <w:sz w:val="18"/>
                <w:szCs w:val="18"/>
              </w:rPr>
              <w:t>5,456</w:t>
            </w:r>
          </w:p>
        </w:tc>
        <w:tc>
          <w:tcPr>
            <w:tcW w:w="267" w:type="dxa"/>
            <w:tcBorders>
              <w:top w:val="nil"/>
              <w:left w:val="nil"/>
              <w:bottom w:val="nil"/>
              <w:right w:val="nil"/>
            </w:tcBorders>
            <w:shd w:val="clear" w:color="FFFFFF" w:fill="FFFFFF"/>
            <w:noWrap/>
            <w:vAlign w:val="bottom"/>
            <w:hideMark/>
          </w:tcPr>
          <w:p w14:paraId="1A56DA61" w14:textId="77777777" w:rsidR="00C32CBD" w:rsidRDefault="00C32CBD" w:rsidP="00320D09">
            <w:pPr>
              <w:rPr>
                <w:rFonts w:cs="Arial"/>
                <w:sz w:val="18"/>
                <w:szCs w:val="18"/>
              </w:rPr>
            </w:pPr>
            <w:r>
              <w:rPr>
                <w:rFonts w:cs="Arial"/>
                <w:sz w:val="18"/>
                <w:szCs w:val="18"/>
              </w:rPr>
              <w:t> </w:t>
            </w:r>
          </w:p>
        </w:tc>
        <w:tc>
          <w:tcPr>
            <w:tcW w:w="1194" w:type="dxa"/>
            <w:tcBorders>
              <w:top w:val="nil"/>
              <w:left w:val="nil"/>
              <w:bottom w:val="nil"/>
              <w:right w:val="nil"/>
            </w:tcBorders>
            <w:shd w:val="clear" w:color="FFFFFF" w:fill="FFFFFF"/>
            <w:noWrap/>
            <w:vAlign w:val="bottom"/>
            <w:hideMark/>
          </w:tcPr>
          <w:p w14:paraId="11047E4D" w14:textId="77777777" w:rsidR="00C32CBD" w:rsidRDefault="00C32CBD" w:rsidP="00320D09">
            <w:pPr>
              <w:jc w:val="right"/>
              <w:rPr>
                <w:rFonts w:cs="Arial"/>
                <w:sz w:val="18"/>
                <w:szCs w:val="18"/>
              </w:rPr>
            </w:pPr>
            <w:r>
              <w:rPr>
                <w:rFonts w:cs="Arial"/>
                <w:sz w:val="18"/>
                <w:szCs w:val="18"/>
              </w:rPr>
              <w:t>4,059</w:t>
            </w:r>
          </w:p>
        </w:tc>
      </w:tr>
      <w:tr w:rsidR="00C32CBD" w14:paraId="4C71F872" w14:textId="77777777" w:rsidTr="00320D09">
        <w:trPr>
          <w:trHeight w:val="240"/>
        </w:trPr>
        <w:tc>
          <w:tcPr>
            <w:tcW w:w="6383" w:type="dxa"/>
            <w:tcBorders>
              <w:top w:val="nil"/>
              <w:left w:val="nil"/>
              <w:bottom w:val="nil"/>
              <w:right w:val="nil"/>
            </w:tcBorders>
            <w:shd w:val="clear" w:color="FFFFFF" w:fill="FFFFFF"/>
            <w:vAlign w:val="bottom"/>
            <w:hideMark/>
          </w:tcPr>
          <w:p w14:paraId="3ECB9ED1" w14:textId="77777777" w:rsidR="00C32CBD" w:rsidRDefault="00C32CBD" w:rsidP="00320D09">
            <w:pPr>
              <w:rPr>
                <w:rFonts w:cs="Arial"/>
                <w:sz w:val="18"/>
                <w:szCs w:val="18"/>
              </w:rPr>
            </w:pPr>
            <w:r>
              <w:rPr>
                <w:rFonts w:cs="Arial"/>
                <w:sz w:val="18"/>
                <w:szCs w:val="18"/>
              </w:rPr>
              <w:t>Leave and other entitlements</w:t>
            </w:r>
          </w:p>
        </w:tc>
        <w:tc>
          <w:tcPr>
            <w:tcW w:w="1253" w:type="dxa"/>
            <w:tcBorders>
              <w:top w:val="nil"/>
              <w:left w:val="nil"/>
              <w:bottom w:val="nil"/>
              <w:right w:val="nil"/>
            </w:tcBorders>
            <w:shd w:val="clear" w:color="FFFFFF" w:fill="FFFFFF"/>
            <w:noWrap/>
            <w:vAlign w:val="bottom"/>
            <w:hideMark/>
          </w:tcPr>
          <w:p w14:paraId="2498876D" w14:textId="77777777" w:rsidR="00C32CBD" w:rsidRDefault="00C32CBD" w:rsidP="00320D09">
            <w:pPr>
              <w:jc w:val="right"/>
              <w:rPr>
                <w:rFonts w:cs="Arial"/>
                <w:b/>
                <w:bCs/>
                <w:sz w:val="18"/>
                <w:szCs w:val="18"/>
              </w:rPr>
            </w:pPr>
            <w:r>
              <w:rPr>
                <w:rFonts w:cs="Arial"/>
                <w:b/>
                <w:bCs/>
                <w:sz w:val="18"/>
                <w:szCs w:val="18"/>
              </w:rPr>
              <w:t>18,126</w:t>
            </w:r>
          </w:p>
        </w:tc>
        <w:tc>
          <w:tcPr>
            <w:tcW w:w="267" w:type="dxa"/>
            <w:tcBorders>
              <w:top w:val="nil"/>
              <w:left w:val="nil"/>
              <w:bottom w:val="nil"/>
              <w:right w:val="nil"/>
            </w:tcBorders>
            <w:shd w:val="clear" w:color="FFFFFF" w:fill="FFFFFF"/>
            <w:noWrap/>
            <w:vAlign w:val="bottom"/>
            <w:hideMark/>
          </w:tcPr>
          <w:p w14:paraId="0A902FBA" w14:textId="77777777" w:rsidR="00C32CBD" w:rsidRDefault="00C32CBD" w:rsidP="00320D09">
            <w:pPr>
              <w:rPr>
                <w:rFonts w:cs="Arial"/>
                <w:sz w:val="18"/>
                <w:szCs w:val="18"/>
              </w:rPr>
            </w:pPr>
            <w:r>
              <w:rPr>
                <w:rFonts w:cs="Arial"/>
                <w:sz w:val="18"/>
                <w:szCs w:val="18"/>
              </w:rPr>
              <w:t> </w:t>
            </w:r>
          </w:p>
        </w:tc>
        <w:tc>
          <w:tcPr>
            <w:tcW w:w="1194" w:type="dxa"/>
            <w:tcBorders>
              <w:top w:val="nil"/>
              <w:left w:val="nil"/>
              <w:bottom w:val="nil"/>
              <w:right w:val="nil"/>
            </w:tcBorders>
            <w:shd w:val="clear" w:color="FFFFFF" w:fill="FFFFFF"/>
            <w:noWrap/>
            <w:vAlign w:val="bottom"/>
            <w:hideMark/>
          </w:tcPr>
          <w:p w14:paraId="58839EDA" w14:textId="77777777" w:rsidR="00C32CBD" w:rsidRDefault="00C32CBD" w:rsidP="00320D09">
            <w:pPr>
              <w:jc w:val="right"/>
              <w:rPr>
                <w:rFonts w:cs="Arial"/>
                <w:sz w:val="18"/>
                <w:szCs w:val="18"/>
              </w:rPr>
            </w:pPr>
            <w:r>
              <w:rPr>
                <w:rFonts w:cs="Arial"/>
                <w:sz w:val="18"/>
                <w:szCs w:val="18"/>
              </w:rPr>
              <w:t>11,909</w:t>
            </w:r>
          </w:p>
        </w:tc>
      </w:tr>
      <w:tr w:rsidR="00C32CBD" w14:paraId="740BF096" w14:textId="77777777" w:rsidTr="00320D09">
        <w:trPr>
          <w:trHeight w:val="240"/>
        </w:trPr>
        <w:tc>
          <w:tcPr>
            <w:tcW w:w="6383" w:type="dxa"/>
            <w:tcBorders>
              <w:top w:val="nil"/>
              <w:left w:val="nil"/>
              <w:bottom w:val="nil"/>
              <w:right w:val="nil"/>
            </w:tcBorders>
            <w:shd w:val="clear" w:color="FFFFFF" w:fill="FFFFFF"/>
            <w:vAlign w:val="bottom"/>
            <w:hideMark/>
          </w:tcPr>
          <w:p w14:paraId="4B5512CB" w14:textId="77777777" w:rsidR="00C32CBD" w:rsidRDefault="00C32CBD" w:rsidP="00320D09">
            <w:pPr>
              <w:rPr>
                <w:rFonts w:cs="Arial"/>
                <w:sz w:val="18"/>
                <w:szCs w:val="18"/>
              </w:rPr>
            </w:pPr>
            <w:r>
              <w:rPr>
                <w:rFonts w:cs="Arial"/>
                <w:sz w:val="18"/>
                <w:szCs w:val="18"/>
              </w:rPr>
              <w:t>Separation and redundancies</w:t>
            </w:r>
          </w:p>
        </w:tc>
        <w:tc>
          <w:tcPr>
            <w:tcW w:w="1253" w:type="dxa"/>
            <w:tcBorders>
              <w:top w:val="nil"/>
              <w:left w:val="nil"/>
              <w:bottom w:val="nil"/>
              <w:right w:val="nil"/>
            </w:tcBorders>
            <w:shd w:val="clear" w:color="FFFFFF" w:fill="FFFFFF"/>
            <w:noWrap/>
            <w:vAlign w:val="bottom"/>
            <w:hideMark/>
          </w:tcPr>
          <w:p w14:paraId="19BEC65F" w14:textId="77777777" w:rsidR="00C32CBD" w:rsidRDefault="00C32CBD" w:rsidP="00320D09">
            <w:pPr>
              <w:jc w:val="right"/>
              <w:rPr>
                <w:rFonts w:cs="Arial"/>
                <w:b/>
                <w:bCs/>
                <w:sz w:val="18"/>
                <w:szCs w:val="18"/>
              </w:rPr>
            </w:pPr>
            <w:r>
              <w:rPr>
                <w:rFonts w:cs="Arial"/>
                <w:b/>
                <w:bCs/>
                <w:sz w:val="18"/>
                <w:szCs w:val="18"/>
              </w:rPr>
              <w:t>562</w:t>
            </w:r>
          </w:p>
        </w:tc>
        <w:tc>
          <w:tcPr>
            <w:tcW w:w="267" w:type="dxa"/>
            <w:tcBorders>
              <w:top w:val="nil"/>
              <w:left w:val="nil"/>
              <w:bottom w:val="nil"/>
              <w:right w:val="nil"/>
            </w:tcBorders>
            <w:shd w:val="clear" w:color="FFFFFF" w:fill="FFFFFF"/>
            <w:noWrap/>
            <w:vAlign w:val="bottom"/>
            <w:hideMark/>
          </w:tcPr>
          <w:p w14:paraId="46CCEF12" w14:textId="77777777" w:rsidR="00C32CBD" w:rsidRDefault="00C32CBD" w:rsidP="00320D09">
            <w:pPr>
              <w:rPr>
                <w:rFonts w:cs="Arial"/>
                <w:sz w:val="18"/>
                <w:szCs w:val="18"/>
              </w:rPr>
            </w:pPr>
            <w:r>
              <w:rPr>
                <w:rFonts w:cs="Arial"/>
                <w:sz w:val="18"/>
                <w:szCs w:val="18"/>
              </w:rPr>
              <w:t> </w:t>
            </w:r>
          </w:p>
        </w:tc>
        <w:tc>
          <w:tcPr>
            <w:tcW w:w="1194" w:type="dxa"/>
            <w:tcBorders>
              <w:top w:val="nil"/>
              <w:left w:val="nil"/>
              <w:bottom w:val="nil"/>
              <w:right w:val="nil"/>
            </w:tcBorders>
            <w:shd w:val="clear" w:color="FFFFFF" w:fill="FFFFFF"/>
            <w:noWrap/>
            <w:vAlign w:val="bottom"/>
            <w:hideMark/>
          </w:tcPr>
          <w:p w14:paraId="3EFC6719" w14:textId="77777777" w:rsidR="00C32CBD" w:rsidRDefault="00C32CBD" w:rsidP="00320D09">
            <w:pPr>
              <w:jc w:val="right"/>
              <w:rPr>
                <w:rFonts w:cs="Arial"/>
                <w:sz w:val="18"/>
                <w:szCs w:val="18"/>
              </w:rPr>
            </w:pPr>
            <w:r>
              <w:rPr>
                <w:rFonts w:cs="Arial"/>
                <w:sz w:val="18"/>
                <w:szCs w:val="18"/>
              </w:rPr>
              <w:t>189</w:t>
            </w:r>
          </w:p>
        </w:tc>
      </w:tr>
      <w:tr w:rsidR="00C32CBD" w14:paraId="3EB578B4" w14:textId="77777777" w:rsidTr="00320D09">
        <w:trPr>
          <w:trHeight w:val="240"/>
        </w:trPr>
        <w:tc>
          <w:tcPr>
            <w:tcW w:w="6383" w:type="dxa"/>
            <w:tcBorders>
              <w:top w:val="nil"/>
              <w:left w:val="nil"/>
              <w:bottom w:val="nil"/>
              <w:right w:val="nil"/>
            </w:tcBorders>
            <w:shd w:val="clear" w:color="FFFFFF" w:fill="FFFFFF"/>
            <w:vAlign w:val="bottom"/>
            <w:hideMark/>
          </w:tcPr>
          <w:p w14:paraId="0919A7C7" w14:textId="77777777" w:rsidR="00C32CBD" w:rsidRDefault="00C32CBD" w:rsidP="00320D09">
            <w:pPr>
              <w:rPr>
                <w:rFonts w:cs="Arial"/>
                <w:b/>
                <w:bCs/>
                <w:sz w:val="18"/>
                <w:szCs w:val="18"/>
              </w:rPr>
            </w:pPr>
            <w:r>
              <w:rPr>
                <w:rFonts w:cs="Arial"/>
                <w:b/>
                <w:bCs/>
                <w:sz w:val="18"/>
                <w:szCs w:val="18"/>
              </w:rPr>
              <w:t>Total employee benefits</w:t>
            </w:r>
          </w:p>
        </w:tc>
        <w:tc>
          <w:tcPr>
            <w:tcW w:w="1253" w:type="dxa"/>
            <w:tcBorders>
              <w:top w:val="single" w:sz="4" w:space="0" w:color="auto"/>
              <w:left w:val="nil"/>
              <w:bottom w:val="single" w:sz="4" w:space="0" w:color="auto"/>
              <w:right w:val="nil"/>
            </w:tcBorders>
            <w:shd w:val="clear" w:color="FFFFFF" w:fill="FFFFFF"/>
            <w:noWrap/>
            <w:vAlign w:val="bottom"/>
            <w:hideMark/>
          </w:tcPr>
          <w:p w14:paraId="38462561" w14:textId="77777777" w:rsidR="00C32CBD" w:rsidRDefault="00C32CBD" w:rsidP="00320D09">
            <w:pPr>
              <w:jc w:val="right"/>
              <w:rPr>
                <w:rFonts w:cs="Arial"/>
                <w:b/>
                <w:bCs/>
                <w:sz w:val="18"/>
                <w:szCs w:val="18"/>
              </w:rPr>
            </w:pPr>
            <w:r>
              <w:rPr>
                <w:rFonts w:cs="Arial"/>
                <w:b/>
                <w:bCs/>
                <w:sz w:val="18"/>
                <w:szCs w:val="18"/>
              </w:rPr>
              <w:t>175,013</w:t>
            </w:r>
          </w:p>
        </w:tc>
        <w:tc>
          <w:tcPr>
            <w:tcW w:w="267" w:type="dxa"/>
            <w:tcBorders>
              <w:top w:val="nil"/>
              <w:left w:val="nil"/>
              <w:bottom w:val="nil"/>
              <w:right w:val="nil"/>
            </w:tcBorders>
            <w:shd w:val="clear" w:color="FFFFFF" w:fill="FFFFFF"/>
            <w:noWrap/>
            <w:vAlign w:val="bottom"/>
            <w:hideMark/>
          </w:tcPr>
          <w:p w14:paraId="7614DAE5" w14:textId="77777777" w:rsidR="00C32CBD" w:rsidRDefault="00C32CBD" w:rsidP="00320D09">
            <w:pPr>
              <w:rPr>
                <w:rFonts w:cs="Arial"/>
                <w:sz w:val="18"/>
                <w:szCs w:val="18"/>
              </w:rPr>
            </w:pPr>
            <w:r>
              <w:rPr>
                <w:rFonts w:cs="Arial"/>
                <w:sz w:val="18"/>
                <w:szCs w:val="18"/>
              </w:rPr>
              <w:t> </w:t>
            </w:r>
          </w:p>
        </w:tc>
        <w:tc>
          <w:tcPr>
            <w:tcW w:w="1194" w:type="dxa"/>
            <w:tcBorders>
              <w:top w:val="single" w:sz="4" w:space="0" w:color="auto"/>
              <w:left w:val="nil"/>
              <w:bottom w:val="single" w:sz="4" w:space="0" w:color="auto"/>
              <w:right w:val="nil"/>
            </w:tcBorders>
            <w:shd w:val="clear" w:color="FFFFFF" w:fill="FFFFFF"/>
            <w:noWrap/>
            <w:vAlign w:val="bottom"/>
            <w:hideMark/>
          </w:tcPr>
          <w:p w14:paraId="191E692C" w14:textId="77777777" w:rsidR="00C32CBD" w:rsidRDefault="00C32CBD" w:rsidP="00320D09">
            <w:pPr>
              <w:jc w:val="right"/>
              <w:rPr>
                <w:rFonts w:cs="Arial"/>
                <w:sz w:val="18"/>
                <w:szCs w:val="18"/>
              </w:rPr>
            </w:pPr>
            <w:r>
              <w:rPr>
                <w:rFonts w:cs="Arial"/>
                <w:sz w:val="18"/>
                <w:szCs w:val="18"/>
              </w:rPr>
              <w:t>115,464</w:t>
            </w:r>
          </w:p>
        </w:tc>
      </w:tr>
    </w:tbl>
    <w:p w14:paraId="52E46250" w14:textId="77777777" w:rsidR="00C32CBD" w:rsidRDefault="00C32CBD" w:rsidP="00C32CBD">
      <w:pPr>
        <w:pStyle w:val="ReferenceText"/>
      </w:pPr>
    </w:p>
    <w:p w14:paraId="1E9C777F" w14:textId="77777777" w:rsidR="00C32CBD" w:rsidRPr="00EE5DE1" w:rsidRDefault="00C32CBD" w:rsidP="00C32CBD">
      <w:pPr>
        <w:pStyle w:val="PolicyheadingDept"/>
      </w:pPr>
      <w:r w:rsidRPr="00EE5DE1">
        <w:t>Accounting Policy</w:t>
      </w:r>
    </w:p>
    <w:p w14:paraId="73A11435" w14:textId="77777777" w:rsidR="00C32CBD" w:rsidRDefault="00C32CBD" w:rsidP="00C32CBD">
      <w:pPr>
        <w:pStyle w:val="PolicytextDept"/>
      </w:pPr>
      <w:r w:rsidRPr="00EE5DE1">
        <w:t>Accounting policies for employee</w:t>
      </w:r>
      <w:r w:rsidRPr="002A7896">
        <w:t xml:space="preserve"> related expenses is contained in </w:t>
      </w:r>
      <w:r>
        <w:t>Section 4 – Governance, Employees and Relationships</w:t>
      </w:r>
      <w:r w:rsidRPr="002A7896">
        <w:t xml:space="preserve">. </w:t>
      </w:r>
    </w:p>
    <w:tbl>
      <w:tblPr>
        <w:tblW w:w="9087" w:type="dxa"/>
        <w:tblInd w:w="80" w:type="dxa"/>
        <w:tblLayout w:type="fixed"/>
        <w:tblLook w:val="04A0" w:firstRow="1" w:lastRow="0" w:firstColumn="1" w:lastColumn="0" w:noHBand="0" w:noVBand="1"/>
      </w:tblPr>
      <w:tblGrid>
        <w:gridCol w:w="6353"/>
        <w:gridCol w:w="1249"/>
        <w:gridCol w:w="236"/>
        <w:gridCol w:w="1249"/>
      </w:tblGrid>
      <w:tr w:rsidR="00C32CBD" w14:paraId="53471C99" w14:textId="77777777" w:rsidTr="00320D09">
        <w:trPr>
          <w:trHeight w:val="255"/>
        </w:trPr>
        <w:tc>
          <w:tcPr>
            <w:tcW w:w="6353" w:type="dxa"/>
            <w:tcBorders>
              <w:top w:val="nil"/>
              <w:left w:val="nil"/>
              <w:bottom w:val="nil"/>
              <w:right w:val="nil"/>
            </w:tcBorders>
            <w:shd w:val="clear" w:color="FFFFFF" w:fill="FFFFFF"/>
            <w:noWrap/>
            <w:vAlign w:val="bottom"/>
            <w:hideMark/>
          </w:tcPr>
          <w:p w14:paraId="059123A1" w14:textId="77777777" w:rsidR="00C32CBD" w:rsidRDefault="00C32CBD" w:rsidP="00320D09">
            <w:pPr>
              <w:rPr>
                <w:rFonts w:cs="Arial"/>
                <w:b/>
                <w:bCs/>
                <w:sz w:val="18"/>
                <w:szCs w:val="18"/>
                <w:u w:val="single"/>
              </w:rPr>
            </w:pPr>
            <w:bookmarkStart w:id="98" w:name="Note_SXPTABLE1" w:colFirst="0" w:colLast="0"/>
            <w:r>
              <w:rPr>
                <w:rFonts w:cs="Arial"/>
                <w:b/>
                <w:bCs/>
                <w:sz w:val="18"/>
                <w:szCs w:val="18"/>
                <w:u w:val="single"/>
              </w:rPr>
              <w:t>Note 1.1B: Suppliers</w:t>
            </w:r>
          </w:p>
        </w:tc>
        <w:tc>
          <w:tcPr>
            <w:tcW w:w="1249" w:type="dxa"/>
            <w:tcBorders>
              <w:top w:val="nil"/>
              <w:left w:val="nil"/>
              <w:bottom w:val="nil"/>
              <w:right w:val="nil"/>
            </w:tcBorders>
            <w:shd w:val="clear" w:color="FFFFFF" w:fill="FFFFFF"/>
            <w:vAlign w:val="bottom"/>
            <w:hideMark/>
          </w:tcPr>
          <w:p w14:paraId="2C107A08" w14:textId="77777777" w:rsidR="00C32CBD" w:rsidRDefault="00C32CBD" w:rsidP="00320D09">
            <w:pPr>
              <w:jc w:val="right"/>
              <w:rPr>
                <w:rFonts w:cs="Arial"/>
                <w:b/>
                <w:bCs/>
                <w:sz w:val="18"/>
                <w:szCs w:val="18"/>
              </w:rPr>
            </w:pPr>
            <w:r>
              <w:rPr>
                <w:rFonts w:cs="Arial"/>
                <w:b/>
                <w:bCs/>
                <w:sz w:val="18"/>
                <w:szCs w:val="18"/>
              </w:rPr>
              <w:t> </w:t>
            </w:r>
          </w:p>
        </w:tc>
        <w:tc>
          <w:tcPr>
            <w:tcW w:w="236" w:type="dxa"/>
            <w:tcBorders>
              <w:top w:val="nil"/>
              <w:left w:val="nil"/>
              <w:bottom w:val="nil"/>
              <w:right w:val="nil"/>
            </w:tcBorders>
            <w:shd w:val="clear" w:color="FFFFFF" w:fill="FFFFFF"/>
            <w:noWrap/>
            <w:vAlign w:val="bottom"/>
            <w:hideMark/>
          </w:tcPr>
          <w:p w14:paraId="0F2654A2"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vAlign w:val="bottom"/>
            <w:hideMark/>
          </w:tcPr>
          <w:p w14:paraId="4C898884" w14:textId="77777777" w:rsidR="00C32CBD" w:rsidRDefault="00C32CBD" w:rsidP="00320D09">
            <w:pPr>
              <w:jc w:val="right"/>
              <w:rPr>
                <w:rFonts w:cs="Arial"/>
                <w:sz w:val="18"/>
                <w:szCs w:val="18"/>
              </w:rPr>
            </w:pPr>
            <w:r>
              <w:rPr>
                <w:rFonts w:cs="Arial"/>
                <w:sz w:val="18"/>
                <w:szCs w:val="18"/>
              </w:rPr>
              <w:t> </w:t>
            </w:r>
          </w:p>
        </w:tc>
      </w:tr>
      <w:bookmarkEnd w:id="98"/>
      <w:tr w:rsidR="00C32CBD" w14:paraId="508EB374" w14:textId="77777777" w:rsidTr="00320D09">
        <w:trPr>
          <w:trHeight w:val="255"/>
        </w:trPr>
        <w:tc>
          <w:tcPr>
            <w:tcW w:w="6353" w:type="dxa"/>
            <w:tcBorders>
              <w:top w:val="nil"/>
              <w:left w:val="nil"/>
              <w:bottom w:val="nil"/>
              <w:right w:val="nil"/>
            </w:tcBorders>
            <w:shd w:val="clear" w:color="FFFFFF" w:fill="FFFFFF"/>
            <w:vAlign w:val="bottom"/>
            <w:hideMark/>
          </w:tcPr>
          <w:p w14:paraId="6A2101F4" w14:textId="77777777" w:rsidR="00C32CBD" w:rsidRDefault="00C32CBD" w:rsidP="00320D09">
            <w:pPr>
              <w:rPr>
                <w:rFonts w:cs="Arial"/>
                <w:b/>
                <w:bCs/>
                <w:sz w:val="18"/>
                <w:szCs w:val="18"/>
              </w:rPr>
            </w:pPr>
            <w:r>
              <w:rPr>
                <w:rFonts w:cs="Arial"/>
                <w:b/>
                <w:bCs/>
                <w:sz w:val="18"/>
                <w:szCs w:val="18"/>
              </w:rPr>
              <w:t>Services rendered</w:t>
            </w:r>
          </w:p>
        </w:tc>
        <w:tc>
          <w:tcPr>
            <w:tcW w:w="1249" w:type="dxa"/>
            <w:tcBorders>
              <w:top w:val="nil"/>
              <w:left w:val="nil"/>
              <w:bottom w:val="nil"/>
              <w:right w:val="nil"/>
            </w:tcBorders>
            <w:shd w:val="clear" w:color="FFFFFF" w:fill="FFFFFF"/>
            <w:noWrap/>
            <w:vAlign w:val="bottom"/>
            <w:hideMark/>
          </w:tcPr>
          <w:p w14:paraId="0F54EED2"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485AA776"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58D7240C" w14:textId="77777777" w:rsidR="00C32CBD" w:rsidRDefault="00C32CBD" w:rsidP="00320D09">
            <w:pPr>
              <w:rPr>
                <w:rFonts w:cs="Arial"/>
                <w:sz w:val="18"/>
                <w:szCs w:val="18"/>
              </w:rPr>
            </w:pPr>
            <w:r>
              <w:rPr>
                <w:rFonts w:cs="Arial"/>
                <w:sz w:val="18"/>
                <w:szCs w:val="18"/>
              </w:rPr>
              <w:t> </w:t>
            </w:r>
          </w:p>
        </w:tc>
      </w:tr>
      <w:tr w:rsidR="00C32CBD" w14:paraId="4FF244A4" w14:textId="77777777" w:rsidTr="00320D09">
        <w:trPr>
          <w:trHeight w:val="255"/>
        </w:trPr>
        <w:tc>
          <w:tcPr>
            <w:tcW w:w="6353" w:type="dxa"/>
            <w:tcBorders>
              <w:top w:val="nil"/>
              <w:left w:val="nil"/>
              <w:bottom w:val="nil"/>
              <w:right w:val="nil"/>
            </w:tcBorders>
            <w:shd w:val="clear" w:color="FFFFFF" w:fill="FFFFFF"/>
            <w:noWrap/>
            <w:vAlign w:val="bottom"/>
            <w:hideMark/>
          </w:tcPr>
          <w:p w14:paraId="0D8753D8" w14:textId="77777777" w:rsidR="00C32CBD" w:rsidRDefault="00C32CBD" w:rsidP="00320D09">
            <w:pPr>
              <w:ind w:firstLineChars="100" w:firstLine="180"/>
              <w:rPr>
                <w:rFonts w:cs="Arial"/>
                <w:sz w:val="18"/>
                <w:szCs w:val="18"/>
              </w:rPr>
            </w:pPr>
            <w:r>
              <w:rPr>
                <w:rFonts w:cs="Arial"/>
                <w:sz w:val="18"/>
                <w:szCs w:val="18"/>
              </w:rPr>
              <w:t>Travel</w:t>
            </w:r>
          </w:p>
        </w:tc>
        <w:tc>
          <w:tcPr>
            <w:tcW w:w="1249" w:type="dxa"/>
            <w:tcBorders>
              <w:top w:val="nil"/>
              <w:left w:val="nil"/>
              <w:bottom w:val="nil"/>
              <w:right w:val="nil"/>
            </w:tcBorders>
            <w:shd w:val="clear" w:color="FFFFFF" w:fill="FFFFFF"/>
            <w:noWrap/>
            <w:vAlign w:val="bottom"/>
            <w:hideMark/>
          </w:tcPr>
          <w:p w14:paraId="1BA82BC2" w14:textId="77777777" w:rsidR="00C32CBD" w:rsidRDefault="00C32CBD" w:rsidP="00320D09">
            <w:pPr>
              <w:jc w:val="right"/>
              <w:rPr>
                <w:rFonts w:cs="Arial"/>
                <w:b/>
                <w:bCs/>
                <w:sz w:val="18"/>
                <w:szCs w:val="18"/>
              </w:rPr>
            </w:pPr>
            <w:r>
              <w:rPr>
                <w:rFonts w:cs="Arial"/>
                <w:b/>
                <w:bCs/>
                <w:sz w:val="18"/>
                <w:szCs w:val="18"/>
              </w:rPr>
              <w:t>7,801</w:t>
            </w:r>
          </w:p>
        </w:tc>
        <w:tc>
          <w:tcPr>
            <w:tcW w:w="236" w:type="dxa"/>
            <w:tcBorders>
              <w:top w:val="nil"/>
              <w:left w:val="nil"/>
              <w:bottom w:val="nil"/>
              <w:right w:val="nil"/>
            </w:tcBorders>
            <w:shd w:val="clear" w:color="FFFFFF" w:fill="FFFFFF"/>
            <w:noWrap/>
            <w:vAlign w:val="bottom"/>
            <w:hideMark/>
          </w:tcPr>
          <w:p w14:paraId="1DA3845A"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25192020" w14:textId="77777777" w:rsidR="00C32CBD" w:rsidRDefault="00C32CBD" w:rsidP="00320D09">
            <w:pPr>
              <w:jc w:val="right"/>
              <w:rPr>
                <w:rFonts w:cs="Arial"/>
                <w:sz w:val="18"/>
                <w:szCs w:val="18"/>
              </w:rPr>
            </w:pPr>
            <w:r>
              <w:rPr>
                <w:rFonts w:cs="Arial"/>
                <w:sz w:val="18"/>
                <w:szCs w:val="18"/>
              </w:rPr>
              <w:t>5,382</w:t>
            </w:r>
          </w:p>
        </w:tc>
      </w:tr>
      <w:tr w:rsidR="00C32CBD" w14:paraId="1D26C834" w14:textId="77777777" w:rsidTr="00320D09">
        <w:trPr>
          <w:trHeight w:val="255"/>
        </w:trPr>
        <w:tc>
          <w:tcPr>
            <w:tcW w:w="6353" w:type="dxa"/>
            <w:tcBorders>
              <w:top w:val="nil"/>
              <w:left w:val="nil"/>
              <w:bottom w:val="nil"/>
              <w:right w:val="nil"/>
            </w:tcBorders>
            <w:shd w:val="clear" w:color="FFFFFF" w:fill="FFFFFF"/>
            <w:noWrap/>
            <w:vAlign w:val="bottom"/>
            <w:hideMark/>
          </w:tcPr>
          <w:p w14:paraId="1C401954" w14:textId="77777777" w:rsidR="00C32CBD" w:rsidRDefault="00C32CBD" w:rsidP="00320D09">
            <w:pPr>
              <w:ind w:firstLineChars="100" w:firstLine="180"/>
              <w:rPr>
                <w:rFonts w:cs="Arial"/>
                <w:sz w:val="18"/>
                <w:szCs w:val="18"/>
              </w:rPr>
            </w:pPr>
            <w:r>
              <w:rPr>
                <w:rFonts w:cs="Arial"/>
                <w:sz w:val="18"/>
                <w:szCs w:val="18"/>
              </w:rPr>
              <w:t>Contractors and consultants</w:t>
            </w:r>
          </w:p>
        </w:tc>
        <w:tc>
          <w:tcPr>
            <w:tcW w:w="1249" w:type="dxa"/>
            <w:tcBorders>
              <w:top w:val="nil"/>
              <w:left w:val="nil"/>
              <w:bottom w:val="nil"/>
              <w:right w:val="nil"/>
            </w:tcBorders>
            <w:shd w:val="clear" w:color="FFFFFF" w:fill="FFFFFF"/>
            <w:noWrap/>
            <w:vAlign w:val="bottom"/>
            <w:hideMark/>
          </w:tcPr>
          <w:p w14:paraId="62186582" w14:textId="77777777" w:rsidR="00C32CBD" w:rsidRDefault="00C32CBD" w:rsidP="00320D09">
            <w:pPr>
              <w:jc w:val="right"/>
              <w:rPr>
                <w:rFonts w:cs="Arial"/>
                <w:b/>
                <w:bCs/>
                <w:sz w:val="18"/>
                <w:szCs w:val="18"/>
              </w:rPr>
            </w:pPr>
            <w:r>
              <w:rPr>
                <w:rFonts w:cs="Arial"/>
                <w:b/>
                <w:bCs/>
                <w:sz w:val="18"/>
                <w:szCs w:val="18"/>
              </w:rPr>
              <w:t>150,070</w:t>
            </w:r>
          </w:p>
        </w:tc>
        <w:tc>
          <w:tcPr>
            <w:tcW w:w="236" w:type="dxa"/>
            <w:tcBorders>
              <w:top w:val="nil"/>
              <w:left w:val="nil"/>
              <w:bottom w:val="nil"/>
              <w:right w:val="nil"/>
            </w:tcBorders>
            <w:shd w:val="clear" w:color="FFFFFF" w:fill="FFFFFF"/>
            <w:noWrap/>
            <w:vAlign w:val="bottom"/>
            <w:hideMark/>
          </w:tcPr>
          <w:p w14:paraId="5CFB1CB1"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2888A4CB" w14:textId="77777777" w:rsidR="00C32CBD" w:rsidRDefault="00C32CBD" w:rsidP="00320D09">
            <w:pPr>
              <w:jc w:val="right"/>
              <w:rPr>
                <w:rFonts w:cs="Arial"/>
                <w:sz w:val="18"/>
                <w:szCs w:val="18"/>
              </w:rPr>
            </w:pPr>
            <w:r>
              <w:rPr>
                <w:rFonts w:cs="Arial"/>
                <w:sz w:val="18"/>
                <w:szCs w:val="18"/>
              </w:rPr>
              <w:t>61,972</w:t>
            </w:r>
          </w:p>
        </w:tc>
      </w:tr>
      <w:tr w:rsidR="00C32CBD" w14:paraId="2DAB5478" w14:textId="77777777" w:rsidTr="00320D09">
        <w:trPr>
          <w:trHeight w:val="270"/>
        </w:trPr>
        <w:tc>
          <w:tcPr>
            <w:tcW w:w="6353" w:type="dxa"/>
            <w:tcBorders>
              <w:top w:val="nil"/>
              <w:left w:val="nil"/>
              <w:bottom w:val="nil"/>
              <w:right w:val="nil"/>
            </w:tcBorders>
            <w:shd w:val="clear" w:color="FFFFFF" w:fill="FFFFFF"/>
            <w:noWrap/>
            <w:vAlign w:val="bottom"/>
            <w:hideMark/>
          </w:tcPr>
          <w:p w14:paraId="73DB3F2A" w14:textId="77777777" w:rsidR="00C32CBD" w:rsidRDefault="00C32CBD" w:rsidP="00320D09">
            <w:pPr>
              <w:ind w:firstLineChars="100" w:firstLine="180"/>
              <w:rPr>
                <w:rFonts w:cs="Arial"/>
                <w:sz w:val="18"/>
                <w:szCs w:val="18"/>
              </w:rPr>
            </w:pPr>
            <w:r>
              <w:rPr>
                <w:rFonts w:cs="Arial"/>
                <w:sz w:val="18"/>
                <w:szCs w:val="18"/>
              </w:rPr>
              <w:t>Memorandum of Understanding costs</w:t>
            </w:r>
            <w:r>
              <w:rPr>
                <w:rFonts w:cs="Arial"/>
                <w:sz w:val="18"/>
                <w:szCs w:val="18"/>
                <w:vertAlign w:val="superscript"/>
              </w:rPr>
              <w:t>1</w:t>
            </w:r>
          </w:p>
        </w:tc>
        <w:tc>
          <w:tcPr>
            <w:tcW w:w="1249" w:type="dxa"/>
            <w:tcBorders>
              <w:top w:val="nil"/>
              <w:left w:val="nil"/>
              <w:bottom w:val="nil"/>
              <w:right w:val="nil"/>
            </w:tcBorders>
            <w:shd w:val="clear" w:color="FFFFFF" w:fill="FFFFFF"/>
            <w:noWrap/>
            <w:vAlign w:val="bottom"/>
            <w:hideMark/>
          </w:tcPr>
          <w:p w14:paraId="3D132B04" w14:textId="77777777" w:rsidR="00C32CBD" w:rsidRDefault="00C32CBD" w:rsidP="00320D09">
            <w:pPr>
              <w:jc w:val="right"/>
              <w:rPr>
                <w:rFonts w:cs="Arial"/>
                <w:b/>
                <w:bCs/>
                <w:sz w:val="18"/>
                <w:szCs w:val="18"/>
              </w:rPr>
            </w:pPr>
            <w:r>
              <w:rPr>
                <w:rFonts w:cs="Arial"/>
                <w:b/>
                <w:bCs/>
                <w:sz w:val="18"/>
                <w:szCs w:val="18"/>
              </w:rPr>
              <w:t>40,966</w:t>
            </w:r>
          </w:p>
        </w:tc>
        <w:tc>
          <w:tcPr>
            <w:tcW w:w="236" w:type="dxa"/>
            <w:tcBorders>
              <w:top w:val="nil"/>
              <w:left w:val="nil"/>
              <w:bottom w:val="nil"/>
              <w:right w:val="nil"/>
            </w:tcBorders>
            <w:shd w:val="clear" w:color="FFFFFF" w:fill="FFFFFF"/>
            <w:noWrap/>
            <w:vAlign w:val="bottom"/>
            <w:hideMark/>
          </w:tcPr>
          <w:p w14:paraId="2365FC91"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1A96FE6D" w14:textId="77777777" w:rsidR="00C32CBD" w:rsidRDefault="00C32CBD" w:rsidP="00320D09">
            <w:pPr>
              <w:jc w:val="right"/>
              <w:rPr>
                <w:rFonts w:cs="Arial"/>
                <w:sz w:val="18"/>
                <w:szCs w:val="18"/>
              </w:rPr>
            </w:pPr>
            <w:r>
              <w:rPr>
                <w:rFonts w:cs="Arial"/>
                <w:sz w:val="18"/>
                <w:szCs w:val="18"/>
              </w:rPr>
              <w:t>17,529</w:t>
            </w:r>
          </w:p>
        </w:tc>
      </w:tr>
      <w:tr w:rsidR="00C32CBD" w14:paraId="61B2EEDB" w14:textId="77777777" w:rsidTr="00320D09">
        <w:trPr>
          <w:trHeight w:val="255"/>
        </w:trPr>
        <w:tc>
          <w:tcPr>
            <w:tcW w:w="6353" w:type="dxa"/>
            <w:tcBorders>
              <w:top w:val="nil"/>
              <w:left w:val="nil"/>
              <w:bottom w:val="nil"/>
              <w:right w:val="nil"/>
            </w:tcBorders>
            <w:shd w:val="clear" w:color="FFFFFF" w:fill="FFFFFF"/>
            <w:noWrap/>
            <w:vAlign w:val="bottom"/>
            <w:hideMark/>
          </w:tcPr>
          <w:p w14:paraId="20D45444" w14:textId="77777777" w:rsidR="00C32CBD" w:rsidRDefault="00C32CBD" w:rsidP="00320D09">
            <w:pPr>
              <w:ind w:firstLineChars="100" w:firstLine="180"/>
              <w:rPr>
                <w:rFonts w:cs="Arial"/>
                <w:sz w:val="18"/>
                <w:szCs w:val="18"/>
              </w:rPr>
            </w:pPr>
            <w:r>
              <w:rPr>
                <w:rFonts w:cs="Arial"/>
                <w:sz w:val="18"/>
                <w:szCs w:val="18"/>
              </w:rPr>
              <w:t>Information technology expenses</w:t>
            </w:r>
          </w:p>
        </w:tc>
        <w:tc>
          <w:tcPr>
            <w:tcW w:w="1249" w:type="dxa"/>
            <w:tcBorders>
              <w:top w:val="nil"/>
              <w:left w:val="nil"/>
              <w:bottom w:val="nil"/>
              <w:right w:val="nil"/>
            </w:tcBorders>
            <w:shd w:val="clear" w:color="FFFFFF" w:fill="FFFFFF"/>
            <w:noWrap/>
            <w:vAlign w:val="bottom"/>
            <w:hideMark/>
          </w:tcPr>
          <w:p w14:paraId="0CB171EC" w14:textId="77777777" w:rsidR="00C32CBD" w:rsidRDefault="00C32CBD" w:rsidP="00320D09">
            <w:pPr>
              <w:jc w:val="right"/>
              <w:rPr>
                <w:rFonts w:cs="Arial"/>
                <w:b/>
                <w:bCs/>
                <w:sz w:val="18"/>
                <w:szCs w:val="18"/>
              </w:rPr>
            </w:pPr>
            <w:r>
              <w:rPr>
                <w:rFonts w:cs="Arial"/>
                <w:b/>
                <w:bCs/>
                <w:sz w:val="18"/>
                <w:szCs w:val="18"/>
              </w:rPr>
              <w:t>1,651</w:t>
            </w:r>
          </w:p>
        </w:tc>
        <w:tc>
          <w:tcPr>
            <w:tcW w:w="236" w:type="dxa"/>
            <w:tcBorders>
              <w:top w:val="nil"/>
              <w:left w:val="nil"/>
              <w:bottom w:val="nil"/>
              <w:right w:val="nil"/>
            </w:tcBorders>
            <w:shd w:val="clear" w:color="FFFFFF" w:fill="FFFFFF"/>
            <w:noWrap/>
            <w:vAlign w:val="bottom"/>
            <w:hideMark/>
          </w:tcPr>
          <w:p w14:paraId="0E6C2D93"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671D14C6" w14:textId="77777777" w:rsidR="00C32CBD" w:rsidRDefault="00C32CBD" w:rsidP="00320D09">
            <w:pPr>
              <w:jc w:val="right"/>
              <w:rPr>
                <w:rFonts w:cs="Arial"/>
                <w:sz w:val="18"/>
                <w:szCs w:val="18"/>
              </w:rPr>
            </w:pPr>
            <w:r>
              <w:rPr>
                <w:rFonts w:cs="Arial"/>
                <w:sz w:val="18"/>
                <w:szCs w:val="18"/>
              </w:rPr>
              <w:t>644</w:t>
            </w:r>
          </w:p>
        </w:tc>
      </w:tr>
      <w:tr w:rsidR="00C32CBD" w14:paraId="42AECB12" w14:textId="77777777" w:rsidTr="00320D09">
        <w:trPr>
          <w:trHeight w:val="255"/>
        </w:trPr>
        <w:tc>
          <w:tcPr>
            <w:tcW w:w="6353" w:type="dxa"/>
            <w:tcBorders>
              <w:top w:val="nil"/>
              <w:left w:val="nil"/>
              <w:bottom w:val="nil"/>
              <w:right w:val="nil"/>
            </w:tcBorders>
            <w:shd w:val="clear" w:color="FFFFFF" w:fill="FFFFFF"/>
            <w:noWrap/>
            <w:vAlign w:val="bottom"/>
            <w:hideMark/>
          </w:tcPr>
          <w:p w14:paraId="28823C39" w14:textId="77777777" w:rsidR="00C32CBD" w:rsidRDefault="00C32CBD" w:rsidP="00320D09">
            <w:pPr>
              <w:ind w:firstLineChars="100" w:firstLine="180"/>
              <w:rPr>
                <w:rFonts w:cs="Arial"/>
                <w:sz w:val="18"/>
                <w:szCs w:val="18"/>
              </w:rPr>
            </w:pPr>
            <w:r>
              <w:rPr>
                <w:rFonts w:cs="Arial"/>
                <w:sz w:val="18"/>
                <w:szCs w:val="18"/>
              </w:rPr>
              <w:t>Property operating expenses</w:t>
            </w:r>
          </w:p>
        </w:tc>
        <w:tc>
          <w:tcPr>
            <w:tcW w:w="1249" w:type="dxa"/>
            <w:tcBorders>
              <w:top w:val="nil"/>
              <w:left w:val="nil"/>
              <w:bottom w:val="nil"/>
              <w:right w:val="nil"/>
            </w:tcBorders>
            <w:shd w:val="clear" w:color="FFFFFF" w:fill="FFFFFF"/>
            <w:noWrap/>
            <w:vAlign w:val="bottom"/>
            <w:hideMark/>
          </w:tcPr>
          <w:p w14:paraId="274D296E" w14:textId="77777777" w:rsidR="00C32CBD" w:rsidRDefault="00C32CBD" w:rsidP="00320D09">
            <w:pPr>
              <w:jc w:val="right"/>
              <w:rPr>
                <w:rFonts w:cs="Arial"/>
                <w:b/>
                <w:bCs/>
                <w:sz w:val="18"/>
                <w:szCs w:val="18"/>
              </w:rPr>
            </w:pPr>
            <w:r>
              <w:rPr>
                <w:rFonts w:cs="Arial"/>
                <w:b/>
                <w:bCs/>
                <w:sz w:val="18"/>
                <w:szCs w:val="18"/>
              </w:rPr>
              <w:t>11,142</w:t>
            </w:r>
          </w:p>
        </w:tc>
        <w:tc>
          <w:tcPr>
            <w:tcW w:w="236" w:type="dxa"/>
            <w:tcBorders>
              <w:top w:val="nil"/>
              <w:left w:val="nil"/>
              <w:bottom w:val="nil"/>
              <w:right w:val="nil"/>
            </w:tcBorders>
            <w:shd w:val="clear" w:color="FFFFFF" w:fill="FFFFFF"/>
            <w:noWrap/>
            <w:vAlign w:val="bottom"/>
            <w:hideMark/>
          </w:tcPr>
          <w:p w14:paraId="563B28D1"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3699BB2F" w14:textId="77777777" w:rsidR="00C32CBD" w:rsidRDefault="00C32CBD" w:rsidP="00320D09">
            <w:pPr>
              <w:jc w:val="right"/>
              <w:rPr>
                <w:rFonts w:cs="Arial"/>
                <w:sz w:val="18"/>
                <w:szCs w:val="18"/>
              </w:rPr>
            </w:pPr>
            <w:r>
              <w:rPr>
                <w:rFonts w:cs="Arial"/>
                <w:sz w:val="18"/>
                <w:szCs w:val="18"/>
              </w:rPr>
              <w:t>3,241</w:t>
            </w:r>
          </w:p>
        </w:tc>
      </w:tr>
      <w:tr w:rsidR="00C32CBD" w14:paraId="10BF25AE" w14:textId="77777777" w:rsidTr="00320D09">
        <w:trPr>
          <w:trHeight w:val="255"/>
        </w:trPr>
        <w:tc>
          <w:tcPr>
            <w:tcW w:w="6353" w:type="dxa"/>
            <w:tcBorders>
              <w:top w:val="nil"/>
              <w:left w:val="nil"/>
              <w:bottom w:val="nil"/>
              <w:right w:val="nil"/>
            </w:tcBorders>
            <w:shd w:val="clear" w:color="FFFFFF" w:fill="FFFFFF"/>
            <w:noWrap/>
            <w:vAlign w:val="bottom"/>
            <w:hideMark/>
          </w:tcPr>
          <w:p w14:paraId="46B158F1" w14:textId="77777777" w:rsidR="00C32CBD" w:rsidRDefault="00C32CBD" w:rsidP="00320D09">
            <w:pPr>
              <w:ind w:firstLineChars="100" w:firstLine="180"/>
              <w:rPr>
                <w:rFonts w:cs="Arial"/>
                <w:sz w:val="18"/>
                <w:szCs w:val="18"/>
              </w:rPr>
            </w:pPr>
            <w:r>
              <w:rPr>
                <w:rFonts w:cs="Arial"/>
                <w:sz w:val="18"/>
                <w:szCs w:val="18"/>
              </w:rPr>
              <w:t>Staff recruitment and relocation</w:t>
            </w:r>
          </w:p>
        </w:tc>
        <w:tc>
          <w:tcPr>
            <w:tcW w:w="1249" w:type="dxa"/>
            <w:tcBorders>
              <w:top w:val="nil"/>
              <w:left w:val="nil"/>
              <w:bottom w:val="nil"/>
              <w:right w:val="nil"/>
            </w:tcBorders>
            <w:shd w:val="clear" w:color="FFFFFF" w:fill="FFFFFF"/>
            <w:noWrap/>
            <w:vAlign w:val="bottom"/>
            <w:hideMark/>
          </w:tcPr>
          <w:p w14:paraId="1CADE281" w14:textId="77777777" w:rsidR="00C32CBD" w:rsidRDefault="00C32CBD" w:rsidP="00320D09">
            <w:pPr>
              <w:jc w:val="right"/>
              <w:rPr>
                <w:rFonts w:cs="Arial"/>
                <w:b/>
                <w:bCs/>
                <w:sz w:val="18"/>
                <w:szCs w:val="18"/>
              </w:rPr>
            </w:pPr>
            <w:r>
              <w:rPr>
                <w:rFonts w:cs="Arial"/>
                <w:b/>
                <w:bCs/>
                <w:sz w:val="18"/>
                <w:szCs w:val="18"/>
              </w:rPr>
              <w:t>2,534</w:t>
            </w:r>
          </w:p>
        </w:tc>
        <w:tc>
          <w:tcPr>
            <w:tcW w:w="236" w:type="dxa"/>
            <w:tcBorders>
              <w:top w:val="nil"/>
              <w:left w:val="nil"/>
              <w:bottom w:val="nil"/>
              <w:right w:val="nil"/>
            </w:tcBorders>
            <w:shd w:val="clear" w:color="FFFFFF" w:fill="FFFFFF"/>
            <w:noWrap/>
            <w:vAlign w:val="bottom"/>
            <w:hideMark/>
          </w:tcPr>
          <w:p w14:paraId="55D7373E"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3C6F3132" w14:textId="77777777" w:rsidR="00C32CBD" w:rsidRDefault="00C32CBD" w:rsidP="00320D09">
            <w:pPr>
              <w:jc w:val="right"/>
              <w:rPr>
                <w:rFonts w:cs="Arial"/>
                <w:sz w:val="18"/>
                <w:szCs w:val="18"/>
              </w:rPr>
            </w:pPr>
            <w:r>
              <w:rPr>
                <w:rFonts w:cs="Arial"/>
                <w:sz w:val="18"/>
                <w:szCs w:val="18"/>
              </w:rPr>
              <w:t>2,892</w:t>
            </w:r>
          </w:p>
        </w:tc>
      </w:tr>
      <w:tr w:rsidR="00C32CBD" w14:paraId="30C44D17" w14:textId="77777777" w:rsidTr="00320D09">
        <w:trPr>
          <w:trHeight w:val="255"/>
        </w:trPr>
        <w:tc>
          <w:tcPr>
            <w:tcW w:w="6353" w:type="dxa"/>
            <w:tcBorders>
              <w:top w:val="nil"/>
              <w:left w:val="nil"/>
              <w:bottom w:val="nil"/>
              <w:right w:val="nil"/>
            </w:tcBorders>
            <w:shd w:val="clear" w:color="FFFFFF" w:fill="FFFFFF"/>
            <w:noWrap/>
            <w:vAlign w:val="bottom"/>
            <w:hideMark/>
          </w:tcPr>
          <w:p w14:paraId="101547E0" w14:textId="77777777" w:rsidR="00C32CBD" w:rsidRDefault="00C32CBD" w:rsidP="00320D09">
            <w:pPr>
              <w:ind w:firstLineChars="100" w:firstLine="180"/>
              <w:rPr>
                <w:rFonts w:cs="Arial"/>
                <w:sz w:val="18"/>
                <w:szCs w:val="18"/>
              </w:rPr>
            </w:pPr>
            <w:r>
              <w:rPr>
                <w:rFonts w:cs="Arial"/>
                <w:sz w:val="18"/>
                <w:szCs w:val="18"/>
              </w:rPr>
              <w:t xml:space="preserve">Other </w:t>
            </w:r>
          </w:p>
        </w:tc>
        <w:tc>
          <w:tcPr>
            <w:tcW w:w="1249" w:type="dxa"/>
            <w:tcBorders>
              <w:top w:val="nil"/>
              <w:left w:val="nil"/>
              <w:bottom w:val="nil"/>
              <w:right w:val="nil"/>
            </w:tcBorders>
            <w:shd w:val="clear" w:color="FFFFFF" w:fill="FFFFFF"/>
            <w:noWrap/>
            <w:vAlign w:val="bottom"/>
            <w:hideMark/>
          </w:tcPr>
          <w:p w14:paraId="1B7310AD" w14:textId="77777777" w:rsidR="00C32CBD" w:rsidRDefault="00C32CBD" w:rsidP="00320D09">
            <w:pPr>
              <w:jc w:val="right"/>
              <w:rPr>
                <w:rFonts w:cs="Arial"/>
                <w:b/>
                <w:bCs/>
                <w:sz w:val="18"/>
                <w:szCs w:val="18"/>
              </w:rPr>
            </w:pPr>
            <w:r>
              <w:rPr>
                <w:rFonts w:cs="Arial"/>
                <w:b/>
                <w:bCs/>
                <w:sz w:val="18"/>
                <w:szCs w:val="18"/>
              </w:rPr>
              <w:t>20,703</w:t>
            </w:r>
          </w:p>
        </w:tc>
        <w:tc>
          <w:tcPr>
            <w:tcW w:w="236" w:type="dxa"/>
            <w:tcBorders>
              <w:top w:val="nil"/>
              <w:left w:val="nil"/>
              <w:bottom w:val="nil"/>
              <w:right w:val="nil"/>
            </w:tcBorders>
            <w:shd w:val="clear" w:color="FFFFFF" w:fill="FFFFFF"/>
            <w:noWrap/>
            <w:vAlign w:val="bottom"/>
            <w:hideMark/>
          </w:tcPr>
          <w:p w14:paraId="28538E72"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288C7DD6" w14:textId="77777777" w:rsidR="00C32CBD" w:rsidRDefault="00C32CBD" w:rsidP="00320D09">
            <w:pPr>
              <w:jc w:val="right"/>
              <w:rPr>
                <w:rFonts w:cs="Arial"/>
                <w:sz w:val="18"/>
                <w:szCs w:val="18"/>
              </w:rPr>
            </w:pPr>
            <w:r>
              <w:rPr>
                <w:rFonts w:cs="Arial"/>
                <w:sz w:val="18"/>
                <w:szCs w:val="18"/>
              </w:rPr>
              <w:t>10,656</w:t>
            </w:r>
          </w:p>
        </w:tc>
      </w:tr>
      <w:tr w:rsidR="00C32CBD" w14:paraId="29D60D33" w14:textId="77777777" w:rsidTr="00320D09">
        <w:trPr>
          <w:trHeight w:val="255"/>
        </w:trPr>
        <w:tc>
          <w:tcPr>
            <w:tcW w:w="6353" w:type="dxa"/>
            <w:tcBorders>
              <w:top w:val="nil"/>
              <w:left w:val="nil"/>
              <w:bottom w:val="nil"/>
              <w:right w:val="nil"/>
            </w:tcBorders>
            <w:shd w:val="clear" w:color="FFFFFF" w:fill="FFFFFF"/>
            <w:vAlign w:val="bottom"/>
            <w:hideMark/>
          </w:tcPr>
          <w:p w14:paraId="75CE36BB" w14:textId="77777777" w:rsidR="00C32CBD" w:rsidRDefault="00C32CBD" w:rsidP="00320D09">
            <w:pPr>
              <w:rPr>
                <w:rFonts w:cs="Arial"/>
                <w:b/>
                <w:bCs/>
                <w:sz w:val="18"/>
                <w:szCs w:val="18"/>
              </w:rPr>
            </w:pPr>
            <w:r>
              <w:rPr>
                <w:rFonts w:cs="Arial"/>
                <w:b/>
                <w:bCs/>
                <w:sz w:val="18"/>
                <w:szCs w:val="18"/>
              </w:rPr>
              <w:t>Total services rendered</w:t>
            </w:r>
          </w:p>
        </w:tc>
        <w:tc>
          <w:tcPr>
            <w:tcW w:w="1249" w:type="dxa"/>
            <w:tcBorders>
              <w:top w:val="single" w:sz="4" w:space="0" w:color="auto"/>
              <w:left w:val="nil"/>
              <w:bottom w:val="single" w:sz="4" w:space="0" w:color="auto"/>
              <w:right w:val="nil"/>
            </w:tcBorders>
            <w:shd w:val="clear" w:color="FFFFFF" w:fill="FFFFFF"/>
            <w:noWrap/>
            <w:vAlign w:val="bottom"/>
            <w:hideMark/>
          </w:tcPr>
          <w:p w14:paraId="031699CD" w14:textId="77777777" w:rsidR="00C32CBD" w:rsidRDefault="00C32CBD" w:rsidP="00320D09">
            <w:pPr>
              <w:jc w:val="right"/>
              <w:rPr>
                <w:rFonts w:cs="Arial"/>
                <w:b/>
                <w:bCs/>
                <w:sz w:val="18"/>
                <w:szCs w:val="18"/>
              </w:rPr>
            </w:pPr>
            <w:r>
              <w:rPr>
                <w:rFonts w:cs="Arial"/>
                <w:b/>
                <w:bCs/>
                <w:sz w:val="18"/>
                <w:szCs w:val="18"/>
              </w:rPr>
              <w:t>234,867</w:t>
            </w:r>
          </w:p>
        </w:tc>
        <w:tc>
          <w:tcPr>
            <w:tcW w:w="236" w:type="dxa"/>
            <w:tcBorders>
              <w:top w:val="nil"/>
              <w:left w:val="nil"/>
              <w:bottom w:val="nil"/>
              <w:right w:val="nil"/>
            </w:tcBorders>
            <w:shd w:val="clear" w:color="FFFFFF" w:fill="FFFFFF"/>
            <w:noWrap/>
            <w:vAlign w:val="bottom"/>
            <w:hideMark/>
          </w:tcPr>
          <w:p w14:paraId="1516F650" w14:textId="77777777" w:rsidR="00C32CBD" w:rsidRDefault="00C32CBD" w:rsidP="00320D09">
            <w:pPr>
              <w:rPr>
                <w:rFonts w:cs="Arial"/>
                <w:sz w:val="18"/>
                <w:szCs w:val="18"/>
              </w:rPr>
            </w:pPr>
            <w:r>
              <w:rPr>
                <w:rFonts w:cs="Arial"/>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2CF40E51" w14:textId="77777777" w:rsidR="00C32CBD" w:rsidRDefault="00C32CBD" w:rsidP="00320D09">
            <w:pPr>
              <w:jc w:val="right"/>
              <w:rPr>
                <w:rFonts w:cs="Arial"/>
                <w:sz w:val="18"/>
                <w:szCs w:val="18"/>
              </w:rPr>
            </w:pPr>
            <w:r>
              <w:rPr>
                <w:rFonts w:cs="Arial"/>
                <w:sz w:val="18"/>
                <w:szCs w:val="18"/>
              </w:rPr>
              <w:t>102,316</w:t>
            </w:r>
          </w:p>
        </w:tc>
      </w:tr>
      <w:tr w:rsidR="00C32CBD" w14:paraId="428E8FB0" w14:textId="77777777" w:rsidTr="00320D09">
        <w:trPr>
          <w:trHeight w:val="210"/>
        </w:trPr>
        <w:tc>
          <w:tcPr>
            <w:tcW w:w="6353" w:type="dxa"/>
            <w:tcBorders>
              <w:top w:val="nil"/>
              <w:left w:val="nil"/>
              <w:bottom w:val="nil"/>
              <w:right w:val="nil"/>
            </w:tcBorders>
            <w:shd w:val="clear" w:color="FFFFFF" w:fill="FFFFFF"/>
            <w:vAlign w:val="bottom"/>
            <w:hideMark/>
          </w:tcPr>
          <w:p w14:paraId="13C513DA" w14:textId="77777777" w:rsidR="00C32CBD" w:rsidRDefault="00C32CBD" w:rsidP="00320D09">
            <w:pPr>
              <w:rPr>
                <w:rFonts w:cs="Arial"/>
                <w:b/>
                <w:bCs/>
                <w:sz w:val="18"/>
                <w:szCs w:val="18"/>
              </w:rPr>
            </w:pPr>
            <w:r>
              <w:rPr>
                <w:rFonts w:cs="Arial"/>
                <w:b/>
                <w:bCs/>
                <w:sz w:val="18"/>
                <w:szCs w:val="18"/>
              </w:rPr>
              <w:t> </w:t>
            </w:r>
          </w:p>
        </w:tc>
        <w:tc>
          <w:tcPr>
            <w:tcW w:w="1249" w:type="dxa"/>
            <w:tcBorders>
              <w:top w:val="nil"/>
              <w:left w:val="nil"/>
              <w:bottom w:val="nil"/>
              <w:right w:val="nil"/>
            </w:tcBorders>
            <w:shd w:val="clear" w:color="FFFFFF" w:fill="FFFFFF"/>
            <w:noWrap/>
            <w:vAlign w:val="bottom"/>
            <w:hideMark/>
          </w:tcPr>
          <w:p w14:paraId="0A976020" w14:textId="77777777" w:rsidR="00C32CBD" w:rsidRDefault="00C32CBD" w:rsidP="00320D09">
            <w:pPr>
              <w:jc w:val="right"/>
              <w:rPr>
                <w:rFonts w:cs="Arial"/>
                <w:b/>
                <w:bCs/>
                <w:sz w:val="18"/>
                <w:szCs w:val="18"/>
              </w:rPr>
            </w:pPr>
            <w:r>
              <w:rPr>
                <w:rFonts w:cs="Arial"/>
                <w:b/>
                <w:bCs/>
                <w:sz w:val="18"/>
                <w:szCs w:val="18"/>
              </w:rPr>
              <w:t> </w:t>
            </w:r>
          </w:p>
        </w:tc>
        <w:tc>
          <w:tcPr>
            <w:tcW w:w="236" w:type="dxa"/>
            <w:tcBorders>
              <w:top w:val="nil"/>
              <w:left w:val="nil"/>
              <w:bottom w:val="nil"/>
              <w:right w:val="nil"/>
            </w:tcBorders>
            <w:shd w:val="clear" w:color="FFFFFF" w:fill="FFFFFF"/>
            <w:noWrap/>
            <w:vAlign w:val="bottom"/>
            <w:hideMark/>
          </w:tcPr>
          <w:p w14:paraId="6C4F5B80"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3B764053" w14:textId="77777777" w:rsidR="00C32CBD" w:rsidRDefault="00C32CBD" w:rsidP="00320D09">
            <w:pPr>
              <w:jc w:val="right"/>
              <w:rPr>
                <w:rFonts w:cs="Arial"/>
                <w:sz w:val="18"/>
                <w:szCs w:val="18"/>
              </w:rPr>
            </w:pPr>
            <w:r>
              <w:rPr>
                <w:rFonts w:cs="Arial"/>
                <w:sz w:val="18"/>
                <w:szCs w:val="18"/>
              </w:rPr>
              <w:t> </w:t>
            </w:r>
          </w:p>
        </w:tc>
      </w:tr>
      <w:tr w:rsidR="00C32CBD" w14:paraId="5DF163CD" w14:textId="77777777" w:rsidTr="00320D09">
        <w:trPr>
          <w:trHeight w:val="255"/>
        </w:trPr>
        <w:tc>
          <w:tcPr>
            <w:tcW w:w="6353" w:type="dxa"/>
            <w:tcBorders>
              <w:top w:val="nil"/>
              <w:left w:val="nil"/>
              <w:bottom w:val="nil"/>
              <w:right w:val="nil"/>
            </w:tcBorders>
            <w:shd w:val="clear" w:color="FFFFFF" w:fill="FFFFFF"/>
            <w:vAlign w:val="bottom"/>
            <w:hideMark/>
          </w:tcPr>
          <w:p w14:paraId="722B1D1D" w14:textId="77777777" w:rsidR="00C32CBD" w:rsidRDefault="00C32CBD" w:rsidP="00320D09">
            <w:pPr>
              <w:rPr>
                <w:rFonts w:cs="Arial"/>
                <w:b/>
                <w:bCs/>
                <w:sz w:val="18"/>
                <w:szCs w:val="18"/>
              </w:rPr>
            </w:pPr>
            <w:r>
              <w:rPr>
                <w:rFonts w:cs="Arial"/>
                <w:b/>
                <w:bCs/>
                <w:sz w:val="18"/>
                <w:szCs w:val="18"/>
              </w:rPr>
              <w:t>Other suppliers</w:t>
            </w:r>
          </w:p>
        </w:tc>
        <w:tc>
          <w:tcPr>
            <w:tcW w:w="1249" w:type="dxa"/>
            <w:tcBorders>
              <w:top w:val="nil"/>
              <w:left w:val="nil"/>
              <w:bottom w:val="nil"/>
              <w:right w:val="nil"/>
            </w:tcBorders>
            <w:shd w:val="clear" w:color="FFFFFF" w:fill="FFFFFF"/>
            <w:noWrap/>
            <w:vAlign w:val="bottom"/>
            <w:hideMark/>
          </w:tcPr>
          <w:p w14:paraId="7B08DAFE"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1DC62D0C"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56BAF90E" w14:textId="77777777" w:rsidR="00C32CBD" w:rsidRDefault="00C32CBD" w:rsidP="00320D09">
            <w:pPr>
              <w:rPr>
                <w:rFonts w:cs="Arial"/>
                <w:sz w:val="18"/>
                <w:szCs w:val="18"/>
              </w:rPr>
            </w:pPr>
            <w:r>
              <w:rPr>
                <w:rFonts w:cs="Arial"/>
                <w:sz w:val="18"/>
                <w:szCs w:val="18"/>
              </w:rPr>
              <w:t> </w:t>
            </w:r>
          </w:p>
        </w:tc>
      </w:tr>
      <w:tr w:rsidR="00C32CBD" w14:paraId="6048D78F" w14:textId="77777777" w:rsidTr="00320D09">
        <w:trPr>
          <w:trHeight w:val="255"/>
        </w:trPr>
        <w:tc>
          <w:tcPr>
            <w:tcW w:w="6353" w:type="dxa"/>
            <w:tcBorders>
              <w:top w:val="nil"/>
              <w:left w:val="nil"/>
              <w:bottom w:val="nil"/>
              <w:right w:val="nil"/>
            </w:tcBorders>
            <w:shd w:val="clear" w:color="FFFFFF" w:fill="FFFFFF"/>
            <w:noWrap/>
            <w:vAlign w:val="bottom"/>
            <w:hideMark/>
          </w:tcPr>
          <w:p w14:paraId="108EA7E3" w14:textId="77777777" w:rsidR="00C32CBD" w:rsidRDefault="00C32CBD" w:rsidP="00320D09">
            <w:pPr>
              <w:ind w:firstLineChars="100" w:firstLine="180"/>
              <w:rPr>
                <w:rFonts w:cs="Arial"/>
                <w:sz w:val="18"/>
                <w:szCs w:val="18"/>
              </w:rPr>
            </w:pPr>
            <w:r>
              <w:rPr>
                <w:rFonts w:cs="Arial"/>
                <w:sz w:val="18"/>
                <w:szCs w:val="18"/>
              </w:rPr>
              <w:t>Minimum lease payments</w:t>
            </w:r>
          </w:p>
        </w:tc>
        <w:tc>
          <w:tcPr>
            <w:tcW w:w="1249" w:type="dxa"/>
            <w:tcBorders>
              <w:top w:val="nil"/>
              <w:left w:val="nil"/>
              <w:bottom w:val="nil"/>
              <w:right w:val="nil"/>
            </w:tcBorders>
            <w:shd w:val="clear" w:color="FFFFFF" w:fill="FFFFFF"/>
            <w:noWrap/>
            <w:vAlign w:val="bottom"/>
            <w:hideMark/>
          </w:tcPr>
          <w:p w14:paraId="4BCB5EF8" w14:textId="77777777" w:rsidR="00C32CBD" w:rsidRDefault="00C32CBD" w:rsidP="00320D09">
            <w:pPr>
              <w:jc w:val="right"/>
              <w:rPr>
                <w:rFonts w:cs="Arial"/>
                <w:b/>
                <w:bCs/>
                <w:sz w:val="18"/>
                <w:szCs w:val="18"/>
              </w:rPr>
            </w:pPr>
            <w:r>
              <w:rPr>
                <w:rFonts w:cs="Arial"/>
                <w:b/>
                <w:bCs/>
                <w:sz w:val="18"/>
                <w:szCs w:val="18"/>
              </w:rPr>
              <w:t>24,978</w:t>
            </w:r>
          </w:p>
        </w:tc>
        <w:tc>
          <w:tcPr>
            <w:tcW w:w="236" w:type="dxa"/>
            <w:tcBorders>
              <w:top w:val="nil"/>
              <w:left w:val="nil"/>
              <w:bottom w:val="nil"/>
              <w:right w:val="nil"/>
            </w:tcBorders>
            <w:shd w:val="clear" w:color="FFFFFF" w:fill="FFFFFF"/>
            <w:noWrap/>
            <w:vAlign w:val="bottom"/>
            <w:hideMark/>
          </w:tcPr>
          <w:p w14:paraId="54073013"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32CC3CE4" w14:textId="77777777" w:rsidR="00C32CBD" w:rsidRDefault="00C32CBD" w:rsidP="00320D09">
            <w:pPr>
              <w:jc w:val="right"/>
              <w:rPr>
                <w:rFonts w:cs="Arial"/>
                <w:sz w:val="18"/>
                <w:szCs w:val="18"/>
              </w:rPr>
            </w:pPr>
            <w:r>
              <w:rPr>
                <w:rFonts w:cs="Arial"/>
                <w:sz w:val="18"/>
                <w:szCs w:val="18"/>
              </w:rPr>
              <w:t>10,793</w:t>
            </w:r>
          </w:p>
        </w:tc>
      </w:tr>
      <w:tr w:rsidR="00C32CBD" w14:paraId="3DFCC2B5" w14:textId="77777777" w:rsidTr="00320D09">
        <w:trPr>
          <w:trHeight w:val="255"/>
        </w:trPr>
        <w:tc>
          <w:tcPr>
            <w:tcW w:w="6353" w:type="dxa"/>
            <w:tcBorders>
              <w:top w:val="nil"/>
              <w:left w:val="nil"/>
              <w:bottom w:val="nil"/>
              <w:right w:val="nil"/>
            </w:tcBorders>
            <w:shd w:val="clear" w:color="FFFFFF" w:fill="FFFFFF"/>
            <w:vAlign w:val="bottom"/>
            <w:hideMark/>
          </w:tcPr>
          <w:p w14:paraId="658275E5" w14:textId="77777777" w:rsidR="00C32CBD" w:rsidRDefault="00C32CBD" w:rsidP="00320D09">
            <w:pPr>
              <w:ind w:firstLineChars="100" w:firstLine="180"/>
              <w:rPr>
                <w:rFonts w:cs="Arial"/>
                <w:sz w:val="18"/>
                <w:szCs w:val="18"/>
              </w:rPr>
            </w:pPr>
            <w:r>
              <w:rPr>
                <w:rFonts w:cs="Arial"/>
                <w:sz w:val="18"/>
                <w:szCs w:val="18"/>
              </w:rPr>
              <w:t>Workers compensation expenses</w:t>
            </w:r>
          </w:p>
        </w:tc>
        <w:tc>
          <w:tcPr>
            <w:tcW w:w="1249" w:type="dxa"/>
            <w:tcBorders>
              <w:top w:val="nil"/>
              <w:left w:val="nil"/>
              <w:bottom w:val="nil"/>
              <w:right w:val="nil"/>
            </w:tcBorders>
            <w:shd w:val="clear" w:color="FFFFFF" w:fill="FFFFFF"/>
            <w:noWrap/>
            <w:vAlign w:val="bottom"/>
            <w:hideMark/>
          </w:tcPr>
          <w:p w14:paraId="58F1B013" w14:textId="77777777" w:rsidR="00C32CBD" w:rsidRDefault="00C32CBD" w:rsidP="00320D09">
            <w:pPr>
              <w:jc w:val="right"/>
              <w:rPr>
                <w:rFonts w:cs="Arial"/>
                <w:b/>
                <w:bCs/>
                <w:sz w:val="18"/>
                <w:szCs w:val="18"/>
              </w:rPr>
            </w:pPr>
            <w:r>
              <w:rPr>
                <w:rFonts w:cs="Arial"/>
                <w:b/>
                <w:bCs/>
                <w:sz w:val="18"/>
                <w:szCs w:val="18"/>
              </w:rPr>
              <w:t>2,808</w:t>
            </w:r>
          </w:p>
        </w:tc>
        <w:tc>
          <w:tcPr>
            <w:tcW w:w="236" w:type="dxa"/>
            <w:tcBorders>
              <w:top w:val="nil"/>
              <w:left w:val="nil"/>
              <w:bottom w:val="nil"/>
              <w:right w:val="nil"/>
            </w:tcBorders>
            <w:shd w:val="clear" w:color="FFFFFF" w:fill="FFFFFF"/>
            <w:noWrap/>
            <w:vAlign w:val="bottom"/>
            <w:hideMark/>
          </w:tcPr>
          <w:p w14:paraId="4AFCB998"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5C68DD40" w14:textId="77777777" w:rsidR="00C32CBD" w:rsidRDefault="00C32CBD" w:rsidP="00320D09">
            <w:pPr>
              <w:jc w:val="right"/>
              <w:rPr>
                <w:rFonts w:cs="Arial"/>
                <w:sz w:val="18"/>
                <w:szCs w:val="18"/>
              </w:rPr>
            </w:pPr>
            <w:r>
              <w:rPr>
                <w:rFonts w:cs="Arial"/>
                <w:sz w:val="18"/>
                <w:szCs w:val="18"/>
              </w:rPr>
              <w:t>1,381</w:t>
            </w:r>
          </w:p>
        </w:tc>
      </w:tr>
      <w:tr w:rsidR="00C32CBD" w14:paraId="318F2EB0" w14:textId="77777777" w:rsidTr="00320D09">
        <w:trPr>
          <w:trHeight w:val="255"/>
        </w:trPr>
        <w:tc>
          <w:tcPr>
            <w:tcW w:w="6353" w:type="dxa"/>
            <w:tcBorders>
              <w:top w:val="nil"/>
              <w:left w:val="nil"/>
              <w:bottom w:val="nil"/>
              <w:right w:val="nil"/>
            </w:tcBorders>
            <w:shd w:val="clear" w:color="FFFFFF" w:fill="FFFFFF"/>
            <w:vAlign w:val="bottom"/>
            <w:hideMark/>
          </w:tcPr>
          <w:p w14:paraId="24C66728" w14:textId="77777777" w:rsidR="00C32CBD" w:rsidRDefault="00C32CBD" w:rsidP="00320D09">
            <w:pPr>
              <w:rPr>
                <w:rFonts w:cs="Arial"/>
                <w:b/>
                <w:bCs/>
                <w:sz w:val="18"/>
                <w:szCs w:val="18"/>
              </w:rPr>
            </w:pPr>
            <w:r>
              <w:rPr>
                <w:rFonts w:cs="Arial"/>
                <w:b/>
                <w:bCs/>
                <w:sz w:val="18"/>
                <w:szCs w:val="18"/>
              </w:rPr>
              <w:t>Total other suppliers</w:t>
            </w:r>
          </w:p>
        </w:tc>
        <w:tc>
          <w:tcPr>
            <w:tcW w:w="1249" w:type="dxa"/>
            <w:tcBorders>
              <w:top w:val="single" w:sz="4" w:space="0" w:color="auto"/>
              <w:left w:val="nil"/>
              <w:bottom w:val="single" w:sz="4" w:space="0" w:color="auto"/>
              <w:right w:val="nil"/>
            </w:tcBorders>
            <w:shd w:val="clear" w:color="FFFFFF" w:fill="FFFFFF"/>
            <w:noWrap/>
            <w:vAlign w:val="bottom"/>
            <w:hideMark/>
          </w:tcPr>
          <w:p w14:paraId="6A70355B" w14:textId="77777777" w:rsidR="00C32CBD" w:rsidRDefault="00C32CBD" w:rsidP="00320D09">
            <w:pPr>
              <w:jc w:val="right"/>
              <w:rPr>
                <w:rFonts w:cs="Arial"/>
                <w:b/>
                <w:bCs/>
                <w:sz w:val="18"/>
                <w:szCs w:val="18"/>
              </w:rPr>
            </w:pPr>
            <w:r>
              <w:rPr>
                <w:rFonts w:cs="Arial"/>
                <w:b/>
                <w:bCs/>
                <w:sz w:val="18"/>
                <w:szCs w:val="18"/>
              </w:rPr>
              <w:t>27,786</w:t>
            </w:r>
          </w:p>
        </w:tc>
        <w:tc>
          <w:tcPr>
            <w:tcW w:w="236" w:type="dxa"/>
            <w:tcBorders>
              <w:top w:val="nil"/>
              <w:left w:val="nil"/>
              <w:bottom w:val="nil"/>
              <w:right w:val="nil"/>
            </w:tcBorders>
            <w:shd w:val="clear" w:color="FFFFFF" w:fill="FFFFFF"/>
            <w:noWrap/>
            <w:vAlign w:val="bottom"/>
            <w:hideMark/>
          </w:tcPr>
          <w:p w14:paraId="6DBBDD5D" w14:textId="77777777" w:rsidR="00C32CBD" w:rsidRDefault="00C32CBD" w:rsidP="00320D09">
            <w:pPr>
              <w:rPr>
                <w:rFonts w:cs="Arial"/>
                <w:sz w:val="18"/>
                <w:szCs w:val="18"/>
              </w:rPr>
            </w:pPr>
            <w:r>
              <w:rPr>
                <w:rFonts w:cs="Arial"/>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5B283BE9" w14:textId="77777777" w:rsidR="00C32CBD" w:rsidRDefault="00C32CBD" w:rsidP="00320D09">
            <w:pPr>
              <w:jc w:val="right"/>
              <w:rPr>
                <w:rFonts w:cs="Arial"/>
                <w:sz w:val="18"/>
                <w:szCs w:val="18"/>
              </w:rPr>
            </w:pPr>
            <w:r>
              <w:rPr>
                <w:rFonts w:cs="Arial"/>
                <w:sz w:val="18"/>
                <w:szCs w:val="18"/>
              </w:rPr>
              <w:t>12,174</w:t>
            </w:r>
          </w:p>
        </w:tc>
      </w:tr>
      <w:tr w:rsidR="00C32CBD" w14:paraId="4974F4CA" w14:textId="77777777" w:rsidTr="00320D09">
        <w:trPr>
          <w:trHeight w:val="255"/>
        </w:trPr>
        <w:tc>
          <w:tcPr>
            <w:tcW w:w="6353" w:type="dxa"/>
            <w:tcBorders>
              <w:top w:val="nil"/>
              <w:left w:val="nil"/>
              <w:bottom w:val="nil"/>
              <w:right w:val="nil"/>
            </w:tcBorders>
            <w:shd w:val="clear" w:color="FFFFFF" w:fill="FFFFFF"/>
            <w:vAlign w:val="bottom"/>
            <w:hideMark/>
          </w:tcPr>
          <w:p w14:paraId="5CFEF5FE" w14:textId="77777777" w:rsidR="00C32CBD" w:rsidRDefault="00C32CBD" w:rsidP="00320D09">
            <w:pPr>
              <w:rPr>
                <w:rFonts w:cs="Arial"/>
                <w:b/>
                <w:bCs/>
                <w:sz w:val="18"/>
                <w:szCs w:val="18"/>
              </w:rPr>
            </w:pPr>
            <w:r>
              <w:rPr>
                <w:rFonts w:cs="Arial"/>
                <w:b/>
                <w:bCs/>
                <w:sz w:val="18"/>
                <w:szCs w:val="18"/>
              </w:rPr>
              <w:t>Total suppliers</w:t>
            </w:r>
          </w:p>
        </w:tc>
        <w:tc>
          <w:tcPr>
            <w:tcW w:w="1249" w:type="dxa"/>
            <w:tcBorders>
              <w:top w:val="nil"/>
              <w:left w:val="nil"/>
              <w:bottom w:val="single" w:sz="4" w:space="0" w:color="auto"/>
              <w:right w:val="nil"/>
            </w:tcBorders>
            <w:shd w:val="clear" w:color="FFFFFF" w:fill="FFFFFF"/>
            <w:noWrap/>
            <w:vAlign w:val="bottom"/>
            <w:hideMark/>
          </w:tcPr>
          <w:p w14:paraId="3C300C3B" w14:textId="77777777" w:rsidR="00C32CBD" w:rsidRDefault="00C32CBD" w:rsidP="00320D09">
            <w:pPr>
              <w:jc w:val="right"/>
              <w:rPr>
                <w:rFonts w:cs="Arial"/>
                <w:b/>
                <w:bCs/>
                <w:sz w:val="18"/>
                <w:szCs w:val="18"/>
              </w:rPr>
            </w:pPr>
            <w:r>
              <w:rPr>
                <w:rFonts w:cs="Arial"/>
                <w:b/>
                <w:bCs/>
                <w:sz w:val="18"/>
                <w:szCs w:val="18"/>
              </w:rPr>
              <w:t>262,653</w:t>
            </w:r>
          </w:p>
        </w:tc>
        <w:tc>
          <w:tcPr>
            <w:tcW w:w="236" w:type="dxa"/>
            <w:tcBorders>
              <w:top w:val="nil"/>
              <w:left w:val="nil"/>
              <w:bottom w:val="nil"/>
              <w:right w:val="nil"/>
            </w:tcBorders>
            <w:shd w:val="clear" w:color="FFFFFF" w:fill="FFFFFF"/>
            <w:noWrap/>
            <w:vAlign w:val="bottom"/>
            <w:hideMark/>
          </w:tcPr>
          <w:p w14:paraId="1A52100C"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single" w:sz="4" w:space="0" w:color="auto"/>
              <w:right w:val="nil"/>
            </w:tcBorders>
            <w:shd w:val="clear" w:color="FFFFFF" w:fill="FFFFFF"/>
            <w:noWrap/>
            <w:vAlign w:val="bottom"/>
            <w:hideMark/>
          </w:tcPr>
          <w:p w14:paraId="593E6351" w14:textId="77777777" w:rsidR="00C32CBD" w:rsidRDefault="00C32CBD" w:rsidP="00320D09">
            <w:pPr>
              <w:jc w:val="right"/>
              <w:rPr>
                <w:rFonts w:cs="Arial"/>
                <w:sz w:val="18"/>
                <w:szCs w:val="18"/>
              </w:rPr>
            </w:pPr>
            <w:r>
              <w:rPr>
                <w:rFonts w:cs="Arial"/>
                <w:sz w:val="18"/>
                <w:szCs w:val="18"/>
              </w:rPr>
              <w:t>114,490</w:t>
            </w:r>
          </w:p>
        </w:tc>
      </w:tr>
      <w:tr w:rsidR="00C32CBD" w14:paraId="070ABC2D" w14:textId="77777777" w:rsidTr="00320D09">
        <w:trPr>
          <w:trHeight w:val="255"/>
        </w:trPr>
        <w:tc>
          <w:tcPr>
            <w:tcW w:w="6353" w:type="dxa"/>
            <w:tcBorders>
              <w:top w:val="nil"/>
              <w:left w:val="nil"/>
              <w:bottom w:val="nil"/>
              <w:right w:val="nil"/>
            </w:tcBorders>
            <w:shd w:val="clear" w:color="FFFFFF" w:fill="FFFFFF"/>
            <w:vAlign w:val="bottom"/>
            <w:hideMark/>
          </w:tcPr>
          <w:p w14:paraId="26DFC579" w14:textId="77777777" w:rsidR="00C32CBD" w:rsidRDefault="00C32CBD" w:rsidP="00320D09">
            <w:pPr>
              <w:rPr>
                <w:rFonts w:cs="Arial"/>
                <w:b/>
                <w:bCs/>
                <w:sz w:val="18"/>
                <w:szCs w:val="18"/>
              </w:rPr>
            </w:pPr>
            <w:r>
              <w:rPr>
                <w:rFonts w:cs="Arial"/>
                <w:b/>
                <w:bCs/>
                <w:sz w:val="18"/>
                <w:szCs w:val="18"/>
              </w:rPr>
              <w:t> </w:t>
            </w:r>
          </w:p>
        </w:tc>
        <w:tc>
          <w:tcPr>
            <w:tcW w:w="1249" w:type="dxa"/>
            <w:tcBorders>
              <w:top w:val="nil"/>
              <w:left w:val="nil"/>
              <w:bottom w:val="nil"/>
              <w:right w:val="nil"/>
            </w:tcBorders>
            <w:shd w:val="clear" w:color="FFFFFF" w:fill="FFFFFF"/>
            <w:noWrap/>
            <w:vAlign w:val="bottom"/>
            <w:hideMark/>
          </w:tcPr>
          <w:p w14:paraId="71A76F7F" w14:textId="77777777" w:rsidR="00C32CBD" w:rsidRDefault="00C32CBD" w:rsidP="00320D09">
            <w:pPr>
              <w:jc w:val="right"/>
              <w:rPr>
                <w:rFonts w:cs="Arial"/>
                <w:b/>
                <w:bCs/>
                <w:sz w:val="18"/>
                <w:szCs w:val="18"/>
              </w:rPr>
            </w:pPr>
            <w:r>
              <w:rPr>
                <w:rFonts w:cs="Arial"/>
                <w:b/>
                <w:bCs/>
                <w:sz w:val="18"/>
                <w:szCs w:val="18"/>
              </w:rPr>
              <w:t> </w:t>
            </w:r>
          </w:p>
        </w:tc>
        <w:tc>
          <w:tcPr>
            <w:tcW w:w="236" w:type="dxa"/>
            <w:tcBorders>
              <w:top w:val="nil"/>
              <w:left w:val="nil"/>
              <w:bottom w:val="nil"/>
              <w:right w:val="nil"/>
            </w:tcBorders>
            <w:shd w:val="clear" w:color="FFFFFF" w:fill="FFFFFF"/>
            <w:noWrap/>
            <w:vAlign w:val="bottom"/>
            <w:hideMark/>
          </w:tcPr>
          <w:p w14:paraId="3F6D5259"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5FFCF9DF" w14:textId="77777777" w:rsidR="00C32CBD" w:rsidRDefault="00C32CBD" w:rsidP="00320D09">
            <w:pPr>
              <w:jc w:val="right"/>
              <w:rPr>
                <w:rFonts w:cs="Arial"/>
                <w:b/>
                <w:bCs/>
                <w:sz w:val="18"/>
                <w:szCs w:val="18"/>
              </w:rPr>
            </w:pPr>
            <w:r>
              <w:rPr>
                <w:rFonts w:cs="Arial"/>
                <w:b/>
                <w:bCs/>
                <w:sz w:val="18"/>
                <w:szCs w:val="18"/>
              </w:rPr>
              <w:t> </w:t>
            </w:r>
          </w:p>
        </w:tc>
      </w:tr>
      <w:tr w:rsidR="00C32CBD" w14:paraId="335435ED" w14:textId="77777777" w:rsidTr="00320D09">
        <w:trPr>
          <w:trHeight w:val="255"/>
        </w:trPr>
        <w:tc>
          <w:tcPr>
            <w:tcW w:w="6353" w:type="dxa"/>
            <w:tcBorders>
              <w:top w:val="nil"/>
              <w:left w:val="nil"/>
              <w:bottom w:val="nil"/>
              <w:right w:val="nil"/>
            </w:tcBorders>
            <w:shd w:val="clear" w:color="FFFFFF" w:fill="FFFFFF"/>
            <w:vAlign w:val="bottom"/>
            <w:hideMark/>
          </w:tcPr>
          <w:p w14:paraId="41E1CDDC" w14:textId="77777777" w:rsidR="00C32CBD" w:rsidRDefault="00C32CBD" w:rsidP="00320D09">
            <w:pPr>
              <w:rPr>
                <w:rFonts w:cs="Arial"/>
                <w:b/>
                <w:bCs/>
                <w:sz w:val="18"/>
                <w:szCs w:val="18"/>
              </w:rPr>
            </w:pPr>
            <w:r>
              <w:rPr>
                <w:rFonts w:cs="Arial"/>
                <w:b/>
                <w:bCs/>
                <w:sz w:val="18"/>
                <w:szCs w:val="18"/>
              </w:rPr>
              <w:t> </w:t>
            </w:r>
          </w:p>
        </w:tc>
        <w:tc>
          <w:tcPr>
            <w:tcW w:w="1249" w:type="dxa"/>
            <w:tcBorders>
              <w:top w:val="nil"/>
              <w:left w:val="nil"/>
              <w:bottom w:val="nil"/>
              <w:right w:val="nil"/>
            </w:tcBorders>
            <w:shd w:val="clear" w:color="FFFFFF" w:fill="FFFFFF"/>
            <w:vAlign w:val="bottom"/>
            <w:hideMark/>
          </w:tcPr>
          <w:p w14:paraId="0EA33DA7" w14:textId="77777777" w:rsidR="00C32CBD" w:rsidRDefault="00C32CBD" w:rsidP="00320D09">
            <w:pPr>
              <w:rPr>
                <w:rFonts w:cs="Arial"/>
                <w:b/>
                <w:bCs/>
                <w:sz w:val="18"/>
                <w:szCs w:val="18"/>
              </w:rPr>
            </w:pPr>
            <w:r>
              <w:rPr>
                <w:rFonts w:cs="Arial"/>
                <w:b/>
                <w:bCs/>
                <w:sz w:val="18"/>
                <w:szCs w:val="18"/>
              </w:rPr>
              <w:t> </w:t>
            </w:r>
          </w:p>
        </w:tc>
        <w:tc>
          <w:tcPr>
            <w:tcW w:w="236" w:type="dxa"/>
            <w:tcBorders>
              <w:top w:val="nil"/>
              <w:left w:val="nil"/>
              <w:bottom w:val="nil"/>
              <w:right w:val="nil"/>
            </w:tcBorders>
            <w:shd w:val="clear" w:color="FFFFFF" w:fill="FFFFFF"/>
            <w:vAlign w:val="bottom"/>
            <w:hideMark/>
          </w:tcPr>
          <w:p w14:paraId="2780E325" w14:textId="77777777" w:rsidR="00C32CBD" w:rsidRDefault="00C32CBD" w:rsidP="00320D09">
            <w:pPr>
              <w:rPr>
                <w:rFonts w:cs="Arial"/>
                <w:b/>
                <w:bCs/>
                <w:sz w:val="18"/>
                <w:szCs w:val="18"/>
              </w:rPr>
            </w:pPr>
            <w:r>
              <w:rPr>
                <w:rFonts w:cs="Arial"/>
                <w:b/>
                <w:bCs/>
                <w:sz w:val="18"/>
                <w:szCs w:val="18"/>
              </w:rPr>
              <w:t> </w:t>
            </w:r>
          </w:p>
        </w:tc>
        <w:tc>
          <w:tcPr>
            <w:tcW w:w="1249" w:type="dxa"/>
            <w:tcBorders>
              <w:top w:val="nil"/>
              <w:left w:val="nil"/>
              <w:bottom w:val="nil"/>
              <w:right w:val="nil"/>
            </w:tcBorders>
            <w:shd w:val="clear" w:color="FFFFFF" w:fill="FFFFFF"/>
            <w:vAlign w:val="bottom"/>
            <w:hideMark/>
          </w:tcPr>
          <w:p w14:paraId="1696D41E" w14:textId="77777777" w:rsidR="00C32CBD" w:rsidRDefault="00C32CBD" w:rsidP="00320D09">
            <w:pPr>
              <w:rPr>
                <w:rFonts w:cs="Arial"/>
                <w:b/>
                <w:bCs/>
                <w:sz w:val="18"/>
                <w:szCs w:val="18"/>
              </w:rPr>
            </w:pPr>
            <w:r>
              <w:rPr>
                <w:rFonts w:cs="Arial"/>
                <w:b/>
                <w:bCs/>
                <w:sz w:val="18"/>
                <w:szCs w:val="18"/>
              </w:rPr>
              <w:t> </w:t>
            </w:r>
          </w:p>
        </w:tc>
      </w:tr>
      <w:tr w:rsidR="00C32CBD" w14:paraId="3E3046DC" w14:textId="77777777" w:rsidTr="00320D09">
        <w:trPr>
          <w:trHeight w:val="495"/>
        </w:trPr>
        <w:tc>
          <w:tcPr>
            <w:tcW w:w="7602" w:type="dxa"/>
            <w:gridSpan w:val="2"/>
            <w:tcBorders>
              <w:top w:val="nil"/>
              <w:left w:val="nil"/>
              <w:bottom w:val="nil"/>
              <w:right w:val="nil"/>
            </w:tcBorders>
            <w:shd w:val="clear" w:color="FFFFFF" w:fill="FFFFFF"/>
            <w:hideMark/>
          </w:tcPr>
          <w:p w14:paraId="40A59353" w14:textId="77777777" w:rsidR="00C32CBD" w:rsidRDefault="00C32CBD" w:rsidP="00320D09">
            <w:pPr>
              <w:rPr>
                <w:rFonts w:cs="Arial"/>
                <w:b/>
                <w:bCs/>
                <w:sz w:val="18"/>
                <w:szCs w:val="18"/>
              </w:rPr>
            </w:pPr>
            <w:r>
              <w:rPr>
                <w:rFonts w:cs="Arial"/>
                <w:b/>
                <w:bCs/>
                <w:sz w:val="18"/>
                <w:szCs w:val="18"/>
              </w:rPr>
              <w:t>Commitments for minimum lease payments in relation to non-cancellable</w:t>
            </w:r>
            <w:r>
              <w:rPr>
                <w:rFonts w:cs="Arial"/>
                <w:b/>
                <w:bCs/>
                <w:sz w:val="18"/>
                <w:szCs w:val="18"/>
              </w:rPr>
              <w:br/>
              <w:t>operating leases are payable as follows:</w:t>
            </w:r>
          </w:p>
        </w:tc>
        <w:tc>
          <w:tcPr>
            <w:tcW w:w="236" w:type="dxa"/>
            <w:tcBorders>
              <w:top w:val="nil"/>
              <w:left w:val="nil"/>
              <w:bottom w:val="nil"/>
              <w:right w:val="nil"/>
            </w:tcBorders>
            <w:shd w:val="clear" w:color="FFFFFF" w:fill="FFFFFF"/>
            <w:vAlign w:val="bottom"/>
            <w:hideMark/>
          </w:tcPr>
          <w:p w14:paraId="2B11A2E8" w14:textId="77777777" w:rsidR="00C32CBD" w:rsidRDefault="00C32CBD" w:rsidP="00320D09">
            <w:pPr>
              <w:rPr>
                <w:rFonts w:cs="Arial"/>
                <w:b/>
                <w:bCs/>
                <w:sz w:val="18"/>
                <w:szCs w:val="18"/>
              </w:rPr>
            </w:pPr>
            <w:r>
              <w:rPr>
                <w:rFonts w:cs="Arial"/>
                <w:b/>
                <w:bCs/>
                <w:sz w:val="18"/>
                <w:szCs w:val="18"/>
              </w:rPr>
              <w:t> </w:t>
            </w:r>
          </w:p>
        </w:tc>
        <w:tc>
          <w:tcPr>
            <w:tcW w:w="1249" w:type="dxa"/>
            <w:tcBorders>
              <w:top w:val="nil"/>
              <w:left w:val="nil"/>
              <w:bottom w:val="nil"/>
              <w:right w:val="nil"/>
            </w:tcBorders>
            <w:shd w:val="clear" w:color="FFFFFF" w:fill="FFFFFF"/>
            <w:vAlign w:val="bottom"/>
            <w:hideMark/>
          </w:tcPr>
          <w:p w14:paraId="5EA36A42" w14:textId="77777777" w:rsidR="00C32CBD" w:rsidRDefault="00C32CBD" w:rsidP="00320D09">
            <w:pPr>
              <w:rPr>
                <w:rFonts w:cs="Arial"/>
                <w:b/>
                <w:bCs/>
                <w:sz w:val="18"/>
                <w:szCs w:val="18"/>
              </w:rPr>
            </w:pPr>
            <w:r>
              <w:rPr>
                <w:rFonts w:cs="Arial"/>
                <w:b/>
                <w:bCs/>
                <w:sz w:val="18"/>
                <w:szCs w:val="18"/>
              </w:rPr>
              <w:t> </w:t>
            </w:r>
          </w:p>
        </w:tc>
      </w:tr>
      <w:tr w:rsidR="00C32CBD" w14:paraId="6584D670" w14:textId="77777777" w:rsidTr="00320D09">
        <w:trPr>
          <w:trHeight w:val="255"/>
        </w:trPr>
        <w:tc>
          <w:tcPr>
            <w:tcW w:w="6353" w:type="dxa"/>
            <w:tcBorders>
              <w:top w:val="nil"/>
              <w:left w:val="nil"/>
              <w:bottom w:val="nil"/>
              <w:right w:val="nil"/>
            </w:tcBorders>
            <w:shd w:val="clear" w:color="FFFFFF" w:fill="FFFFFF"/>
            <w:noWrap/>
            <w:vAlign w:val="bottom"/>
            <w:hideMark/>
          </w:tcPr>
          <w:p w14:paraId="5D1B3A71" w14:textId="77777777" w:rsidR="00C32CBD" w:rsidRDefault="00C32CBD" w:rsidP="00320D09">
            <w:pPr>
              <w:ind w:firstLineChars="100" w:firstLine="180"/>
              <w:rPr>
                <w:rFonts w:cs="Arial"/>
                <w:sz w:val="18"/>
                <w:szCs w:val="18"/>
              </w:rPr>
            </w:pPr>
            <w:r>
              <w:rPr>
                <w:rFonts w:cs="Arial"/>
                <w:sz w:val="18"/>
                <w:szCs w:val="18"/>
              </w:rPr>
              <w:t>Within 1 year</w:t>
            </w:r>
          </w:p>
        </w:tc>
        <w:tc>
          <w:tcPr>
            <w:tcW w:w="1249" w:type="dxa"/>
            <w:tcBorders>
              <w:top w:val="nil"/>
              <w:left w:val="nil"/>
              <w:bottom w:val="nil"/>
              <w:right w:val="nil"/>
            </w:tcBorders>
            <w:shd w:val="clear" w:color="FFFFFF" w:fill="FFFFFF"/>
            <w:noWrap/>
            <w:vAlign w:val="bottom"/>
            <w:hideMark/>
          </w:tcPr>
          <w:p w14:paraId="789DD6B1" w14:textId="77777777" w:rsidR="00C32CBD" w:rsidRDefault="00C32CBD" w:rsidP="00320D09">
            <w:pPr>
              <w:jc w:val="right"/>
              <w:rPr>
                <w:rFonts w:cs="Arial"/>
                <w:b/>
                <w:bCs/>
                <w:sz w:val="18"/>
                <w:szCs w:val="18"/>
              </w:rPr>
            </w:pPr>
            <w:r>
              <w:rPr>
                <w:rFonts w:cs="Arial"/>
                <w:b/>
                <w:bCs/>
                <w:sz w:val="18"/>
                <w:szCs w:val="18"/>
              </w:rPr>
              <w:t>11,466</w:t>
            </w:r>
          </w:p>
        </w:tc>
        <w:tc>
          <w:tcPr>
            <w:tcW w:w="236" w:type="dxa"/>
            <w:tcBorders>
              <w:top w:val="nil"/>
              <w:left w:val="nil"/>
              <w:bottom w:val="nil"/>
              <w:right w:val="nil"/>
            </w:tcBorders>
            <w:shd w:val="clear" w:color="FFFFFF" w:fill="FFFFFF"/>
            <w:vAlign w:val="bottom"/>
            <w:hideMark/>
          </w:tcPr>
          <w:p w14:paraId="5A4235BE" w14:textId="77777777" w:rsidR="00C32CBD" w:rsidRDefault="00C32CBD" w:rsidP="00320D09">
            <w:pPr>
              <w:rPr>
                <w:rFonts w:cs="Arial"/>
                <w:b/>
                <w:bCs/>
                <w:sz w:val="18"/>
                <w:szCs w:val="18"/>
              </w:rPr>
            </w:pPr>
            <w:r>
              <w:rPr>
                <w:rFonts w:cs="Arial"/>
                <w:b/>
                <w:bCs/>
                <w:sz w:val="18"/>
                <w:szCs w:val="18"/>
              </w:rPr>
              <w:t> </w:t>
            </w:r>
          </w:p>
        </w:tc>
        <w:tc>
          <w:tcPr>
            <w:tcW w:w="1249" w:type="dxa"/>
            <w:tcBorders>
              <w:top w:val="nil"/>
              <w:left w:val="nil"/>
              <w:bottom w:val="nil"/>
              <w:right w:val="nil"/>
            </w:tcBorders>
            <w:shd w:val="clear" w:color="FFFFFF" w:fill="FFFFFF"/>
            <w:noWrap/>
            <w:vAlign w:val="bottom"/>
            <w:hideMark/>
          </w:tcPr>
          <w:p w14:paraId="3914942A" w14:textId="77777777" w:rsidR="00C32CBD" w:rsidRDefault="00C32CBD" w:rsidP="00320D09">
            <w:pPr>
              <w:jc w:val="right"/>
              <w:rPr>
                <w:rFonts w:cs="Arial"/>
                <w:sz w:val="18"/>
                <w:szCs w:val="18"/>
              </w:rPr>
            </w:pPr>
            <w:r>
              <w:rPr>
                <w:rFonts w:cs="Arial"/>
                <w:sz w:val="18"/>
                <w:szCs w:val="18"/>
              </w:rPr>
              <w:t>6,776</w:t>
            </w:r>
          </w:p>
        </w:tc>
      </w:tr>
      <w:tr w:rsidR="00C32CBD" w14:paraId="511D0972" w14:textId="77777777" w:rsidTr="00320D09">
        <w:trPr>
          <w:trHeight w:val="255"/>
        </w:trPr>
        <w:tc>
          <w:tcPr>
            <w:tcW w:w="6353" w:type="dxa"/>
            <w:tcBorders>
              <w:top w:val="nil"/>
              <w:left w:val="nil"/>
              <w:bottom w:val="nil"/>
              <w:right w:val="nil"/>
            </w:tcBorders>
            <w:shd w:val="clear" w:color="FFFFFF" w:fill="FFFFFF"/>
            <w:noWrap/>
            <w:vAlign w:val="bottom"/>
            <w:hideMark/>
          </w:tcPr>
          <w:p w14:paraId="342375F5" w14:textId="77777777" w:rsidR="00C32CBD" w:rsidRDefault="00C32CBD" w:rsidP="00320D09">
            <w:pPr>
              <w:ind w:firstLineChars="100" w:firstLine="180"/>
              <w:rPr>
                <w:rFonts w:cs="Arial"/>
                <w:sz w:val="18"/>
                <w:szCs w:val="18"/>
              </w:rPr>
            </w:pPr>
            <w:r>
              <w:rPr>
                <w:rFonts w:cs="Arial"/>
                <w:sz w:val="18"/>
                <w:szCs w:val="18"/>
              </w:rPr>
              <w:t>Between 1 to 5 years</w:t>
            </w:r>
          </w:p>
        </w:tc>
        <w:tc>
          <w:tcPr>
            <w:tcW w:w="1249" w:type="dxa"/>
            <w:tcBorders>
              <w:top w:val="nil"/>
              <w:left w:val="nil"/>
              <w:bottom w:val="nil"/>
              <w:right w:val="nil"/>
            </w:tcBorders>
            <w:shd w:val="clear" w:color="FFFFFF" w:fill="FFFFFF"/>
            <w:noWrap/>
            <w:vAlign w:val="bottom"/>
            <w:hideMark/>
          </w:tcPr>
          <w:p w14:paraId="4F7107BA" w14:textId="77777777" w:rsidR="00C32CBD" w:rsidRDefault="00C32CBD" w:rsidP="00320D09">
            <w:pPr>
              <w:jc w:val="right"/>
              <w:rPr>
                <w:rFonts w:cs="Arial"/>
                <w:b/>
                <w:bCs/>
                <w:sz w:val="18"/>
                <w:szCs w:val="18"/>
              </w:rPr>
            </w:pPr>
            <w:r>
              <w:rPr>
                <w:rFonts w:cs="Arial"/>
                <w:b/>
                <w:bCs/>
                <w:sz w:val="18"/>
                <w:szCs w:val="18"/>
              </w:rPr>
              <w:t>31,145</w:t>
            </w:r>
          </w:p>
        </w:tc>
        <w:tc>
          <w:tcPr>
            <w:tcW w:w="236" w:type="dxa"/>
            <w:tcBorders>
              <w:top w:val="nil"/>
              <w:left w:val="nil"/>
              <w:bottom w:val="nil"/>
              <w:right w:val="nil"/>
            </w:tcBorders>
            <w:shd w:val="clear" w:color="FFFFFF" w:fill="FFFFFF"/>
            <w:vAlign w:val="bottom"/>
            <w:hideMark/>
          </w:tcPr>
          <w:p w14:paraId="3E424E9A" w14:textId="77777777" w:rsidR="00C32CBD" w:rsidRDefault="00C32CBD" w:rsidP="00320D09">
            <w:pPr>
              <w:rPr>
                <w:rFonts w:cs="Arial"/>
                <w:b/>
                <w:bCs/>
                <w:sz w:val="18"/>
                <w:szCs w:val="18"/>
              </w:rPr>
            </w:pPr>
            <w:r>
              <w:rPr>
                <w:rFonts w:cs="Arial"/>
                <w:b/>
                <w:bCs/>
                <w:sz w:val="18"/>
                <w:szCs w:val="18"/>
              </w:rPr>
              <w:t> </w:t>
            </w:r>
          </w:p>
        </w:tc>
        <w:tc>
          <w:tcPr>
            <w:tcW w:w="1249" w:type="dxa"/>
            <w:tcBorders>
              <w:top w:val="nil"/>
              <w:left w:val="nil"/>
              <w:bottom w:val="nil"/>
              <w:right w:val="nil"/>
            </w:tcBorders>
            <w:shd w:val="clear" w:color="FFFFFF" w:fill="FFFFFF"/>
            <w:noWrap/>
            <w:vAlign w:val="bottom"/>
            <w:hideMark/>
          </w:tcPr>
          <w:p w14:paraId="10CE303B" w14:textId="77777777" w:rsidR="00C32CBD" w:rsidRDefault="00C32CBD" w:rsidP="00320D09">
            <w:pPr>
              <w:jc w:val="right"/>
              <w:rPr>
                <w:rFonts w:cs="Arial"/>
                <w:sz w:val="18"/>
                <w:szCs w:val="18"/>
              </w:rPr>
            </w:pPr>
            <w:r>
              <w:rPr>
                <w:rFonts w:cs="Arial"/>
                <w:sz w:val="18"/>
                <w:szCs w:val="18"/>
              </w:rPr>
              <w:t>14,289</w:t>
            </w:r>
          </w:p>
        </w:tc>
      </w:tr>
      <w:tr w:rsidR="00C32CBD" w14:paraId="4E500E90" w14:textId="77777777" w:rsidTr="00320D09">
        <w:trPr>
          <w:trHeight w:val="255"/>
        </w:trPr>
        <w:tc>
          <w:tcPr>
            <w:tcW w:w="6353" w:type="dxa"/>
            <w:tcBorders>
              <w:top w:val="nil"/>
              <w:left w:val="nil"/>
              <w:bottom w:val="nil"/>
              <w:right w:val="nil"/>
            </w:tcBorders>
            <w:shd w:val="clear" w:color="FFFFFF" w:fill="FFFFFF"/>
            <w:noWrap/>
            <w:vAlign w:val="bottom"/>
            <w:hideMark/>
          </w:tcPr>
          <w:p w14:paraId="6200353A" w14:textId="77777777" w:rsidR="00C32CBD" w:rsidRDefault="00C32CBD" w:rsidP="00320D09">
            <w:pPr>
              <w:ind w:firstLineChars="100" w:firstLine="180"/>
              <w:rPr>
                <w:rFonts w:cs="Arial"/>
                <w:sz w:val="18"/>
                <w:szCs w:val="18"/>
              </w:rPr>
            </w:pPr>
            <w:r>
              <w:rPr>
                <w:rFonts w:cs="Arial"/>
                <w:sz w:val="18"/>
                <w:szCs w:val="18"/>
              </w:rPr>
              <w:t>More than 5 years</w:t>
            </w:r>
          </w:p>
        </w:tc>
        <w:tc>
          <w:tcPr>
            <w:tcW w:w="1249" w:type="dxa"/>
            <w:tcBorders>
              <w:top w:val="nil"/>
              <w:left w:val="nil"/>
              <w:bottom w:val="nil"/>
              <w:right w:val="nil"/>
            </w:tcBorders>
            <w:shd w:val="clear" w:color="FFFFFF" w:fill="FFFFFF"/>
            <w:noWrap/>
            <w:vAlign w:val="bottom"/>
            <w:hideMark/>
          </w:tcPr>
          <w:p w14:paraId="3D06D19B" w14:textId="77777777" w:rsidR="00C32CBD" w:rsidRDefault="00C32CBD" w:rsidP="00320D09">
            <w:pPr>
              <w:jc w:val="right"/>
              <w:rPr>
                <w:rFonts w:cs="Arial"/>
                <w:b/>
                <w:bCs/>
                <w:sz w:val="18"/>
                <w:szCs w:val="18"/>
              </w:rPr>
            </w:pPr>
            <w:r>
              <w:rPr>
                <w:rFonts w:cs="Arial"/>
                <w:b/>
                <w:bCs/>
                <w:sz w:val="18"/>
                <w:szCs w:val="18"/>
              </w:rPr>
              <w:t>15,580</w:t>
            </w:r>
          </w:p>
        </w:tc>
        <w:tc>
          <w:tcPr>
            <w:tcW w:w="236" w:type="dxa"/>
            <w:tcBorders>
              <w:top w:val="nil"/>
              <w:left w:val="nil"/>
              <w:bottom w:val="nil"/>
              <w:right w:val="nil"/>
            </w:tcBorders>
            <w:shd w:val="clear" w:color="FFFFFF" w:fill="FFFFFF"/>
            <w:vAlign w:val="bottom"/>
            <w:hideMark/>
          </w:tcPr>
          <w:p w14:paraId="49A3F17D" w14:textId="77777777" w:rsidR="00C32CBD" w:rsidRDefault="00C32CBD" w:rsidP="00320D09">
            <w:pPr>
              <w:rPr>
                <w:rFonts w:cs="Arial"/>
                <w:b/>
                <w:bCs/>
                <w:sz w:val="18"/>
                <w:szCs w:val="18"/>
              </w:rPr>
            </w:pPr>
            <w:r>
              <w:rPr>
                <w:rFonts w:cs="Arial"/>
                <w:b/>
                <w:bCs/>
                <w:sz w:val="18"/>
                <w:szCs w:val="18"/>
              </w:rPr>
              <w:t> </w:t>
            </w:r>
          </w:p>
        </w:tc>
        <w:tc>
          <w:tcPr>
            <w:tcW w:w="1249" w:type="dxa"/>
            <w:tcBorders>
              <w:top w:val="nil"/>
              <w:left w:val="nil"/>
              <w:bottom w:val="nil"/>
              <w:right w:val="nil"/>
            </w:tcBorders>
            <w:shd w:val="clear" w:color="FFFFFF" w:fill="FFFFFF"/>
            <w:noWrap/>
            <w:vAlign w:val="bottom"/>
            <w:hideMark/>
          </w:tcPr>
          <w:p w14:paraId="31741B82" w14:textId="77777777" w:rsidR="00C32CBD" w:rsidRDefault="00C32CBD" w:rsidP="00320D09">
            <w:pPr>
              <w:jc w:val="right"/>
              <w:rPr>
                <w:rFonts w:cs="Arial"/>
                <w:sz w:val="18"/>
                <w:szCs w:val="18"/>
              </w:rPr>
            </w:pPr>
            <w:r>
              <w:rPr>
                <w:rFonts w:cs="Arial"/>
                <w:sz w:val="18"/>
                <w:szCs w:val="18"/>
              </w:rPr>
              <w:t>7,267</w:t>
            </w:r>
          </w:p>
        </w:tc>
      </w:tr>
      <w:tr w:rsidR="00C32CBD" w14:paraId="3E7FA660" w14:textId="77777777" w:rsidTr="00320D09">
        <w:trPr>
          <w:trHeight w:val="255"/>
        </w:trPr>
        <w:tc>
          <w:tcPr>
            <w:tcW w:w="6353" w:type="dxa"/>
            <w:tcBorders>
              <w:top w:val="nil"/>
              <w:left w:val="nil"/>
              <w:bottom w:val="nil"/>
              <w:right w:val="nil"/>
            </w:tcBorders>
            <w:shd w:val="clear" w:color="FFFFFF" w:fill="FFFFFF"/>
            <w:vAlign w:val="bottom"/>
            <w:hideMark/>
          </w:tcPr>
          <w:p w14:paraId="704B76F6" w14:textId="77777777" w:rsidR="00C32CBD" w:rsidRDefault="00C32CBD" w:rsidP="00320D09">
            <w:pPr>
              <w:rPr>
                <w:rFonts w:cs="Arial"/>
                <w:b/>
                <w:bCs/>
                <w:sz w:val="18"/>
                <w:szCs w:val="18"/>
              </w:rPr>
            </w:pPr>
            <w:r>
              <w:rPr>
                <w:rFonts w:cs="Arial"/>
                <w:b/>
                <w:bCs/>
                <w:sz w:val="18"/>
                <w:szCs w:val="18"/>
              </w:rPr>
              <w:t>Total operating lease commitments (inc. GST)</w:t>
            </w:r>
          </w:p>
        </w:tc>
        <w:tc>
          <w:tcPr>
            <w:tcW w:w="1249" w:type="dxa"/>
            <w:tcBorders>
              <w:top w:val="single" w:sz="4" w:space="0" w:color="auto"/>
              <w:left w:val="nil"/>
              <w:bottom w:val="single" w:sz="4" w:space="0" w:color="auto"/>
              <w:right w:val="nil"/>
            </w:tcBorders>
            <w:shd w:val="clear" w:color="FFFFFF" w:fill="FFFFFF"/>
            <w:noWrap/>
            <w:vAlign w:val="bottom"/>
            <w:hideMark/>
          </w:tcPr>
          <w:p w14:paraId="1A1FB49B" w14:textId="77777777" w:rsidR="00C32CBD" w:rsidRDefault="00C32CBD" w:rsidP="00320D09">
            <w:pPr>
              <w:jc w:val="right"/>
              <w:rPr>
                <w:rFonts w:cs="Arial"/>
                <w:b/>
                <w:bCs/>
                <w:sz w:val="18"/>
                <w:szCs w:val="18"/>
              </w:rPr>
            </w:pPr>
            <w:r>
              <w:rPr>
                <w:rFonts w:cs="Arial"/>
                <w:b/>
                <w:bCs/>
                <w:sz w:val="18"/>
                <w:szCs w:val="18"/>
              </w:rPr>
              <w:t>58,191</w:t>
            </w:r>
          </w:p>
        </w:tc>
        <w:tc>
          <w:tcPr>
            <w:tcW w:w="236" w:type="dxa"/>
            <w:tcBorders>
              <w:top w:val="single" w:sz="4" w:space="0" w:color="auto"/>
              <w:left w:val="nil"/>
              <w:bottom w:val="nil"/>
              <w:right w:val="nil"/>
            </w:tcBorders>
            <w:shd w:val="clear" w:color="FFFFFF" w:fill="FFFFFF"/>
            <w:vAlign w:val="bottom"/>
            <w:hideMark/>
          </w:tcPr>
          <w:p w14:paraId="4D604DE3" w14:textId="77777777" w:rsidR="00C32CBD" w:rsidRDefault="00C32CBD" w:rsidP="00320D09">
            <w:pPr>
              <w:rPr>
                <w:rFonts w:cs="Arial"/>
                <w:b/>
                <w:bCs/>
                <w:sz w:val="18"/>
                <w:szCs w:val="18"/>
              </w:rPr>
            </w:pPr>
            <w:r>
              <w:rPr>
                <w:rFonts w:cs="Arial"/>
                <w:b/>
                <w:bCs/>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0298E46C" w14:textId="77777777" w:rsidR="00C32CBD" w:rsidRDefault="00C32CBD" w:rsidP="00320D09">
            <w:pPr>
              <w:jc w:val="right"/>
              <w:rPr>
                <w:rFonts w:cs="Arial"/>
                <w:sz w:val="18"/>
                <w:szCs w:val="18"/>
              </w:rPr>
            </w:pPr>
            <w:r>
              <w:rPr>
                <w:rFonts w:cs="Arial"/>
                <w:sz w:val="18"/>
                <w:szCs w:val="18"/>
              </w:rPr>
              <w:t>28,332</w:t>
            </w:r>
          </w:p>
        </w:tc>
      </w:tr>
      <w:tr w:rsidR="00C32CBD" w14:paraId="36E8F825" w14:textId="77777777" w:rsidTr="00320D09">
        <w:trPr>
          <w:trHeight w:val="255"/>
        </w:trPr>
        <w:tc>
          <w:tcPr>
            <w:tcW w:w="6353" w:type="dxa"/>
            <w:tcBorders>
              <w:top w:val="nil"/>
              <w:left w:val="nil"/>
              <w:bottom w:val="nil"/>
              <w:right w:val="nil"/>
            </w:tcBorders>
            <w:shd w:val="clear" w:color="FFFFFF" w:fill="FFFFFF"/>
            <w:vAlign w:val="bottom"/>
            <w:hideMark/>
          </w:tcPr>
          <w:p w14:paraId="421E91FC" w14:textId="77777777" w:rsidR="00C32CBD" w:rsidRDefault="00C32CBD" w:rsidP="00320D09">
            <w:pPr>
              <w:ind w:firstLineChars="100" w:firstLine="180"/>
              <w:rPr>
                <w:rFonts w:cs="Arial"/>
                <w:sz w:val="18"/>
                <w:szCs w:val="18"/>
              </w:rPr>
            </w:pPr>
            <w:r>
              <w:rPr>
                <w:rFonts w:cs="Arial"/>
                <w:sz w:val="18"/>
                <w:szCs w:val="18"/>
              </w:rPr>
              <w:t>Less GST recoverable on operating lease commitments</w:t>
            </w:r>
          </w:p>
        </w:tc>
        <w:tc>
          <w:tcPr>
            <w:tcW w:w="1249" w:type="dxa"/>
            <w:tcBorders>
              <w:top w:val="nil"/>
              <w:left w:val="nil"/>
              <w:bottom w:val="nil"/>
              <w:right w:val="nil"/>
            </w:tcBorders>
            <w:shd w:val="clear" w:color="FFFFFF" w:fill="FFFFFF"/>
            <w:noWrap/>
            <w:vAlign w:val="bottom"/>
            <w:hideMark/>
          </w:tcPr>
          <w:p w14:paraId="29D34A9D" w14:textId="77777777" w:rsidR="00C32CBD" w:rsidRDefault="00C32CBD" w:rsidP="00320D09">
            <w:pPr>
              <w:jc w:val="right"/>
              <w:rPr>
                <w:rFonts w:cs="Arial"/>
                <w:b/>
                <w:bCs/>
                <w:sz w:val="18"/>
                <w:szCs w:val="18"/>
              </w:rPr>
            </w:pPr>
            <w:r>
              <w:rPr>
                <w:rFonts w:cs="Arial"/>
                <w:b/>
                <w:bCs/>
                <w:sz w:val="18"/>
                <w:szCs w:val="18"/>
              </w:rPr>
              <w:t>(5,290)</w:t>
            </w:r>
          </w:p>
        </w:tc>
        <w:tc>
          <w:tcPr>
            <w:tcW w:w="236" w:type="dxa"/>
            <w:tcBorders>
              <w:top w:val="nil"/>
              <w:left w:val="nil"/>
              <w:bottom w:val="nil"/>
              <w:right w:val="nil"/>
            </w:tcBorders>
            <w:shd w:val="clear" w:color="FFFFFF" w:fill="FFFFFF"/>
            <w:noWrap/>
            <w:vAlign w:val="bottom"/>
            <w:hideMark/>
          </w:tcPr>
          <w:p w14:paraId="29E22940"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64554946" w14:textId="77777777" w:rsidR="00C32CBD" w:rsidRDefault="00C32CBD" w:rsidP="00320D09">
            <w:pPr>
              <w:jc w:val="right"/>
              <w:rPr>
                <w:rFonts w:cs="Arial"/>
                <w:sz w:val="18"/>
                <w:szCs w:val="18"/>
              </w:rPr>
            </w:pPr>
            <w:r>
              <w:rPr>
                <w:rFonts w:cs="Arial"/>
                <w:sz w:val="18"/>
                <w:szCs w:val="18"/>
              </w:rPr>
              <w:t>(2,576)</w:t>
            </w:r>
          </w:p>
        </w:tc>
      </w:tr>
      <w:tr w:rsidR="00C32CBD" w14:paraId="2531C615" w14:textId="77777777" w:rsidTr="00320D09">
        <w:trPr>
          <w:trHeight w:val="255"/>
        </w:trPr>
        <w:tc>
          <w:tcPr>
            <w:tcW w:w="6353" w:type="dxa"/>
            <w:tcBorders>
              <w:top w:val="nil"/>
              <w:left w:val="nil"/>
              <w:bottom w:val="nil"/>
              <w:right w:val="nil"/>
            </w:tcBorders>
            <w:shd w:val="clear" w:color="FFFFFF" w:fill="FFFFFF"/>
            <w:vAlign w:val="bottom"/>
            <w:hideMark/>
          </w:tcPr>
          <w:p w14:paraId="228464A2" w14:textId="77777777" w:rsidR="00C32CBD" w:rsidRDefault="00C32CBD" w:rsidP="00320D09">
            <w:pPr>
              <w:rPr>
                <w:rFonts w:cs="Arial"/>
                <w:b/>
                <w:bCs/>
                <w:sz w:val="18"/>
                <w:szCs w:val="18"/>
              </w:rPr>
            </w:pPr>
            <w:r>
              <w:rPr>
                <w:rFonts w:cs="Arial"/>
                <w:b/>
                <w:bCs/>
                <w:sz w:val="18"/>
                <w:szCs w:val="18"/>
              </w:rPr>
              <w:t>Net operating lease commitments</w:t>
            </w:r>
          </w:p>
        </w:tc>
        <w:tc>
          <w:tcPr>
            <w:tcW w:w="1249" w:type="dxa"/>
            <w:tcBorders>
              <w:top w:val="single" w:sz="4" w:space="0" w:color="auto"/>
              <w:left w:val="nil"/>
              <w:bottom w:val="single" w:sz="4" w:space="0" w:color="auto"/>
              <w:right w:val="nil"/>
            </w:tcBorders>
            <w:shd w:val="clear" w:color="FFFFFF" w:fill="FFFFFF"/>
            <w:noWrap/>
            <w:vAlign w:val="bottom"/>
            <w:hideMark/>
          </w:tcPr>
          <w:p w14:paraId="4C154F60" w14:textId="77777777" w:rsidR="00C32CBD" w:rsidRDefault="00C32CBD" w:rsidP="00320D09">
            <w:pPr>
              <w:jc w:val="right"/>
              <w:rPr>
                <w:rFonts w:cs="Arial"/>
                <w:b/>
                <w:bCs/>
                <w:sz w:val="18"/>
                <w:szCs w:val="18"/>
              </w:rPr>
            </w:pPr>
            <w:r>
              <w:rPr>
                <w:rFonts w:cs="Arial"/>
                <w:b/>
                <w:bCs/>
                <w:sz w:val="18"/>
                <w:szCs w:val="18"/>
              </w:rPr>
              <w:t>52,901</w:t>
            </w:r>
          </w:p>
        </w:tc>
        <w:tc>
          <w:tcPr>
            <w:tcW w:w="236" w:type="dxa"/>
            <w:tcBorders>
              <w:top w:val="nil"/>
              <w:left w:val="nil"/>
              <w:bottom w:val="nil"/>
              <w:right w:val="nil"/>
            </w:tcBorders>
            <w:shd w:val="clear" w:color="FFFFFF" w:fill="FFFFFF"/>
            <w:noWrap/>
            <w:vAlign w:val="bottom"/>
            <w:hideMark/>
          </w:tcPr>
          <w:p w14:paraId="6892FC60" w14:textId="77777777" w:rsidR="00C32CBD" w:rsidRDefault="00C32CBD" w:rsidP="00320D09">
            <w:pPr>
              <w:rPr>
                <w:rFonts w:cs="Arial"/>
                <w:sz w:val="18"/>
                <w:szCs w:val="18"/>
              </w:rPr>
            </w:pPr>
            <w:r>
              <w:rPr>
                <w:rFonts w:cs="Arial"/>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69E8DB4B" w14:textId="77777777" w:rsidR="00C32CBD" w:rsidRDefault="00C32CBD" w:rsidP="00320D09">
            <w:pPr>
              <w:jc w:val="right"/>
              <w:rPr>
                <w:rFonts w:cs="Arial"/>
                <w:sz w:val="18"/>
                <w:szCs w:val="18"/>
              </w:rPr>
            </w:pPr>
            <w:r>
              <w:rPr>
                <w:rFonts w:cs="Arial"/>
                <w:sz w:val="18"/>
                <w:szCs w:val="18"/>
              </w:rPr>
              <w:t>25,756</w:t>
            </w: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
        <w:gridCol w:w="8886"/>
      </w:tblGrid>
      <w:tr w:rsidR="00C32CBD" w:rsidRPr="005E5430" w14:paraId="064ABF67" w14:textId="77777777" w:rsidTr="00320D09">
        <w:trPr>
          <w:trHeight w:val="825"/>
        </w:trPr>
        <w:tc>
          <w:tcPr>
            <w:tcW w:w="102" w:type="pct"/>
            <w:tcMar>
              <w:left w:w="0" w:type="dxa"/>
              <w:right w:w="0" w:type="dxa"/>
            </w:tcMar>
          </w:tcPr>
          <w:p w14:paraId="0188D472" w14:textId="77777777" w:rsidR="00C32CBD" w:rsidRDefault="00C32CBD" w:rsidP="00320D09">
            <w:pPr>
              <w:jc w:val="center"/>
              <w:rPr>
                <w:rFonts w:eastAsia="Calibri" w:cs="Arial"/>
                <w:sz w:val="18"/>
                <w:szCs w:val="18"/>
                <w:vertAlign w:val="superscript"/>
              </w:rPr>
            </w:pPr>
          </w:p>
          <w:p w14:paraId="794AD175" w14:textId="77777777" w:rsidR="00C32CBD" w:rsidRPr="005E5430" w:rsidRDefault="00C32CBD" w:rsidP="00320D09">
            <w:pPr>
              <w:jc w:val="center"/>
            </w:pPr>
            <w:r w:rsidRPr="005E5430">
              <w:rPr>
                <w:rFonts w:eastAsia="Calibri" w:cs="Arial"/>
                <w:sz w:val="18"/>
                <w:szCs w:val="18"/>
                <w:vertAlign w:val="superscript"/>
              </w:rPr>
              <w:t>1</w:t>
            </w:r>
          </w:p>
        </w:tc>
        <w:tc>
          <w:tcPr>
            <w:tcW w:w="4898" w:type="pct"/>
            <w:tcMar>
              <w:left w:w="0" w:type="dxa"/>
              <w:right w:w="0" w:type="dxa"/>
            </w:tcMar>
          </w:tcPr>
          <w:p w14:paraId="4652709D" w14:textId="77777777" w:rsidR="00C32CBD" w:rsidRDefault="00C32CBD" w:rsidP="00320D09">
            <w:pPr>
              <w:rPr>
                <w:rFonts w:cs="Arial"/>
                <w:sz w:val="18"/>
                <w:szCs w:val="18"/>
              </w:rPr>
            </w:pPr>
          </w:p>
          <w:p w14:paraId="63B706D5" w14:textId="77777777" w:rsidR="00C32CBD" w:rsidRDefault="00C32CBD" w:rsidP="00320D09">
            <w:pPr>
              <w:rPr>
                <w:rFonts w:cs="Arial"/>
                <w:sz w:val="18"/>
                <w:szCs w:val="18"/>
              </w:rPr>
            </w:pPr>
            <w:r>
              <w:rPr>
                <w:rFonts w:cs="Arial"/>
                <w:sz w:val="18"/>
                <w:szCs w:val="18"/>
              </w:rPr>
              <w:t xml:space="preserve">The Agency has in place </w:t>
            </w:r>
            <w:r w:rsidRPr="005E5430">
              <w:rPr>
                <w:rFonts w:cs="Arial"/>
                <w:sz w:val="18"/>
                <w:szCs w:val="18"/>
              </w:rPr>
              <w:t>Memorand</w:t>
            </w:r>
            <w:r>
              <w:rPr>
                <w:rFonts w:cs="Arial"/>
                <w:sz w:val="18"/>
                <w:szCs w:val="18"/>
              </w:rPr>
              <w:t xml:space="preserve">a </w:t>
            </w:r>
            <w:r w:rsidRPr="005E5430">
              <w:rPr>
                <w:rFonts w:cs="Arial"/>
                <w:sz w:val="18"/>
                <w:szCs w:val="18"/>
              </w:rPr>
              <w:t xml:space="preserve">of Understanding that cover the provision of various administrative and operational support services by the Department </w:t>
            </w:r>
            <w:r>
              <w:rPr>
                <w:rFonts w:cs="Arial"/>
                <w:sz w:val="18"/>
                <w:szCs w:val="18"/>
              </w:rPr>
              <w:t xml:space="preserve">of Human Services and the Department of </w:t>
            </w:r>
            <w:r w:rsidRPr="005E5430">
              <w:rPr>
                <w:rFonts w:cs="Arial"/>
                <w:sz w:val="18"/>
                <w:szCs w:val="18"/>
              </w:rPr>
              <w:t>Social Services.</w:t>
            </w:r>
          </w:p>
          <w:p w14:paraId="7F8E045F" w14:textId="77777777" w:rsidR="00C32CBD" w:rsidRPr="00FF3E9C" w:rsidRDefault="00C32CBD" w:rsidP="00320D09">
            <w:pPr>
              <w:rPr>
                <w:rFonts w:eastAsia="Calibri" w:cs="Arial"/>
                <w:sz w:val="18"/>
                <w:szCs w:val="18"/>
              </w:rPr>
            </w:pPr>
          </w:p>
        </w:tc>
      </w:tr>
    </w:tbl>
    <w:p w14:paraId="7C9D94E0" w14:textId="77777777" w:rsidR="00C32CBD" w:rsidRDefault="00C32CBD" w:rsidP="00C32CBD">
      <w:pPr>
        <w:spacing w:line="240" w:lineRule="auto"/>
      </w:pPr>
      <w:r>
        <w:br w:type="page"/>
      </w:r>
    </w:p>
    <w:p w14:paraId="44655A00" w14:textId="77777777" w:rsidR="00C32CBD" w:rsidRPr="009044C9" w:rsidRDefault="00C32CBD" w:rsidP="00C32CBD">
      <w:pPr>
        <w:pStyle w:val="PolicyheadingDept"/>
        <w:pBdr>
          <w:top w:val="none" w:sz="0" w:space="0" w:color="auto"/>
          <w:left w:val="none" w:sz="0" w:space="0" w:color="auto"/>
          <w:bottom w:val="none" w:sz="0" w:space="0" w:color="auto"/>
          <w:right w:val="none" w:sz="0" w:space="0" w:color="auto"/>
        </w:pBdr>
      </w:pPr>
      <w:r>
        <w:t>Leasing Commitments</w:t>
      </w:r>
    </w:p>
    <w:p w14:paraId="7F3A78F4" w14:textId="77777777" w:rsidR="00C32CBD" w:rsidRDefault="00C32CBD" w:rsidP="00C32CBD">
      <w:pPr>
        <w:pStyle w:val="PolicytextDept"/>
        <w:pBdr>
          <w:top w:val="none" w:sz="0" w:space="0" w:color="auto"/>
          <w:left w:val="none" w:sz="0" w:space="0" w:color="auto"/>
          <w:bottom w:val="none" w:sz="0" w:space="0" w:color="auto"/>
          <w:right w:val="none" w:sz="0" w:space="0" w:color="auto"/>
        </w:pBdr>
      </w:pPr>
      <w:r>
        <w:t>The Agency has operating leases over the following assets:</w:t>
      </w:r>
    </w:p>
    <w:p w14:paraId="013F295F" w14:textId="77777777" w:rsidR="00C32CBD" w:rsidRDefault="00C32CBD" w:rsidP="00C32CBD">
      <w:pPr>
        <w:pStyle w:val="PolicytextDept"/>
        <w:numPr>
          <w:ilvl w:val="0"/>
          <w:numId w:val="30"/>
        </w:numPr>
        <w:pBdr>
          <w:top w:val="none" w:sz="0" w:space="0" w:color="auto"/>
          <w:left w:val="none" w:sz="0" w:space="0" w:color="auto"/>
          <w:bottom w:val="none" w:sz="0" w:space="0" w:color="auto"/>
          <w:right w:val="none" w:sz="0" w:space="0" w:color="auto"/>
        </w:pBdr>
      </w:pPr>
      <w:r w:rsidRPr="00662BBD">
        <w:t xml:space="preserve">Property leases – lease payments subject to increases in accordance with CPI or other agreed increment with initial periods of between 1 and 10 years. Some leases have options to extend. </w:t>
      </w:r>
    </w:p>
    <w:p w14:paraId="6F22D762" w14:textId="77777777" w:rsidR="00C32CBD" w:rsidRDefault="00C32CBD" w:rsidP="00C32CBD">
      <w:pPr>
        <w:pStyle w:val="PolicytextDept"/>
        <w:numPr>
          <w:ilvl w:val="0"/>
          <w:numId w:val="30"/>
        </w:numPr>
        <w:pBdr>
          <w:top w:val="none" w:sz="0" w:space="0" w:color="auto"/>
          <w:left w:val="none" w:sz="0" w:space="0" w:color="auto"/>
          <w:bottom w:val="none" w:sz="0" w:space="0" w:color="auto"/>
          <w:right w:val="none" w:sz="0" w:space="0" w:color="auto"/>
        </w:pBdr>
      </w:pPr>
      <w:r w:rsidRPr="00662BBD">
        <w:t xml:space="preserve">Motor Vehicles – operating leases over periods up to 36 months that do not have contingent rentals and do not have purchase options available at the end of the lease. </w:t>
      </w:r>
    </w:p>
    <w:p w14:paraId="26ADBB72" w14:textId="77777777" w:rsidR="00C32CBD" w:rsidRPr="00662BBD" w:rsidRDefault="00C32CBD" w:rsidP="00C32CBD">
      <w:pPr>
        <w:pStyle w:val="PolicytextDept"/>
        <w:pBdr>
          <w:top w:val="none" w:sz="0" w:space="0" w:color="auto"/>
          <w:left w:val="none" w:sz="0" w:space="0" w:color="auto"/>
          <w:bottom w:val="none" w:sz="0" w:space="0" w:color="auto"/>
          <w:right w:val="none" w:sz="0" w:space="0" w:color="auto"/>
        </w:pBdr>
      </w:pPr>
      <w:r>
        <w:t>The Agency does not have any significant leasing arrangements in its capacity as a lessor.</w:t>
      </w:r>
    </w:p>
    <w:p w14:paraId="71FCD88E" w14:textId="77777777" w:rsidR="00C32CBD" w:rsidRDefault="00C32CBD" w:rsidP="00C32CBD">
      <w:pPr>
        <w:spacing w:line="240" w:lineRule="auto"/>
        <w:rPr>
          <w:rFonts w:cs="Arial"/>
          <w:b/>
          <w:bCs/>
          <w:sz w:val="18"/>
          <w:szCs w:val="18"/>
        </w:rPr>
      </w:pPr>
    </w:p>
    <w:p w14:paraId="0C0CBF1E" w14:textId="77777777" w:rsidR="00C32CBD" w:rsidRPr="0034370E" w:rsidRDefault="00C32CBD" w:rsidP="00C32CBD">
      <w:pPr>
        <w:pStyle w:val="PolicyheadingDept"/>
      </w:pPr>
      <w:r w:rsidRPr="0034370E">
        <w:t>Accounting Policy</w:t>
      </w:r>
    </w:p>
    <w:p w14:paraId="600C9B5E" w14:textId="77777777" w:rsidR="00C32CBD" w:rsidRPr="0034370E" w:rsidRDefault="00C32CBD" w:rsidP="00C32CBD">
      <w:pPr>
        <w:pStyle w:val="PolicytextDept"/>
        <w:rPr>
          <w:u w:val="single"/>
        </w:rPr>
      </w:pPr>
      <w:r w:rsidRPr="0034370E">
        <w:rPr>
          <w:u w:val="single"/>
        </w:rPr>
        <w:t>Leases</w:t>
      </w:r>
    </w:p>
    <w:p w14:paraId="5EB14B33" w14:textId="77777777" w:rsidR="00C32CBD" w:rsidRPr="0034370E" w:rsidRDefault="00C32CBD" w:rsidP="00C32CBD">
      <w:pPr>
        <w:pStyle w:val="PolicytextDept"/>
      </w:pPr>
      <w:r w:rsidRPr="0034370E">
        <w:t>A distinction is made between finance leases and operating leases.  Finance leases effectively transfer from the lessor to the lessee substantially all the risks and rewards incidental to ownership of leased assets.  An operating lease is a lease that is not a finance lease and where the lessor effectively retains substantial</w:t>
      </w:r>
      <w:r>
        <w:t>ly all such risks and rewards. The Agency has not entered into any leasing arrangements that are required to be classified as finance leases.</w:t>
      </w:r>
      <w:r w:rsidRPr="0034370E">
        <w:tab/>
      </w:r>
    </w:p>
    <w:p w14:paraId="529ECC80" w14:textId="77777777" w:rsidR="00C32CBD" w:rsidRDefault="00C32CBD" w:rsidP="00C32CBD">
      <w:pPr>
        <w:pStyle w:val="PolicytextDept"/>
      </w:pPr>
      <w:r w:rsidRPr="0034370E">
        <w:t xml:space="preserve">Operating lease payments are expensed on a straight-line basis over the life of the lease, which is representative of the pattern of benefits derived from the leased assets. </w:t>
      </w:r>
    </w:p>
    <w:p w14:paraId="311836B3" w14:textId="77777777" w:rsidR="00C32CBD" w:rsidRDefault="00C32CBD" w:rsidP="00C32CBD"/>
    <w:tbl>
      <w:tblPr>
        <w:tblW w:w="9087" w:type="dxa"/>
        <w:tblInd w:w="80" w:type="dxa"/>
        <w:tblLayout w:type="fixed"/>
        <w:tblLook w:val="04A0" w:firstRow="1" w:lastRow="0" w:firstColumn="1" w:lastColumn="0" w:noHBand="0" w:noVBand="1"/>
      </w:tblPr>
      <w:tblGrid>
        <w:gridCol w:w="6353"/>
        <w:gridCol w:w="1249"/>
        <w:gridCol w:w="236"/>
        <w:gridCol w:w="1249"/>
      </w:tblGrid>
      <w:tr w:rsidR="00C32CBD" w14:paraId="1F6585A1" w14:textId="77777777" w:rsidTr="00320D09">
        <w:trPr>
          <w:trHeight w:val="240"/>
        </w:trPr>
        <w:tc>
          <w:tcPr>
            <w:tcW w:w="6353" w:type="dxa"/>
            <w:tcBorders>
              <w:top w:val="nil"/>
              <w:left w:val="nil"/>
              <w:bottom w:val="nil"/>
              <w:right w:val="nil"/>
            </w:tcBorders>
            <w:shd w:val="clear" w:color="FFFFFF" w:fill="FFFFFF"/>
            <w:noWrap/>
            <w:vAlign w:val="bottom"/>
            <w:hideMark/>
          </w:tcPr>
          <w:p w14:paraId="08F72F99" w14:textId="77777777" w:rsidR="00C32CBD" w:rsidRDefault="00C32CBD" w:rsidP="00320D09">
            <w:pPr>
              <w:rPr>
                <w:rFonts w:cs="Arial"/>
                <w:sz w:val="18"/>
                <w:szCs w:val="18"/>
              </w:rPr>
            </w:pPr>
            <w:bookmarkStart w:id="99" w:name="Note_GRXTABLE1" w:colFirst="0" w:colLast="0"/>
            <w:r>
              <w:rPr>
                <w:rFonts w:cs="Arial"/>
                <w:sz w:val="18"/>
                <w:szCs w:val="18"/>
              </w:rPr>
              <w:t> </w:t>
            </w:r>
          </w:p>
        </w:tc>
        <w:tc>
          <w:tcPr>
            <w:tcW w:w="1249" w:type="dxa"/>
            <w:tcBorders>
              <w:top w:val="nil"/>
              <w:left w:val="nil"/>
              <w:bottom w:val="nil"/>
              <w:right w:val="nil"/>
            </w:tcBorders>
            <w:shd w:val="clear" w:color="FFFFFF" w:fill="FFFFFF"/>
            <w:noWrap/>
            <w:vAlign w:val="bottom"/>
            <w:hideMark/>
          </w:tcPr>
          <w:p w14:paraId="0DE9A766" w14:textId="77777777" w:rsidR="00C32CBD" w:rsidRDefault="00C32CBD" w:rsidP="00320D09">
            <w:pPr>
              <w:jc w:val="right"/>
              <w:rPr>
                <w:rFonts w:cs="Arial"/>
                <w:b/>
                <w:bCs/>
                <w:sz w:val="18"/>
                <w:szCs w:val="18"/>
              </w:rPr>
            </w:pPr>
            <w:r>
              <w:rPr>
                <w:rFonts w:cs="Arial"/>
                <w:b/>
                <w:bCs/>
                <w:sz w:val="18"/>
                <w:szCs w:val="18"/>
              </w:rPr>
              <w:t>2017</w:t>
            </w:r>
          </w:p>
        </w:tc>
        <w:tc>
          <w:tcPr>
            <w:tcW w:w="236" w:type="dxa"/>
            <w:tcBorders>
              <w:top w:val="nil"/>
              <w:left w:val="nil"/>
              <w:bottom w:val="nil"/>
              <w:right w:val="nil"/>
            </w:tcBorders>
            <w:shd w:val="clear" w:color="FFFFFF" w:fill="FFFFFF"/>
            <w:noWrap/>
            <w:vAlign w:val="bottom"/>
            <w:hideMark/>
          </w:tcPr>
          <w:p w14:paraId="57C7AAFA"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21F71822" w14:textId="77777777" w:rsidR="00C32CBD" w:rsidRDefault="00C32CBD" w:rsidP="00320D09">
            <w:pPr>
              <w:jc w:val="right"/>
              <w:rPr>
                <w:rFonts w:cs="Arial"/>
                <w:sz w:val="18"/>
                <w:szCs w:val="18"/>
              </w:rPr>
            </w:pPr>
            <w:r>
              <w:rPr>
                <w:rFonts w:cs="Arial"/>
                <w:sz w:val="18"/>
                <w:szCs w:val="18"/>
              </w:rPr>
              <w:t>2016</w:t>
            </w:r>
          </w:p>
        </w:tc>
      </w:tr>
      <w:bookmarkEnd w:id="99"/>
      <w:tr w:rsidR="00C32CBD" w14:paraId="32D4F607" w14:textId="77777777" w:rsidTr="00320D09">
        <w:trPr>
          <w:trHeight w:val="255"/>
        </w:trPr>
        <w:tc>
          <w:tcPr>
            <w:tcW w:w="6353" w:type="dxa"/>
            <w:tcBorders>
              <w:top w:val="nil"/>
              <w:left w:val="nil"/>
              <w:bottom w:val="nil"/>
              <w:right w:val="nil"/>
            </w:tcBorders>
            <w:shd w:val="clear" w:color="FFFFFF" w:fill="FFFFFF"/>
            <w:noWrap/>
            <w:vAlign w:val="bottom"/>
            <w:hideMark/>
          </w:tcPr>
          <w:p w14:paraId="14C42A96" w14:textId="77777777" w:rsidR="00C32CBD" w:rsidRDefault="00C32CBD" w:rsidP="00320D09">
            <w:pPr>
              <w:rPr>
                <w:rFonts w:cs="Arial"/>
                <w:b/>
                <w:bCs/>
                <w:sz w:val="18"/>
                <w:szCs w:val="18"/>
                <w:u w:val="single"/>
              </w:rPr>
            </w:pPr>
            <w:r>
              <w:rPr>
                <w:rFonts w:cs="Arial"/>
                <w:b/>
                <w:bCs/>
                <w:sz w:val="18"/>
                <w:szCs w:val="18"/>
                <w:u w:val="single"/>
              </w:rPr>
              <w:t>Note 1.1C: Grants</w:t>
            </w:r>
          </w:p>
        </w:tc>
        <w:tc>
          <w:tcPr>
            <w:tcW w:w="1249" w:type="dxa"/>
            <w:tcBorders>
              <w:top w:val="nil"/>
              <w:left w:val="nil"/>
              <w:bottom w:val="nil"/>
              <w:right w:val="nil"/>
            </w:tcBorders>
            <w:shd w:val="clear" w:color="FFFFFF" w:fill="FFFFFF"/>
            <w:noWrap/>
            <w:vAlign w:val="bottom"/>
            <w:hideMark/>
          </w:tcPr>
          <w:p w14:paraId="44A27FB4" w14:textId="77777777" w:rsidR="00C32CBD" w:rsidRDefault="00C32CBD" w:rsidP="00320D09">
            <w:pPr>
              <w:jc w:val="right"/>
              <w:rPr>
                <w:rFonts w:cs="Arial"/>
                <w:b/>
                <w:bCs/>
                <w:sz w:val="18"/>
                <w:szCs w:val="18"/>
              </w:rPr>
            </w:pPr>
            <w:r>
              <w:rPr>
                <w:rFonts w:cs="Arial"/>
                <w:b/>
                <w:bCs/>
                <w:sz w:val="18"/>
                <w:szCs w:val="18"/>
              </w:rPr>
              <w:t>$'000</w:t>
            </w:r>
          </w:p>
        </w:tc>
        <w:tc>
          <w:tcPr>
            <w:tcW w:w="236" w:type="dxa"/>
            <w:tcBorders>
              <w:top w:val="nil"/>
              <w:left w:val="nil"/>
              <w:bottom w:val="nil"/>
              <w:right w:val="nil"/>
            </w:tcBorders>
            <w:shd w:val="clear" w:color="FFFFFF" w:fill="FFFFFF"/>
            <w:noWrap/>
            <w:vAlign w:val="bottom"/>
            <w:hideMark/>
          </w:tcPr>
          <w:p w14:paraId="2909F39C"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7DD36BA1" w14:textId="77777777" w:rsidR="00C32CBD" w:rsidRDefault="00C32CBD" w:rsidP="00320D09">
            <w:pPr>
              <w:jc w:val="right"/>
              <w:rPr>
                <w:rFonts w:cs="Arial"/>
                <w:sz w:val="18"/>
                <w:szCs w:val="18"/>
              </w:rPr>
            </w:pPr>
            <w:r>
              <w:rPr>
                <w:rFonts w:cs="Arial"/>
                <w:sz w:val="18"/>
                <w:szCs w:val="18"/>
              </w:rPr>
              <w:t>$'000</w:t>
            </w:r>
          </w:p>
        </w:tc>
      </w:tr>
      <w:tr w:rsidR="00C32CBD" w14:paraId="255A9FAD" w14:textId="77777777" w:rsidTr="00320D09">
        <w:trPr>
          <w:trHeight w:val="255"/>
        </w:trPr>
        <w:tc>
          <w:tcPr>
            <w:tcW w:w="6353" w:type="dxa"/>
            <w:tcBorders>
              <w:top w:val="nil"/>
              <w:left w:val="nil"/>
              <w:bottom w:val="nil"/>
              <w:right w:val="nil"/>
            </w:tcBorders>
            <w:shd w:val="clear" w:color="FFFFFF" w:fill="FFFFFF"/>
            <w:noWrap/>
            <w:vAlign w:val="bottom"/>
            <w:hideMark/>
          </w:tcPr>
          <w:p w14:paraId="2EEF2BCF" w14:textId="77777777" w:rsidR="00C32CBD" w:rsidRDefault="00C32CBD" w:rsidP="00320D09">
            <w:pPr>
              <w:ind w:firstLineChars="100" w:firstLine="180"/>
              <w:rPr>
                <w:rFonts w:cs="Arial"/>
                <w:sz w:val="18"/>
                <w:szCs w:val="18"/>
              </w:rPr>
            </w:pPr>
            <w:r>
              <w:rPr>
                <w:rFonts w:cs="Arial"/>
                <w:sz w:val="18"/>
                <w:szCs w:val="18"/>
              </w:rPr>
              <w:t>Public sector</w:t>
            </w:r>
          </w:p>
        </w:tc>
        <w:tc>
          <w:tcPr>
            <w:tcW w:w="1249" w:type="dxa"/>
            <w:tcBorders>
              <w:top w:val="nil"/>
              <w:left w:val="nil"/>
              <w:bottom w:val="nil"/>
              <w:right w:val="nil"/>
            </w:tcBorders>
            <w:shd w:val="clear" w:color="FFFFFF" w:fill="FFFFFF"/>
            <w:noWrap/>
            <w:vAlign w:val="bottom"/>
            <w:hideMark/>
          </w:tcPr>
          <w:p w14:paraId="28705FB2" w14:textId="77777777" w:rsidR="00C32CBD" w:rsidRDefault="00C32CBD" w:rsidP="00320D09">
            <w:pPr>
              <w:jc w:val="right"/>
              <w:rPr>
                <w:rFonts w:cs="Arial"/>
                <w:b/>
                <w:bCs/>
                <w:color w:val="F7FBFF"/>
                <w:sz w:val="18"/>
                <w:szCs w:val="18"/>
              </w:rPr>
            </w:pPr>
            <w:r>
              <w:rPr>
                <w:rFonts w:cs="Arial"/>
                <w:b/>
                <w:bCs/>
                <w:color w:val="F7FBFF"/>
                <w:sz w:val="18"/>
                <w:szCs w:val="18"/>
              </w:rPr>
              <w:t> </w:t>
            </w:r>
          </w:p>
        </w:tc>
        <w:tc>
          <w:tcPr>
            <w:tcW w:w="236" w:type="dxa"/>
            <w:tcBorders>
              <w:top w:val="nil"/>
              <w:left w:val="nil"/>
              <w:bottom w:val="nil"/>
              <w:right w:val="nil"/>
            </w:tcBorders>
            <w:shd w:val="clear" w:color="FFFFFF" w:fill="FFFFFF"/>
            <w:noWrap/>
            <w:vAlign w:val="bottom"/>
            <w:hideMark/>
          </w:tcPr>
          <w:p w14:paraId="7A13EBAE" w14:textId="77777777" w:rsidR="00C32CBD" w:rsidRDefault="00C32CBD" w:rsidP="00320D09">
            <w:pPr>
              <w:rPr>
                <w:rFonts w:cs="Arial"/>
                <w:color w:val="F7FBFF"/>
                <w:sz w:val="18"/>
                <w:szCs w:val="18"/>
              </w:rPr>
            </w:pPr>
            <w:r>
              <w:rPr>
                <w:rFonts w:cs="Arial"/>
                <w:color w:val="F7FBFF"/>
                <w:sz w:val="18"/>
                <w:szCs w:val="18"/>
              </w:rPr>
              <w:t> </w:t>
            </w:r>
          </w:p>
        </w:tc>
        <w:tc>
          <w:tcPr>
            <w:tcW w:w="1249" w:type="dxa"/>
            <w:tcBorders>
              <w:top w:val="nil"/>
              <w:left w:val="nil"/>
              <w:bottom w:val="nil"/>
              <w:right w:val="nil"/>
            </w:tcBorders>
            <w:shd w:val="clear" w:color="FFFFFF" w:fill="FFFFFF"/>
            <w:noWrap/>
            <w:vAlign w:val="bottom"/>
            <w:hideMark/>
          </w:tcPr>
          <w:p w14:paraId="69455F01" w14:textId="77777777" w:rsidR="00C32CBD" w:rsidRDefault="00C32CBD" w:rsidP="00320D09">
            <w:pPr>
              <w:jc w:val="right"/>
              <w:rPr>
                <w:rFonts w:cs="Arial"/>
                <w:color w:val="F7FBFF"/>
                <w:sz w:val="18"/>
                <w:szCs w:val="18"/>
              </w:rPr>
            </w:pPr>
            <w:r>
              <w:rPr>
                <w:rFonts w:cs="Arial"/>
                <w:color w:val="F7FBFF"/>
                <w:sz w:val="18"/>
                <w:szCs w:val="18"/>
              </w:rPr>
              <w:t> </w:t>
            </w:r>
          </w:p>
        </w:tc>
      </w:tr>
      <w:tr w:rsidR="00C32CBD" w14:paraId="43A4EC98" w14:textId="77777777" w:rsidTr="00320D09">
        <w:trPr>
          <w:trHeight w:val="255"/>
        </w:trPr>
        <w:tc>
          <w:tcPr>
            <w:tcW w:w="6353" w:type="dxa"/>
            <w:tcBorders>
              <w:top w:val="nil"/>
              <w:left w:val="nil"/>
              <w:bottom w:val="nil"/>
              <w:right w:val="nil"/>
            </w:tcBorders>
            <w:shd w:val="clear" w:color="FFFFFF" w:fill="FFFFFF"/>
            <w:noWrap/>
            <w:vAlign w:val="bottom"/>
            <w:hideMark/>
          </w:tcPr>
          <w:p w14:paraId="20AC826C" w14:textId="77777777" w:rsidR="00C32CBD" w:rsidRDefault="00C32CBD" w:rsidP="00320D09">
            <w:pPr>
              <w:ind w:firstLineChars="200" w:firstLine="360"/>
              <w:rPr>
                <w:rFonts w:cs="Arial"/>
                <w:sz w:val="18"/>
                <w:szCs w:val="18"/>
              </w:rPr>
            </w:pPr>
            <w:r>
              <w:rPr>
                <w:rFonts w:cs="Arial"/>
                <w:sz w:val="18"/>
                <w:szCs w:val="18"/>
              </w:rPr>
              <w:t>State and territory governments</w:t>
            </w:r>
          </w:p>
        </w:tc>
        <w:tc>
          <w:tcPr>
            <w:tcW w:w="1249" w:type="dxa"/>
            <w:tcBorders>
              <w:top w:val="nil"/>
              <w:left w:val="nil"/>
              <w:bottom w:val="nil"/>
              <w:right w:val="nil"/>
            </w:tcBorders>
            <w:shd w:val="clear" w:color="FFFFFF" w:fill="FFFFFF"/>
            <w:noWrap/>
            <w:vAlign w:val="bottom"/>
            <w:hideMark/>
          </w:tcPr>
          <w:p w14:paraId="15142328" w14:textId="77777777" w:rsidR="00C32CBD" w:rsidRDefault="00C32CBD" w:rsidP="00320D09">
            <w:pPr>
              <w:jc w:val="right"/>
              <w:rPr>
                <w:rFonts w:cs="Arial"/>
                <w:b/>
                <w:bCs/>
                <w:sz w:val="18"/>
                <w:szCs w:val="18"/>
              </w:rPr>
            </w:pPr>
            <w:r>
              <w:rPr>
                <w:rFonts w:cs="Arial"/>
                <w:b/>
                <w:bCs/>
                <w:sz w:val="18"/>
                <w:szCs w:val="18"/>
              </w:rPr>
              <w:t>16,117</w:t>
            </w:r>
          </w:p>
        </w:tc>
        <w:tc>
          <w:tcPr>
            <w:tcW w:w="236" w:type="dxa"/>
            <w:tcBorders>
              <w:top w:val="nil"/>
              <w:left w:val="nil"/>
              <w:bottom w:val="nil"/>
              <w:right w:val="nil"/>
            </w:tcBorders>
            <w:shd w:val="clear" w:color="FFFFFF" w:fill="FFFFFF"/>
            <w:noWrap/>
            <w:vAlign w:val="bottom"/>
            <w:hideMark/>
          </w:tcPr>
          <w:p w14:paraId="409578AB"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4143085F" w14:textId="77777777" w:rsidR="00C32CBD" w:rsidRDefault="00C32CBD" w:rsidP="00320D09">
            <w:pPr>
              <w:jc w:val="right"/>
              <w:rPr>
                <w:rFonts w:cs="Arial"/>
                <w:sz w:val="18"/>
                <w:szCs w:val="18"/>
              </w:rPr>
            </w:pPr>
            <w:r>
              <w:rPr>
                <w:rFonts w:cs="Arial"/>
                <w:sz w:val="18"/>
                <w:szCs w:val="18"/>
              </w:rPr>
              <w:t>1,939</w:t>
            </w:r>
          </w:p>
        </w:tc>
      </w:tr>
      <w:tr w:rsidR="00C32CBD" w14:paraId="5C65957F" w14:textId="77777777" w:rsidTr="00320D09">
        <w:trPr>
          <w:trHeight w:val="255"/>
        </w:trPr>
        <w:tc>
          <w:tcPr>
            <w:tcW w:w="6353" w:type="dxa"/>
            <w:tcBorders>
              <w:top w:val="nil"/>
              <w:left w:val="nil"/>
              <w:bottom w:val="nil"/>
              <w:right w:val="nil"/>
            </w:tcBorders>
            <w:shd w:val="clear" w:color="FFFFFF" w:fill="FFFFFF"/>
            <w:noWrap/>
            <w:vAlign w:val="bottom"/>
            <w:hideMark/>
          </w:tcPr>
          <w:p w14:paraId="29155305" w14:textId="77777777" w:rsidR="00C32CBD" w:rsidRDefault="00C32CBD" w:rsidP="00320D09">
            <w:pPr>
              <w:ind w:firstLineChars="100" w:firstLine="180"/>
              <w:rPr>
                <w:rFonts w:cs="Arial"/>
                <w:sz w:val="18"/>
                <w:szCs w:val="18"/>
              </w:rPr>
            </w:pPr>
            <w:r>
              <w:rPr>
                <w:rFonts w:cs="Arial"/>
                <w:sz w:val="18"/>
                <w:szCs w:val="18"/>
              </w:rPr>
              <w:t>Private sector</w:t>
            </w:r>
          </w:p>
        </w:tc>
        <w:tc>
          <w:tcPr>
            <w:tcW w:w="1249" w:type="dxa"/>
            <w:tcBorders>
              <w:top w:val="nil"/>
              <w:left w:val="nil"/>
              <w:bottom w:val="nil"/>
              <w:right w:val="nil"/>
            </w:tcBorders>
            <w:shd w:val="clear" w:color="FFFFFF" w:fill="FFFFFF"/>
            <w:noWrap/>
            <w:vAlign w:val="bottom"/>
            <w:hideMark/>
          </w:tcPr>
          <w:p w14:paraId="321EAB74" w14:textId="77777777" w:rsidR="00C32CBD" w:rsidRDefault="00C32CBD" w:rsidP="00320D09">
            <w:pPr>
              <w:jc w:val="right"/>
              <w:rPr>
                <w:rFonts w:cs="Arial"/>
                <w:b/>
                <w:bCs/>
                <w:sz w:val="18"/>
                <w:szCs w:val="18"/>
              </w:rPr>
            </w:pPr>
            <w:r>
              <w:rPr>
                <w:rFonts w:cs="Arial"/>
                <w:b/>
                <w:bCs/>
                <w:sz w:val="18"/>
                <w:szCs w:val="18"/>
              </w:rPr>
              <w:t> </w:t>
            </w:r>
          </w:p>
        </w:tc>
        <w:tc>
          <w:tcPr>
            <w:tcW w:w="236" w:type="dxa"/>
            <w:tcBorders>
              <w:top w:val="nil"/>
              <w:left w:val="nil"/>
              <w:bottom w:val="nil"/>
              <w:right w:val="nil"/>
            </w:tcBorders>
            <w:shd w:val="clear" w:color="FFFFFF" w:fill="FFFFFF"/>
            <w:noWrap/>
            <w:vAlign w:val="bottom"/>
            <w:hideMark/>
          </w:tcPr>
          <w:p w14:paraId="5DA4434D"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01B6C9BA" w14:textId="77777777" w:rsidR="00C32CBD" w:rsidRDefault="00C32CBD" w:rsidP="00320D09">
            <w:pPr>
              <w:jc w:val="right"/>
              <w:rPr>
                <w:rFonts w:cs="Arial"/>
                <w:sz w:val="18"/>
                <w:szCs w:val="18"/>
              </w:rPr>
            </w:pPr>
            <w:r>
              <w:rPr>
                <w:rFonts w:cs="Arial"/>
                <w:sz w:val="18"/>
                <w:szCs w:val="18"/>
              </w:rPr>
              <w:t> </w:t>
            </w:r>
          </w:p>
        </w:tc>
      </w:tr>
      <w:tr w:rsidR="00C32CBD" w14:paraId="3E29D38B" w14:textId="77777777" w:rsidTr="00320D09">
        <w:trPr>
          <w:trHeight w:val="255"/>
        </w:trPr>
        <w:tc>
          <w:tcPr>
            <w:tcW w:w="6353" w:type="dxa"/>
            <w:tcBorders>
              <w:top w:val="nil"/>
              <w:left w:val="nil"/>
              <w:bottom w:val="nil"/>
              <w:right w:val="nil"/>
            </w:tcBorders>
            <w:shd w:val="clear" w:color="FFFFFF" w:fill="FFFFFF"/>
            <w:noWrap/>
            <w:vAlign w:val="bottom"/>
            <w:hideMark/>
          </w:tcPr>
          <w:p w14:paraId="40251A6E" w14:textId="77777777" w:rsidR="00C32CBD" w:rsidRDefault="00C32CBD" w:rsidP="00320D09">
            <w:pPr>
              <w:ind w:firstLineChars="200" w:firstLine="360"/>
              <w:rPr>
                <w:rFonts w:cs="Arial"/>
                <w:sz w:val="18"/>
                <w:szCs w:val="18"/>
              </w:rPr>
            </w:pPr>
            <w:r>
              <w:rPr>
                <w:rFonts w:cs="Arial"/>
                <w:sz w:val="18"/>
                <w:szCs w:val="18"/>
              </w:rPr>
              <w:t>For profit organisations</w:t>
            </w:r>
          </w:p>
        </w:tc>
        <w:tc>
          <w:tcPr>
            <w:tcW w:w="1249" w:type="dxa"/>
            <w:tcBorders>
              <w:top w:val="nil"/>
              <w:left w:val="nil"/>
              <w:bottom w:val="nil"/>
              <w:right w:val="nil"/>
            </w:tcBorders>
            <w:shd w:val="clear" w:color="FFFFFF" w:fill="FFFFFF"/>
            <w:noWrap/>
            <w:vAlign w:val="bottom"/>
            <w:hideMark/>
          </w:tcPr>
          <w:p w14:paraId="6A73D104" w14:textId="77777777" w:rsidR="00C32CBD" w:rsidRDefault="00C32CBD" w:rsidP="00320D09">
            <w:pPr>
              <w:jc w:val="right"/>
              <w:rPr>
                <w:rFonts w:cs="Arial"/>
                <w:b/>
                <w:bCs/>
                <w:sz w:val="18"/>
                <w:szCs w:val="18"/>
              </w:rPr>
            </w:pPr>
            <w:r>
              <w:rPr>
                <w:rFonts w:cs="Arial"/>
                <w:b/>
                <w:bCs/>
                <w:sz w:val="18"/>
                <w:szCs w:val="18"/>
              </w:rPr>
              <w:t>538</w:t>
            </w:r>
          </w:p>
        </w:tc>
        <w:tc>
          <w:tcPr>
            <w:tcW w:w="236" w:type="dxa"/>
            <w:tcBorders>
              <w:top w:val="nil"/>
              <w:left w:val="nil"/>
              <w:bottom w:val="nil"/>
              <w:right w:val="nil"/>
            </w:tcBorders>
            <w:shd w:val="clear" w:color="FFFFFF" w:fill="FFFFFF"/>
            <w:noWrap/>
            <w:vAlign w:val="bottom"/>
            <w:hideMark/>
          </w:tcPr>
          <w:p w14:paraId="7826653C"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7406A661" w14:textId="77777777" w:rsidR="00C32CBD" w:rsidRDefault="00C32CBD" w:rsidP="00320D09">
            <w:pPr>
              <w:jc w:val="right"/>
              <w:rPr>
                <w:rFonts w:cs="Arial"/>
                <w:sz w:val="18"/>
                <w:szCs w:val="18"/>
              </w:rPr>
            </w:pPr>
            <w:r>
              <w:rPr>
                <w:rFonts w:cs="Arial"/>
                <w:sz w:val="18"/>
                <w:szCs w:val="18"/>
              </w:rPr>
              <w:t>-</w:t>
            </w:r>
          </w:p>
        </w:tc>
      </w:tr>
      <w:tr w:rsidR="00C32CBD" w14:paraId="15F8A4DB" w14:textId="77777777" w:rsidTr="00320D09">
        <w:trPr>
          <w:trHeight w:val="255"/>
        </w:trPr>
        <w:tc>
          <w:tcPr>
            <w:tcW w:w="6353" w:type="dxa"/>
            <w:tcBorders>
              <w:top w:val="nil"/>
              <w:left w:val="nil"/>
              <w:bottom w:val="nil"/>
              <w:right w:val="nil"/>
            </w:tcBorders>
            <w:shd w:val="clear" w:color="FFFFFF" w:fill="FFFFFF"/>
            <w:noWrap/>
            <w:vAlign w:val="bottom"/>
            <w:hideMark/>
          </w:tcPr>
          <w:p w14:paraId="65A56285" w14:textId="77777777" w:rsidR="00C32CBD" w:rsidRDefault="00C32CBD" w:rsidP="00320D09">
            <w:pPr>
              <w:ind w:firstLineChars="200" w:firstLine="360"/>
              <w:rPr>
                <w:rFonts w:cs="Arial"/>
                <w:sz w:val="18"/>
                <w:szCs w:val="18"/>
              </w:rPr>
            </w:pPr>
            <w:r>
              <w:rPr>
                <w:rFonts w:cs="Arial"/>
                <w:sz w:val="18"/>
                <w:szCs w:val="18"/>
              </w:rPr>
              <w:t>Not for profit organisations</w:t>
            </w:r>
          </w:p>
        </w:tc>
        <w:tc>
          <w:tcPr>
            <w:tcW w:w="1249" w:type="dxa"/>
            <w:tcBorders>
              <w:top w:val="nil"/>
              <w:left w:val="nil"/>
              <w:bottom w:val="nil"/>
              <w:right w:val="nil"/>
            </w:tcBorders>
            <w:shd w:val="clear" w:color="FFFFFF" w:fill="FFFFFF"/>
            <w:noWrap/>
            <w:vAlign w:val="bottom"/>
            <w:hideMark/>
          </w:tcPr>
          <w:p w14:paraId="14C17F28" w14:textId="77777777" w:rsidR="00C32CBD" w:rsidRDefault="00C32CBD" w:rsidP="00320D09">
            <w:pPr>
              <w:jc w:val="right"/>
              <w:rPr>
                <w:rFonts w:cs="Arial"/>
                <w:b/>
                <w:bCs/>
                <w:sz w:val="18"/>
                <w:szCs w:val="18"/>
              </w:rPr>
            </w:pPr>
            <w:r>
              <w:rPr>
                <w:rFonts w:cs="Arial"/>
                <w:b/>
                <w:bCs/>
                <w:sz w:val="18"/>
                <w:szCs w:val="18"/>
              </w:rPr>
              <w:t>22,449</w:t>
            </w:r>
          </w:p>
        </w:tc>
        <w:tc>
          <w:tcPr>
            <w:tcW w:w="236" w:type="dxa"/>
            <w:tcBorders>
              <w:top w:val="nil"/>
              <w:left w:val="nil"/>
              <w:bottom w:val="nil"/>
              <w:right w:val="nil"/>
            </w:tcBorders>
            <w:shd w:val="clear" w:color="FFFFFF" w:fill="FFFFFF"/>
            <w:noWrap/>
            <w:vAlign w:val="bottom"/>
            <w:hideMark/>
          </w:tcPr>
          <w:p w14:paraId="5E37D827"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1F6C39F8" w14:textId="77777777" w:rsidR="00C32CBD" w:rsidRDefault="00C32CBD" w:rsidP="00320D09">
            <w:pPr>
              <w:jc w:val="right"/>
              <w:rPr>
                <w:rFonts w:cs="Arial"/>
                <w:sz w:val="18"/>
                <w:szCs w:val="18"/>
              </w:rPr>
            </w:pPr>
            <w:r>
              <w:rPr>
                <w:rFonts w:cs="Arial"/>
                <w:sz w:val="18"/>
                <w:szCs w:val="18"/>
              </w:rPr>
              <w:t>7,019</w:t>
            </w:r>
          </w:p>
        </w:tc>
      </w:tr>
      <w:tr w:rsidR="00C32CBD" w14:paraId="61190D3B" w14:textId="77777777" w:rsidTr="00320D09">
        <w:trPr>
          <w:trHeight w:val="255"/>
        </w:trPr>
        <w:tc>
          <w:tcPr>
            <w:tcW w:w="6353" w:type="dxa"/>
            <w:tcBorders>
              <w:top w:val="nil"/>
              <w:left w:val="nil"/>
              <w:bottom w:val="nil"/>
              <w:right w:val="nil"/>
            </w:tcBorders>
            <w:shd w:val="clear" w:color="FFFFFF" w:fill="FFFFFF"/>
            <w:vAlign w:val="bottom"/>
            <w:hideMark/>
          </w:tcPr>
          <w:p w14:paraId="7ED91D27" w14:textId="77777777" w:rsidR="00C32CBD" w:rsidRDefault="00C32CBD" w:rsidP="00320D09">
            <w:pPr>
              <w:rPr>
                <w:rFonts w:cs="Arial"/>
                <w:b/>
                <w:bCs/>
                <w:sz w:val="18"/>
                <w:szCs w:val="18"/>
              </w:rPr>
            </w:pPr>
            <w:r>
              <w:rPr>
                <w:rFonts w:cs="Arial"/>
                <w:b/>
                <w:bCs/>
                <w:sz w:val="18"/>
                <w:szCs w:val="18"/>
              </w:rPr>
              <w:t>Total grants</w:t>
            </w:r>
          </w:p>
        </w:tc>
        <w:tc>
          <w:tcPr>
            <w:tcW w:w="1249" w:type="dxa"/>
            <w:tcBorders>
              <w:top w:val="single" w:sz="4" w:space="0" w:color="auto"/>
              <w:left w:val="nil"/>
              <w:bottom w:val="single" w:sz="4" w:space="0" w:color="auto"/>
              <w:right w:val="nil"/>
            </w:tcBorders>
            <w:shd w:val="clear" w:color="FFFFFF" w:fill="FFFFFF"/>
            <w:noWrap/>
            <w:vAlign w:val="bottom"/>
            <w:hideMark/>
          </w:tcPr>
          <w:p w14:paraId="6A4058D4" w14:textId="77777777" w:rsidR="00C32CBD" w:rsidRDefault="00C32CBD" w:rsidP="00320D09">
            <w:pPr>
              <w:jc w:val="right"/>
              <w:rPr>
                <w:rFonts w:cs="Arial"/>
                <w:b/>
                <w:bCs/>
                <w:sz w:val="18"/>
                <w:szCs w:val="18"/>
              </w:rPr>
            </w:pPr>
            <w:r>
              <w:rPr>
                <w:rFonts w:cs="Arial"/>
                <w:b/>
                <w:bCs/>
                <w:sz w:val="18"/>
                <w:szCs w:val="18"/>
              </w:rPr>
              <w:t>39,104</w:t>
            </w:r>
          </w:p>
        </w:tc>
        <w:tc>
          <w:tcPr>
            <w:tcW w:w="236" w:type="dxa"/>
            <w:tcBorders>
              <w:top w:val="nil"/>
              <w:left w:val="nil"/>
              <w:bottom w:val="nil"/>
              <w:right w:val="nil"/>
            </w:tcBorders>
            <w:shd w:val="clear" w:color="FFFFFF" w:fill="FFFFFF"/>
            <w:noWrap/>
            <w:vAlign w:val="bottom"/>
            <w:hideMark/>
          </w:tcPr>
          <w:p w14:paraId="419C9A00" w14:textId="77777777" w:rsidR="00C32CBD" w:rsidRDefault="00C32CBD" w:rsidP="00320D09">
            <w:pPr>
              <w:rPr>
                <w:rFonts w:cs="Arial"/>
                <w:sz w:val="18"/>
                <w:szCs w:val="18"/>
              </w:rPr>
            </w:pPr>
            <w:r>
              <w:rPr>
                <w:rFonts w:cs="Arial"/>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2FCCDBCD" w14:textId="77777777" w:rsidR="00C32CBD" w:rsidRDefault="00C32CBD" w:rsidP="00320D09">
            <w:pPr>
              <w:jc w:val="right"/>
              <w:rPr>
                <w:rFonts w:cs="Arial"/>
                <w:sz w:val="18"/>
                <w:szCs w:val="18"/>
              </w:rPr>
            </w:pPr>
            <w:r>
              <w:rPr>
                <w:rFonts w:cs="Arial"/>
                <w:sz w:val="18"/>
                <w:szCs w:val="18"/>
              </w:rPr>
              <w:t>8,958</w:t>
            </w:r>
          </w:p>
        </w:tc>
      </w:tr>
      <w:tr w:rsidR="00C32CBD" w14:paraId="5F688124" w14:textId="77777777" w:rsidTr="00320D09">
        <w:trPr>
          <w:trHeight w:val="810"/>
        </w:trPr>
        <w:tc>
          <w:tcPr>
            <w:tcW w:w="6353" w:type="dxa"/>
            <w:tcBorders>
              <w:top w:val="nil"/>
              <w:left w:val="nil"/>
              <w:bottom w:val="nil"/>
              <w:right w:val="nil"/>
            </w:tcBorders>
            <w:shd w:val="clear" w:color="FFFFFF" w:fill="FFFFFF"/>
            <w:vAlign w:val="bottom"/>
            <w:hideMark/>
          </w:tcPr>
          <w:p w14:paraId="191D6E65" w14:textId="77777777" w:rsidR="00C32CBD" w:rsidRDefault="00C32CBD" w:rsidP="00320D09">
            <w:pPr>
              <w:rPr>
                <w:rFonts w:cs="Arial"/>
                <w:b/>
                <w:bCs/>
                <w:sz w:val="18"/>
                <w:szCs w:val="18"/>
              </w:rPr>
            </w:pPr>
            <w:r>
              <w:rPr>
                <w:rFonts w:cs="Arial"/>
                <w:b/>
                <w:bCs/>
                <w:sz w:val="18"/>
                <w:szCs w:val="18"/>
              </w:rPr>
              <w:t> </w:t>
            </w:r>
          </w:p>
        </w:tc>
        <w:tc>
          <w:tcPr>
            <w:tcW w:w="1249" w:type="dxa"/>
            <w:tcBorders>
              <w:top w:val="nil"/>
              <w:left w:val="nil"/>
              <w:bottom w:val="nil"/>
              <w:right w:val="nil"/>
            </w:tcBorders>
            <w:shd w:val="clear" w:color="FFFFFF" w:fill="FFFFFF"/>
            <w:noWrap/>
            <w:vAlign w:val="bottom"/>
            <w:hideMark/>
          </w:tcPr>
          <w:p w14:paraId="1920E9FE" w14:textId="77777777" w:rsidR="00C32CBD" w:rsidRDefault="00C32CBD" w:rsidP="00320D09">
            <w:pPr>
              <w:jc w:val="right"/>
              <w:rPr>
                <w:rFonts w:cs="Arial"/>
                <w:b/>
                <w:bCs/>
                <w:sz w:val="18"/>
                <w:szCs w:val="18"/>
              </w:rPr>
            </w:pPr>
            <w:r>
              <w:rPr>
                <w:rFonts w:cs="Arial"/>
                <w:b/>
                <w:bCs/>
                <w:sz w:val="18"/>
                <w:szCs w:val="18"/>
              </w:rPr>
              <w:t> </w:t>
            </w:r>
          </w:p>
        </w:tc>
        <w:tc>
          <w:tcPr>
            <w:tcW w:w="236" w:type="dxa"/>
            <w:tcBorders>
              <w:top w:val="nil"/>
              <w:left w:val="nil"/>
              <w:bottom w:val="nil"/>
              <w:right w:val="nil"/>
            </w:tcBorders>
            <w:shd w:val="clear" w:color="FFFFFF" w:fill="FFFFFF"/>
            <w:noWrap/>
            <w:vAlign w:val="bottom"/>
            <w:hideMark/>
          </w:tcPr>
          <w:p w14:paraId="1EBD6BD3"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63DE3A1E" w14:textId="77777777" w:rsidR="00C32CBD" w:rsidRDefault="00C32CBD" w:rsidP="00320D09">
            <w:pPr>
              <w:jc w:val="right"/>
              <w:rPr>
                <w:rFonts w:cs="Arial"/>
                <w:sz w:val="18"/>
                <w:szCs w:val="18"/>
              </w:rPr>
            </w:pPr>
            <w:r>
              <w:rPr>
                <w:rFonts w:cs="Arial"/>
                <w:sz w:val="18"/>
                <w:szCs w:val="18"/>
              </w:rPr>
              <w:t> </w:t>
            </w:r>
          </w:p>
        </w:tc>
      </w:tr>
      <w:tr w:rsidR="00C32CBD" w14:paraId="75DE9193" w14:textId="77777777" w:rsidTr="00320D09">
        <w:trPr>
          <w:trHeight w:val="255"/>
        </w:trPr>
        <w:tc>
          <w:tcPr>
            <w:tcW w:w="9087" w:type="dxa"/>
            <w:gridSpan w:val="4"/>
            <w:tcBorders>
              <w:top w:val="nil"/>
              <w:left w:val="nil"/>
              <w:bottom w:val="nil"/>
              <w:right w:val="nil"/>
            </w:tcBorders>
            <w:shd w:val="clear" w:color="FFFFFF" w:fill="FFFFFF"/>
            <w:hideMark/>
          </w:tcPr>
          <w:p w14:paraId="472F1FAA" w14:textId="77777777" w:rsidR="00C32CBD" w:rsidRDefault="00C32CBD" w:rsidP="00320D09">
            <w:pPr>
              <w:rPr>
                <w:rFonts w:cs="Arial"/>
                <w:sz w:val="18"/>
                <w:szCs w:val="18"/>
              </w:rPr>
            </w:pPr>
            <w:r>
              <w:rPr>
                <w:rFonts w:cs="Arial"/>
                <w:sz w:val="18"/>
                <w:szCs w:val="18"/>
              </w:rPr>
              <w:t>The Agency provides a range of grants to the disability sector and the community in order to promote improved outcomes for people with a disability, their families and their carers. These grants relate to a range of projects including disability research, increased social and community participation, innovation and education.</w:t>
            </w:r>
          </w:p>
        </w:tc>
      </w:tr>
    </w:tbl>
    <w:p w14:paraId="7683A5EA" w14:textId="77777777" w:rsidR="00C32CBD" w:rsidRDefault="00C32CBD" w:rsidP="00C32CBD">
      <w:pPr>
        <w:spacing w:line="240" w:lineRule="auto"/>
      </w:pPr>
    </w:p>
    <w:tbl>
      <w:tblPr>
        <w:tblW w:w="9087" w:type="dxa"/>
        <w:tblInd w:w="80" w:type="dxa"/>
        <w:tblLayout w:type="fixed"/>
        <w:tblLook w:val="04A0" w:firstRow="1" w:lastRow="0" w:firstColumn="1" w:lastColumn="0" w:noHBand="0" w:noVBand="1"/>
      </w:tblPr>
      <w:tblGrid>
        <w:gridCol w:w="6353"/>
        <w:gridCol w:w="1249"/>
        <w:gridCol w:w="236"/>
        <w:gridCol w:w="1249"/>
      </w:tblGrid>
      <w:tr w:rsidR="00C32CBD" w14:paraId="05EDAA28" w14:textId="77777777" w:rsidTr="00320D09">
        <w:trPr>
          <w:trHeight w:val="255"/>
        </w:trPr>
        <w:tc>
          <w:tcPr>
            <w:tcW w:w="6353" w:type="dxa"/>
            <w:tcBorders>
              <w:top w:val="nil"/>
              <w:left w:val="nil"/>
              <w:bottom w:val="nil"/>
              <w:right w:val="nil"/>
            </w:tcBorders>
            <w:shd w:val="clear" w:color="FFFFFF" w:fill="FFFFFF"/>
            <w:noWrap/>
            <w:vAlign w:val="bottom"/>
            <w:hideMark/>
          </w:tcPr>
          <w:p w14:paraId="33810968" w14:textId="77777777" w:rsidR="00C32CBD" w:rsidRDefault="00C32CBD" w:rsidP="00320D09">
            <w:pPr>
              <w:rPr>
                <w:rFonts w:cs="Arial"/>
                <w:b/>
                <w:bCs/>
                <w:sz w:val="18"/>
                <w:szCs w:val="18"/>
                <w:u w:val="single"/>
              </w:rPr>
            </w:pPr>
            <w:bookmarkStart w:id="100" w:name="Note_WDATABLE1" w:colFirst="0" w:colLast="0"/>
            <w:r>
              <w:rPr>
                <w:rFonts w:cs="Arial"/>
                <w:b/>
                <w:bCs/>
                <w:sz w:val="18"/>
                <w:szCs w:val="18"/>
                <w:u w:val="single"/>
              </w:rPr>
              <w:t>Note 1.1D: Write-down and impairment of assets</w:t>
            </w:r>
          </w:p>
        </w:tc>
        <w:tc>
          <w:tcPr>
            <w:tcW w:w="1249" w:type="dxa"/>
            <w:tcBorders>
              <w:top w:val="nil"/>
              <w:left w:val="nil"/>
              <w:bottom w:val="nil"/>
              <w:right w:val="nil"/>
            </w:tcBorders>
            <w:shd w:val="clear" w:color="FFFFFF" w:fill="FFFFFF"/>
            <w:noWrap/>
            <w:vAlign w:val="bottom"/>
            <w:hideMark/>
          </w:tcPr>
          <w:p w14:paraId="785296F2"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1375BCA6"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26D2F42A" w14:textId="77777777" w:rsidR="00C32CBD" w:rsidRDefault="00C32CBD" w:rsidP="00320D09">
            <w:pPr>
              <w:rPr>
                <w:rFonts w:cs="Arial"/>
                <w:sz w:val="18"/>
                <w:szCs w:val="18"/>
              </w:rPr>
            </w:pPr>
            <w:r>
              <w:rPr>
                <w:rFonts w:cs="Arial"/>
                <w:sz w:val="18"/>
                <w:szCs w:val="18"/>
              </w:rPr>
              <w:t> </w:t>
            </w:r>
          </w:p>
        </w:tc>
      </w:tr>
      <w:bookmarkEnd w:id="100"/>
      <w:tr w:rsidR="00C32CBD" w14:paraId="35318CCA" w14:textId="77777777" w:rsidTr="00320D09">
        <w:trPr>
          <w:trHeight w:val="255"/>
        </w:trPr>
        <w:tc>
          <w:tcPr>
            <w:tcW w:w="6353" w:type="dxa"/>
            <w:tcBorders>
              <w:top w:val="nil"/>
              <w:left w:val="nil"/>
              <w:bottom w:val="nil"/>
              <w:right w:val="nil"/>
            </w:tcBorders>
            <w:shd w:val="clear" w:color="FFFFFF" w:fill="FFFFFF"/>
            <w:noWrap/>
            <w:vAlign w:val="bottom"/>
            <w:hideMark/>
          </w:tcPr>
          <w:p w14:paraId="09A56B2B" w14:textId="77777777" w:rsidR="00C32CBD" w:rsidRDefault="00C32CBD" w:rsidP="00320D09">
            <w:pPr>
              <w:rPr>
                <w:rFonts w:cs="Arial"/>
                <w:sz w:val="18"/>
                <w:szCs w:val="18"/>
              </w:rPr>
            </w:pPr>
            <w:r>
              <w:rPr>
                <w:rFonts w:cs="Arial"/>
                <w:sz w:val="18"/>
                <w:szCs w:val="18"/>
              </w:rPr>
              <w:t>Trade and other receivables</w:t>
            </w:r>
          </w:p>
        </w:tc>
        <w:tc>
          <w:tcPr>
            <w:tcW w:w="1249" w:type="dxa"/>
            <w:tcBorders>
              <w:top w:val="nil"/>
              <w:left w:val="nil"/>
              <w:bottom w:val="nil"/>
              <w:right w:val="nil"/>
            </w:tcBorders>
            <w:shd w:val="clear" w:color="FFFFFF" w:fill="FFFFFF"/>
            <w:noWrap/>
            <w:vAlign w:val="bottom"/>
            <w:hideMark/>
          </w:tcPr>
          <w:p w14:paraId="2A0D11A9" w14:textId="77777777" w:rsidR="00C32CBD" w:rsidRDefault="00C32CBD" w:rsidP="00320D09">
            <w:pPr>
              <w:jc w:val="right"/>
              <w:rPr>
                <w:rFonts w:cs="Arial"/>
                <w:b/>
                <w:bCs/>
                <w:sz w:val="18"/>
                <w:szCs w:val="18"/>
              </w:rPr>
            </w:pPr>
            <w:r>
              <w:rPr>
                <w:rFonts w:cs="Arial"/>
                <w:b/>
                <w:bCs/>
                <w:sz w:val="18"/>
                <w:szCs w:val="18"/>
              </w:rPr>
              <w:t>825</w:t>
            </w:r>
          </w:p>
        </w:tc>
        <w:tc>
          <w:tcPr>
            <w:tcW w:w="236" w:type="dxa"/>
            <w:tcBorders>
              <w:top w:val="nil"/>
              <w:left w:val="nil"/>
              <w:bottom w:val="nil"/>
              <w:right w:val="nil"/>
            </w:tcBorders>
            <w:shd w:val="clear" w:color="FFFFFF" w:fill="FFFFFF"/>
            <w:noWrap/>
            <w:vAlign w:val="bottom"/>
            <w:hideMark/>
          </w:tcPr>
          <w:p w14:paraId="526B4D58"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798317B6" w14:textId="77777777" w:rsidR="00C32CBD" w:rsidRDefault="00C32CBD" w:rsidP="00320D09">
            <w:pPr>
              <w:jc w:val="right"/>
              <w:rPr>
                <w:rFonts w:cs="Arial"/>
                <w:sz w:val="18"/>
                <w:szCs w:val="18"/>
              </w:rPr>
            </w:pPr>
            <w:r>
              <w:rPr>
                <w:rFonts w:cs="Arial"/>
                <w:sz w:val="18"/>
                <w:szCs w:val="18"/>
              </w:rPr>
              <w:t>78,693</w:t>
            </w:r>
          </w:p>
        </w:tc>
      </w:tr>
      <w:tr w:rsidR="00C32CBD" w14:paraId="0FAFC0ED" w14:textId="77777777" w:rsidTr="00320D09">
        <w:trPr>
          <w:trHeight w:val="255"/>
        </w:trPr>
        <w:tc>
          <w:tcPr>
            <w:tcW w:w="6353" w:type="dxa"/>
            <w:tcBorders>
              <w:top w:val="nil"/>
              <w:left w:val="nil"/>
              <w:bottom w:val="nil"/>
              <w:right w:val="nil"/>
            </w:tcBorders>
            <w:shd w:val="clear" w:color="FFFFFF" w:fill="FFFFFF"/>
            <w:noWrap/>
            <w:vAlign w:val="bottom"/>
            <w:hideMark/>
          </w:tcPr>
          <w:p w14:paraId="48F2FBF9" w14:textId="77777777" w:rsidR="00C32CBD" w:rsidRDefault="00C32CBD" w:rsidP="00320D09">
            <w:pPr>
              <w:rPr>
                <w:rFonts w:cs="Arial"/>
                <w:sz w:val="18"/>
                <w:szCs w:val="18"/>
              </w:rPr>
            </w:pPr>
            <w:r>
              <w:rPr>
                <w:rFonts w:cs="Arial"/>
                <w:sz w:val="18"/>
                <w:szCs w:val="18"/>
              </w:rPr>
              <w:t>Intangible assets</w:t>
            </w:r>
          </w:p>
        </w:tc>
        <w:tc>
          <w:tcPr>
            <w:tcW w:w="1249" w:type="dxa"/>
            <w:tcBorders>
              <w:top w:val="nil"/>
              <w:left w:val="nil"/>
              <w:bottom w:val="nil"/>
              <w:right w:val="nil"/>
            </w:tcBorders>
            <w:shd w:val="clear" w:color="FFFFFF" w:fill="FFFFFF"/>
            <w:noWrap/>
            <w:vAlign w:val="bottom"/>
            <w:hideMark/>
          </w:tcPr>
          <w:p w14:paraId="2CB94A16" w14:textId="77777777" w:rsidR="00C32CBD" w:rsidRDefault="00C32CBD" w:rsidP="00320D09">
            <w:pPr>
              <w:jc w:val="right"/>
              <w:rPr>
                <w:rFonts w:cs="Arial"/>
                <w:b/>
                <w:bCs/>
                <w:sz w:val="18"/>
                <w:szCs w:val="18"/>
              </w:rPr>
            </w:pPr>
            <w:r>
              <w:rPr>
                <w:rFonts w:cs="Arial"/>
                <w:b/>
                <w:bCs/>
                <w:sz w:val="18"/>
                <w:szCs w:val="18"/>
              </w:rPr>
              <w:t>-</w:t>
            </w:r>
          </w:p>
        </w:tc>
        <w:tc>
          <w:tcPr>
            <w:tcW w:w="236" w:type="dxa"/>
            <w:tcBorders>
              <w:top w:val="nil"/>
              <w:left w:val="nil"/>
              <w:bottom w:val="nil"/>
              <w:right w:val="nil"/>
            </w:tcBorders>
            <w:shd w:val="clear" w:color="FFFFFF" w:fill="FFFFFF"/>
            <w:noWrap/>
            <w:vAlign w:val="bottom"/>
            <w:hideMark/>
          </w:tcPr>
          <w:p w14:paraId="5B5C0488"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7426CDBD" w14:textId="77777777" w:rsidR="00C32CBD" w:rsidRDefault="00C32CBD" w:rsidP="00320D09">
            <w:pPr>
              <w:jc w:val="right"/>
              <w:rPr>
                <w:rFonts w:cs="Arial"/>
                <w:sz w:val="18"/>
                <w:szCs w:val="18"/>
              </w:rPr>
            </w:pPr>
            <w:r>
              <w:rPr>
                <w:rFonts w:cs="Arial"/>
                <w:sz w:val="18"/>
                <w:szCs w:val="18"/>
              </w:rPr>
              <w:t>3,102</w:t>
            </w:r>
          </w:p>
        </w:tc>
      </w:tr>
      <w:tr w:rsidR="00C32CBD" w14:paraId="66598B93" w14:textId="77777777" w:rsidTr="00320D09">
        <w:trPr>
          <w:trHeight w:val="255"/>
        </w:trPr>
        <w:tc>
          <w:tcPr>
            <w:tcW w:w="6353" w:type="dxa"/>
            <w:tcBorders>
              <w:top w:val="nil"/>
              <w:left w:val="nil"/>
              <w:bottom w:val="nil"/>
              <w:right w:val="nil"/>
            </w:tcBorders>
            <w:shd w:val="clear" w:color="FFFFFF" w:fill="FFFFFF"/>
            <w:noWrap/>
            <w:vAlign w:val="bottom"/>
            <w:hideMark/>
          </w:tcPr>
          <w:p w14:paraId="648901E9" w14:textId="77777777" w:rsidR="00C32CBD" w:rsidRDefault="00C32CBD" w:rsidP="00320D09">
            <w:pPr>
              <w:rPr>
                <w:rFonts w:cs="Arial"/>
                <w:sz w:val="18"/>
                <w:szCs w:val="18"/>
              </w:rPr>
            </w:pPr>
            <w:r>
              <w:rPr>
                <w:rFonts w:cs="Arial"/>
                <w:sz w:val="18"/>
                <w:szCs w:val="18"/>
              </w:rPr>
              <w:t>Property, plant and equipment</w:t>
            </w:r>
          </w:p>
        </w:tc>
        <w:tc>
          <w:tcPr>
            <w:tcW w:w="1249" w:type="dxa"/>
            <w:tcBorders>
              <w:top w:val="nil"/>
              <w:left w:val="nil"/>
              <w:bottom w:val="nil"/>
              <w:right w:val="nil"/>
            </w:tcBorders>
            <w:shd w:val="clear" w:color="FFFFFF" w:fill="FFFFFF"/>
            <w:noWrap/>
            <w:vAlign w:val="bottom"/>
            <w:hideMark/>
          </w:tcPr>
          <w:p w14:paraId="771B4239" w14:textId="77777777" w:rsidR="00C32CBD" w:rsidRDefault="00C32CBD" w:rsidP="00320D09">
            <w:pPr>
              <w:jc w:val="right"/>
              <w:rPr>
                <w:rFonts w:cs="Arial"/>
                <w:b/>
                <w:bCs/>
                <w:sz w:val="18"/>
                <w:szCs w:val="18"/>
              </w:rPr>
            </w:pPr>
            <w:r>
              <w:rPr>
                <w:rFonts w:cs="Arial"/>
                <w:b/>
                <w:bCs/>
                <w:sz w:val="18"/>
                <w:szCs w:val="18"/>
              </w:rPr>
              <w:t>1,371</w:t>
            </w:r>
          </w:p>
        </w:tc>
        <w:tc>
          <w:tcPr>
            <w:tcW w:w="236" w:type="dxa"/>
            <w:tcBorders>
              <w:top w:val="nil"/>
              <w:left w:val="nil"/>
              <w:bottom w:val="nil"/>
              <w:right w:val="nil"/>
            </w:tcBorders>
            <w:shd w:val="clear" w:color="FFFFFF" w:fill="FFFFFF"/>
            <w:noWrap/>
            <w:vAlign w:val="bottom"/>
            <w:hideMark/>
          </w:tcPr>
          <w:p w14:paraId="6BC88B33"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07912588" w14:textId="77777777" w:rsidR="00C32CBD" w:rsidRDefault="00C32CBD" w:rsidP="00320D09">
            <w:pPr>
              <w:jc w:val="right"/>
              <w:rPr>
                <w:rFonts w:cs="Arial"/>
                <w:sz w:val="18"/>
                <w:szCs w:val="18"/>
              </w:rPr>
            </w:pPr>
            <w:r>
              <w:rPr>
                <w:rFonts w:cs="Arial"/>
                <w:sz w:val="18"/>
                <w:szCs w:val="18"/>
              </w:rPr>
              <w:t>283</w:t>
            </w:r>
          </w:p>
        </w:tc>
      </w:tr>
      <w:tr w:rsidR="00C32CBD" w14:paraId="3C86BC1F" w14:textId="77777777" w:rsidTr="00320D09">
        <w:trPr>
          <w:trHeight w:val="255"/>
        </w:trPr>
        <w:tc>
          <w:tcPr>
            <w:tcW w:w="6353" w:type="dxa"/>
            <w:tcBorders>
              <w:top w:val="nil"/>
              <w:left w:val="nil"/>
              <w:bottom w:val="nil"/>
              <w:right w:val="nil"/>
            </w:tcBorders>
            <w:shd w:val="clear" w:color="FFFFFF" w:fill="FFFFFF"/>
            <w:noWrap/>
            <w:vAlign w:val="bottom"/>
            <w:hideMark/>
          </w:tcPr>
          <w:p w14:paraId="144C76F3" w14:textId="77777777" w:rsidR="00C32CBD" w:rsidRDefault="00C32CBD" w:rsidP="00320D09">
            <w:pPr>
              <w:rPr>
                <w:rFonts w:cs="Arial"/>
                <w:sz w:val="18"/>
                <w:szCs w:val="18"/>
              </w:rPr>
            </w:pPr>
            <w:r>
              <w:rPr>
                <w:rFonts w:cs="Arial"/>
                <w:sz w:val="18"/>
                <w:szCs w:val="18"/>
              </w:rPr>
              <w:t>Participant Advances</w:t>
            </w:r>
          </w:p>
        </w:tc>
        <w:tc>
          <w:tcPr>
            <w:tcW w:w="1249" w:type="dxa"/>
            <w:tcBorders>
              <w:top w:val="nil"/>
              <w:left w:val="nil"/>
              <w:bottom w:val="nil"/>
              <w:right w:val="nil"/>
            </w:tcBorders>
            <w:shd w:val="clear" w:color="FFFFFF" w:fill="FFFFFF"/>
            <w:noWrap/>
            <w:vAlign w:val="bottom"/>
            <w:hideMark/>
          </w:tcPr>
          <w:p w14:paraId="547BF502" w14:textId="77777777" w:rsidR="00C32CBD" w:rsidRDefault="00C32CBD" w:rsidP="00320D09">
            <w:pPr>
              <w:jc w:val="right"/>
              <w:rPr>
                <w:rFonts w:cs="Arial"/>
                <w:b/>
                <w:bCs/>
                <w:sz w:val="18"/>
                <w:szCs w:val="18"/>
              </w:rPr>
            </w:pPr>
            <w:r>
              <w:rPr>
                <w:rFonts w:cs="Arial"/>
                <w:b/>
                <w:bCs/>
                <w:sz w:val="18"/>
                <w:szCs w:val="18"/>
              </w:rPr>
              <w:t>4,727</w:t>
            </w:r>
          </w:p>
        </w:tc>
        <w:tc>
          <w:tcPr>
            <w:tcW w:w="236" w:type="dxa"/>
            <w:tcBorders>
              <w:top w:val="nil"/>
              <w:left w:val="nil"/>
              <w:bottom w:val="nil"/>
              <w:right w:val="nil"/>
            </w:tcBorders>
            <w:shd w:val="clear" w:color="FFFFFF" w:fill="FFFFFF"/>
            <w:noWrap/>
            <w:vAlign w:val="bottom"/>
            <w:hideMark/>
          </w:tcPr>
          <w:p w14:paraId="3273386D"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09487A41" w14:textId="77777777" w:rsidR="00C32CBD" w:rsidRDefault="00C32CBD" w:rsidP="00320D09">
            <w:pPr>
              <w:jc w:val="right"/>
              <w:rPr>
                <w:rFonts w:cs="Arial"/>
                <w:sz w:val="18"/>
                <w:szCs w:val="18"/>
              </w:rPr>
            </w:pPr>
            <w:r>
              <w:rPr>
                <w:rFonts w:cs="Arial"/>
                <w:sz w:val="18"/>
                <w:szCs w:val="18"/>
              </w:rPr>
              <w:t>-</w:t>
            </w:r>
          </w:p>
        </w:tc>
      </w:tr>
      <w:tr w:rsidR="00C32CBD" w14:paraId="00DF2727" w14:textId="77777777" w:rsidTr="00320D09">
        <w:trPr>
          <w:trHeight w:val="255"/>
        </w:trPr>
        <w:tc>
          <w:tcPr>
            <w:tcW w:w="6353" w:type="dxa"/>
            <w:tcBorders>
              <w:top w:val="nil"/>
              <w:left w:val="nil"/>
              <w:bottom w:val="nil"/>
              <w:right w:val="nil"/>
            </w:tcBorders>
            <w:shd w:val="clear" w:color="FFFFFF" w:fill="FFFFFF"/>
            <w:vAlign w:val="bottom"/>
            <w:hideMark/>
          </w:tcPr>
          <w:p w14:paraId="17EBC70F" w14:textId="77777777" w:rsidR="00C32CBD" w:rsidRDefault="00C32CBD" w:rsidP="00320D09">
            <w:pPr>
              <w:rPr>
                <w:rFonts w:cs="Arial"/>
                <w:b/>
                <w:bCs/>
                <w:sz w:val="18"/>
                <w:szCs w:val="18"/>
              </w:rPr>
            </w:pPr>
            <w:r>
              <w:rPr>
                <w:rFonts w:cs="Arial"/>
                <w:b/>
                <w:bCs/>
                <w:sz w:val="18"/>
                <w:szCs w:val="18"/>
              </w:rPr>
              <w:t>Total write-down and impairment of assets</w:t>
            </w:r>
          </w:p>
        </w:tc>
        <w:tc>
          <w:tcPr>
            <w:tcW w:w="1249" w:type="dxa"/>
            <w:tcBorders>
              <w:top w:val="single" w:sz="4" w:space="0" w:color="auto"/>
              <w:left w:val="nil"/>
              <w:bottom w:val="single" w:sz="4" w:space="0" w:color="auto"/>
              <w:right w:val="nil"/>
            </w:tcBorders>
            <w:shd w:val="clear" w:color="FFFFFF" w:fill="FFFFFF"/>
            <w:noWrap/>
            <w:vAlign w:val="bottom"/>
            <w:hideMark/>
          </w:tcPr>
          <w:p w14:paraId="4B403D1A" w14:textId="77777777" w:rsidR="00C32CBD" w:rsidRDefault="00C32CBD" w:rsidP="00320D09">
            <w:pPr>
              <w:jc w:val="right"/>
              <w:rPr>
                <w:rFonts w:cs="Arial"/>
                <w:b/>
                <w:bCs/>
                <w:sz w:val="18"/>
                <w:szCs w:val="18"/>
              </w:rPr>
            </w:pPr>
            <w:r>
              <w:rPr>
                <w:rFonts w:cs="Arial"/>
                <w:b/>
                <w:bCs/>
                <w:sz w:val="18"/>
                <w:szCs w:val="18"/>
              </w:rPr>
              <w:t>6,923</w:t>
            </w:r>
          </w:p>
        </w:tc>
        <w:tc>
          <w:tcPr>
            <w:tcW w:w="236" w:type="dxa"/>
            <w:tcBorders>
              <w:top w:val="nil"/>
              <w:left w:val="nil"/>
              <w:bottom w:val="nil"/>
              <w:right w:val="nil"/>
            </w:tcBorders>
            <w:shd w:val="clear" w:color="FFFFFF" w:fill="FFFFFF"/>
            <w:noWrap/>
            <w:vAlign w:val="bottom"/>
            <w:hideMark/>
          </w:tcPr>
          <w:p w14:paraId="7A74E030" w14:textId="77777777" w:rsidR="00C32CBD" w:rsidRDefault="00C32CBD" w:rsidP="00320D09">
            <w:pPr>
              <w:rPr>
                <w:rFonts w:cs="Arial"/>
                <w:sz w:val="18"/>
                <w:szCs w:val="18"/>
              </w:rPr>
            </w:pPr>
            <w:r>
              <w:rPr>
                <w:rFonts w:cs="Arial"/>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70C99828" w14:textId="77777777" w:rsidR="00C32CBD" w:rsidRDefault="00C32CBD" w:rsidP="00320D09">
            <w:pPr>
              <w:jc w:val="right"/>
              <w:rPr>
                <w:rFonts w:cs="Arial"/>
                <w:sz w:val="18"/>
                <w:szCs w:val="18"/>
              </w:rPr>
            </w:pPr>
            <w:r>
              <w:rPr>
                <w:rFonts w:cs="Arial"/>
                <w:sz w:val="18"/>
                <w:szCs w:val="18"/>
              </w:rPr>
              <w:t>82,078</w:t>
            </w:r>
          </w:p>
        </w:tc>
      </w:tr>
    </w:tbl>
    <w:p w14:paraId="0BEDB6F2" w14:textId="77777777" w:rsidR="00C32CBD" w:rsidRDefault="00C32CBD" w:rsidP="00C32CBD">
      <w:pPr>
        <w:spacing w:line="240" w:lineRule="auto"/>
      </w:pPr>
    </w:p>
    <w:p w14:paraId="39902919" w14:textId="77777777" w:rsidR="00C32CBD" w:rsidRDefault="00C32CBD" w:rsidP="00C32CBD">
      <w:pPr>
        <w:spacing w:line="240" w:lineRule="auto"/>
      </w:pPr>
    </w:p>
    <w:p w14:paraId="6A85787D" w14:textId="77777777" w:rsidR="00C32CBD" w:rsidRDefault="00C32CBD" w:rsidP="00C32CBD">
      <w:pPr>
        <w:spacing w:line="240" w:lineRule="auto"/>
      </w:pPr>
    </w:p>
    <w:p w14:paraId="1D6C31D2" w14:textId="77777777" w:rsidR="00C32CBD" w:rsidRDefault="00C32CBD" w:rsidP="00C32CBD">
      <w:pPr>
        <w:spacing w:line="240" w:lineRule="auto"/>
      </w:pPr>
    </w:p>
    <w:p w14:paraId="5AC01A08" w14:textId="77777777" w:rsidR="00C32CBD" w:rsidRDefault="00C32CBD" w:rsidP="00C32CBD">
      <w:pPr>
        <w:spacing w:line="240" w:lineRule="auto"/>
      </w:pPr>
    </w:p>
    <w:p w14:paraId="16B38F75" w14:textId="77777777" w:rsidR="00C32CBD" w:rsidRDefault="00C32CBD" w:rsidP="00C32CBD">
      <w:pPr>
        <w:spacing w:line="240" w:lineRule="auto"/>
      </w:pPr>
    </w:p>
    <w:p w14:paraId="01933A39" w14:textId="77777777" w:rsidR="00C32CBD" w:rsidRDefault="00C32CBD" w:rsidP="00C32CBD">
      <w:pPr>
        <w:spacing w:line="240" w:lineRule="auto"/>
      </w:pPr>
    </w:p>
    <w:p w14:paraId="082D5176" w14:textId="77777777" w:rsidR="00C32CBD" w:rsidRDefault="00C32CBD" w:rsidP="00C32CBD">
      <w:pPr>
        <w:spacing w:line="240" w:lineRule="auto"/>
      </w:pPr>
    </w:p>
    <w:p w14:paraId="4D9ACA8C" w14:textId="77777777" w:rsidR="00C32CBD" w:rsidRDefault="00C32CBD" w:rsidP="00C32CBD">
      <w:pPr>
        <w:spacing w:line="240" w:lineRule="auto"/>
      </w:pPr>
    </w:p>
    <w:p w14:paraId="4659486B" w14:textId="77777777" w:rsidR="00C32CBD" w:rsidRDefault="00C32CBD" w:rsidP="00C32CBD">
      <w:pPr>
        <w:spacing w:line="240" w:lineRule="auto"/>
      </w:pPr>
    </w:p>
    <w:p w14:paraId="6A3C1413" w14:textId="77777777" w:rsidR="00C32CBD" w:rsidRDefault="00C32CBD" w:rsidP="00C32CBD">
      <w:pPr>
        <w:spacing w:line="240" w:lineRule="auto"/>
      </w:pPr>
    </w:p>
    <w:p w14:paraId="1DDB09A0" w14:textId="77777777" w:rsidR="00C32CBD" w:rsidRDefault="00C32CBD" w:rsidP="00C32CBD">
      <w:pPr>
        <w:spacing w:line="240" w:lineRule="auto"/>
      </w:pPr>
    </w:p>
    <w:tbl>
      <w:tblPr>
        <w:tblW w:w="9087" w:type="dxa"/>
        <w:tblInd w:w="80" w:type="dxa"/>
        <w:tblLayout w:type="fixed"/>
        <w:tblLook w:val="04A0" w:firstRow="1" w:lastRow="0" w:firstColumn="1" w:lastColumn="0" w:noHBand="0" w:noVBand="1"/>
      </w:tblPr>
      <w:tblGrid>
        <w:gridCol w:w="6353"/>
        <w:gridCol w:w="1249"/>
        <w:gridCol w:w="236"/>
        <w:gridCol w:w="1249"/>
      </w:tblGrid>
      <w:tr w:rsidR="00C32CBD" w14:paraId="745A3137" w14:textId="77777777" w:rsidTr="00320D09">
        <w:trPr>
          <w:trHeight w:val="240"/>
        </w:trPr>
        <w:tc>
          <w:tcPr>
            <w:tcW w:w="6353" w:type="dxa"/>
            <w:tcBorders>
              <w:top w:val="nil"/>
              <w:left w:val="nil"/>
              <w:bottom w:val="nil"/>
              <w:right w:val="nil"/>
            </w:tcBorders>
            <w:shd w:val="clear" w:color="FFFFFF" w:fill="FFFFFF"/>
            <w:noWrap/>
            <w:vAlign w:val="bottom"/>
            <w:hideMark/>
          </w:tcPr>
          <w:p w14:paraId="770D081A" w14:textId="77777777" w:rsidR="00C32CBD" w:rsidRDefault="00C32CBD" w:rsidP="00320D09">
            <w:pPr>
              <w:rPr>
                <w:rFonts w:cs="Arial"/>
                <w:sz w:val="18"/>
                <w:szCs w:val="18"/>
              </w:rPr>
            </w:pPr>
            <w:bookmarkStart w:id="101" w:name="Note_SCCTABLE1" w:colFirst="0" w:colLast="0"/>
            <w:r>
              <w:rPr>
                <w:rFonts w:cs="Arial"/>
                <w:sz w:val="18"/>
                <w:szCs w:val="18"/>
              </w:rPr>
              <w:t> </w:t>
            </w:r>
          </w:p>
        </w:tc>
        <w:tc>
          <w:tcPr>
            <w:tcW w:w="1249" w:type="dxa"/>
            <w:tcBorders>
              <w:top w:val="nil"/>
              <w:left w:val="nil"/>
              <w:bottom w:val="nil"/>
              <w:right w:val="nil"/>
            </w:tcBorders>
            <w:shd w:val="clear" w:color="FFFFFF" w:fill="FFFFFF"/>
            <w:noWrap/>
            <w:vAlign w:val="bottom"/>
            <w:hideMark/>
          </w:tcPr>
          <w:p w14:paraId="49FCCA80" w14:textId="77777777" w:rsidR="00C32CBD" w:rsidRDefault="00C32CBD" w:rsidP="00320D09">
            <w:pPr>
              <w:jc w:val="right"/>
              <w:rPr>
                <w:rFonts w:cs="Arial"/>
                <w:b/>
                <w:bCs/>
                <w:sz w:val="18"/>
                <w:szCs w:val="18"/>
              </w:rPr>
            </w:pPr>
            <w:r>
              <w:rPr>
                <w:rFonts w:cs="Arial"/>
                <w:b/>
                <w:bCs/>
                <w:sz w:val="18"/>
                <w:szCs w:val="18"/>
              </w:rPr>
              <w:t> </w:t>
            </w:r>
          </w:p>
        </w:tc>
        <w:tc>
          <w:tcPr>
            <w:tcW w:w="236" w:type="dxa"/>
            <w:tcBorders>
              <w:top w:val="nil"/>
              <w:left w:val="nil"/>
              <w:bottom w:val="nil"/>
              <w:right w:val="nil"/>
            </w:tcBorders>
            <w:shd w:val="clear" w:color="FFFFFF" w:fill="FFFFFF"/>
            <w:noWrap/>
            <w:vAlign w:val="bottom"/>
            <w:hideMark/>
          </w:tcPr>
          <w:p w14:paraId="01F1707D"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267512AD" w14:textId="77777777" w:rsidR="00C32CBD" w:rsidRDefault="00C32CBD" w:rsidP="00320D09">
            <w:pPr>
              <w:jc w:val="right"/>
              <w:rPr>
                <w:rFonts w:cs="Arial"/>
                <w:sz w:val="18"/>
                <w:szCs w:val="18"/>
              </w:rPr>
            </w:pPr>
            <w:r>
              <w:rPr>
                <w:rFonts w:cs="Arial"/>
                <w:sz w:val="18"/>
                <w:szCs w:val="18"/>
              </w:rPr>
              <w:t> </w:t>
            </w:r>
          </w:p>
        </w:tc>
      </w:tr>
      <w:bookmarkEnd w:id="101"/>
      <w:tr w:rsidR="00C32CBD" w14:paraId="1E42B9B9" w14:textId="77777777" w:rsidTr="00320D09">
        <w:trPr>
          <w:trHeight w:val="240"/>
        </w:trPr>
        <w:tc>
          <w:tcPr>
            <w:tcW w:w="6353" w:type="dxa"/>
            <w:tcBorders>
              <w:top w:val="nil"/>
              <w:left w:val="nil"/>
              <w:bottom w:val="nil"/>
              <w:right w:val="nil"/>
            </w:tcBorders>
            <w:shd w:val="clear" w:color="FFFFFF" w:fill="FFFFFF"/>
            <w:noWrap/>
            <w:vAlign w:val="bottom"/>
            <w:hideMark/>
          </w:tcPr>
          <w:p w14:paraId="431F0EEE"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198C955B" w14:textId="77777777" w:rsidR="00C32CBD" w:rsidRDefault="00C32CBD" w:rsidP="00320D09">
            <w:pPr>
              <w:jc w:val="right"/>
              <w:rPr>
                <w:rFonts w:cs="Arial"/>
                <w:b/>
                <w:bCs/>
                <w:sz w:val="18"/>
                <w:szCs w:val="18"/>
              </w:rPr>
            </w:pPr>
            <w:r>
              <w:rPr>
                <w:rFonts w:cs="Arial"/>
                <w:b/>
                <w:bCs/>
                <w:sz w:val="18"/>
                <w:szCs w:val="18"/>
              </w:rPr>
              <w:t>2017</w:t>
            </w:r>
          </w:p>
        </w:tc>
        <w:tc>
          <w:tcPr>
            <w:tcW w:w="236" w:type="dxa"/>
            <w:tcBorders>
              <w:top w:val="nil"/>
              <w:left w:val="nil"/>
              <w:bottom w:val="nil"/>
              <w:right w:val="nil"/>
            </w:tcBorders>
            <w:shd w:val="clear" w:color="FFFFFF" w:fill="FFFFFF"/>
            <w:noWrap/>
            <w:vAlign w:val="bottom"/>
            <w:hideMark/>
          </w:tcPr>
          <w:p w14:paraId="414A962E"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65703F8C" w14:textId="77777777" w:rsidR="00C32CBD" w:rsidRDefault="00C32CBD" w:rsidP="00320D09">
            <w:pPr>
              <w:jc w:val="right"/>
              <w:rPr>
                <w:rFonts w:cs="Arial"/>
                <w:sz w:val="18"/>
                <w:szCs w:val="18"/>
              </w:rPr>
            </w:pPr>
            <w:r>
              <w:rPr>
                <w:rFonts w:cs="Arial"/>
                <w:sz w:val="18"/>
                <w:szCs w:val="18"/>
              </w:rPr>
              <w:t>2016</w:t>
            </w:r>
          </w:p>
        </w:tc>
      </w:tr>
      <w:tr w:rsidR="00C32CBD" w14:paraId="5333C457" w14:textId="77777777" w:rsidTr="00320D09">
        <w:trPr>
          <w:trHeight w:val="240"/>
        </w:trPr>
        <w:tc>
          <w:tcPr>
            <w:tcW w:w="6353" w:type="dxa"/>
            <w:tcBorders>
              <w:top w:val="nil"/>
              <w:left w:val="nil"/>
              <w:bottom w:val="nil"/>
              <w:right w:val="nil"/>
            </w:tcBorders>
            <w:shd w:val="clear" w:color="FFFFFF" w:fill="FFFFFF"/>
            <w:noWrap/>
            <w:vAlign w:val="bottom"/>
            <w:hideMark/>
          </w:tcPr>
          <w:p w14:paraId="00DBBC36"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08D01A78" w14:textId="77777777" w:rsidR="00C32CBD" w:rsidRDefault="00C32CBD" w:rsidP="00320D09">
            <w:pPr>
              <w:jc w:val="right"/>
              <w:rPr>
                <w:rFonts w:cs="Arial"/>
                <w:b/>
                <w:bCs/>
                <w:sz w:val="18"/>
                <w:szCs w:val="18"/>
              </w:rPr>
            </w:pPr>
            <w:r>
              <w:rPr>
                <w:rFonts w:cs="Arial"/>
                <w:b/>
                <w:bCs/>
                <w:sz w:val="18"/>
                <w:szCs w:val="18"/>
              </w:rPr>
              <w:t>$'000</w:t>
            </w:r>
          </w:p>
        </w:tc>
        <w:tc>
          <w:tcPr>
            <w:tcW w:w="236" w:type="dxa"/>
            <w:tcBorders>
              <w:top w:val="nil"/>
              <w:left w:val="nil"/>
              <w:bottom w:val="nil"/>
              <w:right w:val="nil"/>
            </w:tcBorders>
            <w:shd w:val="clear" w:color="FFFFFF" w:fill="FFFFFF"/>
            <w:noWrap/>
            <w:vAlign w:val="bottom"/>
            <w:hideMark/>
          </w:tcPr>
          <w:p w14:paraId="32941F93"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778C0F4C" w14:textId="77777777" w:rsidR="00C32CBD" w:rsidRDefault="00C32CBD" w:rsidP="00320D09">
            <w:pPr>
              <w:jc w:val="right"/>
              <w:rPr>
                <w:rFonts w:cs="Arial"/>
                <w:sz w:val="18"/>
                <w:szCs w:val="18"/>
              </w:rPr>
            </w:pPr>
            <w:r>
              <w:rPr>
                <w:rFonts w:cs="Arial"/>
                <w:sz w:val="18"/>
                <w:szCs w:val="18"/>
              </w:rPr>
              <w:t>$'000</w:t>
            </w:r>
          </w:p>
        </w:tc>
      </w:tr>
      <w:tr w:rsidR="00C32CBD" w14:paraId="1AF46A30" w14:textId="77777777" w:rsidTr="00320D09">
        <w:trPr>
          <w:trHeight w:val="240"/>
        </w:trPr>
        <w:tc>
          <w:tcPr>
            <w:tcW w:w="6353" w:type="dxa"/>
            <w:tcBorders>
              <w:top w:val="nil"/>
              <w:left w:val="nil"/>
              <w:bottom w:val="nil"/>
              <w:right w:val="nil"/>
            </w:tcBorders>
            <w:shd w:val="clear" w:color="FFFFFF" w:fill="FFFFFF"/>
            <w:noWrap/>
            <w:vAlign w:val="bottom"/>
            <w:hideMark/>
          </w:tcPr>
          <w:p w14:paraId="04002B3B" w14:textId="77777777" w:rsidR="00C32CBD" w:rsidRDefault="00C32CBD" w:rsidP="00320D09">
            <w:pPr>
              <w:rPr>
                <w:rFonts w:cs="Arial"/>
                <w:b/>
                <w:bCs/>
                <w:sz w:val="18"/>
                <w:szCs w:val="18"/>
                <w:u w:val="single"/>
              </w:rPr>
            </w:pPr>
            <w:r>
              <w:rPr>
                <w:rFonts w:cs="Arial"/>
                <w:b/>
                <w:bCs/>
                <w:sz w:val="18"/>
                <w:szCs w:val="18"/>
                <w:u w:val="single"/>
              </w:rPr>
              <w:t>Note 1.1E: Community partnership costs</w:t>
            </w:r>
          </w:p>
        </w:tc>
        <w:tc>
          <w:tcPr>
            <w:tcW w:w="1249" w:type="dxa"/>
            <w:tcBorders>
              <w:top w:val="nil"/>
              <w:left w:val="nil"/>
              <w:bottom w:val="nil"/>
              <w:right w:val="nil"/>
            </w:tcBorders>
            <w:shd w:val="clear" w:color="FFFFFF" w:fill="FFFFFF"/>
            <w:noWrap/>
            <w:vAlign w:val="bottom"/>
            <w:hideMark/>
          </w:tcPr>
          <w:p w14:paraId="15871FF2"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7BE15283"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0E27765C" w14:textId="77777777" w:rsidR="00C32CBD" w:rsidRDefault="00C32CBD" w:rsidP="00320D09">
            <w:pPr>
              <w:rPr>
                <w:rFonts w:cs="Arial"/>
                <w:sz w:val="18"/>
                <w:szCs w:val="18"/>
              </w:rPr>
            </w:pPr>
            <w:r>
              <w:rPr>
                <w:rFonts w:cs="Arial"/>
                <w:sz w:val="18"/>
                <w:szCs w:val="18"/>
              </w:rPr>
              <w:t> </w:t>
            </w:r>
          </w:p>
        </w:tc>
      </w:tr>
      <w:tr w:rsidR="00C32CBD" w14:paraId="242654DA" w14:textId="77777777" w:rsidTr="00320D09">
        <w:trPr>
          <w:trHeight w:val="240"/>
        </w:trPr>
        <w:tc>
          <w:tcPr>
            <w:tcW w:w="6353" w:type="dxa"/>
            <w:tcBorders>
              <w:top w:val="nil"/>
              <w:left w:val="nil"/>
              <w:bottom w:val="nil"/>
              <w:right w:val="nil"/>
            </w:tcBorders>
            <w:shd w:val="clear" w:color="FFFFFF" w:fill="FFFFFF"/>
            <w:vAlign w:val="bottom"/>
            <w:hideMark/>
          </w:tcPr>
          <w:p w14:paraId="2D9A60D8" w14:textId="77777777" w:rsidR="00C32CBD" w:rsidRDefault="00C32CBD" w:rsidP="00320D09">
            <w:pPr>
              <w:rPr>
                <w:rFonts w:cs="Arial"/>
                <w:sz w:val="18"/>
                <w:szCs w:val="18"/>
              </w:rPr>
            </w:pPr>
            <w:r>
              <w:rPr>
                <w:rFonts w:cs="Arial"/>
                <w:sz w:val="18"/>
                <w:szCs w:val="18"/>
              </w:rPr>
              <w:t>Early Childhood Early Intervention costs</w:t>
            </w:r>
          </w:p>
        </w:tc>
        <w:tc>
          <w:tcPr>
            <w:tcW w:w="1249" w:type="dxa"/>
            <w:tcBorders>
              <w:top w:val="nil"/>
              <w:left w:val="nil"/>
              <w:bottom w:val="nil"/>
              <w:right w:val="nil"/>
            </w:tcBorders>
            <w:shd w:val="clear" w:color="FFFFFF" w:fill="FFFFFF"/>
            <w:noWrap/>
            <w:vAlign w:val="bottom"/>
            <w:hideMark/>
          </w:tcPr>
          <w:p w14:paraId="16821B28" w14:textId="77777777" w:rsidR="00C32CBD" w:rsidRDefault="00C32CBD" w:rsidP="00320D09">
            <w:pPr>
              <w:jc w:val="right"/>
              <w:rPr>
                <w:rFonts w:cs="Arial"/>
                <w:b/>
                <w:bCs/>
                <w:sz w:val="18"/>
                <w:szCs w:val="18"/>
              </w:rPr>
            </w:pPr>
            <w:r>
              <w:rPr>
                <w:rFonts w:cs="Arial"/>
                <w:b/>
                <w:bCs/>
                <w:sz w:val="18"/>
                <w:szCs w:val="18"/>
              </w:rPr>
              <w:t>25,302</w:t>
            </w:r>
          </w:p>
        </w:tc>
        <w:tc>
          <w:tcPr>
            <w:tcW w:w="236" w:type="dxa"/>
            <w:tcBorders>
              <w:top w:val="nil"/>
              <w:left w:val="nil"/>
              <w:bottom w:val="nil"/>
              <w:right w:val="nil"/>
            </w:tcBorders>
            <w:shd w:val="clear" w:color="FFFFFF" w:fill="FFFFFF"/>
            <w:noWrap/>
            <w:vAlign w:val="bottom"/>
            <w:hideMark/>
          </w:tcPr>
          <w:p w14:paraId="18589B76" w14:textId="77777777" w:rsidR="00C32CBD" w:rsidRDefault="00C32CBD" w:rsidP="00320D09">
            <w:pPr>
              <w:rPr>
                <w:rFonts w:cs="Arial"/>
                <w:b/>
                <w:bCs/>
                <w:sz w:val="18"/>
                <w:szCs w:val="18"/>
              </w:rPr>
            </w:pPr>
            <w:r>
              <w:rPr>
                <w:rFonts w:cs="Arial"/>
                <w:b/>
                <w:bCs/>
                <w:sz w:val="18"/>
                <w:szCs w:val="18"/>
              </w:rPr>
              <w:t> </w:t>
            </w:r>
          </w:p>
        </w:tc>
        <w:tc>
          <w:tcPr>
            <w:tcW w:w="1249" w:type="dxa"/>
            <w:tcBorders>
              <w:top w:val="nil"/>
              <w:left w:val="nil"/>
              <w:bottom w:val="nil"/>
              <w:right w:val="nil"/>
            </w:tcBorders>
            <w:shd w:val="clear" w:color="FFFFFF" w:fill="FFFFFF"/>
            <w:noWrap/>
            <w:vAlign w:val="bottom"/>
            <w:hideMark/>
          </w:tcPr>
          <w:p w14:paraId="1A50ADC0" w14:textId="77777777" w:rsidR="00C32CBD" w:rsidRDefault="00C32CBD" w:rsidP="00320D09">
            <w:pPr>
              <w:jc w:val="right"/>
              <w:rPr>
                <w:rFonts w:cs="Arial"/>
                <w:sz w:val="18"/>
                <w:szCs w:val="18"/>
              </w:rPr>
            </w:pPr>
            <w:r>
              <w:rPr>
                <w:rFonts w:cs="Arial"/>
                <w:sz w:val="18"/>
                <w:szCs w:val="18"/>
              </w:rPr>
              <w:t>-</w:t>
            </w:r>
          </w:p>
        </w:tc>
      </w:tr>
      <w:tr w:rsidR="00C32CBD" w14:paraId="7C9FD292" w14:textId="77777777" w:rsidTr="00320D09">
        <w:trPr>
          <w:trHeight w:val="240"/>
        </w:trPr>
        <w:tc>
          <w:tcPr>
            <w:tcW w:w="6353" w:type="dxa"/>
            <w:tcBorders>
              <w:top w:val="nil"/>
              <w:left w:val="nil"/>
              <w:bottom w:val="nil"/>
              <w:right w:val="nil"/>
            </w:tcBorders>
            <w:shd w:val="clear" w:color="FFFFFF" w:fill="FFFFFF"/>
            <w:vAlign w:val="bottom"/>
            <w:hideMark/>
          </w:tcPr>
          <w:p w14:paraId="6D91E837" w14:textId="77777777" w:rsidR="00C32CBD" w:rsidRDefault="00C32CBD" w:rsidP="00320D09">
            <w:pPr>
              <w:rPr>
                <w:rFonts w:cs="Arial"/>
                <w:sz w:val="18"/>
                <w:szCs w:val="18"/>
              </w:rPr>
            </w:pPr>
            <w:r>
              <w:rPr>
                <w:rFonts w:cs="Arial"/>
                <w:sz w:val="18"/>
                <w:szCs w:val="18"/>
              </w:rPr>
              <w:t>Local Area Coordination costs</w:t>
            </w:r>
          </w:p>
        </w:tc>
        <w:tc>
          <w:tcPr>
            <w:tcW w:w="1249" w:type="dxa"/>
            <w:tcBorders>
              <w:top w:val="nil"/>
              <w:left w:val="nil"/>
              <w:bottom w:val="nil"/>
              <w:right w:val="nil"/>
            </w:tcBorders>
            <w:shd w:val="clear" w:color="FFFFFF" w:fill="FFFFFF"/>
            <w:noWrap/>
            <w:vAlign w:val="bottom"/>
            <w:hideMark/>
          </w:tcPr>
          <w:p w14:paraId="11866897" w14:textId="77777777" w:rsidR="00C32CBD" w:rsidRDefault="00C32CBD" w:rsidP="00320D09">
            <w:pPr>
              <w:jc w:val="right"/>
              <w:rPr>
                <w:rFonts w:cs="Arial"/>
                <w:b/>
                <w:bCs/>
                <w:sz w:val="18"/>
                <w:szCs w:val="18"/>
              </w:rPr>
            </w:pPr>
            <w:r>
              <w:rPr>
                <w:rFonts w:cs="Arial"/>
                <w:b/>
                <w:bCs/>
                <w:sz w:val="18"/>
                <w:szCs w:val="18"/>
              </w:rPr>
              <w:t>100,385</w:t>
            </w:r>
          </w:p>
        </w:tc>
        <w:tc>
          <w:tcPr>
            <w:tcW w:w="236" w:type="dxa"/>
            <w:tcBorders>
              <w:top w:val="nil"/>
              <w:left w:val="nil"/>
              <w:bottom w:val="nil"/>
              <w:right w:val="nil"/>
            </w:tcBorders>
            <w:shd w:val="clear" w:color="FFFFFF" w:fill="FFFFFF"/>
            <w:noWrap/>
            <w:vAlign w:val="bottom"/>
            <w:hideMark/>
          </w:tcPr>
          <w:p w14:paraId="6C671DD4" w14:textId="77777777" w:rsidR="00C32CBD" w:rsidRDefault="00C32CBD" w:rsidP="00320D09">
            <w:pPr>
              <w:rPr>
                <w:rFonts w:cs="Arial"/>
                <w:b/>
                <w:bCs/>
                <w:sz w:val="18"/>
                <w:szCs w:val="18"/>
              </w:rPr>
            </w:pPr>
            <w:r>
              <w:rPr>
                <w:rFonts w:cs="Arial"/>
                <w:b/>
                <w:bCs/>
                <w:sz w:val="18"/>
                <w:szCs w:val="18"/>
              </w:rPr>
              <w:t> </w:t>
            </w:r>
          </w:p>
        </w:tc>
        <w:tc>
          <w:tcPr>
            <w:tcW w:w="1249" w:type="dxa"/>
            <w:tcBorders>
              <w:top w:val="nil"/>
              <w:left w:val="nil"/>
              <w:bottom w:val="nil"/>
              <w:right w:val="nil"/>
            </w:tcBorders>
            <w:shd w:val="clear" w:color="FFFFFF" w:fill="FFFFFF"/>
            <w:noWrap/>
            <w:vAlign w:val="bottom"/>
            <w:hideMark/>
          </w:tcPr>
          <w:p w14:paraId="4AF037F7" w14:textId="77777777" w:rsidR="00C32CBD" w:rsidRDefault="00C32CBD" w:rsidP="00320D09">
            <w:pPr>
              <w:jc w:val="right"/>
              <w:rPr>
                <w:rFonts w:cs="Arial"/>
                <w:sz w:val="18"/>
                <w:szCs w:val="18"/>
              </w:rPr>
            </w:pPr>
            <w:r>
              <w:rPr>
                <w:rFonts w:cs="Arial"/>
                <w:sz w:val="18"/>
                <w:szCs w:val="18"/>
              </w:rPr>
              <w:t>21,514</w:t>
            </w:r>
          </w:p>
        </w:tc>
      </w:tr>
      <w:tr w:rsidR="00C32CBD" w14:paraId="4C426422" w14:textId="77777777" w:rsidTr="00320D09">
        <w:trPr>
          <w:trHeight w:val="240"/>
        </w:trPr>
        <w:tc>
          <w:tcPr>
            <w:tcW w:w="6353" w:type="dxa"/>
            <w:tcBorders>
              <w:top w:val="nil"/>
              <w:left w:val="nil"/>
              <w:bottom w:val="nil"/>
              <w:right w:val="nil"/>
            </w:tcBorders>
            <w:shd w:val="clear" w:color="FFFFFF" w:fill="FFFFFF"/>
            <w:vAlign w:val="bottom"/>
            <w:hideMark/>
          </w:tcPr>
          <w:p w14:paraId="1A5E350F" w14:textId="77777777" w:rsidR="00C32CBD" w:rsidRDefault="00C32CBD" w:rsidP="00320D09">
            <w:pPr>
              <w:rPr>
                <w:rFonts w:cs="Arial"/>
                <w:b/>
                <w:bCs/>
                <w:sz w:val="18"/>
                <w:szCs w:val="18"/>
              </w:rPr>
            </w:pPr>
            <w:r>
              <w:rPr>
                <w:rFonts w:cs="Arial"/>
                <w:b/>
                <w:bCs/>
                <w:sz w:val="18"/>
                <w:szCs w:val="18"/>
              </w:rPr>
              <w:t>Total Community partnership costs</w:t>
            </w:r>
          </w:p>
        </w:tc>
        <w:tc>
          <w:tcPr>
            <w:tcW w:w="1249" w:type="dxa"/>
            <w:tcBorders>
              <w:top w:val="single" w:sz="4" w:space="0" w:color="auto"/>
              <w:left w:val="nil"/>
              <w:bottom w:val="single" w:sz="4" w:space="0" w:color="auto"/>
              <w:right w:val="nil"/>
            </w:tcBorders>
            <w:shd w:val="clear" w:color="FFFFFF" w:fill="FFFFFF"/>
            <w:noWrap/>
            <w:vAlign w:val="bottom"/>
            <w:hideMark/>
          </w:tcPr>
          <w:p w14:paraId="2B264A68" w14:textId="77777777" w:rsidR="00C32CBD" w:rsidRDefault="00C32CBD" w:rsidP="00320D09">
            <w:pPr>
              <w:jc w:val="right"/>
              <w:rPr>
                <w:rFonts w:cs="Arial"/>
                <w:b/>
                <w:bCs/>
                <w:sz w:val="18"/>
                <w:szCs w:val="18"/>
              </w:rPr>
            </w:pPr>
            <w:r>
              <w:rPr>
                <w:rFonts w:cs="Arial"/>
                <w:b/>
                <w:bCs/>
                <w:sz w:val="18"/>
                <w:szCs w:val="18"/>
              </w:rPr>
              <w:t>125,687</w:t>
            </w:r>
          </w:p>
        </w:tc>
        <w:tc>
          <w:tcPr>
            <w:tcW w:w="236" w:type="dxa"/>
            <w:tcBorders>
              <w:top w:val="nil"/>
              <w:left w:val="nil"/>
              <w:bottom w:val="nil"/>
              <w:right w:val="nil"/>
            </w:tcBorders>
            <w:shd w:val="clear" w:color="FFFFFF" w:fill="FFFFFF"/>
            <w:noWrap/>
            <w:vAlign w:val="bottom"/>
            <w:hideMark/>
          </w:tcPr>
          <w:p w14:paraId="770135F8" w14:textId="77777777" w:rsidR="00C32CBD" w:rsidRDefault="00C32CBD" w:rsidP="00320D09">
            <w:pPr>
              <w:rPr>
                <w:rFonts w:cs="Arial"/>
                <w:sz w:val="18"/>
                <w:szCs w:val="18"/>
              </w:rPr>
            </w:pPr>
            <w:r>
              <w:rPr>
                <w:rFonts w:cs="Arial"/>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04806229" w14:textId="77777777" w:rsidR="00C32CBD" w:rsidRDefault="00C32CBD" w:rsidP="00320D09">
            <w:pPr>
              <w:jc w:val="right"/>
              <w:rPr>
                <w:rFonts w:cs="Arial"/>
                <w:sz w:val="18"/>
                <w:szCs w:val="18"/>
              </w:rPr>
            </w:pPr>
            <w:r>
              <w:rPr>
                <w:rFonts w:cs="Arial"/>
                <w:sz w:val="18"/>
                <w:szCs w:val="18"/>
              </w:rPr>
              <w:t>21,514</w:t>
            </w:r>
          </w:p>
        </w:tc>
      </w:tr>
    </w:tbl>
    <w:p w14:paraId="2A0850C2" w14:textId="77777777" w:rsidR="00C32CBD" w:rsidRDefault="00C32CBD" w:rsidP="00C32CBD">
      <w:pPr>
        <w:spacing w:line="240" w:lineRule="auto"/>
      </w:pPr>
    </w:p>
    <w:p w14:paraId="1C0EE53D" w14:textId="77777777" w:rsidR="00C32CBD" w:rsidRDefault="00C32CBD" w:rsidP="00C32CBD">
      <w:pPr>
        <w:spacing w:line="240" w:lineRule="auto"/>
      </w:pPr>
    </w:p>
    <w:p w14:paraId="027D28EF" w14:textId="77777777" w:rsidR="00C32CBD" w:rsidRPr="00964D02" w:rsidRDefault="00C32CBD" w:rsidP="00C32CBD">
      <w:pPr>
        <w:pStyle w:val="PolicytextDept"/>
        <w:pBdr>
          <w:top w:val="none" w:sz="0" w:space="0" w:color="auto"/>
          <w:left w:val="none" w:sz="0" w:space="0" w:color="auto"/>
          <w:bottom w:val="none" w:sz="0" w:space="0" w:color="auto"/>
          <w:right w:val="none" w:sz="0" w:space="0" w:color="auto"/>
        </w:pBdr>
        <w:rPr>
          <w:b/>
        </w:rPr>
      </w:pPr>
      <w:r w:rsidRPr="00964D02">
        <w:rPr>
          <w:b/>
        </w:rPr>
        <w:t>Early Childhood Early Intervention Costs</w:t>
      </w:r>
    </w:p>
    <w:p w14:paraId="16980F26" w14:textId="77777777" w:rsidR="00C32CBD" w:rsidRDefault="00C32CBD" w:rsidP="00C32CBD">
      <w:pPr>
        <w:pStyle w:val="PolicytextDept"/>
        <w:pBdr>
          <w:top w:val="none" w:sz="0" w:space="0" w:color="auto"/>
          <w:left w:val="none" w:sz="0" w:space="0" w:color="auto"/>
          <w:bottom w:val="none" w:sz="0" w:space="0" w:color="auto"/>
          <w:right w:val="none" w:sz="0" w:space="0" w:color="auto"/>
        </w:pBdr>
      </w:pPr>
      <w:r w:rsidRPr="002D2AEC">
        <w:t xml:space="preserve">Early Childhood Early Intervention Costs are incurred by the </w:t>
      </w:r>
      <w:r>
        <w:t>Agency</w:t>
      </w:r>
      <w:r w:rsidRPr="002D2AEC">
        <w:t xml:space="preserve"> by engaging Early Childhood partners across the nation with the intention of providing quicker and easier supports to children aged between 0-6 years who have a disability or have concerns regarding their development. Expense</w:t>
      </w:r>
      <w:r>
        <w:t>s</w:t>
      </w:r>
      <w:r w:rsidRPr="002D2AEC">
        <w:t xml:space="preserve"> from this stream have </w:t>
      </w:r>
      <w:r>
        <w:t>commenced in the</w:t>
      </w:r>
      <w:r w:rsidRPr="002D2AEC">
        <w:t xml:space="preserve"> 2016-17 financial year. </w:t>
      </w:r>
    </w:p>
    <w:p w14:paraId="6289F2BB" w14:textId="77777777" w:rsidR="00C32CBD" w:rsidRDefault="00C32CBD" w:rsidP="00C32CBD">
      <w:pPr>
        <w:pStyle w:val="PolicytextDept"/>
        <w:pBdr>
          <w:top w:val="none" w:sz="0" w:space="0" w:color="auto"/>
          <w:left w:val="none" w:sz="0" w:space="0" w:color="auto"/>
          <w:bottom w:val="none" w:sz="0" w:space="0" w:color="auto"/>
          <w:right w:val="none" w:sz="0" w:space="0" w:color="auto"/>
        </w:pBdr>
      </w:pPr>
    </w:p>
    <w:p w14:paraId="6131DD2D" w14:textId="77777777" w:rsidR="00C32CBD" w:rsidRPr="002614B3" w:rsidRDefault="00C32CBD" w:rsidP="00C32CBD">
      <w:pPr>
        <w:pStyle w:val="PolicytextDept"/>
        <w:pBdr>
          <w:top w:val="none" w:sz="0" w:space="0" w:color="auto"/>
          <w:left w:val="none" w:sz="0" w:space="0" w:color="auto"/>
          <w:bottom w:val="none" w:sz="0" w:space="0" w:color="auto"/>
          <w:right w:val="none" w:sz="0" w:space="0" w:color="auto"/>
        </w:pBdr>
        <w:rPr>
          <w:b/>
        </w:rPr>
      </w:pPr>
      <w:r w:rsidRPr="002614B3">
        <w:rPr>
          <w:b/>
        </w:rPr>
        <w:t xml:space="preserve">Local Area Coordination Costs </w:t>
      </w:r>
    </w:p>
    <w:p w14:paraId="50FF011B" w14:textId="77777777" w:rsidR="00C32CBD" w:rsidRPr="000755E7" w:rsidRDefault="00C32CBD" w:rsidP="00C32CBD">
      <w:pPr>
        <w:pStyle w:val="PolicytextDept"/>
        <w:pBdr>
          <w:top w:val="none" w:sz="0" w:space="0" w:color="auto"/>
          <w:left w:val="none" w:sz="0" w:space="0" w:color="auto"/>
          <w:bottom w:val="none" w:sz="0" w:space="0" w:color="auto"/>
          <w:right w:val="none" w:sz="0" w:space="0" w:color="auto"/>
        </w:pBdr>
      </w:pPr>
      <w:r w:rsidRPr="000755E7">
        <w:t xml:space="preserve">Local Area Coordination costs consists of the expenses incurred in funding selected providers of Local Area Coordination services. Arrangements with providers will differ in form and content, </w:t>
      </w:r>
      <w:r>
        <w:t>according to the Agency’s needs</w:t>
      </w:r>
      <w:r w:rsidRPr="000755E7">
        <w:t>.</w:t>
      </w:r>
    </w:p>
    <w:p w14:paraId="61DA4904" w14:textId="77777777" w:rsidR="00C32CBD" w:rsidRPr="000755E7" w:rsidRDefault="00C32CBD" w:rsidP="00C32CBD">
      <w:pPr>
        <w:pStyle w:val="PolicytextDept"/>
        <w:pBdr>
          <w:top w:val="none" w:sz="0" w:space="0" w:color="auto"/>
          <w:left w:val="none" w:sz="0" w:space="0" w:color="auto"/>
          <w:bottom w:val="none" w:sz="0" w:space="0" w:color="auto"/>
          <w:right w:val="none" w:sz="0" w:space="0" w:color="auto"/>
        </w:pBdr>
        <w:spacing w:after="0" w:line="240" w:lineRule="auto"/>
      </w:pPr>
      <w:r w:rsidRPr="000755E7">
        <w:t>Local Area Coordinators are required to deliver several types of services including:</w:t>
      </w:r>
    </w:p>
    <w:p w14:paraId="0E3000FD" w14:textId="77777777" w:rsidR="00C32CBD" w:rsidRPr="000755E7" w:rsidRDefault="00C32CBD" w:rsidP="00C32CBD">
      <w:pPr>
        <w:pStyle w:val="PolicytextDept"/>
        <w:numPr>
          <w:ilvl w:val="0"/>
          <w:numId w:val="31"/>
        </w:numPr>
        <w:pBdr>
          <w:top w:val="none" w:sz="0" w:space="0" w:color="auto"/>
          <w:left w:val="none" w:sz="0" w:space="0" w:color="auto"/>
          <w:bottom w:val="none" w:sz="0" w:space="0" w:color="auto"/>
          <w:right w:val="none" w:sz="0" w:space="0" w:color="auto"/>
        </w:pBdr>
        <w:spacing w:after="0" w:line="240" w:lineRule="auto"/>
      </w:pPr>
      <w:r w:rsidRPr="000755E7">
        <w:t>Provision of support to prospective participants to engage with the Scheme, including community awareness</w:t>
      </w:r>
      <w:r>
        <w:t>;</w:t>
      </w:r>
    </w:p>
    <w:p w14:paraId="62A297EA" w14:textId="77777777" w:rsidR="00C32CBD" w:rsidRPr="000755E7" w:rsidRDefault="00C32CBD" w:rsidP="00C32CBD">
      <w:pPr>
        <w:pStyle w:val="PolicytextDept"/>
        <w:numPr>
          <w:ilvl w:val="0"/>
          <w:numId w:val="31"/>
        </w:numPr>
        <w:pBdr>
          <w:top w:val="none" w:sz="0" w:space="0" w:color="auto"/>
          <w:left w:val="none" w:sz="0" w:space="0" w:color="auto"/>
          <w:bottom w:val="none" w:sz="0" w:space="0" w:color="auto"/>
          <w:right w:val="none" w:sz="0" w:space="0" w:color="auto"/>
        </w:pBdr>
        <w:spacing w:after="0" w:line="240" w:lineRule="auto"/>
      </w:pPr>
      <w:r w:rsidRPr="000755E7">
        <w:t>Support scheme participants with implementation of their plans</w:t>
      </w:r>
      <w:r>
        <w:t>; and</w:t>
      </w:r>
    </w:p>
    <w:p w14:paraId="12AADA15" w14:textId="77777777" w:rsidR="00C32CBD" w:rsidRDefault="00C32CBD" w:rsidP="00C32CBD">
      <w:pPr>
        <w:pStyle w:val="PolicytextDept"/>
        <w:numPr>
          <w:ilvl w:val="0"/>
          <w:numId w:val="31"/>
        </w:numPr>
        <w:pBdr>
          <w:top w:val="none" w:sz="0" w:space="0" w:color="auto"/>
          <w:left w:val="none" w:sz="0" w:space="0" w:color="auto"/>
          <w:bottom w:val="none" w:sz="0" w:space="0" w:color="auto"/>
          <w:right w:val="none" w:sz="0" w:space="0" w:color="auto"/>
        </w:pBdr>
        <w:spacing w:after="0" w:line="240" w:lineRule="auto"/>
      </w:pPr>
      <w:r w:rsidRPr="000755E7">
        <w:t>Support scheme participants with full scheme planning and plan reviews</w:t>
      </w:r>
      <w:r>
        <w:t>.</w:t>
      </w:r>
    </w:p>
    <w:p w14:paraId="3F7D0496" w14:textId="77777777" w:rsidR="00C32CBD" w:rsidRDefault="00C32CBD" w:rsidP="00C32CBD">
      <w:pPr>
        <w:spacing w:line="240" w:lineRule="auto"/>
      </w:pPr>
    </w:p>
    <w:p w14:paraId="3A25C7BC" w14:textId="77777777" w:rsidR="00C32CBD" w:rsidRPr="0034370E" w:rsidRDefault="00C32CBD" w:rsidP="00C32CBD">
      <w:pPr>
        <w:pStyle w:val="PolicyheadingDept"/>
      </w:pPr>
      <w:r w:rsidRPr="0034370E">
        <w:t>Accounting Policy</w:t>
      </w:r>
    </w:p>
    <w:p w14:paraId="566C3796" w14:textId="77777777" w:rsidR="00C32CBD" w:rsidRPr="0034370E" w:rsidRDefault="00C32CBD" w:rsidP="00C32CBD">
      <w:pPr>
        <w:pStyle w:val="PolicytextDept"/>
        <w:rPr>
          <w:u w:val="single"/>
        </w:rPr>
      </w:pPr>
      <w:r w:rsidRPr="000755E7">
        <w:t xml:space="preserve">The costs associated with </w:t>
      </w:r>
      <w:r>
        <w:t xml:space="preserve">community partnerships </w:t>
      </w:r>
      <w:r w:rsidRPr="000755E7">
        <w:t xml:space="preserve">are recognised </w:t>
      </w:r>
      <w:r>
        <w:t>in accordance with contractual arrangements.</w:t>
      </w:r>
    </w:p>
    <w:tbl>
      <w:tblPr>
        <w:tblW w:w="9087" w:type="dxa"/>
        <w:tblInd w:w="80" w:type="dxa"/>
        <w:tblLayout w:type="fixed"/>
        <w:tblLook w:val="04A0" w:firstRow="1" w:lastRow="0" w:firstColumn="1" w:lastColumn="0" w:noHBand="0" w:noVBand="1"/>
      </w:tblPr>
      <w:tblGrid>
        <w:gridCol w:w="6353"/>
        <w:gridCol w:w="1249"/>
        <w:gridCol w:w="236"/>
        <w:gridCol w:w="1249"/>
      </w:tblGrid>
      <w:tr w:rsidR="00C32CBD" w14:paraId="2524DA09" w14:textId="77777777" w:rsidTr="00320D09">
        <w:trPr>
          <w:trHeight w:val="240"/>
        </w:trPr>
        <w:tc>
          <w:tcPr>
            <w:tcW w:w="6353" w:type="dxa"/>
            <w:tcBorders>
              <w:top w:val="nil"/>
              <w:left w:val="nil"/>
              <w:bottom w:val="nil"/>
              <w:right w:val="nil"/>
            </w:tcBorders>
            <w:shd w:val="clear" w:color="FFFFFF" w:fill="FFFFFF"/>
            <w:noWrap/>
            <w:vAlign w:val="bottom"/>
            <w:hideMark/>
          </w:tcPr>
          <w:p w14:paraId="109D497D" w14:textId="77777777" w:rsidR="00C32CBD" w:rsidRDefault="00C32CBD" w:rsidP="00320D09">
            <w:pPr>
              <w:rPr>
                <w:rFonts w:cs="Arial"/>
                <w:b/>
                <w:bCs/>
                <w:sz w:val="18"/>
                <w:szCs w:val="18"/>
                <w:u w:val="single"/>
              </w:rPr>
            </w:pPr>
          </w:p>
          <w:p w14:paraId="7D190BA2" w14:textId="77777777" w:rsidR="00C32CBD" w:rsidRDefault="00C32CBD" w:rsidP="00320D09">
            <w:pPr>
              <w:rPr>
                <w:rFonts w:cs="Arial"/>
                <w:b/>
                <w:bCs/>
                <w:sz w:val="18"/>
                <w:szCs w:val="18"/>
                <w:u w:val="single"/>
              </w:rPr>
            </w:pPr>
            <w:r w:rsidRPr="00D807CC">
              <w:rPr>
                <w:rFonts w:cs="Arial"/>
                <w:b/>
                <w:bCs/>
                <w:sz w:val="18"/>
                <w:szCs w:val="18"/>
                <w:u w:val="single"/>
              </w:rPr>
              <w:t>Note 1.1F: Participant plan expenses</w:t>
            </w:r>
          </w:p>
        </w:tc>
        <w:tc>
          <w:tcPr>
            <w:tcW w:w="1249" w:type="dxa"/>
            <w:tcBorders>
              <w:top w:val="nil"/>
              <w:left w:val="nil"/>
              <w:bottom w:val="nil"/>
              <w:right w:val="nil"/>
            </w:tcBorders>
            <w:shd w:val="clear" w:color="FFFFFF" w:fill="FFFFFF"/>
            <w:noWrap/>
            <w:vAlign w:val="bottom"/>
            <w:hideMark/>
          </w:tcPr>
          <w:p w14:paraId="44E05424"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6D08C084"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03CE872F" w14:textId="77777777" w:rsidR="00C32CBD" w:rsidRDefault="00C32CBD" w:rsidP="00320D09">
            <w:pPr>
              <w:rPr>
                <w:rFonts w:cs="Arial"/>
                <w:sz w:val="18"/>
                <w:szCs w:val="18"/>
              </w:rPr>
            </w:pPr>
            <w:r>
              <w:rPr>
                <w:rFonts w:cs="Arial"/>
                <w:sz w:val="18"/>
                <w:szCs w:val="18"/>
              </w:rPr>
              <w:t> </w:t>
            </w:r>
          </w:p>
        </w:tc>
      </w:tr>
      <w:tr w:rsidR="00C32CBD" w14:paraId="472597F5" w14:textId="77777777" w:rsidTr="00320D09">
        <w:trPr>
          <w:trHeight w:val="240"/>
        </w:trPr>
        <w:tc>
          <w:tcPr>
            <w:tcW w:w="6353" w:type="dxa"/>
            <w:tcBorders>
              <w:top w:val="nil"/>
              <w:left w:val="nil"/>
              <w:bottom w:val="nil"/>
              <w:right w:val="nil"/>
            </w:tcBorders>
            <w:shd w:val="clear" w:color="FFFFFF" w:fill="FFFFFF"/>
            <w:vAlign w:val="bottom"/>
            <w:hideMark/>
          </w:tcPr>
          <w:p w14:paraId="11CD5B72" w14:textId="77777777" w:rsidR="00C32CBD" w:rsidRDefault="00C32CBD" w:rsidP="00320D09">
            <w:pPr>
              <w:rPr>
                <w:rFonts w:cs="Arial"/>
                <w:sz w:val="18"/>
                <w:szCs w:val="18"/>
              </w:rPr>
            </w:pPr>
            <w:r>
              <w:rPr>
                <w:rFonts w:cs="Arial"/>
                <w:sz w:val="18"/>
                <w:szCs w:val="18"/>
              </w:rPr>
              <w:t>Claims received from participant and providers</w:t>
            </w:r>
          </w:p>
        </w:tc>
        <w:tc>
          <w:tcPr>
            <w:tcW w:w="1249" w:type="dxa"/>
            <w:tcBorders>
              <w:top w:val="nil"/>
              <w:left w:val="nil"/>
              <w:bottom w:val="nil"/>
              <w:right w:val="nil"/>
            </w:tcBorders>
            <w:shd w:val="clear" w:color="FFFFFF" w:fill="FFFFFF"/>
            <w:noWrap/>
            <w:vAlign w:val="bottom"/>
          </w:tcPr>
          <w:p w14:paraId="0E39E588" w14:textId="77777777" w:rsidR="00C32CBD" w:rsidRPr="00DF0016" w:rsidRDefault="00C32CBD" w:rsidP="00320D09">
            <w:pPr>
              <w:jc w:val="right"/>
              <w:rPr>
                <w:rFonts w:cs="Arial"/>
                <w:b/>
                <w:bCs/>
                <w:sz w:val="18"/>
                <w:szCs w:val="18"/>
              </w:rPr>
            </w:pPr>
            <w:r w:rsidRPr="00DF0016">
              <w:rPr>
                <w:rFonts w:cs="Arial"/>
                <w:b/>
                <w:bCs/>
                <w:sz w:val="18"/>
                <w:szCs w:val="18"/>
              </w:rPr>
              <w:t>1,472,761</w:t>
            </w:r>
          </w:p>
        </w:tc>
        <w:tc>
          <w:tcPr>
            <w:tcW w:w="236" w:type="dxa"/>
            <w:tcBorders>
              <w:top w:val="nil"/>
              <w:left w:val="nil"/>
              <w:bottom w:val="nil"/>
              <w:right w:val="nil"/>
            </w:tcBorders>
            <w:shd w:val="clear" w:color="FFFFFF" w:fill="FFFFFF"/>
            <w:noWrap/>
            <w:vAlign w:val="bottom"/>
          </w:tcPr>
          <w:p w14:paraId="5E273FF6" w14:textId="77777777" w:rsidR="00C32CBD" w:rsidRDefault="00C32CBD" w:rsidP="00320D09">
            <w:pPr>
              <w:rPr>
                <w:rFonts w:cs="Arial"/>
                <w:b/>
                <w:bCs/>
                <w:sz w:val="18"/>
                <w:szCs w:val="18"/>
              </w:rPr>
            </w:pPr>
          </w:p>
        </w:tc>
        <w:tc>
          <w:tcPr>
            <w:tcW w:w="1249" w:type="dxa"/>
            <w:tcBorders>
              <w:top w:val="nil"/>
              <w:left w:val="nil"/>
              <w:bottom w:val="nil"/>
              <w:right w:val="nil"/>
            </w:tcBorders>
            <w:shd w:val="clear" w:color="FFFFFF" w:fill="FFFFFF"/>
            <w:noWrap/>
            <w:vAlign w:val="bottom"/>
          </w:tcPr>
          <w:p w14:paraId="22CDAAFE" w14:textId="77777777" w:rsidR="00C32CBD" w:rsidRDefault="00C32CBD" w:rsidP="00320D09">
            <w:pPr>
              <w:jc w:val="right"/>
              <w:rPr>
                <w:rFonts w:cs="Arial"/>
                <w:sz w:val="18"/>
                <w:szCs w:val="18"/>
              </w:rPr>
            </w:pPr>
            <w:r>
              <w:rPr>
                <w:rFonts w:cs="Arial"/>
                <w:sz w:val="18"/>
                <w:szCs w:val="18"/>
              </w:rPr>
              <w:t>479,209</w:t>
            </w:r>
          </w:p>
        </w:tc>
      </w:tr>
      <w:tr w:rsidR="00C32CBD" w14:paraId="6C9B7D87" w14:textId="77777777" w:rsidTr="00320D09">
        <w:trPr>
          <w:trHeight w:val="263"/>
        </w:trPr>
        <w:tc>
          <w:tcPr>
            <w:tcW w:w="6353" w:type="dxa"/>
            <w:vMerge w:val="restart"/>
            <w:tcBorders>
              <w:top w:val="nil"/>
              <w:left w:val="nil"/>
              <w:right w:val="nil"/>
            </w:tcBorders>
            <w:shd w:val="clear" w:color="FFFFFF" w:fill="FFFFFF"/>
            <w:vAlign w:val="bottom"/>
            <w:hideMark/>
          </w:tcPr>
          <w:p w14:paraId="08436900" w14:textId="77777777" w:rsidR="00C32CBD" w:rsidRDefault="00C32CBD" w:rsidP="00320D09">
            <w:pPr>
              <w:rPr>
                <w:rFonts w:cs="Arial"/>
                <w:sz w:val="18"/>
                <w:szCs w:val="18"/>
              </w:rPr>
            </w:pPr>
            <w:r>
              <w:rPr>
                <w:rFonts w:cs="Arial"/>
                <w:sz w:val="18"/>
                <w:szCs w:val="18"/>
              </w:rPr>
              <w:t>Cost of services received in-kind</w:t>
            </w:r>
          </w:p>
          <w:p w14:paraId="1D1FD40F" w14:textId="77777777" w:rsidR="00C32CBD" w:rsidRDefault="00C32CBD" w:rsidP="00320D09">
            <w:pPr>
              <w:rPr>
                <w:rFonts w:cs="Arial"/>
                <w:sz w:val="18"/>
                <w:szCs w:val="18"/>
              </w:rPr>
            </w:pPr>
            <w:r>
              <w:rPr>
                <w:rFonts w:cs="Arial"/>
                <w:sz w:val="18"/>
                <w:szCs w:val="18"/>
              </w:rPr>
              <w:t xml:space="preserve">Other movements reflected in participant plan provisions </w:t>
            </w:r>
          </w:p>
        </w:tc>
        <w:tc>
          <w:tcPr>
            <w:tcW w:w="1249" w:type="dxa"/>
            <w:tcBorders>
              <w:top w:val="nil"/>
              <w:left w:val="nil"/>
              <w:bottom w:val="nil"/>
              <w:right w:val="nil"/>
            </w:tcBorders>
            <w:shd w:val="clear" w:color="FFFFFF" w:fill="FFFFFF"/>
            <w:noWrap/>
            <w:vAlign w:val="bottom"/>
          </w:tcPr>
          <w:p w14:paraId="6916F99F" w14:textId="77777777" w:rsidR="00C32CBD" w:rsidRPr="00DF0016" w:rsidRDefault="00C32CBD" w:rsidP="00320D09">
            <w:pPr>
              <w:jc w:val="right"/>
              <w:rPr>
                <w:rFonts w:cs="Arial"/>
                <w:b/>
                <w:bCs/>
                <w:sz w:val="18"/>
                <w:szCs w:val="18"/>
              </w:rPr>
            </w:pPr>
            <w:r w:rsidRPr="00DF0016">
              <w:rPr>
                <w:rFonts w:cs="Arial"/>
                <w:b/>
                <w:bCs/>
                <w:sz w:val="18"/>
                <w:szCs w:val="18"/>
              </w:rPr>
              <w:t>475,634</w:t>
            </w:r>
          </w:p>
        </w:tc>
        <w:tc>
          <w:tcPr>
            <w:tcW w:w="236" w:type="dxa"/>
            <w:vMerge w:val="restart"/>
            <w:tcBorders>
              <w:top w:val="nil"/>
              <w:left w:val="nil"/>
              <w:right w:val="nil"/>
            </w:tcBorders>
            <w:shd w:val="clear" w:color="FFFFFF" w:fill="FFFFFF"/>
            <w:noWrap/>
            <w:vAlign w:val="bottom"/>
          </w:tcPr>
          <w:p w14:paraId="31732F1D" w14:textId="77777777" w:rsidR="00C32CBD" w:rsidRDefault="00C32CBD" w:rsidP="00320D09">
            <w:pPr>
              <w:rPr>
                <w:rFonts w:cs="Arial"/>
                <w:b/>
                <w:bCs/>
                <w:sz w:val="18"/>
                <w:szCs w:val="18"/>
              </w:rPr>
            </w:pPr>
          </w:p>
        </w:tc>
        <w:tc>
          <w:tcPr>
            <w:tcW w:w="1249" w:type="dxa"/>
            <w:tcBorders>
              <w:top w:val="nil"/>
              <w:left w:val="nil"/>
              <w:right w:val="nil"/>
            </w:tcBorders>
            <w:shd w:val="clear" w:color="FFFFFF" w:fill="FFFFFF"/>
            <w:noWrap/>
            <w:vAlign w:val="bottom"/>
          </w:tcPr>
          <w:p w14:paraId="2AE34A05" w14:textId="77777777" w:rsidR="00C32CBD" w:rsidRDefault="00C32CBD" w:rsidP="00320D09">
            <w:pPr>
              <w:jc w:val="right"/>
              <w:rPr>
                <w:rFonts w:cs="Arial"/>
                <w:sz w:val="18"/>
                <w:szCs w:val="18"/>
              </w:rPr>
            </w:pPr>
            <w:r>
              <w:rPr>
                <w:rFonts w:cs="Arial"/>
                <w:sz w:val="18"/>
                <w:szCs w:val="18"/>
              </w:rPr>
              <w:t>190,706</w:t>
            </w:r>
          </w:p>
        </w:tc>
      </w:tr>
      <w:tr w:rsidR="00C32CBD" w14:paraId="6195A866" w14:textId="77777777" w:rsidTr="00320D09">
        <w:trPr>
          <w:trHeight w:val="262"/>
        </w:trPr>
        <w:tc>
          <w:tcPr>
            <w:tcW w:w="6353" w:type="dxa"/>
            <w:vMerge/>
            <w:tcBorders>
              <w:left w:val="nil"/>
              <w:bottom w:val="nil"/>
              <w:right w:val="nil"/>
            </w:tcBorders>
            <w:shd w:val="clear" w:color="FFFFFF" w:fill="FFFFFF"/>
            <w:vAlign w:val="bottom"/>
          </w:tcPr>
          <w:p w14:paraId="242B8A79" w14:textId="77777777" w:rsidR="00C32CBD" w:rsidRDefault="00C32CBD" w:rsidP="00320D09">
            <w:pPr>
              <w:rPr>
                <w:rFonts w:cs="Arial"/>
                <w:sz w:val="18"/>
                <w:szCs w:val="18"/>
              </w:rPr>
            </w:pPr>
          </w:p>
        </w:tc>
        <w:tc>
          <w:tcPr>
            <w:tcW w:w="1249" w:type="dxa"/>
            <w:tcBorders>
              <w:top w:val="nil"/>
              <w:left w:val="nil"/>
              <w:bottom w:val="nil"/>
              <w:right w:val="nil"/>
            </w:tcBorders>
            <w:shd w:val="clear" w:color="FFFFFF" w:fill="FFFFFF"/>
            <w:noWrap/>
            <w:vAlign w:val="bottom"/>
          </w:tcPr>
          <w:p w14:paraId="356C031F" w14:textId="77777777" w:rsidR="00C32CBD" w:rsidRDefault="00C32CBD" w:rsidP="00320D09">
            <w:pPr>
              <w:jc w:val="right"/>
              <w:rPr>
                <w:rFonts w:cs="Arial"/>
                <w:b/>
                <w:bCs/>
                <w:sz w:val="18"/>
                <w:szCs w:val="18"/>
              </w:rPr>
            </w:pPr>
            <w:r>
              <w:rPr>
                <w:rFonts w:cs="Arial"/>
                <w:b/>
                <w:bCs/>
                <w:sz w:val="18"/>
                <w:szCs w:val="18"/>
              </w:rPr>
              <w:t>289,752</w:t>
            </w:r>
          </w:p>
        </w:tc>
        <w:tc>
          <w:tcPr>
            <w:tcW w:w="236" w:type="dxa"/>
            <w:vMerge/>
            <w:tcBorders>
              <w:left w:val="nil"/>
              <w:bottom w:val="nil"/>
              <w:right w:val="nil"/>
            </w:tcBorders>
            <w:shd w:val="clear" w:color="FFFFFF" w:fill="FFFFFF"/>
            <w:noWrap/>
            <w:vAlign w:val="bottom"/>
          </w:tcPr>
          <w:p w14:paraId="0BC09AD3" w14:textId="77777777" w:rsidR="00C32CBD" w:rsidRDefault="00C32CBD" w:rsidP="00320D09">
            <w:pPr>
              <w:rPr>
                <w:rFonts w:cs="Arial"/>
                <w:b/>
                <w:bCs/>
                <w:sz w:val="18"/>
                <w:szCs w:val="18"/>
              </w:rPr>
            </w:pPr>
          </w:p>
        </w:tc>
        <w:tc>
          <w:tcPr>
            <w:tcW w:w="1249" w:type="dxa"/>
            <w:tcBorders>
              <w:left w:val="nil"/>
              <w:bottom w:val="nil"/>
              <w:right w:val="nil"/>
            </w:tcBorders>
            <w:shd w:val="clear" w:color="FFFFFF" w:fill="FFFFFF"/>
            <w:noWrap/>
            <w:vAlign w:val="bottom"/>
          </w:tcPr>
          <w:p w14:paraId="77004CF7" w14:textId="77777777" w:rsidR="00C32CBD" w:rsidRDefault="00C32CBD" w:rsidP="00320D09">
            <w:pPr>
              <w:jc w:val="right"/>
              <w:rPr>
                <w:rFonts w:cs="Arial"/>
                <w:sz w:val="18"/>
                <w:szCs w:val="18"/>
              </w:rPr>
            </w:pPr>
            <w:r>
              <w:rPr>
                <w:rFonts w:cs="Arial"/>
                <w:sz w:val="18"/>
                <w:szCs w:val="18"/>
              </w:rPr>
              <w:t>52,764</w:t>
            </w:r>
          </w:p>
        </w:tc>
      </w:tr>
      <w:tr w:rsidR="00C32CBD" w14:paraId="6EEA11B1" w14:textId="77777777" w:rsidTr="00320D09">
        <w:trPr>
          <w:trHeight w:val="240"/>
        </w:trPr>
        <w:tc>
          <w:tcPr>
            <w:tcW w:w="6353" w:type="dxa"/>
            <w:tcBorders>
              <w:top w:val="nil"/>
              <w:left w:val="nil"/>
              <w:bottom w:val="nil"/>
              <w:right w:val="nil"/>
            </w:tcBorders>
            <w:shd w:val="clear" w:color="FFFFFF" w:fill="FFFFFF"/>
            <w:vAlign w:val="bottom"/>
            <w:hideMark/>
          </w:tcPr>
          <w:p w14:paraId="456A36E2" w14:textId="77777777" w:rsidR="00C32CBD" w:rsidRDefault="00C32CBD" w:rsidP="00320D09">
            <w:pPr>
              <w:rPr>
                <w:rFonts w:cs="Arial"/>
                <w:b/>
                <w:bCs/>
                <w:sz w:val="18"/>
                <w:szCs w:val="18"/>
              </w:rPr>
            </w:pPr>
            <w:r>
              <w:rPr>
                <w:rFonts w:cs="Arial"/>
                <w:b/>
                <w:bCs/>
                <w:sz w:val="18"/>
                <w:szCs w:val="18"/>
              </w:rPr>
              <w:t>Total participant plan expenses</w:t>
            </w:r>
          </w:p>
        </w:tc>
        <w:tc>
          <w:tcPr>
            <w:tcW w:w="1249" w:type="dxa"/>
            <w:tcBorders>
              <w:top w:val="single" w:sz="4" w:space="0" w:color="auto"/>
              <w:left w:val="nil"/>
              <w:bottom w:val="single" w:sz="4" w:space="0" w:color="auto"/>
              <w:right w:val="nil"/>
            </w:tcBorders>
            <w:shd w:val="clear" w:color="FFFFFF" w:fill="FFFFFF"/>
            <w:noWrap/>
            <w:vAlign w:val="bottom"/>
            <w:hideMark/>
          </w:tcPr>
          <w:p w14:paraId="16C8502D" w14:textId="77777777" w:rsidR="00C32CBD" w:rsidRDefault="00C32CBD" w:rsidP="00320D09">
            <w:pPr>
              <w:jc w:val="right"/>
              <w:rPr>
                <w:rFonts w:cs="Arial"/>
                <w:b/>
                <w:bCs/>
                <w:sz w:val="18"/>
                <w:szCs w:val="18"/>
              </w:rPr>
            </w:pPr>
            <w:r>
              <w:rPr>
                <w:rFonts w:cs="Arial"/>
                <w:b/>
                <w:bCs/>
                <w:sz w:val="18"/>
                <w:szCs w:val="18"/>
              </w:rPr>
              <w:t>2,238,147</w:t>
            </w:r>
          </w:p>
        </w:tc>
        <w:tc>
          <w:tcPr>
            <w:tcW w:w="236" w:type="dxa"/>
            <w:tcBorders>
              <w:top w:val="nil"/>
              <w:left w:val="nil"/>
              <w:bottom w:val="nil"/>
              <w:right w:val="nil"/>
            </w:tcBorders>
            <w:shd w:val="clear" w:color="FFFFFF" w:fill="FFFFFF"/>
            <w:noWrap/>
            <w:vAlign w:val="bottom"/>
            <w:hideMark/>
          </w:tcPr>
          <w:p w14:paraId="1DB87A2F" w14:textId="77777777" w:rsidR="00C32CBD" w:rsidRDefault="00C32CBD" w:rsidP="00320D09">
            <w:pPr>
              <w:rPr>
                <w:rFonts w:cs="Arial"/>
                <w:sz w:val="18"/>
                <w:szCs w:val="18"/>
              </w:rPr>
            </w:pPr>
            <w:r>
              <w:rPr>
                <w:rFonts w:cs="Arial"/>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49341A84" w14:textId="77777777" w:rsidR="00C32CBD" w:rsidRDefault="00C32CBD" w:rsidP="00320D09">
            <w:pPr>
              <w:jc w:val="right"/>
              <w:rPr>
                <w:rFonts w:cs="Arial"/>
                <w:sz w:val="18"/>
                <w:szCs w:val="18"/>
              </w:rPr>
            </w:pPr>
            <w:r>
              <w:rPr>
                <w:rFonts w:cs="Arial"/>
                <w:sz w:val="18"/>
                <w:szCs w:val="18"/>
              </w:rPr>
              <w:t>722,673</w:t>
            </w:r>
          </w:p>
        </w:tc>
      </w:tr>
    </w:tbl>
    <w:p w14:paraId="24B5A80B" w14:textId="77777777" w:rsidR="00C32CBD" w:rsidRDefault="00C32CBD" w:rsidP="00C32CBD">
      <w:pPr>
        <w:spacing w:line="240" w:lineRule="auto"/>
      </w:pPr>
    </w:p>
    <w:p w14:paraId="67FC6178" w14:textId="77777777" w:rsidR="00C32CBD" w:rsidRDefault="00C32CBD" w:rsidP="00C32CBD">
      <w:pPr>
        <w:spacing w:line="240" w:lineRule="auto"/>
      </w:pPr>
    </w:p>
    <w:p w14:paraId="583430A1" w14:textId="77777777" w:rsidR="00C32CBD" w:rsidRDefault="00C32CBD" w:rsidP="00C32CBD">
      <w:pPr>
        <w:pStyle w:val="PolicyheadingDept"/>
      </w:pPr>
      <w:r>
        <w:t>Accounting Policy</w:t>
      </w:r>
    </w:p>
    <w:p w14:paraId="653A69E0" w14:textId="77777777" w:rsidR="00C32CBD" w:rsidRDefault="00C32CBD" w:rsidP="00C32CBD">
      <w:pPr>
        <w:pStyle w:val="PolicytextDept"/>
        <w:rPr>
          <w:u w:val="single"/>
        </w:rPr>
      </w:pPr>
      <w:r>
        <w:t xml:space="preserve">The costs associated with participant plan expenses are recognised as and when the </w:t>
      </w:r>
      <w:r w:rsidRPr="00A27AA7">
        <w:t>Agency receives claims from participants and providers. Accounting policies for expenses resulting from ad</w:t>
      </w:r>
      <w:r>
        <w:t>justment to the participant plan provision is contained in Section 2.4 – Other Provisions.</w:t>
      </w:r>
    </w:p>
    <w:p w14:paraId="0CFCAAF8" w14:textId="77777777" w:rsidR="00C32CBD" w:rsidRDefault="00C32CBD" w:rsidP="00C32CBD">
      <w:pPr>
        <w:spacing w:line="240" w:lineRule="auto"/>
      </w:pPr>
    </w:p>
    <w:p w14:paraId="5437917B" w14:textId="77777777" w:rsidR="00C32CBD" w:rsidRDefault="00C32CBD" w:rsidP="00C32CBD">
      <w:pPr>
        <w:spacing w:line="240" w:lineRule="auto"/>
      </w:pPr>
    </w:p>
    <w:p w14:paraId="72D50E05" w14:textId="77777777" w:rsidR="00C32CBD" w:rsidRDefault="00C32CBD" w:rsidP="00C32CBD">
      <w:pPr>
        <w:spacing w:line="240" w:lineRule="auto"/>
      </w:pPr>
    </w:p>
    <w:p w14:paraId="7287DD0F" w14:textId="77777777" w:rsidR="00C32CBD" w:rsidRDefault="00C32CBD" w:rsidP="00C32CBD">
      <w:pPr>
        <w:spacing w:line="240" w:lineRule="auto"/>
      </w:pPr>
    </w:p>
    <w:p w14:paraId="61388368" w14:textId="77777777" w:rsidR="00C32CBD" w:rsidRDefault="00C32CBD" w:rsidP="00C32CBD">
      <w:pPr>
        <w:spacing w:line="240" w:lineRule="auto"/>
      </w:pPr>
    </w:p>
    <w:p w14:paraId="50160978" w14:textId="77777777" w:rsidR="00C32CBD" w:rsidRDefault="00C32CBD" w:rsidP="00C32CBD">
      <w:pPr>
        <w:spacing w:line="240" w:lineRule="auto"/>
      </w:pPr>
    </w:p>
    <w:p w14:paraId="78760E84" w14:textId="77777777" w:rsidR="00C32CBD" w:rsidRDefault="00C32CBD" w:rsidP="00C32CBD">
      <w:pPr>
        <w:spacing w:line="240" w:lineRule="auto"/>
      </w:pPr>
    </w:p>
    <w:p w14:paraId="6417DA8F" w14:textId="77777777" w:rsidR="00C32CBD" w:rsidRDefault="00C32CBD" w:rsidP="00C32CBD">
      <w:pPr>
        <w:spacing w:line="240" w:lineRule="auto"/>
      </w:pPr>
    </w:p>
    <w:p w14:paraId="02287C7D" w14:textId="77777777" w:rsidR="00C32CBD" w:rsidRDefault="00C32CBD" w:rsidP="00C32CBD">
      <w:pPr>
        <w:spacing w:line="240" w:lineRule="auto"/>
      </w:pPr>
    </w:p>
    <w:p w14:paraId="663C8766" w14:textId="77777777" w:rsidR="00C32CBD" w:rsidRDefault="00C32CBD" w:rsidP="00C32CBD">
      <w:pPr>
        <w:spacing w:line="240" w:lineRule="auto"/>
      </w:pPr>
    </w:p>
    <w:p w14:paraId="3B23328B" w14:textId="77777777" w:rsidR="00C32CBD" w:rsidRDefault="00C32CBD" w:rsidP="00C32CBD">
      <w:pPr>
        <w:spacing w:line="240" w:lineRule="auto"/>
      </w:pPr>
    </w:p>
    <w:p w14:paraId="5056CAD9" w14:textId="77777777" w:rsidR="00C32CBD" w:rsidRDefault="00C32CBD" w:rsidP="00C32CBD">
      <w:pPr>
        <w:spacing w:line="240" w:lineRule="auto"/>
      </w:pPr>
    </w:p>
    <w:p w14:paraId="2CB0C432" w14:textId="77777777" w:rsidR="00C32CBD" w:rsidRDefault="00C32CBD" w:rsidP="00C32CBD">
      <w:pPr>
        <w:spacing w:line="240" w:lineRule="auto"/>
      </w:pPr>
    </w:p>
    <w:p w14:paraId="14637215" w14:textId="77777777" w:rsidR="00C32CBD" w:rsidRDefault="00C32CBD" w:rsidP="00C32CBD">
      <w:pPr>
        <w:spacing w:line="240" w:lineRule="auto"/>
      </w:pPr>
    </w:p>
    <w:p w14:paraId="461C40C8" w14:textId="77777777" w:rsidR="00C32CBD" w:rsidRDefault="00C32CBD" w:rsidP="00C32CBD">
      <w:pPr>
        <w:spacing w:line="240" w:lineRule="auto"/>
      </w:pPr>
    </w:p>
    <w:p w14:paraId="44EE187D" w14:textId="77777777" w:rsidR="00C32CBD" w:rsidRDefault="00C32CBD" w:rsidP="00C32CBD">
      <w:pPr>
        <w:spacing w:line="240" w:lineRule="auto"/>
      </w:pPr>
    </w:p>
    <w:p w14:paraId="7D2E5976" w14:textId="77777777" w:rsidR="00C32CBD" w:rsidRPr="00382E66" w:rsidRDefault="00C32CBD" w:rsidP="00C32CBD">
      <w:pPr>
        <w:pStyle w:val="SubHeading"/>
      </w:pPr>
      <w:bookmarkStart w:id="102" w:name="_Toc443469524"/>
      <w:bookmarkStart w:id="103" w:name="_Toc444065773"/>
      <w:bookmarkStart w:id="104" w:name="_Toc444077334"/>
      <w:bookmarkStart w:id="105" w:name="_Toc447030537"/>
      <w:bookmarkStart w:id="106" w:name="_Toc447030689"/>
      <w:bookmarkStart w:id="107" w:name="_Toc447030782"/>
      <w:bookmarkStart w:id="108" w:name="_Toc456865055"/>
      <w:bookmarkStart w:id="109" w:name="_Toc496611899"/>
      <w:r w:rsidRPr="00382E66">
        <w:t>Own-Source Revenue and Gains</w:t>
      </w:r>
      <w:bookmarkEnd w:id="102"/>
      <w:bookmarkEnd w:id="103"/>
      <w:bookmarkEnd w:id="104"/>
      <w:bookmarkEnd w:id="105"/>
      <w:bookmarkEnd w:id="106"/>
      <w:bookmarkEnd w:id="107"/>
      <w:bookmarkEnd w:id="108"/>
      <w:bookmarkEnd w:id="109"/>
    </w:p>
    <w:tbl>
      <w:tblPr>
        <w:tblW w:w="9087" w:type="dxa"/>
        <w:tblInd w:w="80" w:type="dxa"/>
        <w:tblLayout w:type="fixed"/>
        <w:tblLook w:val="04A0" w:firstRow="1" w:lastRow="0" w:firstColumn="1" w:lastColumn="0" w:noHBand="0" w:noVBand="1"/>
      </w:tblPr>
      <w:tblGrid>
        <w:gridCol w:w="6353"/>
        <w:gridCol w:w="1249"/>
        <w:gridCol w:w="236"/>
        <w:gridCol w:w="1249"/>
      </w:tblGrid>
      <w:tr w:rsidR="00C32CBD" w14:paraId="0E23CD1A" w14:textId="77777777" w:rsidTr="00320D09">
        <w:trPr>
          <w:trHeight w:val="255"/>
        </w:trPr>
        <w:tc>
          <w:tcPr>
            <w:tcW w:w="6353" w:type="dxa"/>
            <w:tcBorders>
              <w:top w:val="nil"/>
              <w:left w:val="nil"/>
              <w:bottom w:val="nil"/>
              <w:right w:val="nil"/>
            </w:tcBorders>
            <w:shd w:val="clear" w:color="FFFFFF" w:fill="FFFFFF"/>
            <w:vAlign w:val="bottom"/>
            <w:hideMark/>
          </w:tcPr>
          <w:p w14:paraId="762AECD7" w14:textId="77777777" w:rsidR="00C32CBD" w:rsidRDefault="00C32CBD" w:rsidP="00320D09">
            <w:pPr>
              <w:rPr>
                <w:rFonts w:cs="Arial"/>
                <w:b/>
                <w:bCs/>
                <w:sz w:val="18"/>
                <w:szCs w:val="18"/>
              </w:rPr>
            </w:pPr>
            <w:bookmarkStart w:id="110" w:name="Note_GASTABLE1" w:colFirst="0" w:colLast="0"/>
            <w:r>
              <w:rPr>
                <w:rFonts w:cs="Arial"/>
                <w:b/>
                <w:bCs/>
                <w:sz w:val="18"/>
                <w:szCs w:val="18"/>
              </w:rPr>
              <w:t> </w:t>
            </w:r>
          </w:p>
        </w:tc>
        <w:tc>
          <w:tcPr>
            <w:tcW w:w="1249" w:type="dxa"/>
            <w:tcBorders>
              <w:top w:val="nil"/>
              <w:left w:val="nil"/>
              <w:bottom w:val="nil"/>
              <w:right w:val="nil"/>
            </w:tcBorders>
            <w:shd w:val="clear" w:color="FFFFFF" w:fill="FFFFFF"/>
            <w:vAlign w:val="bottom"/>
            <w:hideMark/>
          </w:tcPr>
          <w:p w14:paraId="67CCE060" w14:textId="77777777" w:rsidR="00C32CBD" w:rsidRDefault="00C32CBD" w:rsidP="00320D09">
            <w:pPr>
              <w:jc w:val="right"/>
              <w:rPr>
                <w:rFonts w:cs="Arial"/>
                <w:b/>
                <w:bCs/>
                <w:sz w:val="18"/>
                <w:szCs w:val="18"/>
              </w:rPr>
            </w:pPr>
            <w:r>
              <w:rPr>
                <w:rFonts w:cs="Arial"/>
                <w:b/>
                <w:bCs/>
                <w:sz w:val="18"/>
                <w:szCs w:val="18"/>
              </w:rPr>
              <w:t> </w:t>
            </w:r>
          </w:p>
        </w:tc>
        <w:tc>
          <w:tcPr>
            <w:tcW w:w="236" w:type="dxa"/>
            <w:tcBorders>
              <w:top w:val="nil"/>
              <w:left w:val="nil"/>
              <w:bottom w:val="nil"/>
              <w:right w:val="nil"/>
            </w:tcBorders>
            <w:shd w:val="clear" w:color="FFFFFF" w:fill="FFFFFF"/>
            <w:noWrap/>
            <w:vAlign w:val="bottom"/>
            <w:hideMark/>
          </w:tcPr>
          <w:p w14:paraId="39C8AED9"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vAlign w:val="bottom"/>
            <w:hideMark/>
          </w:tcPr>
          <w:p w14:paraId="62E88ADB" w14:textId="77777777" w:rsidR="00C32CBD" w:rsidRDefault="00C32CBD" w:rsidP="00320D09">
            <w:pPr>
              <w:jc w:val="right"/>
              <w:rPr>
                <w:rFonts w:cs="Arial"/>
                <w:sz w:val="18"/>
                <w:szCs w:val="18"/>
              </w:rPr>
            </w:pPr>
            <w:r>
              <w:rPr>
                <w:rFonts w:cs="Arial"/>
                <w:sz w:val="18"/>
                <w:szCs w:val="18"/>
              </w:rPr>
              <w:t> </w:t>
            </w:r>
          </w:p>
        </w:tc>
      </w:tr>
      <w:bookmarkEnd w:id="110"/>
      <w:tr w:rsidR="00C32CBD" w14:paraId="1F12F8D0" w14:textId="77777777" w:rsidTr="00320D09">
        <w:trPr>
          <w:trHeight w:val="255"/>
        </w:trPr>
        <w:tc>
          <w:tcPr>
            <w:tcW w:w="6353" w:type="dxa"/>
            <w:tcBorders>
              <w:top w:val="nil"/>
              <w:left w:val="nil"/>
              <w:bottom w:val="nil"/>
              <w:right w:val="nil"/>
            </w:tcBorders>
            <w:shd w:val="clear" w:color="FFFFFF" w:fill="FFFFFF"/>
            <w:vAlign w:val="bottom"/>
            <w:hideMark/>
          </w:tcPr>
          <w:p w14:paraId="0E80143F" w14:textId="77777777" w:rsidR="00C32CBD" w:rsidRDefault="00C32CBD" w:rsidP="00320D09">
            <w:pPr>
              <w:rPr>
                <w:rFonts w:cs="Arial"/>
                <w:b/>
                <w:bCs/>
                <w:sz w:val="18"/>
                <w:szCs w:val="18"/>
              </w:rPr>
            </w:pPr>
            <w:r>
              <w:rPr>
                <w:rFonts w:cs="Arial"/>
                <w:b/>
                <w:bCs/>
                <w:sz w:val="18"/>
                <w:szCs w:val="18"/>
              </w:rPr>
              <w:t>OWN SOURCE REVENUE</w:t>
            </w:r>
          </w:p>
        </w:tc>
        <w:tc>
          <w:tcPr>
            <w:tcW w:w="1249" w:type="dxa"/>
            <w:tcBorders>
              <w:top w:val="nil"/>
              <w:left w:val="nil"/>
              <w:bottom w:val="nil"/>
              <w:right w:val="nil"/>
            </w:tcBorders>
            <w:shd w:val="clear" w:color="FFFFFF" w:fill="FFFFFF"/>
            <w:vAlign w:val="bottom"/>
            <w:hideMark/>
          </w:tcPr>
          <w:p w14:paraId="62957865" w14:textId="77777777" w:rsidR="00C32CBD" w:rsidRDefault="00C32CBD" w:rsidP="00320D09">
            <w:pPr>
              <w:jc w:val="right"/>
              <w:rPr>
                <w:rFonts w:cs="Arial"/>
                <w:b/>
                <w:bCs/>
                <w:sz w:val="18"/>
                <w:szCs w:val="18"/>
              </w:rPr>
            </w:pPr>
            <w:r>
              <w:rPr>
                <w:rFonts w:cs="Arial"/>
                <w:b/>
                <w:bCs/>
                <w:sz w:val="18"/>
                <w:szCs w:val="18"/>
              </w:rPr>
              <w:t>2017</w:t>
            </w:r>
          </w:p>
        </w:tc>
        <w:tc>
          <w:tcPr>
            <w:tcW w:w="236" w:type="dxa"/>
            <w:tcBorders>
              <w:top w:val="nil"/>
              <w:left w:val="nil"/>
              <w:bottom w:val="nil"/>
              <w:right w:val="nil"/>
            </w:tcBorders>
            <w:shd w:val="clear" w:color="FFFFFF" w:fill="FFFFFF"/>
            <w:noWrap/>
            <w:vAlign w:val="bottom"/>
            <w:hideMark/>
          </w:tcPr>
          <w:p w14:paraId="1B38ADC9"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vAlign w:val="bottom"/>
            <w:hideMark/>
          </w:tcPr>
          <w:p w14:paraId="686FAB7E" w14:textId="77777777" w:rsidR="00C32CBD" w:rsidRDefault="00C32CBD" w:rsidP="00320D09">
            <w:pPr>
              <w:jc w:val="right"/>
              <w:rPr>
                <w:rFonts w:cs="Arial"/>
                <w:sz w:val="18"/>
                <w:szCs w:val="18"/>
              </w:rPr>
            </w:pPr>
            <w:r>
              <w:rPr>
                <w:rFonts w:cs="Arial"/>
                <w:sz w:val="18"/>
                <w:szCs w:val="18"/>
              </w:rPr>
              <w:t>2016</w:t>
            </w:r>
          </w:p>
        </w:tc>
      </w:tr>
      <w:tr w:rsidR="00C32CBD" w14:paraId="670FD784" w14:textId="77777777" w:rsidTr="00320D09">
        <w:trPr>
          <w:trHeight w:val="255"/>
        </w:trPr>
        <w:tc>
          <w:tcPr>
            <w:tcW w:w="6353" w:type="dxa"/>
            <w:tcBorders>
              <w:top w:val="nil"/>
              <w:left w:val="nil"/>
              <w:bottom w:val="nil"/>
              <w:right w:val="nil"/>
            </w:tcBorders>
            <w:shd w:val="clear" w:color="FFFFFF" w:fill="FFFFFF"/>
            <w:vAlign w:val="bottom"/>
            <w:hideMark/>
          </w:tcPr>
          <w:p w14:paraId="35DFF697" w14:textId="77777777" w:rsidR="00C32CBD" w:rsidRDefault="00C32CBD" w:rsidP="00320D09">
            <w:pPr>
              <w:rPr>
                <w:rFonts w:cs="Arial"/>
                <w:b/>
                <w:bCs/>
                <w:sz w:val="18"/>
                <w:szCs w:val="18"/>
              </w:rPr>
            </w:pPr>
            <w:r>
              <w:rPr>
                <w:rFonts w:cs="Arial"/>
                <w:b/>
                <w:bCs/>
                <w:sz w:val="18"/>
                <w:szCs w:val="18"/>
              </w:rPr>
              <w:t> </w:t>
            </w:r>
          </w:p>
        </w:tc>
        <w:tc>
          <w:tcPr>
            <w:tcW w:w="1249" w:type="dxa"/>
            <w:tcBorders>
              <w:top w:val="nil"/>
              <w:left w:val="nil"/>
              <w:bottom w:val="nil"/>
              <w:right w:val="nil"/>
            </w:tcBorders>
            <w:shd w:val="clear" w:color="FFFFFF" w:fill="FFFFFF"/>
            <w:vAlign w:val="bottom"/>
            <w:hideMark/>
          </w:tcPr>
          <w:p w14:paraId="6C03CD14" w14:textId="77777777" w:rsidR="00C32CBD" w:rsidRDefault="00C32CBD" w:rsidP="00320D09">
            <w:pPr>
              <w:jc w:val="right"/>
              <w:rPr>
                <w:rFonts w:cs="Arial"/>
                <w:b/>
                <w:bCs/>
                <w:sz w:val="18"/>
                <w:szCs w:val="18"/>
              </w:rPr>
            </w:pPr>
            <w:r>
              <w:rPr>
                <w:rFonts w:cs="Arial"/>
                <w:b/>
                <w:bCs/>
                <w:sz w:val="18"/>
                <w:szCs w:val="18"/>
              </w:rPr>
              <w:t>$'000</w:t>
            </w:r>
          </w:p>
        </w:tc>
        <w:tc>
          <w:tcPr>
            <w:tcW w:w="236" w:type="dxa"/>
            <w:tcBorders>
              <w:top w:val="nil"/>
              <w:left w:val="nil"/>
              <w:bottom w:val="nil"/>
              <w:right w:val="nil"/>
            </w:tcBorders>
            <w:shd w:val="clear" w:color="FFFFFF" w:fill="FFFFFF"/>
            <w:noWrap/>
            <w:vAlign w:val="bottom"/>
            <w:hideMark/>
          </w:tcPr>
          <w:p w14:paraId="68DF6A61"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vAlign w:val="bottom"/>
            <w:hideMark/>
          </w:tcPr>
          <w:p w14:paraId="5E00FDA7" w14:textId="77777777" w:rsidR="00C32CBD" w:rsidRDefault="00C32CBD" w:rsidP="00320D09">
            <w:pPr>
              <w:jc w:val="right"/>
              <w:rPr>
                <w:rFonts w:cs="Arial"/>
                <w:sz w:val="18"/>
                <w:szCs w:val="18"/>
              </w:rPr>
            </w:pPr>
            <w:r>
              <w:rPr>
                <w:rFonts w:cs="Arial"/>
                <w:sz w:val="18"/>
                <w:szCs w:val="18"/>
              </w:rPr>
              <w:t>$'000</w:t>
            </w:r>
          </w:p>
        </w:tc>
      </w:tr>
      <w:tr w:rsidR="00C32CBD" w14:paraId="3A03D9DC" w14:textId="77777777" w:rsidTr="00320D09">
        <w:trPr>
          <w:trHeight w:val="255"/>
        </w:trPr>
        <w:tc>
          <w:tcPr>
            <w:tcW w:w="6353" w:type="dxa"/>
            <w:tcBorders>
              <w:top w:val="nil"/>
              <w:left w:val="nil"/>
              <w:bottom w:val="nil"/>
              <w:right w:val="nil"/>
            </w:tcBorders>
            <w:shd w:val="clear" w:color="FFFFFF" w:fill="FFFFFF"/>
            <w:noWrap/>
            <w:vAlign w:val="bottom"/>
            <w:hideMark/>
          </w:tcPr>
          <w:p w14:paraId="65CBD9B6" w14:textId="77777777" w:rsidR="00C32CBD" w:rsidRDefault="00C32CBD" w:rsidP="00320D09">
            <w:pPr>
              <w:rPr>
                <w:rFonts w:cs="Arial"/>
                <w:b/>
                <w:bCs/>
                <w:sz w:val="18"/>
                <w:szCs w:val="18"/>
                <w:u w:val="single"/>
              </w:rPr>
            </w:pPr>
            <w:r>
              <w:rPr>
                <w:rFonts w:cs="Arial"/>
                <w:b/>
                <w:bCs/>
                <w:sz w:val="18"/>
                <w:szCs w:val="18"/>
                <w:u w:val="single"/>
              </w:rPr>
              <w:t>Note 1.2A: Revenue from rendering of services</w:t>
            </w:r>
          </w:p>
        </w:tc>
        <w:tc>
          <w:tcPr>
            <w:tcW w:w="1249" w:type="dxa"/>
            <w:tcBorders>
              <w:top w:val="nil"/>
              <w:left w:val="nil"/>
              <w:bottom w:val="nil"/>
              <w:right w:val="nil"/>
            </w:tcBorders>
            <w:shd w:val="clear" w:color="FFFFFF" w:fill="FFFFFF"/>
            <w:noWrap/>
            <w:vAlign w:val="bottom"/>
            <w:hideMark/>
          </w:tcPr>
          <w:p w14:paraId="586C177F"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45CE510E"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170871D6" w14:textId="77777777" w:rsidR="00C32CBD" w:rsidRDefault="00C32CBD" w:rsidP="00320D09">
            <w:pPr>
              <w:rPr>
                <w:rFonts w:cs="Arial"/>
                <w:sz w:val="18"/>
                <w:szCs w:val="18"/>
              </w:rPr>
            </w:pPr>
            <w:r>
              <w:rPr>
                <w:rFonts w:cs="Arial"/>
                <w:sz w:val="18"/>
                <w:szCs w:val="18"/>
              </w:rPr>
              <w:t> </w:t>
            </w:r>
          </w:p>
        </w:tc>
      </w:tr>
      <w:tr w:rsidR="00C32CBD" w14:paraId="54155B4E" w14:textId="77777777" w:rsidTr="00320D09">
        <w:trPr>
          <w:trHeight w:val="255"/>
        </w:trPr>
        <w:tc>
          <w:tcPr>
            <w:tcW w:w="6353" w:type="dxa"/>
            <w:tcBorders>
              <w:top w:val="nil"/>
              <w:left w:val="nil"/>
              <w:bottom w:val="nil"/>
              <w:right w:val="nil"/>
            </w:tcBorders>
            <w:shd w:val="clear" w:color="FFFFFF" w:fill="FFFFFF"/>
            <w:noWrap/>
            <w:vAlign w:val="bottom"/>
            <w:hideMark/>
          </w:tcPr>
          <w:p w14:paraId="40C9B2D3" w14:textId="77777777" w:rsidR="00C32CBD" w:rsidRDefault="00C32CBD" w:rsidP="00320D09">
            <w:pPr>
              <w:rPr>
                <w:rFonts w:cs="Arial"/>
                <w:b/>
                <w:bCs/>
                <w:sz w:val="18"/>
                <w:szCs w:val="18"/>
              </w:rPr>
            </w:pPr>
            <w:r>
              <w:rPr>
                <w:rFonts w:cs="Arial"/>
                <w:b/>
                <w:bCs/>
                <w:sz w:val="18"/>
                <w:szCs w:val="18"/>
              </w:rPr>
              <w:t>Rendering of services in connection with</w:t>
            </w:r>
          </w:p>
        </w:tc>
        <w:tc>
          <w:tcPr>
            <w:tcW w:w="1249" w:type="dxa"/>
            <w:tcBorders>
              <w:top w:val="nil"/>
              <w:left w:val="nil"/>
              <w:bottom w:val="nil"/>
              <w:right w:val="nil"/>
            </w:tcBorders>
            <w:shd w:val="clear" w:color="FFFFFF" w:fill="FFFFFF"/>
            <w:noWrap/>
            <w:vAlign w:val="bottom"/>
            <w:hideMark/>
          </w:tcPr>
          <w:p w14:paraId="14DE23B1" w14:textId="77777777" w:rsidR="00C32CBD" w:rsidRDefault="00C32CBD" w:rsidP="00320D09">
            <w:pPr>
              <w:jc w:val="right"/>
              <w:rPr>
                <w:rFonts w:cs="Arial"/>
                <w:b/>
                <w:bCs/>
                <w:sz w:val="18"/>
                <w:szCs w:val="18"/>
              </w:rPr>
            </w:pPr>
            <w:r>
              <w:rPr>
                <w:rFonts w:cs="Arial"/>
                <w:b/>
                <w:bCs/>
                <w:sz w:val="18"/>
                <w:szCs w:val="18"/>
              </w:rPr>
              <w:t> </w:t>
            </w:r>
          </w:p>
        </w:tc>
        <w:tc>
          <w:tcPr>
            <w:tcW w:w="236" w:type="dxa"/>
            <w:tcBorders>
              <w:top w:val="nil"/>
              <w:left w:val="nil"/>
              <w:bottom w:val="nil"/>
              <w:right w:val="nil"/>
            </w:tcBorders>
            <w:shd w:val="clear" w:color="FFFFFF" w:fill="FFFFFF"/>
            <w:noWrap/>
            <w:vAlign w:val="bottom"/>
            <w:hideMark/>
          </w:tcPr>
          <w:p w14:paraId="290C0B61"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4E1D460E" w14:textId="77777777" w:rsidR="00C32CBD" w:rsidRDefault="00C32CBD" w:rsidP="00320D09">
            <w:pPr>
              <w:jc w:val="right"/>
              <w:rPr>
                <w:rFonts w:cs="Arial"/>
                <w:sz w:val="18"/>
                <w:szCs w:val="18"/>
              </w:rPr>
            </w:pPr>
            <w:r>
              <w:rPr>
                <w:rFonts w:cs="Arial"/>
                <w:sz w:val="18"/>
                <w:szCs w:val="18"/>
              </w:rPr>
              <w:t> </w:t>
            </w:r>
          </w:p>
        </w:tc>
      </w:tr>
      <w:tr w:rsidR="00C32CBD" w14:paraId="4075226F" w14:textId="77777777" w:rsidTr="00320D09">
        <w:trPr>
          <w:trHeight w:val="255"/>
        </w:trPr>
        <w:tc>
          <w:tcPr>
            <w:tcW w:w="6353" w:type="dxa"/>
            <w:tcBorders>
              <w:top w:val="nil"/>
              <w:left w:val="nil"/>
              <w:bottom w:val="nil"/>
              <w:right w:val="nil"/>
            </w:tcBorders>
            <w:shd w:val="clear" w:color="FFFFFF" w:fill="FFFFFF"/>
            <w:vAlign w:val="bottom"/>
            <w:hideMark/>
          </w:tcPr>
          <w:p w14:paraId="525C9F78" w14:textId="77777777" w:rsidR="00C32CBD" w:rsidRDefault="00C32CBD" w:rsidP="00320D09">
            <w:pPr>
              <w:ind w:firstLineChars="100" w:firstLine="180"/>
              <w:rPr>
                <w:rFonts w:cs="Arial"/>
                <w:sz w:val="18"/>
                <w:szCs w:val="18"/>
              </w:rPr>
            </w:pPr>
            <w:r>
              <w:rPr>
                <w:rFonts w:cs="Arial"/>
                <w:sz w:val="18"/>
                <w:szCs w:val="18"/>
              </w:rPr>
              <w:t>Related parties - contributions from Department of Social Services</w:t>
            </w:r>
          </w:p>
        </w:tc>
        <w:tc>
          <w:tcPr>
            <w:tcW w:w="1249" w:type="dxa"/>
            <w:tcBorders>
              <w:top w:val="nil"/>
              <w:left w:val="nil"/>
              <w:bottom w:val="nil"/>
              <w:right w:val="nil"/>
            </w:tcBorders>
            <w:shd w:val="clear" w:color="FFFFFF" w:fill="FFFFFF"/>
            <w:noWrap/>
            <w:vAlign w:val="bottom"/>
            <w:hideMark/>
          </w:tcPr>
          <w:p w14:paraId="465E9A28" w14:textId="77777777" w:rsidR="00C32CBD" w:rsidRDefault="00C32CBD" w:rsidP="00320D09">
            <w:pPr>
              <w:jc w:val="right"/>
              <w:rPr>
                <w:rFonts w:cs="Arial"/>
                <w:b/>
                <w:bCs/>
                <w:sz w:val="18"/>
                <w:szCs w:val="18"/>
              </w:rPr>
            </w:pPr>
            <w:r>
              <w:rPr>
                <w:rFonts w:cs="Arial"/>
                <w:b/>
                <w:bCs/>
                <w:sz w:val="18"/>
                <w:szCs w:val="18"/>
              </w:rPr>
              <w:t>6,089</w:t>
            </w:r>
          </w:p>
        </w:tc>
        <w:tc>
          <w:tcPr>
            <w:tcW w:w="236" w:type="dxa"/>
            <w:tcBorders>
              <w:top w:val="nil"/>
              <w:left w:val="nil"/>
              <w:bottom w:val="nil"/>
              <w:right w:val="nil"/>
            </w:tcBorders>
            <w:shd w:val="clear" w:color="FFFFFF" w:fill="FFFFFF"/>
            <w:noWrap/>
            <w:vAlign w:val="bottom"/>
            <w:hideMark/>
          </w:tcPr>
          <w:p w14:paraId="364CC906"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3AC8B283" w14:textId="77777777" w:rsidR="00C32CBD" w:rsidRDefault="00C32CBD" w:rsidP="00320D09">
            <w:pPr>
              <w:jc w:val="right"/>
              <w:rPr>
                <w:rFonts w:cs="Arial"/>
                <w:sz w:val="18"/>
                <w:szCs w:val="18"/>
              </w:rPr>
            </w:pPr>
            <w:r>
              <w:rPr>
                <w:rFonts w:cs="Arial"/>
                <w:sz w:val="18"/>
                <w:szCs w:val="18"/>
              </w:rPr>
              <w:t>10,231</w:t>
            </w:r>
          </w:p>
        </w:tc>
      </w:tr>
      <w:tr w:rsidR="00C32CBD" w14:paraId="2015EF96" w14:textId="77777777" w:rsidTr="00320D09">
        <w:trPr>
          <w:trHeight w:val="255"/>
        </w:trPr>
        <w:tc>
          <w:tcPr>
            <w:tcW w:w="6353" w:type="dxa"/>
            <w:tcBorders>
              <w:top w:val="nil"/>
              <w:left w:val="nil"/>
              <w:bottom w:val="nil"/>
              <w:right w:val="nil"/>
            </w:tcBorders>
            <w:shd w:val="clear" w:color="FFFFFF" w:fill="FFFFFF"/>
            <w:vAlign w:val="bottom"/>
            <w:hideMark/>
          </w:tcPr>
          <w:p w14:paraId="68B6C3CE" w14:textId="77777777" w:rsidR="00C32CBD" w:rsidRDefault="00C32CBD" w:rsidP="00320D09">
            <w:pPr>
              <w:ind w:firstLineChars="100" w:firstLine="180"/>
              <w:rPr>
                <w:rFonts w:cs="Arial"/>
                <w:sz w:val="18"/>
                <w:szCs w:val="18"/>
              </w:rPr>
            </w:pPr>
            <w:r>
              <w:rPr>
                <w:rFonts w:cs="Arial"/>
                <w:sz w:val="18"/>
                <w:szCs w:val="18"/>
              </w:rPr>
              <w:t>External parties - contributions from state and territory governments</w:t>
            </w:r>
          </w:p>
        </w:tc>
        <w:tc>
          <w:tcPr>
            <w:tcW w:w="1249" w:type="dxa"/>
            <w:tcBorders>
              <w:top w:val="nil"/>
              <w:left w:val="nil"/>
              <w:bottom w:val="nil"/>
              <w:right w:val="nil"/>
            </w:tcBorders>
            <w:shd w:val="clear" w:color="FFFFFF" w:fill="FFFFFF"/>
            <w:noWrap/>
            <w:vAlign w:val="bottom"/>
            <w:hideMark/>
          </w:tcPr>
          <w:p w14:paraId="46829A9D" w14:textId="77777777" w:rsidR="00C32CBD" w:rsidRDefault="00C32CBD" w:rsidP="00320D09">
            <w:pPr>
              <w:jc w:val="right"/>
              <w:rPr>
                <w:rFonts w:cs="Arial"/>
                <w:b/>
                <w:bCs/>
                <w:sz w:val="18"/>
                <w:szCs w:val="18"/>
              </w:rPr>
            </w:pPr>
            <w:r>
              <w:rPr>
                <w:rFonts w:cs="Arial"/>
                <w:b/>
                <w:bCs/>
                <w:sz w:val="18"/>
                <w:szCs w:val="18"/>
              </w:rPr>
              <w:t>1,376,526</w:t>
            </w:r>
          </w:p>
        </w:tc>
        <w:tc>
          <w:tcPr>
            <w:tcW w:w="236" w:type="dxa"/>
            <w:tcBorders>
              <w:top w:val="nil"/>
              <w:left w:val="nil"/>
              <w:bottom w:val="nil"/>
              <w:right w:val="nil"/>
            </w:tcBorders>
            <w:shd w:val="clear" w:color="FFFFFF" w:fill="FFFFFF"/>
            <w:noWrap/>
            <w:vAlign w:val="bottom"/>
            <w:hideMark/>
          </w:tcPr>
          <w:p w14:paraId="1B725EA4"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0DA578BF" w14:textId="77777777" w:rsidR="00C32CBD" w:rsidRDefault="00C32CBD" w:rsidP="00320D09">
            <w:pPr>
              <w:jc w:val="right"/>
              <w:rPr>
                <w:rFonts w:cs="Arial"/>
                <w:sz w:val="18"/>
                <w:szCs w:val="18"/>
              </w:rPr>
            </w:pPr>
            <w:r>
              <w:rPr>
                <w:rFonts w:cs="Arial"/>
                <w:sz w:val="18"/>
                <w:szCs w:val="18"/>
              </w:rPr>
              <w:t>276,676</w:t>
            </w:r>
          </w:p>
        </w:tc>
      </w:tr>
      <w:tr w:rsidR="00C32CBD" w14:paraId="3A8126B5" w14:textId="77777777" w:rsidTr="00320D09">
        <w:trPr>
          <w:trHeight w:val="255"/>
        </w:trPr>
        <w:tc>
          <w:tcPr>
            <w:tcW w:w="6353" w:type="dxa"/>
            <w:tcBorders>
              <w:top w:val="nil"/>
              <w:left w:val="nil"/>
              <w:bottom w:val="nil"/>
              <w:right w:val="nil"/>
            </w:tcBorders>
            <w:shd w:val="clear" w:color="FFFFFF" w:fill="FFFFFF"/>
            <w:vAlign w:val="bottom"/>
            <w:hideMark/>
          </w:tcPr>
          <w:p w14:paraId="049509D0" w14:textId="77777777" w:rsidR="00C32CBD" w:rsidRDefault="00C32CBD" w:rsidP="00320D09">
            <w:pPr>
              <w:rPr>
                <w:rFonts w:cs="Arial"/>
                <w:b/>
                <w:bCs/>
                <w:sz w:val="18"/>
                <w:szCs w:val="18"/>
              </w:rPr>
            </w:pPr>
            <w:r>
              <w:rPr>
                <w:rFonts w:cs="Arial"/>
                <w:b/>
                <w:bCs/>
                <w:sz w:val="18"/>
                <w:szCs w:val="18"/>
              </w:rPr>
              <w:t>Total revenue from the rendering of services</w:t>
            </w:r>
          </w:p>
        </w:tc>
        <w:tc>
          <w:tcPr>
            <w:tcW w:w="1249" w:type="dxa"/>
            <w:tcBorders>
              <w:top w:val="single" w:sz="4" w:space="0" w:color="auto"/>
              <w:left w:val="nil"/>
              <w:bottom w:val="single" w:sz="4" w:space="0" w:color="auto"/>
              <w:right w:val="nil"/>
            </w:tcBorders>
            <w:shd w:val="clear" w:color="FFFFFF" w:fill="FFFFFF"/>
            <w:noWrap/>
            <w:vAlign w:val="bottom"/>
            <w:hideMark/>
          </w:tcPr>
          <w:p w14:paraId="64A62C81" w14:textId="77777777" w:rsidR="00C32CBD" w:rsidRDefault="00C32CBD" w:rsidP="00320D09">
            <w:pPr>
              <w:jc w:val="right"/>
              <w:rPr>
                <w:rFonts w:cs="Arial"/>
                <w:b/>
                <w:bCs/>
                <w:sz w:val="18"/>
                <w:szCs w:val="18"/>
              </w:rPr>
            </w:pPr>
            <w:r>
              <w:rPr>
                <w:rFonts w:cs="Arial"/>
                <w:b/>
                <w:bCs/>
                <w:sz w:val="18"/>
                <w:szCs w:val="18"/>
              </w:rPr>
              <w:t>1,382,615</w:t>
            </w:r>
          </w:p>
        </w:tc>
        <w:tc>
          <w:tcPr>
            <w:tcW w:w="236" w:type="dxa"/>
            <w:tcBorders>
              <w:top w:val="nil"/>
              <w:left w:val="nil"/>
              <w:bottom w:val="nil"/>
              <w:right w:val="nil"/>
            </w:tcBorders>
            <w:shd w:val="clear" w:color="FFFFFF" w:fill="FFFFFF"/>
            <w:noWrap/>
            <w:vAlign w:val="bottom"/>
            <w:hideMark/>
          </w:tcPr>
          <w:p w14:paraId="560636B1" w14:textId="77777777" w:rsidR="00C32CBD" w:rsidRDefault="00C32CBD" w:rsidP="00320D09">
            <w:pPr>
              <w:rPr>
                <w:rFonts w:cs="Arial"/>
                <w:sz w:val="18"/>
                <w:szCs w:val="18"/>
              </w:rPr>
            </w:pPr>
            <w:r>
              <w:rPr>
                <w:rFonts w:cs="Arial"/>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476CF85F" w14:textId="77777777" w:rsidR="00C32CBD" w:rsidRDefault="00C32CBD" w:rsidP="00320D09">
            <w:pPr>
              <w:jc w:val="right"/>
              <w:rPr>
                <w:rFonts w:cs="Arial"/>
                <w:sz w:val="18"/>
                <w:szCs w:val="18"/>
              </w:rPr>
            </w:pPr>
            <w:r>
              <w:rPr>
                <w:rFonts w:cs="Arial"/>
                <w:sz w:val="18"/>
                <w:szCs w:val="18"/>
              </w:rPr>
              <w:t>286,907</w:t>
            </w:r>
          </w:p>
        </w:tc>
      </w:tr>
    </w:tbl>
    <w:p w14:paraId="07B6D190" w14:textId="77777777" w:rsidR="00C32CBD" w:rsidRDefault="00C32CBD" w:rsidP="00C32CBD"/>
    <w:p w14:paraId="0B9232B2" w14:textId="77777777" w:rsidR="00C32CBD" w:rsidRDefault="00C32CBD" w:rsidP="00C32CBD"/>
    <w:p w14:paraId="02AF7EAE" w14:textId="77777777" w:rsidR="00C32CBD" w:rsidRPr="00902FDC" w:rsidRDefault="00C32CBD" w:rsidP="00C32CBD">
      <w:pPr>
        <w:pStyle w:val="PolicytextDept"/>
        <w:rPr>
          <w:b/>
        </w:rPr>
      </w:pPr>
      <w:r w:rsidRPr="00902FDC">
        <w:rPr>
          <w:b/>
        </w:rPr>
        <w:t>Accounting Policy</w:t>
      </w:r>
    </w:p>
    <w:p w14:paraId="219B8C8A" w14:textId="77777777" w:rsidR="00C32CBD" w:rsidRPr="00902FDC" w:rsidRDefault="00C32CBD" w:rsidP="00C32CBD">
      <w:pPr>
        <w:pStyle w:val="PolicytextDept"/>
        <w:rPr>
          <w:i/>
          <w:u w:val="single"/>
        </w:rPr>
      </w:pPr>
      <w:r w:rsidRPr="00902FDC">
        <w:rPr>
          <w:i/>
          <w:u w:val="single"/>
        </w:rPr>
        <w:t>Rendering of services</w:t>
      </w:r>
      <w:r>
        <w:rPr>
          <w:i/>
          <w:u w:val="single"/>
        </w:rPr>
        <w:t xml:space="preserve"> – contributions from Commonwealth, state and territory governments</w:t>
      </w:r>
    </w:p>
    <w:p w14:paraId="676B4DDE" w14:textId="77777777" w:rsidR="00C32CBD" w:rsidRDefault="00C32CBD" w:rsidP="00C32CBD">
      <w:pPr>
        <w:pStyle w:val="PolicytextDept"/>
      </w:pPr>
      <w:r w:rsidRPr="00902FDC">
        <w:t xml:space="preserve">Revenue from rendering of services is recognised by reference to the stage of completion of contracts at the reporting date and is recognised </w:t>
      </w:r>
      <w:r>
        <w:t>when:</w:t>
      </w:r>
    </w:p>
    <w:p w14:paraId="1A973649" w14:textId="77777777" w:rsidR="00C32CBD" w:rsidRDefault="00C32CBD" w:rsidP="00C32CBD">
      <w:pPr>
        <w:pStyle w:val="PolicytextDept"/>
      </w:pPr>
      <w:r>
        <w:t>a) the amount of revenue, stage of completion and transaction costs incurred can be reliably measured; and</w:t>
      </w:r>
    </w:p>
    <w:p w14:paraId="360A52EE" w14:textId="77777777" w:rsidR="00C32CBD" w:rsidRDefault="00C32CBD" w:rsidP="00C32CBD">
      <w:pPr>
        <w:pStyle w:val="PolicytextDept"/>
      </w:pPr>
      <w:r>
        <w:t>b) the probable economic benefits associated with the transaction will flow to the Agency.</w:t>
      </w:r>
      <w:r>
        <w:tab/>
      </w:r>
    </w:p>
    <w:p w14:paraId="451C4815" w14:textId="77777777" w:rsidR="00C32CBD" w:rsidRPr="00902FDC" w:rsidRDefault="00C32CBD" w:rsidP="00C32CBD">
      <w:pPr>
        <w:pStyle w:val="PolicytextDept"/>
      </w:pPr>
      <w:r w:rsidRPr="00902FDC">
        <w:t xml:space="preserve">The stage of completion of contracts at the reporting date is determined by reference to the proportion that costs incurred to date bear to the estimated total costs of the transaction. </w:t>
      </w:r>
    </w:p>
    <w:p w14:paraId="69061C60" w14:textId="77777777" w:rsidR="00C32CBD" w:rsidRPr="00902FDC" w:rsidRDefault="00C32CBD" w:rsidP="00C32CBD">
      <w:pPr>
        <w:pStyle w:val="PolicytextDept"/>
      </w:pPr>
      <w:r w:rsidRPr="00902FDC">
        <w:t xml:space="preserve">Cash contributions to the </w:t>
      </w:r>
      <w:r>
        <w:t>Agency</w:t>
      </w:r>
      <w:r w:rsidRPr="00902FDC">
        <w:t xml:space="preserve"> from state and territory governments are recognised as revenue when they become payable to the Agency under a signed agreement with the Commonwealth.  These include cash contributions outlined in the bilateral agreements for the funding of the National Disability Insurance Scheme</w:t>
      </w:r>
      <w:r>
        <w:t>.</w:t>
      </w:r>
      <w:r w:rsidRPr="00902FDC">
        <w:tab/>
      </w:r>
    </w:p>
    <w:p w14:paraId="2A7B8B68" w14:textId="77777777" w:rsidR="00C32CBD" w:rsidRPr="00642C7C" w:rsidRDefault="00C32CBD" w:rsidP="00C32CBD">
      <w:pPr>
        <w:pStyle w:val="PolicytextDept"/>
        <w:rPr>
          <w:u w:val="single"/>
        </w:rPr>
      </w:pPr>
      <w:r w:rsidRPr="00642C7C">
        <w:rPr>
          <w:i/>
          <w:iCs/>
          <w:u w:val="single"/>
        </w:rPr>
        <w:t xml:space="preserve">Unearned revenue </w:t>
      </w:r>
    </w:p>
    <w:p w14:paraId="609FEA46" w14:textId="77777777" w:rsidR="00C32CBD" w:rsidRDefault="00C32CBD" w:rsidP="00C32CBD">
      <w:pPr>
        <w:pStyle w:val="PolicytextDept"/>
      </w:pPr>
      <w:r w:rsidRPr="00642C7C">
        <w:t xml:space="preserve">Amounts invoiced in advance are recognised as unearned income in the </w:t>
      </w:r>
      <w:r>
        <w:t>Statement of Financial Position</w:t>
      </w:r>
      <w:r w:rsidRPr="00642C7C">
        <w:t xml:space="preserve"> until the relevant revenue recognition criteria are met.</w:t>
      </w:r>
    </w:p>
    <w:tbl>
      <w:tblPr>
        <w:tblW w:w="9087" w:type="dxa"/>
        <w:tblInd w:w="80" w:type="dxa"/>
        <w:tblLayout w:type="fixed"/>
        <w:tblLook w:val="04A0" w:firstRow="1" w:lastRow="0" w:firstColumn="1" w:lastColumn="0" w:noHBand="0" w:noVBand="1"/>
      </w:tblPr>
      <w:tblGrid>
        <w:gridCol w:w="6353"/>
        <w:gridCol w:w="1249"/>
        <w:gridCol w:w="236"/>
        <w:gridCol w:w="1249"/>
      </w:tblGrid>
      <w:tr w:rsidR="00C32CBD" w14:paraId="5AD8C364" w14:textId="77777777" w:rsidTr="00320D09">
        <w:trPr>
          <w:trHeight w:val="240"/>
        </w:trPr>
        <w:tc>
          <w:tcPr>
            <w:tcW w:w="6353" w:type="dxa"/>
            <w:tcBorders>
              <w:top w:val="nil"/>
              <w:left w:val="nil"/>
              <w:bottom w:val="nil"/>
              <w:right w:val="nil"/>
            </w:tcBorders>
            <w:shd w:val="clear" w:color="FFFFFF" w:fill="FFFFFF"/>
            <w:vAlign w:val="bottom"/>
            <w:hideMark/>
          </w:tcPr>
          <w:p w14:paraId="71EB62EF" w14:textId="77777777" w:rsidR="00C32CBD" w:rsidRDefault="00C32CBD" w:rsidP="00320D09">
            <w:pPr>
              <w:rPr>
                <w:rFonts w:cs="Arial"/>
                <w:b/>
                <w:bCs/>
                <w:sz w:val="18"/>
                <w:szCs w:val="18"/>
              </w:rPr>
            </w:pPr>
            <w:bookmarkStart w:id="111" w:name="Note_IRVTABLE1" w:colFirst="0" w:colLast="0"/>
            <w:r>
              <w:rPr>
                <w:rFonts w:cs="Arial"/>
                <w:b/>
                <w:bCs/>
                <w:sz w:val="18"/>
                <w:szCs w:val="18"/>
              </w:rPr>
              <w:t> </w:t>
            </w:r>
          </w:p>
        </w:tc>
        <w:tc>
          <w:tcPr>
            <w:tcW w:w="1249" w:type="dxa"/>
            <w:tcBorders>
              <w:top w:val="nil"/>
              <w:left w:val="nil"/>
              <w:bottom w:val="nil"/>
              <w:right w:val="nil"/>
            </w:tcBorders>
            <w:shd w:val="clear" w:color="FFFFFF" w:fill="FFFFFF"/>
            <w:noWrap/>
            <w:vAlign w:val="bottom"/>
            <w:hideMark/>
          </w:tcPr>
          <w:p w14:paraId="6E3F4D0D" w14:textId="77777777" w:rsidR="00C32CBD" w:rsidRDefault="00C32CBD" w:rsidP="00320D09">
            <w:pPr>
              <w:jc w:val="right"/>
              <w:rPr>
                <w:rFonts w:cs="Arial"/>
                <w:b/>
                <w:bCs/>
                <w:sz w:val="18"/>
                <w:szCs w:val="18"/>
              </w:rPr>
            </w:pPr>
            <w:r>
              <w:rPr>
                <w:rFonts w:cs="Arial"/>
                <w:b/>
                <w:bCs/>
                <w:sz w:val="18"/>
                <w:szCs w:val="18"/>
              </w:rPr>
              <w:t> </w:t>
            </w:r>
          </w:p>
        </w:tc>
        <w:tc>
          <w:tcPr>
            <w:tcW w:w="236" w:type="dxa"/>
            <w:tcBorders>
              <w:top w:val="nil"/>
              <w:left w:val="nil"/>
              <w:bottom w:val="nil"/>
              <w:right w:val="nil"/>
            </w:tcBorders>
            <w:shd w:val="clear" w:color="FFFFFF" w:fill="FFFFFF"/>
            <w:noWrap/>
            <w:vAlign w:val="bottom"/>
            <w:hideMark/>
          </w:tcPr>
          <w:p w14:paraId="0D7BF106"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66DA2C0C" w14:textId="77777777" w:rsidR="00C32CBD" w:rsidRDefault="00C32CBD" w:rsidP="00320D09">
            <w:pPr>
              <w:jc w:val="right"/>
              <w:rPr>
                <w:rFonts w:cs="Arial"/>
                <w:sz w:val="18"/>
                <w:szCs w:val="18"/>
              </w:rPr>
            </w:pPr>
            <w:r>
              <w:rPr>
                <w:rFonts w:cs="Arial"/>
                <w:sz w:val="18"/>
                <w:szCs w:val="18"/>
              </w:rPr>
              <w:t> </w:t>
            </w:r>
          </w:p>
        </w:tc>
      </w:tr>
      <w:bookmarkEnd w:id="111"/>
      <w:tr w:rsidR="00C32CBD" w14:paraId="09AA39A6" w14:textId="77777777" w:rsidTr="00320D09">
        <w:trPr>
          <w:trHeight w:val="240"/>
        </w:trPr>
        <w:tc>
          <w:tcPr>
            <w:tcW w:w="6353" w:type="dxa"/>
            <w:tcBorders>
              <w:top w:val="nil"/>
              <w:left w:val="nil"/>
              <w:bottom w:val="nil"/>
              <w:right w:val="nil"/>
            </w:tcBorders>
            <w:shd w:val="clear" w:color="FFFFFF" w:fill="FFFFFF"/>
            <w:vAlign w:val="bottom"/>
            <w:hideMark/>
          </w:tcPr>
          <w:p w14:paraId="48CCB6E8" w14:textId="77777777" w:rsidR="00C32CBD" w:rsidRDefault="00C32CBD" w:rsidP="00320D09">
            <w:pPr>
              <w:rPr>
                <w:rFonts w:cs="Arial"/>
                <w:b/>
                <w:bCs/>
                <w:sz w:val="18"/>
                <w:szCs w:val="18"/>
              </w:rPr>
            </w:pPr>
            <w:r>
              <w:rPr>
                <w:rFonts w:cs="Arial"/>
                <w:b/>
                <w:bCs/>
                <w:sz w:val="18"/>
                <w:szCs w:val="18"/>
              </w:rPr>
              <w:t> </w:t>
            </w:r>
          </w:p>
        </w:tc>
        <w:tc>
          <w:tcPr>
            <w:tcW w:w="1249" w:type="dxa"/>
            <w:tcBorders>
              <w:top w:val="nil"/>
              <w:left w:val="nil"/>
              <w:bottom w:val="nil"/>
              <w:right w:val="nil"/>
            </w:tcBorders>
            <w:shd w:val="clear" w:color="FFFFFF" w:fill="FFFFFF"/>
            <w:noWrap/>
            <w:vAlign w:val="bottom"/>
            <w:hideMark/>
          </w:tcPr>
          <w:p w14:paraId="7091CB7A" w14:textId="77777777" w:rsidR="00C32CBD" w:rsidRDefault="00C32CBD" w:rsidP="00320D09">
            <w:pPr>
              <w:jc w:val="right"/>
              <w:rPr>
                <w:rFonts w:cs="Arial"/>
                <w:b/>
                <w:bCs/>
                <w:sz w:val="18"/>
                <w:szCs w:val="18"/>
              </w:rPr>
            </w:pPr>
            <w:r>
              <w:rPr>
                <w:rFonts w:cs="Arial"/>
                <w:b/>
                <w:bCs/>
                <w:sz w:val="18"/>
                <w:szCs w:val="18"/>
              </w:rPr>
              <w:t> </w:t>
            </w:r>
          </w:p>
        </w:tc>
        <w:tc>
          <w:tcPr>
            <w:tcW w:w="236" w:type="dxa"/>
            <w:tcBorders>
              <w:top w:val="nil"/>
              <w:left w:val="nil"/>
              <w:bottom w:val="nil"/>
              <w:right w:val="nil"/>
            </w:tcBorders>
            <w:shd w:val="clear" w:color="FFFFFF" w:fill="FFFFFF"/>
            <w:noWrap/>
            <w:vAlign w:val="bottom"/>
            <w:hideMark/>
          </w:tcPr>
          <w:p w14:paraId="2438086C"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14A7EFE1" w14:textId="77777777" w:rsidR="00C32CBD" w:rsidRDefault="00C32CBD" w:rsidP="00320D09">
            <w:pPr>
              <w:jc w:val="right"/>
              <w:rPr>
                <w:rFonts w:cs="Arial"/>
                <w:sz w:val="18"/>
                <w:szCs w:val="18"/>
              </w:rPr>
            </w:pPr>
            <w:r>
              <w:rPr>
                <w:rFonts w:cs="Arial"/>
                <w:sz w:val="18"/>
                <w:szCs w:val="18"/>
              </w:rPr>
              <w:t> </w:t>
            </w:r>
          </w:p>
        </w:tc>
      </w:tr>
      <w:tr w:rsidR="00C32CBD" w14:paraId="55AC00A1" w14:textId="77777777" w:rsidTr="00320D09">
        <w:trPr>
          <w:trHeight w:val="255"/>
        </w:trPr>
        <w:tc>
          <w:tcPr>
            <w:tcW w:w="6353" w:type="dxa"/>
            <w:tcBorders>
              <w:top w:val="nil"/>
              <w:left w:val="nil"/>
              <w:bottom w:val="nil"/>
              <w:right w:val="nil"/>
            </w:tcBorders>
            <w:shd w:val="clear" w:color="FFFFFF" w:fill="FFFFFF"/>
            <w:noWrap/>
            <w:vAlign w:val="bottom"/>
            <w:hideMark/>
          </w:tcPr>
          <w:p w14:paraId="62723D8A" w14:textId="77777777" w:rsidR="00C32CBD" w:rsidRDefault="00C32CBD" w:rsidP="00320D09">
            <w:pPr>
              <w:rPr>
                <w:rFonts w:cs="Arial"/>
                <w:b/>
                <w:bCs/>
                <w:sz w:val="18"/>
                <w:szCs w:val="18"/>
                <w:u w:val="single"/>
              </w:rPr>
            </w:pPr>
            <w:r>
              <w:rPr>
                <w:rFonts w:cs="Arial"/>
                <w:b/>
                <w:bCs/>
                <w:sz w:val="18"/>
                <w:szCs w:val="18"/>
                <w:u w:val="single"/>
              </w:rPr>
              <w:t>Note 1.2B: Interest</w:t>
            </w:r>
          </w:p>
        </w:tc>
        <w:tc>
          <w:tcPr>
            <w:tcW w:w="1249" w:type="dxa"/>
            <w:tcBorders>
              <w:top w:val="nil"/>
              <w:left w:val="nil"/>
              <w:bottom w:val="nil"/>
              <w:right w:val="nil"/>
            </w:tcBorders>
            <w:shd w:val="clear" w:color="FFFFFF" w:fill="FFFFFF"/>
            <w:noWrap/>
            <w:vAlign w:val="bottom"/>
            <w:hideMark/>
          </w:tcPr>
          <w:p w14:paraId="53AFC5BA"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19414E4F"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7965E917" w14:textId="77777777" w:rsidR="00C32CBD" w:rsidRDefault="00C32CBD" w:rsidP="00320D09">
            <w:pPr>
              <w:rPr>
                <w:rFonts w:cs="Arial"/>
                <w:sz w:val="18"/>
                <w:szCs w:val="18"/>
              </w:rPr>
            </w:pPr>
            <w:r>
              <w:rPr>
                <w:rFonts w:cs="Arial"/>
                <w:sz w:val="18"/>
                <w:szCs w:val="18"/>
              </w:rPr>
              <w:t> </w:t>
            </w:r>
          </w:p>
        </w:tc>
      </w:tr>
      <w:tr w:rsidR="00C32CBD" w14:paraId="5D91A663" w14:textId="77777777" w:rsidTr="00320D09">
        <w:trPr>
          <w:trHeight w:val="255"/>
        </w:trPr>
        <w:tc>
          <w:tcPr>
            <w:tcW w:w="6353" w:type="dxa"/>
            <w:tcBorders>
              <w:top w:val="nil"/>
              <w:left w:val="nil"/>
              <w:bottom w:val="nil"/>
              <w:right w:val="nil"/>
            </w:tcBorders>
            <w:shd w:val="clear" w:color="FFFFFF" w:fill="FFFFFF"/>
            <w:vAlign w:val="bottom"/>
            <w:hideMark/>
          </w:tcPr>
          <w:p w14:paraId="42A10245" w14:textId="77777777" w:rsidR="00C32CBD" w:rsidRDefault="00C32CBD" w:rsidP="00320D09">
            <w:pPr>
              <w:rPr>
                <w:rFonts w:cs="Arial"/>
                <w:sz w:val="18"/>
                <w:szCs w:val="18"/>
              </w:rPr>
            </w:pPr>
            <w:r>
              <w:rPr>
                <w:rFonts w:cs="Arial"/>
                <w:sz w:val="18"/>
                <w:szCs w:val="18"/>
              </w:rPr>
              <w:t>Cash and deposits</w:t>
            </w:r>
          </w:p>
        </w:tc>
        <w:tc>
          <w:tcPr>
            <w:tcW w:w="1249" w:type="dxa"/>
            <w:tcBorders>
              <w:top w:val="nil"/>
              <w:left w:val="nil"/>
              <w:bottom w:val="nil"/>
              <w:right w:val="nil"/>
            </w:tcBorders>
            <w:shd w:val="clear" w:color="FFFFFF" w:fill="FFFFFF"/>
            <w:noWrap/>
            <w:vAlign w:val="bottom"/>
            <w:hideMark/>
          </w:tcPr>
          <w:p w14:paraId="35E0EC7B" w14:textId="77777777" w:rsidR="00C32CBD" w:rsidRDefault="00C32CBD" w:rsidP="00320D09">
            <w:pPr>
              <w:jc w:val="right"/>
              <w:rPr>
                <w:rFonts w:cs="Arial"/>
                <w:b/>
                <w:bCs/>
                <w:sz w:val="18"/>
                <w:szCs w:val="18"/>
              </w:rPr>
            </w:pPr>
            <w:r>
              <w:rPr>
                <w:rFonts w:cs="Arial"/>
                <w:b/>
                <w:bCs/>
                <w:sz w:val="18"/>
                <w:szCs w:val="18"/>
              </w:rPr>
              <w:t>13,802</w:t>
            </w:r>
          </w:p>
        </w:tc>
        <w:tc>
          <w:tcPr>
            <w:tcW w:w="236" w:type="dxa"/>
            <w:tcBorders>
              <w:top w:val="nil"/>
              <w:left w:val="nil"/>
              <w:bottom w:val="nil"/>
              <w:right w:val="nil"/>
            </w:tcBorders>
            <w:shd w:val="clear" w:color="FFFFFF" w:fill="FFFFFF"/>
            <w:noWrap/>
            <w:vAlign w:val="bottom"/>
            <w:hideMark/>
          </w:tcPr>
          <w:p w14:paraId="10DCF53E"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07B8F4BD" w14:textId="77777777" w:rsidR="00C32CBD" w:rsidRDefault="00C32CBD" w:rsidP="00320D09">
            <w:pPr>
              <w:jc w:val="right"/>
              <w:rPr>
                <w:rFonts w:cs="Arial"/>
                <w:sz w:val="18"/>
                <w:szCs w:val="18"/>
              </w:rPr>
            </w:pPr>
            <w:r>
              <w:rPr>
                <w:rFonts w:cs="Arial"/>
                <w:sz w:val="18"/>
                <w:szCs w:val="18"/>
              </w:rPr>
              <w:t>6,219</w:t>
            </w:r>
          </w:p>
        </w:tc>
      </w:tr>
      <w:tr w:rsidR="00C32CBD" w14:paraId="58FED9D3" w14:textId="77777777" w:rsidTr="00320D09">
        <w:trPr>
          <w:trHeight w:val="255"/>
        </w:trPr>
        <w:tc>
          <w:tcPr>
            <w:tcW w:w="6353" w:type="dxa"/>
            <w:tcBorders>
              <w:top w:val="nil"/>
              <w:left w:val="nil"/>
              <w:bottom w:val="nil"/>
              <w:right w:val="nil"/>
            </w:tcBorders>
            <w:shd w:val="clear" w:color="FFFFFF" w:fill="FFFFFF"/>
            <w:vAlign w:val="bottom"/>
            <w:hideMark/>
          </w:tcPr>
          <w:p w14:paraId="37A918DB" w14:textId="77777777" w:rsidR="00C32CBD" w:rsidRDefault="00C32CBD" w:rsidP="00320D09">
            <w:pPr>
              <w:rPr>
                <w:rFonts w:cs="Arial"/>
                <w:b/>
                <w:bCs/>
                <w:sz w:val="18"/>
                <w:szCs w:val="18"/>
              </w:rPr>
            </w:pPr>
            <w:r>
              <w:rPr>
                <w:rFonts w:cs="Arial"/>
                <w:b/>
                <w:bCs/>
                <w:sz w:val="18"/>
                <w:szCs w:val="18"/>
              </w:rPr>
              <w:t>Total interest</w:t>
            </w:r>
          </w:p>
        </w:tc>
        <w:tc>
          <w:tcPr>
            <w:tcW w:w="1249" w:type="dxa"/>
            <w:tcBorders>
              <w:top w:val="single" w:sz="4" w:space="0" w:color="auto"/>
              <w:left w:val="nil"/>
              <w:bottom w:val="single" w:sz="4" w:space="0" w:color="auto"/>
              <w:right w:val="nil"/>
            </w:tcBorders>
            <w:shd w:val="clear" w:color="FFFFFF" w:fill="FFFFFF"/>
            <w:noWrap/>
            <w:vAlign w:val="bottom"/>
            <w:hideMark/>
          </w:tcPr>
          <w:p w14:paraId="6D2B4AD2" w14:textId="77777777" w:rsidR="00C32CBD" w:rsidRDefault="00C32CBD" w:rsidP="00320D09">
            <w:pPr>
              <w:jc w:val="right"/>
              <w:rPr>
                <w:rFonts w:cs="Arial"/>
                <w:b/>
                <w:bCs/>
                <w:sz w:val="18"/>
                <w:szCs w:val="18"/>
              </w:rPr>
            </w:pPr>
            <w:r>
              <w:rPr>
                <w:rFonts w:cs="Arial"/>
                <w:b/>
                <w:bCs/>
                <w:sz w:val="18"/>
                <w:szCs w:val="18"/>
              </w:rPr>
              <w:t>13,802</w:t>
            </w:r>
          </w:p>
        </w:tc>
        <w:tc>
          <w:tcPr>
            <w:tcW w:w="236" w:type="dxa"/>
            <w:tcBorders>
              <w:top w:val="nil"/>
              <w:left w:val="nil"/>
              <w:bottom w:val="nil"/>
              <w:right w:val="nil"/>
            </w:tcBorders>
            <w:shd w:val="clear" w:color="FFFFFF" w:fill="FFFFFF"/>
            <w:noWrap/>
            <w:vAlign w:val="bottom"/>
            <w:hideMark/>
          </w:tcPr>
          <w:p w14:paraId="30E23C26" w14:textId="77777777" w:rsidR="00C32CBD" w:rsidRDefault="00C32CBD" w:rsidP="00320D09">
            <w:pPr>
              <w:rPr>
                <w:rFonts w:cs="Arial"/>
                <w:sz w:val="18"/>
                <w:szCs w:val="18"/>
              </w:rPr>
            </w:pPr>
            <w:r>
              <w:rPr>
                <w:rFonts w:cs="Arial"/>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722A39F8" w14:textId="77777777" w:rsidR="00C32CBD" w:rsidRDefault="00C32CBD" w:rsidP="00320D09">
            <w:pPr>
              <w:jc w:val="right"/>
              <w:rPr>
                <w:rFonts w:cs="Arial"/>
                <w:sz w:val="18"/>
                <w:szCs w:val="18"/>
              </w:rPr>
            </w:pPr>
            <w:r>
              <w:rPr>
                <w:rFonts w:cs="Arial"/>
                <w:sz w:val="18"/>
                <w:szCs w:val="18"/>
              </w:rPr>
              <w:t>6,219</w:t>
            </w:r>
          </w:p>
        </w:tc>
      </w:tr>
    </w:tbl>
    <w:p w14:paraId="43F761DF" w14:textId="77777777" w:rsidR="00C32CBD" w:rsidRDefault="00C32CBD" w:rsidP="00C32CBD">
      <w:pPr>
        <w:pStyle w:val="ContinuedNotesHeading-Level1"/>
      </w:pPr>
    </w:p>
    <w:p w14:paraId="04728946" w14:textId="77777777" w:rsidR="00C32CBD" w:rsidRPr="00902FDC" w:rsidRDefault="00C32CBD" w:rsidP="00C32CBD">
      <w:pPr>
        <w:pStyle w:val="PolicytextDept"/>
        <w:rPr>
          <w:b/>
        </w:rPr>
      </w:pPr>
      <w:r w:rsidRPr="00902FDC">
        <w:rPr>
          <w:b/>
        </w:rPr>
        <w:t>Accounting Policy</w:t>
      </w:r>
    </w:p>
    <w:p w14:paraId="3908ED11" w14:textId="77777777" w:rsidR="00C32CBD" w:rsidRPr="005E5430" w:rsidRDefault="00C32CBD" w:rsidP="00C32CBD">
      <w:pPr>
        <w:pStyle w:val="PolicytextDept"/>
      </w:pPr>
      <w:r w:rsidRPr="00902FDC">
        <w:t xml:space="preserve">Interest revenue is recognised using the effective interest method as set out in AASB 139 </w:t>
      </w:r>
      <w:r w:rsidRPr="00C9033B">
        <w:rPr>
          <w:i/>
        </w:rPr>
        <w:t>Financial Instruments: Recognition and Measurement.</w:t>
      </w:r>
    </w:p>
    <w:tbl>
      <w:tblPr>
        <w:tblW w:w="9087" w:type="dxa"/>
        <w:tblInd w:w="80" w:type="dxa"/>
        <w:tblLayout w:type="fixed"/>
        <w:tblLook w:val="04A0" w:firstRow="1" w:lastRow="0" w:firstColumn="1" w:lastColumn="0" w:noHBand="0" w:noVBand="1"/>
      </w:tblPr>
      <w:tblGrid>
        <w:gridCol w:w="6353"/>
        <w:gridCol w:w="1249"/>
        <w:gridCol w:w="236"/>
        <w:gridCol w:w="1249"/>
      </w:tblGrid>
      <w:tr w:rsidR="00C32CBD" w14:paraId="6BCB25E6" w14:textId="77777777" w:rsidTr="00320D09">
        <w:trPr>
          <w:trHeight w:val="255"/>
        </w:trPr>
        <w:tc>
          <w:tcPr>
            <w:tcW w:w="6353" w:type="dxa"/>
            <w:tcBorders>
              <w:top w:val="nil"/>
              <w:left w:val="nil"/>
              <w:bottom w:val="nil"/>
              <w:right w:val="nil"/>
            </w:tcBorders>
            <w:shd w:val="clear" w:color="FFFFFF" w:fill="FFFFFF"/>
            <w:noWrap/>
            <w:vAlign w:val="bottom"/>
            <w:hideMark/>
          </w:tcPr>
          <w:p w14:paraId="267B6637" w14:textId="77777777" w:rsidR="00C32CBD" w:rsidRDefault="00C32CBD" w:rsidP="00320D09">
            <w:pPr>
              <w:rPr>
                <w:rFonts w:cs="Arial"/>
                <w:b/>
                <w:bCs/>
                <w:sz w:val="18"/>
                <w:szCs w:val="18"/>
                <w:u w:val="single"/>
              </w:rPr>
            </w:pPr>
            <w:bookmarkStart w:id="112" w:name="Note_ORVTABLE1" w:colFirst="0" w:colLast="0"/>
            <w:r>
              <w:rPr>
                <w:rFonts w:cs="Arial"/>
                <w:b/>
                <w:bCs/>
                <w:sz w:val="18"/>
                <w:szCs w:val="18"/>
                <w:u w:val="single"/>
              </w:rPr>
              <w:t>Note 1.2C: Other revenue</w:t>
            </w:r>
          </w:p>
        </w:tc>
        <w:tc>
          <w:tcPr>
            <w:tcW w:w="1249" w:type="dxa"/>
            <w:tcBorders>
              <w:top w:val="nil"/>
              <w:left w:val="nil"/>
              <w:bottom w:val="nil"/>
              <w:right w:val="nil"/>
            </w:tcBorders>
            <w:shd w:val="clear" w:color="FFFFFF" w:fill="FFFFFF"/>
            <w:noWrap/>
            <w:vAlign w:val="bottom"/>
            <w:hideMark/>
          </w:tcPr>
          <w:p w14:paraId="670D18EE"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7C825134"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2E722390" w14:textId="77777777" w:rsidR="00C32CBD" w:rsidRDefault="00C32CBD" w:rsidP="00320D09">
            <w:pPr>
              <w:rPr>
                <w:rFonts w:cs="Arial"/>
                <w:sz w:val="18"/>
                <w:szCs w:val="18"/>
              </w:rPr>
            </w:pPr>
            <w:r>
              <w:rPr>
                <w:rFonts w:cs="Arial"/>
                <w:sz w:val="18"/>
                <w:szCs w:val="18"/>
              </w:rPr>
              <w:t> </w:t>
            </w:r>
          </w:p>
        </w:tc>
      </w:tr>
      <w:bookmarkEnd w:id="112"/>
      <w:tr w:rsidR="00C32CBD" w14:paraId="417D0511" w14:textId="77777777" w:rsidTr="00320D09">
        <w:trPr>
          <w:trHeight w:val="270"/>
        </w:trPr>
        <w:tc>
          <w:tcPr>
            <w:tcW w:w="6353" w:type="dxa"/>
            <w:tcBorders>
              <w:top w:val="nil"/>
              <w:left w:val="nil"/>
              <w:bottom w:val="nil"/>
              <w:right w:val="nil"/>
            </w:tcBorders>
            <w:shd w:val="clear" w:color="FFFFFF" w:fill="FFFFFF"/>
            <w:vAlign w:val="bottom"/>
            <w:hideMark/>
          </w:tcPr>
          <w:p w14:paraId="6B79D98B" w14:textId="77777777" w:rsidR="00C32CBD" w:rsidRDefault="00C32CBD" w:rsidP="00320D09">
            <w:pPr>
              <w:rPr>
                <w:rFonts w:cs="Arial"/>
                <w:sz w:val="18"/>
                <w:szCs w:val="18"/>
              </w:rPr>
            </w:pPr>
            <w:r>
              <w:rPr>
                <w:rFonts w:cs="Arial"/>
                <w:sz w:val="18"/>
                <w:szCs w:val="18"/>
              </w:rPr>
              <w:t>Contribution by Victorian Government</w:t>
            </w:r>
            <w:r>
              <w:rPr>
                <w:rFonts w:cs="Arial"/>
                <w:sz w:val="18"/>
                <w:szCs w:val="18"/>
                <w:vertAlign w:val="superscript"/>
              </w:rPr>
              <w:t>1</w:t>
            </w:r>
          </w:p>
        </w:tc>
        <w:tc>
          <w:tcPr>
            <w:tcW w:w="1249" w:type="dxa"/>
            <w:tcBorders>
              <w:top w:val="nil"/>
              <w:left w:val="nil"/>
              <w:bottom w:val="nil"/>
              <w:right w:val="nil"/>
            </w:tcBorders>
            <w:shd w:val="clear" w:color="FFFFFF" w:fill="FFFFFF"/>
            <w:noWrap/>
            <w:vAlign w:val="bottom"/>
            <w:hideMark/>
          </w:tcPr>
          <w:p w14:paraId="3C9BA667" w14:textId="77777777" w:rsidR="00C32CBD" w:rsidRDefault="00C32CBD" w:rsidP="00320D09">
            <w:pPr>
              <w:jc w:val="right"/>
              <w:rPr>
                <w:rFonts w:cs="Arial"/>
                <w:b/>
                <w:bCs/>
                <w:sz w:val="18"/>
                <w:szCs w:val="18"/>
              </w:rPr>
            </w:pPr>
            <w:r>
              <w:rPr>
                <w:rFonts w:cs="Arial"/>
                <w:b/>
                <w:bCs/>
                <w:sz w:val="18"/>
                <w:szCs w:val="18"/>
              </w:rPr>
              <w:t>-</w:t>
            </w:r>
          </w:p>
        </w:tc>
        <w:tc>
          <w:tcPr>
            <w:tcW w:w="236" w:type="dxa"/>
            <w:tcBorders>
              <w:top w:val="nil"/>
              <w:left w:val="nil"/>
              <w:bottom w:val="nil"/>
              <w:right w:val="nil"/>
            </w:tcBorders>
            <w:shd w:val="clear" w:color="FFFFFF" w:fill="FFFFFF"/>
            <w:noWrap/>
            <w:vAlign w:val="bottom"/>
            <w:hideMark/>
          </w:tcPr>
          <w:p w14:paraId="3A4B8F77"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7FCB9E18" w14:textId="77777777" w:rsidR="00C32CBD" w:rsidRDefault="00C32CBD" w:rsidP="00320D09">
            <w:pPr>
              <w:jc w:val="right"/>
              <w:rPr>
                <w:rFonts w:cs="Arial"/>
                <w:sz w:val="18"/>
                <w:szCs w:val="18"/>
              </w:rPr>
            </w:pPr>
            <w:r>
              <w:rPr>
                <w:rFonts w:cs="Arial"/>
                <w:sz w:val="18"/>
                <w:szCs w:val="18"/>
              </w:rPr>
              <w:t>13,500</w:t>
            </w:r>
          </w:p>
        </w:tc>
      </w:tr>
      <w:tr w:rsidR="00C32CBD" w14:paraId="31138B56" w14:textId="77777777" w:rsidTr="00320D09">
        <w:trPr>
          <w:trHeight w:val="255"/>
        </w:trPr>
        <w:tc>
          <w:tcPr>
            <w:tcW w:w="6353" w:type="dxa"/>
            <w:tcBorders>
              <w:top w:val="nil"/>
              <w:left w:val="nil"/>
              <w:bottom w:val="nil"/>
              <w:right w:val="nil"/>
            </w:tcBorders>
            <w:shd w:val="clear" w:color="FFFFFF" w:fill="FFFFFF"/>
            <w:vAlign w:val="bottom"/>
            <w:hideMark/>
          </w:tcPr>
          <w:p w14:paraId="74382AE0" w14:textId="77777777" w:rsidR="00C32CBD" w:rsidRDefault="00C32CBD" w:rsidP="00320D09">
            <w:pPr>
              <w:rPr>
                <w:rFonts w:cs="Arial"/>
                <w:sz w:val="18"/>
                <w:szCs w:val="18"/>
              </w:rPr>
            </w:pPr>
            <w:r>
              <w:rPr>
                <w:rFonts w:cs="Arial"/>
                <w:sz w:val="18"/>
                <w:szCs w:val="18"/>
              </w:rPr>
              <w:t>Other</w:t>
            </w:r>
          </w:p>
        </w:tc>
        <w:tc>
          <w:tcPr>
            <w:tcW w:w="1249" w:type="dxa"/>
            <w:tcBorders>
              <w:top w:val="nil"/>
              <w:left w:val="nil"/>
              <w:bottom w:val="nil"/>
              <w:right w:val="nil"/>
            </w:tcBorders>
            <w:shd w:val="clear" w:color="FFFFFF" w:fill="FFFFFF"/>
            <w:noWrap/>
            <w:vAlign w:val="bottom"/>
            <w:hideMark/>
          </w:tcPr>
          <w:p w14:paraId="29D1BB14" w14:textId="77777777" w:rsidR="00C32CBD" w:rsidRDefault="00C32CBD" w:rsidP="00320D09">
            <w:pPr>
              <w:jc w:val="right"/>
              <w:rPr>
                <w:rFonts w:cs="Arial"/>
                <w:b/>
                <w:bCs/>
                <w:sz w:val="18"/>
                <w:szCs w:val="18"/>
              </w:rPr>
            </w:pPr>
            <w:r>
              <w:rPr>
                <w:rFonts w:cs="Arial"/>
                <w:b/>
                <w:bCs/>
                <w:sz w:val="18"/>
                <w:szCs w:val="18"/>
              </w:rPr>
              <w:t>1,379</w:t>
            </w:r>
          </w:p>
        </w:tc>
        <w:tc>
          <w:tcPr>
            <w:tcW w:w="236" w:type="dxa"/>
            <w:tcBorders>
              <w:top w:val="nil"/>
              <w:left w:val="nil"/>
              <w:bottom w:val="nil"/>
              <w:right w:val="nil"/>
            </w:tcBorders>
            <w:shd w:val="clear" w:color="FFFFFF" w:fill="FFFFFF"/>
            <w:noWrap/>
            <w:vAlign w:val="bottom"/>
            <w:hideMark/>
          </w:tcPr>
          <w:p w14:paraId="6E02B0B9"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7842ADD4" w14:textId="77777777" w:rsidR="00C32CBD" w:rsidRDefault="00C32CBD" w:rsidP="00320D09">
            <w:pPr>
              <w:jc w:val="right"/>
              <w:rPr>
                <w:rFonts w:cs="Arial"/>
                <w:sz w:val="18"/>
                <w:szCs w:val="18"/>
              </w:rPr>
            </w:pPr>
            <w:r>
              <w:rPr>
                <w:rFonts w:cs="Arial"/>
                <w:sz w:val="18"/>
                <w:szCs w:val="18"/>
              </w:rPr>
              <w:t>4,815</w:t>
            </w:r>
          </w:p>
        </w:tc>
      </w:tr>
      <w:tr w:rsidR="00C32CBD" w14:paraId="38C069AA" w14:textId="77777777" w:rsidTr="00320D09">
        <w:trPr>
          <w:trHeight w:val="255"/>
        </w:trPr>
        <w:tc>
          <w:tcPr>
            <w:tcW w:w="6353" w:type="dxa"/>
            <w:tcBorders>
              <w:top w:val="nil"/>
              <w:left w:val="nil"/>
              <w:bottom w:val="nil"/>
              <w:right w:val="nil"/>
            </w:tcBorders>
            <w:shd w:val="clear" w:color="FFFFFF" w:fill="FFFFFF"/>
            <w:vAlign w:val="bottom"/>
            <w:hideMark/>
          </w:tcPr>
          <w:p w14:paraId="55D53CAE" w14:textId="77777777" w:rsidR="00C32CBD" w:rsidRDefault="00C32CBD" w:rsidP="00320D09">
            <w:pPr>
              <w:rPr>
                <w:rFonts w:cs="Arial"/>
                <w:b/>
                <w:bCs/>
                <w:sz w:val="18"/>
                <w:szCs w:val="18"/>
              </w:rPr>
            </w:pPr>
            <w:r>
              <w:rPr>
                <w:rFonts w:cs="Arial"/>
                <w:b/>
                <w:bCs/>
                <w:sz w:val="18"/>
                <w:szCs w:val="18"/>
              </w:rPr>
              <w:t>Total other revenue</w:t>
            </w:r>
          </w:p>
        </w:tc>
        <w:tc>
          <w:tcPr>
            <w:tcW w:w="1249" w:type="dxa"/>
            <w:tcBorders>
              <w:top w:val="single" w:sz="4" w:space="0" w:color="auto"/>
              <w:left w:val="nil"/>
              <w:bottom w:val="single" w:sz="4" w:space="0" w:color="auto"/>
              <w:right w:val="nil"/>
            </w:tcBorders>
            <w:shd w:val="clear" w:color="FFFFFF" w:fill="FFFFFF"/>
            <w:noWrap/>
            <w:vAlign w:val="bottom"/>
            <w:hideMark/>
          </w:tcPr>
          <w:p w14:paraId="7085C243" w14:textId="77777777" w:rsidR="00C32CBD" w:rsidRDefault="00C32CBD" w:rsidP="00320D09">
            <w:pPr>
              <w:jc w:val="right"/>
              <w:rPr>
                <w:rFonts w:cs="Arial"/>
                <w:b/>
                <w:bCs/>
                <w:sz w:val="18"/>
                <w:szCs w:val="18"/>
              </w:rPr>
            </w:pPr>
            <w:r>
              <w:rPr>
                <w:rFonts w:cs="Arial"/>
                <w:b/>
                <w:bCs/>
                <w:sz w:val="18"/>
                <w:szCs w:val="18"/>
              </w:rPr>
              <w:t>1,379</w:t>
            </w:r>
          </w:p>
        </w:tc>
        <w:tc>
          <w:tcPr>
            <w:tcW w:w="236" w:type="dxa"/>
            <w:tcBorders>
              <w:top w:val="nil"/>
              <w:left w:val="nil"/>
              <w:bottom w:val="nil"/>
              <w:right w:val="nil"/>
            </w:tcBorders>
            <w:shd w:val="clear" w:color="FFFFFF" w:fill="FFFFFF"/>
            <w:noWrap/>
            <w:vAlign w:val="bottom"/>
            <w:hideMark/>
          </w:tcPr>
          <w:p w14:paraId="567A897D" w14:textId="77777777" w:rsidR="00C32CBD" w:rsidRDefault="00C32CBD" w:rsidP="00320D09">
            <w:pPr>
              <w:rPr>
                <w:rFonts w:cs="Arial"/>
                <w:sz w:val="18"/>
                <w:szCs w:val="18"/>
              </w:rPr>
            </w:pPr>
            <w:r>
              <w:rPr>
                <w:rFonts w:cs="Arial"/>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35F951B5" w14:textId="77777777" w:rsidR="00C32CBD" w:rsidRDefault="00C32CBD" w:rsidP="00320D09">
            <w:pPr>
              <w:jc w:val="right"/>
              <w:rPr>
                <w:rFonts w:cs="Arial"/>
                <w:sz w:val="18"/>
                <w:szCs w:val="18"/>
              </w:rPr>
            </w:pPr>
            <w:r>
              <w:rPr>
                <w:rFonts w:cs="Arial"/>
                <w:sz w:val="18"/>
                <w:szCs w:val="18"/>
              </w:rPr>
              <w:t>18,315</w:t>
            </w:r>
          </w:p>
        </w:tc>
      </w:tr>
    </w:tbl>
    <w:p w14:paraId="48A28197" w14:textId="77777777" w:rsidR="00C32CBD" w:rsidRDefault="00C32CBD" w:rsidP="00C32CBD">
      <w:pPr>
        <w:rPr>
          <w:rFonts w:eastAsia="Calibri" w:cs="Arial"/>
          <w:sz w:val="18"/>
          <w:szCs w:val="18"/>
          <w:vertAlign w:val="superscript"/>
        </w:rPr>
      </w:pPr>
    </w:p>
    <w:p w14:paraId="1D5247BD" w14:textId="77777777" w:rsidR="00C32CBD" w:rsidRDefault="00C32CBD" w:rsidP="00C32CBD">
      <w:pPr>
        <w:rPr>
          <w:rFonts w:eastAsia="Calibri" w:cs="Arial"/>
          <w:sz w:val="18"/>
          <w:szCs w:val="18"/>
        </w:rPr>
      </w:pPr>
      <w:r>
        <w:rPr>
          <w:rFonts w:eastAsia="Calibri" w:cs="Arial"/>
          <w:sz w:val="18"/>
          <w:szCs w:val="18"/>
          <w:vertAlign w:val="superscript"/>
        </w:rPr>
        <w:t xml:space="preserve">1 </w:t>
      </w:r>
      <w:r w:rsidRPr="007F5CAE">
        <w:rPr>
          <w:rFonts w:cs="Arial"/>
          <w:bCs/>
          <w:sz w:val="18"/>
          <w:szCs w:val="18"/>
        </w:rPr>
        <w:t>The Victorian Government contribute</w:t>
      </w:r>
      <w:r>
        <w:rPr>
          <w:rFonts w:cs="Arial"/>
          <w:bCs/>
          <w:sz w:val="18"/>
          <w:szCs w:val="18"/>
        </w:rPr>
        <w:t>d</w:t>
      </w:r>
      <w:r w:rsidRPr="007F5CAE">
        <w:rPr>
          <w:rFonts w:cs="Arial"/>
          <w:bCs/>
          <w:sz w:val="18"/>
          <w:szCs w:val="18"/>
        </w:rPr>
        <w:t xml:space="preserve"> </w:t>
      </w:r>
      <w:r>
        <w:rPr>
          <w:rFonts w:cs="Arial"/>
          <w:bCs/>
          <w:sz w:val="18"/>
          <w:szCs w:val="18"/>
        </w:rPr>
        <w:t>a total of $25 million between 2014-15 and 2015-16 for</w:t>
      </w:r>
      <w:r w:rsidRPr="007F5CAE">
        <w:rPr>
          <w:rFonts w:cs="Arial"/>
          <w:bCs/>
          <w:sz w:val="18"/>
          <w:szCs w:val="18"/>
        </w:rPr>
        <w:t xml:space="preserve"> </w:t>
      </w:r>
      <w:r>
        <w:rPr>
          <w:rFonts w:cs="Arial"/>
          <w:bCs/>
          <w:sz w:val="18"/>
          <w:szCs w:val="18"/>
        </w:rPr>
        <w:t>establishment</w:t>
      </w:r>
      <w:r w:rsidRPr="007F5CAE">
        <w:rPr>
          <w:rFonts w:cs="Arial"/>
          <w:bCs/>
          <w:sz w:val="18"/>
          <w:szCs w:val="18"/>
        </w:rPr>
        <w:t xml:space="preserve"> costs of the Agency’s National</w:t>
      </w:r>
      <w:r>
        <w:rPr>
          <w:rFonts w:cs="Arial"/>
          <w:bCs/>
          <w:sz w:val="18"/>
          <w:szCs w:val="18"/>
        </w:rPr>
        <w:t xml:space="preserve"> Office</w:t>
      </w:r>
      <w:r w:rsidRPr="007F5CAE">
        <w:rPr>
          <w:rFonts w:cs="Arial"/>
          <w:bCs/>
          <w:sz w:val="18"/>
          <w:szCs w:val="18"/>
        </w:rPr>
        <w:t>.</w:t>
      </w:r>
      <w:r>
        <w:rPr>
          <w:rFonts w:cs="Arial"/>
          <w:bCs/>
          <w:sz w:val="18"/>
          <w:szCs w:val="18"/>
        </w:rPr>
        <w:t xml:space="preserve"> The funding agreement between Victoria and the Commonwealth ended on 30 June 2016. </w:t>
      </w:r>
    </w:p>
    <w:p w14:paraId="7896D4E1" w14:textId="77777777" w:rsidR="00C32CBD" w:rsidRDefault="00C32CBD" w:rsidP="00C32CBD">
      <w:pPr>
        <w:rPr>
          <w:rFonts w:eastAsia="Calibri" w:cs="Arial"/>
          <w:sz w:val="18"/>
          <w:szCs w:val="18"/>
        </w:rPr>
      </w:pPr>
    </w:p>
    <w:p w14:paraId="4D71B6EB" w14:textId="77777777" w:rsidR="00C32CBD" w:rsidRPr="00642C7C" w:rsidRDefault="00C32CBD" w:rsidP="00C32CBD">
      <w:pPr>
        <w:pStyle w:val="PolicytextDept"/>
        <w:rPr>
          <w:i/>
          <w:u w:val="single"/>
        </w:rPr>
      </w:pPr>
      <w:r w:rsidRPr="00642C7C">
        <w:rPr>
          <w:i/>
          <w:u w:val="single"/>
        </w:rPr>
        <w:t>Compensation</w:t>
      </w:r>
    </w:p>
    <w:p w14:paraId="1E8346E4" w14:textId="77777777" w:rsidR="00C32CBD" w:rsidRPr="00642C7C" w:rsidRDefault="00C32CBD" w:rsidP="00C32CBD">
      <w:pPr>
        <w:pStyle w:val="PolicytextDept"/>
      </w:pPr>
      <w:r w:rsidRPr="00642C7C">
        <w:t>The Agency has powers set out in the NDIS Act and the NDIS Compensation Rules to recover amounts of compensation that have been paid to or given up by participants in certain circumstances. The Agency recognises compensation revenue when, and only when both the amount of the compensation can be reliably determined, and the receipt of the compensation is probable.</w:t>
      </w:r>
    </w:p>
    <w:p w14:paraId="2D43536C" w14:textId="77777777" w:rsidR="00C32CBD" w:rsidRDefault="00C32CBD" w:rsidP="00C32CBD">
      <w:pPr>
        <w:spacing w:line="240" w:lineRule="auto"/>
        <w:rPr>
          <w:rFonts w:cs="Arial"/>
          <w:bCs/>
          <w:sz w:val="18"/>
          <w:szCs w:val="18"/>
        </w:rPr>
      </w:pPr>
    </w:p>
    <w:tbl>
      <w:tblPr>
        <w:tblW w:w="9087" w:type="dxa"/>
        <w:tblInd w:w="80" w:type="dxa"/>
        <w:tblLayout w:type="fixed"/>
        <w:tblLook w:val="04A0" w:firstRow="1" w:lastRow="0" w:firstColumn="1" w:lastColumn="0" w:noHBand="0" w:noVBand="1"/>
      </w:tblPr>
      <w:tblGrid>
        <w:gridCol w:w="6424"/>
        <w:gridCol w:w="1198"/>
        <w:gridCol w:w="267"/>
        <w:gridCol w:w="1198"/>
      </w:tblGrid>
      <w:tr w:rsidR="00C32CBD" w14:paraId="39AC9533" w14:textId="77777777" w:rsidTr="00320D09">
        <w:trPr>
          <w:trHeight w:val="240"/>
        </w:trPr>
        <w:tc>
          <w:tcPr>
            <w:tcW w:w="6416" w:type="dxa"/>
            <w:tcBorders>
              <w:top w:val="nil"/>
              <w:left w:val="nil"/>
              <w:bottom w:val="nil"/>
              <w:right w:val="nil"/>
            </w:tcBorders>
            <w:shd w:val="clear" w:color="FFFFFF" w:fill="FFFFFF"/>
            <w:noWrap/>
            <w:vAlign w:val="bottom"/>
            <w:hideMark/>
          </w:tcPr>
          <w:p w14:paraId="0AE431BA" w14:textId="77777777" w:rsidR="00C32CBD" w:rsidRDefault="00C32CBD" w:rsidP="00320D09">
            <w:pPr>
              <w:rPr>
                <w:rFonts w:cs="Arial"/>
                <w:sz w:val="18"/>
                <w:szCs w:val="18"/>
              </w:rPr>
            </w:pPr>
            <w:bookmarkStart w:id="113" w:name="Note_RFCTABLE1" w:colFirst="0" w:colLast="0"/>
            <w:r>
              <w:rPr>
                <w:rFonts w:cs="Arial"/>
                <w:sz w:val="18"/>
                <w:szCs w:val="18"/>
              </w:rPr>
              <w:t> </w:t>
            </w:r>
          </w:p>
        </w:tc>
        <w:tc>
          <w:tcPr>
            <w:tcW w:w="1196" w:type="dxa"/>
            <w:tcBorders>
              <w:top w:val="nil"/>
              <w:left w:val="nil"/>
              <w:bottom w:val="nil"/>
              <w:right w:val="nil"/>
            </w:tcBorders>
            <w:shd w:val="clear" w:color="FFFFFF" w:fill="FFFFFF"/>
            <w:noWrap/>
            <w:vAlign w:val="bottom"/>
            <w:hideMark/>
          </w:tcPr>
          <w:p w14:paraId="6F5457BA" w14:textId="77777777" w:rsidR="00C32CBD" w:rsidRDefault="00C32CBD" w:rsidP="00320D09">
            <w:pPr>
              <w:jc w:val="right"/>
              <w:rPr>
                <w:rFonts w:cs="Arial"/>
                <w:b/>
                <w:bCs/>
                <w:sz w:val="18"/>
                <w:szCs w:val="18"/>
              </w:rPr>
            </w:pPr>
            <w:r>
              <w:rPr>
                <w:rFonts w:cs="Arial"/>
                <w:b/>
                <w:bCs/>
                <w:sz w:val="18"/>
                <w:szCs w:val="18"/>
              </w:rPr>
              <w:t>2017</w:t>
            </w:r>
          </w:p>
        </w:tc>
        <w:tc>
          <w:tcPr>
            <w:tcW w:w="267" w:type="dxa"/>
            <w:tcBorders>
              <w:top w:val="nil"/>
              <w:left w:val="nil"/>
              <w:bottom w:val="nil"/>
              <w:right w:val="nil"/>
            </w:tcBorders>
            <w:shd w:val="clear" w:color="FFFFFF" w:fill="FFFFFF"/>
            <w:noWrap/>
            <w:vAlign w:val="bottom"/>
            <w:hideMark/>
          </w:tcPr>
          <w:p w14:paraId="11B66C64" w14:textId="77777777" w:rsidR="00C32CBD" w:rsidRDefault="00C32CBD" w:rsidP="00320D09">
            <w:pPr>
              <w:jc w:val="right"/>
              <w:rPr>
                <w:rFonts w:cs="Arial"/>
                <w:sz w:val="18"/>
                <w:szCs w:val="18"/>
              </w:rPr>
            </w:pPr>
            <w:r>
              <w:rPr>
                <w:rFonts w:cs="Arial"/>
                <w:sz w:val="18"/>
                <w:szCs w:val="18"/>
              </w:rPr>
              <w:t> </w:t>
            </w:r>
          </w:p>
        </w:tc>
        <w:tc>
          <w:tcPr>
            <w:tcW w:w="1196" w:type="dxa"/>
            <w:tcBorders>
              <w:top w:val="nil"/>
              <w:left w:val="nil"/>
              <w:bottom w:val="nil"/>
              <w:right w:val="nil"/>
            </w:tcBorders>
            <w:shd w:val="clear" w:color="FFFFFF" w:fill="FFFFFF"/>
            <w:noWrap/>
            <w:vAlign w:val="bottom"/>
            <w:hideMark/>
          </w:tcPr>
          <w:p w14:paraId="1E68E882" w14:textId="77777777" w:rsidR="00C32CBD" w:rsidRDefault="00C32CBD" w:rsidP="00320D09">
            <w:pPr>
              <w:jc w:val="right"/>
              <w:rPr>
                <w:rFonts w:cs="Arial"/>
                <w:sz w:val="18"/>
                <w:szCs w:val="18"/>
              </w:rPr>
            </w:pPr>
            <w:r>
              <w:rPr>
                <w:rFonts w:cs="Arial"/>
                <w:sz w:val="18"/>
                <w:szCs w:val="18"/>
              </w:rPr>
              <w:t>2016</w:t>
            </w:r>
          </w:p>
        </w:tc>
      </w:tr>
      <w:bookmarkEnd w:id="113"/>
      <w:tr w:rsidR="00C32CBD" w14:paraId="661E6891" w14:textId="77777777" w:rsidTr="00320D09">
        <w:trPr>
          <w:trHeight w:val="240"/>
        </w:trPr>
        <w:tc>
          <w:tcPr>
            <w:tcW w:w="6416" w:type="dxa"/>
            <w:tcBorders>
              <w:top w:val="nil"/>
              <w:left w:val="nil"/>
              <w:bottom w:val="nil"/>
              <w:right w:val="nil"/>
            </w:tcBorders>
            <w:shd w:val="clear" w:color="FFFFFF" w:fill="FFFFFF"/>
            <w:noWrap/>
            <w:vAlign w:val="bottom"/>
            <w:hideMark/>
          </w:tcPr>
          <w:p w14:paraId="2CE4946E" w14:textId="77777777" w:rsidR="00C32CBD" w:rsidRDefault="00C32CBD" w:rsidP="00320D09">
            <w:pPr>
              <w:rPr>
                <w:rFonts w:cs="Arial"/>
                <w:sz w:val="18"/>
                <w:szCs w:val="18"/>
              </w:rPr>
            </w:pPr>
            <w:r>
              <w:rPr>
                <w:rFonts w:cs="Arial"/>
                <w:sz w:val="18"/>
                <w:szCs w:val="18"/>
              </w:rPr>
              <w:t> </w:t>
            </w:r>
          </w:p>
        </w:tc>
        <w:tc>
          <w:tcPr>
            <w:tcW w:w="1196" w:type="dxa"/>
            <w:tcBorders>
              <w:top w:val="nil"/>
              <w:left w:val="nil"/>
              <w:bottom w:val="nil"/>
              <w:right w:val="nil"/>
            </w:tcBorders>
            <w:shd w:val="clear" w:color="FFFFFF" w:fill="FFFFFF"/>
            <w:noWrap/>
            <w:vAlign w:val="bottom"/>
            <w:hideMark/>
          </w:tcPr>
          <w:p w14:paraId="581EFDB3" w14:textId="77777777" w:rsidR="00C32CBD" w:rsidRDefault="00C32CBD" w:rsidP="00320D09">
            <w:pPr>
              <w:jc w:val="right"/>
              <w:rPr>
                <w:rFonts w:cs="Arial"/>
                <w:b/>
                <w:bCs/>
                <w:sz w:val="18"/>
                <w:szCs w:val="18"/>
              </w:rPr>
            </w:pPr>
            <w:r>
              <w:rPr>
                <w:rFonts w:cs="Arial"/>
                <w:b/>
                <w:bCs/>
                <w:sz w:val="18"/>
                <w:szCs w:val="18"/>
              </w:rPr>
              <w:t>$'000</w:t>
            </w:r>
          </w:p>
        </w:tc>
        <w:tc>
          <w:tcPr>
            <w:tcW w:w="267" w:type="dxa"/>
            <w:tcBorders>
              <w:top w:val="nil"/>
              <w:left w:val="nil"/>
              <w:bottom w:val="nil"/>
              <w:right w:val="nil"/>
            </w:tcBorders>
            <w:shd w:val="clear" w:color="FFFFFF" w:fill="FFFFFF"/>
            <w:noWrap/>
            <w:vAlign w:val="bottom"/>
            <w:hideMark/>
          </w:tcPr>
          <w:p w14:paraId="37F7AFA4" w14:textId="77777777" w:rsidR="00C32CBD" w:rsidRDefault="00C32CBD" w:rsidP="00320D09">
            <w:pPr>
              <w:jc w:val="right"/>
              <w:rPr>
                <w:rFonts w:cs="Arial"/>
                <w:sz w:val="18"/>
                <w:szCs w:val="18"/>
              </w:rPr>
            </w:pPr>
            <w:r>
              <w:rPr>
                <w:rFonts w:cs="Arial"/>
                <w:sz w:val="18"/>
                <w:szCs w:val="18"/>
              </w:rPr>
              <w:t> </w:t>
            </w:r>
          </w:p>
        </w:tc>
        <w:tc>
          <w:tcPr>
            <w:tcW w:w="1196" w:type="dxa"/>
            <w:tcBorders>
              <w:top w:val="nil"/>
              <w:left w:val="nil"/>
              <w:bottom w:val="nil"/>
              <w:right w:val="nil"/>
            </w:tcBorders>
            <w:shd w:val="clear" w:color="FFFFFF" w:fill="FFFFFF"/>
            <w:noWrap/>
            <w:vAlign w:val="bottom"/>
            <w:hideMark/>
          </w:tcPr>
          <w:p w14:paraId="341A0AD5" w14:textId="77777777" w:rsidR="00C32CBD" w:rsidRDefault="00C32CBD" w:rsidP="00320D09">
            <w:pPr>
              <w:jc w:val="right"/>
              <w:rPr>
                <w:rFonts w:cs="Arial"/>
                <w:sz w:val="18"/>
                <w:szCs w:val="18"/>
              </w:rPr>
            </w:pPr>
            <w:r>
              <w:rPr>
                <w:rFonts w:cs="Arial"/>
                <w:sz w:val="18"/>
                <w:szCs w:val="18"/>
              </w:rPr>
              <w:t>$'000</w:t>
            </w:r>
          </w:p>
        </w:tc>
      </w:tr>
      <w:tr w:rsidR="00C32CBD" w14:paraId="328F582A" w14:textId="77777777" w:rsidTr="00320D09">
        <w:trPr>
          <w:trHeight w:val="240"/>
        </w:trPr>
        <w:tc>
          <w:tcPr>
            <w:tcW w:w="6416" w:type="dxa"/>
            <w:tcBorders>
              <w:top w:val="nil"/>
              <w:left w:val="nil"/>
              <w:bottom w:val="nil"/>
              <w:right w:val="nil"/>
            </w:tcBorders>
            <w:shd w:val="clear" w:color="FFFFFF" w:fill="FFFFFF"/>
            <w:noWrap/>
            <w:vAlign w:val="bottom"/>
            <w:hideMark/>
          </w:tcPr>
          <w:p w14:paraId="379E5EB0" w14:textId="77777777" w:rsidR="00C32CBD" w:rsidRDefault="00C32CBD" w:rsidP="00320D09">
            <w:pPr>
              <w:rPr>
                <w:rFonts w:cs="Arial"/>
                <w:b/>
                <w:bCs/>
                <w:sz w:val="18"/>
                <w:szCs w:val="18"/>
                <w:u w:val="single"/>
              </w:rPr>
            </w:pPr>
            <w:r>
              <w:rPr>
                <w:rFonts w:cs="Arial"/>
                <w:b/>
                <w:bCs/>
                <w:sz w:val="18"/>
                <w:szCs w:val="18"/>
                <w:u w:val="single"/>
              </w:rPr>
              <w:t>Note 1.2D: Other gains</w:t>
            </w:r>
          </w:p>
        </w:tc>
        <w:tc>
          <w:tcPr>
            <w:tcW w:w="1196" w:type="dxa"/>
            <w:tcBorders>
              <w:top w:val="nil"/>
              <w:left w:val="nil"/>
              <w:bottom w:val="nil"/>
              <w:right w:val="nil"/>
            </w:tcBorders>
            <w:shd w:val="clear" w:color="FFFFFF" w:fill="FFFFFF"/>
            <w:noWrap/>
            <w:vAlign w:val="bottom"/>
            <w:hideMark/>
          </w:tcPr>
          <w:p w14:paraId="51A361E0" w14:textId="77777777" w:rsidR="00C32CBD" w:rsidRDefault="00C32CBD" w:rsidP="00320D09">
            <w:pPr>
              <w:rPr>
                <w:rFonts w:cs="Arial"/>
                <w:sz w:val="18"/>
                <w:szCs w:val="18"/>
              </w:rPr>
            </w:pPr>
            <w:r>
              <w:rPr>
                <w:rFonts w:cs="Arial"/>
                <w:sz w:val="18"/>
                <w:szCs w:val="18"/>
              </w:rPr>
              <w:t> </w:t>
            </w:r>
          </w:p>
        </w:tc>
        <w:tc>
          <w:tcPr>
            <w:tcW w:w="267" w:type="dxa"/>
            <w:tcBorders>
              <w:top w:val="nil"/>
              <w:left w:val="nil"/>
              <w:bottom w:val="nil"/>
              <w:right w:val="nil"/>
            </w:tcBorders>
            <w:shd w:val="clear" w:color="FFFFFF" w:fill="FFFFFF"/>
            <w:noWrap/>
            <w:vAlign w:val="bottom"/>
            <w:hideMark/>
          </w:tcPr>
          <w:p w14:paraId="03EEA359" w14:textId="77777777" w:rsidR="00C32CBD" w:rsidRDefault="00C32CBD" w:rsidP="00320D09">
            <w:pPr>
              <w:rPr>
                <w:rFonts w:cs="Arial"/>
                <w:sz w:val="18"/>
                <w:szCs w:val="18"/>
              </w:rPr>
            </w:pPr>
            <w:r>
              <w:rPr>
                <w:rFonts w:cs="Arial"/>
                <w:sz w:val="18"/>
                <w:szCs w:val="18"/>
              </w:rPr>
              <w:t> </w:t>
            </w:r>
          </w:p>
        </w:tc>
        <w:tc>
          <w:tcPr>
            <w:tcW w:w="1196" w:type="dxa"/>
            <w:tcBorders>
              <w:top w:val="nil"/>
              <w:left w:val="nil"/>
              <w:bottom w:val="nil"/>
              <w:right w:val="nil"/>
            </w:tcBorders>
            <w:shd w:val="clear" w:color="FFFFFF" w:fill="FFFFFF"/>
            <w:noWrap/>
            <w:vAlign w:val="bottom"/>
            <w:hideMark/>
          </w:tcPr>
          <w:p w14:paraId="74FD400E" w14:textId="77777777" w:rsidR="00C32CBD" w:rsidRDefault="00C32CBD" w:rsidP="00320D09">
            <w:pPr>
              <w:rPr>
                <w:rFonts w:cs="Arial"/>
                <w:sz w:val="18"/>
                <w:szCs w:val="18"/>
              </w:rPr>
            </w:pPr>
            <w:r>
              <w:rPr>
                <w:rFonts w:cs="Arial"/>
                <w:sz w:val="18"/>
                <w:szCs w:val="18"/>
              </w:rPr>
              <w:t> </w:t>
            </w:r>
          </w:p>
        </w:tc>
      </w:tr>
      <w:tr w:rsidR="00C32CBD" w14:paraId="2DF4EACA" w14:textId="77777777" w:rsidTr="00320D09">
        <w:trPr>
          <w:trHeight w:val="240"/>
        </w:trPr>
        <w:tc>
          <w:tcPr>
            <w:tcW w:w="6416" w:type="dxa"/>
            <w:tcBorders>
              <w:top w:val="nil"/>
              <w:left w:val="nil"/>
              <w:bottom w:val="nil"/>
              <w:right w:val="nil"/>
            </w:tcBorders>
            <w:shd w:val="clear" w:color="FFFFFF" w:fill="FFFFFF"/>
            <w:vAlign w:val="bottom"/>
            <w:hideMark/>
          </w:tcPr>
          <w:p w14:paraId="40361F7F" w14:textId="77777777" w:rsidR="00C32CBD" w:rsidRDefault="00C32CBD" w:rsidP="00320D09">
            <w:pPr>
              <w:rPr>
                <w:rFonts w:cs="Arial"/>
                <w:sz w:val="18"/>
                <w:szCs w:val="18"/>
              </w:rPr>
            </w:pPr>
            <w:r>
              <w:rPr>
                <w:rFonts w:cs="Arial"/>
                <w:sz w:val="18"/>
                <w:szCs w:val="18"/>
              </w:rPr>
              <w:t>Contributions in-kind from Commonwealth, state and territory governments</w:t>
            </w:r>
          </w:p>
        </w:tc>
        <w:tc>
          <w:tcPr>
            <w:tcW w:w="1196" w:type="dxa"/>
            <w:tcBorders>
              <w:top w:val="nil"/>
              <w:left w:val="nil"/>
              <w:bottom w:val="nil"/>
              <w:right w:val="nil"/>
            </w:tcBorders>
            <w:shd w:val="clear" w:color="FFFFFF" w:fill="FFFFFF"/>
            <w:noWrap/>
            <w:vAlign w:val="bottom"/>
            <w:hideMark/>
          </w:tcPr>
          <w:p w14:paraId="7763159D" w14:textId="77777777" w:rsidR="00C32CBD" w:rsidRDefault="00C32CBD" w:rsidP="00320D09">
            <w:pPr>
              <w:jc w:val="right"/>
              <w:rPr>
                <w:rFonts w:cs="Arial"/>
                <w:b/>
                <w:bCs/>
                <w:sz w:val="18"/>
                <w:szCs w:val="18"/>
              </w:rPr>
            </w:pPr>
            <w:r>
              <w:rPr>
                <w:rFonts w:cs="Arial"/>
                <w:b/>
                <w:bCs/>
                <w:sz w:val="18"/>
                <w:szCs w:val="18"/>
              </w:rPr>
              <w:t>477,472</w:t>
            </w:r>
          </w:p>
        </w:tc>
        <w:tc>
          <w:tcPr>
            <w:tcW w:w="267" w:type="dxa"/>
            <w:tcBorders>
              <w:top w:val="nil"/>
              <w:left w:val="nil"/>
              <w:bottom w:val="nil"/>
              <w:right w:val="nil"/>
            </w:tcBorders>
            <w:shd w:val="clear" w:color="FFFFFF" w:fill="FFFFFF"/>
            <w:noWrap/>
            <w:vAlign w:val="bottom"/>
            <w:hideMark/>
          </w:tcPr>
          <w:p w14:paraId="2F411701" w14:textId="77777777" w:rsidR="00C32CBD" w:rsidRDefault="00C32CBD" w:rsidP="00320D09">
            <w:pPr>
              <w:rPr>
                <w:rFonts w:cs="Arial"/>
                <w:sz w:val="18"/>
                <w:szCs w:val="18"/>
              </w:rPr>
            </w:pPr>
            <w:r>
              <w:rPr>
                <w:rFonts w:cs="Arial"/>
                <w:sz w:val="18"/>
                <w:szCs w:val="18"/>
              </w:rPr>
              <w:t> </w:t>
            </w:r>
          </w:p>
        </w:tc>
        <w:tc>
          <w:tcPr>
            <w:tcW w:w="1196" w:type="dxa"/>
            <w:tcBorders>
              <w:top w:val="nil"/>
              <w:left w:val="nil"/>
              <w:bottom w:val="nil"/>
              <w:right w:val="nil"/>
            </w:tcBorders>
            <w:shd w:val="clear" w:color="FFFFFF" w:fill="FFFFFF"/>
            <w:noWrap/>
            <w:vAlign w:val="bottom"/>
            <w:hideMark/>
          </w:tcPr>
          <w:p w14:paraId="6F1C5BA6" w14:textId="77777777" w:rsidR="00C32CBD" w:rsidRDefault="00C32CBD" w:rsidP="00320D09">
            <w:pPr>
              <w:jc w:val="right"/>
              <w:rPr>
                <w:rFonts w:cs="Arial"/>
                <w:sz w:val="18"/>
                <w:szCs w:val="18"/>
              </w:rPr>
            </w:pPr>
            <w:r>
              <w:rPr>
                <w:rFonts w:cs="Arial"/>
                <w:sz w:val="18"/>
                <w:szCs w:val="18"/>
              </w:rPr>
              <w:t>197,364</w:t>
            </w:r>
          </w:p>
        </w:tc>
      </w:tr>
      <w:tr w:rsidR="00C32CBD" w14:paraId="4432B140" w14:textId="77777777" w:rsidTr="00320D09">
        <w:trPr>
          <w:trHeight w:val="240"/>
        </w:trPr>
        <w:tc>
          <w:tcPr>
            <w:tcW w:w="6416" w:type="dxa"/>
            <w:tcBorders>
              <w:top w:val="nil"/>
              <w:left w:val="nil"/>
              <w:bottom w:val="nil"/>
              <w:right w:val="nil"/>
            </w:tcBorders>
            <w:shd w:val="clear" w:color="FFFFFF" w:fill="FFFFFF"/>
            <w:vAlign w:val="bottom"/>
            <w:hideMark/>
          </w:tcPr>
          <w:p w14:paraId="27E0080C" w14:textId="77777777" w:rsidR="00C32CBD" w:rsidRDefault="00C32CBD" w:rsidP="00320D09">
            <w:pPr>
              <w:rPr>
                <w:rFonts w:cs="Arial"/>
                <w:sz w:val="18"/>
                <w:szCs w:val="18"/>
              </w:rPr>
            </w:pPr>
            <w:r>
              <w:rPr>
                <w:rFonts w:cs="Arial"/>
                <w:sz w:val="18"/>
                <w:szCs w:val="18"/>
              </w:rPr>
              <w:t>Assets first found</w:t>
            </w:r>
          </w:p>
        </w:tc>
        <w:tc>
          <w:tcPr>
            <w:tcW w:w="1196" w:type="dxa"/>
            <w:tcBorders>
              <w:top w:val="nil"/>
              <w:left w:val="nil"/>
              <w:bottom w:val="nil"/>
              <w:right w:val="nil"/>
            </w:tcBorders>
            <w:shd w:val="clear" w:color="FFFFFF" w:fill="FFFFFF"/>
            <w:noWrap/>
            <w:vAlign w:val="bottom"/>
            <w:hideMark/>
          </w:tcPr>
          <w:p w14:paraId="58A184D5" w14:textId="77777777" w:rsidR="00C32CBD" w:rsidRDefault="00C32CBD" w:rsidP="00320D09">
            <w:pPr>
              <w:jc w:val="right"/>
              <w:rPr>
                <w:rFonts w:cs="Arial"/>
                <w:b/>
                <w:bCs/>
                <w:sz w:val="18"/>
                <w:szCs w:val="18"/>
              </w:rPr>
            </w:pPr>
            <w:r>
              <w:rPr>
                <w:rFonts w:cs="Arial"/>
                <w:b/>
                <w:bCs/>
                <w:sz w:val="18"/>
                <w:szCs w:val="18"/>
              </w:rPr>
              <w:t>23</w:t>
            </w:r>
          </w:p>
        </w:tc>
        <w:tc>
          <w:tcPr>
            <w:tcW w:w="267" w:type="dxa"/>
            <w:tcBorders>
              <w:top w:val="nil"/>
              <w:left w:val="nil"/>
              <w:bottom w:val="nil"/>
              <w:right w:val="nil"/>
            </w:tcBorders>
            <w:shd w:val="clear" w:color="FFFFFF" w:fill="FFFFFF"/>
            <w:noWrap/>
            <w:vAlign w:val="bottom"/>
            <w:hideMark/>
          </w:tcPr>
          <w:p w14:paraId="4771BC5D" w14:textId="77777777" w:rsidR="00C32CBD" w:rsidRDefault="00C32CBD" w:rsidP="00320D09">
            <w:pPr>
              <w:rPr>
                <w:rFonts w:cs="Arial"/>
                <w:sz w:val="18"/>
                <w:szCs w:val="18"/>
              </w:rPr>
            </w:pPr>
            <w:r>
              <w:rPr>
                <w:rFonts w:cs="Arial"/>
                <w:sz w:val="18"/>
                <w:szCs w:val="18"/>
              </w:rPr>
              <w:t> </w:t>
            </w:r>
          </w:p>
        </w:tc>
        <w:tc>
          <w:tcPr>
            <w:tcW w:w="1196" w:type="dxa"/>
            <w:tcBorders>
              <w:top w:val="nil"/>
              <w:left w:val="nil"/>
              <w:bottom w:val="nil"/>
              <w:right w:val="nil"/>
            </w:tcBorders>
            <w:shd w:val="clear" w:color="FFFFFF" w:fill="FFFFFF"/>
            <w:noWrap/>
            <w:vAlign w:val="bottom"/>
            <w:hideMark/>
          </w:tcPr>
          <w:p w14:paraId="71542595" w14:textId="77777777" w:rsidR="00C32CBD" w:rsidRDefault="00C32CBD" w:rsidP="00320D09">
            <w:pPr>
              <w:jc w:val="right"/>
              <w:rPr>
                <w:rFonts w:cs="Arial"/>
                <w:sz w:val="18"/>
                <w:szCs w:val="18"/>
              </w:rPr>
            </w:pPr>
            <w:r>
              <w:rPr>
                <w:rFonts w:cs="Arial"/>
                <w:sz w:val="18"/>
                <w:szCs w:val="18"/>
              </w:rPr>
              <w:t>143</w:t>
            </w:r>
          </w:p>
        </w:tc>
      </w:tr>
      <w:tr w:rsidR="00C32CBD" w14:paraId="399FDD24" w14:textId="77777777" w:rsidTr="00320D09">
        <w:trPr>
          <w:trHeight w:val="240"/>
        </w:trPr>
        <w:tc>
          <w:tcPr>
            <w:tcW w:w="6416" w:type="dxa"/>
            <w:tcBorders>
              <w:top w:val="nil"/>
              <w:left w:val="nil"/>
              <w:bottom w:val="nil"/>
              <w:right w:val="nil"/>
            </w:tcBorders>
            <w:shd w:val="clear" w:color="FFFFFF" w:fill="FFFFFF"/>
            <w:vAlign w:val="bottom"/>
            <w:hideMark/>
          </w:tcPr>
          <w:p w14:paraId="67C6C248" w14:textId="77777777" w:rsidR="00C32CBD" w:rsidRDefault="00C32CBD" w:rsidP="00320D09">
            <w:pPr>
              <w:rPr>
                <w:rFonts w:cs="Arial"/>
                <w:b/>
                <w:bCs/>
                <w:sz w:val="18"/>
                <w:szCs w:val="18"/>
              </w:rPr>
            </w:pPr>
            <w:r>
              <w:rPr>
                <w:rFonts w:cs="Arial"/>
                <w:b/>
                <w:bCs/>
                <w:sz w:val="18"/>
                <w:szCs w:val="18"/>
              </w:rPr>
              <w:t>Total gains</w:t>
            </w:r>
          </w:p>
        </w:tc>
        <w:tc>
          <w:tcPr>
            <w:tcW w:w="1196" w:type="dxa"/>
            <w:tcBorders>
              <w:top w:val="single" w:sz="4" w:space="0" w:color="auto"/>
              <w:left w:val="nil"/>
              <w:bottom w:val="single" w:sz="4" w:space="0" w:color="auto"/>
              <w:right w:val="nil"/>
            </w:tcBorders>
            <w:shd w:val="clear" w:color="FFFFFF" w:fill="FFFFFF"/>
            <w:noWrap/>
            <w:vAlign w:val="bottom"/>
            <w:hideMark/>
          </w:tcPr>
          <w:p w14:paraId="4F1842C9" w14:textId="77777777" w:rsidR="00C32CBD" w:rsidRDefault="00C32CBD" w:rsidP="00320D09">
            <w:pPr>
              <w:jc w:val="right"/>
              <w:rPr>
                <w:rFonts w:cs="Arial"/>
                <w:b/>
                <w:bCs/>
                <w:sz w:val="18"/>
                <w:szCs w:val="18"/>
              </w:rPr>
            </w:pPr>
            <w:r>
              <w:rPr>
                <w:rFonts w:cs="Arial"/>
                <w:b/>
                <w:bCs/>
                <w:sz w:val="18"/>
                <w:szCs w:val="18"/>
              </w:rPr>
              <w:t>477,495</w:t>
            </w:r>
          </w:p>
        </w:tc>
        <w:tc>
          <w:tcPr>
            <w:tcW w:w="267" w:type="dxa"/>
            <w:tcBorders>
              <w:top w:val="nil"/>
              <w:left w:val="nil"/>
              <w:bottom w:val="nil"/>
              <w:right w:val="nil"/>
            </w:tcBorders>
            <w:shd w:val="clear" w:color="FFFFFF" w:fill="FFFFFF"/>
            <w:noWrap/>
            <w:vAlign w:val="bottom"/>
            <w:hideMark/>
          </w:tcPr>
          <w:p w14:paraId="70C6F1CF" w14:textId="77777777" w:rsidR="00C32CBD" w:rsidRDefault="00C32CBD" w:rsidP="00320D09">
            <w:pPr>
              <w:rPr>
                <w:rFonts w:cs="Arial"/>
                <w:sz w:val="18"/>
                <w:szCs w:val="18"/>
              </w:rPr>
            </w:pPr>
            <w:r>
              <w:rPr>
                <w:rFonts w:cs="Arial"/>
                <w:sz w:val="18"/>
                <w:szCs w:val="18"/>
              </w:rPr>
              <w:t> </w:t>
            </w:r>
          </w:p>
        </w:tc>
        <w:tc>
          <w:tcPr>
            <w:tcW w:w="1196" w:type="dxa"/>
            <w:tcBorders>
              <w:top w:val="single" w:sz="4" w:space="0" w:color="auto"/>
              <w:left w:val="nil"/>
              <w:bottom w:val="single" w:sz="4" w:space="0" w:color="auto"/>
              <w:right w:val="nil"/>
            </w:tcBorders>
            <w:shd w:val="clear" w:color="FFFFFF" w:fill="FFFFFF"/>
            <w:noWrap/>
            <w:vAlign w:val="bottom"/>
            <w:hideMark/>
          </w:tcPr>
          <w:p w14:paraId="1B377568" w14:textId="77777777" w:rsidR="00C32CBD" w:rsidRDefault="00C32CBD" w:rsidP="00320D09">
            <w:pPr>
              <w:jc w:val="right"/>
              <w:rPr>
                <w:rFonts w:cs="Arial"/>
                <w:sz w:val="18"/>
                <w:szCs w:val="18"/>
              </w:rPr>
            </w:pPr>
            <w:r>
              <w:rPr>
                <w:rFonts w:cs="Arial"/>
                <w:sz w:val="18"/>
                <w:szCs w:val="18"/>
              </w:rPr>
              <w:t>197,507</w:t>
            </w:r>
          </w:p>
        </w:tc>
      </w:tr>
    </w:tbl>
    <w:p w14:paraId="44F3770F" w14:textId="77777777" w:rsidR="00C32CBD" w:rsidRDefault="00C32CBD" w:rsidP="00C32CBD"/>
    <w:p w14:paraId="4B2B5124" w14:textId="77777777" w:rsidR="00C32CBD" w:rsidRPr="00382E66" w:rsidRDefault="00C32CBD" w:rsidP="00C32CBD">
      <w:pPr>
        <w:pBdr>
          <w:top w:val="single" w:sz="4" w:space="1" w:color="009560"/>
          <w:left w:val="single" w:sz="4" w:space="0" w:color="009560"/>
          <w:bottom w:val="single" w:sz="4" w:space="1" w:color="009560"/>
          <w:right w:val="single" w:sz="4" w:space="0" w:color="009560"/>
        </w:pBdr>
        <w:spacing w:line="120" w:lineRule="atLeast"/>
        <w:rPr>
          <w:rFonts w:cs="Arial"/>
          <w:b/>
          <w:bCs/>
          <w:sz w:val="18"/>
          <w:szCs w:val="18"/>
        </w:rPr>
      </w:pPr>
      <w:r w:rsidRPr="00382E66">
        <w:rPr>
          <w:rFonts w:cs="Arial"/>
          <w:b/>
          <w:bCs/>
          <w:sz w:val="18"/>
          <w:szCs w:val="18"/>
        </w:rPr>
        <w:t>Accounting Policy</w:t>
      </w:r>
    </w:p>
    <w:p w14:paraId="57D4B1FC" w14:textId="77777777" w:rsidR="00C32CBD" w:rsidRPr="009A0009" w:rsidRDefault="00C32CBD" w:rsidP="00C32CBD">
      <w:pPr>
        <w:pStyle w:val="PolicytextDept"/>
        <w:rPr>
          <w:i/>
          <w:iCs/>
          <w:u w:val="single"/>
        </w:rPr>
      </w:pPr>
      <w:r w:rsidRPr="009A0009">
        <w:rPr>
          <w:i/>
          <w:u w:val="single"/>
        </w:rPr>
        <w:t>In-kind contributions</w:t>
      </w:r>
    </w:p>
    <w:p w14:paraId="15BCFD92" w14:textId="77777777" w:rsidR="00C32CBD" w:rsidRDefault="00C32CBD" w:rsidP="00C32CBD">
      <w:pPr>
        <w:pStyle w:val="PolicytextDept"/>
      </w:pPr>
      <w:r w:rsidRPr="009A0009">
        <w:t xml:space="preserve">Prior to the commencement of the Scheme, the Commonwealth and each state and territory government had committed to provide (directly or by engaging service providers) items such as disability services, health, family support, education, employment, transport and/or housing to people with a disability. The provision of these services on behalf of the Agency is regarded as an in-kind contribution under Australian Accounting Standards and is accounted for as income from the contribution of services at the date when the services are provided.  The fair value of these contributions is the unit </w:t>
      </w:r>
      <w:r>
        <w:t>cost</w:t>
      </w:r>
      <w:r w:rsidRPr="009A0009">
        <w:t xml:space="preserve"> provided by the jurisdiction which is based on what the jurisdiction has paid under its funding arrangements with the provider.</w:t>
      </w:r>
    </w:p>
    <w:p w14:paraId="0E588888" w14:textId="77777777" w:rsidR="00C32CBD" w:rsidRPr="00382E66" w:rsidRDefault="00C32CBD" w:rsidP="00C32CBD">
      <w:pPr>
        <w:pBdr>
          <w:top w:val="single" w:sz="4" w:space="1" w:color="009560"/>
          <w:left w:val="single" w:sz="4" w:space="0" w:color="009560"/>
          <w:bottom w:val="single" w:sz="4" w:space="1" w:color="009560"/>
          <w:right w:val="single" w:sz="4" w:space="0" w:color="009560"/>
        </w:pBdr>
        <w:spacing w:line="120" w:lineRule="atLeast"/>
        <w:rPr>
          <w:rFonts w:cs="Arial"/>
          <w:bCs/>
          <w:i/>
          <w:sz w:val="18"/>
          <w:szCs w:val="18"/>
          <w:u w:val="single"/>
        </w:rPr>
      </w:pPr>
      <w:r w:rsidRPr="00382E66">
        <w:rPr>
          <w:rFonts w:cs="Arial"/>
          <w:bCs/>
          <w:i/>
          <w:sz w:val="18"/>
          <w:szCs w:val="18"/>
          <w:u w:val="single"/>
        </w:rPr>
        <w:t xml:space="preserve">Resources </w:t>
      </w:r>
      <w:r>
        <w:rPr>
          <w:rFonts w:cs="Arial"/>
          <w:bCs/>
          <w:i/>
          <w:sz w:val="18"/>
          <w:szCs w:val="18"/>
          <w:u w:val="single"/>
        </w:rPr>
        <w:t>r</w:t>
      </w:r>
      <w:r w:rsidRPr="00382E66">
        <w:rPr>
          <w:rFonts w:cs="Arial"/>
          <w:bCs/>
          <w:i/>
          <w:sz w:val="18"/>
          <w:szCs w:val="18"/>
          <w:u w:val="single"/>
        </w:rPr>
        <w:t xml:space="preserve">eceived </w:t>
      </w:r>
      <w:r>
        <w:rPr>
          <w:rFonts w:cs="Arial"/>
          <w:bCs/>
          <w:i/>
          <w:sz w:val="18"/>
          <w:szCs w:val="18"/>
          <w:u w:val="single"/>
        </w:rPr>
        <w:t>f</w:t>
      </w:r>
      <w:r w:rsidRPr="00382E66">
        <w:rPr>
          <w:rFonts w:cs="Arial"/>
          <w:bCs/>
          <w:i/>
          <w:sz w:val="18"/>
          <w:szCs w:val="18"/>
          <w:u w:val="single"/>
        </w:rPr>
        <w:t xml:space="preserve">ree of </w:t>
      </w:r>
      <w:r>
        <w:rPr>
          <w:rFonts w:cs="Arial"/>
          <w:bCs/>
          <w:i/>
          <w:sz w:val="18"/>
          <w:szCs w:val="18"/>
          <w:u w:val="single"/>
        </w:rPr>
        <w:t>c</w:t>
      </w:r>
      <w:r w:rsidRPr="00382E66">
        <w:rPr>
          <w:rFonts w:cs="Arial"/>
          <w:bCs/>
          <w:i/>
          <w:sz w:val="18"/>
          <w:szCs w:val="18"/>
          <w:u w:val="single"/>
        </w:rPr>
        <w:t>harge</w:t>
      </w:r>
      <w:r>
        <w:rPr>
          <w:rFonts w:cs="Arial"/>
          <w:bCs/>
          <w:i/>
          <w:sz w:val="18"/>
          <w:szCs w:val="18"/>
          <w:u w:val="single"/>
        </w:rPr>
        <w:t xml:space="preserve"> (</w:t>
      </w:r>
      <w:r w:rsidRPr="002E1161">
        <w:rPr>
          <w:rFonts w:cs="Arial"/>
          <w:bCs/>
          <w:i/>
          <w:sz w:val="18"/>
          <w:szCs w:val="18"/>
          <w:u w:val="single"/>
        </w:rPr>
        <w:t>Contributions in-kind from Commonwealth, state and territory governments</w:t>
      </w:r>
      <w:r>
        <w:rPr>
          <w:rFonts w:cs="Arial"/>
          <w:bCs/>
          <w:i/>
          <w:sz w:val="18"/>
          <w:szCs w:val="18"/>
          <w:u w:val="single"/>
        </w:rPr>
        <w:t>)</w:t>
      </w:r>
    </w:p>
    <w:p w14:paraId="757A8F9C" w14:textId="77777777" w:rsidR="00C32CBD" w:rsidRPr="009E0391" w:rsidRDefault="00C32CBD" w:rsidP="00C32CBD">
      <w:pPr>
        <w:pBdr>
          <w:top w:val="single" w:sz="4" w:space="1" w:color="009560"/>
          <w:left w:val="single" w:sz="4" w:space="0" w:color="009560"/>
          <w:bottom w:val="single" w:sz="4" w:space="1" w:color="009560"/>
          <w:right w:val="single" w:sz="4" w:space="0" w:color="009560"/>
        </w:pBdr>
        <w:spacing w:line="120" w:lineRule="atLeast"/>
        <w:rPr>
          <w:rFonts w:cs="Arial"/>
          <w:bCs/>
          <w:sz w:val="18"/>
          <w:szCs w:val="18"/>
        </w:rPr>
      </w:pPr>
      <w:r w:rsidRPr="009E0391">
        <w:rPr>
          <w:rFonts w:cs="Arial"/>
          <w:bCs/>
          <w:sz w:val="18"/>
          <w:szCs w:val="18"/>
        </w:rPr>
        <w:t xml:space="preserve">Resources received free of charge are recognised as </w:t>
      </w:r>
      <w:r>
        <w:rPr>
          <w:rFonts w:cs="Arial"/>
          <w:bCs/>
          <w:sz w:val="18"/>
          <w:szCs w:val="18"/>
        </w:rPr>
        <w:t>own-source income</w:t>
      </w:r>
      <w:r w:rsidRPr="009E0391">
        <w:rPr>
          <w:rFonts w:cs="Arial"/>
          <w:bCs/>
          <w:sz w:val="18"/>
          <w:szCs w:val="18"/>
        </w:rPr>
        <w:t xml:space="preserve"> when, and only when, a fair value can be reliably determined and the services would have been purchased if they had not been contributed.  Use of those resources is recognised as an expense.  Resources received free of charge are recorded as either revenue or gains depending on their nature.</w:t>
      </w:r>
    </w:p>
    <w:p w14:paraId="79E45B70" w14:textId="77777777" w:rsidR="00C32CBD" w:rsidRDefault="00C32CBD" w:rsidP="00C32CBD">
      <w:pPr>
        <w:pBdr>
          <w:top w:val="single" w:sz="4" w:space="1" w:color="009560"/>
          <w:left w:val="single" w:sz="4" w:space="0" w:color="009560"/>
          <w:bottom w:val="single" w:sz="4" w:space="1" w:color="009560"/>
          <w:right w:val="single" w:sz="4" w:space="0" w:color="009560"/>
        </w:pBdr>
        <w:spacing w:line="120" w:lineRule="atLeast"/>
        <w:rPr>
          <w:rFonts w:cs="Arial"/>
          <w:bCs/>
          <w:sz w:val="18"/>
          <w:szCs w:val="18"/>
        </w:rPr>
      </w:pPr>
      <w:r w:rsidRPr="009E0391">
        <w:rPr>
          <w:rFonts w:cs="Arial"/>
          <w:bCs/>
          <w:sz w:val="18"/>
          <w:szCs w:val="18"/>
        </w:rPr>
        <w:t xml:space="preserve">Contributions of assets at no cost of acquisition or for nominal consideration are recognised as gains at their fair value when the asset qualifies for recognition, unless received from another Government entity as a consequence of a restructuring of administrative arrangements. </w:t>
      </w:r>
    </w:p>
    <w:p w14:paraId="4894DCFC" w14:textId="77777777" w:rsidR="00C32CBD" w:rsidRPr="00AD7F9C" w:rsidRDefault="00C32CBD" w:rsidP="00C32CBD">
      <w:pPr>
        <w:pBdr>
          <w:top w:val="single" w:sz="4" w:space="1" w:color="009560"/>
          <w:left w:val="single" w:sz="4" w:space="0" w:color="009560"/>
          <w:bottom w:val="single" w:sz="4" w:space="1" w:color="009560"/>
          <w:right w:val="single" w:sz="4" w:space="0" w:color="009560"/>
        </w:pBdr>
        <w:spacing w:line="120" w:lineRule="atLeast"/>
        <w:rPr>
          <w:rFonts w:cs="Arial"/>
          <w:bCs/>
          <w:i/>
          <w:sz w:val="18"/>
          <w:szCs w:val="18"/>
          <w:u w:val="single"/>
        </w:rPr>
      </w:pPr>
      <w:r>
        <w:rPr>
          <w:rFonts w:cs="Arial"/>
          <w:bCs/>
          <w:i/>
          <w:sz w:val="18"/>
          <w:szCs w:val="18"/>
          <w:u w:val="single"/>
        </w:rPr>
        <w:t xml:space="preserve">Gains and losses from disposal </w:t>
      </w:r>
      <w:r w:rsidRPr="00AD7F9C">
        <w:rPr>
          <w:rFonts w:cs="Arial"/>
          <w:bCs/>
          <w:i/>
          <w:sz w:val="18"/>
          <w:szCs w:val="18"/>
          <w:u w:val="single"/>
        </w:rPr>
        <w:t xml:space="preserve">of </w:t>
      </w:r>
      <w:r>
        <w:rPr>
          <w:rFonts w:cs="Arial"/>
          <w:bCs/>
          <w:i/>
          <w:sz w:val="18"/>
          <w:szCs w:val="18"/>
          <w:u w:val="single"/>
        </w:rPr>
        <w:t>a</w:t>
      </w:r>
      <w:r w:rsidRPr="00AD7F9C">
        <w:rPr>
          <w:rFonts w:cs="Arial"/>
          <w:bCs/>
          <w:i/>
          <w:sz w:val="18"/>
          <w:szCs w:val="18"/>
          <w:u w:val="single"/>
        </w:rPr>
        <w:t>ssets</w:t>
      </w:r>
    </w:p>
    <w:p w14:paraId="11EE8EC9" w14:textId="77777777" w:rsidR="00C32CBD" w:rsidRDefault="00C32CBD" w:rsidP="00C32CBD">
      <w:pPr>
        <w:pBdr>
          <w:top w:val="single" w:sz="4" w:space="1" w:color="009560"/>
          <w:left w:val="single" w:sz="4" w:space="0" w:color="009560"/>
          <w:bottom w:val="single" w:sz="4" w:space="1" w:color="009560"/>
          <w:right w:val="single" w:sz="4" w:space="0" w:color="009560"/>
        </w:pBdr>
        <w:spacing w:line="120" w:lineRule="atLeast"/>
        <w:rPr>
          <w:rFonts w:cs="Arial"/>
          <w:bCs/>
          <w:sz w:val="18"/>
          <w:szCs w:val="18"/>
        </w:rPr>
      </w:pPr>
      <w:r w:rsidRPr="00AD7F9C">
        <w:rPr>
          <w:rFonts w:cs="Arial"/>
          <w:bCs/>
          <w:sz w:val="18"/>
          <w:szCs w:val="18"/>
        </w:rPr>
        <w:t>Gains and losses from the disposal of assets are recognised when control of the asset has passed to the buyer</w:t>
      </w:r>
      <w:r>
        <w:rPr>
          <w:rFonts w:cs="Arial"/>
          <w:bCs/>
          <w:sz w:val="18"/>
          <w:szCs w:val="18"/>
        </w:rPr>
        <w:t>.</w:t>
      </w:r>
    </w:p>
    <w:p w14:paraId="07E86354" w14:textId="77777777" w:rsidR="00C32CBD" w:rsidRPr="00906893" w:rsidRDefault="00C32CBD" w:rsidP="00C32CBD">
      <w:pPr>
        <w:pStyle w:val="PolicytextDept"/>
        <w:rPr>
          <w:b/>
        </w:rPr>
      </w:pPr>
      <w:r w:rsidRPr="00906893">
        <w:rPr>
          <w:b/>
        </w:rPr>
        <w:t>Key judgements and estimates</w:t>
      </w:r>
    </w:p>
    <w:p w14:paraId="79374ABB" w14:textId="77777777" w:rsidR="00C32CBD" w:rsidRPr="009A0009" w:rsidRDefault="00C32CBD" w:rsidP="00C32CBD">
      <w:pPr>
        <w:pStyle w:val="PolicytextDept"/>
        <w:rPr>
          <w:i/>
          <w:iCs/>
          <w:u w:val="single"/>
        </w:rPr>
      </w:pPr>
      <w:r w:rsidRPr="009A0009">
        <w:rPr>
          <w:i/>
          <w:u w:val="single"/>
        </w:rPr>
        <w:t>In-kind contributions</w:t>
      </w:r>
    </w:p>
    <w:p w14:paraId="593AD122" w14:textId="77777777" w:rsidR="00C32CBD" w:rsidRDefault="00C32CBD" w:rsidP="00C32CBD">
      <w:pPr>
        <w:pStyle w:val="PolicytextDept"/>
      </w:pPr>
      <w:r w:rsidRPr="00906893">
        <w:t>The Agency records income in relation to non-cash or in-kind contributions from Commonwealth, state and territory governments at the time when the services are provided to participants</w:t>
      </w:r>
      <w:r>
        <w:t>.</w:t>
      </w:r>
      <w:r w:rsidRPr="00906893">
        <w:t xml:space="preserve"> In some cases, the Agency may not have been formally notified that the Commonwealth or a state or territory government has provided or funded a contribution to a participant and in this case the Agency makes an estimate of the amount of in-kind contributions provided to participants during the period but not yet notified to the Agency based on available evidence.</w:t>
      </w:r>
    </w:p>
    <w:p w14:paraId="4075E017" w14:textId="77777777" w:rsidR="00C32CBD" w:rsidRPr="005E5430" w:rsidRDefault="00C32CBD" w:rsidP="00C32CBD">
      <w:pPr>
        <w:rPr>
          <w:rFonts w:cs="Arial"/>
          <w:b/>
          <w:bCs/>
          <w:sz w:val="18"/>
          <w:szCs w:val="18"/>
        </w:rPr>
      </w:pPr>
    </w:p>
    <w:p w14:paraId="0522AAED" w14:textId="77777777" w:rsidR="00C32CBD" w:rsidRPr="009C036E" w:rsidRDefault="00C32CBD" w:rsidP="00C32CBD">
      <w:pPr>
        <w:pStyle w:val="PolicyheadingDept"/>
      </w:pPr>
      <w:r w:rsidRPr="009C036E">
        <w:t>Accounting Policy</w:t>
      </w:r>
    </w:p>
    <w:p w14:paraId="1E03EE09" w14:textId="77777777" w:rsidR="00C32CBD" w:rsidRDefault="00C32CBD" w:rsidP="00C32CBD">
      <w:pPr>
        <w:pStyle w:val="PolicytextDept"/>
        <w:rPr>
          <w:i/>
          <w:iCs/>
          <w:u w:val="single"/>
        </w:rPr>
      </w:pPr>
      <w:r w:rsidRPr="009C036E">
        <w:rPr>
          <w:i/>
          <w:iCs/>
          <w:u w:val="single"/>
        </w:rPr>
        <w:t xml:space="preserve">Revenue from Government </w:t>
      </w:r>
    </w:p>
    <w:p w14:paraId="17CFA1FE" w14:textId="77777777" w:rsidR="00C32CBD" w:rsidRDefault="00C32CBD" w:rsidP="00C32CBD">
      <w:pPr>
        <w:pStyle w:val="PolicytextDept"/>
        <w:rPr>
          <w:iCs/>
        </w:rPr>
      </w:pPr>
      <w:r w:rsidRPr="009E0391">
        <w:rPr>
          <w:iCs/>
        </w:rPr>
        <w:t xml:space="preserve">Funding received from </w:t>
      </w:r>
      <w:r>
        <w:rPr>
          <w:iCs/>
        </w:rPr>
        <w:t>the Department of Social Services</w:t>
      </w:r>
      <w:r w:rsidRPr="009E0391">
        <w:rPr>
          <w:iCs/>
        </w:rPr>
        <w:t xml:space="preserve"> (received by the Agency as a Corporate Commonwealth entity payment item) is recognised as Revenue from Government unless the funding is in the nature of an equity injection or a loan. </w:t>
      </w:r>
    </w:p>
    <w:p w14:paraId="13865522" w14:textId="77777777" w:rsidR="00C32CBD" w:rsidRDefault="00C32CBD" w:rsidP="00C32CBD">
      <w:pPr>
        <w:pStyle w:val="PolicytextDept"/>
        <w:rPr>
          <w:iCs/>
        </w:rPr>
      </w:pPr>
      <w:r>
        <w:rPr>
          <w:iCs/>
        </w:rPr>
        <w:t>Funding received from Government up to 30 June 2017: $1,598.47M (2016: $581.07M)</w:t>
      </w:r>
    </w:p>
    <w:p w14:paraId="237CB43F" w14:textId="77777777" w:rsidR="00C32CBD" w:rsidRPr="009E0391" w:rsidRDefault="00C32CBD" w:rsidP="00C32CBD">
      <w:pPr>
        <w:pStyle w:val="PolicytextDept"/>
        <w:rPr>
          <w:iCs/>
        </w:rPr>
      </w:pPr>
    </w:p>
    <w:p w14:paraId="021BA5E3" w14:textId="77777777" w:rsidR="00C32CBD" w:rsidRPr="005E5430" w:rsidRDefault="00C32CBD" w:rsidP="00C32CBD">
      <w:pPr>
        <w:rPr>
          <w:rFonts w:cs="Arial"/>
          <w:b/>
          <w:bCs/>
          <w:sz w:val="18"/>
          <w:szCs w:val="18"/>
        </w:rPr>
      </w:pPr>
    </w:p>
    <w:p w14:paraId="79B7B680" w14:textId="77777777" w:rsidR="00C32CBD" w:rsidRPr="005E5430" w:rsidRDefault="00C32CBD" w:rsidP="00C32CBD">
      <w:pPr>
        <w:rPr>
          <w:rFonts w:cs="Arial"/>
          <w:b/>
          <w:bCs/>
          <w:sz w:val="18"/>
          <w:szCs w:val="18"/>
        </w:rPr>
      </w:pPr>
    </w:p>
    <w:p w14:paraId="17E13FD2" w14:textId="77777777" w:rsidR="00C32CBD" w:rsidRPr="005E5430" w:rsidRDefault="00C32CBD" w:rsidP="00C32CBD">
      <w:pPr>
        <w:pStyle w:val="NotesHeading-Level1"/>
        <w:sectPr w:rsidR="00C32CBD" w:rsidRPr="005E5430" w:rsidSect="00320D09">
          <w:pgSz w:w="11906" w:h="16838" w:code="9"/>
          <w:pgMar w:top="1134" w:right="1701" w:bottom="1134" w:left="1134" w:header="958" w:footer="737" w:gutter="0"/>
          <w:cols w:space="708"/>
          <w:docGrid w:linePitch="360"/>
        </w:sectPr>
      </w:pPr>
    </w:p>
    <w:p w14:paraId="375A144F" w14:textId="77777777" w:rsidR="00C32CBD" w:rsidRDefault="00C32CBD" w:rsidP="00C32CBD">
      <w:pPr>
        <w:pStyle w:val="SectionHeading"/>
      </w:pPr>
      <w:bookmarkStart w:id="114" w:name="_Toc443469528"/>
      <w:bookmarkStart w:id="115" w:name="_Toc444065778"/>
      <w:bookmarkStart w:id="116" w:name="_Toc444077338"/>
      <w:bookmarkStart w:id="117" w:name="_Toc447030538"/>
      <w:bookmarkStart w:id="118" w:name="_Toc447030690"/>
      <w:bookmarkStart w:id="119" w:name="_Toc447030783"/>
      <w:bookmarkStart w:id="120" w:name="_Toc456865056"/>
      <w:bookmarkStart w:id="121" w:name="_Toc496611900"/>
      <w:bookmarkStart w:id="122" w:name="_Toc444065779"/>
      <w:r>
        <w:t xml:space="preserve">Financial </w:t>
      </w:r>
      <w:r w:rsidRPr="009E424E">
        <w:t>Position</w:t>
      </w:r>
      <w:bookmarkEnd w:id="114"/>
      <w:bookmarkEnd w:id="115"/>
      <w:bookmarkEnd w:id="116"/>
      <w:bookmarkEnd w:id="117"/>
      <w:bookmarkEnd w:id="118"/>
      <w:bookmarkEnd w:id="119"/>
      <w:bookmarkEnd w:id="120"/>
      <w:bookmarkEnd w:id="121"/>
    </w:p>
    <w:p w14:paraId="15C9FD4F" w14:textId="77777777" w:rsidR="00C32CBD" w:rsidRPr="00BE05B2" w:rsidRDefault="00C32CBD" w:rsidP="00C32CBD">
      <w:pPr>
        <w:pStyle w:val="SectionHeadingDescription"/>
      </w:pPr>
      <w:r w:rsidRPr="00BE05B2">
        <w:t>This section analyses the</w:t>
      </w:r>
      <w:r>
        <w:t xml:space="preserve"> Agency’s </w:t>
      </w:r>
      <w:r w:rsidRPr="00BE05B2">
        <w:t xml:space="preserve">assets used to </w:t>
      </w:r>
      <w:r>
        <w:t>conduct its operations</w:t>
      </w:r>
      <w:r w:rsidRPr="00BE05B2">
        <w:t xml:space="preserve"> and the operating liabilities incurred as a result.</w:t>
      </w:r>
      <w:bookmarkEnd w:id="122"/>
    </w:p>
    <w:p w14:paraId="010774AD" w14:textId="77777777" w:rsidR="00C32CBD" w:rsidRPr="00BE05B2" w:rsidRDefault="00C32CBD" w:rsidP="00C32CBD">
      <w:pPr>
        <w:pStyle w:val="SectionHeadingDescription"/>
      </w:pPr>
      <w:bookmarkStart w:id="123" w:name="_Toc444065780"/>
      <w:r w:rsidRPr="00BE05B2">
        <w:t xml:space="preserve">Employee related information is disclosed in the </w:t>
      </w:r>
      <w:r>
        <w:t>Governance, Employees</w:t>
      </w:r>
      <w:r w:rsidRPr="00BE05B2">
        <w:t xml:space="preserve"> and Relationships section.</w:t>
      </w:r>
      <w:bookmarkEnd w:id="123"/>
    </w:p>
    <w:p w14:paraId="1613D470" w14:textId="77777777" w:rsidR="00C32CBD" w:rsidRPr="00714F4A" w:rsidRDefault="00C32CBD" w:rsidP="00C32CBD">
      <w:pPr>
        <w:pStyle w:val="ListParagraph"/>
        <w:numPr>
          <w:ilvl w:val="0"/>
          <w:numId w:val="29"/>
        </w:numPr>
        <w:shd w:val="clear" w:color="auto" w:fill="FEFFFF" w:themeFill="text1"/>
        <w:spacing w:before="0" w:after="0" w:line="260" w:lineRule="atLeast"/>
        <w:contextualSpacing w:val="0"/>
        <w:outlineLvl w:val="1"/>
        <w:rPr>
          <w:rFonts w:eastAsia="Times New Roman" w:cs="Arial"/>
          <w:b/>
          <w:vanish/>
          <w:szCs w:val="20"/>
        </w:rPr>
      </w:pPr>
      <w:bookmarkStart w:id="124" w:name="_Toc447116444"/>
      <w:bookmarkStart w:id="125" w:name="_Toc447542878"/>
      <w:bookmarkStart w:id="126" w:name="_Toc447787253"/>
      <w:bookmarkStart w:id="127" w:name="_Toc448415753"/>
      <w:bookmarkStart w:id="128" w:name="_Toc448500678"/>
      <w:bookmarkStart w:id="129" w:name="_Toc449452840"/>
      <w:bookmarkStart w:id="130" w:name="_Toc456185882"/>
      <w:bookmarkStart w:id="131" w:name="_Toc456185939"/>
      <w:bookmarkStart w:id="132" w:name="_Toc456256300"/>
      <w:bookmarkStart w:id="133" w:name="_Toc456865057"/>
      <w:bookmarkStart w:id="134" w:name="_Toc443469529"/>
      <w:bookmarkStart w:id="135" w:name="_Toc444065781"/>
      <w:bookmarkStart w:id="136" w:name="_Toc444077339"/>
      <w:bookmarkStart w:id="137" w:name="_Toc447030539"/>
      <w:bookmarkStart w:id="138" w:name="_Toc447030691"/>
      <w:bookmarkStart w:id="139" w:name="_Toc447030784"/>
      <w:bookmarkEnd w:id="124"/>
      <w:bookmarkEnd w:id="125"/>
      <w:bookmarkEnd w:id="126"/>
      <w:bookmarkEnd w:id="127"/>
      <w:bookmarkEnd w:id="128"/>
      <w:bookmarkEnd w:id="129"/>
      <w:bookmarkEnd w:id="130"/>
      <w:bookmarkEnd w:id="131"/>
      <w:bookmarkEnd w:id="132"/>
      <w:bookmarkEnd w:id="133"/>
    </w:p>
    <w:p w14:paraId="11C97A06" w14:textId="77777777" w:rsidR="00C32CBD" w:rsidRPr="009C036E" w:rsidRDefault="00C32CBD" w:rsidP="00C32CBD">
      <w:pPr>
        <w:pStyle w:val="SubHeading"/>
        <w:numPr>
          <w:ilvl w:val="1"/>
          <w:numId w:val="29"/>
        </w:numPr>
        <w:ind w:left="426" w:hanging="426"/>
      </w:pPr>
      <w:bookmarkStart w:id="140" w:name="_Toc456865058"/>
      <w:bookmarkStart w:id="141" w:name="_Toc496611901"/>
      <w:r w:rsidRPr="00714F4A">
        <w:t>Fin</w:t>
      </w:r>
      <w:r w:rsidRPr="009C036E">
        <w:t>ancial Assets</w:t>
      </w:r>
      <w:bookmarkEnd w:id="134"/>
      <w:bookmarkEnd w:id="135"/>
      <w:bookmarkEnd w:id="136"/>
      <w:bookmarkEnd w:id="137"/>
      <w:bookmarkEnd w:id="138"/>
      <w:bookmarkEnd w:id="139"/>
      <w:bookmarkEnd w:id="140"/>
      <w:bookmarkEnd w:id="141"/>
    </w:p>
    <w:tbl>
      <w:tblPr>
        <w:tblW w:w="9087" w:type="dxa"/>
        <w:tblInd w:w="80" w:type="dxa"/>
        <w:tblLayout w:type="fixed"/>
        <w:tblLook w:val="04A0" w:firstRow="1" w:lastRow="0" w:firstColumn="1" w:lastColumn="0" w:noHBand="0" w:noVBand="1"/>
      </w:tblPr>
      <w:tblGrid>
        <w:gridCol w:w="6353"/>
        <w:gridCol w:w="1249"/>
        <w:gridCol w:w="236"/>
        <w:gridCol w:w="1249"/>
      </w:tblGrid>
      <w:tr w:rsidR="00C32CBD" w14:paraId="03ABC78A" w14:textId="77777777" w:rsidTr="00320D09">
        <w:trPr>
          <w:trHeight w:val="255"/>
        </w:trPr>
        <w:tc>
          <w:tcPr>
            <w:tcW w:w="6353" w:type="dxa"/>
            <w:tcBorders>
              <w:top w:val="nil"/>
              <w:left w:val="nil"/>
              <w:bottom w:val="nil"/>
              <w:right w:val="nil"/>
            </w:tcBorders>
            <w:shd w:val="clear" w:color="FFFFFF" w:fill="FFFFFF"/>
            <w:noWrap/>
            <w:vAlign w:val="bottom"/>
            <w:hideMark/>
          </w:tcPr>
          <w:p w14:paraId="795AF308" w14:textId="77777777" w:rsidR="00C32CBD" w:rsidRDefault="00C32CBD" w:rsidP="00320D09">
            <w:pPr>
              <w:rPr>
                <w:rFonts w:cs="Arial"/>
                <w:sz w:val="18"/>
                <w:szCs w:val="18"/>
              </w:rPr>
            </w:pPr>
            <w:bookmarkStart w:id="142" w:name="Note_CSHTABLE1" w:colFirst="0" w:colLast="0"/>
            <w:r>
              <w:rPr>
                <w:rFonts w:cs="Arial"/>
                <w:sz w:val="18"/>
                <w:szCs w:val="18"/>
              </w:rPr>
              <w:t> </w:t>
            </w:r>
          </w:p>
        </w:tc>
        <w:tc>
          <w:tcPr>
            <w:tcW w:w="1249" w:type="dxa"/>
            <w:tcBorders>
              <w:top w:val="nil"/>
              <w:left w:val="nil"/>
              <w:bottom w:val="nil"/>
              <w:right w:val="nil"/>
            </w:tcBorders>
            <w:shd w:val="clear" w:color="FFFFFF" w:fill="FFFFFF"/>
            <w:noWrap/>
            <w:vAlign w:val="bottom"/>
            <w:hideMark/>
          </w:tcPr>
          <w:p w14:paraId="312A80F7" w14:textId="77777777" w:rsidR="00C32CBD" w:rsidRDefault="00C32CBD" w:rsidP="00320D09">
            <w:pPr>
              <w:jc w:val="right"/>
              <w:rPr>
                <w:rFonts w:cs="Arial"/>
                <w:b/>
                <w:bCs/>
                <w:sz w:val="18"/>
                <w:szCs w:val="18"/>
              </w:rPr>
            </w:pPr>
            <w:r>
              <w:rPr>
                <w:rFonts w:cs="Arial"/>
                <w:b/>
                <w:bCs/>
                <w:sz w:val="18"/>
                <w:szCs w:val="18"/>
              </w:rPr>
              <w:t>2017</w:t>
            </w:r>
          </w:p>
        </w:tc>
        <w:tc>
          <w:tcPr>
            <w:tcW w:w="236" w:type="dxa"/>
            <w:tcBorders>
              <w:top w:val="nil"/>
              <w:left w:val="nil"/>
              <w:bottom w:val="nil"/>
              <w:right w:val="nil"/>
            </w:tcBorders>
            <w:shd w:val="clear" w:color="FFFFFF" w:fill="FFFFFF"/>
            <w:noWrap/>
            <w:vAlign w:val="bottom"/>
            <w:hideMark/>
          </w:tcPr>
          <w:p w14:paraId="46A25A1F"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5D6841A9" w14:textId="77777777" w:rsidR="00C32CBD" w:rsidRDefault="00C32CBD" w:rsidP="00320D09">
            <w:pPr>
              <w:jc w:val="right"/>
              <w:rPr>
                <w:rFonts w:cs="Arial"/>
                <w:sz w:val="18"/>
                <w:szCs w:val="18"/>
              </w:rPr>
            </w:pPr>
            <w:r>
              <w:rPr>
                <w:rFonts w:cs="Arial"/>
                <w:sz w:val="18"/>
                <w:szCs w:val="18"/>
              </w:rPr>
              <w:t>2016</w:t>
            </w:r>
          </w:p>
        </w:tc>
      </w:tr>
      <w:bookmarkEnd w:id="142"/>
      <w:tr w:rsidR="00C32CBD" w14:paraId="5C973FCF" w14:textId="77777777" w:rsidTr="00320D09">
        <w:trPr>
          <w:trHeight w:val="255"/>
        </w:trPr>
        <w:tc>
          <w:tcPr>
            <w:tcW w:w="6353" w:type="dxa"/>
            <w:tcBorders>
              <w:top w:val="nil"/>
              <w:left w:val="nil"/>
              <w:bottom w:val="nil"/>
              <w:right w:val="nil"/>
            </w:tcBorders>
            <w:shd w:val="clear" w:color="FFFFFF" w:fill="FFFFFF"/>
            <w:noWrap/>
            <w:vAlign w:val="bottom"/>
            <w:hideMark/>
          </w:tcPr>
          <w:p w14:paraId="7012B61F"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18E1BDEC" w14:textId="77777777" w:rsidR="00C32CBD" w:rsidRDefault="00C32CBD" w:rsidP="00320D09">
            <w:pPr>
              <w:jc w:val="right"/>
              <w:rPr>
                <w:rFonts w:cs="Arial"/>
                <w:b/>
                <w:bCs/>
                <w:sz w:val="18"/>
                <w:szCs w:val="18"/>
              </w:rPr>
            </w:pPr>
            <w:r>
              <w:rPr>
                <w:rFonts w:cs="Arial"/>
                <w:b/>
                <w:bCs/>
                <w:sz w:val="18"/>
                <w:szCs w:val="18"/>
              </w:rPr>
              <w:t>$'000</w:t>
            </w:r>
          </w:p>
        </w:tc>
        <w:tc>
          <w:tcPr>
            <w:tcW w:w="236" w:type="dxa"/>
            <w:tcBorders>
              <w:top w:val="nil"/>
              <w:left w:val="nil"/>
              <w:bottom w:val="nil"/>
              <w:right w:val="nil"/>
            </w:tcBorders>
            <w:shd w:val="clear" w:color="FFFFFF" w:fill="FFFFFF"/>
            <w:noWrap/>
            <w:vAlign w:val="bottom"/>
            <w:hideMark/>
          </w:tcPr>
          <w:p w14:paraId="273FC78D"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54D72445" w14:textId="77777777" w:rsidR="00C32CBD" w:rsidRDefault="00C32CBD" w:rsidP="00320D09">
            <w:pPr>
              <w:jc w:val="right"/>
              <w:rPr>
                <w:rFonts w:cs="Arial"/>
                <w:sz w:val="18"/>
                <w:szCs w:val="18"/>
              </w:rPr>
            </w:pPr>
            <w:r>
              <w:rPr>
                <w:rFonts w:cs="Arial"/>
                <w:sz w:val="18"/>
                <w:szCs w:val="18"/>
              </w:rPr>
              <w:t>$'000</w:t>
            </w:r>
          </w:p>
        </w:tc>
      </w:tr>
      <w:tr w:rsidR="00C32CBD" w14:paraId="2E875A26" w14:textId="77777777" w:rsidTr="00320D09">
        <w:trPr>
          <w:trHeight w:val="255"/>
        </w:trPr>
        <w:tc>
          <w:tcPr>
            <w:tcW w:w="6353" w:type="dxa"/>
            <w:tcBorders>
              <w:top w:val="nil"/>
              <w:left w:val="nil"/>
              <w:bottom w:val="nil"/>
              <w:right w:val="nil"/>
            </w:tcBorders>
            <w:shd w:val="clear" w:color="FFFFFF" w:fill="FFFFFF"/>
            <w:noWrap/>
            <w:vAlign w:val="bottom"/>
            <w:hideMark/>
          </w:tcPr>
          <w:p w14:paraId="3177D2C0" w14:textId="77777777" w:rsidR="00C32CBD" w:rsidRDefault="00C32CBD" w:rsidP="00320D09">
            <w:pPr>
              <w:rPr>
                <w:rFonts w:cs="Arial"/>
                <w:b/>
                <w:bCs/>
                <w:sz w:val="18"/>
                <w:szCs w:val="18"/>
                <w:u w:val="single"/>
              </w:rPr>
            </w:pPr>
            <w:r>
              <w:rPr>
                <w:rFonts w:cs="Arial"/>
                <w:b/>
                <w:bCs/>
                <w:sz w:val="18"/>
                <w:szCs w:val="18"/>
                <w:u w:val="single"/>
              </w:rPr>
              <w:t>Note 2.1A: Cash and cash equivalents</w:t>
            </w:r>
          </w:p>
        </w:tc>
        <w:tc>
          <w:tcPr>
            <w:tcW w:w="1249" w:type="dxa"/>
            <w:tcBorders>
              <w:top w:val="nil"/>
              <w:left w:val="nil"/>
              <w:bottom w:val="nil"/>
              <w:right w:val="nil"/>
            </w:tcBorders>
            <w:shd w:val="clear" w:color="FFFFFF" w:fill="FFFFFF"/>
            <w:noWrap/>
            <w:vAlign w:val="bottom"/>
            <w:hideMark/>
          </w:tcPr>
          <w:p w14:paraId="5CDCCE77"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1DE98658"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22D3B304" w14:textId="77777777" w:rsidR="00C32CBD" w:rsidRDefault="00C32CBD" w:rsidP="00320D09">
            <w:pPr>
              <w:rPr>
                <w:rFonts w:cs="Arial"/>
                <w:sz w:val="18"/>
                <w:szCs w:val="18"/>
              </w:rPr>
            </w:pPr>
            <w:r>
              <w:rPr>
                <w:rFonts w:cs="Arial"/>
                <w:sz w:val="18"/>
                <w:szCs w:val="18"/>
              </w:rPr>
              <w:t> </w:t>
            </w:r>
          </w:p>
        </w:tc>
      </w:tr>
      <w:tr w:rsidR="00C32CBD" w14:paraId="45332193" w14:textId="77777777" w:rsidTr="00320D09">
        <w:trPr>
          <w:trHeight w:val="255"/>
        </w:trPr>
        <w:tc>
          <w:tcPr>
            <w:tcW w:w="6353" w:type="dxa"/>
            <w:tcBorders>
              <w:top w:val="nil"/>
              <w:left w:val="nil"/>
              <w:bottom w:val="nil"/>
              <w:right w:val="nil"/>
            </w:tcBorders>
            <w:shd w:val="clear" w:color="FFFFFF" w:fill="FFFFFF"/>
            <w:vAlign w:val="bottom"/>
            <w:hideMark/>
          </w:tcPr>
          <w:p w14:paraId="199A3867" w14:textId="77777777" w:rsidR="00C32CBD" w:rsidRDefault="00C32CBD" w:rsidP="00320D09">
            <w:pPr>
              <w:rPr>
                <w:rFonts w:cs="Arial"/>
                <w:sz w:val="18"/>
                <w:szCs w:val="18"/>
              </w:rPr>
            </w:pPr>
            <w:r>
              <w:rPr>
                <w:rFonts w:cs="Arial"/>
                <w:sz w:val="18"/>
                <w:szCs w:val="18"/>
              </w:rPr>
              <w:t>Cash on hand</w:t>
            </w:r>
          </w:p>
        </w:tc>
        <w:tc>
          <w:tcPr>
            <w:tcW w:w="1249" w:type="dxa"/>
            <w:tcBorders>
              <w:top w:val="nil"/>
              <w:left w:val="nil"/>
              <w:bottom w:val="nil"/>
              <w:right w:val="nil"/>
            </w:tcBorders>
            <w:shd w:val="clear" w:color="FFFFFF" w:fill="FFFFFF"/>
            <w:noWrap/>
            <w:vAlign w:val="bottom"/>
            <w:hideMark/>
          </w:tcPr>
          <w:p w14:paraId="4C727DAA" w14:textId="77777777" w:rsidR="00C32CBD" w:rsidRDefault="00C32CBD" w:rsidP="00320D09">
            <w:pPr>
              <w:jc w:val="right"/>
              <w:rPr>
                <w:rFonts w:cs="Arial"/>
                <w:b/>
                <w:bCs/>
                <w:sz w:val="18"/>
                <w:szCs w:val="18"/>
              </w:rPr>
            </w:pPr>
            <w:r>
              <w:rPr>
                <w:rFonts w:cs="Arial"/>
                <w:b/>
                <w:bCs/>
                <w:sz w:val="18"/>
                <w:szCs w:val="18"/>
              </w:rPr>
              <w:t>803,113</w:t>
            </w:r>
          </w:p>
        </w:tc>
        <w:tc>
          <w:tcPr>
            <w:tcW w:w="236" w:type="dxa"/>
            <w:tcBorders>
              <w:top w:val="nil"/>
              <w:left w:val="nil"/>
              <w:bottom w:val="nil"/>
              <w:right w:val="nil"/>
            </w:tcBorders>
            <w:shd w:val="clear" w:color="FFFFFF" w:fill="FFFFFF"/>
            <w:noWrap/>
            <w:vAlign w:val="bottom"/>
            <w:hideMark/>
          </w:tcPr>
          <w:p w14:paraId="5F4BD014"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7A7A69A0" w14:textId="77777777" w:rsidR="00C32CBD" w:rsidRDefault="00C32CBD" w:rsidP="00320D09">
            <w:pPr>
              <w:jc w:val="right"/>
              <w:rPr>
                <w:rFonts w:cs="Arial"/>
                <w:sz w:val="18"/>
                <w:szCs w:val="18"/>
              </w:rPr>
            </w:pPr>
            <w:r>
              <w:rPr>
                <w:rFonts w:cs="Arial"/>
                <w:sz w:val="18"/>
                <w:szCs w:val="18"/>
              </w:rPr>
              <w:t>145,294</w:t>
            </w:r>
          </w:p>
        </w:tc>
      </w:tr>
      <w:tr w:rsidR="00C32CBD" w14:paraId="1A665456" w14:textId="77777777" w:rsidTr="00320D09">
        <w:trPr>
          <w:trHeight w:val="255"/>
        </w:trPr>
        <w:tc>
          <w:tcPr>
            <w:tcW w:w="6353" w:type="dxa"/>
            <w:tcBorders>
              <w:top w:val="nil"/>
              <w:left w:val="nil"/>
              <w:bottom w:val="nil"/>
              <w:right w:val="nil"/>
            </w:tcBorders>
            <w:shd w:val="clear" w:color="FFFFFF" w:fill="FFFFFF"/>
            <w:vAlign w:val="bottom"/>
            <w:hideMark/>
          </w:tcPr>
          <w:p w14:paraId="559BE762" w14:textId="77777777" w:rsidR="00C32CBD" w:rsidRDefault="00C32CBD" w:rsidP="00320D09">
            <w:pPr>
              <w:rPr>
                <w:rFonts w:cs="Arial"/>
                <w:sz w:val="18"/>
                <w:szCs w:val="18"/>
              </w:rPr>
            </w:pPr>
            <w:r>
              <w:rPr>
                <w:rFonts w:cs="Arial"/>
                <w:sz w:val="18"/>
                <w:szCs w:val="18"/>
              </w:rPr>
              <w:t>Term deposits</w:t>
            </w:r>
          </w:p>
        </w:tc>
        <w:tc>
          <w:tcPr>
            <w:tcW w:w="1249" w:type="dxa"/>
            <w:tcBorders>
              <w:top w:val="nil"/>
              <w:left w:val="nil"/>
              <w:bottom w:val="nil"/>
              <w:right w:val="nil"/>
            </w:tcBorders>
            <w:shd w:val="clear" w:color="FFFFFF" w:fill="FFFFFF"/>
            <w:noWrap/>
            <w:vAlign w:val="bottom"/>
            <w:hideMark/>
          </w:tcPr>
          <w:p w14:paraId="5908726B" w14:textId="77777777" w:rsidR="00C32CBD" w:rsidRDefault="00C32CBD" w:rsidP="00320D09">
            <w:pPr>
              <w:jc w:val="right"/>
              <w:rPr>
                <w:rFonts w:cs="Arial"/>
                <w:b/>
                <w:bCs/>
                <w:sz w:val="18"/>
                <w:szCs w:val="18"/>
              </w:rPr>
            </w:pPr>
            <w:r>
              <w:rPr>
                <w:rFonts w:cs="Arial"/>
                <w:b/>
                <w:bCs/>
                <w:sz w:val="18"/>
                <w:szCs w:val="18"/>
              </w:rPr>
              <w:t>525,174</w:t>
            </w:r>
          </w:p>
        </w:tc>
        <w:tc>
          <w:tcPr>
            <w:tcW w:w="236" w:type="dxa"/>
            <w:tcBorders>
              <w:top w:val="nil"/>
              <w:left w:val="nil"/>
              <w:bottom w:val="nil"/>
              <w:right w:val="nil"/>
            </w:tcBorders>
            <w:shd w:val="clear" w:color="FFFFFF" w:fill="FFFFFF"/>
            <w:noWrap/>
            <w:vAlign w:val="bottom"/>
            <w:hideMark/>
          </w:tcPr>
          <w:p w14:paraId="341A4837"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6F513B8C" w14:textId="77777777" w:rsidR="00C32CBD" w:rsidRDefault="00C32CBD" w:rsidP="00320D09">
            <w:pPr>
              <w:jc w:val="right"/>
              <w:rPr>
                <w:rFonts w:cs="Arial"/>
                <w:sz w:val="18"/>
                <w:szCs w:val="18"/>
              </w:rPr>
            </w:pPr>
            <w:r>
              <w:rPr>
                <w:rFonts w:cs="Arial"/>
                <w:sz w:val="18"/>
                <w:szCs w:val="18"/>
              </w:rPr>
              <w:t>161,136</w:t>
            </w:r>
          </w:p>
        </w:tc>
      </w:tr>
      <w:tr w:rsidR="00C32CBD" w14:paraId="2DB8F252" w14:textId="77777777" w:rsidTr="00320D09">
        <w:trPr>
          <w:trHeight w:val="255"/>
        </w:trPr>
        <w:tc>
          <w:tcPr>
            <w:tcW w:w="6353" w:type="dxa"/>
            <w:tcBorders>
              <w:top w:val="nil"/>
              <w:left w:val="nil"/>
              <w:bottom w:val="nil"/>
              <w:right w:val="nil"/>
            </w:tcBorders>
            <w:shd w:val="clear" w:color="FFFFFF" w:fill="FFFFFF"/>
            <w:vAlign w:val="bottom"/>
            <w:hideMark/>
          </w:tcPr>
          <w:p w14:paraId="62BE1F10" w14:textId="77777777" w:rsidR="00C32CBD" w:rsidRDefault="00C32CBD" w:rsidP="00320D09">
            <w:pPr>
              <w:rPr>
                <w:rFonts w:cs="Arial"/>
                <w:b/>
                <w:bCs/>
                <w:sz w:val="18"/>
                <w:szCs w:val="18"/>
              </w:rPr>
            </w:pPr>
            <w:r>
              <w:rPr>
                <w:rFonts w:cs="Arial"/>
                <w:b/>
                <w:bCs/>
                <w:sz w:val="18"/>
                <w:szCs w:val="18"/>
              </w:rPr>
              <w:t>Total cash and cash equivalents</w:t>
            </w:r>
          </w:p>
        </w:tc>
        <w:tc>
          <w:tcPr>
            <w:tcW w:w="1249" w:type="dxa"/>
            <w:tcBorders>
              <w:top w:val="single" w:sz="4" w:space="0" w:color="auto"/>
              <w:left w:val="nil"/>
              <w:bottom w:val="single" w:sz="4" w:space="0" w:color="auto"/>
              <w:right w:val="nil"/>
            </w:tcBorders>
            <w:shd w:val="clear" w:color="FFFFFF" w:fill="FFFFFF"/>
            <w:noWrap/>
            <w:vAlign w:val="bottom"/>
            <w:hideMark/>
          </w:tcPr>
          <w:p w14:paraId="32BA8F04" w14:textId="77777777" w:rsidR="00C32CBD" w:rsidRDefault="00C32CBD" w:rsidP="00320D09">
            <w:pPr>
              <w:jc w:val="right"/>
              <w:rPr>
                <w:rFonts w:cs="Arial"/>
                <w:b/>
                <w:bCs/>
                <w:sz w:val="18"/>
                <w:szCs w:val="18"/>
              </w:rPr>
            </w:pPr>
            <w:r>
              <w:rPr>
                <w:rFonts w:cs="Arial"/>
                <w:b/>
                <w:bCs/>
                <w:sz w:val="18"/>
                <w:szCs w:val="18"/>
              </w:rPr>
              <w:t>1,328,287</w:t>
            </w:r>
          </w:p>
        </w:tc>
        <w:tc>
          <w:tcPr>
            <w:tcW w:w="236" w:type="dxa"/>
            <w:tcBorders>
              <w:top w:val="nil"/>
              <w:left w:val="nil"/>
              <w:bottom w:val="nil"/>
              <w:right w:val="nil"/>
            </w:tcBorders>
            <w:shd w:val="clear" w:color="FFFFFF" w:fill="FFFFFF"/>
            <w:noWrap/>
            <w:vAlign w:val="bottom"/>
            <w:hideMark/>
          </w:tcPr>
          <w:p w14:paraId="3A0D5D00" w14:textId="77777777" w:rsidR="00C32CBD" w:rsidRDefault="00C32CBD" w:rsidP="00320D09">
            <w:pPr>
              <w:rPr>
                <w:rFonts w:cs="Arial"/>
                <w:sz w:val="18"/>
                <w:szCs w:val="18"/>
              </w:rPr>
            </w:pPr>
            <w:r>
              <w:rPr>
                <w:rFonts w:cs="Arial"/>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2DB5ACF5" w14:textId="77777777" w:rsidR="00C32CBD" w:rsidRDefault="00C32CBD" w:rsidP="00320D09">
            <w:pPr>
              <w:jc w:val="right"/>
              <w:rPr>
                <w:rFonts w:cs="Arial"/>
                <w:sz w:val="18"/>
                <w:szCs w:val="18"/>
              </w:rPr>
            </w:pPr>
            <w:r>
              <w:rPr>
                <w:rFonts w:cs="Arial"/>
                <w:sz w:val="18"/>
                <w:szCs w:val="18"/>
              </w:rPr>
              <w:t>306,430</w:t>
            </w:r>
          </w:p>
        </w:tc>
      </w:tr>
    </w:tbl>
    <w:p w14:paraId="2B34F9EC" w14:textId="77777777" w:rsidR="00C32CBD" w:rsidRDefault="00C32CBD" w:rsidP="00C32CBD"/>
    <w:p w14:paraId="2A64AD2D" w14:textId="77777777" w:rsidR="00C32CBD" w:rsidRPr="00F47522" w:rsidRDefault="00C32CBD" w:rsidP="00C32CBD">
      <w:pPr>
        <w:pStyle w:val="PolicytextDept"/>
        <w:rPr>
          <w:b/>
          <w:sz w:val="24"/>
          <w:szCs w:val="24"/>
        </w:rPr>
      </w:pPr>
      <w:r w:rsidRPr="00F47522">
        <w:rPr>
          <w:b/>
        </w:rPr>
        <w:t>Accounting Policy</w:t>
      </w:r>
    </w:p>
    <w:p w14:paraId="73545409" w14:textId="77777777" w:rsidR="00C32CBD" w:rsidRDefault="00C32CBD" w:rsidP="00C32CBD">
      <w:pPr>
        <w:pStyle w:val="PolicytextDept"/>
      </w:pPr>
      <w:r w:rsidRPr="00F47522">
        <w:t xml:space="preserve">Cash is recognised at its nominal amount and recorded in the Statement of Financial Position. Cash and cash equivalents include cash on hand and term deposits in bank accounts with an original maturity of three months or less that are readily convertible to known amounts of cash and subject to insignificant risk of changes in value. </w:t>
      </w:r>
      <w:r>
        <w:t>Term deposits with maturity greater than three months are classified as other financial ass</w:t>
      </w:r>
      <w:r w:rsidRPr="00DB2F55">
        <w:t>ets. As at reporting date, the agency did not hold any term deposits with a maturity date of greater than three</w:t>
      </w:r>
      <w:r>
        <w:t xml:space="preserve"> month (refer to note 2.1C).</w:t>
      </w:r>
    </w:p>
    <w:p w14:paraId="0528E26C" w14:textId="77777777" w:rsidR="00C32CBD" w:rsidRPr="005E5430" w:rsidRDefault="00C32CBD" w:rsidP="00C32CBD"/>
    <w:tbl>
      <w:tblPr>
        <w:tblW w:w="9087" w:type="dxa"/>
        <w:tblInd w:w="80" w:type="dxa"/>
        <w:tblLayout w:type="fixed"/>
        <w:tblLook w:val="04A0" w:firstRow="1" w:lastRow="0" w:firstColumn="1" w:lastColumn="0" w:noHBand="0" w:noVBand="1"/>
      </w:tblPr>
      <w:tblGrid>
        <w:gridCol w:w="6353"/>
        <w:gridCol w:w="1249"/>
        <w:gridCol w:w="236"/>
        <w:gridCol w:w="1249"/>
      </w:tblGrid>
      <w:tr w:rsidR="00C32CBD" w14:paraId="1911F139" w14:textId="77777777" w:rsidTr="00320D09">
        <w:trPr>
          <w:trHeight w:val="255"/>
        </w:trPr>
        <w:tc>
          <w:tcPr>
            <w:tcW w:w="6353" w:type="dxa"/>
            <w:tcBorders>
              <w:top w:val="nil"/>
              <w:left w:val="nil"/>
              <w:bottom w:val="nil"/>
              <w:right w:val="nil"/>
            </w:tcBorders>
            <w:shd w:val="clear" w:color="FFFFFF" w:fill="FFFFFF"/>
            <w:noWrap/>
            <w:vAlign w:val="bottom"/>
            <w:hideMark/>
          </w:tcPr>
          <w:p w14:paraId="0C82F42C" w14:textId="77777777" w:rsidR="00C32CBD" w:rsidRDefault="00C32CBD" w:rsidP="00320D09">
            <w:pPr>
              <w:rPr>
                <w:rFonts w:cs="Arial"/>
                <w:b/>
                <w:bCs/>
                <w:sz w:val="18"/>
                <w:szCs w:val="18"/>
                <w:u w:val="single"/>
              </w:rPr>
            </w:pPr>
            <w:bookmarkStart w:id="143" w:name="Note_RECTABLE1" w:colFirst="0" w:colLast="0"/>
            <w:r>
              <w:rPr>
                <w:rFonts w:cs="Arial"/>
                <w:b/>
                <w:bCs/>
                <w:sz w:val="18"/>
                <w:szCs w:val="18"/>
                <w:u w:val="single"/>
              </w:rPr>
              <w:t>Note 2.1B: Trade and other receivables</w:t>
            </w:r>
          </w:p>
        </w:tc>
        <w:tc>
          <w:tcPr>
            <w:tcW w:w="1249" w:type="dxa"/>
            <w:tcBorders>
              <w:top w:val="nil"/>
              <w:left w:val="nil"/>
              <w:bottom w:val="nil"/>
              <w:right w:val="nil"/>
            </w:tcBorders>
            <w:shd w:val="clear" w:color="FFFFFF" w:fill="FFFFFF"/>
            <w:noWrap/>
            <w:vAlign w:val="bottom"/>
            <w:hideMark/>
          </w:tcPr>
          <w:p w14:paraId="16DDF289"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5BAE2E3C"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4430A40A" w14:textId="77777777" w:rsidR="00C32CBD" w:rsidRDefault="00C32CBD" w:rsidP="00320D09">
            <w:pPr>
              <w:rPr>
                <w:rFonts w:cs="Arial"/>
                <w:sz w:val="18"/>
                <w:szCs w:val="18"/>
              </w:rPr>
            </w:pPr>
            <w:r>
              <w:rPr>
                <w:rFonts w:cs="Arial"/>
                <w:sz w:val="18"/>
                <w:szCs w:val="18"/>
              </w:rPr>
              <w:t> </w:t>
            </w:r>
          </w:p>
        </w:tc>
      </w:tr>
      <w:bookmarkEnd w:id="143"/>
      <w:tr w:rsidR="00C32CBD" w14:paraId="0290BB5A" w14:textId="77777777" w:rsidTr="00320D09">
        <w:trPr>
          <w:trHeight w:val="255"/>
        </w:trPr>
        <w:tc>
          <w:tcPr>
            <w:tcW w:w="6353" w:type="dxa"/>
            <w:tcBorders>
              <w:top w:val="nil"/>
              <w:left w:val="nil"/>
              <w:bottom w:val="nil"/>
              <w:right w:val="nil"/>
            </w:tcBorders>
            <w:shd w:val="clear" w:color="FFFFFF" w:fill="FFFFFF"/>
            <w:vAlign w:val="bottom"/>
            <w:hideMark/>
          </w:tcPr>
          <w:p w14:paraId="605FC629" w14:textId="77777777" w:rsidR="00C32CBD" w:rsidRDefault="00C32CBD" w:rsidP="00320D09">
            <w:pPr>
              <w:rPr>
                <w:rFonts w:cs="Arial"/>
                <w:b/>
                <w:bCs/>
                <w:sz w:val="18"/>
                <w:szCs w:val="18"/>
              </w:rPr>
            </w:pPr>
            <w:r>
              <w:rPr>
                <w:rFonts w:cs="Arial"/>
                <w:b/>
                <w:bCs/>
                <w:sz w:val="18"/>
                <w:szCs w:val="18"/>
              </w:rPr>
              <w:t>Goods and services receivables in connection with</w:t>
            </w:r>
          </w:p>
        </w:tc>
        <w:tc>
          <w:tcPr>
            <w:tcW w:w="1249" w:type="dxa"/>
            <w:tcBorders>
              <w:top w:val="nil"/>
              <w:left w:val="nil"/>
              <w:bottom w:val="nil"/>
              <w:right w:val="nil"/>
            </w:tcBorders>
            <w:shd w:val="clear" w:color="FFFFFF" w:fill="FFFFFF"/>
            <w:noWrap/>
            <w:vAlign w:val="bottom"/>
            <w:hideMark/>
          </w:tcPr>
          <w:p w14:paraId="55420469"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60B0111A"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5D8CEDEE" w14:textId="77777777" w:rsidR="00C32CBD" w:rsidRDefault="00C32CBD" w:rsidP="00320D09">
            <w:pPr>
              <w:rPr>
                <w:rFonts w:cs="Arial"/>
                <w:sz w:val="18"/>
                <w:szCs w:val="18"/>
              </w:rPr>
            </w:pPr>
            <w:r>
              <w:rPr>
                <w:rFonts w:cs="Arial"/>
                <w:sz w:val="18"/>
                <w:szCs w:val="18"/>
              </w:rPr>
              <w:t> </w:t>
            </w:r>
          </w:p>
        </w:tc>
      </w:tr>
      <w:tr w:rsidR="00C32CBD" w14:paraId="00EE0A06" w14:textId="77777777" w:rsidTr="00320D09">
        <w:trPr>
          <w:trHeight w:val="255"/>
        </w:trPr>
        <w:tc>
          <w:tcPr>
            <w:tcW w:w="6353" w:type="dxa"/>
            <w:tcBorders>
              <w:top w:val="nil"/>
              <w:left w:val="nil"/>
              <w:bottom w:val="nil"/>
              <w:right w:val="nil"/>
            </w:tcBorders>
            <w:shd w:val="clear" w:color="FFFFFF" w:fill="FFFFFF"/>
            <w:noWrap/>
            <w:vAlign w:val="bottom"/>
            <w:hideMark/>
          </w:tcPr>
          <w:p w14:paraId="057010CA" w14:textId="77777777" w:rsidR="00C32CBD" w:rsidRDefault="00C32CBD" w:rsidP="00320D09">
            <w:pPr>
              <w:ind w:firstLineChars="100" w:firstLine="180"/>
              <w:rPr>
                <w:rFonts w:cs="Arial"/>
                <w:sz w:val="18"/>
                <w:szCs w:val="18"/>
              </w:rPr>
            </w:pPr>
            <w:r>
              <w:rPr>
                <w:rFonts w:cs="Arial"/>
                <w:sz w:val="18"/>
                <w:szCs w:val="18"/>
              </w:rPr>
              <w:t>Related parties</w:t>
            </w:r>
          </w:p>
        </w:tc>
        <w:tc>
          <w:tcPr>
            <w:tcW w:w="1249" w:type="dxa"/>
            <w:tcBorders>
              <w:top w:val="nil"/>
              <w:left w:val="nil"/>
              <w:bottom w:val="nil"/>
              <w:right w:val="nil"/>
            </w:tcBorders>
            <w:shd w:val="clear" w:color="FFFFFF" w:fill="FFFFFF"/>
            <w:noWrap/>
            <w:vAlign w:val="bottom"/>
            <w:hideMark/>
          </w:tcPr>
          <w:p w14:paraId="3740C57D" w14:textId="77777777" w:rsidR="00C32CBD" w:rsidRDefault="00C32CBD" w:rsidP="00320D09">
            <w:pPr>
              <w:jc w:val="right"/>
              <w:rPr>
                <w:rFonts w:cs="Arial"/>
                <w:b/>
                <w:bCs/>
                <w:sz w:val="18"/>
                <w:szCs w:val="18"/>
              </w:rPr>
            </w:pPr>
            <w:r>
              <w:rPr>
                <w:rFonts w:cs="Arial"/>
                <w:b/>
                <w:bCs/>
                <w:sz w:val="18"/>
                <w:szCs w:val="18"/>
              </w:rPr>
              <w:t>425</w:t>
            </w:r>
          </w:p>
        </w:tc>
        <w:tc>
          <w:tcPr>
            <w:tcW w:w="236" w:type="dxa"/>
            <w:tcBorders>
              <w:top w:val="nil"/>
              <w:left w:val="nil"/>
              <w:bottom w:val="nil"/>
              <w:right w:val="nil"/>
            </w:tcBorders>
            <w:shd w:val="clear" w:color="FFFFFF" w:fill="FFFFFF"/>
            <w:noWrap/>
            <w:vAlign w:val="bottom"/>
            <w:hideMark/>
          </w:tcPr>
          <w:p w14:paraId="4AE52E68"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55322CD0" w14:textId="77777777" w:rsidR="00C32CBD" w:rsidRDefault="00C32CBD" w:rsidP="00320D09">
            <w:pPr>
              <w:jc w:val="right"/>
              <w:rPr>
                <w:rFonts w:cs="Arial"/>
                <w:sz w:val="18"/>
                <w:szCs w:val="18"/>
              </w:rPr>
            </w:pPr>
            <w:r>
              <w:rPr>
                <w:rFonts w:cs="Arial"/>
                <w:sz w:val="18"/>
                <w:szCs w:val="18"/>
              </w:rPr>
              <w:t>12,421</w:t>
            </w:r>
          </w:p>
        </w:tc>
      </w:tr>
      <w:tr w:rsidR="00C32CBD" w14:paraId="0BC23CE0" w14:textId="77777777" w:rsidTr="00320D09">
        <w:trPr>
          <w:trHeight w:val="255"/>
        </w:trPr>
        <w:tc>
          <w:tcPr>
            <w:tcW w:w="6353" w:type="dxa"/>
            <w:tcBorders>
              <w:top w:val="nil"/>
              <w:left w:val="nil"/>
              <w:bottom w:val="nil"/>
              <w:right w:val="nil"/>
            </w:tcBorders>
            <w:shd w:val="clear" w:color="FFFFFF" w:fill="FFFFFF"/>
            <w:noWrap/>
            <w:vAlign w:val="bottom"/>
            <w:hideMark/>
          </w:tcPr>
          <w:p w14:paraId="47032F38" w14:textId="77777777" w:rsidR="00C32CBD" w:rsidRDefault="00C32CBD" w:rsidP="00320D09">
            <w:pPr>
              <w:ind w:firstLineChars="100" w:firstLine="180"/>
              <w:rPr>
                <w:rFonts w:cs="Arial"/>
                <w:sz w:val="18"/>
                <w:szCs w:val="18"/>
              </w:rPr>
            </w:pPr>
            <w:r>
              <w:rPr>
                <w:rFonts w:cs="Arial"/>
                <w:sz w:val="18"/>
                <w:szCs w:val="18"/>
              </w:rPr>
              <w:t>External parties</w:t>
            </w:r>
          </w:p>
        </w:tc>
        <w:tc>
          <w:tcPr>
            <w:tcW w:w="1249" w:type="dxa"/>
            <w:tcBorders>
              <w:top w:val="nil"/>
              <w:left w:val="nil"/>
              <w:bottom w:val="nil"/>
              <w:right w:val="nil"/>
            </w:tcBorders>
            <w:shd w:val="clear" w:color="FFFFFF" w:fill="FFFFFF"/>
            <w:noWrap/>
            <w:vAlign w:val="bottom"/>
            <w:hideMark/>
          </w:tcPr>
          <w:p w14:paraId="6037432C" w14:textId="77777777" w:rsidR="00C32CBD" w:rsidRDefault="00C32CBD" w:rsidP="00320D09">
            <w:pPr>
              <w:jc w:val="right"/>
              <w:rPr>
                <w:rFonts w:cs="Arial"/>
                <w:b/>
                <w:bCs/>
                <w:sz w:val="18"/>
                <w:szCs w:val="18"/>
              </w:rPr>
            </w:pPr>
            <w:r>
              <w:rPr>
                <w:rFonts w:cs="Arial"/>
                <w:b/>
                <w:bCs/>
                <w:sz w:val="18"/>
                <w:szCs w:val="18"/>
              </w:rPr>
              <w:t>197,785</w:t>
            </w:r>
          </w:p>
        </w:tc>
        <w:tc>
          <w:tcPr>
            <w:tcW w:w="236" w:type="dxa"/>
            <w:tcBorders>
              <w:top w:val="nil"/>
              <w:left w:val="nil"/>
              <w:bottom w:val="nil"/>
              <w:right w:val="nil"/>
            </w:tcBorders>
            <w:shd w:val="clear" w:color="FFFFFF" w:fill="FFFFFF"/>
            <w:noWrap/>
            <w:vAlign w:val="bottom"/>
            <w:hideMark/>
          </w:tcPr>
          <w:p w14:paraId="4318CD65"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298C7070" w14:textId="77777777" w:rsidR="00C32CBD" w:rsidRDefault="00C32CBD" w:rsidP="00320D09">
            <w:pPr>
              <w:jc w:val="right"/>
              <w:rPr>
                <w:rFonts w:cs="Arial"/>
                <w:sz w:val="18"/>
                <w:szCs w:val="18"/>
              </w:rPr>
            </w:pPr>
            <w:r>
              <w:rPr>
                <w:rFonts w:cs="Arial"/>
                <w:sz w:val="18"/>
                <w:szCs w:val="18"/>
              </w:rPr>
              <w:t>22,580</w:t>
            </w:r>
          </w:p>
        </w:tc>
      </w:tr>
      <w:tr w:rsidR="00C32CBD" w14:paraId="182DF807" w14:textId="77777777" w:rsidTr="00320D09">
        <w:trPr>
          <w:trHeight w:val="255"/>
        </w:trPr>
        <w:tc>
          <w:tcPr>
            <w:tcW w:w="6353" w:type="dxa"/>
            <w:tcBorders>
              <w:top w:val="nil"/>
              <w:left w:val="nil"/>
              <w:bottom w:val="nil"/>
              <w:right w:val="nil"/>
            </w:tcBorders>
            <w:shd w:val="clear" w:color="FFFFFF" w:fill="FFFFFF"/>
            <w:vAlign w:val="bottom"/>
            <w:hideMark/>
          </w:tcPr>
          <w:p w14:paraId="35A61C17" w14:textId="77777777" w:rsidR="00C32CBD" w:rsidRDefault="00C32CBD" w:rsidP="00320D09">
            <w:pPr>
              <w:rPr>
                <w:rFonts w:cs="Arial"/>
                <w:b/>
                <w:bCs/>
                <w:sz w:val="18"/>
                <w:szCs w:val="18"/>
              </w:rPr>
            </w:pPr>
            <w:r>
              <w:rPr>
                <w:rFonts w:cs="Arial"/>
                <w:b/>
                <w:bCs/>
                <w:sz w:val="18"/>
                <w:szCs w:val="18"/>
              </w:rPr>
              <w:t>Total goods and services receivables</w:t>
            </w:r>
          </w:p>
        </w:tc>
        <w:tc>
          <w:tcPr>
            <w:tcW w:w="1249" w:type="dxa"/>
            <w:tcBorders>
              <w:top w:val="single" w:sz="4" w:space="0" w:color="auto"/>
              <w:left w:val="nil"/>
              <w:bottom w:val="single" w:sz="4" w:space="0" w:color="auto"/>
              <w:right w:val="nil"/>
            </w:tcBorders>
            <w:shd w:val="clear" w:color="FFFFFF" w:fill="FFFFFF"/>
            <w:noWrap/>
            <w:vAlign w:val="bottom"/>
            <w:hideMark/>
          </w:tcPr>
          <w:p w14:paraId="40907978" w14:textId="77777777" w:rsidR="00C32CBD" w:rsidRDefault="00C32CBD" w:rsidP="00320D09">
            <w:pPr>
              <w:jc w:val="right"/>
              <w:rPr>
                <w:rFonts w:cs="Arial"/>
                <w:b/>
                <w:bCs/>
                <w:sz w:val="18"/>
                <w:szCs w:val="18"/>
              </w:rPr>
            </w:pPr>
            <w:r>
              <w:rPr>
                <w:rFonts w:cs="Arial"/>
                <w:b/>
                <w:bCs/>
                <w:sz w:val="18"/>
                <w:szCs w:val="18"/>
              </w:rPr>
              <w:t>198,210</w:t>
            </w:r>
          </w:p>
        </w:tc>
        <w:tc>
          <w:tcPr>
            <w:tcW w:w="236" w:type="dxa"/>
            <w:tcBorders>
              <w:top w:val="nil"/>
              <w:left w:val="nil"/>
              <w:bottom w:val="nil"/>
              <w:right w:val="nil"/>
            </w:tcBorders>
            <w:shd w:val="clear" w:color="FFFFFF" w:fill="FFFFFF"/>
            <w:noWrap/>
            <w:vAlign w:val="bottom"/>
            <w:hideMark/>
          </w:tcPr>
          <w:p w14:paraId="0190C5A4" w14:textId="77777777" w:rsidR="00C32CBD" w:rsidRDefault="00C32CBD" w:rsidP="00320D09">
            <w:pPr>
              <w:rPr>
                <w:rFonts w:cs="Arial"/>
                <w:sz w:val="18"/>
                <w:szCs w:val="18"/>
              </w:rPr>
            </w:pPr>
            <w:r>
              <w:rPr>
                <w:rFonts w:cs="Arial"/>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29FADE46" w14:textId="77777777" w:rsidR="00C32CBD" w:rsidRDefault="00C32CBD" w:rsidP="00320D09">
            <w:pPr>
              <w:jc w:val="right"/>
              <w:rPr>
                <w:rFonts w:cs="Arial"/>
                <w:sz w:val="18"/>
                <w:szCs w:val="18"/>
              </w:rPr>
            </w:pPr>
            <w:r>
              <w:rPr>
                <w:rFonts w:cs="Arial"/>
                <w:sz w:val="18"/>
                <w:szCs w:val="18"/>
              </w:rPr>
              <w:t>35,001</w:t>
            </w:r>
          </w:p>
        </w:tc>
      </w:tr>
      <w:tr w:rsidR="00C32CBD" w14:paraId="14722699" w14:textId="77777777" w:rsidTr="00320D09">
        <w:trPr>
          <w:trHeight w:val="255"/>
        </w:trPr>
        <w:tc>
          <w:tcPr>
            <w:tcW w:w="6353" w:type="dxa"/>
            <w:tcBorders>
              <w:top w:val="nil"/>
              <w:left w:val="nil"/>
              <w:bottom w:val="nil"/>
              <w:right w:val="nil"/>
            </w:tcBorders>
            <w:shd w:val="clear" w:color="FFFFFF" w:fill="FFFFFF"/>
            <w:vAlign w:val="bottom"/>
            <w:hideMark/>
          </w:tcPr>
          <w:p w14:paraId="3690E64B" w14:textId="77777777" w:rsidR="00C32CBD" w:rsidRDefault="00C32CBD" w:rsidP="00320D09">
            <w:pPr>
              <w:rPr>
                <w:rFonts w:cs="Arial"/>
                <w:b/>
                <w:bCs/>
                <w:sz w:val="18"/>
                <w:szCs w:val="18"/>
              </w:rPr>
            </w:pPr>
            <w:r>
              <w:rPr>
                <w:rFonts w:cs="Arial"/>
                <w:b/>
                <w:bCs/>
                <w:sz w:val="18"/>
                <w:szCs w:val="18"/>
              </w:rPr>
              <w:t> </w:t>
            </w:r>
          </w:p>
        </w:tc>
        <w:tc>
          <w:tcPr>
            <w:tcW w:w="1249" w:type="dxa"/>
            <w:tcBorders>
              <w:top w:val="nil"/>
              <w:left w:val="nil"/>
              <w:bottom w:val="nil"/>
              <w:right w:val="nil"/>
            </w:tcBorders>
            <w:shd w:val="clear" w:color="FFFFFF" w:fill="FFFFFF"/>
            <w:noWrap/>
            <w:vAlign w:val="bottom"/>
            <w:hideMark/>
          </w:tcPr>
          <w:p w14:paraId="6FDFA0D9"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712AA601"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0C2F7A43" w14:textId="77777777" w:rsidR="00C32CBD" w:rsidRDefault="00C32CBD" w:rsidP="00320D09">
            <w:pPr>
              <w:rPr>
                <w:rFonts w:cs="Arial"/>
                <w:sz w:val="18"/>
                <w:szCs w:val="18"/>
              </w:rPr>
            </w:pPr>
            <w:r>
              <w:rPr>
                <w:rFonts w:cs="Arial"/>
                <w:sz w:val="18"/>
                <w:szCs w:val="18"/>
              </w:rPr>
              <w:t> </w:t>
            </w:r>
          </w:p>
        </w:tc>
      </w:tr>
      <w:tr w:rsidR="00C32CBD" w14:paraId="4758D2D0" w14:textId="77777777" w:rsidTr="00320D09">
        <w:trPr>
          <w:trHeight w:val="255"/>
        </w:trPr>
        <w:tc>
          <w:tcPr>
            <w:tcW w:w="6353" w:type="dxa"/>
            <w:tcBorders>
              <w:top w:val="nil"/>
              <w:left w:val="nil"/>
              <w:bottom w:val="nil"/>
              <w:right w:val="nil"/>
            </w:tcBorders>
            <w:shd w:val="clear" w:color="FFFFFF" w:fill="FFFFFF"/>
            <w:vAlign w:val="bottom"/>
            <w:hideMark/>
          </w:tcPr>
          <w:p w14:paraId="7A3F6F48" w14:textId="77777777" w:rsidR="00C32CBD" w:rsidRDefault="00C32CBD" w:rsidP="00320D09">
            <w:pPr>
              <w:rPr>
                <w:rFonts w:cs="Arial"/>
                <w:b/>
                <w:bCs/>
                <w:sz w:val="18"/>
                <w:szCs w:val="18"/>
              </w:rPr>
            </w:pPr>
            <w:r>
              <w:rPr>
                <w:rFonts w:cs="Arial"/>
                <w:b/>
                <w:bCs/>
                <w:sz w:val="18"/>
                <w:szCs w:val="18"/>
              </w:rPr>
              <w:t>Other receivables</w:t>
            </w:r>
          </w:p>
        </w:tc>
        <w:tc>
          <w:tcPr>
            <w:tcW w:w="1249" w:type="dxa"/>
            <w:tcBorders>
              <w:top w:val="nil"/>
              <w:left w:val="nil"/>
              <w:bottom w:val="nil"/>
              <w:right w:val="nil"/>
            </w:tcBorders>
            <w:shd w:val="clear" w:color="FFFFFF" w:fill="FFFFFF"/>
            <w:noWrap/>
            <w:vAlign w:val="bottom"/>
            <w:hideMark/>
          </w:tcPr>
          <w:p w14:paraId="6E9D03BB"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18A51067"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0F72EF73" w14:textId="77777777" w:rsidR="00C32CBD" w:rsidRDefault="00C32CBD" w:rsidP="00320D09">
            <w:pPr>
              <w:rPr>
                <w:rFonts w:cs="Arial"/>
                <w:sz w:val="18"/>
                <w:szCs w:val="18"/>
              </w:rPr>
            </w:pPr>
            <w:r>
              <w:rPr>
                <w:rFonts w:cs="Arial"/>
                <w:sz w:val="18"/>
                <w:szCs w:val="18"/>
              </w:rPr>
              <w:t> </w:t>
            </w:r>
          </w:p>
        </w:tc>
      </w:tr>
      <w:tr w:rsidR="00C32CBD" w14:paraId="22A54982" w14:textId="77777777" w:rsidTr="00320D09">
        <w:trPr>
          <w:trHeight w:val="255"/>
        </w:trPr>
        <w:tc>
          <w:tcPr>
            <w:tcW w:w="6353" w:type="dxa"/>
            <w:tcBorders>
              <w:top w:val="nil"/>
              <w:left w:val="nil"/>
              <w:bottom w:val="nil"/>
              <w:right w:val="nil"/>
            </w:tcBorders>
            <w:shd w:val="clear" w:color="FFFFFF" w:fill="FFFFFF"/>
            <w:noWrap/>
            <w:vAlign w:val="bottom"/>
            <w:hideMark/>
          </w:tcPr>
          <w:p w14:paraId="359C4CB4" w14:textId="77777777" w:rsidR="00C32CBD" w:rsidRDefault="00C32CBD" w:rsidP="00320D09">
            <w:pPr>
              <w:ind w:firstLineChars="100" w:firstLine="180"/>
              <w:rPr>
                <w:rFonts w:cs="Arial"/>
                <w:sz w:val="18"/>
                <w:szCs w:val="18"/>
              </w:rPr>
            </w:pPr>
            <w:r>
              <w:rPr>
                <w:rFonts w:cs="Arial"/>
                <w:sz w:val="18"/>
                <w:szCs w:val="18"/>
              </w:rPr>
              <w:t>Statutory receivables (GST)</w:t>
            </w:r>
          </w:p>
        </w:tc>
        <w:tc>
          <w:tcPr>
            <w:tcW w:w="1249" w:type="dxa"/>
            <w:tcBorders>
              <w:top w:val="nil"/>
              <w:left w:val="nil"/>
              <w:bottom w:val="nil"/>
              <w:right w:val="nil"/>
            </w:tcBorders>
            <w:shd w:val="clear" w:color="FFFFFF" w:fill="FFFFFF"/>
            <w:noWrap/>
            <w:vAlign w:val="bottom"/>
            <w:hideMark/>
          </w:tcPr>
          <w:p w14:paraId="483778BF" w14:textId="77777777" w:rsidR="00C32CBD" w:rsidRDefault="00C32CBD" w:rsidP="00320D09">
            <w:pPr>
              <w:jc w:val="right"/>
              <w:rPr>
                <w:rFonts w:cs="Arial"/>
                <w:b/>
                <w:bCs/>
                <w:sz w:val="18"/>
                <w:szCs w:val="18"/>
              </w:rPr>
            </w:pPr>
            <w:r>
              <w:rPr>
                <w:rFonts w:cs="Arial"/>
                <w:b/>
                <w:bCs/>
                <w:sz w:val="18"/>
                <w:szCs w:val="18"/>
              </w:rPr>
              <w:t>5,056</w:t>
            </w:r>
          </w:p>
        </w:tc>
        <w:tc>
          <w:tcPr>
            <w:tcW w:w="236" w:type="dxa"/>
            <w:tcBorders>
              <w:top w:val="nil"/>
              <w:left w:val="nil"/>
              <w:bottom w:val="nil"/>
              <w:right w:val="nil"/>
            </w:tcBorders>
            <w:shd w:val="clear" w:color="FFFFFF" w:fill="FFFFFF"/>
            <w:noWrap/>
            <w:vAlign w:val="bottom"/>
            <w:hideMark/>
          </w:tcPr>
          <w:p w14:paraId="13200BAF"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4F6CF950" w14:textId="77777777" w:rsidR="00C32CBD" w:rsidRDefault="00C32CBD" w:rsidP="00320D09">
            <w:pPr>
              <w:jc w:val="right"/>
              <w:rPr>
                <w:rFonts w:cs="Arial"/>
                <w:sz w:val="18"/>
                <w:szCs w:val="18"/>
              </w:rPr>
            </w:pPr>
            <w:r>
              <w:rPr>
                <w:rFonts w:cs="Arial"/>
                <w:sz w:val="18"/>
                <w:szCs w:val="18"/>
              </w:rPr>
              <w:t>1,317</w:t>
            </w:r>
          </w:p>
        </w:tc>
      </w:tr>
      <w:tr w:rsidR="00C32CBD" w14:paraId="055A80DC" w14:textId="77777777" w:rsidTr="00320D09">
        <w:trPr>
          <w:trHeight w:val="255"/>
        </w:trPr>
        <w:tc>
          <w:tcPr>
            <w:tcW w:w="6353" w:type="dxa"/>
            <w:tcBorders>
              <w:top w:val="nil"/>
              <w:left w:val="nil"/>
              <w:bottom w:val="nil"/>
              <w:right w:val="nil"/>
            </w:tcBorders>
            <w:shd w:val="clear" w:color="FFFFFF" w:fill="FFFFFF"/>
            <w:noWrap/>
            <w:vAlign w:val="bottom"/>
            <w:hideMark/>
          </w:tcPr>
          <w:p w14:paraId="3A01B2BB" w14:textId="77777777" w:rsidR="00C32CBD" w:rsidRDefault="00C32CBD" w:rsidP="00320D09">
            <w:pPr>
              <w:ind w:firstLineChars="100" w:firstLine="180"/>
              <w:rPr>
                <w:rFonts w:cs="Arial"/>
                <w:sz w:val="18"/>
                <w:szCs w:val="18"/>
              </w:rPr>
            </w:pPr>
            <w:r>
              <w:rPr>
                <w:rFonts w:cs="Arial"/>
                <w:sz w:val="18"/>
                <w:szCs w:val="18"/>
              </w:rPr>
              <w:t>Other</w:t>
            </w:r>
          </w:p>
        </w:tc>
        <w:tc>
          <w:tcPr>
            <w:tcW w:w="1249" w:type="dxa"/>
            <w:tcBorders>
              <w:top w:val="nil"/>
              <w:left w:val="nil"/>
              <w:bottom w:val="nil"/>
              <w:right w:val="nil"/>
            </w:tcBorders>
            <w:shd w:val="clear" w:color="FFFFFF" w:fill="FFFFFF"/>
            <w:noWrap/>
            <w:vAlign w:val="bottom"/>
            <w:hideMark/>
          </w:tcPr>
          <w:p w14:paraId="6E3273BE" w14:textId="77777777" w:rsidR="00C32CBD" w:rsidRDefault="00C32CBD" w:rsidP="00320D09">
            <w:pPr>
              <w:jc w:val="right"/>
              <w:rPr>
                <w:rFonts w:cs="Arial"/>
                <w:b/>
                <w:bCs/>
                <w:sz w:val="18"/>
                <w:szCs w:val="18"/>
              </w:rPr>
            </w:pPr>
            <w:r>
              <w:rPr>
                <w:rFonts w:cs="Arial"/>
                <w:b/>
                <w:bCs/>
                <w:sz w:val="18"/>
                <w:szCs w:val="18"/>
              </w:rPr>
              <w:t>2,166</w:t>
            </w:r>
          </w:p>
        </w:tc>
        <w:tc>
          <w:tcPr>
            <w:tcW w:w="236" w:type="dxa"/>
            <w:tcBorders>
              <w:top w:val="nil"/>
              <w:left w:val="nil"/>
              <w:bottom w:val="nil"/>
              <w:right w:val="nil"/>
            </w:tcBorders>
            <w:shd w:val="clear" w:color="FFFFFF" w:fill="FFFFFF"/>
            <w:noWrap/>
            <w:vAlign w:val="bottom"/>
            <w:hideMark/>
          </w:tcPr>
          <w:p w14:paraId="208F28A0"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2F164B7B" w14:textId="77777777" w:rsidR="00C32CBD" w:rsidRDefault="00C32CBD" w:rsidP="00320D09">
            <w:pPr>
              <w:jc w:val="right"/>
              <w:rPr>
                <w:rFonts w:cs="Arial"/>
                <w:sz w:val="18"/>
                <w:szCs w:val="18"/>
              </w:rPr>
            </w:pPr>
            <w:r>
              <w:rPr>
                <w:rFonts w:cs="Arial"/>
                <w:sz w:val="18"/>
                <w:szCs w:val="18"/>
              </w:rPr>
              <w:t>1,455</w:t>
            </w:r>
          </w:p>
        </w:tc>
      </w:tr>
      <w:tr w:rsidR="00C32CBD" w14:paraId="45389163" w14:textId="77777777" w:rsidTr="00320D09">
        <w:trPr>
          <w:trHeight w:val="255"/>
        </w:trPr>
        <w:tc>
          <w:tcPr>
            <w:tcW w:w="6353" w:type="dxa"/>
            <w:tcBorders>
              <w:top w:val="nil"/>
              <w:left w:val="nil"/>
              <w:bottom w:val="nil"/>
              <w:right w:val="nil"/>
            </w:tcBorders>
            <w:shd w:val="clear" w:color="FFFFFF" w:fill="FFFFFF"/>
            <w:noWrap/>
            <w:vAlign w:val="bottom"/>
          </w:tcPr>
          <w:p w14:paraId="7C0E1CDC" w14:textId="77777777" w:rsidR="00C32CBD" w:rsidRDefault="00C32CBD" w:rsidP="00320D09">
            <w:pPr>
              <w:ind w:firstLineChars="100" w:firstLine="180"/>
              <w:rPr>
                <w:rFonts w:cs="Arial"/>
                <w:sz w:val="18"/>
                <w:szCs w:val="18"/>
              </w:rPr>
            </w:pPr>
            <w:r>
              <w:rPr>
                <w:rFonts w:cs="Arial"/>
                <w:sz w:val="18"/>
                <w:szCs w:val="18"/>
              </w:rPr>
              <w:t>Participant and provider receivables</w:t>
            </w:r>
          </w:p>
        </w:tc>
        <w:tc>
          <w:tcPr>
            <w:tcW w:w="1249" w:type="dxa"/>
            <w:tcBorders>
              <w:top w:val="nil"/>
              <w:left w:val="nil"/>
              <w:bottom w:val="nil"/>
              <w:right w:val="nil"/>
            </w:tcBorders>
            <w:shd w:val="clear" w:color="FFFFFF" w:fill="FFFFFF"/>
            <w:noWrap/>
            <w:vAlign w:val="bottom"/>
          </w:tcPr>
          <w:p w14:paraId="447612D1" w14:textId="77777777" w:rsidR="00C32CBD" w:rsidRDefault="00C32CBD" w:rsidP="00320D09">
            <w:pPr>
              <w:jc w:val="right"/>
              <w:rPr>
                <w:rFonts w:cs="Arial"/>
                <w:b/>
                <w:bCs/>
                <w:sz w:val="18"/>
                <w:szCs w:val="18"/>
              </w:rPr>
            </w:pPr>
            <w:r>
              <w:rPr>
                <w:rFonts w:cs="Arial"/>
                <w:b/>
                <w:bCs/>
                <w:sz w:val="18"/>
                <w:szCs w:val="18"/>
              </w:rPr>
              <w:t>309</w:t>
            </w:r>
          </w:p>
        </w:tc>
        <w:tc>
          <w:tcPr>
            <w:tcW w:w="236" w:type="dxa"/>
            <w:tcBorders>
              <w:top w:val="nil"/>
              <w:left w:val="nil"/>
              <w:bottom w:val="nil"/>
              <w:right w:val="nil"/>
            </w:tcBorders>
            <w:shd w:val="clear" w:color="FFFFFF" w:fill="FFFFFF"/>
            <w:noWrap/>
            <w:vAlign w:val="bottom"/>
          </w:tcPr>
          <w:p w14:paraId="00BCAF2D" w14:textId="77777777" w:rsidR="00C32CBD" w:rsidRDefault="00C32CBD" w:rsidP="00320D09">
            <w:pPr>
              <w:rPr>
                <w:rFonts w:cs="Arial"/>
                <w:sz w:val="18"/>
                <w:szCs w:val="18"/>
              </w:rPr>
            </w:pPr>
          </w:p>
        </w:tc>
        <w:tc>
          <w:tcPr>
            <w:tcW w:w="1249" w:type="dxa"/>
            <w:tcBorders>
              <w:top w:val="nil"/>
              <w:left w:val="nil"/>
              <w:bottom w:val="nil"/>
              <w:right w:val="nil"/>
            </w:tcBorders>
            <w:shd w:val="clear" w:color="FFFFFF" w:fill="FFFFFF"/>
            <w:noWrap/>
            <w:vAlign w:val="bottom"/>
          </w:tcPr>
          <w:p w14:paraId="6198FD41" w14:textId="77777777" w:rsidR="00C32CBD" w:rsidRDefault="00C32CBD" w:rsidP="00320D09">
            <w:pPr>
              <w:jc w:val="right"/>
              <w:rPr>
                <w:rFonts w:cs="Arial"/>
                <w:sz w:val="18"/>
                <w:szCs w:val="18"/>
              </w:rPr>
            </w:pPr>
            <w:r>
              <w:rPr>
                <w:rFonts w:cs="Arial"/>
                <w:sz w:val="18"/>
                <w:szCs w:val="18"/>
              </w:rPr>
              <w:t>782</w:t>
            </w:r>
          </w:p>
        </w:tc>
      </w:tr>
      <w:tr w:rsidR="00C32CBD" w14:paraId="143FD8DC" w14:textId="77777777" w:rsidTr="00320D09">
        <w:trPr>
          <w:trHeight w:val="255"/>
        </w:trPr>
        <w:tc>
          <w:tcPr>
            <w:tcW w:w="6353" w:type="dxa"/>
            <w:tcBorders>
              <w:top w:val="nil"/>
              <w:left w:val="nil"/>
              <w:bottom w:val="nil"/>
              <w:right w:val="nil"/>
            </w:tcBorders>
            <w:shd w:val="clear" w:color="FFFFFF" w:fill="FFFFFF"/>
            <w:vAlign w:val="bottom"/>
            <w:hideMark/>
          </w:tcPr>
          <w:p w14:paraId="262E620D" w14:textId="77777777" w:rsidR="00C32CBD" w:rsidRDefault="00C32CBD" w:rsidP="00320D09">
            <w:pPr>
              <w:rPr>
                <w:rFonts w:cs="Arial"/>
                <w:b/>
                <w:bCs/>
                <w:sz w:val="18"/>
                <w:szCs w:val="18"/>
              </w:rPr>
            </w:pPr>
            <w:r>
              <w:rPr>
                <w:rFonts w:cs="Arial"/>
                <w:b/>
                <w:bCs/>
                <w:sz w:val="18"/>
                <w:szCs w:val="18"/>
              </w:rPr>
              <w:t>Total other receivables</w:t>
            </w:r>
          </w:p>
        </w:tc>
        <w:tc>
          <w:tcPr>
            <w:tcW w:w="1249" w:type="dxa"/>
            <w:tcBorders>
              <w:top w:val="single" w:sz="4" w:space="0" w:color="auto"/>
              <w:left w:val="nil"/>
              <w:bottom w:val="single" w:sz="4" w:space="0" w:color="auto"/>
              <w:right w:val="nil"/>
            </w:tcBorders>
            <w:shd w:val="clear" w:color="FFFFFF" w:fill="FFFFFF"/>
            <w:noWrap/>
            <w:vAlign w:val="bottom"/>
            <w:hideMark/>
          </w:tcPr>
          <w:p w14:paraId="5C745374" w14:textId="77777777" w:rsidR="00C32CBD" w:rsidRDefault="00C32CBD" w:rsidP="00320D09">
            <w:pPr>
              <w:jc w:val="right"/>
              <w:rPr>
                <w:rFonts w:cs="Arial"/>
                <w:b/>
                <w:bCs/>
                <w:sz w:val="18"/>
                <w:szCs w:val="18"/>
              </w:rPr>
            </w:pPr>
            <w:r>
              <w:rPr>
                <w:rFonts w:cs="Arial"/>
                <w:b/>
                <w:bCs/>
                <w:sz w:val="18"/>
                <w:szCs w:val="18"/>
              </w:rPr>
              <w:t>7,531</w:t>
            </w:r>
          </w:p>
        </w:tc>
        <w:tc>
          <w:tcPr>
            <w:tcW w:w="236" w:type="dxa"/>
            <w:tcBorders>
              <w:top w:val="nil"/>
              <w:left w:val="nil"/>
              <w:bottom w:val="nil"/>
              <w:right w:val="nil"/>
            </w:tcBorders>
            <w:shd w:val="clear" w:color="FFFFFF" w:fill="FFFFFF"/>
            <w:noWrap/>
            <w:vAlign w:val="bottom"/>
            <w:hideMark/>
          </w:tcPr>
          <w:p w14:paraId="75B274F6" w14:textId="77777777" w:rsidR="00C32CBD" w:rsidRDefault="00C32CBD" w:rsidP="00320D09">
            <w:pPr>
              <w:rPr>
                <w:rFonts w:cs="Arial"/>
                <w:sz w:val="18"/>
                <w:szCs w:val="18"/>
              </w:rPr>
            </w:pPr>
            <w:r>
              <w:rPr>
                <w:rFonts w:cs="Arial"/>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5A3DE9D1" w14:textId="77777777" w:rsidR="00C32CBD" w:rsidRDefault="00C32CBD" w:rsidP="00320D09">
            <w:pPr>
              <w:jc w:val="right"/>
              <w:rPr>
                <w:rFonts w:cs="Arial"/>
                <w:sz w:val="18"/>
                <w:szCs w:val="18"/>
              </w:rPr>
            </w:pPr>
            <w:r>
              <w:rPr>
                <w:rFonts w:cs="Arial"/>
                <w:sz w:val="18"/>
                <w:szCs w:val="18"/>
              </w:rPr>
              <w:t>3,554</w:t>
            </w:r>
          </w:p>
        </w:tc>
      </w:tr>
      <w:tr w:rsidR="00C32CBD" w14:paraId="1C65AE1E" w14:textId="77777777" w:rsidTr="00320D09">
        <w:trPr>
          <w:trHeight w:val="255"/>
        </w:trPr>
        <w:tc>
          <w:tcPr>
            <w:tcW w:w="6353" w:type="dxa"/>
            <w:tcBorders>
              <w:top w:val="nil"/>
              <w:left w:val="nil"/>
              <w:bottom w:val="nil"/>
              <w:right w:val="nil"/>
            </w:tcBorders>
            <w:shd w:val="clear" w:color="FFFFFF" w:fill="FFFFFF"/>
            <w:vAlign w:val="bottom"/>
            <w:hideMark/>
          </w:tcPr>
          <w:p w14:paraId="706F32E8" w14:textId="77777777" w:rsidR="00C32CBD" w:rsidRDefault="00C32CBD" w:rsidP="00320D09">
            <w:pPr>
              <w:rPr>
                <w:rFonts w:cs="Arial"/>
                <w:b/>
                <w:bCs/>
                <w:sz w:val="18"/>
                <w:szCs w:val="18"/>
              </w:rPr>
            </w:pPr>
            <w:r>
              <w:rPr>
                <w:rFonts w:cs="Arial"/>
                <w:b/>
                <w:bCs/>
                <w:sz w:val="18"/>
                <w:szCs w:val="18"/>
              </w:rPr>
              <w:t>Total trade and other receivables (gross)</w:t>
            </w:r>
          </w:p>
        </w:tc>
        <w:tc>
          <w:tcPr>
            <w:tcW w:w="1249" w:type="dxa"/>
            <w:tcBorders>
              <w:top w:val="nil"/>
              <w:left w:val="nil"/>
              <w:bottom w:val="single" w:sz="4" w:space="0" w:color="auto"/>
              <w:right w:val="nil"/>
            </w:tcBorders>
            <w:shd w:val="clear" w:color="FFFFFF" w:fill="FFFFFF"/>
            <w:noWrap/>
            <w:vAlign w:val="bottom"/>
            <w:hideMark/>
          </w:tcPr>
          <w:p w14:paraId="7500D6F4" w14:textId="77777777" w:rsidR="00C32CBD" w:rsidRDefault="00C32CBD" w:rsidP="00320D09">
            <w:pPr>
              <w:jc w:val="right"/>
              <w:rPr>
                <w:rFonts w:cs="Arial"/>
                <w:b/>
                <w:bCs/>
                <w:sz w:val="18"/>
                <w:szCs w:val="18"/>
              </w:rPr>
            </w:pPr>
            <w:r>
              <w:rPr>
                <w:rFonts w:cs="Arial"/>
                <w:b/>
                <w:bCs/>
                <w:sz w:val="18"/>
                <w:szCs w:val="18"/>
              </w:rPr>
              <w:t>205,741</w:t>
            </w:r>
          </w:p>
        </w:tc>
        <w:tc>
          <w:tcPr>
            <w:tcW w:w="236" w:type="dxa"/>
            <w:tcBorders>
              <w:top w:val="nil"/>
              <w:left w:val="nil"/>
              <w:bottom w:val="nil"/>
              <w:right w:val="nil"/>
            </w:tcBorders>
            <w:shd w:val="clear" w:color="FFFFFF" w:fill="FFFFFF"/>
            <w:noWrap/>
            <w:vAlign w:val="bottom"/>
            <w:hideMark/>
          </w:tcPr>
          <w:p w14:paraId="3C434567"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single" w:sz="4" w:space="0" w:color="auto"/>
              <w:right w:val="nil"/>
            </w:tcBorders>
            <w:shd w:val="clear" w:color="FFFFFF" w:fill="FFFFFF"/>
            <w:noWrap/>
            <w:vAlign w:val="bottom"/>
            <w:hideMark/>
          </w:tcPr>
          <w:p w14:paraId="7BCA5682" w14:textId="77777777" w:rsidR="00C32CBD" w:rsidRDefault="00C32CBD" w:rsidP="00320D09">
            <w:pPr>
              <w:jc w:val="right"/>
              <w:rPr>
                <w:rFonts w:cs="Arial"/>
                <w:sz w:val="18"/>
                <w:szCs w:val="18"/>
              </w:rPr>
            </w:pPr>
            <w:r>
              <w:rPr>
                <w:rFonts w:cs="Arial"/>
                <w:sz w:val="18"/>
                <w:szCs w:val="18"/>
              </w:rPr>
              <w:t>38,555</w:t>
            </w:r>
          </w:p>
        </w:tc>
      </w:tr>
      <w:tr w:rsidR="00C32CBD" w14:paraId="1E27F0F8" w14:textId="77777777" w:rsidTr="00320D09">
        <w:trPr>
          <w:trHeight w:val="255"/>
        </w:trPr>
        <w:tc>
          <w:tcPr>
            <w:tcW w:w="6353" w:type="dxa"/>
            <w:tcBorders>
              <w:top w:val="nil"/>
              <w:left w:val="nil"/>
              <w:bottom w:val="nil"/>
              <w:right w:val="nil"/>
            </w:tcBorders>
            <w:shd w:val="clear" w:color="FFFFFF" w:fill="FFFFFF"/>
            <w:noWrap/>
            <w:vAlign w:val="bottom"/>
            <w:hideMark/>
          </w:tcPr>
          <w:p w14:paraId="03D5762A"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2F22E4C1"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68AE7C21"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08DCEACA" w14:textId="77777777" w:rsidR="00C32CBD" w:rsidRDefault="00C32CBD" w:rsidP="00320D09">
            <w:pPr>
              <w:rPr>
                <w:rFonts w:cs="Arial"/>
                <w:sz w:val="18"/>
                <w:szCs w:val="18"/>
              </w:rPr>
            </w:pPr>
            <w:r>
              <w:rPr>
                <w:rFonts w:cs="Arial"/>
                <w:sz w:val="18"/>
                <w:szCs w:val="18"/>
              </w:rPr>
              <w:t> </w:t>
            </w:r>
          </w:p>
        </w:tc>
      </w:tr>
      <w:tr w:rsidR="00C32CBD" w14:paraId="1BACACEB" w14:textId="77777777" w:rsidTr="00320D09">
        <w:trPr>
          <w:trHeight w:val="255"/>
        </w:trPr>
        <w:tc>
          <w:tcPr>
            <w:tcW w:w="6353" w:type="dxa"/>
            <w:tcBorders>
              <w:top w:val="nil"/>
              <w:left w:val="nil"/>
              <w:bottom w:val="nil"/>
              <w:right w:val="nil"/>
            </w:tcBorders>
            <w:shd w:val="clear" w:color="FFFFFF" w:fill="FFFFFF"/>
            <w:vAlign w:val="bottom"/>
            <w:hideMark/>
          </w:tcPr>
          <w:p w14:paraId="7D542CA9" w14:textId="77777777" w:rsidR="00C32CBD" w:rsidRDefault="00C32CBD" w:rsidP="00320D09">
            <w:pPr>
              <w:rPr>
                <w:rFonts w:cs="Arial"/>
                <w:b/>
                <w:bCs/>
                <w:sz w:val="18"/>
                <w:szCs w:val="18"/>
              </w:rPr>
            </w:pPr>
            <w:r>
              <w:rPr>
                <w:rFonts w:cs="Arial"/>
                <w:b/>
                <w:bCs/>
                <w:sz w:val="18"/>
                <w:szCs w:val="18"/>
              </w:rPr>
              <w:t>Less impairment allowance</w:t>
            </w:r>
          </w:p>
        </w:tc>
        <w:tc>
          <w:tcPr>
            <w:tcW w:w="1249" w:type="dxa"/>
            <w:tcBorders>
              <w:top w:val="nil"/>
              <w:left w:val="nil"/>
              <w:bottom w:val="nil"/>
              <w:right w:val="nil"/>
            </w:tcBorders>
            <w:shd w:val="clear" w:color="FFFFFF" w:fill="FFFFFF"/>
            <w:noWrap/>
            <w:vAlign w:val="bottom"/>
            <w:hideMark/>
          </w:tcPr>
          <w:p w14:paraId="2142560B"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08EBA736"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537A7378" w14:textId="77777777" w:rsidR="00C32CBD" w:rsidRDefault="00C32CBD" w:rsidP="00320D09">
            <w:pPr>
              <w:rPr>
                <w:rFonts w:cs="Arial"/>
                <w:sz w:val="18"/>
                <w:szCs w:val="18"/>
              </w:rPr>
            </w:pPr>
            <w:r>
              <w:rPr>
                <w:rFonts w:cs="Arial"/>
                <w:sz w:val="18"/>
                <w:szCs w:val="18"/>
              </w:rPr>
              <w:t> </w:t>
            </w:r>
          </w:p>
        </w:tc>
      </w:tr>
      <w:tr w:rsidR="00C32CBD" w14:paraId="795DCB2E" w14:textId="77777777" w:rsidTr="00320D09">
        <w:trPr>
          <w:trHeight w:val="255"/>
        </w:trPr>
        <w:tc>
          <w:tcPr>
            <w:tcW w:w="6353" w:type="dxa"/>
            <w:tcBorders>
              <w:top w:val="nil"/>
              <w:left w:val="nil"/>
              <w:bottom w:val="nil"/>
              <w:right w:val="nil"/>
            </w:tcBorders>
            <w:shd w:val="clear" w:color="FFFFFF" w:fill="FFFFFF"/>
            <w:noWrap/>
            <w:vAlign w:val="bottom"/>
            <w:hideMark/>
          </w:tcPr>
          <w:p w14:paraId="4A72838B" w14:textId="77777777" w:rsidR="00C32CBD" w:rsidRDefault="00C32CBD" w:rsidP="00320D09">
            <w:pPr>
              <w:ind w:firstLineChars="100" w:firstLine="180"/>
              <w:rPr>
                <w:rFonts w:cs="Arial"/>
                <w:sz w:val="18"/>
                <w:szCs w:val="18"/>
              </w:rPr>
            </w:pPr>
            <w:r>
              <w:rPr>
                <w:rFonts w:cs="Arial"/>
                <w:sz w:val="18"/>
                <w:szCs w:val="18"/>
              </w:rPr>
              <w:t>Goods and services</w:t>
            </w:r>
          </w:p>
        </w:tc>
        <w:tc>
          <w:tcPr>
            <w:tcW w:w="1249" w:type="dxa"/>
            <w:tcBorders>
              <w:top w:val="nil"/>
              <w:left w:val="nil"/>
              <w:bottom w:val="nil"/>
              <w:right w:val="nil"/>
            </w:tcBorders>
            <w:shd w:val="clear" w:color="FFFFFF" w:fill="FFFFFF"/>
            <w:noWrap/>
            <w:vAlign w:val="bottom"/>
            <w:hideMark/>
          </w:tcPr>
          <w:p w14:paraId="262D52F9" w14:textId="77777777" w:rsidR="00C32CBD" w:rsidRDefault="00C32CBD" w:rsidP="00320D09">
            <w:pPr>
              <w:jc w:val="right"/>
              <w:rPr>
                <w:rFonts w:cs="Arial"/>
                <w:b/>
                <w:bCs/>
                <w:sz w:val="18"/>
                <w:szCs w:val="18"/>
              </w:rPr>
            </w:pPr>
            <w:r>
              <w:rPr>
                <w:rFonts w:cs="Arial"/>
                <w:b/>
                <w:bCs/>
                <w:sz w:val="18"/>
                <w:szCs w:val="18"/>
              </w:rPr>
              <w:t>879</w:t>
            </w:r>
          </w:p>
        </w:tc>
        <w:tc>
          <w:tcPr>
            <w:tcW w:w="236" w:type="dxa"/>
            <w:tcBorders>
              <w:top w:val="nil"/>
              <w:left w:val="nil"/>
              <w:bottom w:val="nil"/>
              <w:right w:val="nil"/>
            </w:tcBorders>
            <w:shd w:val="clear" w:color="FFFFFF" w:fill="FFFFFF"/>
            <w:noWrap/>
            <w:vAlign w:val="bottom"/>
            <w:hideMark/>
          </w:tcPr>
          <w:p w14:paraId="33D4EE61"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0AC9C380" w14:textId="77777777" w:rsidR="00C32CBD" w:rsidRDefault="00C32CBD" w:rsidP="00320D09">
            <w:pPr>
              <w:jc w:val="right"/>
              <w:rPr>
                <w:rFonts w:cs="Arial"/>
                <w:sz w:val="18"/>
                <w:szCs w:val="18"/>
              </w:rPr>
            </w:pPr>
            <w:r>
              <w:rPr>
                <w:rFonts w:cs="Arial"/>
                <w:sz w:val="18"/>
                <w:szCs w:val="18"/>
              </w:rPr>
              <w:t>17,671</w:t>
            </w:r>
          </w:p>
        </w:tc>
      </w:tr>
      <w:tr w:rsidR="00C32CBD" w14:paraId="7D419EEA" w14:textId="77777777" w:rsidTr="00320D09">
        <w:trPr>
          <w:trHeight w:val="255"/>
        </w:trPr>
        <w:tc>
          <w:tcPr>
            <w:tcW w:w="6353" w:type="dxa"/>
            <w:tcBorders>
              <w:top w:val="nil"/>
              <w:left w:val="nil"/>
              <w:bottom w:val="nil"/>
              <w:right w:val="nil"/>
            </w:tcBorders>
            <w:shd w:val="clear" w:color="FFFFFF" w:fill="FFFFFF"/>
            <w:vAlign w:val="bottom"/>
            <w:hideMark/>
          </w:tcPr>
          <w:p w14:paraId="1E48A111" w14:textId="77777777" w:rsidR="00C32CBD" w:rsidRDefault="00C32CBD" w:rsidP="00320D09">
            <w:pPr>
              <w:rPr>
                <w:rFonts w:cs="Arial"/>
                <w:b/>
                <w:bCs/>
                <w:sz w:val="18"/>
                <w:szCs w:val="18"/>
              </w:rPr>
            </w:pPr>
            <w:r>
              <w:rPr>
                <w:rFonts w:cs="Arial"/>
                <w:b/>
                <w:bCs/>
                <w:sz w:val="18"/>
                <w:szCs w:val="18"/>
              </w:rPr>
              <w:t>Total impairment allowance account</w:t>
            </w:r>
          </w:p>
        </w:tc>
        <w:tc>
          <w:tcPr>
            <w:tcW w:w="1249" w:type="dxa"/>
            <w:tcBorders>
              <w:top w:val="single" w:sz="4" w:space="0" w:color="auto"/>
              <w:left w:val="nil"/>
              <w:bottom w:val="single" w:sz="4" w:space="0" w:color="auto"/>
              <w:right w:val="nil"/>
            </w:tcBorders>
            <w:shd w:val="clear" w:color="FFFFFF" w:fill="FFFFFF"/>
            <w:noWrap/>
            <w:vAlign w:val="bottom"/>
            <w:hideMark/>
          </w:tcPr>
          <w:p w14:paraId="6357DEAB" w14:textId="77777777" w:rsidR="00C32CBD" w:rsidRDefault="00C32CBD" w:rsidP="00320D09">
            <w:pPr>
              <w:jc w:val="right"/>
              <w:rPr>
                <w:rFonts w:cs="Arial"/>
                <w:b/>
                <w:bCs/>
                <w:sz w:val="18"/>
                <w:szCs w:val="18"/>
              </w:rPr>
            </w:pPr>
            <w:r>
              <w:rPr>
                <w:rFonts w:cs="Arial"/>
                <w:b/>
                <w:bCs/>
                <w:sz w:val="18"/>
                <w:szCs w:val="18"/>
              </w:rPr>
              <w:t>879</w:t>
            </w:r>
          </w:p>
        </w:tc>
        <w:tc>
          <w:tcPr>
            <w:tcW w:w="236" w:type="dxa"/>
            <w:tcBorders>
              <w:top w:val="nil"/>
              <w:left w:val="nil"/>
              <w:bottom w:val="nil"/>
              <w:right w:val="nil"/>
            </w:tcBorders>
            <w:shd w:val="clear" w:color="FFFFFF" w:fill="FFFFFF"/>
            <w:noWrap/>
            <w:vAlign w:val="bottom"/>
            <w:hideMark/>
          </w:tcPr>
          <w:p w14:paraId="3D0629A0" w14:textId="77777777" w:rsidR="00C32CBD" w:rsidRDefault="00C32CBD" w:rsidP="00320D09">
            <w:pPr>
              <w:rPr>
                <w:rFonts w:cs="Arial"/>
                <w:sz w:val="18"/>
                <w:szCs w:val="18"/>
              </w:rPr>
            </w:pPr>
            <w:r>
              <w:rPr>
                <w:rFonts w:cs="Arial"/>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3077C15B" w14:textId="77777777" w:rsidR="00C32CBD" w:rsidRDefault="00C32CBD" w:rsidP="00320D09">
            <w:pPr>
              <w:jc w:val="right"/>
              <w:rPr>
                <w:rFonts w:cs="Arial"/>
                <w:sz w:val="18"/>
                <w:szCs w:val="18"/>
              </w:rPr>
            </w:pPr>
            <w:r>
              <w:rPr>
                <w:rFonts w:cs="Arial"/>
                <w:sz w:val="18"/>
                <w:szCs w:val="18"/>
              </w:rPr>
              <w:t>17,671</w:t>
            </w:r>
          </w:p>
        </w:tc>
      </w:tr>
      <w:tr w:rsidR="00C32CBD" w14:paraId="768029DE" w14:textId="77777777" w:rsidTr="00320D09">
        <w:trPr>
          <w:trHeight w:val="255"/>
        </w:trPr>
        <w:tc>
          <w:tcPr>
            <w:tcW w:w="6353" w:type="dxa"/>
            <w:tcBorders>
              <w:top w:val="nil"/>
              <w:left w:val="nil"/>
              <w:bottom w:val="nil"/>
              <w:right w:val="nil"/>
            </w:tcBorders>
            <w:shd w:val="clear" w:color="FFFFFF" w:fill="FFFFFF"/>
            <w:vAlign w:val="bottom"/>
            <w:hideMark/>
          </w:tcPr>
          <w:p w14:paraId="597A758F" w14:textId="77777777" w:rsidR="00C32CBD" w:rsidRDefault="00C32CBD" w:rsidP="00320D09">
            <w:pPr>
              <w:rPr>
                <w:rFonts w:cs="Arial"/>
                <w:b/>
                <w:bCs/>
                <w:sz w:val="18"/>
                <w:szCs w:val="18"/>
              </w:rPr>
            </w:pPr>
            <w:r>
              <w:rPr>
                <w:rFonts w:cs="Arial"/>
                <w:b/>
                <w:bCs/>
                <w:sz w:val="18"/>
                <w:szCs w:val="18"/>
              </w:rPr>
              <w:t>Total trade and other receivables (net)</w:t>
            </w:r>
          </w:p>
        </w:tc>
        <w:tc>
          <w:tcPr>
            <w:tcW w:w="1249" w:type="dxa"/>
            <w:tcBorders>
              <w:top w:val="nil"/>
              <w:left w:val="nil"/>
              <w:bottom w:val="single" w:sz="4" w:space="0" w:color="auto"/>
              <w:right w:val="nil"/>
            </w:tcBorders>
            <w:shd w:val="clear" w:color="FFFFFF" w:fill="FFFFFF"/>
            <w:noWrap/>
            <w:vAlign w:val="bottom"/>
            <w:hideMark/>
          </w:tcPr>
          <w:p w14:paraId="49FCE735" w14:textId="77777777" w:rsidR="00C32CBD" w:rsidRDefault="00C32CBD" w:rsidP="00320D09">
            <w:pPr>
              <w:jc w:val="right"/>
              <w:rPr>
                <w:rFonts w:cs="Arial"/>
                <w:b/>
                <w:bCs/>
                <w:sz w:val="18"/>
                <w:szCs w:val="18"/>
              </w:rPr>
            </w:pPr>
            <w:r>
              <w:rPr>
                <w:rFonts w:cs="Arial"/>
                <w:b/>
                <w:bCs/>
                <w:sz w:val="18"/>
                <w:szCs w:val="18"/>
              </w:rPr>
              <w:t>204,862</w:t>
            </w:r>
          </w:p>
        </w:tc>
        <w:tc>
          <w:tcPr>
            <w:tcW w:w="236" w:type="dxa"/>
            <w:tcBorders>
              <w:top w:val="nil"/>
              <w:left w:val="nil"/>
              <w:bottom w:val="nil"/>
              <w:right w:val="nil"/>
            </w:tcBorders>
            <w:shd w:val="clear" w:color="FFFFFF" w:fill="FFFFFF"/>
            <w:noWrap/>
            <w:vAlign w:val="bottom"/>
            <w:hideMark/>
          </w:tcPr>
          <w:p w14:paraId="063ECA8D"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single" w:sz="4" w:space="0" w:color="auto"/>
              <w:right w:val="nil"/>
            </w:tcBorders>
            <w:shd w:val="clear" w:color="FFFFFF" w:fill="FFFFFF"/>
            <w:noWrap/>
            <w:vAlign w:val="bottom"/>
            <w:hideMark/>
          </w:tcPr>
          <w:p w14:paraId="31ED4516" w14:textId="77777777" w:rsidR="00C32CBD" w:rsidRDefault="00C32CBD" w:rsidP="00320D09">
            <w:pPr>
              <w:jc w:val="right"/>
              <w:rPr>
                <w:rFonts w:cs="Arial"/>
                <w:sz w:val="18"/>
                <w:szCs w:val="18"/>
              </w:rPr>
            </w:pPr>
            <w:r>
              <w:rPr>
                <w:rFonts w:cs="Arial"/>
                <w:sz w:val="18"/>
                <w:szCs w:val="18"/>
              </w:rPr>
              <w:t>20,884</w:t>
            </w:r>
          </w:p>
        </w:tc>
      </w:tr>
      <w:tr w:rsidR="00C32CBD" w14:paraId="2A4A3D96" w14:textId="77777777" w:rsidTr="00320D09">
        <w:trPr>
          <w:trHeight w:val="255"/>
        </w:trPr>
        <w:tc>
          <w:tcPr>
            <w:tcW w:w="6353" w:type="dxa"/>
            <w:tcBorders>
              <w:top w:val="nil"/>
              <w:left w:val="nil"/>
              <w:bottom w:val="nil"/>
              <w:right w:val="nil"/>
            </w:tcBorders>
            <w:shd w:val="clear" w:color="FFFFFF" w:fill="FFFFFF"/>
            <w:noWrap/>
            <w:vAlign w:val="bottom"/>
            <w:hideMark/>
          </w:tcPr>
          <w:p w14:paraId="2DD3116D"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15504C1B"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4484628D"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25C5A4A6" w14:textId="77777777" w:rsidR="00C32CBD" w:rsidRDefault="00C32CBD" w:rsidP="00320D09">
            <w:pPr>
              <w:rPr>
                <w:rFonts w:cs="Arial"/>
                <w:sz w:val="18"/>
                <w:szCs w:val="18"/>
              </w:rPr>
            </w:pPr>
            <w:r>
              <w:rPr>
                <w:rFonts w:cs="Arial"/>
                <w:sz w:val="18"/>
                <w:szCs w:val="18"/>
              </w:rPr>
              <w:t> </w:t>
            </w:r>
          </w:p>
        </w:tc>
      </w:tr>
      <w:tr w:rsidR="00C32CBD" w14:paraId="1767B6F1" w14:textId="77777777" w:rsidTr="00320D09">
        <w:trPr>
          <w:trHeight w:val="255"/>
        </w:trPr>
        <w:tc>
          <w:tcPr>
            <w:tcW w:w="6353" w:type="dxa"/>
            <w:tcBorders>
              <w:top w:val="nil"/>
              <w:left w:val="nil"/>
              <w:bottom w:val="nil"/>
              <w:right w:val="nil"/>
            </w:tcBorders>
            <w:shd w:val="clear" w:color="FFFFFF" w:fill="FFFFFF"/>
            <w:vAlign w:val="bottom"/>
            <w:hideMark/>
          </w:tcPr>
          <w:p w14:paraId="7D296FB1" w14:textId="77777777" w:rsidR="00C32CBD" w:rsidRDefault="00C32CBD" w:rsidP="00320D09">
            <w:pPr>
              <w:rPr>
                <w:rFonts w:cs="Arial"/>
                <w:b/>
                <w:bCs/>
                <w:sz w:val="18"/>
                <w:szCs w:val="18"/>
              </w:rPr>
            </w:pPr>
            <w:r>
              <w:rPr>
                <w:rFonts w:cs="Arial"/>
                <w:b/>
                <w:bCs/>
                <w:sz w:val="18"/>
                <w:szCs w:val="18"/>
              </w:rPr>
              <w:t>Trade and other receivables expected to be recovered</w:t>
            </w:r>
          </w:p>
        </w:tc>
        <w:tc>
          <w:tcPr>
            <w:tcW w:w="1249" w:type="dxa"/>
            <w:tcBorders>
              <w:top w:val="nil"/>
              <w:left w:val="nil"/>
              <w:bottom w:val="nil"/>
              <w:right w:val="nil"/>
            </w:tcBorders>
            <w:shd w:val="clear" w:color="FFFFFF" w:fill="FFFFFF"/>
            <w:noWrap/>
            <w:vAlign w:val="bottom"/>
            <w:hideMark/>
          </w:tcPr>
          <w:p w14:paraId="39AECF17"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024B6D84"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22B5115C" w14:textId="77777777" w:rsidR="00C32CBD" w:rsidRDefault="00C32CBD" w:rsidP="00320D09">
            <w:pPr>
              <w:rPr>
                <w:rFonts w:cs="Arial"/>
                <w:sz w:val="18"/>
                <w:szCs w:val="18"/>
              </w:rPr>
            </w:pPr>
            <w:r>
              <w:rPr>
                <w:rFonts w:cs="Arial"/>
                <w:sz w:val="18"/>
                <w:szCs w:val="18"/>
              </w:rPr>
              <w:t> </w:t>
            </w:r>
          </w:p>
        </w:tc>
      </w:tr>
      <w:tr w:rsidR="00C32CBD" w14:paraId="338E72E4" w14:textId="77777777" w:rsidTr="00320D09">
        <w:trPr>
          <w:trHeight w:val="255"/>
        </w:trPr>
        <w:tc>
          <w:tcPr>
            <w:tcW w:w="6353" w:type="dxa"/>
            <w:tcBorders>
              <w:top w:val="nil"/>
              <w:left w:val="nil"/>
              <w:bottom w:val="nil"/>
              <w:right w:val="nil"/>
            </w:tcBorders>
            <w:shd w:val="clear" w:color="FFFFFF" w:fill="FFFFFF"/>
            <w:noWrap/>
            <w:vAlign w:val="bottom"/>
            <w:hideMark/>
          </w:tcPr>
          <w:p w14:paraId="00E1EEBB" w14:textId="77777777" w:rsidR="00C32CBD" w:rsidRDefault="00C32CBD" w:rsidP="00320D09">
            <w:pPr>
              <w:ind w:firstLineChars="100" w:firstLine="180"/>
              <w:rPr>
                <w:rFonts w:cs="Arial"/>
                <w:sz w:val="18"/>
                <w:szCs w:val="18"/>
              </w:rPr>
            </w:pPr>
            <w:r>
              <w:rPr>
                <w:rFonts w:cs="Arial"/>
                <w:sz w:val="18"/>
                <w:szCs w:val="18"/>
              </w:rPr>
              <w:t>No more than 12 months</w:t>
            </w:r>
          </w:p>
        </w:tc>
        <w:tc>
          <w:tcPr>
            <w:tcW w:w="1249" w:type="dxa"/>
            <w:tcBorders>
              <w:top w:val="nil"/>
              <w:left w:val="nil"/>
              <w:bottom w:val="nil"/>
              <w:right w:val="nil"/>
            </w:tcBorders>
            <w:shd w:val="clear" w:color="FFFFFF" w:fill="FFFFFF"/>
            <w:noWrap/>
            <w:vAlign w:val="bottom"/>
            <w:hideMark/>
          </w:tcPr>
          <w:p w14:paraId="769031BB" w14:textId="77777777" w:rsidR="00C32CBD" w:rsidRDefault="00C32CBD" w:rsidP="00320D09">
            <w:pPr>
              <w:jc w:val="right"/>
              <w:rPr>
                <w:rFonts w:cs="Arial"/>
                <w:b/>
                <w:bCs/>
                <w:sz w:val="18"/>
                <w:szCs w:val="18"/>
              </w:rPr>
            </w:pPr>
            <w:r>
              <w:rPr>
                <w:rFonts w:cs="Arial"/>
                <w:b/>
                <w:bCs/>
                <w:sz w:val="18"/>
                <w:szCs w:val="18"/>
              </w:rPr>
              <w:t>204,862</w:t>
            </w:r>
          </w:p>
        </w:tc>
        <w:tc>
          <w:tcPr>
            <w:tcW w:w="236" w:type="dxa"/>
            <w:tcBorders>
              <w:top w:val="nil"/>
              <w:left w:val="nil"/>
              <w:bottom w:val="nil"/>
              <w:right w:val="nil"/>
            </w:tcBorders>
            <w:shd w:val="clear" w:color="FFFFFF" w:fill="FFFFFF"/>
            <w:noWrap/>
            <w:vAlign w:val="bottom"/>
            <w:hideMark/>
          </w:tcPr>
          <w:p w14:paraId="14D0BCD0"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26E8298B" w14:textId="77777777" w:rsidR="00C32CBD" w:rsidRDefault="00C32CBD" w:rsidP="00320D09">
            <w:pPr>
              <w:jc w:val="right"/>
              <w:rPr>
                <w:rFonts w:cs="Arial"/>
                <w:sz w:val="18"/>
                <w:szCs w:val="18"/>
              </w:rPr>
            </w:pPr>
            <w:r>
              <w:rPr>
                <w:rFonts w:cs="Arial"/>
                <w:sz w:val="18"/>
                <w:szCs w:val="18"/>
              </w:rPr>
              <w:t>20,884</w:t>
            </w:r>
          </w:p>
        </w:tc>
      </w:tr>
      <w:tr w:rsidR="00C32CBD" w14:paraId="520A5922" w14:textId="77777777" w:rsidTr="00320D09">
        <w:trPr>
          <w:trHeight w:val="255"/>
        </w:trPr>
        <w:tc>
          <w:tcPr>
            <w:tcW w:w="6353" w:type="dxa"/>
            <w:tcBorders>
              <w:top w:val="nil"/>
              <w:left w:val="nil"/>
              <w:bottom w:val="nil"/>
              <w:right w:val="nil"/>
            </w:tcBorders>
            <w:shd w:val="clear" w:color="FFFFFF" w:fill="FFFFFF"/>
            <w:vAlign w:val="bottom"/>
            <w:hideMark/>
          </w:tcPr>
          <w:p w14:paraId="7ADA73E9" w14:textId="77777777" w:rsidR="00C32CBD" w:rsidRDefault="00C32CBD" w:rsidP="00320D09">
            <w:pPr>
              <w:rPr>
                <w:rFonts w:cs="Arial"/>
                <w:b/>
                <w:bCs/>
                <w:sz w:val="18"/>
                <w:szCs w:val="18"/>
              </w:rPr>
            </w:pPr>
            <w:r>
              <w:rPr>
                <w:rFonts w:cs="Arial"/>
                <w:b/>
                <w:bCs/>
                <w:sz w:val="18"/>
                <w:szCs w:val="18"/>
              </w:rPr>
              <w:t>Total trade and other receivables (net)</w:t>
            </w:r>
          </w:p>
        </w:tc>
        <w:tc>
          <w:tcPr>
            <w:tcW w:w="1249" w:type="dxa"/>
            <w:tcBorders>
              <w:top w:val="single" w:sz="4" w:space="0" w:color="auto"/>
              <w:left w:val="nil"/>
              <w:bottom w:val="single" w:sz="4" w:space="0" w:color="auto"/>
              <w:right w:val="nil"/>
            </w:tcBorders>
            <w:shd w:val="clear" w:color="FFFFFF" w:fill="FFFFFF"/>
            <w:noWrap/>
            <w:vAlign w:val="bottom"/>
            <w:hideMark/>
          </w:tcPr>
          <w:p w14:paraId="299D9EBE" w14:textId="77777777" w:rsidR="00C32CBD" w:rsidRDefault="00C32CBD" w:rsidP="00320D09">
            <w:pPr>
              <w:jc w:val="right"/>
              <w:rPr>
                <w:rFonts w:cs="Arial"/>
                <w:b/>
                <w:bCs/>
                <w:sz w:val="18"/>
                <w:szCs w:val="18"/>
              </w:rPr>
            </w:pPr>
            <w:r>
              <w:rPr>
                <w:rFonts w:cs="Arial"/>
                <w:b/>
                <w:bCs/>
                <w:sz w:val="18"/>
                <w:szCs w:val="18"/>
              </w:rPr>
              <w:t>204,862</w:t>
            </w:r>
          </w:p>
        </w:tc>
        <w:tc>
          <w:tcPr>
            <w:tcW w:w="236" w:type="dxa"/>
            <w:tcBorders>
              <w:top w:val="nil"/>
              <w:left w:val="nil"/>
              <w:bottom w:val="nil"/>
              <w:right w:val="nil"/>
            </w:tcBorders>
            <w:shd w:val="clear" w:color="FFFFFF" w:fill="FFFFFF"/>
            <w:noWrap/>
            <w:vAlign w:val="bottom"/>
            <w:hideMark/>
          </w:tcPr>
          <w:p w14:paraId="1EDFA47C" w14:textId="77777777" w:rsidR="00C32CBD" w:rsidRDefault="00C32CBD" w:rsidP="00320D09">
            <w:pPr>
              <w:rPr>
                <w:rFonts w:cs="Arial"/>
                <w:sz w:val="18"/>
                <w:szCs w:val="18"/>
              </w:rPr>
            </w:pPr>
            <w:r>
              <w:rPr>
                <w:rFonts w:cs="Arial"/>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04B5EB23" w14:textId="77777777" w:rsidR="00C32CBD" w:rsidRDefault="00C32CBD" w:rsidP="00320D09">
            <w:pPr>
              <w:jc w:val="right"/>
              <w:rPr>
                <w:rFonts w:cs="Arial"/>
                <w:sz w:val="18"/>
                <w:szCs w:val="18"/>
              </w:rPr>
            </w:pPr>
            <w:r>
              <w:rPr>
                <w:rFonts w:cs="Arial"/>
                <w:sz w:val="18"/>
                <w:szCs w:val="18"/>
              </w:rPr>
              <w:t>20,884</w:t>
            </w:r>
          </w:p>
        </w:tc>
      </w:tr>
      <w:tr w:rsidR="00C32CBD" w14:paraId="6D753957" w14:textId="77777777" w:rsidTr="00320D09">
        <w:trPr>
          <w:trHeight w:val="255"/>
        </w:trPr>
        <w:tc>
          <w:tcPr>
            <w:tcW w:w="6353" w:type="dxa"/>
            <w:tcBorders>
              <w:top w:val="nil"/>
              <w:left w:val="nil"/>
              <w:bottom w:val="nil"/>
              <w:right w:val="nil"/>
            </w:tcBorders>
            <w:shd w:val="clear" w:color="FFFFFF" w:fill="FFFFFF"/>
            <w:noWrap/>
            <w:vAlign w:val="bottom"/>
            <w:hideMark/>
          </w:tcPr>
          <w:p w14:paraId="720A48C3"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0F9651C3"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14CB4F21"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56A75BAF" w14:textId="77777777" w:rsidR="00C32CBD" w:rsidRDefault="00C32CBD" w:rsidP="00320D09">
            <w:pPr>
              <w:rPr>
                <w:rFonts w:cs="Arial"/>
                <w:sz w:val="18"/>
                <w:szCs w:val="18"/>
              </w:rPr>
            </w:pPr>
            <w:r>
              <w:rPr>
                <w:rFonts w:cs="Arial"/>
                <w:sz w:val="18"/>
                <w:szCs w:val="18"/>
              </w:rPr>
              <w:t> </w:t>
            </w:r>
          </w:p>
        </w:tc>
      </w:tr>
      <w:tr w:rsidR="00C32CBD" w14:paraId="105AA283" w14:textId="77777777" w:rsidTr="00320D09">
        <w:trPr>
          <w:trHeight w:val="255"/>
        </w:trPr>
        <w:tc>
          <w:tcPr>
            <w:tcW w:w="6353" w:type="dxa"/>
            <w:tcBorders>
              <w:top w:val="nil"/>
              <w:left w:val="nil"/>
              <w:bottom w:val="nil"/>
              <w:right w:val="nil"/>
            </w:tcBorders>
            <w:shd w:val="clear" w:color="FFFFFF" w:fill="FFFFFF"/>
            <w:vAlign w:val="bottom"/>
            <w:hideMark/>
          </w:tcPr>
          <w:p w14:paraId="4525A69B" w14:textId="77777777" w:rsidR="00C32CBD" w:rsidRDefault="00C32CBD" w:rsidP="00320D09">
            <w:pPr>
              <w:rPr>
                <w:rFonts w:cs="Arial"/>
                <w:b/>
                <w:bCs/>
                <w:sz w:val="18"/>
                <w:szCs w:val="18"/>
              </w:rPr>
            </w:pPr>
            <w:r>
              <w:rPr>
                <w:rFonts w:cs="Arial"/>
                <w:b/>
                <w:bCs/>
                <w:sz w:val="18"/>
                <w:szCs w:val="18"/>
              </w:rPr>
              <w:t>Trade and other receivables aged as follows</w:t>
            </w:r>
          </w:p>
        </w:tc>
        <w:tc>
          <w:tcPr>
            <w:tcW w:w="1249" w:type="dxa"/>
            <w:tcBorders>
              <w:top w:val="nil"/>
              <w:left w:val="nil"/>
              <w:bottom w:val="nil"/>
              <w:right w:val="nil"/>
            </w:tcBorders>
            <w:shd w:val="clear" w:color="FFFFFF" w:fill="FFFFFF"/>
            <w:noWrap/>
            <w:vAlign w:val="bottom"/>
            <w:hideMark/>
          </w:tcPr>
          <w:p w14:paraId="507566A5"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42EF95B8"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7C4F7C25" w14:textId="77777777" w:rsidR="00C32CBD" w:rsidRDefault="00C32CBD" w:rsidP="00320D09">
            <w:pPr>
              <w:rPr>
                <w:rFonts w:cs="Arial"/>
                <w:sz w:val="18"/>
                <w:szCs w:val="18"/>
              </w:rPr>
            </w:pPr>
            <w:r>
              <w:rPr>
                <w:rFonts w:cs="Arial"/>
                <w:sz w:val="18"/>
                <w:szCs w:val="18"/>
              </w:rPr>
              <w:t> </w:t>
            </w:r>
          </w:p>
        </w:tc>
      </w:tr>
      <w:tr w:rsidR="00C32CBD" w14:paraId="03B492A9" w14:textId="77777777" w:rsidTr="00320D09">
        <w:trPr>
          <w:trHeight w:val="255"/>
        </w:trPr>
        <w:tc>
          <w:tcPr>
            <w:tcW w:w="6353" w:type="dxa"/>
            <w:tcBorders>
              <w:top w:val="nil"/>
              <w:left w:val="nil"/>
              <w:bottom w:val="nil"/>
              <w:right w:val="nil"/>
            </w:tcBorders>
            <w:shd w:val="clear" w:color="FFFFFF" w:fill="FFFFFF"/>
            <w:noWrap/>
            <w:vAlign w:val="bottom"/>
            <w:hideMark/>
          </w:tcPr>
          <w:p w14:paraId="001933DD" w14:textId="77777777" w:rsidR="00C32CBD" w:rsidRDefault="00C32CBD" w:rsidP="00320D09">
            <w:pPr>
              <w:ind w:firstLineChars="100" w:firstLine="180"/>
              <w:rPr>
                <w:rFonts w:cs="Arial"/>
                <w:sz w:val="18"/>
                <w:szCs w:val="18"/>
              </w:rPr>
            </w:pPr>
            <w:r>
              <w:rPr>
                <w:rFonts w:cs="Arial"/>
                <w:sz w:val="18"/>
                <w:szCs w:val="18"/>
              </w:rPr>
              <w:t>Not overdue</w:t>
            </w:r>
          </w:p>
        </w:tc>
        <w:tc>
          <w:tcPr>
            <w:tcW w:w="1249" w:type="dxa"/>
            <w:tcBorders>
              <w:top w:val="nil"/>
              <w:left w:val="nil"/>
              <w:bottom w:val="nil"/>
              <w:right w:val="nil"/>
            </w:tcBorders>
            <w:shd w:val="clear" w:color="FFFFFF" w:fill="FFFFFF"/>
            <w:noWrap/>
            <w:vAlign w:val="bottom"/>
            <w:hideMark/>
          </w:tcPr>
          <w:p w14:paraId="61E76892" w14:textId="77777777" w:rsidR="00C32CBD" w:rsidRDefault="00C32CBD" w:rsidP="00320D09">
            <w:pPr>
              <w:jc w:val="right"/>
              <w:rPr>
                <w:rFonts w:cs="Arial"/>
                <w:b/>
                <w:bCs/>
                <w:sz w:val="18"/>
                <w:szCs w:val="18"/>
              </w:rPr>
            </w:pPr>
            <w:r>
              <w:rPr>
                <w:rFonts w:cs="Arial"/>
                <w:b/>
                <w:bCs/>
                <w:sz w:val="18"/>
                <w:szCs w:val="18"/>
              </w:rPr>
              <w:t>204,552</w:t>
            </w:r>
          </w:p>
        </w:tc>
        <w:tc>
          <w:tcPr>
            <w:tcW w:w="236" w:type="dxa"/>
            <w:tcBorders>
              <w:top w:val="nil"/>
              <w:left w:val="nil"/>
              <w:bottom w:val="nil"/>
              <w:right w:val="nil"/>
            </w:tcBorders>
            <w:shd w:val="clear" w:color="FFFFFF" w:fill="FFFFFF"/>
            <w:noWrap/>
            <w:vAlign w:val="bottom"/>
            <w:hideMark/>
          </w:tcPr>
          <w:p w14:paraId="05A3873B"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6D87898B" w14:textId="77777777" w:rsidR="00C32CBD" w:rsidRDefault="00C32CBD" w:rsidP="00320D09">
            <w:pPr>
              <w:jc w:val="right"/>
              <w:rPr>
                <w:rFonts w:cs="Arial"/>
                <w:sz w:val="18"/>
                <w:szCs w:val="18"/>
              </w:rPr>
            </w:pPr>
            <w:r>
              <w:rPr>
                <w:rFonts w:cs="Arial"/>
                <w:sz w:val="18"/>
                <w:szCs w:val="18"/>
              </w:rPr>
              <w:t>15,415</w:t>
            </w:r>
          </w:p>
        </w:tc>
      </w:tr>
      <w:tr w:rsidR="00C32CBD" w14:paraId="482BF9E2" w14:textId="77777777" w:rsidTr="00320D09">
        <w:trPr>
          <w:trHeight w:val="255"/>
        </w:trPr>
        <w:tc>
          <w:tcPr>
            <w:tcW w:w="6353" w:type="dxa"/>
            <w:tcBorders>
              <w:top w:val="nil"/>
              <w:left w:val="nil"/>
              <w:bottom w:val="nil"/>
              <w:right w:val="nil"/>
            </w:tcBorders>
            <w:shd w:val="clear" w:color="FFFFFF" w:fill="FFFFFF"/>
            <w:noWrap/>
            <w:vAlign w:val="bottom"/>
            <w:hideMark/>
          </w:tcPr>
          <w:p w14:paraId="416B05EE" w14:textId="77777777" w:rsidR="00C32CBD" w:rsidRDefault="00C32CBD" w:rsidP="00320D09">
            <w:pPr>
              <w:ind w:firstLineChars="100" w:firstLine="180"/>
              <w:rPr>
                <w:rFonts w:cs="Arial"/>
                <w:sz w:val="18"/>
                <w:szCs w:val="18"/>
              </w:rPr>
            </w:pPr>
            <w:r>
              <w:rPr>
                <w:rFonts w:cs="Arial"/>
                <w:sz w:val="18"/>
                <w:szCs w:val="18"/>
              </w:rPr>
              <w:t>Overdue by</w:t>
            </w:r>
          </w:p>
        </w:tc>
        <w:tc>
          <w:tcPr>
            <w:tcW w:w="1249" w:type="dxa"/>
            <w:tcBorders>
              <w:top w:val="nil"/>
              <w:left w:val="nil"/>
              <w:bottom w:val="nil"/>
              <w:right w:val="nil"/>
            </w:tcBorders>
            <w:shd w:val="clear" w:color="FFFFFF" w:fill="FFFFFF"/>
            <w:noWrap/>
            <w:vAlign w:val="bottom"/>
            <w:hideMark/>
          </w:tcPr>
          <w:p w14:paraId="41CF5F91"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4B920AED"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3CBA0A5A" w14:textId="77777777" w:rsidR="00C32CBD" w:rsidRDefault="00C32CBD" w:rsidP="00320D09">
            <w:pPr>
              <w:rPr>
                <w:rFonts w:cs="Arial"/>
                <w:sz w:val="18"/>
                <w:szCs w:val="18"/>
              </w:rPr>
            </w:pPr>
            <w:r>
              <w:rPr>
                <w:rFonts w:cs="Arial"/>
                <w:sz w:val="18"/>
                <w:szCs w:val="18"/>
              </w:rPr>
              <w:t> </w:t>
            </w:r>
          </w:p>
        </w:tc>
      </w:tr>
      <w:tr w:rsidR="00C32CBD" w14:paraId="45E45C27" w14:textId="77777777" w:rsidTr="00320D09">
        <w:trPr>
          <w:trHeight w:val="255"/>
        </w:trPr>
        <w:tc>
          <w:tcPr>
            <w:tcW w:w="6353" w:type="dxa"/>
            <w:tcBorders>
              <w:top w:val="nil"/>
              <w:left w:val="nil"/>
              <w:bottom w:val="nil"/>
              <w:right w:val="nil"/>
            </w:tcBorders>
            <w:shd w:val="clear" w:color="FFFFFF" w:fill="FFFFFF"/>
            <w:noWrap/>
            <w:vAlign w:val="bottom"/>
            <w:hideMark/>
          </w:tcPr>
          <w:p w14:paraId="5A1E2F1D" w14:textId="77777777" w:rsidR="00C32CBD" w:rsidRDefault="00C32CBD" w:rsidP="00320D09">
            <w:pPr>
              <w:ind w:firstLineChars="200" w:firstLine="360"/>
              <w:rPr>
                <w:rFonts w:cs="Arial"/>
                <w:sz w:val="18"/>
                <w:szCs w:val="18"/>
              </w:rPr>
            </w:pPr>
            <w:r>
              <w:rPr>
                <w:rFonts w:cs="Arial"/>
                <w:sz w:val="18"/>
                <w:szCs w:val="18"/>
              </w:rPr>
              <w:t xml:space="preserve">     0 to 30 days</w:t>
            </w:r>
          </w:p>
        </w:tc>
        <w:tc>
          <w:tcPr>
            <w:tcW w:w="1249" w:type="dxa"/>
            <w:tcBorders>
              <w:top w:val="nil"/>
              <w:left w:val="nil"/>
              <w:bottom w:val="nil"/>
              <w:right w:val="nil"/>
            </w:tcBorders>
            <w:shd w:val="clear" w:color="FFFFFF" w:fill="FFFFFF"/>
            <w:noWrap/>
            <w:vAlign w:val="bottom"/>
            <w:hideMark/>
          </w:tcPr>
          <w:p w14:paraId="53024779" w14:textId="77777777" w:rsidR="00C32CBD" w:rsidRDefault="00C32CBD" w:rsidP="00320D09">
            <w:pPr>
              <w:jc w:val="right"/>
              <w:rPr>
                <w:rFonts w:cs="Arial"/>
                <w:b/>
                <w:bCs/>
                <w:sz w:val="18"/>
                <w:szCs w:val="18"/>
              </w:rPr>
            </w:pPr>
            <w:r>
              <w:rPr>
                <w:rFonts w:cs="Arial"/>
                <w:b/>
                <w:bCs/>
                <w:sz w:val="18"/>
                <w:szCs w:val="18"/>
              </w:rPr>
              <w:t>223</w:t>
            </w:r>
          </w:p>
        </w:tc>
        <w:tc>
          <w:tcPr>
            <w:tcW w:w="236" w:type="dxa"/>
            <w:tcBorders>
              <w:top w:val="nil"/>
              <w:left w:val="nil"/>
              <w:bottom w:val="nil"/>
              <w:right w:val="nil"/>
            </w:tcBorders>
            <w:shd w:val="clear" w:color="FFFFFF" w:fill="FFFFFF"/>
            <w:noWrap/>
            <w:vAlign w:val="bottom"/>
            <w:hideMark/>
          </w:tcPr>
          <w:p w14:paraId="197CC1EE"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62287A30" w14:textId="77777777" w:rsidR="00C32CBD" w:rsidRDefault="00C32CBD" w:rsidP="00320D09">
            <w:pPr>
              <w:jc w:val="right"/>
              <w:rPr>
                <w:rFonts w:cs="Arial"/>
                <w:sz w:val="18"/>
                <w:szCs w:val="18"/>
              </w:rPr>
            </w:pPr>
            <w:r>
              <w:rPr>
                <w:rFonts w:cs="Arial"/>
                <w:sz w:val="18"/>
                <w:szCs w:val="18"/>
              </w:rPr>
              <w:t>3,700</w:t>
            </w:r>
          </w:p>
        </w:tc>
      </w:tr>
      <w:tr w:rsidR="00C32CBD" w14:paraId="758A8823" w14:textId="77777777" w:rsidTr="00320D09">
        <w:trPr>
          <w:trHeight w:val="255"/>
        </w:trPr>
        <w:tc>
          <w:tcPr>
            <w:tcW w:w="6353" w:type="dxa"/>
            <w:tcBorders>
              <w:top w:val="nil"/>
              <w:left w:val="nil"/>
              <w:bottom w:val="nil"/>
              <w:right w:val="nil"/>
            </w:tcBorders>
            <w:shd w:val="clear" w:color="FFFFFF" w:fill="FFFFFF"/>
            <w:noWrap/>
            <w:vAlign w:val="bottom"/>
            <w:hideMark/>
          </w:tcPr>
          <w:p w14:paraId="64B02067" w14:textId="77777777" w:rsidR="00C32CBD" w:rsidRDefault="00C32CBD" w:rsidP="00320D09">
            <w:pPr>
              <w:ind w:firstLineChars="200" w:firstLine="360"/>
              <w:rPr>
                <w:rFonts w:cs="Arial"/>
                <w:sz w:val="18"/>
                <w:szCs w:val="18"/>
              </w:rPr>
            </w:pPr>
            <w:r>
              <w:rPr>
                <w:rFonts w:cs="Arial"/>
                <w:sz w:val="18"/>
                <w:szCs w:val="18"/>
              </w:rPr>
              <w:t xml:space="preserve">     31 to 60 days</w:t>
            </w:r>
          </w:p>
        </w:tc>
        <w:tc>
          <w:tcPr>
            <w:tcW w:w="1249" w:type="dxa"/>
            <w:tcBorders>
              <w:top w:val="nil"/>
              <w:left w:val="nil"/>
              <w:bottom w:val="nil"/>
              <w:right w:val="nil"/>
            </w:tcBorders>
            <w:shd w:val="clear" w:color="FFFFFF" w:fill="FFFFFF"/>
            <w:noWrap/>
            <w:vAlign w:val="bottom"/>
            <w:hideMark/>
          </w:tcPr>
          <w:p w14:paraId="53D80042" w14:textId="77777777" w:rsidR="00C32CBD" w:rsidRDefault="00C32CBD" w:rsidP="00320D09">
            <w:pPr>
              <w:jc w:val="right"/>
              <w:rPr>
                <w:rFonts w:cs="Arial"/>
                <w:b/>
                <w:bCs/>
                <w:sz w:val="18"/>
                <w:szCs w:val="18"/>
              </w:rPr>
            </w:pPr>
            <w:r>
              <w:rPr>
                <w:rFonts w:cs="Arial"/>
                <w:b/>
                <w:bCs/>
                <w:sz w:val="18"/>
                <w:szCs w:val="18"/>
              </w:rPr>
              <w:t>35</w:t>
            </w:r>
          </w:p>
        </w:tc>
        <w:tc>
          <w:tcPr>
            <w:tcW w:w="236" w:type="dxa"/>
            <w:tcBorders>
              <w:top w:val="nil"/>
              <w:left w:val="nil"/>
              <w:bottom w:val="nil"/>
              <w:right w:val="nil"/>
            </w:tcBorders>
            <w:shd w:val="clear" w:color="FFFFFF" w:fill="FFFFFF"/>
            <w:noWrap/>
            <w:vAlign w:val="bottom"/>
            <w:hideMark/>
          </w:tcPr>
          <w:p w14:paraId="208ED2F3"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223F6821" w14:textId="77777777" w:rsidR="00C32CBD" w:rsidRDefault="00C32CBD" w:rsidP="00320D09">
            <w:pPr>
              <w:jc w:val="right"/>
              <w:rPr>
                <w:rFonts w:cs="Arial"/>
                <w:sz w:val="18"/>
                <w:szCs w:val="18"/>
              </w:rPr>
            </w:pPr>
            <w:r>
              <w:rPr>
                <w:rFonts w:cs="Arial"/>
                <w:sz w:val="18"/>
                <w:szCs w:val="18"/>
              </w:rPr>
              <w:t>365</w:t>
            </w:r>
          </w:p>
        </w:tc>
      </w:tr>
      <w:tr w:rsidR="00C32CBD" w14:paraId="29965B46" w14:textId="77777777" w:rsidTr="00320D09">
        <w:trPr>
          <w:trHeight w:val="255"/>
        </w:trPr>
        <w:tc>
          <w:tcPr>
            <w:tcW w:w="6353" w:type="dxa"/>
            <w:tcBorders>
              <w:top w:val="nil"/>
              <w:left w:val="nil"/>
              <w:bottom w:val="nil"/>
              <w:right w:val="nil"/>
            </w:tcBorders>
            <w:shd w:val="clear" w:color="FFFFFF" w:fill="FFFFFF"/>
            <w:noWrap/>
            <w:vAlign w:val="bottom"/>
            <w:hideMark/>
          </w:tcPr>
          <w:p w14:paraId="5E9591DC" w14:textId="77777777" w:rsidR="00C32CBD" w:rsidRDefault="00C32CBD" w:rsidP="00320D09">
            <w:pPr>
              <w:ind w:firstLineChars="200" w:firstLine="360"/>
              <w:rPr>
                <w:rFonts w:cs="Arial"/>
                <w:sz w:val="18"/>
                <w:szCs w:val="18"/>
              </w:rPr>
            </w:pPr>
            <w:r>
              <w:rPr>
                <w:rFonts w:cs="Arial"/>
                <w:sz w:val="18"/>
                <w:szCs w:val="18"/>
              </w:rPr>
              <w:t xml:space="preserve">     61 to 90 days</w:t>
            </w:r>
          </w:p>
        </w:tc>
        <w:tc>
          <w:tcPr>
            <w:tcW w:w="1249" w:type="dxa"/>
            <w:tcBorders>
              <w:top w:val="nil"/>
              <w:left w:val="nil"/>
              <w:bottom w:val="nil"/>
              <w:right w:val="nil"/>
            </w:tcBorders>
            <w:shd w:val="clear" w:color="FFFFFF" w:fill="FFFFFF"/>
            <w:noWrap/>
            <w:vAlign w:val="bottom"/>
            <w:hideMark/>
          </w:tcPr>
          <w:p w14:paraId="2B099B89" w14:textId="77777777" w:rsidR="00C32CBD" w:rsidRDefault="00C32CBD" w:rsidP="00320D09">
            <w:pPr>
              <w:jc w:val="right"/>
              <w:rPr>
                <w:rFonts w:cs="Arial"/>
                <w:b/>
                <w:bCs/>
                <w:sz w:val="18"/>
                <w:szCs w:val="18"/>
              </w:rPr>
            </w:pPr>
            <w:r>
              <w:rPr>
                <w:rFonts w:cs="Arial"/>
                <w:b/>
                <w:bCs/>
                <w:sz w:val="18"/>
                <w:szCs w:val="18"/>
              </w:rPr>
              <w:t>13</w:t>
            </w:r>
          </w:p>
        </w:tc>
        <w:tc>
          <w:tcPr>
            <w:tcW w:w="236" w:type="dxa"/>
            <w:tcBorders>
              <w:top w:val="nil"/>
              <w:left w:val="nil"/>
              <w:bottom w:val="nil"/>
              <w:right w:val="nil"/>
            </w:tcBorders>
            <w:shd w:val="clear" w:color="FFFFFF" w:fill="FFFFFF"/>
            <w:noWrap/>
            <w:vAlign w:val="bottom"/>
            <w:hideMark/>
          </w:tcPr>
          <w:p w14:paraId="2AA09EDA"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6EFAE0FE" w14:textId="77777777" w:rsidR="00C32CBD" w:rsidRDefault="00C32CBD" w:rsidP="00320D09">
            <w:pPr>
              <w:jc w:val="right"/>
              <w:rPr>
                <w:rFonts w:cs="Arial"/>
                <w:sz w:val="18"/>
                <w:szCs w:val="18"/>
              </w:rPr>
            </w:pPr>
            <w:r>
              <w:rPr>
                <w:rFonts w:cs="Arial"/>
                <w:sz w:val="18"/>
                <w:szCs w:val="18"/>
              </w:rPr>
              <w:t>144</w:t>
            </w:r>
          </w:p>
        </w:tc>
      </w:tr>
      <w:tr w:rsidR="00C32CBD" w14:paraId="3C1E9760" w14:textId="77777777" w:rsidTr="00320D09">
        <w:trPr>
          <w:trHeight w:val="255"/>
        </w:trPr>
        <w:tc>
          <w:tcPr>
            <w:tcW w:w="6353" w:type="dxa"/>
            <w:tcBorders>
              <w:top w:val="nil"/>
              <w:left w:val="nil"/>
              <w:bottom w:val="nil"/>
              <w:right w:val="nil"/>
            </w:tcBorders>
            <w:shd w:val="clear" w:color="FFFFFF" w:fill="FFFFFF"/>
            <w:noWrap/>
            <w:vAlign w:val="bottom"/>
            <w:hideMark/>
          </w:tcPr>
          <w:p w14:paraId="08384E98" w14:textId="77777777" w:rsidR="00C32CBD" w:rsidRDefault="00C32CBD" w:rsidP="00320D09">
            <w:pPr>
              <w:ind w:firstLineChars="200" w:firstLine="360"/>
              <w:rPr>
                <w:rFonts w:cs="Arial"/>
                <w:sz w:val="18"/>
                <w:szCs w:val="18"/>
              </w:rPr>
            </w:pPr>
            <w:r>
              <w:rPr>
                <w:rFonts w:cs="Arial"/>
                <w:sz w:val="18"/>
                <w:szCs w:val="18"/>
              </w:rPr>
              <w:t xml:space="preserve">     More than 90 days</w:t>
            </w:r>
          </w:p>
        </w:tc>
        <w:tc>
          <w:tcPr>
            <w:tcW w:w="1249" w:type="dxa"/>
            <w:tcBorders>
              <w:top w:val="nil"/>
              <w:left w:val="nil"/>
              <w:bottom w:val="nil"/>
              <w:right w:val="nil"/>
            </w:tcBorders>
            <w:shd w:val="clear" w:color="FFFFFF" w:fill="FFFFFF"/>
            <w:noWrap/>
            <w:vAlign w:val="bottom"/>
            <w:hideMark/>
          </w:tcPr>
          <w:p w14:paraId="732BDF9A" w14:textId="77777777" w:rsidR="00C32CBD" w:rsidRDefault="00C32CBD" w:rsidP="00320D09">
            <w:pPr>
              <w:jc w:val="right"/>
              <w:rPr>
                <w:rFonts w:cs="Arial"/>
                <w:b/>
                <w:bCs/>
                <w:sz w:val="18"/>
                <w:szCs w:val="18"/>
              </w:rPr>
            </w:pPr>
            <w:r>
              <w:rPr>
                <w:rFonts w:cs="Arial"/>
                <w:b/>
                <w:bCs/>
                <w:sz w:val="18"/>
                <w:szCs w:val="18"/>
              </w:rPr>
              <w:t>918</w:t>
            </w:r>
          </w:p>
        </w:tc>
        <w:tc>
          <w:tcPr>
            <w:tcW w:w="236" w:type="dxa"/>
            <w:tcBorders>
              <w:top w:val="nil"/>
              <w:left w:val="nil"/>
              <w:bottom w:val="nil"/>
              <w:right w:val="nil"/>
            </w:tcBorders>
            <w:shd w:val="clear" w:color="FFFFFF" w:fill="FFFFFF"/>
            <w:noWrap/>
            <w:vAlign w:val="bottom"/>
            <w:hideMark/>
          </w:tcPr>
          <w:p w14:paraId="752E1499"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03D922F4" w14:textId="77777777" w:rsidR="00C32CBD" w:rsidRDefault="00C32CBD" w:rsidP="00320D09">
            <w:pPr>
              <w:jc w:val="right"/>
              <w:rPr>
                <w:rFonts w:cs="Arial"/>
                <w:sz w:val="18"/>
                <w:szCs w:val="18"/>
              </w:rPr>
            </w:pPr>
            <w:r>
              <w:rPr>
                <w:rFonts w:cs="Arial"/>
                <w:sz w:val="18"/>
                <w:szCs w:val="18"/>
              </w:rPr>
              <w:t>18,931</w:t>
            </w:r>
          </w:p>
        </w:tc>
      </w:tr>
      <w:tr w:rsidR="00C32CBD" w14:paraId="128C22F7" w14:textId="77777777" w:rsidTr="00320D09">
        <w:trPr>
          <w:trHeight w:val="255"/>
        </w:trPr>
        <w:tc>
          <w:tcPr>
            <w:tcW w:w="6353" w:type="dxa"/>
            <w:tcBorders>
              <w:top w:val="nil"/>
              <w:left w:val="nil"/>
              <w:bottom w:val="nil"/>
              <w:right w:val="nil"/>
            </w:tcBorders>
            <w:shd w:val="clear" w:color="FFFFFF" w:fill="FFFFFF"/>
            <w:vAlign w:val="bottom"/>
            <w:hideMark/>
          </w:tcPr>
          <w:p w14:paraId="7CA20235" w14:textId="77777777" w:rsidR="00C32CBD" w:rsidRDefault="00C32CBD" w:rsidP="00320D09">
            <w:pPr>
              <w:rPr>
                <w:rFonts w:cs="Arial"/>
                <w:b/>
                <w:bCs/>
                <w:sz w:val="18"/>
                <w:szCs w:val="18"/>
              </w:rPr>
            </w:pPr>
            <w:r>
              <w:rPr>
                <w:rFonts w:cs="Arial"/>
                <w:b/>
                <w:bCs/>
                <w:sz w:val="18"/>
                <w:szCs w:val="18"/>
              </w:rPr>
              <w:t>Total trade and other receivables (gross)</w:t>
            </w:r>
          </w:p>
        </w:tc>
        <w:tc>
          <w:tcPr>
            <w:tcW w:w="1249" w:type="dxa"/>
            <w:tcBorders>
              <w:top w:val="single" w:sz="4" w:space="0" w:color="auto"/>
              <w:left w:val="nil"/>
              <w:bottom w:val="single" w:sz="4" w:space="0" w:color="auto"/>
              <w:right w:val="nil"/>
            </w:tcBorders>
            <w:shd w:val="clear" w:color="FFFFFF" w:fill="FFFFFF"/>
            <w:noWrap/>
            <w:vAlign w:val="bottom"/>
            <w:hideMark/>
          </w:tcPr>
          <w:p w14:paraId="6E3B9E44" w14:textId="77777777" w:rsidR="00C32CBD" w:rsidRDefault="00C32CBD" w:rsidP="00320D09">
            <w:pPr>
              <w:jc w:val="right"/>
              <w:rPr>
                <w:rFonts w:cs="Arial"/>
                <w:b/>
                <w:bCs/>
                <w:sz w:val="18"/>
                <w:szCs w:val="18"/>
              </w:rPr>
            </w:pPr>
            <w:r>
              <w:rPr>
                <w:rFonts w:cs="Arial"/>
                <w:b/>
                <w:bCs/>
                <w:sz w:val="18"/>
                <w:szCs w:val="18"/>
              </w:rPr>
              <w:t>205,741</w:t>
            </w:r>
          </w:p>
        </w:tc>
        <w:tc>
          <w:tcPr>
            <w:tcW w:w="236" w:type="dxa"/>
            <w:tcBorders>
              <w:top w:val="nil"/>
              <w:left w:val="nil"/>
              <w:bottom w:val="nil"/>
              <w:right w:val="nil"/>
            </w:tcBorders>
            <w:shd w:val="clear" w:color="FFFFFF" w:fill="FFFFFF"/>
            <w:noWrap/>
            <w:vAlign w:val="bottom"/>
            <w:hideMark/>
          </w:tcPr>
          <w:p w14:paraId="00339004" w14:textId="77777777" w:rsidR="00C32CBD" w:rsidRDefault="00C32CBD" w:rsidP="00320D09">
            <w:pPr>
              <w:rPr>
                <w:rFonts w:cs="Arial"/>
                <w:sz w:val="18"/>
                <w:szCs w:val="18"/>
              </w:rPr>
            </w:pPr>
            <w:r>
              <w:rPr>
                <w:rFonts w:cs="Arial"/>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55289FED" w14:textId="77777777" w:rsidR="00C32CBD" w:rsidRDefault="00C32CBD" w:rsidP="00320D09">
            <w:pPr>
              <w:jc w:val="right"/>
              <w:rPr>
                <w:rFonts w:cs="Arial"/>
                <w:sz w:val="18"/>
                <w:szCs w:val="18"/>
              </w:rPr>
            </w:pPr>
            <w:r>
              <w:rPr>
                <w:rFonts w:cs="Arial"/>
                <w:sz w:val="18"/>
                <w:szCs w:val="18"/>
              </w:rPr>
              <w:t>38,555</w:t>
            </w:r>
          </w:p>
        </w:tc>
      </w:tr>
      <w:tr w:rsidR="00C32CBD" w14:paraId="5FD14883" w14:textId="77777777" w:rsidTr="00320D09">
        <w:trPr>
          <w:trHeight w:val="255"/>
        </w:trPr>
        <w:tc>
          <w:tcPr>
            <w:tcW w:w="6353" w:type="dxa"/>
            <w:tcBorders>
              <w:top w:val="nil"/>
              <w:left w:val="nil"/>
              <w:bottom w:val="nil"/>
              <w:right w:val="nil"/>
            </w:tcBorders>
            <w:shd w:val="clear" w:color="FFFFFF" w:fill="FFFFFF"/>
            <w:noWrap/>
            <w:vAlign w:val="bottom"/>
            <w:hideMark/>
          </w:tcPr>
          <w:p w14:paraId="252613C1"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40D0AB87"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205140C6"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682EA087" w14:textId="77777777" w:rsidR="00C32CBD" w:rsidRDefault="00C32CBD" w:rsidP="00320D09">
            <w:pPr>
              <w:rPr>
                <w:rFonts w:cs="Arial"/>
                <w:sz w:val="18"/>
                <w:szCs w:val="18"/>
              </w:rPr>
            </w:pPr>
            <w:r>
              <w:rPr>
                <w:rFonts w:cs="Arial"/>
                <w:sz w:val="18"/>
                <w:szCs w:val="18"/>
              </w:rPr>
              <w:t> </w:t>
            </w:r>
          </w:p>
        </w:tc>
      </w:tr>
      <w:tr w:rsidR="00C32CBD" w14:paraId="0F6AC59D" w14:textId="77777777" w:rsidTr="00320D09">
        <w:trPr>
          <w:trHeight w:val="255"/>
        </w:trPr>
        <w:tc>
          <w:tcPr>
            <w:tcW w:w="6353" w:type="dxa"/>
            <w:tcBorders>
              <w:top w:val="nil"/>
              <w:left w:val="nil"/>
              <w:bottom w:val="nil"/>
              <w:right w:val="nil"/>
            </w:tcBorders>
            <w:shd w:val="clear" w:color="FFFFFF" w:fill="FFFFFF"/>
            <w:noWrap/>
            <w:vAlign w:val="bottom"/>
            <w:hideMark/>
          </w:tcPr>
          <w:p w14:paraId="7AD7B1E3"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vAlign w:val="bottom"/>
          </w:tcPr>
          <w:p w14:paraId="3FD04BAC" w14:textId="77777777" w:rsidR="00C32CBD" w:rsidRDefault="00C32CBD" w:rsidP="00320D09">
            <w:pPr>
              <w:jc w:val="right"/>
              <w:rPr>
                <w:rFonts w:cs="Arial"/>
                <w:b/>
                <w:bCs/>
                <w:sz w:val="18"/>
                <w:szCs w:val="18"/>
              </w:rPr>
            </w:pPr>
          </w:p>
        </w:tc>
        <w:tc>
          <w:tcPr>
            <w:tcW w:w="236" w:type="dxa"/>
            <w:tcBorders>
              <w:top w:val="nil"/>
              <w:left w:val="nil"/>
              <w:bottom w:val="nil"/>
              <w:right w:val="nil"/>
            </w:tcBorders>
            <w:shd w:val="clear" w:color="auto" w:fill="auto"/>
            <w:noWrap/>
            <w:vAlign w:val="bottom"/>
          </w:tcPr>
          <w:p w14:paraId="34F3E937" w14:textId="77777777" w:rsidR="00C32CBD" w:rsidRDefault="00C32CBD" w:rsidP="00320D09">
            <w:pPr>
              <w:jc w:val="right"/>
              <w:rPr>
                <w:rFonts w:cs="Arial"/>
                <w:b/>
                <w:bCs/>
                <w:sz w:val="18"/>
                <w:szCs w:val="18"/>
              </w:rPr>
            </w:pPr>
          </w:p>
        </w:tc>
        <w:tc>
          <w:tcPr>
            <w:tcW w:w="1249" w:type="dxa"/>
            <w:tcBorders>
              <w:top w:val="nil"/>
              <w:left w:val="nil"/>
              <w:bottom w:val="nil"/>
              <w:right w:val="nil"/>
            </w:tcBorders>
            <w:shd w:val="clear" w:color="FFFFFF" w:fill="FFFFFF"/>
            <w:vAlign w:val="bottom"/>
          </w:tcPr>
          <w:p w14:paraId="0C46B3C2" w14:textId="77777777" w:rsidR="00C32CBD" w:rsidRDefault="00C32CBD" w:rsidP="00320D09">
            <w:pPr>
              <w:jc w:val="right"/>
              <w:rPr>
                <w:rFonts w:cs="Arial"/>
                <w:sz w:val="18"/>
                <w:szCs w:val="18"/>
              </w:rPr>
            </w:pPr>
          </w:p>
        </w:tc>
      </w:tr>
      <w:tr w:rsidR="00C32CBD" w14:paraId="1C714611" w14:textId="77777777" w:rsidTr="00320D09">
        <w:trPr>
          <w:trHeight w:val="255"/>
        </w:trPr>
        <w:tc>
          <w:tcPr>
            <w:tcW w:w="6353" w:type="dxa"/>
            <w:tcBorders>
              <w:top w:val="nil"/>
              <w:left w:val="nil"/>
              <w:bottom w:val="nil"/>
              <w:right w:val="nil"/>
            </w:tcBorders>
            <w:shd w:val="clear" w:color="FFFFFF" w:fill="FFFFFF"/>
            <w:noWrap/>
            <w:vAlign w:val="bottom"/>
            <w:hideMark/>
          </w:tcPr>
          <w:p w14:paraId="0E2BCAFD"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vAlign w:val="bottom"/>
          </w:tcPr>
          <w:p w14:paraId="4117132B" w14:textId="77777777" w:rsidR="00C32CBD" w:rsidRDefault="00C32CBD" w:rsidP="00320D09">
            <w:pPr>
              <w:jc w:val="right"/>
              <w:rPr>
                <w:rFonts w:cs="Arial"/>
                <w:b/>
                <w:bCs/>
                <w:sz w:val="18"/>
                <w:szCs w:val="18"/>
              </w:rPr>
            </w:pPr>
          </w:p>
        </w:tc>
        <w:tc>
          <w:tcPr>
            <w:tcW w:w="236" w:type="dxa"/>
            <w:tcBorders>
              <w:top w:val="nil"/>
              <w:left w:val="nil"/>
              <w:bottom w:val="nil"/>
              <w:right w:val="nil"/>
            </w:tcBorders>
            <w:shd w:val="clear" w:color="auto" w:fill="auto"/>
            <w:noWrap/>
            <w:vAlign w:val="bottom"/>
          </w:tcPr>
          <w:p w14:paraId="2D47287F" w14:textId="77777777" w:rsidR="00C32CBD" w:rsidRDefault="00C32CBD" w:rsidP="00320D09">
            <w:pPr>
              <w:jc w:val="right"/>
              <w:rPr>
                <w:rFonts w:cs="Arial"/>
                <w:b/>
                <w:bCs/>
                <w:sz w:val="18"/>
                <w:szCs w:val="18"/>
              </w:rPr>
            </w:pPr>
          </w:p>
        </w:tc>
        <w:tc>
          <w:tcPr>
            <w:tcW w:w="1249" w:type="dxa"/>
            <w:tcBorders>
              <w:top w:val="nil"/>
              <w:left w:val="nil"/>
              <w:bottom w:val="nil"/>
              <w:right w:val="nil"/>
            </w:tcBorders>
            <w:shd w:val="clear" w:color="FFFFFF" w:fill="FFFFFF"/>
            <w:vAlign w:val="bottom"/>
          </w:tcPr>
          <w:p w14:paraId="1DE95BBE" w14:textId="77777777" w:rsidR="00C32CBD" w:rsidRDefault="00C32CBD" w:rsidP="00320D09">
            <w:pPr>
              <w:jc w:val="right"/>
              <w:rPr>
                <w:rFonts w:cs="Arial"/>
                <w:sz w:val="18"/>
                <w:szCs w:val="18"/>
              </w:rPr>
            </w:pPr>
          </w:p>
        </w:tc>
      </w:tr>
    </w:tbl>
    <w:p w14:paraId="4099BCF0" w14:textId="77777777" w:rsidR="00C32CBD" w:rsidRDefault="00C32CBD" w:rsidP="00C32CBD">
      <w:pPr>
        <w:spacing w:line="240" w:lineRule="auto"/>
        <w:rPr>
          <w:rFonts w:cs="Arial"/>
          <w:sz w:val="18"/>
          <w:szCs w:val="18"/>
        </w:rPr>
      </w:pPr>
    </w:p>
    <w:tbl>
      <w:tblPr>
        <w:tblW w:w="9087" w:type="dxa"/>
        <w:tblInd w:w="80" w:type="dxa"/>
        <w:tblLayout w:type="fixed"/>
        <w:tblLook w:val="04A0" w:firstRow="1" w:lastRow="0" w:firstColumn="1" w:lastColumn="0" w:noHBand="0" w:noVBand="1"/>
      </w:tblPr>
      <w:tblGrid>
        <w:gridCol w:w="5165"/>
        <w:gridCol w:w="1014"/>
        <w:gridCol w:w="262"/>
        <w:gridCol w:w="1192"/>
        <w:gridCol w:w="200"/>
        <w:gridCol w:w="1254"/>
      </w:tblGrid>
      <w:tr w:rsidR="00C32CBD" w14:paraId="2B34E450" w14:textId="77777777" w:rsidTr="00320D09">
        <w:trPr>
          <w:trHeight w:val="240"/>
        </w:trPr>
        <w:tc>
          <w:tcPr>
            <w:tcW w:w="6179" w:type="dxa"/>
            <w:gridSpan w:val="2"/>
            <w:tcBorders>
              <w:top w:val="nil"/>
              <w:left w:val="nil"/>
              <w:bottom w:val="nil"/>
              <w:right w:val="nil"/>
            </w:tcBorders>
            <w:shd w:val="clear" w:color="FFFFFF" w:fill="FFFFFF"/>
            <w:noWrap/>
            <w:vAlign w:val="bottom"/>
            <w:hideMark/>
          </w:tcPr>
          <w:p w14:paraId="64F216F5" w14:textId="77777777" w:rsidR="00C32CBD" w:rsidRDefault="00C32CBD" w:rsidP="00320D09">
            <w:pPr>
              <w:rPr>
                <w:rFonts w:cs="Arial"/>
                <w:b/>
                <w:bCs/>
                <w:sz w:val="18"/>
                <w:szCs w:val="18"/>
              </w:rPr>
            </w:pPr>
            <w:bookmarkStart w:id="144" w:name="Note_RIATABLE1" w:colFirst="0" w:colLast="0"/>
            <w:r>
              <w:rPr>
                <w:rFonts w:cs="Arial"/>
                <w:b/>
                <w:bCs/>
                <w:sz w:val="18"/>
                <w:szCs w:val="18"/>
              </w:rPr>
              <w:t>Reconciliation of the Impairment Allowance Account:</w:t>
            </w:r>
          </w:p>
        </w:tc>
        <w:tc>
          <w:tcPr>
            <w:tcW w:w="1454" w:type="dxa"/>
            <w:gridSpan w:val="2"/>
            <w:tcBorders>
              <w:top w:val="nil"/>
              <w:left w:val="nil"/>
              <w:bottom w:val="nil"/>
              <w:right w:val="nil"/>
            </w:tcBorders>
            <w:shd w:val="clear" w:color="FFFFFF" w:fill="FFFFFF"/>
            <w:noWrap/>
            <w:vAlign w:val="bottom"/>
            <w:hideMark/>
          </w:tcPr>
          <w:p w14:paraId="366791B1" w14:textId="77777777" w:rsidR="00C32CBD" w:rsidRDefault="00C32CBD" w:rsidP="00320D09">
            <w:pPr>
              <w:rPr>
                <w:rFonts w:cs="Arial"/>
                <w:sz w:val="18"/>
                <w:szCs w:val="18"/>
              </w:rPr>
            </w:pPr>
            <w:r>
              <w:rPr>
                <w:rFonts w:cs="Arial"/>
                <w:sz w:val="18"/>
                <w:szCs w:val="18"/>
              </w:rPr>
              <w:t> </w:t>
            </w:r>
          </w:p>
        </w:tc>
        <w:tc>
          <w:tcPr>
            <w:tcW w:w="1454" w:type="dxa"/>
            <w:gridSpan w:val="2"/>
            <w:tcBorders>
              <w:top w:val="nil"/>
              <w:left w:val="nil"/>
              <w:bottom w:val="nil"/>
              <w:right w:val="nil"/>
            </w:tcBorders>
            <w:shd w:val="clear" w:color="FFFFFF" w:fill="FFFFFF"/>
            <w:noWrap/>
            <w:vAlign w:val="bottom"/>
            <w:hideMark/>
          </w:tcPr>
          <w:p w14:paraId="3E4D013A" w14:textId="77777777" w:rsidR="00C32CBD" w:rsidRDefault="00C32CBD" w:rsidP="00320D09">
            <w:pPr>
              <w:rPr>
                <w:rFonts w:cs="Arial"/>
                <w:sz w:val="18"/>
                <w:szCs w:val="18"/>
              </w:rPr>
            </w:pPr>
            <w:r>
              <w:rPr>
                <w:rFonts w:cs="Arial"/>
                <w:sz w:val="18"/>
                <w:szCs w:val="18"/>
              </w:rPr>
              <w:t> </w:t>
            </w:r>
          </w:p>
        </w:tc>
      </w:tr>
      <w:bookmarkEnd w:id="144"/>
      <w:tr w:rsidR="00C32CBD" w14:paraId="3B4C0136" w14:textId="77777777" w:rsidTr="00320D09">
        <w:trPr>
          <w:trHeight w:val="240"/>
        </w:trPr>
        <w:tc>
          <w:tcPr>
            <w:tcW w:w="6179" w:type="dxa"/>
            <w:gridSpan w:val="2"/>
            <w:tcBorders>
              <w:top w:val="nil"/>
              <w:left w:val="nil"/>
              <w:bottom w:val="nil"/>
              <w:right w:val="nil"/>
            </w:tcBorders>
            <w:shd w:val="clear" w:color="FFFFFF" w:fill="FFFFFF"/>
            <w:noWrap/>
            <w:vAlign w:val="bottom"/>
            <w:hideMark/>
          </w:tcPr>
          <w:p w14:paraId="2727AD87" w14:textId="77777777" w:rsidR="00C32CBD" w:rsidRDefault="00C32CBD" w:rsidP="00320D09">
            <w:pPr>
              <w:rPr>
                <w:rFonts w:cs="Arial"/>
                <w:sz w:val="18"/>
                <w:szCs w:val="18"/>
              </w:rPr>
            </w:pPr>
            <w:r>
              <w:rPr>
                <w:rFonts w:cs="Arial"/>
                <w:sz w:val="18"/>
                <w:szCs w:val="18"/>
              </w:rPr>
              <w:t> </w:t>
            </w:r>
          </w:p>
        </w:tc>
        <w:tc>
          <w:tcPr>
            <w:tcW w:w="1454" w:type="dxa"/>
            <w:gridSpan w:val="2"/>
            <w:tcBorders>
              <w:top w:val="nil"/>
              <w:left w:val="nil"/>
              <w:bottom w:val="nil"/>
              <w:right w:val="nil"/>
            </w:tcBorders>
            <w:shd w:val="clear" w:color="FFFFFF" w:fill="FFFFFF"/>
            <w:noWrap/>
            <w:vAlign w:val="bottom"/>
            <w:hideMark/>
          </w:tcPr>
          <w:p w14:paraId="3838CD10" w14:textId="77777777" w:rsidR="00C32CBD" w:rsidRDefault="00C32CBD" w:rsidP="00320D09">
            <w:pPr>
              <w:rPr>
                <w:rFonts w:cs="Arial"/>
                <w:sz w:val="18"/>
                <w:szCs w:val="18"/>
              </w:rPr>
            </w:pPr>
            <w:r>
              <w:rPr>
                <w:rFonts w:cs="Arial"/>
                <w:sz w:val="18"/>
                <w:szCs w:val="18"/>
              </w:rPr>
              <w:t> </w:t>
            </w:r>
          </w:p>
        </w:tc>
        <w:tc>
          <w:tcPr>
            <w:tcW w:w="1454" w:type="dxa"/>
            <w:gridSpan w:val="2"/>
            <w:tcBorders>
              <w:top w:val="nil"/>
              <w:left w:val="nil"/>
              <w:bottom w:val="nil"/>
              <w:right w:val="nil"/>
            </w:tcBorders>
            <w:shd w:val="clear" w:color="FFFFFF" w:fill="FFFFFF"/>
            <w:noWrap/>
            <w:vAlign w:val="bottom"/>
            <w:hideMark/>
          </w:tcPr>
          <w:p w14:paraId="761FC16A" w14:textId="77777777" w:rsidR="00C32CBD" w:rsidRDefault="00C32CBD" w:rsidP="00320D09">
            <w:pPr>
              <w:rPr>
                <w:rFonts w:cs="Arial"/>
                <w:sz w:val="18"/>
                <w:szCs w:val="18"/>
              </w:rPr>
            </w:pPr>
            <w:r>
              <w:rPr>
                <w:rFonts w:cs="Arial"/>
                <w:sz w:val="18"/>
                <w:szCs w:val="18"/>
              </w:rPr>
              <w:t> </w:t>
            </w:r>
          </w:p>
        </w:tc>
      </w:tr>
      <w:tr w:rsidR="00C32CBD" w14:paraId="06E52FB0" w14:textId="77777777" w:rsidTr="00320D09">
        <w:trPr>
          <w:trHeight w:val="240"/>
        </w:trPr>
        <w:tc>
          <w:tcPr>
            <w:tcW w:w="6179" w:type="dxa"/>
            <w:gridSpan w:val="2"/>
            <w:tcBorders>
              <w:top w:val="nil"/>
              <w:left w:val="nil"/>
              <w:bottom w:val="nil"/>
              <w:right w:val="nil"/>
            </w:tcBorders>
            <w:shd w:val="clear" w:color="FFFFFF" w:fill="FFFFFF"/>
            <w:noWrap/>
            <w:vAlign w:val="bottom"/>
            <w:hideMark/>
          </w:tcPr>
          <w:p w14:paraId="6DD73846" w14:textId="77777777" w:rsidR="00C32CBD" w:rsidRDefault="00C32CBD" w:rsidP="00320D09">
            <w:pPr>
              <w:rPr>
                <w:rFonts w:cs="Arial"/>
                <w:b/>
                <w:bCs/>
                <w:sz w:val="18"/>
                <w:szCs w:val="18"/>
              </w:rPr>
            </w:pPr>
            <w:r>
              <w:rPr>
                <w:rFonts w:cs="Arial"/>
                <w:b/>
                <w:bCs/>
                <w:sz w:val="18"/>
                <w:szCs w:val="18"/>
              </w:rPr>
              <w:t>Movements in relation to 2017</w:t>
            </w:r>
          </w:p>
        </w:tc>
        <w:tc>
          <w:tcPr>
            <w:tcW w:w="1454" w:type="dxa"/>
            <w:gridSpan w:val="2"/>
            <w:tcBorders>
              <w:top w:val="nil"/>
              <w:left w:val="nil"/>
              <w:bottom w:val="nil"/>
              <w:right w:val="nil"/>
            </w:tcBorders>
            <w:shd w:val="clear" w:color="FFFFFF" w:fill="FFFFFF"/>
            <w:noWrap/>
            <w:vAlign w:val="bottom"/>
            <w:hideMark/>
          </w:tcPr>
          <w:p w14:paraId="7496D674" w14:textId="77777777" w:rsidR="00C32CBD" w:rsidRDefault="00C32CBD" w:rsidP="00320D09">
            <w:pPr>
              <w:rPr>
                <w:rFonts w:cs="Arial"/>
                <w:sz w:val="18"/>
                <w:szCs w:val="18"/>
              </w:rPr>
            </w:pPr>
            <w:r>
              <w:rPr>
                <w:rFonts w:cs="Arial"/>
                <w:sz w:val="18"/>
                <w:szCs w:val="18"/>
              </w:rPr>
              <w:t> </w:t>
            </w:r>
          </w:p>
        </w:tc>
        <w:tc>
          <w:tcPr>
            <w:tcW w:w="1454" w:type="dxa"/>
            <w:gridSpan w:val="2"/>
            <w:tcBorders>
              <w:top w:val="nil"/>
              <w:left w:val="nil"/>
              <w:bottom w:val="nil"/>
              <w:right w:val="nil"/>
            </w:tcBorders>
            <w:shd w:val="clear" w:color="FFFFFF" w:fill="FFFFFF"/>
            <w:noWrap/>
            <w:vAlign w:val="bottom"/>
            <w:hideMark/>
          </w:tcPr>
          <w:p w14:paraId="59AE1840" w14:textId="77777777" w:rsidR="00C32CBD" w:rsidRDefault="00C32CBD" w:rsidP="00320D09">
            <w:pPr>
              <w:rPr>
                <w:rFonts w:cs="Arial"/>
                <w:sz w:val="18"/>
                <w:szCs w:val="18"/>
              </w:rPr>
            </w:pPr>
            <w:r>
              <w:rPr>
                <w:rFonts w:cs="Arial"/>
                <w:sz w:val="18"/>
                <w:szCs w:val="18"/>
              </w:rPr>
              <w:t> </w:t>
            </w:r>
          </w:p>
        </w:tc>
      </w:tr>
      <w:tr w:rsidR="00C32CBD" w14:paraId="129D23F3" w14:textId="77777777" w:rsidTr="00320D09">
        <w:trPr>
          <w:trHeight w:val="495"/>
        </w:trPr>
        <w:tc>
          <w:tcPr>
            <w:tcW w:w="6179" w:type="dxa"/>
            <w:gridSpan w:val="2"/>
            <w:tcBorders>
              <w:top w:val="single" w:sz="4" w:space="0" w:color="auto"/>
              <w:left w:val="nil"/>
              <w:bottom w:val="nil"/>
              <w:right w:val="nil"/>
            </w:tcBorders>
            <w:shd w:val="clear" w:color="FFFFFF" w:fill="FFFFFF"/>
            <w:noWrap/>
            <w:vAlign w:val="bottom"/>
            <w:hideMark/>
          </w:tcPr>
          <w:p w14:paraId="21631DA6" w14:textId="77777777" w:rsidR="00C32CBD" w:rsidRDefault="00C32CBD" w:rsidP="00320D09">
            <w:pPr>
              <w:rPr>
                <w:rFonts w:cs="Arial"/>
                <w:sz w:val="18"/>
                <w:szCs w:val="18"/>
              </w:rPr>
            </w:pPr>
            <w:r>
              <w:rPr>
                <w:rFonts w:cs="Arial"/>
                <w:sz w:val="18"/>
                <w:szCs w:val="18"/>
              </w:rPr>
              <w:t> </w:t>
            </w:r>
          </w:p>
        </w:tc>
        <w:tc>
          <w:tcPr>
            <w:tcW w:w="1454" w:type="dxa"/>
            <w:gridSpan w:val="2"/>
            <w:tcBorders>
              <w:top w:val="single" w:sz="4" w:space="0" w:color="auto"/>
              <w:left w:val="nil"/>
              <w:bottom w:val="nil"/>
              <w:right w:val="nil"/>
            </w:tcBorders>
            <w:shd w:val="clear" w:color="FFFFFF" w:fill="FFFFFF"/>
            <w:vAlign w:val="bottom"/>
            <w:hideMark/>
          </w:tcPr>
          <w:p w14:paraId="7275314F" w14:textId="77777777" w:rsidR="00C32CBD" w:rsidRDefault="00C32CBD" w:rsidP="00320D09">
            <w:pPr>
              <w:jc w:val="right"/>
              <w:rPr>
                <w:rFonts w:cs="Arial"/>
                <w:b/>
                <w:bCs/>
                <w:sz w:val="18"/>
                <w:szCs w:val="18"/>
              </w:rPr>
            </w:pPr>
            <w:r>
              <w:rPr>
                <w:rFonts w:cs="Arial"/>
                <w:b/>
                <w:bCs/>
                <w:sz w:val="18"/>
                <w:szCs w:val="18"/>
              </w:rPr>
              <w:t>Goods and services</w:t>
            </w:r>
          </w:p>
        </w:tc>
        <w:tc>
          <w:tcPr>
            <w:tcW w:w="1454" w:type="dxa"/>
            <w:gridSpan w:val="2"/>
            <w:tcBorders>
              <w:top w:val="single" w:sz="4" w:space="0" w:color="auto"/>
              <w:left w:val="nil"/>
              <w:bottom w:val="nil"/>
              <w:right w:val="nil"/>
            </w:tcBorders>
            <w:shd w:val="clear" w:color="FFFFFF" w:fill="FFFFFF"/>
            <w:vAlign w:val="bottom"/>
            <w:hideMark/>
          </w:tcPr>
          <w:p w14:paraId="14F192E5" w14:textId="77777777" w:rsidR="00C32CBD" w:rsidRDefault="00C32CBD" w:rsidP="00320D09">
            <w:pPr>
              <w:jc w:val="right"/>
              <w:rPr>
                <w:rFonts w:cs="Arial"/>
                <w:b/>
                <w:bCs/>
                <w:sz w:val="18"/>
                <w:szCs w:val="18"/>
              </w:rPr>
            </w:pPr>
            <w:r>
              <w:rPr>
                <w:rFonts w:cs="Arial"/>
                <w:b/>
                <w:bCs/>
                <w:sz w:val="18"/>
                <w:szCs w:val="18"/>
              </w:rPr>
              <w:t>Total</w:t>
            </w:r>
          </w:p>
        </w:tc>
      </w:tr>
      <w:tr w:rsidR="00C32CBD" w14:paraId="10C3021A" w14:textId="77777777" w:rsidTr="00320D09">
        <w:trPr>
          <w:trHeight w:val="240"/>
        </w:trPr>
        <w:tc>
          <w:tcPr>
            <w:tcW w:w="6179" w:type="dxa"/>
            <w:gridSpan w:val="2"/>
            <w:tcBorders>
              <w:top w:val="nil"/>
              <w:left w:val="nil"/>
              <w:bottom w:val="single" w:sz="4" w:space="0" w:color="auto"/>
              <w:right w:val="nil"/>
            </w:tcBorders>
            <w:shd w:val="clear" w:color="FFFFFF" w:fill="FFFFFF"/>
            <w:noWrap/>
            <w:vAlign w:val="bottom"/>
            <w:hideMark/>
          </w:tcPr>
          <w:p w14:paraId="3178E311" w14:textId="77777777" w:rsidR="00C32CBD" w:rsidRDefault="00C32CBD" w:rsidP="00320D09">
            <w:pPr>
              <w:rPr>
                <w:rFonts w:cs="Arial"/>
                <w:sz w:val="18"/>
                <w:szCs w:val="18"/>
              </w:rPr>
            </w:pPr>
            <w:r>
              <w:rPr>
                <w:rFonts w:cs="Arial"/>
                <w:sz w:val="18"/>
                <w:szCs w:val="18"/>
              </w:rPr>
              <w:t> </w:t>
            </w:r>
          </w:p>
        </w:tc>
        <w:tc>
          <w:tcPr>
            <w:tcW w:w="1454" w:type="dxa"/>
            <w:gridSpan w:val="2"/>
            <w:tcBorders>
              <w:top w:val="nil"/>
              <w:left w:val="nil"/>
              <w:bottom w:val="single" w:sz="4" w:space="0" w:color="auto"/>
              <w:right w:val="nil"/>
            </w:tcBorders>
            <w:shd w:val="clear" w:color="FFFFFF" w:fill="FFFFFF"/>
            <w:vAlign w:val="bottom"/>
            <w:hideMark/>
          </w:tcPr>
          <w:p w14:paraId="05ABC916" w14:textId="77777777" w:rsidR="00C32CBD" w:rsidRDefault="00C32CBD" w:rsidP="00320D09">
            <w:pPr>
              <w:jc w:val="right"/>
              <w:rPr>
                <w:rFonts w:cs="Arial"/>
                <w:b/>
                <w:bCs/>
                <w:sz w:val="18"/>
                <w:szCs w:val="18"/>
              </w:rPr>
            </w:pPr>
            <w:r>
              <w:rPr>
                <w:rFonts w:cs="Arial"/>
                <w:b/>
                <w:bCs/>
                <w:sz w:val="18"/>
                <w:szCs w:val="18"/>
              </w:rPr>
              <w:t>$'000</w:t>
            </w:r>
          </w:p>
        </w:tc>
        <w:tc>
          <w:tcPr>
            <w:tcW w:w="1454" w:type="dxa"/>
            <w:gridSpan w:val="2"/>
            <w:tcBorders>
              <w:top w:val="nil"/>
              <w:left w:val="nil"/>
              <w:bottom w:val="single" w:sz="4" w:space="0" w:color="auto"/>
              <w:right w:val="nil"/>
            </w:tcBorders>
            <w:shd w:val="clear" w:color="FFFFFF" w:fill="FFFFFF"/>
            <w:vAlign w:val="bottom"/>
            <w:hideMark/>
          </w:tcPr>
          <w:p w14:paraId="2A4E1687" w14:textId="77777777" w:rsidR="00C32CBD" w:rsidRDefault="00C32CBD" w:rsidP="00320D09">
            <w:pPr>
              <w:jc w:val="right"/>
              <w:rPr>
                <w:rFonts w:cs="Arial"/>
                <w:b/>
                <w:bCs/>
                <w:sz w:val="18"/>
                <w:szCs w:val="18"/>
              </w:rPr>
            </w:pPr>
            <w:r>
              <w:rPr>
                <w:rFonts w:cs="Arial"/>
                <w:b/>
                <w:bCs/>
                <w:sz w:val="18"/>
                <w:szCs w:val="18"/>
              </w:rPr>
              <w:t>$'000</w:t>
            </w:r>
          </w:p>
        </w:tc>
      </w:tr>
      <w:tr w:rsidR="00C32CBD" w14:paraId="7CB3348C" w14:textId="77777777" w:rsidTr="00320D09">
        <w:trPr>
          <w:trHeight w:val="240"/>
        </w:trPr>
        <w:tc>
          <w:tcPr>
            <w:tcW w:w="6179" w:type="dxa"/>
            <w:gridSpan w:val="2"/>
            <w:tcBorders>
              <w:top w:val="nil"/>
              <w:left w:val="nil"/>
              <w:bottom w:val="nil"/>
              <w:right w:val="nil"/>
            </w:tcBorders>
            <w:shd w:val="clear" w:color="FFFFFF" w:fill="FFFFFF"/>
            <w:vAlign w:val="bottom"/>
            <w:hideMark/>
          </w:tcPr>
          <w:p w14:paraId="243456BF" w14:textId="77777777" w:rsidR="00C32CBD" w:rsidRDefault="00C32CBD" w:rsidP="00320D09">
            <w:pPr>
              <w:rPr>
                <w:rFonts w:cs="Arial"/>
                <w:b/>
                <w:bCs/>
                <w:sz w:val="18"/>
                <w:szCs w:val="18"/>
              </w:rPr>
            </w:pPr>
            <w:r>
              <w:rPr>
                <w:rFonts w:cs="Arial"/>
                <w:b/>
                <w:bCs/>
                <w:sz w:val="18"/>
                <w:szCs w:val="18"/>
              </w:rPr>
              <w:t>Opening balance</w:t>
            </w:r>
          </w:p>
        </w:tc>
        <w:tc>
          <w:tcPr>
            <w:tcW w:w="1454" w:type="dxa"/>
            <w:gridSpan w:val="2"/>
            <w:tcBorders>
              <w:top w:val="nil"/>
              <w:left w:val="nil"/>
              <w:bottom w:val="nil"/>
              <w:right w:val="nil"/>
            </w:tcBorders>
            <w:shd w:val="clear" w:color="FFFFFF" w:fill="FFFFFF"/>
            <w:noWrap/>
            <w:vAlign w:val="bottom"/>
            <w:hideMark/>
          </w:tcPr>
          <w:p w14:paraId="06F092D0" w14:textId="77777777" w:rsidR="00C32CBD" w:rsidRDefault="00C32CBD" w:rsidP="00320D09">
            <w:pPr>
              <w:jc w:val="right"/>
              <w:rPr>
                <w:rFonts w:cs="Arial"/>
                <w:b/>
                <w:bCs/>
                <w:sz w:val="18"/>
                <w:szCs w:val="18"/>
              </w:rPr>
            </w:pPr>
            <w:r>
              <w:rPr>
                <w:rFonts w:cs="Arial"/>
                <w:b/>
                <w:bCs/>
                <w:sz w:val="18"/>
                <w:szCs w:val="18"/>
              </w:rPr>
              <w:t>17,671</w:t>
            </w:r>
          </w:p>
        </w:tc>
        <w:tc>
          <w:tcPr>
            <w:tcW w:w="1454" w:type="dxa"/>
            <w:gridSpan w:val="2"/>
            <w:tcBorders>
              <w:top w:val="nil"/>
              <w:left w:val="nil"/>
              <w:bottom w:val="nil"/>
              <w:right w:val="nil"/>
            </w:tcBorders>
            <w:shd w:val="clear" w:color="FFFFFF" w:fill="FFFFFF"/>
            <w:noWrap/>
            <w:vAlign w:val="bottom"/>
            <w:hideMark/>
          </w:tcPr>
          <w:p w14:paraId="563CFC98" w14:textId="77777777" w:rsidR="00C32CBD" w:rsidRDefault="00C32CBD" w:rsidP="00320D09">
            <w:pPr>
              <w:jc w:val="right"/>
              <w:rPr>
                <w:rFonts w:cs="Arial"/>
                <w:b/>
                <w:bCs/>
                <w:sz w:val="18"/>
                <w:szCs w:val="18"/>
              </w:rPr>
            </w:pPr>
            <w:r>
              <w:rPr>
                <w:rFonts w:cs="Arial"/>
                <w:b/>
                <w:bCs/>
                <w:sz w:val="18"/>
                <w:szCs w:val="18"/>
              </w:rPr>
              <w:t>17,671</w:t>
            </w:r>
          </w:p>
        </w:tc>
      </w:tr>
      <w:tr w:rsidR="00C32CBD" w14:paraId="0A7E2C9F" w14:textId="77777777" w:rsidTr="00320D09">
        <w:trPr>
          <w:trHeight w:val="240"/>
        </w:trPr>
        <w:tc>
          <w:tcPr>
            <w:tcW w:w="6179" w:type="dxa"/>
            <w:gridSpan w:val="2"/>
            <w:tcBorders>
              <w:top w:val="nil"/>
              <w:left w:val="nil"/>
              <w:bottom w:val="nil"/>
              <w:right w:val="nil"/>
            </w:tcBorders>
            <w:shd w:val="clear" w:color="FFFFFF" w:fill="FFFFFF"/>
            <w:noWrap/>
            <w:vAlign w:val="bottom"/>
            <w:hideMark/>
          </w:tcPr>
          <w:p w14:paraId="01F3DD31" w14:textId="77777777" w:rsidR="00C32CBD" w:rsidRDefault="00C32CBD" w:rsidP="00320D09">
            <w:pPr>
              <w:ind w:firstLineChars="100" w:firstLine="180"/>
              <w:rPr>
                <w:rFonts w:cs="Arial"/>
                <w:sz w:val="18"/>
                <w:szCs w:val="18"/>
              </w:rPr>
            </w:pPr>
            <w:r>
              <w:rPr>
                <w:rFonts w:cs="Arial"/>
                <w:sz w:val="18"/>
                <w:szCs w:val="18"/>
              </w:rPr>
              <w:t>Amounts written off</w:t>
            </w:r>
          </w:p>
        </w:tc>
        <w:tc>
          <w:tcPr>
            <w:tcW w:w="1454" w:type="dxa"/>
            <w:gridSpan w:val="2"/>
            <w:tcBorders>
              <w:top w:val="nil"/>
              <w:left w:val="nil"/>
              <w:bottom w:val="nil"/>
              <w:right w:val="nil"/>
            </w:tcBorders>
            <w:shd w:val="clear" w:color="FFFFFF" w:fill="FFFFFF"/>
            <w:noWrap/>
            <w:vAlign w:val="bottom"/>
            <w:hideMark/>
          </w:tcPr>
          <w:p w14:paraId="03795DDF" w14:textId="77777777" w:rsidR="00C32CBD" w:rsidRDefault="00C32CBD" w:rsidP="00320D09">
            <w:pPr>
              <w:jc w:val="right"/>
              <w:rPr>
                <w:rFonts w:cs="Arial"/>
                <w:b/>
                <w:bCs/>
                <w:sz w:val="18"/>
                <w:szCs w:val="18"/>
              </w:rPr>
            </w:pPr>
            <w:r>
              <w:rPr>
                <w:rFonts w:cs="Arial"/>
                <w:b/>
                <w:bCs/>
                <w:sz w:val="18"/>
                <w:szCs w:val="18"/>
              </w:rPr>
              <w:t>(17,449)</w:t>
            </w:r>
          </w:p>
        </w:tc>
        <w:tc>
          <w:tcPr>
            <w:tcW w:w="1454" w:type="dxa"/>
            <w:gridSpan w:val="2"/>
            <w:tcBorders>
              <w:top w:val="nil"/>
              <w:left w:val="nil"/>
              <w:bottom w:val="nil"/>
              <w:right w:val="nil"/>
            </w:tcBorders>
            <w:shd w:val="clear" w:color="FFFFFF" w:fill="FFFFFF"/>
            <w:noWrap/>
            <w:vAlign w:val="bottom"/>
            <w:hideMark/>
          </w:tcPr>
          <w:p w14:paraId="6212E8E9" w14:textId="77777777" w:rsidR="00C32CBD" w:rsidRDefault="00C32CBD" w:rsidP="00320D09">
            <w:pPr>
              <w:jc w:val="right"/>
              <w:rPr>
                <w:rFonts w:cs="Arial"/>
                <w:b/>
                <w:bCs/>
                <w:sz w:val="18"/>
                <w:szCs w:val="18"/>
              </w:rPr>
            </w:pPr>
            <w:r>
              <w:rPr>
                <w:rFonts w:cs="Arial"/>
                <w:b/>
                <w:bCs/>
                <w:sz w:val="18"/>
                <w:szCs w:val="18"/>
              </w:rPr>
              <w:t>(17,449)</w:t>
            </w:r>
          </w:p>
        </w:tc>
      </w:tr>
      <w:tr w:rsidR="00C32CBD" w14:paraId="1F3A943D" w14:textId="77777777" w:rsidTr="00320D09">
        <w:trPr>
          <w:trHeight w:val="240"/>
        </w:trPr>
        <w:tc>
          <w:tcPr>
            <w:tcW w:w="6179" w:type="dxa"/>
            <w:gridSpan w:val="2"/>
            <w:tcBorders>
              <w:top w:val="nil"/>
              <w:left w:val="nil"/>
              <w:bottom w:val="nil"/>
              <w:right w:val="nil"/>
            </w:tcBorders>
            <w:shd w:val="clear" w:color="FFFFFF" w:fill="FFFFFF"/>
            <w:noWrap/>
            <w:vAlign w:val="bottom"/>
            <w:hideMark/>
          </w:tcPr>
          <w:p w14:paraId="25828F3A" w14:textId="77777777" w:rsidR="00C32CBD" w:rsidRDefault="00C32CBD" w:rsidP="00320D09">
            <w:pPr>
              <w:ind w:firstLineChars="100" w:firstLine="180"/>
              <w:rPr>
                <w:rFonts w:cs="Arial"/>
                <w:sz w:val="18"/>
                <w:szCs w:val="18"/>
              </w:rPr>
            </w:pPr>
            <w:r>
              <w:rPr>
                <w:rFonts w:cs="Arial"/>
                <w:sz w:val="18"/>
                <w:szCs w:val="18"/>
              </w:rPr>
              <w:t>Increase/(decrease) recognised in net surplus</w:t>
            </w:r>
          </w:p>
        </w:tc>
        <w:tc>
          <w:tcPr>
            <w:tcW w:w="1454" w:type="dxa"/>
            <w:gridSpan w:val="2"/>
            <w:tcBorders>
              <w:top w:val="nil"/>
              <w:left w:val="nil"/>
              <w:bottom w:val="nil"/>
              <w:right w:val="nil"/>
            </w:tcBorders>
            <w:shd w:val="clear" w:color="FFFFFF" w:fill="FFFFFF"/>
            <w:noWrap/>
            <w:vAlign w:val="bottom"/>
            <w:hideMark/>
          </w:tcPr>
          <w:p w14:paraId="1CBD7824" w14:textId="77777777" w:rsidR="00C32CBD" w:rsidRDefault="00C32CBD" w:rsidP="00320D09">
            <w:pPr>
              <w:jc w:val="right"/>
              <w:rPr>
                <w:rFonts w:cs="Arial"/>
                <w:b/>
                <w:bCs/>
                <w:sz w:val="18"/>
                <w:szCs w:val="18"/>
              </w:rPr>
            </w:pPr>
            <w:r>
              <w:rPr>
                <w:rFonts w:cs="Arial"/>
                <w:b/>
                <w:bCs/>
                <w:sz w:val="18"/>
                <w:szCs w:val="18"/>
              </w:rPr>
              <w:t>657</w:t>
            </w:r>
          </w:p>
        </w:tc>
        <w:tc>
          <w:tcPr>
            <w:tcW w:w="1454" w:type="dxa"/>
            <w:gridSpan w:val="2"/>
            <w:tcBorders>
              <w:top w:val="nil"/>
              <w:left w:val="nil"/>
              <w:bottom w:val="nil"/>
              <w:right w:val="nil"/>
            </w:tcBorders>
            <w:shd w:val="clear" w:color="FFFFFF" w:fill="FFFFFF"/>
            <w:noWrap/>
            <w:vAlign w:val="bottom"/>
            <w:hideMark/>
          </w:tcPr>
          <w:p w14:paraId="2BB6CF47" w14:textId="77777777" w:rsidR="00C32CBD" w:rsidRDefault="00C32CBD" w:rsidP="00320D09">
            <w:pPr>
              <w:jc w:val="right"/>
              <w:rPr>
                <w:rFonts w:cs="Arial"/>
                <w:b/>
                <w:bCs/>
                <w:sz w:val="18"/>
                <w:szCs w:val="18"/>
              </w:rPr>
            </w:pPr>
            <w:r>
              <w:rPr>
                <w:rFonts w:cs="Arial"/>
                <w:b/>
                <w:bCs/>
                <w:sz w:val="18"/>
                <w:szCs w:val="18"/>
              </w:rPr>
              <w:t>657</w:t>
            </w:r>
          </w:p>
        </w:tc>
      </w:tr>
      <w:tr w:rsidR="00C32CBD" w14:paraId="0170D81C" w14:textId="77777777" w:rsidTr="00320D09">
        <w:trPr>
          <w:trHeight w:val="240"/>
        </w:trPr>
        <w:tc>
          <w:tcPr>
            <w:tcW w:w="6179" w:type="dxa"/>
            <w:gridSpan w:val="2"/>
            <w:tcBorders>
              <w:top w:val="single" w:sz="4" w:space="0" w:color="auto"/>
              <w:left w:val="nil"/>
              <w:bottom w:val="single" w:sz="4" w:space="0" w:color="auto"/>
              <w:right w:val="nil"/>
            </w:tcBorders>
            <w:shd w:val="clear" w:color="FFFFFF" w:fill="FFFFFF"/>
            <w:vAlign w:val="bottom"/>
            <w:hideMark/>
          </w:tcPr>
          <w:p w14:paraId="2555998A" w14:textId="77777777" w:rsidR="00C32CBD" w:rsidRDefault="00C32CBD" w:rsidP="00320D09">
            <w:pPr>
              <w:rPr>
                <w:rFonts w:cs="Arial"/>
                <w:b/>
                <w:bCs/>
                <w:sz w:val="18"/>
                <w:szCs w:val="18"/>
              </w:rPr>
            </w:pPr>
            <w:r>
              <w:rPr>
                <w:rFonts w:cs="Arial"/>
                <w:b/>
                <w:bCs/>
                <w:sz w:val="18"/>
                <w:szCs w:val="18"/>
              </w:rPr>
              <w:t>Closing balance</w:t>
            </w:r>
          </w:p>
        </w:tc>
        <w:tc>
          <w:tcPr>
            <w:tcW w:w="1454" w:type="dxa"/>
            <w:gridSpan w:val="2"/>
            <w:tcBorders>
              <w:top w:val="single" w:sz="4" w:space="0" w:color="auto"/>
              <w:left w:val="nil"/>
              <w:bottom w:val="single" w:sz="4" w:space="0" w:color="auto"/>
              <w:right w:val="nil"/>
            </w:tcBorders>
            <w:shd w:val="clear" w:color="FFFFFF" w:fill="FFFFFF"/>
            <w:noWrap/>
            <w:vAlign w:val="bottom"/>
            <w:hideMark/>
          </w:tcPr>
          <w:p w14:paraId="5FF01182" w14:textId="77777777" w:rsidR="00C32CBD" w:rsidRDefault="00C32CBD" w:rsidP="00320D09">
            <w:pPr>
              <w:jc w:val="right"/>
              <w:rPr>
                <w:rFonts w:cs="Arial"/>
                <w:b/>
                <w:bCs/>
                <w:sz w:val="18"/>
                <w:szCs w:val="18"/>
              </w:rPr>
            </w:pPr>
            <w:r>
              <w:rPr>
                <w:rFonts w:cs="Arial"/>
                <w:b/>
                <w:bCs/>
                <w:sz w:val="18"/>
                <w:szCs w:val="18"/>
              </w:rPr>
              <w:t>879</w:t>
            </w:r>
          </w:p>
        </w:tc>
        <w:tc>
          <w:tcPr>
            <w:tcW w:w="1454" w:type="dxa"/>
            <w:gridSpan w:val="2"/>
            <w:tcBorders>
              <w:top w:val="single" w:sz="4" w:space="0" w:color="auto"/>
              <w:left w:val="nil"/>
              <w:bottom w:val="single" w:sz="4" w:space="0" w:color="auto"/>
              <w:right w:val="nil"/>
            </w:tcBorders>
            <w:shd w:val="clear" w:color="FFFFFF" w:fill="FFFFFF"/>
            <w:noWrap/>
            <w:vAlign w:val="bottom"/>
            <w:hideMark/>
          </w:tcPr>
          <w:p w14:paraId="17DC81EB" w14:textId="77777777" w:rsidR="00C32CBD" w:rsidRDefault="00C32CBD" w:rsidP="00320D09">
            <w:pPr>
              <w:jc w:val="right"/>
              <w:rPr>
                <w:rFonts w:cs="Arial"/>
                <w:b/>
                <w:bCs/>
                <w:sz w:val="18"/>
                <w:szCs w:val="18"/>
              </w:rPr>
            </w:pPr>
            <w:r>
              <w:rPr>
                <w:rFonts w:cs="Arial"/>
                <w:b/>
                <w:bCs/>
                <w:sz w:val="18"/>
                <w:szCs w:val="18"/>
              </w:rPr>
              <w:t>879</w:t>
            </w:r>
          </w:p>
        </w:tc>
      </w:tr>
      <w:tr w:rsidR="00C32CBD" w14:paraId="0D7E2126" w14:textId="77777777" w:rsidTr="00320D09">
        <w:trPr>
          <w:trHeight w:val="240"/>
        </w:trPr>
        <w:tc>
          <w:tcPr>
            <w:tcW w:w="6179" w:type="dxa"/>
            <w:gridSpan w:val="2"/>
            <w:tcBorders>
              <w:top w:val="nil"/>
              <w:left w:val="nil"/>
              <w:bottom w:val="nil"/>
              <w:right w:val="nil"/>
            </w:tcBorders>
            <w:shd w:val="clear" w:color="FFFFFF" w:fill="FFFFFF"/>
            <w:noWrap/>
            <w:vAlign w:val="bottom"/>
            <w:hideMark/>
          </w:tcPr>
          <w:p w14:paraId="611F6570" w14:textId="77777777" w:rsidR="00C32CBD" w:rsidRDefault="00C32CBD" w:rsidP="00320D09">
            <w:pPr>
              <w:rPr>
                <w:rFonts w:cs="Arial"/>
                <w:sz w:val="18"/>
                <w:szCs w:val="18"/>
              </w:rPr>
            </w:pPr>
            <w:r>
              <w:rPr>
                <w:rFonts w:cs="Arial"/>
                <w:sz w:val="18"/>
                <w:szCs w:val="18"/>
              </w:rPr>
              <w:t> </w:t>
            </w:r>
          </w:p>
        </w:tc>
        <w:tc>
          <w:tcPr>
            <w:tcW w:w="1454" w:type="dxa"/>
            <w:gridSpan w:val="2"/>
            <w:tcBorders>
              <w:top w:val="nil"/>
              <w:left w:val="nil"/>
              <w:bottom w:val="nil"/>
              <w:right w:val="nil"/>
            </w:tcBorders>
            <w:shd w:val="clear" w:color="FFFFFF" w:fill="FFFFFF"/>
            <w:noWrap/>
            <w:vAlign w:val="bottom"/>
            <w:hideMark/>
          </w:tcPr>
          <w:p w14:paraId="0C836D88" w14:textId="77777777" w:rsidR="00C32CBD" w:rsidRDefault="00C32CBD" w:rsidP="00320D09">
            <w:pPr>
              <w:rPr>
                <w:rFonts w:cs="Arial"/>
                <w:sz w:val="18"/>
                <w:szCs w:val="18"/>
              </w:rPr>
            </w:pPr>
            <w:r>
              <w:rPr>
                <w:rFonts w:cs="Arial"/>
                <w:sz w:val="18"/>
                <w:szCs w:val="18"/>
              </w:rPr>
              <w:t> </w:t>
            </w:r>
          </w:p>
        </w:tc>
        <w:tc>
          <w:tcPr>
            <w:tcW w:w="1454" w:type="dxa"/>
            <w:gridSpan w:val="2"/>
            <w:tcBorders>
              <w:top w:val="nil"/>
              <w:left w:val="nil"/>
              <w:bottom w:val="nil"/>
              <w:right w:val="nil"/>
            </w:tcBorders>
            <w:shd w:val="clear" w:color="auto" w:fill="auto"/>
            <w:noWrap/>
            <w:vAlign w:val="bottom"/>
            <w:hideMark/>
          </w:tcPr>
          <w:p w14:paraId="290DB24E" w14:textId="77777777" w:rsidR="00C32CBD" w:rsidRDefault="00C32CBD" w:rsidP="00320D09">
            <w:pPr>
              <w:rPr>
                <w:rFonts w:cs="Arial"/>
                <w:sz w:val="18"/>
                <w:szCs w:val="18"/>
              </w:rPr>
            </w:pPr>
          </w:p>
        </w:tc>
      </w:tr>
      <w:tr w:rsidR="00C32CBD" w14:paraId="2BE552DD" w14:textId="77777777" w:rsidTr="00320D09">
        <w:trPr>
          <w:trHeight w:val="240"/>
        </w:trPr>
        <w:tc>
          <w:tcPr>
            <w:tcW w:w="6179" w:type="dxa"/>
            <w:gridSpan w:val="2"/>
            <w:shd w:val="clear" w:color="auto" w:fill="FFFFFF"/>
            <w:noWrap/>
            <w:vAlign w:val="bottom"/>
            <w:hideMark/>
          </w:tcPr>
          <w:p w14:paraId="3ACA54DE" w14:textId="77777777" w:rsidR="00C32CBD" w:rsidRDefault="00C32CBD" w:rsidP="00320D09">
            <w:pPr>
              <w:rPr>
                <w:rFonts w:cs="Arial"/>
                <w:sz w:val="18"/>
                <w:szCs w:val="18"/>
              </w:rPr>
            </w:pPr>
          </w:p>
        </w:tc>
        <w:tc>
          <w:tcPr>
            <w:tcW w:w="1454" w:type="dxa"/>
            <w:gridSpan w:val="2"/>
            <w:shd w:val="clear" w:color="auto" w:fill="FFFFFF"/>
            <w:noWrap/>
            <w:vAlign w:val="bottom"/>
            <w:hideMark/>
          </w:tcPr>
          <w:p w14:paraId="7F26ACF9" w14:textId="77777777" w:rsidR="00C32CBD" w:rsidRDefault="00C32CBD" w:rsidP="00320D09">
            <w:pPr>
              <w:rPr>
                <w:rFonts w:cs="Arial"/>
                <w:sz w:val="18"/>
                <w:szCs w:val="18"/>
              </w:rPr>
            </w:pPr>
            <w:r>
              <w:rPr>
                <w:rFonts w:cs="Arial"/>
                <w:sz w:val="18"/>
                <w:szCs w:val="18"/>
              </w:rPr>
              <w:t> </w:t>
            </w:r>
          </w:p>
        </w:tc>
        <w:tc>
          <w:tcPr>
            <w:tcW w:w="1454" w:type="dxa"/>
            <w:gridSpan w:val="2"/>
            <w:noWrap/>
            <w:vAlign w:val="bottom"/>
            <w:hideMark/>
          </w:tcPr>
          <w:p w14:paraId="09C6D4FB" w14:textId="77777777" w:rsidR="00C32CBD" w:rsidRDefault="00C32CBD" w:rsidP="00320D09">
            <w:pPr>
              <w:rPr>
                <w:rFonts w:cs="Arial"/>
                <w:sz w:val="18"/>
                <w:szCs w:val="18"/>
              </w:rPr>
            </w:pPr>
          </w:p>
        </w:tc>
      </w:tr>
      <w:tr w:rsidR="00C32CBD" w14:paraId="151F2BB6" w14:textId="77777777" w:rsidTr="00320D09">
        <w:trPr>
          <w:trHeight w:val="240"/>
        </w:trPr>
        <w:tc>
          <w:tcPr>
            <w:tcW w:w="5165" w:type="dxa"/>
            <w:shd w:val="clear" w:color="auto" w:fill="FFFFFF"/>
            <w:noWrap/>
            <w:vAlign w:val="bottom"/>
            <w:hideMark/>
          </w:tcPr>
          <w:p w14:paraId="17A8AC2C" w14:textId="77777777" w:rsidR="00C32CBD" w:rsidRDefault="00C32CBD" w:rsidP="00320D09">
            <w:pPr>
              <w:rPr>
                <w:rFonts w:cs="Arial"/>
                <w:b/>
                <w:bCs/>
                <w:sz w:val="18"/>
                <w:szCs w:val="18"/>
              </w:rPr>
            </w:pPr>
            <w:r>
              <w:rPr>
                <w:rFonts w:cs="Arial"/>
                <w:b/>
                <w:bCs/>
                <w:sz w:val="18"/>
                <w:szCs w:val="18"/>
              </w:rPr>
              <w:t>Movements in relation to 2016</w:t>
            </w:r>
          </w:p>
        </w:tc>
        <w:tc>
          <w:tcPr>
            <w:tcW w:w="1276" w:type="dxa"/>
            <w:gridSpan w:val="2"/>
            <w:shd w:val="clear" w:color="auto" w:fill="FFFFFF"/>
            <w:noWrap/>
            <w:vAlign w:val="bottom"/>
            <w:hideMark/>
          </w:tcPr>
          <w:p w14:paraId="3CE1DD31" w14:textId="77777777" w:rsidR="00C32CBD" w:rsidRDefault="00C32CBD" w:rsidP="00320D09">
            <w:pPr>
              <w:rPr>
                <w:rFonts w:cs="Arial"/>
                <w:sz w:val="18"/>
                <w:szCs w:val="18"/>
              </w:rPr>
            </w:pPr>
            <w:r>
              <w:rPr>
                <w:rFonts w:cs="Arial"/>
                <w:sz w:val="18"/>
                <w:szCs w:val="18"/>
              </w:rPr>
              <w:t> </w:t>
            </w:r>
          </w:p>
        </w:tc>
        <w:tc>
          <w:tcPr>
            <w:tcW w:w="1392" w:type="dxa"/>
            <w:gridSpan w:val="2"/>
            <w:noWrap/>
            <w:vAlign w:val="bottom"/>
            <w:hideMark/>
          </w:tcPr>
          <w:p w14:paraId="3FEF6609" w14:textId="77777777" w:rsidR="00C32CBD" w:rsidRDefault="00C32CBD" w:rsidP="00320D09">
            <w:pPr>
              <w:rPr>
                <w:rFonts w:cs="Arial"/>
                <w:sz w:val="18"/>
                <w:szCs w:val="18"/>
              </w:rPr>
            </w:pPr>
          </w:p>
        </w:tc>
        <w:tc>
          <w:tcPr>
            <w:tcW w:w="1254" w:type="dxa"/>
            <w:noWrap/>
            <w:vAlign w:val="bottom"/>
            <w:hideMark/>
          </w:tcPr>
          <w:p w14:paraId="5E2A3AD0" w14:textId="77777777" w:rsidR="00C32CBD" w:rsidRDefault="00C32CBD" w:rsidP="00320D09">
            <w:pPr>
              <w:spacing w:line="240" w:lineRule="auto"/>
              <w:rPr>
                <w:lang w:eastAsia="en-AU"/>
              </w:rPr>
            </w:pPr>
          </w:p>
        </w:tc>
      </w:tr>
      <w:tr w:rsidR="00C32CBD" w14:paraId="73971701" w14:textId="77777777" w:rsidTr="00320D09">
        <w:trPr>
          <w:trHeight w:val="240"/>
        </w:trPr>
        <w:tc>
          <w:tcPr>
            <w:tcW w:w="5165" w:type="dxa"/>
            <w:tcBorders>
              <w:top w:val="single" w:sz="4" w:space="0" w:color="auto"/>
              <w:left w:val="nil"/>
              <w:bottom w:val="nil"/>
              <w:right w:val="nil"/>
            </w:tcBorders>
            <w:shd w:val="clear" w:color="auto" w:fill="FFFFFF"/>
            <w:noWrap/>
            <w:vAlign w:val="bottom"/>
            <w:hideMark/>
          </w:tcPr>
          <w:p w14:paraId="67DC990A" w14:textId="77777777" w:rsidR="00C32CBD" w:rsidRDefault="00C32CBD" w:rsidP="00320D09">
            <w:pPr>
              <w:rPr>
                <w:rFonts w:cs="Arial"/>
                <w:sz w:val="18"/>
                <w:szCs w:val="18"/>
              </w:rPr>
            </w:pPr>
            <w:r>
              <w:rPr>
                <w:rFonts w:cs="Arial"/>
                <w:sz w:val="18"/>
                <w:szCs w:val="18"/>
              </w:rPr>
              <w:t> </w:t>
            </w:r>
          </w:p>
        </w:tc>
        <w:tc>
          <w:tcPr>
            <w:tcW w:w="1276" w:type="dxa"/>
            <w:gridSpan w:val="2"/>
            <w:tcBorders>
              <w:top w:val="single" w:sz="4" w:space="0" w:color="auto"/>
              <w:left w:val="nil"/>
              <w:bottom w:val="nil"/>
              <w:right w:val="nil"/>
            </w:tcBorders>
            <w:shd w:val="clear" w:color="auto" w:fill="FFFFFF"/>
            <w:vAlign w:val="bottom"/>
            <w:hideMark/>
          </w:tcPr>
          <w:p w14:paraId="14E8101E" w14:textId="77777777" w:rsidR="00C32CBD" w:rsidRDefault="00C32CBD" w:rsidP="00320D09">
            <w:pPr>
              <w:jc w:val="right"/>
              <w:rPr>
                <w:rFonts w:cs="Arial"/>
                <w:b/>
                <w:bCs/>
                <w:sz w:val="18"/>
                <w:szCs w:val="18"/>
              </w:rPr>
            </w:pPr>
            <w:r>
              <w:rPr>
                <w:rFonts w:cs="Arial"/>
                <w:b/>
                <w:bCs/>
                <w:sz w:val="18"/>
                <w:szCs w:val="18"/>
              </w:rPr>
              <w:t>Goods and services</w:t>
            </w:r>
          </w:p>
        </w:tc>
        <w:tc>
          <w:tcPr>
            <w:tcW w:w="1392" w:type="dxa"/>
            <w:gridSpan w:val="2"/>
            <w:tcBorders>
              <w:top w:val="single" w:sz="4" w:space="0" w:color="auto"/>
              <w:left w:val="nil"/>
              <w:bottom w:val="nil"/>
              <w:right w:val="nil"/>
            </w:tcBorders>
            <w:shd w:val="clear" w:color="auto" w:fill="FFFFFF"/>
            <w:vAlign w:val="bottom"/>
            <w:hideMark/>
          </w:tcPr>
          <w:p w14:paraId="25BF0F90" w14:textId="77777777" w:rsidR="00C32CBD" w:rsidRDefault="00C32CBD" w:rsidP="00320D09">
            <w:pPr>
              <w:jc w:val="right"/>
              <w:rPr>
                <w:rFonts w:cs="Arial"/>
                <w:b/>
                <w:bCs/>
                <w:sz w:val="18"/>
                <w:szCs w:val="18"/>
              </w:rPr>
            </w:pPr>
            <w:r>
              <w:rPr>
                <w:rFonts w:cs="Arial"/>
                <w:b/>
                <w:bCs/>
                <w:sz w:val="18"/>
                <w:szCs w:val="18"/>
              </w:rPr>
              <w:t>Additional Scheme contributions</w:t>
            </w:r>
          </w:p>
        </w:tc>
        <w:tc>
          <w:tcPr>
            <w:tcW w:w="1254" w:type="dxa"/>
            <w:tcBorders>
              <w:top w:val="single" w:sz="4" w:space="0" w:color="auto"/>
              <w:left w:val="nil"/>
              <w:bottom w:val="nil"/>
              <w:right w:val="nil"/>
            </w:tcBorders>
            <w:shd w:val="clear" w:color="auto" w:fill="FFFFFF"/>
            <w:vAlign w:val="bottom"/>
            <w:hideMark/>
          </w:tcPr>
          <w:p w14:paraId="2DC4D7C9" w14:textId="77777777" w:rsidR="00C32CBD" w:rsidRDefault="00C32CBD" w:rsidP="00320D09">
            <w:pPr>
              <w:jc w:val="right"/>
              <w:rPr>
                <w:rFonts w:cs="Arial"/>
                <w:b/>
                <w:bCs/>
                <w:sz w:val="18"/>
                <w:szCs w:val="18"/>
              </w:rPr>
            </w:pPr>
            <w:r>
              <w:rPr>
                <w:rFonts w:cs="Arial"/>
                <w:b/>
                <w:bCs/>
                <w:sz w:val="18"/>
                <w:szCs w:val="18"/>
              </w:rPr>
              <w:t>Total</w:t>
            </w:r>
          </w:p>
        </w:tc>
      </w:tr>
      <w:tr w:rsidR="00C32CBD" w14:paraId="0F1DE1C0" w14:textId="77777777" w:rsidTr="00320D09">
        <w:trPr>
          <w:trHeight w:val="240"/>
        </w:trPr>
        <w:tc>
          <w:tcPr>
            <w:tcW w:w="5165" w:type="dxa"/>
            <w:tcBorders>
              <w:top w:val="nil"/>
              <w:left w:val="nil"/>
              <w:bottom w:val="single" w:sz="4" w:space="0" w:color="auto"/>
              <w:right w:val="nil"/>
            </w:tcBorders>
            <w:shd w:val="clear" w:color="auto" w:fill="FFFFFF"/>
            <w:noWrap/>
            <w:vAlign w:val="bottom"/>
            <w:hideMark/>
          </w:tcPr>
          <w:p w14:paraId="065A6B2A" w14:textId="77777777" w:rsidR="00C32CBD" w:rsidRDefault="00C32CBD" w:rsidP="00320D09">
            <w:pPr>
              <w:rPr>
                <w:rFonts w:cs="Arial"/>
                <w:sz w:val="18"/>
                <w:szCs w:val="18"/>
              </w:rPr>
            </w:pPr>
            <w:r>
              <w:rPr>
                <w:rFonts w:cs="Arial"/>
                <w:sz w:val="18"/>
                <w:szCs w:val="18"/>
              </w:rPr>
              <w:t> </w:t>
            </w:r>
          </w:p>
        </w:tc>
        <w:tc>
          <w:tcPr>
            <w:tcW w:w="1276" w:type="dxa"/>
            <w:gridSpan w:val="2"/>
            <w:tcBorders>
              <w:top w:val="nil"/>
              <w:left w:val="nil"/>
              <w:bottom w:val="single" w:sz="4" w:space="0" w:color="auto"/>
              <w:right w:val="nil"/>
            </w:tcBorders>
            <w:shd w:val="clear" w:color="auto" w:fill="FFFFFF"/>
            <w:vAlign w:val="bottom"/>
            <w:hideMark/>
          </w:tcPr>
          <w:p w14:paraId="55CDF004" w14:textId="77777777" w:rsidR="00C32CBD" w:rsidRDefault="00C32CBD" w:rsidP="00320D09">
            <w:pPr>
              <w:jc w:val="right"/>
              <w:rPr>
                <w:rFonts w:cs="Arial"/>
                <w:b/>
                <w:bCs/>
                <w:sz w:val="18"/>
                <w:szCs w:val="18"/>
              </w:rPr>
            </w:pPr>
            <w:r>
              <w:rPr>
                <w:rFonts w:cs="Arial"/>
                <w:b/>
                <w:bCs/>
                <w:sz w:val="18"/>
                <w:szCs w:val="18"/>
              </w:rPr>
              <w:t>$'000</w:t>
            </w:r>
          </w:p>
        </w:tc>
        <w:tc>
          <w:tcPr>
            <w:tcW w:w="1392" w:type="dxa"/>
            <w:gridSpan w:val="2"/>
            <w:tcBorders>
              <w:top w:val="nil"/>
              <w:left w:val="nil"/>
              <w:bottom w:val="single" w:sz="4" w:space="0" w:color="auto"/>
              <w:right w:val="nil"/>
            </w:tcBorders>
            <w:shd w:val="clear" w:color="auto" w:fill="FFFFFF"/>
            <w:vAlign w:val="bottom"/>
            <w:hideMark/>
          </w:tcPr>
          <w:p w14:paraId="587DA769" w14:textId="77777777" w:rsidR="00C32CBD" w:rsidRDefault="00C32CBD" w:rsidP="00320D09">
            <w:pPr>
              <w:jc w:val="right"/>
              <w:rPr>
                <w:rFonts w:cs="Arial"/>
                <w:b/>
                <w:bCs/>
                <w:sz w:val="18"/>
                <w:szCs w:val="18"/>
              </w:rPr>
            </w:pPr>
            <w:r>
              <w:rPr>
                <w:rFonts w:cs="Arial"/>
                <w:b/>
                <w:bCs/>
                <w:sz w:val="18"/>
                <w:szCs w:val="18"/>
              </w:rPr>
              <w:t>$'000</w:t>
            </w:r>
          </w:p>
        </w:tc>
        <w:tc>
          <w:tcPr>
            <w:tcW w:w="1254" w:type="dxa"/>
            <w:tcBorders>
              <w:top w:val="nil"/>
              <w:left w:val="nil"/>
              <w:bottom w:val="single" w:sz="4" w:space="0" w:color="auto"/>
              <w:right w:val="nil"/>
            </w:tcBorders>
            <w:shd w:val="clear" w:color="auto" w:fill="FFFFFF"/>
            <w:vAlign w:val="bottom"/>
            <w:hideMark/>
          </w:tcPr>
          <w:p w14:paraId="678C5ECE" w14:textId="77777777" w:rsidR="00C32CBD" w:rsidRDefault="00C32CBD" w:rsidP="00320D09">
            <w:pPr>
              <w:jc w:val="right"/>
              <w:rPr>
                <w:rFonts w:cs="Arial"/>
                <w:b/>
                <w:bCs/>
                <w:sz w:val="18"/>
                <w:szCs w:val="18"/>
              </w:rPr>
            </w:pPr>
            <w:r>
              <w:rPr>
                <w:rFonts w:cs="Arial"/>
                <w:b/>
                <w:bCs/>
                <w:sz w:val="18"/>
                <w:szCs w:val="18"/>
              </w:rPr>
              <w:t>$'000</w:t>
            </w:r>
          </w:p>
        </w:tc>
      </w:tr>
      <w:tr w:rsidR="00C32CBD" w14:paraId="2A83BE33" w14:textId="77777777" w:rsidTr="00320D09">
        <w:trPr>
          <w:trHeight w:val="240"/>
        </w:trPr>
        <w:tc>
          <w:tcPr>
            <w:tcW w:w="5165" w:type="dxa"/>
            <w:shd w:val="clear" w:color="auto" w:fill="FFFFFF"/>
            <w:vAlign w:val="bottom"/>
            <w:hideMark/>
          </w:tcPr>
          <w:p w14:paraId="086A3F39" w14:textId="77777777" w:rsidR="00C32CBD" w:rsidRDefault="00C32CBD" w:rsidP="00320D09">
            <w:pPr>
              <w:rPr>
                <w:rFonts w:cs="Arial"/>
                <w:b/>
                <w:bCs/>
                <w:sz w:val="18"/>
                <w:szCs w:val="18"/>
              </w:rPr>
            </w:pPr>
            <w:r>
              <w:rPr>
                <w:rFonts w:cs="Arial"/>
                <w:b/>
                <w:bCs/>
                <w:sz w:val="18"/>
                <w:szCs w:val="18"/>
              </w:rPr>
              <w:t>Opening balance</w:t>
            </w:r>
          </w:p>
        </w:tc>
        <w:tc>
          <w:tcPr>
            <w:tcW w:w="1276" w:type="dxa"/>
            <w:gridSpan w:val="2"/>
            <w:shd w:val="clear" w:color="auto" w:fill="FFFFFF"/>
            <w:noWrap/>
            <w:vAlign w:val="bottom"/>
            <w:hideMark/>
          </w:tcPr>
          <w:p w14:paraId="6F081138" w14:textId="77777777" w:rsidR="00C32CBD" w:rsidRDefault="00C32CBD" w:rsidP="00320D09">
            <w:pPr>
              <w:jc w:val="right"/>
              <w:rPr>
                <w:rFonts w:cs="Arial"/>
                <w:b/>
                <w:bCs/>
                <w:sz w:val="18"/>
                <w:szCs w:val="18"/>
              </w:rPr>
            </w:pPr>
            <w:r>
              <w:rPr>
                <w:rFonts w:cs="Arial"/>
                <w:b/>
                <w:bCs/>
                <w:sz w:val="18"/>
                <w:szCs w:val="18"/>
              </w:rPr>
              <w:t>-</w:t>
            </w:r>
          </w:p>
        </w:tc>
        <w:tc>
          <w:tcPr>
            <w:tcW w:w="1392" w:type="dxa"/>
            <w:gridSpan w:val="2"/>
            <w:shd w:val="clear" w:color="auto" w:fill="FFFFFF"/>
            <w:noWrap/>
            <w:vAlign w:val="bottom"/>
            <w:hideMark/>
          </w:tcPr>
          <w:p w14:paraId="2389954B" w14:textId="77777777" w:rsidR="00C32CBD" w:rsidRDefault="00C32CBD" w:rsidP="00320D09">
            <w:pPr>
              <w:jc w:val="right"/>
              <w:rPr>
                <w:rFonts w:cs="Arial"/>
                <w:b/>
                <w:bCs/>
                <w:sz w:val="18"/>
                <w:szCs w:val="18"/>
              </w:rPr>
            </w:pPr>
            <w:r>
              <w:rPr>
                <w:rFonts w:cs="Arial"/>
                <w:b/>
                <w:bCs/>
                <w:sz w:val="18"/>
                <w:szCs w:val="18"/>
              </w:rPr>
              <w:t>-</w:t>
            </w:r>
          </w:p>
        </w:tc>
        <w:tc>
          <w:tcPr>
            <w:tcW w:w="1254" w:type="dxa"/>
            <w:shd w:val="clear" w:color="auto" w:fill="FFFFFF"/>
            <w:noWrap/>
            <w:vAlign w:val="bottom"/>
            <w:hideMark/>
          </w:tcPr>
          <w:p w14:paraId="70313323" w14:textId="77777777" w:rsidR="00C32CBD" w:rsidRDefault="00C32CBD" w:rsidP="00320D09">
            <w:pPr>
              <w:jc w:val="right"/>
              <w:rPr>
                <w:rFonts w:cs="Arial"/>
                <w:b/>
                <w:bCs/>
                <w:sz w:val="18"/>
                <w:szCs w:val="18"/>
              </w:rPr>
            </w:pPr>
            <w:r>
              <w:rPr>
                <w:rFonts w:cs="Arial"/>
                <w:b/>
                <w:bCs/>
                <w:sz w:val="18"/>
                <w:szCs w:val="18"/>
              </w:rPr>
              <w:t>-</w:t>
            </w:r>
          </w:p>
        </w:tc>
      </w:tr>
      <w:tr w:rsidR="00C32CBD" w14:paraId="0E47D834" w14:textId="77777777" w:rsidTr="00320D09">
        <w:trPr>
          <w:trHeight w:val="240"/>
        </w:trPr>
        <w:tc>
          <w:tcPr>
            <w:tcW w:w="5165" w:type="dxa"/>
            <w:shd w:val="clear" w:color="auto" w:fill="FFFFFF"/>
            <w:noWrap/>
            <w:vAlign w:val="bottom"/>
            <w:hideMark/>
          </w:tcPr>
          <w:p w14:paraId="1B24875E" w14:textId="77777777" w:rsidR="00C32CBD" w:rsidRDefault="00C32CBD" w:rsidP="00320D09">
            <w:pPr>
              <w:ind w:firstLineChars="100" w:firstLine="180"/>
              <w:rPr>
                <w:rFonts w:cs="Arial"/>
                <w:sz w:val="18"/>
                <w:szCs w:val="18"/>
              </w:rPr>
            </w:pPr>
            <w:r>
              <w:rPr>
                <w:rFonts w:cs="Arial"/>
                <w:sz w:val="18"/>
                <w:szCs w:val="18"/>
              </w:rPr>
              <w:t>Amounts written off</w:t>
            </w:r>
          </w:p>
        </w:tc>
        <w:tc>
          <w:tcPr>
            <w:tcW w:w="1276" w:type="dxa"/>
            <w:gridSpan w:val="2"/>
            <w:shd w:val="clear" w:color="auto" w:fill="FFFFFF"/>
            <w:noWrap/>
            <w:vAlign w:val="bottom"/>
            <w:hideMark/>
          </w:tcPr>
          <w:p w14:paraId="6369D6A5" w14:textId="77777777" w:rsidR="00C32CBD" w:rsidRDefault="00C32CBD" w:rsidP="00320D09">
            <w:pPr>
              <w:jc w:val="right"/>
              <w:rPr>
                <w:rFonts w:cs="Arial"/>
                <w:b/>
                <w:bCs/>
                <w:sz w:val="18"/>
                <w:szCs w:val="18"/>
              </w:rPr>
            </w:pPr>
            <w:r>
              <w:rPr>
                <w:rFonts w:cs="Arial"/>
                <w:b/>
                <w:bCs/>
                <w:sz w:val="18"/>
                <w:szCs w:val="18"/>
              </w:rPr>
              <w:t>(13,695)</w:t>
            </w:r>
          </w:p>
        </w:tc>
        <w:tc>
          <w:tcPr>
            <w:tcW w:w="1392" w:type="dxa"/>
            <w:gridSpan w:val="2"/>
            <w:shd w:val="clear" w:color="auto" w:fill="FFFFFF"/>
            <w:noWrap/>
            <w:vAlign w:val="bottom"/>
            <w:hideMark/>
          </w:tcPr>
          <w:p w14:paraId="6E5C6C4D" w14:textId="77777777" w:rsidR="00C32CBD" w:rsidRDefault="00C32CBD" w:rsidP="00320D09">
            <w:pPr>
              <w:jc w:val="right"/>
              <w:rPr>
                <w:rFonts w:cs="Arial"/>
                <w:b/>
                <w:bCs/>
                <w:sz w:val="18"/>
                <w:szCs w:val="18"/>
              </w:rPr>
            </w:pPr>
            <w:r>
              <w:rPr>
                <w:rFonts w:cs="Arial"/>
                <w:b/>
                <w:bCs/>
                <w:sz w:val="18"/>
                <w:szCs w:val="18"/>
              </w:rPr>
              <w:t>(47,327)</w:t>
            </w:r>
          </w:p>
        </w:tc>
        <w:tc>
          <w:tcPr>
            <w:tcW w:w="1254" w:type="dxa"/>
            <w:shd w:val="clear" w:color="auto" w:fill="FFFFFF"/>
            <w:noWrap/>
            <w:vAlign w:val="bottom"/>
            <w:hideMark/>
          </w:tcPr>
          <w:p w14:paraId="6AB3C98B" w14:textId="77777777" w:rsidR="00C32CBD" w:rsidRDefault="00C32CBD" w:rsidP="00320D09">
            <w:pPr>
              <w:jc w:val="right"/>
              <w:rPr>
                <w:rFonts w:cs="Arial"/>
                <w:b/>
                <w:bCs/>
                <w:sz w:val="18"/>
                <w:szCs w:val="18"/>
              </w:rPr>
            </w:pPr>
            <w:r>
              <w:rPr>
                <w:rFonts w:cs="Arial"/>
                <w:b/>
                <w:bCs/>
                <w:sz w:val="18"/>
                <w:szCs w:val="18"/>
              </w:rPr>
              <w:t>(61,022)</w:t>
            </w:r>
          </w:p>
        </w:tc>
      </w:tr>
      <w:tr w:rsidR="00C32CBD" w14:paraId="0AB3237C" w14:textId="77777777" w:rsidTr="00320D09">
        <w:trPr>
          <w:trHeight w:val="240"/>
        </w:trPr>
        <w:tc>
          <w:tcPr>
            <w:tcW w:w="5165" w:type="dxa"/>
            <w:shd w:val="clear" w:color="auto" w:fill="FFFFFF"/>
            <w:noWrap/>
            <w:vAlign w:val="bottom"/>
            <w:hideMark/>
          </w:tcPr>
          <w:p w14:paraId="753DFC48" w14:textId="77777777" w:rsidR="00C32CBD" w:rsidRDefault="00C32CBD" w:rsidP="00320D09">
            <w:pPr>
              <w:ind w:firstLineChars="100" w:firstLine="180"/>
              <w:rPr>
                <w:rFonts w:cs="Arial"/>
                <w:sz w:val="18"/>
                <w:szCs w:val="18"/>
              </w:rPr>
            </w:pPr>
            <w:r>
              <w:rPr>
                <w:rFonts w:cs="Arial"/>
                <w:sz w:val="18"/>
                <w:szCs w:val="18"/>
              </w:rPr>
              <w:t>Increase recognised in net surplus</w:t>
            </w:r>
          </w:p>
        </w:tc>
        <w:tc>
          <w:tcPr>
            <w:tcW w:w="1276" w:type="dxa"/>
            <w:gridSpan w:val="2"/>
            <w:shd w:val="clear" w:color="auto" w:fill="FFFFFF"/>
            <w:noWrap/>
            <w:vAlign w:val="bottom"/>
            <w:hideMark/>
          </w:tcPr>
          <w:p w14:paraId="66045B9A" w14:textId="77777777" w:rsidR="00C32CBD" w:rsidRDefault="00C32CBD" w:rsidP="00320D09">
            <w:pPr>
              <w:jc w:val="right"/>
              <w:rPr>
                <w:rFonts w:cs="Arial"/>
                <w:b/>
                <w:bCs/>
                <w:sz w:val="18"/>
                <w:szCs w:val="18"/>
              </w:rPr>
            </w:pPr>
            <w:r>
              <w:rPr>
                <w:rFonts w:cs="Arial"/>
                <w:b/>
                <w:bCs/>
                <w:sz w:val="18"/>
                <w:szCs w:val="18"/>
              </w:rPr>
              <w:t>31,366</w:t>
            </w:r>
          </w:p>
        </w:tc>
        <w:tc>
          <w:tcPr>
            <w:tcW w:w="1392" w:type="dxa"/>
            <w:gridSpan w:val="2"/>
            <w:shd w:val="clear" w:color="auto" w:fill="FFFFFF"/>
            <w:noWrap/>
            <w:vAlign w:val="bottom"/>
            <w:hideMark/>
          </w:tcPr>
          <w:p w14:paraId="503B101D" w14:textId="77777777" w:rsidR="00C32CBD" w:rsidRDefault="00C32CBD" w:rsidP="00320D09">
            <w:pPr>
              <w:jc w:val="right"/>
              <w:rPr>
                <w:rFonts w:cs="Arial"/>
                <w:b/>
                <w:bCs/>
                <w:sz w:val="18"/>
                <w:szCs w:val="18"/>
              </w:rPr>
            </w:pPr>
            <w:r>
              <w:rPr>
                <w:rFonts w:cs="Arial"/>
                <w:b/>
                <w:bCs/>
                <w:sz w:val="18"/>
                <w:szCs w:val="18"/>
              </w:rPr>
              <w:t>47,327</w:t>
            </w:r>
          </w:p>
        </w:tc>
        <w:tc>
          <w:tcPr>
            <w:tcW w:w="1254" w:type="dxa"/>
            <w:shd w:val="clear" w:color="auto" w:fill="FFFFFF"/>
            <w:noWrap/>
            <w:vAlign w:val="bottom"/>
            <w:hideMark/>
          </w:tcPr>
          <w:p w14:paraId="04E61B54" w14:textId="77777777" w:rsidR="00C32CBD" w:rsidRDefault="00C32CBD" w:rsidP="00320D09">
            <w:pPr>
              <w:jc w:val="right"/>
              <w:rPr>
                <w:rFonts w:cs="Arial"/>
                <w:b/>
                <w:bCs/>
                <w:sz w:val="18"/>
                <w:szCs w:val="18"/>
              </w:rPr>
            </w:pPr>
            <w:r>
              <w:rPr>
                <w:rFonts w:cs="Arial"/>
                <w:b/>
                <w:bCs/>
                <w:sz w:val="18"/>
                <w:szCs w:val="18"/>
              </w:rPr>
              <w:t>78,693</w:t>
            </w:r>
          </w:p>
        </w:tc>
      </w:tr>
      <w:tr w:rsidR="00C32CBD" w14:paraId="5E15370E" w14:textId="77777777" w:rsidTr="00320D09">
        <w:trPr>
          <w:trHeight w:val="240"/>
        </w:trPr>
        <w:tc>
          <w:tcPr>
            <w:tcW w:w="5165" w:type="dxa"/>
            <w:tcBorders>
              <w:top w:val="single" w:sz="4" w:space="0" w:color="auto"/>
              <w:left w:val="nil"/>
              <w:bottom w:val="single" w:sz="4" w:space="0" w:color="auto"/>
              <w:right w:val="nil"/>
            </w:tcBorders>
            <w:shd w:val="clear" w:color="auto" w:fill="FFFFFF"/>
            <w:vAlign w:val="bottom"/>
            <w:hideMark/>
          </w:tcPr>
          <w:p w14:paraId="156507D8" w14:textId="77777777" w:rsidR="00C32CBD" w:rsidRDefault="00C32CBD" w:rsidP="00320D09">
            <w:pPr>
              <w:rPr>
                <w:rFonts w:cs="Arial"/>
                <w:b/>
                <w:bCs/>
                <w:sz w:val="18"/>
                <w:szCs w:val="18"/>
              </w:rPr>
            </w:pPr>
            <w:r>
              <w:rPr>
                <w:rFonts w:cs="Arial"/>
                <w:b/>
                <w:bCs/>
                <w:sz w:val="18"/>
                <w:szCs w:val="18"/>
              </w:rPr>
              <w:t>Closing balance</w:t>
            </w:r>
          </w:p>
        </w:tc>
        <w:tc>
          <w:tcPr>
            <w:tcW w:w="1276" w:type="dxa"/>
            <w:gridSpan w:val="2"/>
            <w:tcBorders>
              <w:top w:val="single" w:sz="4" w:space="0" w:color="auto"/>
              <w:left w:val="nil"/>
              <w:bottom w:val="single" w:sz="4" w:space="0" w:color="auto"/>
              <w:right w:val="nil"/>
            </w:tcBorders>
            <w:shd w:val="clear" w:color="auto" w:fill="FFFFFF"/>
            <w:noWrap/>
            <w:vAlign w:val="bottom"/>
            <w:hideMark/>
          </w:tcPr>
          <w:p w14:paraId="5FEA9AFF" w14:textId="77777777" w:rsidR="00C32CBD" w:rsidRDefault="00C32CBD" w:rsidP="00320D09">
            <w:pPr>
              <w:jc w:val="right"/>
              <w:rPr>
                <w:rFonts w:cs="Arial"/>
                <w:b/>
                <w:bCs/>
                <w:sz w:val="18"/>
                <w:szCs w:val="18"/>
              </w:rPr>
            </w:pPr>
            <w:r>
              <w:rPr>
                <w:rFonts w:cs="Arial"/>
                <w:b/>
                <w:bCs/>
                <w:sz w:val="18"/>
                <w:szCs w:val="18"/>
              </w:rPr>
              <w:t>17,671</w:t>
            </w:r>
          </w:p>
        </w:tc>
        <w:tc>
          <w:tcPr>
            <w:tcW w:w="1392" w:type="dxa"/>
            <w:gridSpan w:val="2"/>
            <w:tcBorders>
              <w:top w:val="single" w:sz="4" w:space="0" w:color="auto"/>
              <w:left w:val="nil"/>
              <w:bottom w:val="single" w:sz="4" w:space="0" w:color="auto"/>
              <w:right w:val="nil"/>
            </w:tcBorders>
            <w:shd w:val="clear" w:color="auto" w:fill="FFFFFF"/>
            <w:noWrap/>
            <w:vAlign w:val="bottom"/>
            <w:hideMark/>
          </w:tcPr>
          <w:p w14:paraId="464904F3" w14:textId="77777777" w:rsidR="00C32CBD" w:rsidRDefault="00C32CBD" w:rsidP="00320D09">
            <w:pPr>
              <w:jc w:val="right"/>
              <w:rPr>
                <w:rFonts w:cs="Arial"/>
                <w:b/>
                <w:bCs/>
                <w:sz w:val="18"/>
                <w:szCs w:val="18"/>
              </w:rPr>
            </w:pPr>
            <w:r>
              <w:rPr>
                <w:rFonts w:cs="Arial"/>
                <w:b/>
                <w:bCs/>
                <w:sz w:val="18"/>
                <w:szCs w:val="18"/>
              </w:rPr>
              <w:t>-</w:t>
            </w:r>
          </w:p>
        </w:tc>
        <w:tc>
          <w:tcPr>
            <w:tcW w:w="1254" w:type="dxa"/>
            <w:tcBorders>
              <w:top w:val="single" w:sz="4" w:space="0" w:color="auto"/>
              <w:left w:val="nil"/>
              <w:bottom w:val="single" w:sz="4" w:space="0" w:color="auto"/>
              <w:right w:val="nil"/>
            </w:tcBorders>
            <w:shd w:val="clear" w:color="auto" w:fill="FFFFFF"/>
            <w:noWrap/>
            <w:vAlign w:val="bottom"/>
            <w:hideMark/>
          </w:tcPr>
          <w:p w14:paraId="7A4FAFB9" w14:textId="77777777" w:rsidR="00C32CBD" w:rsidRDefault="00C32CBD" w:rsidP="00320D09">
            <w:pPr>
              <w:jc w:val="right"/>
              <w:rPr>
                <w:rFonts w:cs="Arial"/>
                <w:b/>
                <w:bCs/>
                <w:sz w:val="18"/>
                <w:szCs w:val="18"/>
              </w:rPr>
            </w:pPr>
            <w:r>
              <w:rPr>
                <w:rFonts w:cs="Arial"/>
                <w:b/>
                <w:bCs/>
                <w:sz w:val="18"/>
                <w:szCs w:val="18"/>
              </w:rPr>
              <w:t>17,671</w:t>
            </w:r>
          </w:p>
        </w:tc>
      </w:tr>
    </w:tbl>
    <w:p w14:paraId="6EEDEED2" w14:textId="77777777" w:rsidR="00C32CBD" w:rsidRDefault="00C32CBD" w:rsidP="00C32CBD">
      <w:pPr>
        <w:spacing w:line="240" w:lineRule="auto"/>
        <w:rPr>
          <w:rFonts w:cs="Arial"/>
          <w:sz w:val="18"/>
          <w:szCs w:val="18"/>
        </w:rPr>
      </w:pPr>
    </w:p>
    <w:p w14:paraId="38EFED38" w14:textId="77777777" w:rsidR="00C32CBD" w:rsidRDefault="00C32CBD" w:rsidP="00C32CBD">
      <w:pPr>
        <w:spacing w:line="240" w:lineRule="auto"/>
        <w:rPr>
          <w:rFonts w:cs="Arial"/>
          <w:sz w:val="18"/>
          <w:szCs w:val="18"/>
        </w:rPr>
      </w:pPr>
    </w:p>
    <w:p w14:paraId="676C4BCB" w14:textId="77777777" w:rsidR="00C32CBD" w:rsidRDefault="00C32CBD" w:rsidP="00C32CBD">
      <w:pPr>
        <w:pStyle w:val="PolicytextDept"/>
        <w:rPr>
          <w:i/>
          <w:u w:val="single"/>
        </w:rPr>
      </w:pPr>
      <w:r>
        <w:rPr>
          <w:i/>
          <w:u w:val="single"/>
        </w:rPr>
        <w:t>Participant and provider receivables</w:t>
      </w:r>
    </w:p>
    <w:p w14:paraId="40A48B67" w14:textId="77777777" w:rsidR="00C32CBD" w:rsidRPr="005907F7" w:rsidRDefault="00C32CBD" w:rsidP="00C32CBD">
      <w:pPr>
        <w:pStyle w:val="PolicytextDept"/>
        <w:spacing w:after="0"/>
        <w:rPr>
          <w:lang w:eastAsia="en-AU"/>
        </w:rPr>
      </w:pPr>
      <w:r w:rsidRPr="005907F7">
        <w:rPr>
          <w:lang w:eastAsia="en-AU"/>
        </w:rPr>
        <w:t>Participant and provider receivables include balances that have been invoiced for recovery and those that will be</w:t>
      </w:r>
    </w:p>
    <w:p w14:paraId="0384D466" w14:textId="77777777" w:rsidR="00C32CBD" w:rsidRPr="005907F7" w:rsidRDefault="00C32CBD" w:rsidP="00C32CBD">
      <w:pPr>
        <w:pStyle w:val="PolicytextDept"/>
        <w:spacing w:after="0"/>
        <w:rPr>
          <w:lang w:eastAsia="en-AU"/>
        </w:rPr>
      </w:pPr>
      <w:r w:rsidRPr="005907F7">
        <w:rPr>
          <w:lang w:eastAsia="en-AU"/>
        </w:rPr>
        <w:t>offset against future claims. Building a robust and mature assurance and compliance program remains a key</w:t>
      </w:r>
    </w:p>
    <w:p w14:paraId="19D508B3" w14:textId="77777777" w:rsidR="00C32CBD" w:rsidRPr="005907F7" w:rsidRDefault="00C32CBD" w:rsidP="00C32CBD">
      <w:pPr>
        <w:pStyle w:val="PolicytextDept"/>
        <w:spacing w:after="0"/>
        <w:rPr>
          <w:lang w:eastAsia="en-AU"/>
        </w:rPr>
      </w:pPr>
      <w:r w:rsidRPr="005907F7">
        <w:rPr>
          <w:lang w:eastAsia="en-AU"/>
        </w:rPr>
        <w:t>priority for the Agency, with work continuing through 2016-17 as participant numbers grew from 30,281 at 30 June</w:t>
      </w:r>
    </w:p>
    <w:p w14:paraId="1CBB84FC" w14:textId="77777777" w:rsidR="00C32CBD" w:rsidRPr="005907F7" w:rsidRDefault="00C32CBD" w:rsidP="00C32CBD">
      <w:pPr>
        <w:pStyle w:val="PolicytextDept"/>
        <w:spacing w:after="0"/>
        <w:rPr>
          <w:lang w:eastAsia="en-AU"/>
        </w:rPr>
      </w:pPr>
      <w:r w:rsidRPr="005907F7">
        <w:rPr>
          <w:lang w:eastAsia="en-AU"/>
        </w:rPr>
        <w:t>2016 to 96,772 on 30 June 2017. This assurance program will scale commensurate with growth in the Scheme,</w:t>
      </w:r>
    </w:p>
    <w:p w14:paraId="60E975BC" w14:textId="77777777" w:rsidR="00C32CBD" w:rsidRPr="005907F7" w:rsidRDefault="00C32CBD" w:rsidP="00C32CBD">
      <w:pPr>
        <w:pStyle w:val="PolicytextDept"/>
        <w:spacing w:after="0"/>
        <w:rPr>
          <w:lang w:eastAsia="en-AU"/>
        </w:rPr>
      </w:pPr>
      <w:r w:rsidRPr="005907F7">
        <w:rPr>
          <w:lang w:eastAsia="en-AU"/>
        </w:rPr>
        <w:t>noting that at Full Scheme participant numbers are expected to be around 460,000. While not yet at the desired</w:t>
      </w:r>
    </w:p>
    <w:p w14:paraId="7756A45B" w14:textId="77777777" w:rsidR="00C32CBD" w:rsidRPr="005907F7" w:rsidRDefault="00C32CBD" w:rsidP="00C32CBD">
      <w:pPr>
        <w:pStyle w:val="PolicytextDept"/>
        <w:spacing w:after="0"/>
        <w:rPr>
          <w:lang w:eastAsia="en-AU"/>
        </w:rPr>
      </w:pPr>
      <w:r w:rsidRPr="005907F7">
        <w:rPr>
          <w:lang w:eastAsia="en-AU"/>
        </w:rPr>
        <w:t>end state, progress during 2016-17 included: endorsement of an Integrated Assurance Framework; introduction of</w:t>
      </w:r>
    </w:p>
    <w:p w14:paraId="51EC28F3" w14:textId="77777777" w:rsidR="00C32CBD" w:rsidRPr="005907F7" w:rsidRDefault="00C32CBD" w:rsidP="00C32CBD">
      <w:pPr>
        <w:pStyle w:val="PolicytextDept"/>
        <w:spacing w:after="0"/>
        <w:rPr>
          <w:lang w:eastAsia="en-AU"/>
        </w:rPr>
      </w:pPr>
      <w:r w:rsidRPr="005907F7">
        <w:rPr>
          <w:lang w:eastAsia="en-AU"/>
        </w:rPr>
        <w:t>a Quality Assurance Program focussed on quality of decision making and payment quality and accuracy;</w:t>
      </w:r>
    </w:p>
    <w:p w14:paraId="6BEBCFB6" w14:textId="77777777" w:rsidR="00C32CBD" w:rsidRPr="005907F7" w:rsidRDefault="00C32CBD" w:rsidP="00C32CBD">
      <w:pPr>
        <w:pStyle w:val="PolicytextDept"/>
        <w:spacing w:after="0"/>
        <w:rPr>
          <w:lang w:eastAsia="en-AU"/>
        </w:rPr>
      </w:pPr>
      <w:r w:rsidRPr="005907F7">
        <w:rPr>
          <w:lang w:eastAsia="en-AU"/>
        </w:rPr>
        <w:t>development of ICT functionality to support quality checking (released in September 2017); development,</w:t>
      </w:r>
    </w:p>
    <w:p w14:paraId="508C665D" w14:textId="77777777" w:rsidR="00C32CBD" w:rsidRPr="005907F7" w:rsidRDefault="00C32CBD" w:rsidP="00C32CBD">
      <w:pPr>
        <w:pStyle w:val="PolicytextDept"/>
        <w:spacing w:after="0"/>
        <w:rPr>
          <w:lang w:eastAsia="en-AU"/>
        </w:rPr>
      </w:pPr>
      <w:r w:rsidRPr="005907F7">
        <w:rPr>
          <w:lang w:eastAsia="en-AU"/>
        </w:rPr>
        <w:t>endorsement and early implementation of a program of work targeting payment integrity; and establishment of a</w:t>
      </w:r>
    </w:p>
    <w:p w14:paraId="353FD155" w14:textId="77777777" w:rsidR="00C32CBD" w:rsidRPr="005907F7" w:rsidRDefault="00C32CBD" w:rsidP="00C32CBD">
      <w:pPr>
        <w:pStyle w:val="PolicytextDept"/>
        <w:spacing w:after="0"/>
        <w:rPr>
          <w:lang w:eastAsia="en-AU"/>
        </w:rPr>
      </w:pPr>
      <w:r w:rsidRPr="005907F7">
        <w:rPr>
          <w:lang w:eastAsia="en-AU"/>
        </w:rPr>
        <w:t>formal accountability structure for assurance and compliance.</w:t>
      </w:r>
    </w:p>
    <w:p w14:paraId="6C4E71A8" w14:textId="77777777" w:rsidR="00C32CBD" w:rsidRPr="005907F7" w:rsidRDefault="00C32CBD" w:rsidP="00C32CBD">
      <w:pPr>
        <w:pStyle w:val="PolicytextDept"/>
        <w:spacing w:after="0"/>
        <w:rPr>
          <w:lang w:eastAsia="en-AU"/>
        </w:rPr>
      </w:pPr>
      <w:r w:rsidRPr="005907F7">
        <w:rPr>
          <w:lang w:eastAsia="en-AU"/>
        </w:rPr>
        <w:t xml:space="preserve"> </w:t>
      </w:r>
    </w:p>
    <w:p w14:paraId="186B3AB0" w14:textId="77777777" w:rsidR="00C32CBD" w:rsidRPr="005907F7" w:rsidRDefault="00C32CBD" w:rsidP="00C32CBD">
      <w:pPr>
        <w:pStyle w:val="PolicytextDept"/>
        <w:spacing w:after="0"/>
        <w:rPr>
          <w:lang w:eastAsia="en-AU"/>
        </w:rPr>
      </w:pPr>
      <w:r w:rsidRPr="005907F7">
        <w:rPr>
          <w:lang w:eastAsia="en-AU"/>
        </w:rPr>
        <w:t>An expanded review of payments to providers was conducted. This review covered payments to providers in the</w:t>
      </w:r>
    </w:p>
    <w:p w14:paraId="64B720C4" w14:textId="77777777" w:rsidR="00C32CBD" w:rsidRPr="005907F7" w:rsidRDefault="00C32CBD" w:rsidP="00C32CBD">
      <w:pPr>
        <w:pStyle w:val="PolicytextDept"/>
        <w:spacing w:after="0"/>
        <w:rPr>
          <w:lang w:eastAsia="en-AU"/>
        </w:rPr>
      </w:pPr>
      <w:r w:rsidRPr="005907F7">
        <w:rPr>
          <w:lang w:eastAsia="en-AU"/>
        </w:rPr>
        <w:t>first three quarters of the year. Extrapolation of the results suggests the potential for an error rate of about 2.1% of</w:t>
      </w:r>
    </w:p>
    <w:p w14:paraId="6070ED32" w14:textId="77777777" w:rsidR="00C32CBD" w:rsidRPr="005907F7" w:rsidRDefault="00C32CBD" w:rsidP="00C32CBD">
      <w:pPr>
        <w:pStyle w:val="PolicytextDept"/>
        <w:spacing w:after="0"/>
        <w:rPr>
          <w:lang w:eastAsia="en-AU"/>
        </w:rPr>
      </w:pPr>
      <w:r w:rsidRPr="005907F7">
        <w:rPr>
          <w:lang w:eastAsia="en-AU"/>
        </w:rPr>
        <w:t xml:space="preserve">total claims from providers.  Recovery action, in accordance with the Agency’s Debt </w:t>
      </w:r>
    </w:p>
    <w:p w14:paraId="674889E1" w14:textId="77777777" w:rsidR="00C32CBD" w:rsidRPr="005907F7" w:rsidRDefault="00C32CBD" w:rsidP="00C32CBD">
      <w:pPr>
        <w:pStyle w:val="PolicytextDept"/>
        <w:spacing w:after="0"/>
        <w:rPr>
          <w:lang w:eastAsia="en-AU"/>
        </w:rPr>
      </w:pPr>
      <w:r w:rsidRPr="005907F7">
        <w:rPr>
          <w:lang w:eastAsia="en-AU"/>
        </w:rPr>
        <w:t>Management Procedures, has commenced where payment errors have been detected. Work (including site visits)</w:t>
      </w:r>
    </w:p>
    <w:p w14:paraId="64DE5A19" w14:textId="77777777" w:rsidR="00C32CBD" w:rsidRPr="005907F7" w:rsidRDefault="00C32CBD" w:rsidP="00C32CBD">
      <w:pPr>
        <w:pStyle w:val="PolicytextDept"/>
        <w:spacing w:after="0"/>
        <w:rPr>
          <w:lang w:eastAsia="en-AU"/>
        </w:rPr>
      </w:pPr>
      <w:r w:rsidRPr="005907F7">
        <w:rPr>
          <w:lang w:eastAsia="en-AU"/>
        </w:rPr>
        <w:t>is ongoing during quarter two of 2017-18 for those providers who have not yet responded to requests to verify the</w:t>
      </w:r>
    </w:p>
    <w:p w14:paraId="4133575C" w14:textId="77777777" w:rsidR="00C32CBD" w:rsidRDefault="00C32CBD" w:rsidP="00C32CBD">
      <w:pPr>
        <w:pStyle w:val="PolicytextDept"/>
        <w:spacing w:after="0"/>
        <w:rPr>
          <w:i/>
          <w:u w:val="single"/>
        </w:rPr>
      </w:pPr>
      <w:r w:rsidRPr="005907F7">
        <w:rPr>
          <w:lang w:eastAsia="en-AU"/>
        </w:rPr>
        <w:t>accuracy of payments. The Agency will continue to strengthen assurance and compliance processes during</w:t>
      </w:r>
      <w:r>
        <w:rPr>
          <w:lang w:eastAsia="en-AU"/>
        </w:rPr>
        <w:t xml:space="preserve"> </w:t>
      </w:r>
      <w:r w:rsidRPr="005907F7">
        <w:rPr>
          <w:lang w:eastAsia="en-AU"/>
        </w:rPr>
        <w:t xml:space="preserve"> 2017-18</w:t>
      </w:r>
      <w:r w:rsidRPr="005907F7">
        <w:t>.</w:t>
      </w:r>
    </w:p>
    <w:p w14:paraId="69AB3BF0" w14:textId="77777777" w:rsidR="00C32CBD" w:rsidRDefault="00C32CBD" w:rsidP="00C32CBD">
      <w:pPr>
        <w:spacing w:line="240" w:lineRule="auto"/>
        <w:rPr>
          <w:rFonts w:cs="Arial"/>
          <w:sz w:val="18"/>
          <w:szCs w:val="18"/>
        </w:rPr>
      </w:pPr>
      <w:r>
        <w:rPr>
          <w:rFonts w:cs="Arial"/>
          <w:sz w:val="18"/>
          <w:szCs w:val="18"/>
        </w:rPr>
        <w:br w:type="page"/>
      </w:r>
    </w:p>
    <w:p w14:paraId="69274605" w14:textId="77777777" w:rsidR="00C32CBD" w:rsidRDefault="00C32CBD" w:rsidP="00C32CBD">
      <w:pPr>
        <w:spacing w:line="240" w:lineRule="auto"/>
        <w:rPr>
          <w:rFonts w:cs="Arial"/>
          <w:sz w:val="18"/>
          <w:szCs w:val="18"/>
        </w:rPr>
      </w:pPr>
    </w:p>
    <w:tbl>
      <w:tblPr>
        <w:tblW w:w="9087" w:type="dxa"/>
        <w:tblInd w:w="80" w:type="dxa"/>
        <w:tblLayout w:type="fixed"/>
        <w:tblLook w:val="04A0" w:firstRow="1" w:lastRow="0" w:firstColumn="1" w:lastColumn="0" w:noHBand="0" w:noVBand="1"/>
      </w:tblPr>
      <w:tblGrid>
        <w:gridCol w:w="6353"/>
        <w:gridCol w:w="1249"/>
        <w:gridCol w:w="236"/>
        <w:gridCol w:w="1249"/>
      </w:tblGrid>
      <w:tr w:rsidR="00C32CBD" w14:paraId="756E47FF" w14:textId="77777777" w:rsidTr="00320D09">
        <w:trPr>
          <w:trHeight w:val="240"/>
        </w:trPr>
        <w:tc>
          <w:tcPr>
            <w:tcW w:w="6353" w:type="dxa"/>
            <w:tcBorders>
              <w:top w:val="nil"/>
              <w:left w:val="nil"/>
              <w:bottom w:val="nil"/>
              <w:right w:val="nil"/>
            </w:tcBorders>
            <w:shd w:val="clear" w:color="FFFFFF" w:fill="FFFFFF"/>
            <w:vAlign w:val="bottom"/>
            <w:hideMark/>
          </w:tcPr>
          <w:p w14:paraId="22B613DF" w14:textId="77777777" w:rsidR="00C32CBD" w:rsidRDefault="00C32CBD" w:rsidP="00320D09">
            <w:pPr>
              <w:rPr>
                <w:rFonts w:cs="Arial"/>
                <w:b/>
                <w:bCs/>
                <w:sz w:val="18"/>
                <w:szCs w:val="18"/>
              </w:rPr>
            </w:pPr>
            <w:bookmarkStart w:id="145" w:name="Note_OFATABLE1" w:colFirst="0" w:colLast="0"/>
            <w:r>
              <w:rPr>
                <w:rFonts w:cs="Arial"/>
                <w:b/>
                <w:bCs/>
                <w:sz w:val="18"/>
                <w:szCs w:val="18"/>
              </w:rPr>
              <w:t> </w:t>
            </w:r>
          </w:p>
        </w:tc>
        <w:tc>
          <w:tcPr>
            <w:tcW w:w="1249" w:type="dxa"/>
            <w:tcBorders>
              <w:top w:val="nil"/>
              <w:left w:val="nil"/>
              <w:bottom w:val="nil"/>
              <w:right w:val="nil"/>
            </w:tcBorders>
            <w:shd w:val="clear" w:color="FFFFFF" w:fill="FFFFFF"/>
            <w:vAlign w:val="bottom"/>
            <w:hideMark/>
          </w:tcPr>
          <w:p w14:paraId="3E2514A0" w14:textId="77777777" w:rsidR="00C32CBD" w:rsidRDefault="00C32CBD" w:rsidP="00320D09">
            <w:pPr>
              <w:jc w:val="right"/>
              <w:rPr>
                <w:rFonts w:cs="Arial"/>
                <w:b/>
                <w:bCs/>
                <w:sz w:val="18"/>
                <w:szCs w:val="18"/>
              </w:rPr>
            </w:pPr>
            <w:r>
              <w:rPr>
                <w:rFonts w:cs="Arial"/>
                <w:b/>
                <w:bCs/>
                <w:sz w:val="18"/>
                <w:szCs w:val="18"/>
              </w:rPr>
              <w:t>2017</w:t>
            </w:r>
          </w:p>
        </w:tc>
        <w:tc>
          <w:tcPr>
            <w:tcW w:w="236" w:type="dxa"/>
            <w:tcBorders>
              <w:top w:val="nil"/>
              <w:left w:val="nil"/>
              <w:bottom w:val="nil"/>
              <w:right w:val="nil"/>
            </w:tcBorders>
            <w:shd w:val="clear" w:color="FFFFFF" w:fill="FFFFFF"/>
            <w:noWrap/>
            <w:vAlign w:val="bottom"/>
            <w:hideMark/>
          </w:tcPr>
          <w:p w14:paraId="2F9503F6"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vAlign w:val="bottom"/>
            <w:hideMark/>
          </w:tcPr>
          <w:p w14:paraId="02C5B2F0" w14:textId="77777777" w:rsidR="00C32CBD" w:rsidRDefault="00C32CBD" w:rsidP="00320D09">
            <w:pPr>
              <w:jc w:val="right"/>
              <w:rPr>
                <w:rFonts w:cs="Arial"/>
                <w:sz w:val="18"/>
                <w:szCs w:val="18"/>
              </w:rPr>
            </w:pPr>
            <w:r>
              <w:rPr>
                <w:rFonts w:cs="Arial"/>
                <w:sz w:val="18"/>
                <w:szCs w:val="18"/>
              </w:rPr>
              <w:t>2016</w:t>
            </w:r>
          </w:p>
        </w:tc>
      </w:tr>
      <w:bookmarkEnd w:id="145"/>
      <w:tr w:rsidR="00C32CBD" w14:paraId="793B3172" w14:textId="77777777" w:rsidTr="00320D09">
        <w:trPr>
          <w:trHeight w:val="240"/>
        </w:trPr>
        <w:tc>
          <w:tcPr>
            <w:tcW w:w="6353" w:type="dxa"/>
            <w:tcBorders>
              <w:top w:val="nil"/>
              <w:left w:val="nil"/>
              <w:bottom w:val="nil"/>
              <w:right w:val="nil"/>
            </w:tcBorders>
            <w:shd w:val="clear" w:color="FFFFFF" w:fill="FFFFFF"/>
            <w:vAlign w:val="bottom"/>
            <w:hideMark/>
          </w:tcPr>
          <w:p w14:paraId="22CD054A" w14:textId="77777777" w:rsidR="00C32CBD" w:rsidRDefault="00C32CBD" w:rsidP="00320D09">
            <w:pPr>
              <w:rPr>
                <w:rFonts w:cs="Arial"/>
                <w:b/>
                <w:bCs/>
                <w:sz w:val="18"/>
                <w:szCs w:val="18"/>
              </w:rPr>
            </w:pPr>
            <w:r>
              <w:rPr>
                <w:rFonts w:cs="Arial"/>
                <w:b/>
                <w:bCs/>
                <w:sz w:val="18"/>
                <w:szCs w:val="18"/>
              </w:rPr>
              <w:t> </w:t>
            </w:r>
          </w:p>
        </w:tc>
        <w:tc>
          <w:tcPr>
            <w:tcW w:w="1249" w:type="dxa"/>
            <w:tcBorders>
              <w:top w:val="nil"/>
              <w:left w:val="nil"/>
              <w:bottom w:val="nil"/>
              <w:right w:val="nil"/>
            </w:tcBorders>
            <w:shd w:val="clear" w:color="FFFFFF" w:fill="FFFFFF"/>
            <w:vAlign w:val="bottom"/>
            <w:hideMark/>
          </w:tcPr>
          <w:p w14:paraId="2E50B7D5" w14:textId="77777777" w:rsidR="00C32CBD" w:rsidRDefault="00C32CBD" w:rsidP="00320D09">
            <w:pPr>
              <w:jc w:val="right"/>
              <w:rPr>
                <w:rFonts w:cs="Arial"/>
                <w:b/>
                <w:bCs/>
                <w:sz w:val="18"/>
                <w:szCs w:val="18"/>
              </w:rPr>
            </w:pPr>
            <w:r>
              <w:rPr>
                <w:rFonts w:cs="Arial"/>
                <w:b/>
                <w:bCs/>
                <w:sz w:val="18"/>
                <w:szCs w:val="18"/>
              </w:rPr>
              <w:t>$'000</w:t>
            </w:r>
          </w:p>
        </w:tc>
        <w:tc>
          <w:tcPr>
            <w:tcW w:w="236" w:type="dxa"/>
            <w:tcBorders>
              <w:top w:val="nil"/>
              <w:left w:val="nil"/>
              <w:bottom w:val="nil"/>
              <w:right w:val="nil"/>
            </w:tcBorders>
            <w:shd w:val="clear" w:color="FFFFFF" w:fill="FFFFFF"/>
            <w:noWrap/>
            <w:vAlign w:val="bottom"/>
            <w:hideMark/>
          </w:tcPr>
          <w:p w14:paraId="69A938F3"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vAlign w:val="bottom"/>
            <w:hideMark/>
          </w:tcPr>
          <w:p w14:paraId="1BFAA290" w14:textId="77777777" w:rsidR="00C32CBD" w:rsidRDefault="00C32CBD" w:rsidP="00320D09">
            <w:pPr>
              <w:jc w:val="right"/>
              <w:rPr>
                <w:rFonts w:cs="Arial"/>
                <w:sz w:val="18"/>
                <w:szCs w:val="18"/>
              </w:rPr>
            </w:pPr>
            <w:r>
              <w:rPr>
                <w:rFonts w:cs="Arial"/>
                <w:sz w:val="18"/>
                <w:szCs w:val="18"/>
              </w:rPr>
              <w:t>$'000</w:t>
            </w:r>
          </w:p>
        </w:tc>
      </w:tr>
      <w:tr w:rsidR="00C32CBD" w14:paraId="5445EE8D" w14:textId="77777777" w:rsidTr="00320D09">
        <w:trPr>
          <w:trHeight w:val="255"/>
        </w:trPr>
        <w:tc>
          <w:tcPr>
            <w:tcW w:w="6353" w:type="dxa"/>
            <w:tcBorders>
              <w:top w:val="nil"/>
              <w:left w:val="nil"/>
              <w:bottom w:val="nil"/>
              <w:right w:val="nil"/>
            </w:tcBorders>
            <w:shd w:val="clear" w:color="FFFFFF" w:fill="FFFFFF"/>
            <w:noWrap/>
            <w:vAlign w:val="bottom"/>
            <w:hideMark/>
          </w:tcPr>
          <w:p w14:paraId="6EE4D906" w14:textId="77777777" w:rsidR="00C32CBD" w:rsidRDefault="00C32CBD" w:rsidP="00320D09">
            <w:pPr>
              <w:rPr>
                <w:rFonts w:cs="Arial"/>
                <w:b/>
                <w:bCs/>
                <w:sz w:val="18"/>
                <w:szCs w:val="18"/>
                <w:u w:val="single"/>
              </w:rPr>
            </w:pPr>
            <w:r>
              <w:rPr>
                <w:rFonts w:cs="Arial"/>
                <w:b/>
                <w:bCs/>
                <w:sz w:val="18"/>
                <w:szCs w:val="18"/>
                <w:u w:val="single"/>
              </w:rPr>
              <w:t>Note 2.1C: Other financial assets</w:t>
            </w:r>
          </w:p>
        </w:tc>
        <w:tc>
          <w:tcPr>
            <w:tcW w:w="1249" w:type="dxa"/>
            <w:tcBorders>
              <w:top w:val="nil"/>
              <w:left w:val="nil"/>
              <w:bottom w:val="nil"/>
              <w:right w:val="nil"/>
            </w:tcBorders>
            <w:shd w:val="clear" w:color="FFFFFF" w:fill="FFFFFF"/>
            <w:noWrap/>
            <w:vAlign w:val="bottom"/>
            <w:hideMark/>
          </w:tcPr>
          <w:p w14:paraId="5C66A9B3"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69890EDE"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4A0C487E" w14:textId="77777777" w:rsidR="00C32CBD" w:rsidRDefault="00C32CBD" w:rsidP="00320D09">
            <w:pPr>
              <w:rPr>
                <w:rFonts w:cs="Arial"/>
                <w:sz w:val="18"/>
                <w:szCs w:val="18"/>
              </w:rPr>
            </w:pPr>
            <w:r>
              <w:rPr>
                <w:rFonts w:cs="Arial"/>
                <w:sz w:val="18"/>
                <w:szCs w:val="18"/>
              </w:rPr>
              <w:t> </w:t>
            </w:r>
          </w:p>
        </w:tc>
      </w:tr>
      <w:tr w:rsidR="00C32CBD" w14:paraId="113F21C5" w14:textId="77777777" w:rsidTr="00320D09">
        <w:trPr>
          <w:trHeight w:val="255"/>
        </w:trPr>
        <w:tc>
          <w:tcPr>
            <w:tcW w:w="6353" w:type="dxa"/>
            <w:tcBorders>
              <w:top w:val="nil"/>
              <w:left w:val="nil"/>
              <w:bottom w:val="nil"/>
              <w:right w:val="nil"/>
            </w:tcBorders>
            <w:shd w:val="clear" w:color="FFFFFF" w:fill="FFFFFF"/>
            <w:vAlign w:val="bottom"/>
            <w:hideMark/>
          </w:tcPr>
          <w:p w14:paraId="19DD7CD4" w14:textId="77777777" w:rsidR="00C32CBD" w:rsidRDefault="00C32CBD" w:rsidP="00320D09">
            <w:pPr>
              <w:rPr>
                <w:rFonts w:cs="Arial"/>
                <w:sz w:val="18"/>
                <w:szCs w:val="18"/>
              </w:rPr>
            </w:pPr>
            <w:r>
              <w:rPr>
                <w:rFonts w:cs="Arial"/>
                <w:sz w:val="18"/>
                <w:szCs w:val="18"/>
              </w:rPr>
              <w:t>Deposits</w:t>
            </w:r>
          </w:p>
        </w:tc>
        <w:tc>
          <w:tcPr>
            <w:tcW w:w="1249" w:type="dxa"/>
            <w:tcBorders>
              <w:top w:val="nil"/>
              <w:left w:val="nil"/>
              <w:bottom w:val="nil"/>
              <w:right w:val="nil"/>
            </w:tcBorders>
            <w:shd w:val="clear" w:color="FFFFFF" w:fill="FFFFFF"/>
            <w:noWrap/>
            <w:vAlign w:val="bottom"/>
            <w:hideMark/>
          </w:tcPr>
          <w:p w14:paraId="610A902E" w14:textId="77777777" w:rsidR="00C32CBD" w:rsidRDefault="00C32CBD" w:rsidP="00320D09">
            <w:pPr>
              <w:jc w:val="right"/>
              <w:rPr>
                <w:rFonts w:cs="Arial"/>
                <w:b/>
                <w:bCs/>
                <w:sz w:val="18"/>
                <w:szCs w:val="18"/>
              </w:rPr>
            </w:pPr>
            <w:r>
              <w:rPr>
                <w:rFonts w:cs="Arial"/>
                <w:b/>
                <w:bCs/>
                <w:sz w:val="18"/>
                <w:szCs w:val="18"/>
              </w:rPr>
              <w:t>-</w:t>
            </w:r>
          </w:p>
        </w:tc>
        <w:tc>
          <w:tcPr>
            <w:tcW w:w="236" w:type="dxa"/>
            <w:tcBorders>
              <w:top w:val="nil"/>
              <w:left w:val="nil"/>
              <w:bottom w:val="nil"/>
              <w:right w:val="nil"/>
            </w:tcBorders>
            <w:shd w:val="clear" w:color="FFFFFF" w:fill="FFFFFF"/>
            <w:noWrap/>
            <w:vAlign w:val="bottom"/>
            <w:hideMark/>
          </w:tcPr>
          <w:p w14:paraId="6D4A1345"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4DD220BF" w14:textId="77777777" w:rsidR="00C32CBD" w:rsidRDefault="00C32CBD" w:rsidP="00320D09">
            <w:pPr>
              <w:jc w:val="right"/>
              <w:rPr>
                <w:rFonts w:cs="Arial"/>
                <w:sz w:val="18"/>
                <w:szCs w:val="18"/>
              </w:rPr>
            </w:pPr>
            <w:r>
              <w:rPr>
                <w:rFonts w:cs="Arial"/>
                <w:sz w:val="18"/>
                <w:szCs w:val="18"/>
              </w:rPr>
              <w:t>33,194</w:t>
            </w:r>
          </w:p>
        </w:tc>
      </w:tr>
      <w:tr w:rsidR="00C32CBD" w14:paraId="4842B31C" w14:textId="77777777" w:rsidTr="00320D09">
        <w:trPr>
          <w:trHeight w:val="255"/>
        </w:trPr>
        <w:tc>
          <w:tcPr>
            <w:tcW w:w="6353" w:type="dxa"/>
            <w:tcBorders>
              <w:top w:val="nil"/>
              <w:left w:val="nil"/>
              <w:bottom w:val="nil"/>
              <w:right w:val="nil"/>
            </w:tcBorders>
            <w:shd w:val="clear" w:color="FFFFFF" w:fill="FFFFFF"/>
            <w:vAlign w:val="bottom"/>
            <w:hideMark/>
          </w:tcPr>
          <w:p w14:paraId="3DFF4900" w14:textId="77777777" w:rsidR="00C32CBD" w:rsidRDefault="00C32CBD" w:rsidP="00320D09">
            <w:pPr>
              <w:rPr>
                <w:rFonts w:cs="Arial"/>
                <w:b/>
                <w:bCs/>
                <w:sz w:val="18"/>
                <w:szCs w:val="18"/>
              </w:rPr>
            </w:pPr>
            <w:r>
              <w:rPr>
                <w:rFonts w:cs="Arial"/>
                <w:b/>
                <w:bCs/>
                <w:sz w:val="18"/>
                <w:szCs w:val="18"/>
              </w:rPr>
              <w:t>Total other financial assets</w:t>
            </w:r>
          </w:p>
        </w:tc>
        <w:tc>
          <w:tcPr>
            <w:tcW w:w="1249" w:type="dxa"/>
            <w:tcBorders>
              <w:top w:val="single" w:sz="4" w:space="0" w:color="auto"/>
              <w:left w:val="nil"/>
              <w:bottom w:val="single" w:sz="4" w:space="0" w:color="auto"/>
              <w:right w:val="nil"/>
            </w:tcBorders>
            <w:shd w:val="clear" w:color="FFFFFF" w:fill="FFFFFF"/>
            <w:noWrap/>
            <w:vAlign w:val="bottom"/>
            <w:hideMark/>
          </w:tcPr>
          <w:p w14:paraId="05A054F4" w14:textId="77777777" w:rsidR="00C32CBD" w:rsidRDefault="00C32CBD" w:rsidP="00320D09">
            <w:pPr>
              <w:jc w:val="right"/>
              <w:rPr>
                <w:rFonts w:cs="Arial"/>
                <w:b/>
                <w:bCs/>
                <w:sz w:val="18"/>
                <w:szCs w:val="18"/>
              </w:rPr>
            </w:pPr>
            <w:r>
              <w:rPr>
                <w:rFonts w:cs="Arial"/>
                <w:b/>
                <w:bCs/>
                <w:sz w:val="18"/>
                <w:szCs w:val="18"/>
              </w:rPr>
              <w:t>-</w:t>
            </w:r>
          </w:p>
        </w:tc>
        <w:tc>
          <w:tcPr>
            <w:tcW w:w="236" w:type="dxa"/>
            <w:tcBorders>
              <w:top w:val="nil"/>
              <w:left w:val="nil"/>
              <w:bottom w:val="nil"/>
              <w:right w:val="nil"/>
            </w:tcBorders>
            <w:shd w:val="clear" w:color="FFFFFF" w:fill="FFFFFF"/>
            <w:noWrap/>
            <w:vAlign w:val="bottom"/>
            <w:hideMark/>
          </w:tcPr>
          <w:p w14:paraId="72E7C0D8" w14:textId="77777777" w:rsidR="00C32CBD" w:rsidRDefault="00C32CBD" w:rsidP="00320D09">
            <w:pPr>
              <w:rPr>
                <w:rFonts w:cs="Arial"/>
                <w:sz w:val="18"/>
                <w:szCs w:val="18"/>
              </w:rPr>
            </w:pPr>
            <w:r>
              <w:rPr>
                <w:rFonts w:cs="Arial"/>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3FDE251D" w14:textId="77777777" w:rsidR="00C32CBD" w:rsidRDefault="00C32CBD" w:rsidP="00320D09">
            <w:pPr>
              <w:jc w:val="right"/>
              <w:rPr>
                <w:rFonts w:cs="Arial"/>
                <w:sz w:val="18"/>
                <w:szCs w:val="18"/>
              </w:rPr>
            </w:pPr>
            <w:r>
              <w:rPr>
                <w:rFonts w:cs="Arial"/>
                <w:sz w:val="18"/>
                <w:szCs w:val="18"/>
              </w:rPr>
              <w:t>33,194</w:t>
            </w:r>
          </w:p>
        </w:tc>
      </w:tr>
      <w:tr w:rsidR="00C32CBD" w14:paraId="023056FA" w14:textId="77777777" w:rsidTr="00320D09">
        <w:trPr>
          <w:trHeight w:val="255"/>
        </w:trPr>
        <w:tc>
          <w:tcPr>
            <w:tcW w:w="6353" w:type="dxa"/>
            <w:tcBorders>
              <w:top w:val="nil"/>
              <w:left w:val="nil"/>
              <w:bottom w:val="nil"/>
              <w:right w:val="nil"/>
            </w:tcBorders>
            <w:shd w:val="clear" w:color="FFFFFF" w:fill="FFFFFF"/>
            <w:noWrap/>
            <w:vAlign w:val="bottom"/>
            <w:hideMark/>
          </w:tcPr>
          <w:p w14:paraId="41DE1063"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7F279049"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2BD7370F"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7A67FBB5" w14:textId="77777777" w:rsidR="00C32CBD" w:rsidRDefault="00C32CBD" w:rsidP="00320D09">
            <w:pPr>
              <w:rPr>
                <w:rFonts w:cs="Arial"/>
                <w:sz w:val="18"/>
                <w:szCs w:val="18"/>
              </w:rPr>
            </w:pPr>
            <w:r>
              <w:rPr>
                <w:rFonts w:cs="Arial"/>
                <w:sz w:val="18"/>
                <w:szCs w:val="18"/>
              </w:rPr>
              <w:t> </w:t>
            </w:r>
          </w:p>
        </w:tc>
      </w:tr>
      <w:tr w:rsidR="00C32CBD" w14:paraId="4C07A798" w14:textId="77777777" w:rsidTr="00320D09">
        <w:trPr>
          <w:trHeight w:val="255"/>
        </w:trPr>
        <w:tc>
          <w:tcPr>
            <w:tcW w:w="6353" w:type="dxa"/>
            <w:tcBorders>
              <w:top w:val="nil"/>
              <w:left w:val="nil"/>
              <w:bottom w:val="nil"/>
              <w:right w:val="nil"/>
            </w:tcBorders>
            <w:shd w:val="clear" w:color="FFFFFF" w:fill="FFFFFF"/>
            <w:vAlign w:val="bottom"/>
            <w:hideMark/>
          </w:tcPr>
          <w:p w14:paraId="138570FE" w14:textId="77777777" w:rsidR="00C32CBD" w:rsidRDefault="00C32CBD" w:rsidP="00320D09">
            <w:pPr>
              <w:rPr>
                <w:rFonts w:cs="Arial"/>
                <w:sz w:val="18"/>
                <w:szCs w:val="18"/>
              </w:rPr>
            </w:pPr>
            <w:r>
              <w:rPr>
                <w:rFonts w:cs="Arial"/>
                <w:sz w:val="18"/>
                <w:szCs w:val="18"/>
              </w:rPr>
              <w:t>Total other financial assets - are expected to be recovered in:</w:t>
            </w:r>
          </w:p>
        </w:tc>
        <w:tc>
          <w:tcPr>
            <w:tcW w:w="1249" w:type="dxa"/>
            <w:tcBorders>
              <w:top w:val="nil"/>
              <w:left w:val="nil"/>
              <w:bottom w:val="nil"/>
              <w:right w:val="nil"/>
            </w:tcBorders>
            <w:shd w:val="clear" w:color="FFFFFF" w:fill="FFFFFF"/>
            <w:noWrap/>
            <w:vAlign w:val="bottom"/>
            <w:hideMark/>
          </w:tcPr>
          <w:p w14:paraId="014C6E49"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6C2F9EDD"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79EE74E6" w14:textId="77777777" w:rsidR="00C32CBD" w:rsidRDefault="00C32CBD" w:rsidP="00320D09">
            <w:pPr>
              <w:rPr>
                <w:rFonts w:cs="Arial"/>
                <w:sz w:val="18"/>
                <w:szCs w:val="18"/>
              </w:rPr>
            </w:pPr>
            <w:r>
              <w:rPr>
                <w:rFonts w:cs="Arial"/>
                <w:sz w:val="18"/>
                <w:szCs w:val="18"/>
              </w:rPr>
              <w:t> </w:t>
            </w:r>
          </w:p>
        </w:tc>
      </w:tr>
      <w:tr w:rsidR="00C32CBD" w14:paraId="2C63C232" w14:textId="77777777" w:rsidTr="00320D09">
        <w:trPr>
          <w:trHeight w:val="255"/>
        </w:trPr>
        <w:tc>
          <w:tcPr>
            <w:tcW w:w="6353" w:type="dxa"/>
            <w:tcBorders>
              <w:top w:val="nil"/>
              <w:left w:val="nil"/>
              <w:bottom w:val="nil"/>
              <w:right w:val="nil"/>
            </w:tcBorders>
            <w:shd w:val="clear" w:color="FFFFFF" w:fill="FFFFFF"/>
            <w:noWrap/>
            <w:vAlign w:val="bottom"/>
            <w:hideMark/>
          </w:tcPr>
          <w:p w14:paraId="5CB55ECA" w14:textId="77777777" w:rsidR="00C32CBD" w:rsidRDefault="00C32CBD" w:rsidP="00320D09">
            <w:pPr>
              <w:ind w:firstLineChars="100" w:firstLine="180"/>
              <w:rPr>
                <w:rFonts w:cs="Arial"/>
                <w:sz w:val="18"/>
                <w:szCs w:val="18"/>
              </w:rPr>
            </w:pPr>
            <w:r>
              <w:rPr>
                <w:rFonts w:cs="Arial"/>
                <w:sz w:val="18"/>
                <w:szCs w:val="18"/>
              </w:rPr>
              <w:t>No more than 12 months</w:t>
            </w:r>
          </w:p>
        </w:tc>
        <w:tc>
          <w:tcPr>
            <w:tcW w:w="1249" w:type="dxa"/>
            <w:tcBorders>
              <w:top w:val="nil"/>
              <w:left w:val="nil"/>
              <w:bottom w:val="nil"/>
              <w:right w:val="nil"/>
            </w:tcBorders>
            <w:shd w:val="clear" w:color="FFFFFF" w:fill="FFFFFF"/>
            <w:noWrap/>
            <w:vAlign w:val="bottom"/>
            <w:hideMark/>
          </w:tcPr>
          <w:p w14:paraId="35024CCA" w14:textId="77777777" w:rsidR="00C32CBD" w:rsidRDefault="00C32CBD" w:rsidP="00320D09">
            <w:pPr>
              <w:jc w:val="right"/>
              <w:rPr>
                <w:rFonts w:cs="Arial"/>
                <w:b/>
                <w:bCs/>
                <w:sz w:val="18"/>
                <w:szCs w:val="18"/>
              </w:rPr>
            </w:pPr>
            <w:r>
              <w:rPr>
                <w:rFonts w:cs="Arial"/>
                <w:b/>
                <w:bCs/>
                <w:sz w:val="18"/>
                <w:szCs w:val="18"/>
              </w:rPr>
              <w:t>-</w:t>
            </w:r>
          </w:p>
        </w:tc>
        <w:tc>
          <w:tcPr>
            <w:tcW w:w="236" w:type="dxa"/>
            <w:tcBorders>
              <w:top w:val="nil"/>
              <w:left w:val="nil"/>
              <w:bottom w:val="nil"/>
              <w:right w:val="nil"/>
            </w:tcBorders>
            <w:shd w:val="clear" w:color="FFFFFF" w:fill="FFFFFF"/>
            <w:noWrap/>
            <w:vAlign w:val="bottom"/>
            <w:hideMark/>
          </w:tcPr>
          <w:p w14:paraId="3448C051"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6606C295" w14:textId="77777777" w:rsidR="00C32CBD" w:rsidRDefault="00C32CBD" w:rsidP="00320D09">
            <w:pPr>
              <w:jc w:val="right"/>
              <w:rPr>
                <w:rFonts w:cs="Arial"/>
                <w:sz w:val="18"/>
                <w:szCs w:val="18"/>
              </w:rPr>
            </w:pPr>
            <w:r>
              <w:rPr>
                <w:rFonts w:cs="Arial"/>
                <w:sz w:val="18"/>
                <w:szCs w:val="18"/>
              </w:rPr>
              <w:t>33,194</w:t>
            </w:r>
          </w:p>
        </w:tc>
      </w:tr>
      <w:tr w:rsidR="00C32CBD" w14:paraId="43580EDA" w14:textId="77777777" w:rsidTr="00320D09">
        <w:trPr>
          <w:trHeight w:val="255"/>
        </w:trPr>
        <w:tc>
          <w:tcPr>
            <w:tcW w:w="6353" w:type="dxa"/>
            <w:tcBorders>
              <w:top w:val="nil"/>
              <w:left w:val="nil"/>
              <w:bottom w:val="nil"/>
              <w:right w:val="nil"/>
            </w:tcBorders>
            <w:shd w:val="clear" w:color="FFFFFF" w:fill="FFFFFF"/>
            <w:vAlign w:val="bottom"/>
            <w:hideMark/>
          </w:tcPr>
          <w:p w14:paraId="0A1DB981" w14:textId="77777777" w:rsidR="00C32CBD" w:rsidRDefault="00C32CBD" w:rsidP="00320D09">
            <w:pPr>
              <w:rPr>
                <w:rFonts w:cs="Arial"/>
                <w:b/>
                <w:bCs/>
                <w:sz w:val="18"/>
                <w:szCs w:val="18"/>
              </w:rPr>
            </w:pPr>
            <w:r>
              <w:rPr>
                <w:rFonts w:cs="Arial"/>
                <w:b/>
                <w:bCs/>
                <w:sz w:val="18"/>
                <w:szCs w:val="18"/>
              </w:rPr>
              <w:t>Total other financial assets</w:t>
            </w:r>
          </w:p>
        </w:tc>
        <w:tc>
          <w:tcPr>
            <w:tcW w:w="1249" w:type="dxa"/>
            <w:tcBorders>
              <w:top w:val="single" w:sz="4" w:space="0" w:color="auto"/>
              <w:left w:val="nil"/>
              <w:bottom w:val="single" w:sz="4" w:space="0" w:color="auto"/>
              <w:right w:val="nil"/>
            </w:tcBorders>
            <w:shd w:val="clear" w:color="FFFFFF" w:fill="FFFFFF"/>
            <w:noWrap/>
            <w:vAlign w:val="bottom"/>
            <w:hideMark/>
          </w:tcPr>
          <w:p w14:paraId="31624C53" w14:textId="77777777" w:rsidR="00C32CBD" w:rsidRDefault="00C32CBD" w:rsidP="00320D09">
            <w:pPr>
              <w:jc w:val="right"/>
              <w:rPr>
                <w:rFonts w:cs="Arial"/>
                <w:b/>
                <w:bCs/>
                <w:sz w:val="18"/>
                <w:szCs w:val="18"/>
              </w:rPr>
            </w:pPr>
            <w:r>
              <w:rPr>
                <w:rFonts w:cs="Arial"/>
                <w:b/>
                <w:bCs/>
                <w:sz w:val="18"/>
                <w:szCs w:val="18"/>
              </w:rPr>
              <w:t>-</w:t>
            </w:r>
          </w:p>
        </w:tc>
        <w:tc>
          <w:tcPr>
            <w:tcW w:w="236" w:type="dxa"/>
            <w:tcBorders>
              <w:top w:val="nil"/>
              <w:left w:val="nil"/>
              <w:bottom w:val="nil"/>
              <w:right w:val="nil"/>
            </w:tcBorders>
            <w:shd w:val="clear" w:color="FFFFFF" w:fill="FFFFFF"/>
            <w:noWrap/>
            <w:vAlign w:val="bottom"/>
            <w:hideMark/>
          </w:tcPr>
          <w:p w14:paraId="2316EA6A" w14:textId="77777777" w:rsidR="00C32CBD" w:rsidRDefault="00C32CBD" w:rsidP="00320D09">
            <w:pPr>
              <w:rPr>
                <w:rFonts w:cs="Arial"/>
                <w:sz w:val="18"/>
                <w:szCs w:val="18"/>
              </w:rPr>
            </w:pPr>
            <w:r>
              <w:rPr>
                <w:rFonts w:cs="Arial"/>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412BAB51" w14:textId="77777777" w:rsidR="00C32CBD" w:rsidRDefault="00C32CBD" w:rsidP="00320D09">
            <w:pPr>
              <w:jc w:val="right"/>
              <w:rPr>
                <w:rFonts w:cs="Arial"/>
                <w:sz w:val="18"/>
                <w:szCs w:val="18"/>
              </w:rPr>
            </w:pPr>
            <w:r>
              <w:rPr>
                <w:rFonts w:cs="Arial"/>
                <w:sz w:val="18"/>
                <w:szCs w:val="18"/>
              </w:rPr>
              <w:t>33,194</w:t>
            </w:r>
          </w:p>
        </w:tc>
      </w:tr>
    </w:tbl>
    <w:p w14:paraId="243EA587" w14:textId="77777777" w:rsidR="00C32CBD" w:rsidRDefault="00C32CBD" w:rsidP="00C32CBD">
      <w:pPr>
        <w:spacing w:line="240" w:lineRule="auto"/>
        <w:rPr>
          <w:rFonts w:cs="Arial"/>
          <w:sz w:val="18"/>
          <w:szCs w:val="18"/>
        </w:rPr>
      </w:pPr>
    </w:p>
    <w:p w14:paraId="1260E7D7" w14:textId="77777777" w:rsidR="00C32CBD" w:rsidRDefault="00C32CBD" w:rsidP="00C32CBD">
      <w:pPr>
        <w:spacing w:line="240" w:lineRule="auto"/>
        <w:rPr>
          <w:rFonts w:cs="Arial"/>
          <w:sz w:val="18"/>
          <w:szCs w:val="18"/>
        </w:rPr>
      </w:pPr>
    </w:p>
    <w:p w14:paraId="2AAAD4A2" w14:textId="77777777" w:rsidR="00C32CBD" w:rsidRPr="00F47522" w:rsidRDefault="00C32CBD" w:rsidP="00C32CBD">
      <w:pPr>
        <w:pStyle w:val="PolicytextDept"/>
        <w:rPr>
          <w:b/>
        </w:rPr>
      </w:pPr>
      <w:r w:rsidRPr="00F47522">
        <w:rPr>
          <w:b/>
        </w:rPr>
        <w:t>Accounting Policy</w:t>
      </w:r>
    </w:p>
    <w:p w14:paraId="76AC2729" w14:textId="77777777" w:rsidR="00C32CBD" w:rsidRPr="00F47522" w:rsidRDefault="00C32CBD" w:rsidP="00C32CBD">
      <w:pPr>
        <w:pStyle w:val="PolicytextDept"/>
        <w:rPr>
          <w:lang w:eastAsia="en-AU"/>
        </w:rPr>
      </w:pPr>
      <w:r w:rsidRPr="00F47522">
        <w:rPr>
          <w:lang w:eastAsia="en-AU"/>
        </w:rPr>
        <w:t>The Agency classifies all of its financial assets owing to their nature and purpose at the time of recognition.  Financial assets are recognised and derecognis</w:t>
      </w:r>
      <w:r>
        <w:rPr>
          <w:lang w:eastAsia="en-AU"/>
        </w:rPr>
        <w:t xml:space="preserve">ed upon trade date. </w:t>
      </w:r>
      <w:r w:rsidRPr="00F47522">
        <w:rPr>
          <w:lang w:eastAsia="en-AU"/>
        </w:rPr>
        <w:tab/>
      </w:r>
    </w:p>
    <w:p w14:paraId="456747B4" w14:textId="77777777" w:rsidR="00C32CBD" w:rsidRPr="00F47522" w:rsidRDefault="00C32CBD" w:rsidP="00C32CBD">
      <w:pPr>
        <w:pStyle w:val="PolicytextDept"/>
        <w:rPr>
          <w:i/>
          <w:iCs/>
          <w:u w:val="single"/>
          <w:lang w:eastAsia="en-AU"/>
        </w:rPr>
      </w:pPr>
      <w:r w:rsidRPr="00F47522">
        <w:rPr>
          <w:i/>
          <w:iCs/>
          <w:u w:val="single"/>
          <w:lang w:eastAsia="en-AU"/>
        </w:rPr>
        <w:t>Loans and receivables</w:t>
      </w:r>
    </w:p>
    <w:p w14:paraId="2636AF51" w14:textId="77777777" w:rsidR="00C32CBD" w:rsidRDefault="00C32CBD" w:rsidP="00C32CBD">
      <w:pPr>
        <w:pStyle w:val="PolicytextDept"/>
        <w:rPr>
          <w:lang w:eastAsia="en-AU"/>
        </w:rPr>
      </w:pPr>
      <w:r w:rsidRPr="00F47522">
        <w:rPr>
          <w:lang w:eastAsia="en-AU"/>
        </w:rPr>
        <w:t>Trade receivables, loans and other receivables that have fixed or determinable payments that are not quoted in an active market are classified as ‘loans and receivables’ and are measured at amortised cost using the effective interest method less impairment. Interest is recognised by applying the effective interest rate.</w:t>
      </w:r>
    </w:p>
    <w:p w14:paraId="1AF0719F" w14:textId="77777777" w:rsidR="00C32CBD" w:rsidRPr="00E51BD8" w:rsidRDefault="00C32CBD" w:rsidP="00C32CBD">
      <w:pPr>
        <w:pStyle w:val="PolicytextDept"/>
        <w:rPr>
          <w:i/>
          <w:iCs/>
          <w:u w:val="single"/>
          <w:lang w:eastAsia="en-AU"/>
        </w:rPr>
      </w:pPr>
      <w:r w:rsidRPr="00E51BD8">
        <w:rPr>
          <w:i/>
          <w:iCs/>
          <w:u w:val="single"/>
          <w:lang w:eastAsia="en-AU"/>
        </w:rPr>
        <w:t>Held-to-maturity investments</w:t>
      </w:r>
    </w:p>
    <w:p w14:paraId="1543A746" w14:textId="77777777" w:rsidR="00C32CBD" w:rsidRDefault="00C32CBD" w:rsidP="00C32CBD">
      <w:pPr>
        <w:pStyle w:val="PolicytextDept"/>
        <w:rPr>
          <w:lang w:eastAsia="en-AU"/>
        </w:rPr>
      </w:pPr>
      <w:r>
        <w:rPr>
          <w:lang w:eastAsia="en-AU"/>
        </w:rPr>
        <w:t>Non-derivative financial assets with fixed or determinable payments and fixed maturity dates that the Agency has the positive intent and ability to hold to maturity are classified as held-to-maturity investments. Held-to-maturity investments are recorded at amortised cost using the effective interest method less impairment, with revenue recognised on an effective yield basis. The Agency classifies other investments as held-to-maturity.</w:t>
      </w:r>
    </w:p>
    <w:p w14:paraId="5F74D8FB" w14:textId="72972F14" w:rsidR="00C32CBD" w:rsidRPr="00F47522" w:rsidRDefault="00C32CBD" w:rsidP="00C32CBD">
      <w:pPr>
        <w:pStyle w:val="PolicytextDept"/>
        <w:rPr>
          <w:lang w:eastAsia="en-AU"/>
        </w:rPr>
      </w:pPr>
      <w:r>
        <w:rPr>
          <w:lang w:eastAsia="en-AU"/>
        </w:rPr>
        <w:t xml:space="preserve">The Agency held-to-maturity investments are recognised in the Statement of Financial Position as term deposits and have been disclosed in note 2.1A. At </w:t>
      </w:r>
      <w:r w:rsidR="005A6C9B" w:rsidRPr="005A6C9B">
        <w:t xml:space="preserve">30 June 2017 </w:t>
      </w:r>
      <w:r w:rsidR="001210F6">
        <w:t>t</w:t>
      </w:r>
      <w:r>
        <w:rPr>
          <w:lang w:eastAsia="en-AU"/>
        </w:rPr>
        <w:t>here are eleven term deposits maturing at different dates within the next three months. Interest rates range from 2.41% to 2.51%, payable upon maturity.</w:t>
      </w:r>
    </w:p>
    <w:p w14:paraId="20B50A00" w14:textId="77777777" w:rsidR="00C32CBD" w:rsidRPr="00F47522" w:rsidRDefault="00C32CBD" w:rsidP="00C32CBD">
      <w:pPr>
        <w:pStyle w:val="PolicytextDept"/>
        <w:rPr>
          <w:i/>
          <w:iCs/>
          <w:u w:val="single"/>
          <w:lang w:eastAsia="en-AU"/>
        </w:rPr>
      </w:pPr>
      <w:r w:rsidRPr="00F47522">
        <w:rPr>
          <w:i/>
          <w:iCs/>
          <w:u w:val="single"/>
          <w:lang w:eastAsia="en-AU"/>
        </w:rPr>
        <w:t>Effective interest method</w:t>
      </w:r>
    </w:p>
    <w:p w14:paraId="5C4D5C4B" w14:textId="77777777" w:rsidR="00C32CBD" w:rsidRPr="00F47522" w:rsidRDefault="00C32CBD" w:rsidP="00C32CBD">
      <w:pPr>
        <w:pStyle w:val="PolicytextDept"/>
        <w:rPr>
          <w:i/>
          <w:lang w:eastAsia="en-AU"/>
        </w:rPr>
      </w:pPr>
      <w:r w:rsidRPr="00F47522">
        <w:rPr>
          <w:lang w:eastAsia="en-AU"/>
        </w:rPr>
        <w:t>Interest income is recognised on an effective interest rate basis. The effective interest method is a method of calculating the amortised cost of a financial instrument and allocating interest income over the relevant period.  The effective interest rate is the rate that exactly discounts estimated future cash receipts through the expected life of the financial instrument, or, where appropriate, a shorter period.</w:t>
      </w:r>
    </w:p>
    <w:p w14:paraId="1EDA8F3A" w14:textId="77777777" w:rsidR="00C32CBD" w:rsidRPr="00F47522" w:rsidRDefault="00C32CBD" w:rsidP="00C32CBD">
      <w:pPr>
        <w:pStyle w:val="PolicytextDept"/>
        <w:rPr>
          <w:i/>
          <w:u w:val="single"/>
          <w:lang w:eastAsia="en-AU"/>
        </w:rPr>
      </w:pPr>
      <w:r w:rsidRPr="00F47522">
        <w:rPr>
          <w:i/>
          <w:u w:val="single"/>
          <w:lang w:eastAsia="en-AU"/>
        </w:rPr>
        <w:t>Impairment of financial assets</w:t>
      </w:r>
    </w:p>
    <w:p w14:paraId="41B55FB7" w14:textId="77777777" w:rsidR="00C32CBD" w:rsidRPr="00F47522" w:rsidRDefault="00C32CBD" w:rsidP="00C32CBD">
      <w:pPr>
        <w:pStyle w:val="PolicytextDept"/>
        <w:rPr>
          <w:lang w:eastAsia="en-AU"/>
        </w:rPr>
      </w:pPr>
      <w:r w:rsidRPr="00F47522">
        <w:rPr>
          <w:i/>
          <w:iCs/>
          <w:lang w:eastAsia="en-AU"/>
        </w:rPr>
        <w:t xml:space="preserve">Financial assets impairment </w:t>
      </w:r>
      <w:r w:rsidRPr="00F47522">
        <w:rPr>
          <w:lang w:eastAsia="en-AU"/>
        </w:rPr>
        <w:t>- financial assets are assessed for impairment at the end of each reporting period.</w:t>
      </w:r>
    </w:p>
    <w:p w14:paraId="6625B96F" w14:textId="77777777" w:rsidR="00C32CBD" w:rsidRPr="00F47522" w:rsidRDefault="00C32CBD" w:rsidP="00C32CBD">
      <w:pPr>
        <w:pStyle w:val="PolicytextDept"/>
        <w:rPr>
          <w:lang w:eastAsia="en-AU"/>
        </w:rPr>
      </w:pPr>
      <w:r w:rsidRPr="00F47522">
        <w:rPr>
          <w:i/>
          <w:iCs/>
          <w:lang w:eastAsia="en-AU"/>
        </w:rPr>
        <w:t>Financial assets carried at amortised cost</w:t>
      </w:r>
      <w:r w:rsidRPr="00F47522">
        <w:rPr>
          <w:lang w:eastAsia="en-AU"/>
        </w:rPr>
        <w:t xml:space="preserve"> - if there is objective evidence that an impairment loss has been incurred for loans and receivables or held to maturity investments held at amortised cost, the amount of the loss is measured as the difference between the asset’s carrying amount and the present value of estimated future cash flows discounted at the asset’s original effective interest rate. The carrying amount is reduced by way of an</w:t>
      </w:r>
      <w:r>
        <w:rPr>
          <w:lang w:eastAsia="en-AU"/>
        </w:rPr>
        <w:t xml:space="preserve"> impairment</w:t>
      </w:r>
      <w:r w:rsidRPr="00F47522">
        <w:rPr>
          <w:lang w:eastAsia="en-AU"/>
        </w:rPr>
        <w:t xml:space="preserve"> allowance.  The loss is recognised in the Statement of Comprehensive Income.</w:t>
      </w:r>
    </w:p>
    <w:p w14:paraId="5047BBE1" w14:textId="77777777" w:rsidR="00C32CBD" w:rsidRDefault="00C32CBD" w:rsidP="00C32CBD">
      <w:pPr>
        <w:pStyle w:val="PolicytextDept"/>
        <w:rPr>
          <w:lang w:eastAsia="en-AU"/>
        </w:rPr>
        <w:sectPr w:rsidR="00C32CBD" w:rsidSect="00320D09">
          <w:pgSz w:w="11906" w:h="16838" w:code="9"/>
          <w:pgMar w:top="1134" w:right="1701" w:bottom="1134" w:left="1134" w:header="958" w:footer="737" w:gutter="0"/>
          <w:cols w:space="708"/>
          <w:docGrid w:linePitch="360"/>
        </w:sectPr>
      </w:pPr>
    </w:p>
    <w:p w14:paraId="6AFF776F" w14:textId="77777777" w:rsidR="00C32CBD" w:rsidRDefault="00C32CBD" w:rsidP="00C32CBD">
      <w:pPr>
        <w:pStyle w:val="SubHeading"/>
      </w:pPr>
      <w:bookmarkStart w:id="146" w:name="_Toc443469530"/>
      <w:bookmarkStart w:id="147" w:name="_Toc443577404"/>
      <w:bookmarkStart w:id="148" w:name="_Toc445194082"/>
      <w:bookmarkStart w:id="149" w:name="_Toc447030540"/>
      <w:bookmarkStart w:id="150" w:name="_Toc447030692"/>
      <w:bookmarkStart w:id="151" w:name="_Toc447030785"/>
      <w:bookmarkStart w:id="152" w:name="_Toc456865059"/>
      <w:bookmarkStart w:id="153" w:name="_Toc496611902"/>
      <w:r w:rsidRPr="005D6360">
        <w:t>Non-Financial Assets</w:t>
      </w:r>
      <w:bookmarkEnd w:id="146"/>
      <w:bookmarkEnd w:id="147"/>
      <w:bookmarkEnd w:id="148"/>
      <w:bookmarkEnd w:id="149"/>
      <w:bookmarkEnd w:id="150"/>
      <w:bookmarkEnd w:id="151"/>
      <w:bookmarkEnd w:id="152"/>
      <w:bookmarkEnd w:id="153"/>
    </w:p>
    <w:tbl>
      <w:tblPr>
        <w:tblW w:w="13991" w:type="dxa"/>
        <w:tblInd w:w="80" w:type="dxa"/>
        <w:tblLayout w:type="fixed"/>
        <w:tblLook w:val="04A0" w:firstRow="1" w:lastRow="0" w:firstColumn="1" w:lastColumn="0" w:noHBand="0" w:noVBand="1"/>
      </w:tblPr>
      <w:tblGrid>
        <w:gridCol w:w="6441"/>
        <w:gridCol w:w="2126"/>
        <w:gridCol w:w="1985"/>
        <w:gridCol w:w="2015"/>
        <w:gridCol w:w="1424"/>
      </w:tblGrid>
      <w:tr w:rsidR="00C32CBD" w14:paraId="5B813082" w14:textId="77777777" w:rsidTr="00320D09">
        <w:trPr>
          <w:trHeight w:val="255"/>
        </w:trPr>
        <w:tc>
          <w:tcPr>
            <w:tcW w:w="10552" w:type="dxa"/>
            <w:gridSpan w:val="3"/>
            <w:tcBorders>
              <w:top w:val="nil"/>
              <w:left w:val="nil"/>
              <w:bottom w:val="nil"/>
              <w:right w:val="nil"/>
            </w:tcBorders>
            <w:shd w:val="clear" w:color="FFFFFF" w:fill="FFFFFF"/>
            <w:noWrap/>
            <w:vAlign w:val="bottom"/>
            <w:hideMark/>
          </w:tcPr>
          <w:p w14:paraId="6595CF37" w14:textId="77777777" w:rsidR="00C32CBD" w:rsidRDefault="00C32CBD" w:rsidP="00320D09">
            <w:pPr>
              <w:rPr>
                <w:rFonts w:cs="Arial"/>
                <w:b/>
                <w:bCs/>
                <w:sz w:val="18"/>
                <w:szCs w:val="18"/>
                <w:u w:val="single"/>
              </w:rPr>
            </w:pPr>
            <w:bookmarkStart w:id="154" w:name="Note_MTATABLE1" w:colFirst="0" w:colLast="0"/>
            <w:r>
              <w:rPr>
                <w:rFonts w:cs="Arial"/>
                <w:b/>
                <w:bCs/>
                <w:sz w:val="18"/>
                <w:szCs w:val="18"/>
                <w:u w:val="single"/>
              </w:rPr>
              <w:t>Note 2.2A: Reconciliation of the opening and closing balances of property, plant and equipment and intangibles for 2017</w:t>
            </w:r>
          </w:p>
        </w:tc>
        <w:tc>
          <w:tcPr>
            <w:tcW w:w="2015" w:type="dxa"/>
            <w:tcBorders>
              <w:top w:val="nil"/>
              <w:left w:val="nil"/>
              <w:bottom w:val="nil"/>
              <w:right w:val="nil"/>
            </w:tcBorders>
            <w:shd w:val="clear" w:color="FFFFFF" w:fill="FFFFFF"/>
            <w:noWrap/>
            <w:vAlign w:val="bottom"/>
            <w:hideMark/>
          </w:tcPr>
          <w:p w14:paraId="3F3B4E6B" w14:textId="77777777" w:rsidR="00C32CBD" w:rsidRDefault="00C32CBD" w:rsidP="00320D09">
            <w:pPr>
              <w:rPr>
                <w:rFonts w:cs="Arial"/>
                <w:sz w:val="18"/>
                <w:szCs w:val="18"/>
              </w:rPr>
            </w:pPr>
            <w:r>
              <w:rPr>
                <w:rFonts w:cs="Arial"/>
                <w:sz w:val="18"/>
                <w:szCs w:val="18"/>
              </w:rPr>
              <w:t> </w:t>
            </w:r>
          </w:p>
        </w:tc>
        <w:tc>
          <w:tcPr>
            <w:tcW w:w="1424" w:type="dxa"/>
            <w:tcBorders>
              <w:top w:val="nil"/>
              <w:left w:val="nil"/>
              <w:bottom w:val="nil"/>
              <w:right w:val="nil"/>
            </w:tcBorders>
            <w:shd w:val="clear" w:color="FFFFFF" w:fill="FFFFFF"/>
            <w:noWrap/>
            <w:vAlign w:val="bottom"/>
            <w:hideMark/>
          </w:tcPr>
          <w:p w14:paraId="613C25C0" w14:textId="77777777" w:rsidR="00C32CBD" w:rsidRDefault="00C32CBD" w:rsidP="00320D09">
            <w:pPr>
              <w:rPr>
                <w:rFonts w:cs="Arial"/>
                <w:sz w:val="18"/>
                <w:szCs w:val="18"/>
              </w:rPr>
            </w:pPr>
            <w:r>
              <w:rPr>
                <w:rFonts w:cs="Arial"/>
                <w:sz w:val="18"/>
                <w:szCs w:val="18"/>
              </w:rPr>
              <w:t> </w:t>
            </w:r>
          </w:p>
        </w:tc>
      </w:tr>
      <w:bookmarkEnd w:id="154"/>
      <w:tr w:rsidR="00C32CBD" w14:paraId="3BE318CA" w14:textId="77777777" w:rsidTr="00320D09">
        <w:trPr>
          <w:trHeight w:val="255"/>
        </w:trPr>
        <w:tc>
          <w:tcPr>
            <w:tcW w:w="6441" w:type="dxa"/>
            <w:tcBorders>
              <w:top w:val="nil"/>
              <w:left w:val="nil"/>
              <w:bottom w:val="nil"/>
              <w:right w:val="nil"/>
            </w:tcBorders>
            <w:shd w:val="clear" w:color="FFFFFF" w:fill="FFFFFF"/>
            <w:noWrap/>
            <w:vAlign w:val="bottom"/>
            <w:hideMark/>
          </w:tcPr>
          <w:p w14:paraId="062ECB70" w14:textId="77777777" w:rsidR="00C32CBD" w:rsidRDefault="00C32CBD" w:rsidP="00320D09">
            <w:pPr>
              <w:rPr>
                <w:rFonts w:cs="Arial"/>
                <w:sz w:val="18"/>
                <w:szCs w:val="18"/>
              </w:rPr>
            </w:pPr>
            <w:r>
              <w:rPr>
                <w:rFonts w:cs="Arial"/>
                <w:sz w:val="18"/>
                <w:szCs w:val="18"/>
              </w:rPr>
              <w:t> </w:t>
            </w:r>
          </w:p>
        </w:tc>
        <w:tc>
          <w:tcPr>
            <w:tcW w:w="2126" w:type="dxa"/>
            <w:tcBorders>
              <w:top w:val="nil"/>
              <w:left w:val="nil"/>
              <w:bottom w:val="nil"/>
              <w:right w:val="nil"/>
            </w:tcBorders>
            <w:shd w:val="clear" w:color="FFFFFF" w:fill="FFFFFF"/>
            <w:noWrap/>
            <w:vAlign w:val="bottom"/>
            <w:hideMark/>
          </w:tcPr>
          <w:p w14:paraId="4C3F43DB" w14:textId="77777777" w:rsidR="00C32CBD" w:rsidRDefault="00C32CBD" w:rsidP="00320D09">
            <w:pPr>
              <w:rPr>
                <w:rFonts w:cs="Arial"/>
                <w:sz w:val="18"/>
                <w:szCs w:val="18"/>
              </w:rPr>
            </w:pPr>
            <w:r>
              <w:rPr>
                <w:rFonts w:cs="Arial"/>
                <w:sz w:val="18"/>
                <w:szCs w:val="18"/>
              </w:rPr>
              <w:t> </w:t>
            </w:r>
          </w:p>
        </w:tc>
        <w:tc>
          <w:tcPr>
            <w:tcW w:w="1985" w:type="dxa"/>
            <w:tcBorders>
              <w:top w:val="nil"/>
              <w:left w:val="nil"/>
              <w:bottom w:val="nil"/>
              <w:right w:val="nil"/>
            </w:tcBorders>
            <w:shd w:val="clear" w:color="FFFFFF" w:fill="FFFFFF"/>
            <w:noWrap/>
            <w:vAlign w:val="bottom"/>
            <w:hideMark/>
          </w:tcPr>
          <w:p w14:paraId="321AFCEE" w14:textId="77777777" w:rsidR="00C32CBD" w:rsidRDefault="00C32CBD" w:rsidP="00320D09">
            <w:pPr>
              <w:rPr>
                <w:rFonts w:cs="Arial"/>
                <w:sz w:val="18"/>
                <w:szCs w:val="18"/>
              </w:rPr>
            </w:pPr>
            <w:r>
              <w:rPr>
                <w:rFonts w:cs="Arial"/>
                <w:sz w:val="18"/>
                <w:szCs w:val="18"/>
              </w:rPr>
              <w:t> </w:t>
            </w:r>
          </w:p>
        </w:tc>
        <w:tc>
          <w:tcPr>
            <w:tcW w:w="2015" w:type="dxa"/>
            <w:tcBorders>
              <w:top w:val="nil"/>
              <w:left w:val="nil"/>
              <w:bottom w:val="nil"/>
              <w:right w:val="nil"/>
            </w:tcBorders>
            <w:shd w:val="clear" w:color="FFFFFF" w:fill="FFFFFF"/>
            <w:noWrap/>
            <w:vAlign w:val="bottom"/>
            <w:hideMark/>
          </w:tcPr>
          <w:p w14:paraId="5065FE2B" w14:textId="77777777" w:rsidR="00C32CBD" w:rsidRDefault="00C32CBD" w:rsidP="00320D09">
            <w:pPr>
              <w:rPr>
                <w:rFonts w:cs="Arial"/>
                <w:sz w:val="18"/>
                <w:szCs w:val="18"/>
              </w:rPr>
            </w:pPr>
            <w:r>
              <w:rPr>
                <w:rFonts w:cs="Arial"/>
                <w:sz w:val="18"/>
                <w:szCs w:val="18"/>
              </w:rPr>
              <w:t> </w:t>
            </w:r>
          </w:p>
        </w:tc>
        <w:tc>
          <w:tcPr>
            <w:tcW w:w="1424" w:type="dxa"/>
            <w:tcBorders>
              <w:top w:val="nil"/>
              <w:left w:val="nil"/>
              <w:bottom w:val="nil"/>
              <w:right w:val="nil"/>
            </w:tcBorders>
            <w:shd w:val="clear" w:color="FFFFFF" w:fill="FFFFFF"/>
            <w:noWrap/>
            <w:vAlign w:val="bottom"/>
            <w:hideMark/>
          </w:tcPr>
          <w:p w14:paraId="73D48AF0" w14:textId="77777777" w:rsidR="00C32CBD" w:rsidRDefault="00C32CBD" w:rsidP="00320D09">
            <w:pPr>
              <w:rPr>
                <w:rFonts w:cs="Arial"/>
                <w:sz w:val="18"/>
                <w:szCs w:val="18"/>
              </w:rPr>
            </w:pPr>
            <w:r>
              <w:rPr>
                <w:rFonts w:cs="Arial"/>
                <w:sz w:val="18"/>
                <w:szCs w:val="18"/>
              </w:rPr>
              <w:t> </w:t>
            </w:r>
          </w:p>
        </w:tc>
      </w:tr>
      <w:tr w:rsidR="00C32CBD" w14:paraId="489C6E93" w14:textId="77777777" w:rsidTr="00320D09">
        <w:trPr>
          <w:trHeight w:val="705"/>
        </w:trPr>
        <w:tc>
          <w:tcPr>
            <w:tcW w:w="6441" w:type="dxa"/>
            <w:tcBorders>
              <w:top w:val="single" w:sz="4" w:space="0" w:color="auto"/>
              <w:left w:val="nil"/>
              <w:bottom w:val="nil"/>
              <w:right w:val="nil"/>
            </w:tcBorders>
            <w:shd w:val="clear" w:color="FFFFFF" w:fill="FFFFFF"/>
            <w:noWrap/>
            <w:vAlign w:val="bottom"/>
            <w:hideMark/>
          </w:tcPr>
          <w:p w14:paraId="123AE41D" w14:textId="77777777" w:rsidR="00C32CBD" w:rsidRDefault="00C32CBD" w:rsidP="00320D09">
            <w:pPr>
              <w:rPr>
                <w:rFonts w:cs="Arial"/>
                <w:sz w:val="18"/>
                <w:szCs w:val="18"/>
              </w:rPr>
            </w:pPr>
            <w:r>
              <w:rPr>
                <w:rFonts w:cs="Arial"/>
                <w:sz w:val="18"/>
                <w:szCs w:val="18"/>
              </w:rPr>
              <w:t> </w:t>
            </w:r>
          </w:p>
        </w:tc>
        <w:tc>
          <w:tcPr>
            <w:tcW w:w="2126" w:type="dxa"/>
            <w:tcBorders>
              <w:top w:val="single" w:sz="4" w:space="0" w:color="auto"/>
              <w:left w:val="nil"/>
              <w:bottom w:val="nil"/>
              <w:right w:val="nil"/>
            </w:tcBorders>
            <w:shd w:val="clear" w:color="FFFFFF" w:fill="FFFFFF"/>
            <w:hideMark/>
          </w:tcPr>
          <w:p w14:paraId="784DE122" w14:textId="77777777" w:rsidR="00C32CBD" w:rsidRDefault="00C32CBD" w:rsidP="00320D09">
            <w:pPr>
              <w:jc w:val="right"/>
              <w:rPr>
                <w:rFonts w:cs="Arial"/>
                <w:b/>
                <w:bCs/>
                <w:sz w:val="18"/>
                <w:szCs w:val="18"/>
              </w:rPr>
            </w:pPr>
            <w:r>
              <w:rPr>
                <w:rFonts w:cs="Arial"/>
                <w:b/>
                <w:bCs/>
                <w:sz w:val="18"/>
                <w:szCs w:val="18"/>
              </w:rPr>
              <w:t>Buildings (leasehold improvements)</w:t>
            </w:r>
          </w:p>
        </w:tc>
        <w:tc>
          <w:tcPr>
            <w:tcW w:w="1985" w:type="dxa"/>
            <w:tcBorders>
              <w:top w:val="single" w:sz="4" w:space="0" w:color="auto"/>
              <w:left w:val="nil"/>
              <w:bottom w:val="nil"/>
              <w:right w:val="nil"/>
            </w:tcBorders>
            <w:shd w:val="clear" w:color="FFFFFF" w:fill="FFFFFF"/>
            <w:hideMark/>
          </w:tcPr>
          <w:p w14:paraId="5EC2C2D2" w14:textId="77777777" w:rsidR="00C32CBD" w:rsidRDefault="00C32CBD" w:rsidP="00320D09">
            <w:pPr>
              <w:jc w:val="right"/>
              <w:rPr>
                <w:rFonts w:cs="Arial"/>
                <w:b/>
                <w:bCs/>
                <w:sz w:val="18"/>
                <w:szCs w:val="18"/>
              </w:rPr>
            </w:pPr>
            <w:r>
              <w:rPr>
                <w:rFonts w:cs="Arial"/>
                <w:b/>
                <w:bCs/>
                <w:sz w:val="18"/>
                <w:szCs w:val="18"/>
              </w:rPr>
              <w:t>Property, plant &amp; equipment</w:t>
            </w:r>
          </w:p>
        </w:tc>
        <w:tc>
          <w:tcPr>
            <w:tcW w:w="2015" w:type="dxa"/>
            <w:tcBorders>
              <w:top w:val="single" w:sz="4" w:space="0" w:color="auto"/>
              <w:left w:val="nil"/>
              <w:bottom w:val="nil"/>
              <w:right w:val="nil"/>
            </w:tcBorders>
            <w:shd w:val="clear" w:color="FFFFFF" w:fill="FFFFFF"/>
            <w:vAlign w:val="bottom"/>
            <w:hideMark/>
          </w:tcPr>
          <w:p w14:paraId="70B8DAA9" w14:textId="77777777" w:rsidR="00C32CBD" w:rsidRDefault="00C32CBD" w:rsidP="00320D09">
            <w:pPr>
              <w:jc w:val="right"/>
              <w:rPr>
                <w:rFonts w:cs="Arial"/>
                <w:b/>
                <w:bCs/>
                <w:sz w:val="18"/>
                <w:szCs w:val="18"/>
              </w:rPr>
            </w:pPr>
            <w:r>
              <w:rPr>
                <w:rFonts w:cs="Arial"/>
                <w:b/>
                <w:bCs/>
                <w:sz w:val="18"/>
                <w:szCs w:val="18"/>
              </w:rPr>
              <w:t>Computer  software internally developed</w:t>
            </w:r>
          </w:p>
        </w:tc>
        <w:tc>
          <w:tcPr>
            <w:tcW w:w="1424" w:type="dxa"/>
            <w:tcBorders>
              <w:top w:val="single" w:sz="4" w:space="0" w:color="auto"/>
              <w:left w:val="nil"/>
              <w:bottom w:val="nil"/>
              <w:right w:val="nil"/>
            </w:tcBorders>
            <w:shd w:val="clear" w:color="FFFFFF" w:fill="FFFFFF"/>
            <w:vAlign w:val="bottom"/>
            <w:hideMark/>
          </w:tcPr>
          <w:p w14:paraId="7EA98691" w14:textId="77777777" w:rsidR="00C32CBD" w:rsidRDefault="00C32CBD" w:rsidP="00320D09">
            <w:pPr>
              <w:jc w:val="right"/>
              <w:rPr>
                <w:rFonts w:cs="Arial"/>
                <w:b/>
                <w:bCs/>
                <w:sz w:val="18"/>
                <w:szCs w:val="18"/>
              </w:rPr>
            </w:pPr>
            <w:r>
              <w:rPr>
                <w:rFonts w:cs="Arial"/>
                <w:b/>
                <w:bCs/>
                <w:sz w:val="18"/>
                <w:szCs w:val="18"/>
              </w:rPr>
              <w:t>Total</w:t>
            </w:r>
          </w:p>
        </w:tc>
      </w:tr>
      <w:tr w:rsidR="00C32CBD" w14:paraId="73C464EF" w14:textId="77777777" w:rsidTr="00320D09">
        <w:trPr>
          <w:trHeight w:val="255"/>
        </w:trPr>
        <w:tc>
          <w:tcPr>
            <w:tcW w:w="6441" w:type="dxa"/>
            <w:tcBorders>
              <w:top w:val="nil"/>
              <w:left w:val="nil"/>
              <w:bottom w:val="single" w:sz="4" w:space="0" w:color="auto"/>
              <w:right w:val="nil"/>
            </w:tcBorders>
            <w:shd w:val="clear" w:color="FFFFFF" w:fill="FFFFFF"/>
            <w:noWrap/>
            <w:vAlign w:val="bottom"/>
            <w:hideMark/>
          </w:tcPr>
          <w:p w14:paraId="344AC7A8" w14:textId="77777777" w:rsidR="00C32CBD" w:rsidRDefault="00C32CBD" w:rsidP="00320D09">
            <w:pPr>
              <w:rPr>
                <w:rFonts w:cs="Arial"/>
                <w:sz w:val="18"/>
                <w:szCs w:val="18"/>
              </w:rPr>
            </w:pPr>
            <w:r>
              <w:rPr>
                <w:rFonts w:cs="Arial"/>
                <w:sz w:val="18"/>
                <w:szCs w:val="18"/>
              </w:rPr>
              <w:t> </w:t>
            </w:r>
          </w:p>
        </w:tc>
        <w:tc>
          <w:tcPr>
            <w:tcW w:w="2126" w:type="dxa"/>
            <w:tcBorders>
              <w:top w:val="nil"/>
              <w:left w:val="nil"/>
              <w:bottom w:val="single" w:sz="4" w:space="0" w:color="auto"/>
              <w:right w:val="nil"/>
            </w:tcBorders>
            <w:shd w:val="clear" w:color="FFFFFF" w:fill="FFFFFF"/>
            <w:vAlign w:val="bottom"/>
            <w:hideMark/>
          </w:tcPr>
          <w:p w14:paraId="33DA5219" w14:textId="77777777" w:rsidR="00C32CBD" w:rsidRDefault="00C32CBD" w:rsidP="00320D09">
            <w:pPr>
              <w:jc w:val="right"/>
              <w:rPr>
                <w:rFonts w:cs="Arial"/>
                <w:b/>
                <w:bCs/>
                <w:sz w:val="18"/>
                <w:szCs w:val="18"/>
              </w:rPr>
            </w:pPr>
            <w:r>
              <w:rPr>
                <w:rFonts w:cs="Arial"/>
                <w:b/>
                <w:bCs/>
                <w:sz w:val="18"/>
                <w:szCs w:val="18"/>
              </w:rPr>
              <w:t>$’000</w:t>
            </w:r>
          </w:p>
        </w:tc>
        <w:tc>
          <w:tcPr>
            <w:tcW w:w="1985" w:type="dxa"/>
            <w:tcBorders>
              <w:top w:val="nil"/>
              <w:left w:val="nil"/>
              <w:bottom w:val="single" w:sz="4" w:space="0" w:color="auto"/>
              <w:right w:val="nil"/>
            </w:tcBorders>
            <w:shd w:val="clear" w:color="FFFFFF" w:fill="FFFFFF"/>
            <w:vAlign w:val="bottom"/>
            <w:hideMark/>
          </w:tcPr>
          <w:p w14:paraId="598C494B" w14:textId="77777777" w:rsidR="00C32CBD" w:rsidRDefault="00C32CBD" w:rsidP="00320D09">
            <w:pPr>
              <w:jc w:val="right"/>
              <w:rPr>
                <w:rFonts w:cs="Arial"/>
                <w:b/>
                <w:bCs/>
                <w:sz w:val="18"/>
                <w:szCs w:val="18"/>
              </w:rPr>
            </w:pPr>
            <w:r>
              <w:rPr>
                <w:rFonts w:cs="Arial"/>
                <w:b/>
                <w:bCs/>
                <w:sz w:val="18"/>
                <w:szCs w:val="18"/>
              </w:rPr>
              <w:t>$’000</w:t>
            </w:r>
          </w:p>
        </w:tc>
        <w:tc>
          <w:tcPr>
            <w:tcW w:w="2015" w:type="dxa"/>
            <w:tcBorders>
              <w:top w:val="nil"/>
              <w:left w:val="nil"/>
              <w:bottom w:val="single" w:sz="4" w:space="0" w:color="auto"/>
              <w:right w:val="nil"/>
            </w:tcBorders>
            <w:shd w:val="clear" w:color="FFFFFF" w:fill="FFFFFF"/>
            <w:vAlign w:val="bottom"/>
            <w:hideMark/>
          </w:tcPr>
          <w:p w14:paraId="75E4B5A2" w14:textId="77777777" w:rsidR="00C32CBD" w:rsidRDefault="00C32CBD" w:rsidP="00320D09">
            <w:pPr>
              <w:jc w:val="right"/>
              <w:rPr>
                <w:rFonts w:cs="Arial"/>
                <w:b/>
                <w:bCs/>
                <w:sz w:val="18"/>
                <w:szCs w:val="18"/>
              </w:rPr>
            </w:pPr>
            <w:r>
              <w:rPr>
                <w:rFonts w:cs="Arial"/>
                <w:b/>
                <w:bCs/>
                <w:sz w:val="18"/>
                <w:szCs w:val="18"/>
              </w:rPr>
              <w:t>$’000</w:t>
            </w:r>
          </w:p>
        </w:tc>
        <w:tc>
          <w:tcPr>
            <w:tcW w:w="1424" w:type="dxa"/>
            <w:tcBorders>
              <w:top w:val="nil"/>
              <w:left w:val="nil"/>
              <w:bottom w:val="single" w:sz="4" w:space="0" w:color="auto"/>
              <w:right w:val="nil"/>
            </w:tcBorders>
            <w:shd w:val="clear" w:color="FFFFFF" w:fill="FFFFFF"/>
            <w:vAlign w:val="bottom"/>
            <w:hideMark/>
          </w:tcPr>
          <w:p w14:paraId="6218FD90" w14:textId="77777777" w:rsidR="00C32CBD" w:rsidRDefault="00C32CBD" w:rsidP="00320D09">
            <w:pPr>
              <w:jc w:val="right"/>
              <w:rPr>
                <w:rFonts w:cs="Arial"/>
                <w:b/>
                <w:bCs/>
                <w:sz w:val="18"/>
                <w:szCs w:val="18"/>
              </w:rPr>
            </w:pPr>
            <w:r>
              <w:rPr>
                <w:rFonts w:cs="Arial"/>
                <w:b/>
                <w:bCs/>
                <w:sz w:val="18"/>
                <w:szCs w:val="18"/>
              </w:rPr>
              <w:t>$’000</w:t>
            </w:r>
          </w:p>
        </w:tc>
      </w:tr>
      <w:tr w:rsidR="00C32CBD" w14:paraId="603E0636" w14:textId="77777777" w:rsidTr="00320D09">
        <w:trPr>
          <w:trHeight w:val="255"/>
        </w:trPr>
        <w:tc>
          <w:tcPr>
            <w:tcW w:w="6441" w:type="dxa"/>
            <w:tcBorders>
              <w:top w:val="nil"/>
              <w:left w:val="nil"/>
              <w:bottom w:val="nil"/>
              <w:right w:val="nil"/>
            </w:tcBorders>
            <w:shd w:val="clear" w:color="FFFFFF" w:fill="FFFFFF"/>
            <w:vAlign w:val="bottom"/>
            <w:hideMark/>
          </w:tcPr>
          <w:p w14:paraId="50612D0B" w14:textId="77777777" w:rsidR="00C32CBD" w:rsidRDefault="00C32CBD" w:rsidP="00320D09">
            <w:pPr>
              <w:rPr>
                <w:rFonts w:cs="Arial"/>
                <w:b/>
                <w:bCs/>
                <w:sz w:val="18"/>
                <w:szCs w:val="18"/>
              </w:rPr>
            </w:pPr>
            <w:r>
              <w:rPr>
                <w:rFonts w:cs="Arial"/>
                <w:b/>
                <w:bCs/>
                <w:sz w:val="18"/>
                <w:szCs w:val="18"/>
              </w:rPr>
              <w:t>As at 1 July 2016</w:t>
            </w:r>
          </w:p>
        </w:tc>
        <w:tc>
          <w:tcPr>
            <w:tcW w:w="2126" w:type="dxa"/>
            <w:tcBorders>
              <w:top w:val="nil"/>
              <w:left w:val="nil"/>
              <w:bottom w:val="nil"/>
              <w:right w:val="nil"/>
            </w:tcBorders>
            <w:shd w:val="clear" w:color="FFFFFF" w:fill="FFFFFF"/>
            <w:noWrap/>
            <w:vAlign w:val="bottom"/>
            <w:hideMark/>
          </w:tcPr>
          <w:p w14:paraId="3B09E187" w14:textId="77777777" w:rsidR="00C32CBD" w:rsidRDefault="00C32CBD" w:rsidP="00320D09">
            <w:pPr>
              <w:rPr>
                <w:rFonts w:cs="Arial"/>
                <w:sz w:val="18"/>
                <w:szCs w:val="18"/>
              </w:rPr>
            </w:pPr>
            <w:r>
              <w:rPr>
                <w:rFonts w:cs="Arial"/>
                <w:sz w:val="18"/>
                <w:szCs w:val="18"/>
              </w:rPr>
              <w:t> </w:t>
            </w:r>
          </w:p>
        </w:tc>
        <w:tc>
          <w:tcPr>
            <w:tcW w:w="1985" w:type="dxa"/>
            <w:tcBorders>
              <w:top w:val="nil"/>
              <w:left w:val="nil"/>
              <w:bottom w:val="nil"/>
              <w:right w:val="nil"/>
            </w:tcBorders>
            <w:shd w:val="clear" w:color="FFFFFF" w:fill="FFFFFF"/>
            <w:noWrap/>
            <w:vAlign w:val="bottom"/>
            <w:hideMark/>
          </w:tcPr>
          <w:p w14:paraId="051DCC6B" w14:textId="77777777" w:rsidR="00C32CBD" w:rsidRDefault="00C32CBD" w:rsidP="00320D09">
            <w:pPr>
              <w:rPr>
                <w:rFonts w:cs="Arial"/>
                <w:sz w:val="18"/>
                <w:szCs w:val="18"/>
              </w:rPr>
            </w:pPr>
            <w:r>
              <w:rPr>
                <w:rFonts w:cs="Arial"/>
                <w:sz w:val="18"/>
                <w:szCs w:val="18"/>
              </w:rPr>
              <w:t> </w:t>
            </w:r>
          </w:p>
        </w:tc>
        <w:tc>
          <w:tcPr>
            <w:tcW w:w="2015" w:type="dxa"/>
            <w:tcBorders>
              <w:top w:val="nil"/>
              <w:left w:val="nil"/>
              <w:bottom w:val="nil"/>
              <w:right w:val="nil"/>
            </w:tcBorders>
            <w:shd w:val="clear" w:color="FFFFFF" w:fill="FFFFFF"/>
            <w:noWrap/>
            <w:vAlign w:val="bottom"/>
            <w:hideMark/>
          </w:tcPr>
          <w:p w14:paraId="6337C636" w14:textId="77777777" w:rsidR="00C32CBD" w:rsidRDefault="00C32CBD" w:rsidP="00320D09">
            <w:pPr>
              <w:rPr>
                <w:rFonts w:cs="Arial"/>
                <w:sz w:val="18"/>
                <w:szCs w:val="18"/>
              </w:rPr>
            </w:pPr>
            <w:r>
              <w:rPr>
                <w:rFonts w:cs="Arial"/>
                <w:sz w:val="18"/>
                <w:szCs w:val="18"/>
              </w:rPr>
              <w:t> </w:t>
            </w:r>
          </w:p>
        </w:tc>
        <w:tc>
          <w:tcPr>
            <w:tcW w:w="1424" w:type="dxa"/>
            <w:tcBorders>
              <w:top w:val="nil"/>
              <w:left w:val="nil"/>
              <w:bottom w:val="nil"/>
              <w:right w:val="nil"/>
            </w:tcBorders>
            <w:shd w:val="clear" w:color="FFFFFF" w:fill="FFFFFF"/>
            <w:noWrap/>
            <w:vAlign w:val="bottom"/>
            <w:hideMark/>
          </w:tcPr>
          <w:p w14:paraId="6DBBFF4C" w14:textId="77777777" w:rsidR="00C32CBD" w:rsidRDefault="00C32CBD" w:rsidP="00320D09">
            <w:pPr>
              <w:rPr>
                <w:rFonts w:cs="Arial"/>
                <w:sz w:val="18"/>
                <w:szCs w:val="18"/>
              </w:rPr>
            </w:pPr>
            <w:r>
              <w:rPr>
                <w:rFonts w:cs="Arial"/>
                <w:sz w:val="18"/>
                <w:szCs w:val="18"/>
              </w:rPr>
              <w:t> </w:t>
            </w:r>
          </w:p>
        </w:tc>
      </w:tr>
      <w:tr w:rsidR="00C32CBD" w14:paraId="313AF43B" w14:textId="77777777" w:rsidTr="00320D09">
        <w:trPr>
          <w:trHeight w:val="255"/>
        </w:trPr>
        <w:tc>
          <w:tcPr>
            <w:tcW w:w="6441" w:type="dxa"/>
            <w:tcBorders>
              <w:top w:val="nil"/>
              <w:left w:val="nil"/>
              <w:bottom w:val="nil"/>
              <w:right w:val="nil"/>
            </w:tcBorders>
            <w:shd w:val="clear" w:color="FFFFFF" w:fill="FFFFFF"/>
            <w:vAlign w:val="bottom"/>
            <w:hideMark/>
          </w:tcPr>
          <w:p w14:paraId="46812C58" w14:textId="77777777" w:rsidR="00C32CBD" w:rsidRDefault="00C32CBD" w:rsidP="00320D09">
            <w:pPr>
              <w:rPr>
                <w:rFonts w:cs="Arial"/>
                <w:sz w:val="18"/>
                <w:szCs w:val="18"/>
              </w:rPr>
            </w:pPr>
            <w:r>
              <w:rPr>
                <w:rFonts w:cs="Arial"/>
                <w:sz w:val="18"/>
                <w:szCs w:val="18"/>
              </w:rPr>
              <w:t>Gross book value</w:t>
            </w:r>
          </w:p>
        </w:tc>
        <w:tc>
          <w:tcPr>
            <w:tcW w:w="2126" w:type="dxa"/>
            <w:tcBorders>
              <w:top w:val="nil"/>
              <w:left w:val="nil"/>
              <w:bottom w:val="nil"/>
              <w:right w:val="nil"/>
            </w:tcBorders>
            <w:shd w:val="clear" w:color="FFFFFF" w:fill="FFFFFF"/>
            <w:noWrap/>
            <w:vAlign w:val="bottom"/>
            <w:hideMark/>
          </w:tcPr>
          <w:p w14:paraId="648F06EE" w14:textId="77777777" w:rsidR="00C32CBD" w:rsidRDefault="00C32CBD" w:rsidP="00320D09">
            <w:pPr>
              <w:jc w:val="right"/>
              <w:rPr>
                <w:rFonts w:cs="Arial"/>
                <w:b/>
                <w:bCs/>
                <w:sz w:val="18"/>
                <w:szCs w:val="18"/>
              </w:rPr>
            </w:pPr>
            <w:r>
              <w:rPr>
                <w:rFonts w:cs="Arial"/>
                <w:b/>
                <w:bCs/>
                <w:sz w:val="18"/>
                <w:szCs w:val="18"/>
              </w:rPr>
              <w:t>43,254</w:t>
            </w:r>
          </w:p>
        </w:tc>
        <w:tc>
          <w:tcPr>
            <w:tcW w:w="1985" w:type="dxa"/>
            <w:tcBorders>
              <w:top w:val="nil"/>
              <w:left w:val="nil"/>
              <w:bottom w:val="nil"/>
              <w:right w:val="nil"/>
            </w:tcBorders>
            <w:shd w:val="clear" w:color="FFFFFF" w:fill="FFFFFF"/>
            <w:noWrap/>
            <w:vAlign w:val="bottom"/>
            <w:hideMark/>
          </w:tcPr>
          <w:p w14:paraId="5E09C5EE" w14:textId="77777777" w:rsidR="00C32CBD" w:rsidRDefault="00C32CBD" w:rsidP="00320D09">
            <w:pPr>
              <w:jc w:val="right"/>
              <w:rPr>
                <w:rFonts w:cs="Arial"/>
                <w:b/>
                <w:bCs/>
                <w:sz w:val="18"/>
                <w:szCs w:val="18"/>
              </w:rPr>
            </w:pPr>
            <w:r>
              <w:rPr>
                <w:rFonts w:cs="Arial"/>
                <w:b/>
                <w:bCs/>
                <w:sz w:val="18"/>
                <w:szCs w:val="18"/>
              </w:rPr>
              <w:t>2,403</w:t>
            </w:r>
          </w:p>
        </w:tc>
        <w:tc>
          <w:tcPr>
            <w:tcW w:w="2015" w:type="dxa"/>
            <w:tcBorders>
              <w:top w:val="nil"/>
              <w:left w:val="nil"/>
              <w:bottom w:val="nil"/>
              <w:right w:val="nil"/>
            </w:tcBorders>
            <w:shd w:val="clear" w:color="FFFFFF" w:fill="FFFFFF"/>
            <w:noWrap/>
            <w:vAlign w:val="bottom"/>
            <w:hideMark/>
          </w:tcPr>
          <w:p w14:paraId="37FB23C3" w14:textId="77777777" w:rsidR="00C32CBD" w:rsidRDefault="00C32CBD" w:rsidP="00320D09">
            <w:pPr>
              <w:jc w:val="right"/>
              <w:rPr>
                <w:rFonts w:cs="Arial"/>
                <w:b/>
                <w:bCs/>
                <w:sz w:val="18"/>
                <w:szCs w:val="18"/>
              </w:rPr>
            </w:pPr>
            <w:r>
              <w:rPr>
                <w:rFonts w:cs="Arial"/>
                <w:b/>
                <w:bCs/>
                <w:sz w:val="18"/>
                <w:szCs w:val="18"/>
              </w:rPr>
              <w:t>1,888</w:t>
            </w:r>
          </w:p>
        </w:tc>
        <w:tc>
          <w:tcPr>
            <w:tcW w:w="1424" w:type="dxa"/>
            <w:tcBorders>
              <w:top w:val="nil"/>
              <w:left w:val="nil"/>
              <w:bottom w:val="nil"/>
              <w:right w:val="nil"/>
            </w:tcBorders>
            <w:shd w:val="clear" w:color="FFFFFF" w:fill="FFFFFF"/>
            <w:noWrap/>
            <w:vAlign w:val="bottom"/>
            <w:hideMark/>
          </w:tcPr>
          <w:p w14:paraId="3897C3AF" w14:textId="77777777" w:rsidR="00C32CBD" w:rsidRDefault="00C32CBD" w:rsidP="00320D09">
            <w:pPr>
              <w:jc w:val="right"/>
              <w:rPr>
                <w:rFonts w:cs="Arial"/>
                <w:b/>
                <w:bCs/>
                <w:sz w:val="18"/>
                <w:szCs w:val="18"/>
              </w:rPr>
            </w:pPr>
            <w:r>
              <w:rPr>
                <w:rFonts w:cs="Arial"/>
                <w:b/>
                <w:bCs/>
                <w:sz w:val="18"/>
                <w:szCs w:val="18"/>
              </w:rPr>
              <w:t>47,545</w:t>
            </w:r>
          </w:p>
        </w:tc>
      </w:tr>
      <w:tr w:rsidR="00C32CBD" w14:paraId="15BA60D5" w14:textId="77777777" w:rsidTr="00320D09">
        <w:trPr>
          <w:trHeight w:val="255"/>
        </w:trPr>
        <w:tc>
          <w:tcPr>
            <w:tcW w:w="6441" w:type="dxa"/>
            <w:tcBorders>
              <w:top w:val="nil"/>
              <w:left w:val="nil"/>
              <w:bottom w:val="nil"/>
              <w:right w:val="nil"/>
            </w:tcBorders>
            <w:shd w:val="clear" w:color="FFFFFF" w:fill="FFFFFF"/>
            <w:vAlign w:val="bottom"/>
            <w:hideMark/>
          </w:tcPr>
          <w:p w14:paraId="3DB8453D" w14:textId="77777777" w:rsidR="00C32CBD" w:rsidRDefault="00C32CBD" w:rsidP="00320D09">
            <w:pPr>
              <w:rPr>
                <w:rFonts w:cs="Arial"/>
                <w:sz w:val="18"/>
                <w:szCs w:val="18"/>
              </w:rPr>
            </w:pPr>
            <w:r>
              <w:rPr>
                <w:rFonts w:cs="Arial"/>
                <w:sz w:val="18"/>
                <w:szCs w:val="18"/>
              </w:rPr>
              <w:t>Accumulated depreciation and impairment</w:t>
            </w:r>
          </w:p>
        </w:tc>
        <w:tc>
          <w:tcPr>
            <w:tcW w:w="2126" w:type="dxa"/>
            <w:tcBorders>
              <w:top w:val="nil"/>
              <w:left w:val="nil"/>
              <w:bottom w:val="nil"/>
              <w:right w:val="nil"/>
            </w:tcBorders>
            <w:shd w:val="clear" w:color="FFFFFF" w:fill="FFFFFF"/>
            <w:noWrap/>
            <w:vAlign w:val="bottom"/>
            <w:hideMark/>
          </w:tcPr>
          <w:p w14:paraId="61450BC7" w14:textId="77777777" w:rsidR="00C32CBD" w:rsidRDefault="00C32CBD" w:rsidP="00320D09">
            <w:pPr>
              <w:jc w:val="right"/>
              <w:rPr>
                <w:rFonts w:cs="Arial"/>
                <w:b/>
                <w:bCs/>
                <w:sz w:val="18"/>
                <w:szCs w:val="18"/>
              </w:rPr>
            </w:pPr>
            <w:r>
              <w:rPr>
                <w:rFonts w:cs="Arial"/>
                <w:b/>
                <w:bCs/>
                <w:sz w:val="18"/>
                <w:szCs w:val="18"/>
              </w:rPr>
              <w:t>(18,953)</w:t>
            </w:r>
          </w:p>
        </w:tc>
        <w:tc>
          <w:tcPr>
            <w:tcW w:w="1985" w:type="dxa"/>
            <w:tcBorders>
              <w:top w:val="nil"/>
              <w:left w:val="nil"/>
              <w:bottom w:val="nil"/>
              <w:right w:val="nil"/>
            </w:tcBorders>
            <w:shd w:val="clear" w:color="FFFFFF" w:fill="FFFFFF"/>
            <w:noWrap/>
            <w:vAlign w:val="bottom"/>
            <w:hideMark/>
          </w:tcPr>
          <w:p w14:paraId="30E1AA3C" w14:textId="77777777" w:rsidR="00C32CBD" w:rsidRDefault="00C32CBD" w:rsidP="00320D09">
            <w:pPr>
              <w:jc w:val="right"/>
              <w:rPr>
                <w:rFonts w:cs="Arial"/>
                <w:b/>
                <w:bCs/>
                <w:sz w:val="18"/>
                <w:szCs w:val="18"/>
              </w:rPr>
            </w:pPr>
            <w:r>
              <w:rPr>
                <w:rFonts w:cs="Arial"/>
                <w:b/>
                <w:bCs/>
                <w:sz w:val="18"/>
                <w:szCs w:val="18"/>
              </w:rPr>
              <w:t>(1,391)</w:t>
            </w:r>
          </w:p>
        </w:tc>
        <w:tc>
          <w:tcPr>
            <w:tcW w:w="2015" w:type="dxa"/>
            <w:tcBorders>
              <w:top w:val="nil"/>
              <w:left w:val="nil"/>
              <w:bottom w:val="nil"/>
              <w:right w:val="nil"/>
            </w:tcBorders>
            <w:shd w:val="clear" w:color="FFFFFF" w:fill="FFFFFF"/>
            <w:noWrap/>
            <w:vAlign w:val="bottom"/>
            <w:hideMark/>
          </w:tcPr>
          <w:p w14:paraId="5C4C8A93" w14:textId="77777777" w:rsidR="00C32CBD" w:rsidRDefault="00C32CBD" w:rsidP="00320D09">
            <w:pPr>
              <w:jc w:val="right"/>
              <w:rPr>
                <w:rFonts w:cs="Arial"/>
                <w:b/>
                <w:bCs/>
                <w:sz w:val="18"/>
                <w:szCs w:val="18"/>
              </w:rPr>
            </w:pPr>
            <w:r>
              <w:rPr>
                <w:rFonts w:cs="Arial"/>
                <w:b/>
                <w:bCs/>
                <w:sz w:val="18"/>
                <w:szCs w:val="18"/>
              </w:rPr>
              <w:t>(1,888)</w:t>
            </w:r>
          </w:p>
        </w:tc>
        <w:tc>
          <w:tcPr>
            <w:tcW w:w="1424" w:type="dxa"/>
            <w:tcBorders>
              <w:top w:val="nil"/>
              <w:left w:val="nil"/>
              <w:bottom w:val="nil"/>
              <w:right w:val="nil"/>
            </w:tcBorders>
            <w:shd w:val="clear" w:color="FFFFFF" w:fill="FFFFFF"/>
            <w:noWrap/>
            <w:vAlign w:val="bottom"/>
            <w:hideMark/>
          </w:tcPr>
          <w:p w14:paraId="7F6D0DE1" w14:textId="77777777" w:rsidR="00C32CBD" w:rsidRDefault="00C32CBD" w:rsidP="00320D09">
            <w:pPr>
              <w:jc w:val="right"/>
              <w:rPr>
                <w:rFonts w:cs="Arial"/>
                <w:b/>
                <w:bCs/>
                <w:sz w:val="18"/>
                <w:szCs w:val="18"/>
              </w:rPr>
            </w:pPr>
            <w:r>
              <w:rPr>
                <w:rFonts w:cs="Arial"/>
                <w:b/>
                <w:bCs/>
                <w:sz w:val="18"/>
                <w:szCs w:val="18"/>
              </w:rPr>
              <w:t>(22,232)</w:t>
            </w:r>
          </w:p>
        </w:tc>
      </w:tr>
      <w:tr w:rsidR="00C32CBD" w14:paraId="21937EA6" w14:textId="77777777" w:rsidTr="00320D09">
        <w:trPr>
          <w:trHeight w:val="255"/>
        </w:trPr>
        <w:tc>
          <w:tcPr>
            <w:tcW w:w="6441" w:type="dxa"/>
            <w:tcBorders>
              <w:top w:val="single" w:sz="4" w:space="0" w:color="auto"/>
              <w:left w:val="nil"/>
              <w:bottom w:val="single" w:sz="4" w:space="0" w:color="auto"/>
              <w:right w:val="nil"/>
            </w:tcBorders>
            <w:shd w:val="clear" w:color="FFFFFF" w:fill="FFFFFF"/>
            <w:vAlign w:val="bottom"/>
            <w:hideMark/>
          </w:tcPr>
          <w:p w14:paraId="2A219B08" w14:textId="77777777" w:rsidR="00C32CBD" w:rsidRDefault="00C32CBD" w:rsidP="00320D09">
            <w:pPr>
              <w:rPr>
                <w:rFonts w:cs="Arial"/>
                <w:b/>
                <w:bCs/>
                <w:sz w:val="18"/>
                <w:szCs w:val="18"/>
              </w:rPr>
            </w:pPr>
            <w:r>
              <w:rPr>
                <w:rFonts w:cs="Arial"/>
                <w:b/>
                <w:bCs/>
                <w:sz w:val="18"/>
                <w:szCs w:val="18"/>
              </w:rPr>
              <w:t>Net book value 1 July 2016</w:t>
            </w:r>
          </w:p>
        </w:tc>
        <w:tc>
          <w:tcPr>
            <w:tcW w:w="2126" w:type="dxa"/>
            <w:tcBorders>
              <w:top w:val="single" w:sz="4" w:space="0" w:color="auto"/>
              <w:left w:val="nil"/>
              <w:bottom w:val="single" w:sz="4" w:space="0" w:color="auto"/>
              <w:right w:val="nil"/>
            </w:tcBorders>
            <w:shd w:val="clear" w:color="FFFFFF" w:fill="FFFFFF"/>
            <w:noWrap/>
            <w:vAlign w:val="bottom"/>
            <w:hideMark/>
          </w:tcPr>
          <w:p w14:paraId="6645389A" w14:textId="77777777" w:rsidR="00C32CBD" w:rsidRDefault="00C32CBD" w:rsidP="00320D09">
            <w:pPr>
              <w:jc w:val="right"/>
              <w:rPr>
                <w:rFonts w:cs="Arial"/>
                <w:b/>
                <w:bCs/>
                <w:sz w:val="18"/>
                <w:szCs w:val="18"/>
              </w:rPr>
            </w:pPr>
            <w:r>
              <w:rPr>
                <w:rFonts w:cs="Arial"/>
                <w:b/>
                <w:bCs/>
                <w:sz w:val="18"/>
                <w:szCs w:val="18"/>
              </w:rPr>
              <w:t>24,301</w:t>
            </w:r>
          </w:p>
        </w:tc>
        <w:tc>
          <w:tcPr>
            <w:tcW w:w="1985" w:type="dxa"/>
            <w:tcBorders>
              <w:top w:val="single" w:sz="4" w:space="0" w:color="auto"/>
              <w:left w:val="nil"/>
              <w:bottom w:val="single" w:sz="4" w:space="0" w:color="auto"/>
              <w:right w:val="nil"/>
            </w:tcBorders>
            <w:shd w:val="clear" w:color="FFFFFF" w:fill="FFFFFF"/>
            <w:noWrap/>
            <w:vAlign w:val="bottom"/>
            <w:hideMark/>
          </w:tcPr>
          <w:p w14:paraId="08995CB7" w14:textId="77777777" w:rsidR="00C32CBD" w:rsidRDefault="00C32CBD" w:rsidP="00320D09">
            <w:pPr>
              <w:jc w:val="right"/>
              <w:rPr>
                <w:rFonts w:cs="Arial"/>
                <w:b/>
                <w:bCs/>
                <w:sz w:val="18"/>
                <w:szCs w:val="18"/>
              </w:rPr>
            </w:pPr>
            <w:r>
              <w:rPr>
                <w:rFonts w:cs="Arial"/>
                <w:b/>
                <w:bCs/>
                <w:sz w:val="18"/>
                <w:szCs w:val="18"/>
              </w:rPr>
              <w:t>1,012</w:t>
            </w:r>
          </w:p>
        </w:tc>
        <w:tc>
          <w:tcPr>
            <w:tcW w:w="2015" w:type="dxa"/>
            <w:tcBorders>
              <w:top w:val="single" w:sz="4" w:space="0" w:color="auto"/>
              <w:left w:val="nil"/>
              <w:bottom w:val="single" w:sz="4" w:space="0" w:color="auto"/>
              <w:right w:val="nil"/>
            </w:tcBorders>
            <w:shd w:val="clear" w:color="FFFFFF" w:fill="FFFFFF"/>
            <w:noWrap/>
            <w:vAlign w:val="bottom"/>
            <w:hideMark/>
          </w:tcPr>
          <w:p w14:paraId="7E869A1D" w14:textId="77777777" w:rsidR="00C32CBD" w:rsidRDefault="00C32CBD" w:rsidP="00320D09">
            <w:pPr>
              <w:jc w:val="right"/>
              <w:rPr>
                <w:rFonts w:cs="Arial"/>
                <w:b/>
                <w:bCs/>
                <w:sz w:val="18"/>
                <w:szCs w:val="18"/>
              </w:rPr>
            </w:pPr>
            <w:r>
              <w:rPr>
                <w:rFonts w:cs="Arial"/>
                <w:b/>
                <w:bCs/>
                <w:sz w:val="18"/>
                <w:szCs w:val="18"/>
              </w:rPr>
              <w:t>-</w:t>
            </w:r>
          </w:p>
        </w:tc>
        <w:tc>
          <w:tcPr>
            <w:tcW w:w="1424" w:type="dxa"/>
            <w:tcBorders>
              <w:top w:val="single" w:sz="4" w:space="0" w:color="auto"/>
              <w:left w:val="nil"/>
              <w:bottom w:val="single" w:sz="4" w:space="0" w:color="auto"/>
              <w:right w:val="nil"/>
            </w:tcBorders>
            <w:shd w:val="clear" w:color="FFFFFF" w:fill="FFFFFF"/>
            <w:noWrap/>
            <w:vAlign w:val="bottom"/>
            <w:hideMark/>
          </w:tcPr>
          <w:p w14:paraId="0CD34F3D" w14:textId="77777777" w:rsidR="00C32CBD" w:rsidRDefault="00C32CBD" w:rsidP="00320D09">
            <w:pPr>
              <w:jc w:val="right"/>
              <w:rPr>
                <w:rFonts w:cs="Arial"/>
                <w:b/>
                <w:bCs/>
                <w:sz w:val="18"/>
                <w:szCs w:val="18"/>
              </w:rPr>
            </w:pPr>
            <w:r>
              <w:rPr>
                <w:rFonts w:cs="Arial"/>
                <w:b/>
                <w:bCs/>
                <w:sz w:val="18"/>
                <w:szCs w:val="18"/>
              </w:rPr>
              <w:t>25,313</w:t>
            </w:r>
          </w:p>
        </w:tc>
      </w:tr>
      <w:tr w:rsidR="00C32CBD" w14:paraId="5196E973" w14:textId="77777777" w:rsidTr="00320D09">
        <w:trPr>
          <w:trHeight w:val="255"/>
        </w:trPr>
        <w:tc>
          <w:tcPr>
            <w:tcW w:w="6441" w:type="dxa"/>
            <w:tcBorders>
              <w:top w:val="nil"/>
              <w:left w:val="nil"/>
              <w:bottom w:val="nil"/>
              <w:right w:val="nil"/>
            </w:tcBorders>
            <w:shd w:val="clear" w:color="FFFFFF" w:fill="FFFFFF"/>
            <w:vAlign w:val="bottom"/>
            <w:hideMark/>
          </w:tcPr>
          <w:p w14:paraId="326E7594" w14:textId="77777777" w:rsidR="00C32CBD" w:rsidRDefault="00C32CBD" w:rsidP="00320D09">
            <w:pPr>
              <w:rPr>
                <w:rFonts w:cs="Arial"/>
                <w:sz w:val="18"/>
                <w:szCs w:val="18"/>
              </w:rPr>
            </w:pPr>
            <w:r>
              <w:rPr>
                <w:rFonts w:cs="Arial"/>
                <w:sz w:val="18"/>
                <w:szCs w:val="18"/>
              </w:rPr>
              <w:t>Additions</w:t>
            </w:r>
          </w:p>
        </w:tc>
        <w:tc>
          <w:tcPr>
            <w:tcW w:w="2126" w:type="dxa"/>
            <w:tcBorders>
              <w:top w:val="nil"/>
              <w:left w:val="nil"/>
              <w:bottom w:val="nil"/>
              <w:right w:val="nil"/>
            </w:tcBorders>
            <w:shd w:val="clear" w:color="FFFFFF" w:fill="FFFFFF"/>
            <w:noWrap/>
            <w:vAlign w:val="bottom"/>
            <w:hideMark/>
          </w:tcPr>
          <w:p w14:paraId="52A18F59" w14:textId="77777777" w:rsidR="00C32CBD" w:rsidRDefault="00C32CBD" w:rsidP="00320D09">
            <w:pPr>
              <w:jc w:val="right"/>
              <w:rPr>
                <w:rFonts w:cs="Arial"/>
                <w:b/>
                <w:bCs/>
                <w:sz w:val="18"/>
                <w:szCs w:val="18"/>
              </w:rPr>
            </w:pPr>
            <w:r>
              <w:rPr>
                <w:rFonts w:cs="Arial"/>
                <w:b/>
                <w:bCs/>
                <w:sz w:val="18"/>
                <w:szCs w:val="18"/>
              </w:rPr>
              <w:t> </w:t>
            </w:r>
          </w:p>
        </w:tc>
        <w:tc>
          <w:tcPr>
            <w:tcW w:w="1985" w:type="dxa"/>
            <w:tcBorders>
              <w:top w:val="nil"/>
              <w:left w:val="nil"/>
              <w:bottom w:val="nil"/>
              <w:right w:val="nil"/>
            </w:tcBorders>
            <w:shd w:val="clear" w:color="FFFFFF" w:fill="FFFFFF"/>
            <w:noWrap/>
            <w:vAlign w:val="bottom"/>
            <w:hideMark/>
          </w:tcPr>
          <w:p w14:paraId="1B052858" w14:textId="77777777" w:rsidR="00C32CBD" w:rsidRDefault="00C32CBD" w:rsidP="00320D09">
            <w:pPr>
              <w:jc w:val="right"/>
              <w:rPr>
                <w:rFonts w:cs="Arial"/>
                <w:b/>
                <w:bCs/>
                <w:sz w:val="18"/>
                <w:szCs w:val="18"/>
              </w:rPr>
            </w:pPr>
            <w:r>
              <w:rPr>
                <w:rFonts w:cs="Arial"/>
                <w:b/>
                <w:bCs/>
                <w:sz w:val="18"/>
                <w:szCs w:val="18"/>
              </w:rPr>
              <w:t> </w:t>
            </w:r>
          </w:p>
        </w:tc>
        <w:tc>
          <w:tcPr>
            <w:tcW w:w="2015" w:type="dxa"/>
            <w:tcBorders>
              <w:top w:val="nil"/>
              <w:left w:val="nil"/>
              <w:bottom w:val="nil"/>
              <w:right w:val="nil"/>
            </w:tcBorders>
            <w:shd w:val="clear" w:color="FFFFFF" w:fill="FFFFFF"/>
            <w:noWrap/>
            <w:vAlign w:val="bottom"/>
            <w:hideMark/>
          </w:tcPr>
          <w:p w14:paraId="2FE977BC" w14:textId="77777777" w:rsidR="00C32CBD" w:rsidRDefault="00C32CBD" w:rsidP="00320D09">
            <w:pPr>
              <w:jc w:val="right"/>
              <w:rPr>
                <w:rFonts w:cs="Arial"/>
                <w:b/>
                <w:bCs/>
                <w:sz w:val="18"/>
                <w:szCs w:val="18"/>
              </w:rPr>
            </w:pPr>
            <w:r>
              <w:rPr>
                <w:rFonts w:cs="Arial"/>
                <w:b/>
                <w:bCs/>
                <w:sz w:val="18"/>
                <w:szCs w:val="18"/>
              </w:rPr>
              <w:t> </w:t>
            </w:r>
          </w:p>
        </w:tc>
        <w:tc>
          <w:tcPr>
            <w:tcW w:w="1424" w:type="dxa"/>
            <w:tcBorders>
              <w:top w:val="nil"/>
              <w:left w:val="nil"/>
              <w:bottom w:val="nil"/>
              <w:right w:val="nil"/>
            </w:tcBorders>
            <w:shd w:val="clear" w:color="FFFFFF" w:fill="FFFFFF"/>
            <w:noWrap/>
            <w:vAlign w:val="bottom"/>
            <w:hideMark/>
          </w:tcPr>
          <w:p w14:paraId="2AA330E1" w14:textId="77777777" w:rsidR="00C32CBD" w:rsidRDefault="00C32CBD" w:rsidP="00320D09">
            <w:pPr>
              <w:jc w:val="right"/>
              <w:rPr>
                <w:rFonts w:cs="Arial"/>
                <w:b/>
                <w:bCs/>
                <w:sz w:val="18"/>
                <w:szCs w:val="18"/>
              </w:rPr>
            </w:pPr>
            <w:r>
              <w:rPr>
                <w:rFonts w:cs="Arial"/>
                <w:b/>
                <w:bCs/>
                <w:sz w:val="18"/>
                <w:szCs w:val="18"/>
              </w:rPr>
              <w:t> </w:t>
            </w:r>
          </w:p>
        </w:tc>
      </w:tr>
      <w:tr w:rsidR="00C32CBD" w14:paraId="46A79DD6" w14:textId="77777777" w:rsidTr="00320D09">
        <w:trPr>
          <w:trHeight w:val="255"/>
        </w:trPr>
        <w:tc>
          <w:tcPr>
            <w:tcW w:w="6441" w:type="dxa"/>
            <w:tcBorders>
              <w:top w:val="nil"/>
              <w:left w:val="nil"/>
              <w:bottom w:val="nil"/>
              <w:right w:val="nil"/>
            </w:tcBorders>
            <w:shd w:val="clear" w:color="FFFFFF" w:fill="FFFFFF"/>
            <w:noWrap/>
            <w:vAlign w:val="bottom"/>
            <w:hideMark/>
          </w:tcPr>
          <w:p w14:paraId="2586C615" w14:textId="77777777" w:rsidR="00C32CBD" w:rsidRDefault="00C32CBD" w:rsidP="00320D09">
            <w:pPr>
              <w:ind w:firstLineChars="100" w:firstLine="180"/>
              <w:rPr>
                <w:rFonts w:cs="Arial"/>
                <w:sz w:val="18"/>
                <w:szCs w:val="18"/>
              </w:rPr>
            </w:pPr>
            <w:r>
              <w:rPr>
                <w:rFonts w:cs="Arial"/>
                <w:sz w:val="18"/>
                <w:szCs w:val="18"/>
              </w:rPr>
              <w:t>Purchase or internally developed</w:t>
            </w:r>
          </w:p>
        </w:tc>
        <w:tc>
          <w:tcPr>
            <w:tcW w:w="2126" w:type="dxa"/>
            <w:tcBorders>
              <w:top w:val="nil"/>
              <w:left w:val="nil"/>
              <w:bottom w:val="nil"/>
              <w:right w:val="nil"/>
            </w:tcBorders>
            <w:shd w:val="clear" w:color="FFFFFF" w:fill="FFFFFF"/>
            <w:noWrap/>
            <w:vAlign w:val="bottom"/>
            <w:hideMark/>
          </w:tcPr>
          <w:p w14:paraId="3E69DD49" w14:textId="77777777" w:rsidR="00C32CBD" w:rsidRDefault="00C32CBD" w:rsidP="00320D09">
            <w:pPr>
              <w:jc w:val="right"/>
              <w:rPr>
                <w:rFonts w:cs="Arial"/>
                <w:b/>
                <w:bCs/>
                <w:sz w:val="18"/>
                <w:szCs w:val="18"/>
              </w:rPr>
            </w:pPr>
            <w:r>
              <w:rPr>
                <w:rFonts w:cs="Arial"/>
                <w:b/>
                <w:bCs/>
                <w:sz w:val="18"/>
                <w:szCs w:val="18"/>
              </w:rPr>
              <w:t>15,371</w:t>
            </w:r>
          </w:p>
        </w:tc>
        <w:tc>
          <w:tcPr>
            <w:tcW w:w="1985" w:type="dxa"/>
            <w:tcBorders>
              <w:top w:val="nil"/>
              <w:left w:val="nil"/>
              <w:bottom w:val="nil"/>
              <w:right w:val="nil"/>
            </w:tcBorders>
            <w:shd w:val="clear" w:color="FFFFFF" w:fill="FFFFFF"/>
            <w:noWrap/>
            <w:vAlign w:val="bottom"/>
            <w:hideMark/>
          </w:tcPr>
          <w:p w14:paraId="7E5B0232" w14:textId="77777777" w:rsidR="00C32CBD" w:rsidRDefault="00C32CBD" w:rsidP="00320D09">
            <w:pPr>
              <w:jc w:val="right"/>
              <w:rPr>
                <w:rFonts w:cs="Arial"/>
                <w:b/>
                <w:bCs/>
                <w:sz w:val="18"/>
                <w:szCs w:val="18"/>
              </w:rPr>
            </w:pPr>
            <w:r>
              <w:rPr>
                <w:rFonts w:cs="Arial"/>
                <w:b/>
                <w:bCs/>
                <w:sz w:val="18"/>
                <w:szCs w:val="18"/>
              </w:rPr>
              <w:t>-</w:t>
            </w:r>
          </w:p>
        </w:tc>
        <w:tc>
          <w:tcPr>
            <w:tcW w:w="2015" w:type="dxa"/>
            <w:tcBorders>
              <w:top w:val="nil"/>
              <w:left w:val="nil"/>
              <w:bottom w:val="nil"/>
              <w:right w:val="nil"/>
            </w:tcBorders>
            <w:shd w:val="clear" w:color="FFFFFF" w:fill="FFFFFF"/>
            <w:noWrap/>
            <w:vAlign w:val="bottom"/>
            <w:hideMark/>
          </w:tcPr>
          <w:p w14:paraId="04703FB7" w14:textId="77777777" w:rsidR="00C32CBD" w:rsidRDefault="00C32CBD" w:rsidP="00320D09">
            <w:pPr>
              <w:jc w:val="right"/>
              <w:rPr>
                <w:rFonts w:cs="Arial"/>
                <w:b/>
                <w:bCs/>
                <w:sz w:val="18"/>
                <w:szCs w:val="18"/>
              </w:rPr>
            </w:pPr>
            <w:r>
              <w:rPr>
                <w:rFonts w:cs="Arial"/>
                <w:b/>
                <w:bCs/>
                <w:sz w:val="18"/>
                <w:szCs w:val="18"/>
              </w:rPr>
              <w:t>-</w:t>
            </w:r>
          </w:p>
        </w:tc>
        <w:tc>
          <w:tcPr>
            <w:tcW w:w="1424" w:type="dxa"/>
            <w:tcBorders>
              <w:top w:val="nil"/>
              <w:left w:val="nil"/>
              <w:bottom w:val="nil"/>
              <w:right w:val="nil"/>
            </w:tcBorders>
            <w:shd w:val="clear" w:color="FFFFFF" w:fill="FFFFFF"/>
            <w:noWrap/>
            <w:vAlign w:val="bottom"/>
            <w:hideMark/>
          </w:tcPr>
          <w:p w14:paraId="6148F338" w14:textId="77777777" w:rsidR="00C32CBD" w:rsidRDefault="00C32CBD" w:rsidP="00320D09">
            <w:pPr>
              <w:jc w:val="right"/>
              <w:rPr>
                <w:rFonts w:cs="Arial"/>
                <w:b/>
                <w:bCs/>
                <w:sz w:val="18"/>
                <w:szCs w:val="18"/>
              </w:rPr>
            </w:pPr>
            <w:r>
              <w:rPr>
                <w:rFonts w:cs="Arial"/>
                <w:b/>
                <w:bCs/>
                <w:sz w:val="18"/>
                <w:szCs w:val="18"/>
              </w:rPr>
              <w:t>15,371</w:t>
            </w:r>
          </w:p>
        </w:tc>
      </w:tr>
      <w:tr w:rsidR="00C32CBD" w14:paraId="6FC1968A" w14:textId="77777777" w:rsidTr="00320D09">
        <w:trPr>
          <w:trHeight w:val="255"/>
        </w:trPr>
        <w:tc>
          <w:tcPr>
            <w:tcW w:w="6441" w:type="dxa"/>
            <w:tcBorders>
              <w:top w:val="nil"/>
              <w:left w:val="nil"/>
              <w:bottom w:val="nil"/>
              <w:right w:val="nil"/>
            </w:tcBorders>
            <w:shd w:val="clear" w:color="FFFFFF" w:fill="FFFFFF"/>
            <w:vAlign w:val="bottom"/>
            <w:hideMark/>
          </w:tcPr>
          <w:p w14:paraId="275EE333" w14:textId="77777777" w:rsidR="00C32CBD" w:rsidRDefault="00C32CBD" w:rsidP="00320D09">
            <w:pPr>
              <w:ind w:firstLineChars="100" w:firstLine="180"/>
              <w:rPr>
                <w:rFonts w:cs="Arial"/>
                <w:sz w:val="18"/>
                <w:szCs w:val="18"/>
              </w:rPr>
            </w:pPr>
            <w:r>
              <w:rPr>
                <w:rFonts w:cs="Arial"/>
                <w:sz w:val="18"/>
                <w:szCs w:val="18"/>
              </w:rPr>
              <w:t>Assets first found</w:t>
            </w:r>
          </w:p>
        </w:tc>
        <w:tc>
          <w:tcPr>
            <w:tcW w:w="2126" w:type="dxa"/>
            <w:tcBorders>
              <w:top w:val="nil"/>
              <w:left w:val="nil"/>
              <w:bottom w:val="nil"/>
              <w:right w:val="nil"/>
            </w:tcBorders>
            <w:shd w:val="clear" w:color="FFFFFF" w:fill="FFFFFF"/>
            <w:noWrap/>
            <w:vAlign w:val="bottom"/>
            <w:hideMark/>
          </w:tcPr>
          <w:p w14:paraId="7E3EE7CD" w14:textId="77777777" w:rsidR="00C32CBD" w:rsidRDefault="00C32CBD" w:rsidP="00320D09">
            <w:pPr>
              <w:jc w:val="right"/>
              <w:rPr>
                <w:rFonts w:cs="Arial"/>
                <w:b/>
                <w:bCs/>
                <w:sz w:val="18"/>
                <w:szCs w:val="18"/>
              </w:rPr>
            </w:pPr>
            <w:r>
              <w:rPr>
                <w:rFonts w:cs="Arial"/>
                <w:b/>
                <w:bCs/>
                <w:sz w:val="18"/>
                <w:szCs w:val="18"/>
              </w:rPr>
              <w:t>-</w:t>
            </w:r>
          </w:p>
        </w:tc>
        <w:tc>
          <w:tcPr>
            <w:tcW w:w="1985" w:type="dxa"/>
            <w:tcBorders>
              <w:top w:val="nil"/>
              <w:left w:val="nil"/>
              <w:bottom w:val="nil"/>
              <w:right w:val="nil"/>
            </w:tcBorders>
            <w:shd w:val="clear" w:color="FFFFFF" w:fill="FFFFFF"/>
            <w:noWrap/>
            <w:vAlign w:val="bottom"/>
            <w:hideMark/>
          </w:tcPr>
          <w:p w14:paraId="4E4FA03A" w14:textId="77777777" w:rsidR="00C32CBD" w:rsidRDefault="00C32CBD" w:rsidP="00320D09">
            <w:pPr>
              <w:jc w:val="right"/>
              <w:rPr>
                <w:rFonts w:cs="Arial"/>
                <w:b/>
                <w:bCs/>
                <w:sz w:val="18"/>
                <w:szCs w:val="18"/>
              </w:rPr>
            </w:pPr>
            <w:r>
              <w:rPr>
                <w:rFonts w:cs="Arial"/>
                <w:b/>
                <w:bCs/>
                <w:sz w:val="18"/>
                <w:szCs w:val="18"/>
              </w:rPr>
              <w:t>23</w:t>
            </w:r>
          </w:p>
        </w:tc>
        <w:tc>
          <w:tcPr>
            <w:tcW w:w="2015" w:type="dxa"/>
            <w:tcBorders>
              <w:top w:val="nil"/>
              <w:left w:val="nil"/>
              <w:bottom w:val="nil"/>
              <w:right w:val="nil"/>
            </w:tcBorders>
            <w:shd w:val="clear" w:color="FFFFFF" w:fill="FFFFFF"/>
            <w:noWrap/>
            <w:vAlign w:val="bottom"/>
            <w:hideMark/>
          </w:tcPr>
          <w:p w14:paraId="5FC2BB8B" w14:textId="77777777" w:rsidR="00C32CBD" w:rsidRDefault="00C32CBD" w:rsidP="00320D09">
            <w:pPr>
              <w:jc w:val="right"/>
              <w:rPr>
                <w:rFonts w:cs="Arial"/>
                <w:b/>
                <w:bCs/>
                <w:sz w:val="18"/>
                <w:szCs w:val="18"/>
              </w:rPr>
            </w:pPr>
            <w:r>
              <w:rPr>
                <w:rFonts w:cs="Arial"/>
                <w:b/>
                <w:bCs/>
                <w:sz w:val="18"/>
                <w:szCs w:val="18"/>
              </w:rPr>
              <w:t>-</w:t>
            </w:r>
          </w:p>
        </w:tc>
        <w:tc>
          <w:tcPr>
            <w:tcW w:w="1424" w:type="dxa"/>
            <w:tcBorders>
              <w:top w:val="nil"/>
              <w:left w:val="nil"/>
              <w:bottom w:val="nil"/>
              <w:right w:val="nil"/>
            </w:tcBorders>
            <w:shd w:val="clear" w:color="FFFFFF" w:fill="FFFFFF"/>
            <w:noWrap/>
            <w:vAlign w:val="bottom"/>
            <w:hideMark/>
          </w:tcPr>
          <w:p w14:paraId="4CA1A19B" w14:textId="77777777" w:rsidR="00C32CBD" w:rsidRDefault="00C32CBD" w:rsidP="00320D09">
            <w:pPr>
              <w:jc w:val="right"/>
              <w:rPr>
                <w:rFonts w:cs="Arial"/>
                <w:b/>
                <w:bCs/>
                <w:sz w:val="18"/>
                <w:szCs w:val="18"/>
              </w:rPr>
            </w:pPr>
            <w:r>
              <w:rPr>
                <w:rFonts w:cs="Arial"/>
                <w:b/>
                <w:bCs/>
                <w:sz w:val="18"/>
                <w:szCs w:val="18"/>
              </w:rPr>
              <w:t>23</w:t>
            </w:r>
          </w:p>
        </w:tc>
      </w:tr>
      <w:tr w:rsidR="00C32CBD" w14:paraId="3ACB1F05" w14:textId="77777777" w:rsidTr="00320D09">
        <w:trPr>
          <w:trHeight w:val="255"/>
        </w:trPr>
        <w:tc>
          <w:tcPr>
            <w:tcW w:w="6441" w:type="dxa"/>
            <w:tcBorders>
              <w:top w:val="nil"/>
              <w:left w:val="nil"/>
              <w:bottom w:val="nil"/>
              <w:right w:val="nil"/>
            </w:tcBorders>
            <w:shd w:val="clear" w:color="FFFFFF" w:fill="FFFFFF"/>
            <w:vAlign w:val="bottom"/>
            <w:hideMark/>
          </w:tcPr>
          <w:p w14:paraId="70B9272A" w14:textId="77777777" w:rsidR="00C32CBD" w:rsidRDefault="00C32CBD" w:rsidP="00320D09">
            <w:pPr>
              <w:rPr>
                <w:rFonts w:cs="Arial"/>
                <w:sz w:val="18"/>
                <w:szCs w:val="18"/>
              </w:rPr>
            </w:pPr>
            <w:r>
              <w:rPr>
                <w:rFonts w:cs="Arial"/>
                <w:sz w:val="18"/>
                <w:szCs w:val="18"/>
              </w:rPr>
              <w:t>Depreciation expense</w:t>
            </w:r>
          </w:p>
        </w:tc>
        <w:tc>
          <w:tcPr>
            <w:tcW w:w="2126" w:type="dxa"/>
            <w:tcBorders>
              <w:top w:val="nil"/>
              <w:left w:val="nil"/>
              <w:bottom w:val="nil"/>
              <w:right w:val="nil"/>
            </w:tcBorders>
            <w:shd w:val="clear" w:color="FFFFFF" w:fill="FFFFFF"/>
            <w:noWrap/>
            <w:vAlign w:val="bottom"/>
            <w:hideMark/>
          </w:tcPr>
          <w:p w14:paraId="0A2059FE" w14:textId="77777777" w:rsidR="00C32CBD" w:rsidRDefault="00C32CBD" w:rsidP="00320D09">
            <w:pPr>
              <w:jc w:val="right"/>
              <w:rPr>
                <w:rFonts w:cs="Arial"/>
                <w:b/>
                <w:bCs/>
                <w:sz w:val="18"/>
                <w:szCs w:val="18"/>
              </w:rPr>
            </w:pPr>
            <w:r>
              <w:rPr>
                <w:rFonts w:cs="Arial"/>
                <w:b/>
                <w:bCs/>
                <w:sz w:val="18"/>
                <w:szCs w:val="18"/>
              </w:rPr>
              <w:t>(8,079)</w:t>
            </w:r>
          </w:p>
        </w:tc>
        <w:tc>
          <w:tcPr>
            <w:tcW w:w="1985" w:type="dxa"/>
            <w:tcBorders>
              <w:top w:val="nil"/>
              <w:left w:val="nil"/>
              <w:bottom w:val="nil"/>
              <w:right w:val="nil"/>
            </w:tcBorders>
            <w:shd w:val="clear" w:color="FFFFFF" w:fill="FFFFFF"/>
            <w:noWrap/>
            <w:vAlign w:val="bottom"/>
            <w:hideMark/>
          </w:tcPr>
          <w:p w14:paraId="16290FC3" w14:textId="77777777" w:rsidR="00C32CBD" w:rsidRDefault="00C32CBD" w:rsidP="00320D09">
            <w:pPr>
              <w:jc w:val="right"/>
              <w:rPr>
                <w:rFonts w:cs="Arial"/>
                <w:b/>
                <w:bCs/>
                <w:sz w:val="18"/>
                <w:szCs w:val="18"/>
              </w:rPr>
            </w:pPr>
            <w:r>
              <w:rPr>
                <w:rFonts w:cs="Arial"/>
                <w:b/>
                <w:bCs/>
                <w:sz w:val="18"/>
                <w:szCs w:val="18"/>
              </w:rPr>
              <w:t>(639)</w:t>
            </w:r>
          </w:p>
        </w:tc>
        <w:tc>
          <w:tcPr>
            <w:tcW w:w="2015" w:type="dxa"/>
            <w:tcBorders>
              <w:top w:val="nil"/>
              <w:left w:val="nil"/>
              <w:bottom w:val="nil"/>
              <w:right w:val="nil"/>
            </w:tcBorders>
            <w:shd w:val="clear" w:color="FFFFFF" w:fill="FFFFFF"/>
            <w:noWrap/>
            <w:vAlign w:val="bottom"/>
            <w:hideMark/>
          </w:tcPr>
          <w:p w14:paraId="404E5EF1" w14:textId="77777777" w:rsidR="00C32CBD" w:rsidRDefault="00C32CBD" w:rsidP="00320D09">
            <w:pPr>
              <w:jc w:val="right"/>
              <w:rPr>
                <w:rFonts w:cs="Arial"/>
                <w:b/>
                <w:bCs/>
                <w:sz w:val="18"/>
                <w:szCs w:val="18"/>
              </w:rPr>
            </w:pPr>
            <w:r>
              <w:rPr>
                <w:rFonts w:cs="Arial"/>
                <w:b/>
                <w:bCs/>
                <w:sz w:val="18"/>
                <w:szCs w:val="18"/>
              </w:rPr>
              <w:t>-</w:t>
            </w:r>
          </w:p>
        </w:tc>
        <w:tc>
          <w:tcPr>
            <w:tcW w:w="1424" w:type="dxa"/>
            <w:tcBorders>
              <w:top w:val="nil"/>
              <w:left w:val="nil"/>
              <w:bottom w:val="nil"/>
              <w:right w:val="nil"/>
            </w:tcBorders>
            <w:shd w:val="clear" w:color="FFFFFF" w:fill="FFFFFF"/>
            <w:noWrap/>
            <w:vAlign w:val="bottom"/>
            <w:hideMark/>
          </w:tcPr>
          <w:p w14:paraId="199D18BF" w14:textId="77777777" w:rsidR="00C32CBD" w:rsidRDefault="00C32CBD" w:rsidP="00320D09">
            <w:pPr>
              <w:jc w:val="right"/>
              <w:rPr>
                <w:rFonts w:cs="Arial"/>
                <w:b/>
                <w:bCs/>
                <w:sz w:val="18"/>
                <w:szCs w:val="18"/>
              </w:rPr>
            </w:pPr>
            <w:r>
              <w:rPr>
                <w:rFonts w:cs="Arial"/>
                <w:b/>
                <w:bCs/>
                <w:sz w:val="18"/>
                <w:szCs w:val="18"/>
              </w:rPr>
              <w:t>(8,718)</w:t>
            </w:r>
          </w:p>
        </w:tc>
      </w:tr>
      <w:tr w:rsidR="00C32CBD" w14:paraId="78199160" w14:textId="77777777" w:rsidTr="00320D09">
        <w:trPr>
          <w:trHeight w:val="255"/>
        </w:trPr>
        <w:tc>
          <w:tcPr>
            <w:tcW w:w="6441" w:type="dxa"/>
            <w:tcBorders>
              <w:top w:val="nil"/>
              <w:left w:val="nil"/>
              <w:bottom w:val="nil"/>
              <w:right w:val="nil"/>
            </w:tcBorders>
            <w:shd w:val="clear" w:color="FFFFFF" w:fill="FFFFFF"/>
            <w:vAlign w:val="bottom"/>
            <w:hideMark/>
          </w:tcPr>
          <w:p w14:paraId="1D71CF2C" w14:textId="77777777" w:rsidR="00C32CBD" w:rsidRDefault="00C32CBD" w:rsidP="00320D09">
            <w:pPr>
              <w:rPr>
                <w:rFonts w:cs="Arial"/>
                <w:sz w:val="18"/>
                <w:szCs w:val="18"/>
              </w:rPr>
            </w:pPr>
            <w:r>
              <w:rPr>
                <w:rFonts w:cs="Arial"/>
                <w:sz w:val="18"/>
                <w:szCs w:val="18"/>
              </w:rPr>
              <w:t>Revaluations in other comprehensive income</w:t>
            </w:r>
          </w:p>
        </w:tc>
        <w:tc>
          <w:tcPr>
            <w:tcW w:w="2126" w:type="dxa"/>
            <w:tcBorders>
              <w:top w:val="nil"/>
              <w:left w:val="nil"/>
              <w:bottom w:val="nil"/>
              <w:right w:val="nil"/>
            </w:tcBorders>
            <w:shd w:val="clear" w:color="FFFFFF" w:fill="FFFFFF"/>
            <w:noWrap/>
            <w:vAlign w:val="bottom"/>
            <w:hideMark/>
          </w:tcPr>
          <w:p w14:paraId="322581FC" w14:textId="77777777" w:rsidR="00C32CBD" w:rsidRDefault="00C32CBD" w:rsidP="00320D09">
            <w:pPr>
              <w:jc w:val="right"/>
              <w:rPr>
                <w:rFonts w:cs="Arial"/>
                <w:b/>
                <w:bCs/>
                <w:sz w:val="18"/>
                <w:szCs w:val="18"/>
              </w:rPr>
            </w:pPr>
            <w:r>
              <w:rPr>
                <w:rFonts w:cs="Arial"/>
                <w:b/>
                <w:bCs/>
                <w:sz w:val="18"/>
                <w:szCs w:val="18"/>
              </w:rPr>
              <w:t>3,675</w:t>
            </w:r>
          </w:p>
        </w:tc>
        <w:tc>
          <w:tcPr>
            <w:tcW w:w="1985" w:type="dxa"/>
            <w:tcBorders>
              <w:top w:val="nil"/>
              <w:left w:val="nil"/>
              <w:bottom w:val="nil"/>
              <w:right w:val="nil"/>
            </w:tcBorders>
            <w:shd w:val="clear" w:color="FFFFFF" w:fill="FFFFFF"/>
            <w:noWrap/>
            <w:vAlign w:val="bottom"/>
            <w:hideMark/>
          </w:tcPr>
          <w:p w14:paraId="63F86075" w14:textId="77777777" w:rsidR="00C32CBD" w:rsidRDefault="00C32CBD" w:rsidP="00320D09">
            <w:pPr>
              <w:jc w:val="right"/>
              <w:rPr>
                <w:rFonts w:cs="Arial"/>
                <w:b/>
                <w:bCs/>
                <w:sz w:val="18"/>
                <w:szCs w:val="18"/>
              </w:rPr>
            </w:pPr>
            <w:r>
              <w:rPr>
                <w:rFonts w:cs="Arial"/>
                <w:b/>
                <w:bCs/>
                <w:sz w:val="18"/>
                <w:szCs w:val="18"/>
              </w:rPr>
              <w:t>-</w:t>
            </w:r>
          </w:p>
        </w:tc>
        <w:tc>
          <w:tcPr>
            <w:tcW w:w="2015" w:type="dxa"/>
            <w:tcBorders>
              <w:top w:val="nil"/>
              <w:left w:val="nil"/>
              <w:bottom w:val="nil"/>
              <w:right w:val="nil"/>
            </w:tcBorders>
            <w:shd w:val="clear" w:color="FFFFFF" w:fill="FFFFFF"/>
            <w:noWrap/>
            <w:vAlign w:val="bottom"/>
            <w:hideMark/>
          </w:tcPr>
          <w:p w14:paraId="4A996662" w14:textId="77777777" w:rsidR="00C32CBD" w:rsidRDefault="00C32CBD" w:rsidP="00320D09">
            <w:pPr>
              <w:jc w:val="right"/>
              <w:rPr>
                <w:rFonts w:cs="Arial"/>
                <w:b/>
                <w:bCs/>
                <w:sz w:val="18"/>
                <w:szCs w:val="18"/>
              </w:rPr>
            </w:pPr>
            <w:r>
              <w:rPr>
                <w:rFonts w:cs="Arial"/>
                <w:b/>
                <w:bCs/>
                <w:sz w:val="18"/>
                <w:szCs w:val="18"/>
              </w:rPr>
              <w:t>-</w:t>
            </w:r>
          </w:p>
        </w:tc>
        <w:tc>
          <w:tcPr>
            <w:tcW w:w="1424" w:type="dxa"/>
            <w:tcBorders>
              <w:top w:val="nil"/>
              <w:left w:val="nil"/>
              <w:bottom w:val="nil"/>
              <w:right w:val="nil"/>
            </w:tcBorders>
            <w:shd w:val="clear" w:color="FFFFFF" w:fill="FFFFFF"/>
            <w:noWrap/>
            <w:vAlign w:val="bottom"/>
            <w:hideMark/>
          </w:tcPr>
          <w:p w14:paraId="79F99D6E" w14:textId="77777777" w:rsidR="00C32CBD" w:rsidRDefault="00C32CBD" w:rsidP="00320D09">
            <w:pPr>
              <w:jc w:val="right"/>
              <w:rPr>
                <w:rFonts w:cs="Arial"/>
                <w:b/>
                <w:bCs/>
                <w:sz w:val="18"/>
                <w:szCs w:val="18"/>
              </w:rPr>
            </w:pPr>
            <w:r>
              <w:rPr>
                <w:rFonts w:cs="Arial"/>
                <w:b/>
                <w:bCs/>
                <w:sz w:val="18"/>
                <w:szCs w:val="18"/>
              </w:rPr>
              <w:t>3,675</w:t>
            </w:r>
          </w:p>
        </w:tc>
      </w:tr>
      <w:tr w:rsidR="00C32CBD" w14:paraId="3EF8DFB5" w14:textId="77777777" w:rsidTr="00320D09">
        <w:trPr>
          <w:trHeight w:val="255"/>
        </w:trPr>
        <w:tc>
          <w:tcPr>
            <w:tcW w:w="6441" w:type="dxa"/>
            <w:tcBorders>
              <w:top w:val="nil"/>
              <w:left w:val="nil"/>
              <w:bottom w:val="nil"/>
              <w:right w:val="nil"/>
            </w:tcBorders>
            <w:shd w:val="clear" w:color="FFFFFF" w:fill="FFFFFF"/>
            <w:vAlign w:val="bottom"/>
            <w:hideMark/>
          </w:tcPr>
          <w:p w14:paraId="07EAF901" w14:textId="77777777" w:rsidR="00C32CBD" w:rsidRDefault="00C32CBD" w:rsidP="00320D09">
            <w:pPr>
              <w:rPr>
                <w:rFonts w:cs="Arial"/>
                <w:sz w:val="18"/>
                <w:szCs w:val="18"/>
              </w:rPr>
            </w:pPr>
            <w:r>
              <w:rPr>
                <w:rFonts w:cs="Arial"/>
                <w:sz w:val="18"/>
                <w:szCs w:val="18"/>
              </w:rPr>
              <w:t>Impairment recognised in net cost of services</w:t>
            </w:r>
          </w:p>
        </w:tc>
        <w:tc>
          <w:tcPr>
            <w:tcW w:w="2126" w:type="dxa"/>
            <w:tcBorders>
              <w:top w:val="nil"/>
              <w:left w:val="nil"/>
              <w:bottom w:val="nil"/>
              <w:right w:val="nil"/>
            </w:tcBorders>
            <w:shd w:val="clear" w:color="FFFFFF" w:fill="FFFFFF"/>
            <w:noWrap/>
            <w:vAlign w:val="bottom"/>
            <w:hideMark/>
          </w:tcPr>
          <w:p w14:paraId="5C5F48D8" w14:textId="77777777" w:rsidR="00C32CBD" w:rsidRDefault="00C32CBD" w:rsidP="00320D09">
            <w:pPr>
              <w:jc w:val="right"/>
              <w:rPr>
                <w:rFonts w:cs="Arial"/>
                <w:b/>
                <w:bCs/>
                <w:sz w:val="18"/>
                <w:szCs w:val="18"/>
              </w:rPr>
            </w:pPr>
            <w:r>
              <w:rPr>
                <w:rFonts w:cs="Arial"/>
                <w:b/>
                <w:bCs/>
                <w:sz w:val="18"/>
                <w:szCs w:val="18"/>
              </w:rPr>
              <w:t>-</w:t>
            </w:r>
          </w:p>
        </w:tc>
        <w:tc>
          <w:tcPr>
            <w:tcW w:w="1985" w:type="dxa"/>
            <w:tcBorders>
              <w:top w:val="nil"/>
              <w:left w:val="nil"/>
              <w:bottom w:val="nil"/>
              <w:right w:val="nil"/>
            </w:tcBorders>
            <w:shd w:val="clear" w:color="FFFFFF" w:fill="FFFFFF"/>
            <w:noWrap/>
            <w:vAlign w:val="bottom"/>
            <w:hideMark/>
          </w:tcPr>
          <w:p w14:paraId="4E7A6A1F" w14:textId="77777777" w:rsidR="00C32CBD" w:rsidRDefault="00C32CBD" w:rsidP="00320D09">
            <w:pPr>
              <w:jc w:val="right"/>
              <w:rPr>
                <w:rFonts w:cs="Arial"/>
                <w:b/>
                <w:bCs/>
                <w:sz w:val="18"/>
                <w:szCs w:val="18"/>
              </w:rPr>
            </w:pPr>
            <w:r>
              <w:rPr>
                <w:rFonts w:cs="Arial"/>
                <w:b/>
                <w:bCs/>
                <w:sz w:val="18"/>
                <w:szCs w:val="18"/>
              </w:rPr>
              <w:t>-</w:t>
            </w:r>
          </w:p>
        </w:tc>
        <w:tc>
          <w:tcPr>
            <w:tcW w:w="2015" w:type="dxa"/>
            <w:tcBorders>
              <w:top w:val="nil"/>
              <w:left w:val="nil"/>
              <w:bottom w:val="nil"/>
              <w:right w:val="nil"/>
            </w:tcBorders>
            <w:shd w:val="clear" w:color="FFFFFF" w:fill="FFFFFF"/>
            <w:noWrap/>
            <w:vAlign w:val="bottom"/>
            <w:hideMark/>
          </w:tcPr>
          <w:p w14:paraId="4946176E" w14:textId="77777777" w:rsidR="00C32CBD" w:rsidRDefault="00C32CBD" w:rsidP="00320D09">
            <w:pPr>
              <w:jc w:val="right"/>
              <w:rPr>
                <w:rFonts w:cs="Arial"/>
                <w:b/>
                <w:bCs/>
                <w:sz w:val="18"/>
                <w:szCs w:val="18"/>
              </w:rPr>
            </w:pPr>
            <w:r>
              <w:rPr>
                <w:rFonts w:cs="Arial"/>
                <w:b/>
                <w:bCs/>
                <w:sz w:val="18"/>
                <w:szCs w:val="18"/>
              </w:rPr>
              <w:t>-</w:t>
            </w:r>
          </w:p>
        </w:tc>
        <w:tc>
          <w:tcPr>
            <w:tcW w:w="1424" w:type="dxa"/>
            <w:tcBorders>
              <w:top w:val="nil"/>
              <w:left w:val="nil"/>
              <w:bottom w:val="nil"/>
              <w:right w:val="nil"/>
            </w:tcBorders>
            <w:shd w:val="clear" w:color="FFFFFF" w:fill="FFFFFF"/>
            <w:noWrap/>
            <w:vAlign w:val="bottom"/>
            <w:hideMark/>
          </w:tcPr>
          <w:p w14:paraId="20FDAD95" w14:textId="77777777" w:rsidR="00C32CBD" w:rsidRDefault="00C32CBD" w:rsidP="00320D09">
            <w:pPr>
              <w:jc w:val="right"/>
              <w:rPr>
                <w:rFonts w:cs="Arial"/>
                <w:b/>
                <w:bCs/>
                <w:sz w:val="18"/>
                <w:szCs w:val="18"/>
              </w:rPr>
            </w:pPr>
            <w:r>
              <w:rPr>
                <w:rFonts w:cs="Arial"/>
                <w:b/>
                <w:bCs/>
                <w:sz w:val="18"/>
                <w:szCs w:val="18"/>
              </w:rPr>
              <w:t>-</w:t>
            </w:r>
          </w:p>
        </w:tc>
      </w:tr>
      <w:tr w:rsidR="00C32CBD" w14:paraId="69BF9F9F" w14:textId="77777777" w:rsidTr="00320D09">
        <w:trPr>
          <w:trHeight w:val="255"/>
        </w:trPr>
        <w:tc>
          <w:tcPr>
            <w:tcW w:w="6441" w:type="dxa"/>
            <w:tcBorders>
              <w:top w:val="nil"/>
              <w:left w:val="nil"/>
              <w:bottom w:val="nil"/>
              <w:right w:val="nil"/>
            </w:tcBorders>
            <w:shd w:val="clear" w:color="FFFFFF" w:fill="FFFFFF"/>
            <w:vAlign w:val="bottom"/>
            <w:hideMark/>
          </w:tcPr>
          <w:p w14:paraId="6CAAED88" w14:textId="77777777" w:rsidR="00C32CBD" w:rsidRDefault="00C32CBD" w:rsidP="00320D09">
            <w:pPr>
              <w:rPr>
                <w:rFonts w:cs="Arial"/>
                <w:sz w:val="18"/>
                <w:szCs w:val="18"/>
              </w:rPr>
            </w:pPr>
            <w:r>
              <w:rPr>
                <w:rFonts w:cs="Arial"/>
                <w:sz w:val="18"/>
                <w:szCs w:val="18"/>
              </w:rPr>
              <w:t>Other movements</w:t>
            </w:r>
          </w:p>
        </w:tc>
        <w:tc>
          <w:tcPr>
            <w:tcW w:w="2126" w:type="dxa"/>
            <w:tcBorders>
              <w:top w:val="nil"/>
              <w:left w:val="nil"/>
              <w:bottom w:val="nil"/>
              <w:right w:val="nil"/>
            </w:tcBorders>
            <w:shd w:val="clear" w:color="FFFFFF" w:fill="FFFFFF"/>
            <w:noWrap/>
            <w:vAlign w:val="bottom"/>
            <w:hideMark/>
          </w:tcPr>
          <w:p w14:paraId="74675EE2" w14:textId="77777777" w:rsidR="00C32CBD" w:rsidRDefault="00C32CBD" w:rsidP="00320D09">
            <w:pPr>
              <w:jc w:val="right"/>
              <w:rPr>
                <w:rFonts w:cs="Arial"/>
                <w:b/>
                <w:bCs/>
                <w:sz w:val="18"/>
                <w:szCs w:val="18"/>
              </w:rPr>
            </w:pPr>
            <w:r>
              <w:rPr>
                <w:rFonts w:cs="Arial"/>
                <w:b/>
                <w:bCs/>
                <w:sz w:val="18"/>
                <w:szCs w:val="18"/>
              </w:rPr>
              <w:t> </w:t>
            </w:r>
          </w:p>
        </w:tc>
        <w:tc>
          <w:tcPr>
            <w:tcW w:w="1985" w:type="dxa"/>
            <w:tcBorders>
              <w:top w:val="nil"/>
              <w:left w:val="nil"/>
              <w:bottom w:val="nil"/>
              <w:right w:val="nil"/>
            </w:tcBorders>
            <w:shd w:val="clear" w:color="FFFFFF" w:fill="FFFFFF"/>
            <w:noWrap/>
            <w:vAlign w:val="bottom"/>
            <w:hideMark/>
          </w:tcPr>
          <w:p w14:paraId="3CAFF445" w14:textId="77777777" w:rsidR="00C32CBD" w:rsidRDefault="00C32CBD" w:rsidP="00320D09">
            <w:pPr>
              <w:jc w:val="right"/>
              <w:rPr>
                <w:rFonts w:cs="Arial"/>
                <w:b/>
                <w:bCs/>
                <w:sz w:val="18"/>
                <w:szCs w:val="18"/>
              </w:rPr>
            </w:pPr>
            <w:r>
              <w:rPr>
                <w:rFonts w:cs="Arial"/>
                <w:b/>
                <w:bCs/>
                <w:sz w:val="18"/>
                <w:szCs w:val="18"/>
              </w:rPr>
              <w:t> </w:t>
            </w:r>
          </w:p>
        </w:tc>
        <w:tc>
          <w:tcPr>
            <w:tcW w:w="2015" w:type="dxa"/>
            <w:tcBorders>
              <w:top w:val="nil"/>
              <w:left w:val="nil"/>
              <w:bottom w:val="nil"/>
              <w:right w:val="nil"/>
            </w:tcBorders>
            <w:shd w:val="clear" w:color="FFFFFF" w:fill="FFFFFF"/>
            <w:noWrap/>
            <w:vAlign w:val="bottom"/>
            <w:hideMark/>
          </w:tcPr>
          <w:p w14:paraId="453AD1C2" w14:textId="77777777" w:rsidR="00C32CBD" w:rsidRDefault="00C32CBD" w:rsidP="00320D09">
            <w:pPr>
              <w:jc w:val="right"/>
              <w:rPr>
                <w:rFonts w:cs="Arial"/>
                <w:b/>
                <w:bCs/>
                <w:sz w:val="18"/>
                <w:szCs w:val="18"/>
              </w:rPr>
            </w:pPr>
            <w:r>
              <w:rPr>
                <w:rFonts w:cs="Arial"/>
                <w:b/>
                <w:bCs/>
                <w:sz w:val="18"/>
                <w:szCs w:val="18"/>
              </w:rPr>
              <w:t> </w:t>
            </w:r>
          </w:p>
        </w:tc>
        <w:tc>
          <w:tcPr>
            <w:tcW w:w="1424" w:type="dxa"/>
            <w:tcBorders>
              <w:top w:val="nil"/>
              <w:left w:val="nil"/>
              <w:bottom w:val="nil"/>
              <w:right w:val="nil"/>
            </w:tcBorders>
            <w:shd w:val="clear" w:color="FFFFFF" w:fill="FFFFFF"/>
            <w:noWrap/>
            <w:vAlign w:val="bottom"/>
            <w:hideMark/>
          </w:tcPr>
          <w:p w14:paraId="7C8DDF62" w14:textId="77777777" w:rsidR="00C32CBD" w:rsidRDefault="00C32CBD" w:rsidP="00320D09">
            <w:pPr>
              <w:jc w:val="right"/>
              <w:rPr>
                <w:rFonts w:cs="Arial"/>
                <w:b/>
                <w:bCs/>
                <w:sz w:val="18"/>
                <w:szCs w:val="18"/>
              </w:rPr>
            </w:pPr>
            <w:r>
              <w:rPr>
                <w:rFonts w:cs="Arial"/>
                <w:b/>
                <w:bCs/>
                <w:sz w:val="18"/>
                <w:szCs w:val="18"/>
              </w:rPr>
              <w:t> </w:t>
            </w:r>
          </w:p>
        </w:tc>
      </w:tr>
      <w:tr w:rsidR="00C32CBD" w14:paraId="08179A23" w14:textId="77777777" w:rsidTr="00320D09">
        <w:trPr>
          <w:trHeight w:val="255"/>
        </w:trPr>
        <w:tc>
          <w:tcPr>
            <w:tcW w:w="6441" w:type="dxa"/>
            <w:tcBorders>
              <w:top w:val="nil"/>
              <w:left w:val="nil"/>
              <w:bottom w:val="nil"/>
              <w:right w:val="nil"/>
            </w:tcBorders>
            <w:shd w:val="clear" w:color="FFFFFF" w:fill="FFFFFF"/>
            <w:noWrap/>
            <w:vAlign w:val="bottom"/>
            <w:hideMark/>
          </w:tcPr>
          <w:p w14:paraId="775B7BB0" w14:textId="77777777" w:rsidR="00C32CBD" w:rsidRDefault="00C32CBD" w:rsidP="00320D09">
            <w:pPr>
              <w:ind w:firstLineChars="100" w:firstLine="180"/>
              <w:rPr>
                <w:rFonts w:cs="Arial"/>
                <w:sz w:val="18"/>
                <w:szCs w:val="18"/>
              </w:rPr>
            </w:pPr>
            <w:r>
              <w:rPr>
                <w:rFonts w:cs="Arial"/>
                <w:sz w:val="18"/>
                <w:szCs w:val="18"/>
              </w:rPr>
              <w:t>Disposals – gross book value</w:t>
            </w:r>
          </w:p>
        </w:tc>
        <w:tc>
          <w:tcPr>
            <w:tcW w:w="2126" w:type="dxa"/>
            <w:tcBorders>
              <w:top w:val="nil"/>
              <w:left w:val="nil"/>
              <w:bottom w:val="nil"/>
              <w:right w:val="nil"/>
            </w:tcBorders>
            <w:shd w:val="clear" w:color="FFFFFF" w:fill="FFFFFF"/>
            <w:noWrap/>
            <w:vAlign w:val="bottom"/>
            <w:hideMark/>
          </w:tcPr>
          <w:p w14:paraId="0BA5027B" w14:textId="77777777" w:rsidR="00C32CBD" w:rsidRDefault="00C32CBD" w:rsidP="00320D09">
            <w:pPr>
              <w:jc w:val="right"/>
              <w:rPr>
                <w:rFonts w:cs="Arial"/>
                <w:b/>
                <w:bCs/>
                <w:sz w:val="18"/>
                <w:szCs w:val="18"/>
              </w:rPr>
            </w:pPr>
            <w:r>
              <w:rPr>
                <w:rFonts w:cs="Arial"/>
                <w:b/>
                <w:bCs/>
                <w:sz w:val="18"/>
                <w:szCs w:val="18"/>
              </w:rPr>
              <w:t>(1,664)</w:t>
            </w:r>
          </w:p>
        </w:tc>
        <w:tc>
          <w:tcPr>
            <w:tcW w:w="1985" w:type="dxa"/>
            <w:tcBorders>
              <w:top w:val="nil"/>
              <w:left w:val="nil"/>
              <w:bottom w:val="nil"/>
              <w:right w:val="nil"/>
            </w:tcBorders>
            <w:shd w:val="clear" w:color="FFFFFF" w:fill="FFFFFF"/>
            <w:noWrap/>
            <w:vAlign w:val="bottom"/>
            <w:hideMark/>
          </w:tcPr>
          <w:p w14:paraId="545CDFC1" w14:textId="77777777" w:rsidR="00C32CBD" w:rsidRDefault="00C32CBD" w:rsidP="00320D09">
            <w:pPr>
              <w:jc w:val="right"/>
              <w:rPr>
                <w:rFonts w:cs="Arial"/>
                <w:b/>
                <w:bCs/>
                <w:sz w:val="18"/>
                <w:szCs w:val="18"/>
              </w:rPr>
            </w:pPr>
            <w:r>
              <w:rPr>
                <w:rFonts w:cs="Arial"/>
                <w:b/>
                <w:bCs/>
                <w:sz w:val="18"/>
                <w:szCs w:val="18"/>
              </w:rPr>
              <w:t>(26)</w:t>
            </w:r>
          </w:p>
        </w:tc>
        <w:tc>
          <w:tcPr>
            <w:tcW w:w="2015" w:type="dxa"/>
            <w:tcBorders>
              <w:top w:val="nil"/>
              <w:left w:val="nil"/>
              <w:bottom w:val="nil"/>
              <w:right w:val="nil"/>
            </w:tcBorders>
            <w:shd w:val="clear" w:color="FFFFFF" w:fill="FFFFFF"/>
            <w:noWrap/>
            <w:vAlign w:val="bottom"/>
            <w:hideMark/>
          </w:tcPr>
          <w:p w14:paraId="0A00DC5D" w14:textId="77777777" w:rsidR="00C32CBD" w:rsidRDefault="00C32CBD" w:rsidP="00320D09">
            <w:pPr>
              <w:jc w:val="right"/>
              <w:rPr>
                <w:rFonts w:cs="Arial"/>
                <w:b/>
                <w:bCs/>
                <w:sz w:val="18"/>
                <w:szCs w:val="18"/>
              </w:rPr>
            </w:pPr>
            <w:r>
              <w:rPr>
                <w:rFonts w:cs="Arial"/>
                <w:b/>
                <w:bCs/>
                <w:sz w:val="18"/>
                <w:szCs w:val="18"/>
              </w:rPr>
              <w:t>(1,888)</w:t>
            </w:r>
          </w:p>
        </w:tc>
        <w:tc>
          <w:tcPr>
            <w:tcW w:w="1424" w:type="dxa"/>
            <w:tcBorders>
              <w:top w:val="nil"/>
              <w:left w:val="nil"/>
              <w:bottom w:val="nil"/>
              <w:right w:val="nil"/>
            </w:tcBorders>
            <w:shd w:val="clear" w:color="FFFFFF" w:fill="FFFFFF"/>
            <w:noWrap/>
            <w:vAlign w:val="bottom"/>
            <w:hideMark/>
          </w:tcPr>
          <w:p w14:paraId="5E1288D1" w14:textId="77777777" w:rsidR="00C32CBD" w:rsidRDefault="00C32CBD" w:rsidP="00320D09">
            <w:pPr>
              <w:jc w:val="right"/>
              <w:rPr>
                <w:rFonts w:cs="Arial"/>
                <w:b/>
                <w:bCs/>
                <w:sz w:val="18"/>
                <w:szCs w:val="18"/>
              </w:rPr>
            </w:pPr>
            <w:r>
              <w:rPr>
                <w:rFonts w:cs="Arial"/>
                <w:b/>
                <w:bCs/>
                <w:sz w:val="18"/>
                <w:szCs w:val="18"/>
              </w:rPr>
              <w:t>(3,578)</w:t>
            </w:r>
          </w:p>
        </w:tc>
      </w:tr>
      <w:tr w:rsidR="00C32CBD" w14:paraId="70E78383" w14:textId="77777777" w:rsidTr="00320D09">
        <w:trPr>
          <w:trHeight w:val="255"/>
        </w:trPr>
        <w:tc>
          <w:tcPr>
            <w:tcW w:w="6441" w:type="dxa"/>
            <w:tcBorders>
              <w:top w:val="nil"/>
              <w:left w:val="nil"/>
              <w:bottom w:val="nil"/>
              <w:right w:val="nil"/>
            </w:tcBorders>
            <w:shd w:val="clear" w:color="FFFFFF" w:fill="FFFFFF"/>
            <w:noWrap/>
            <w:vAlign w:val="bottom"/>
          </w:tcPr>
          <w:p w14:paraId="0C80ECE3" w14:textId="77777777" w:rsidR="00C32CBD" w:rsidRDefault="00C32CBD" w:rsidP="00320D09">
            <w:pPr>
              <w:ind w:firstLineChars="100" w:firstLine="180"/>
              <w:rPr>
                <w:rFonts w:cs="Arial"/>
                <w:sz w:val="18"/>
                <w:szCs w:val="18"/>
              </w:rPr>
            </w:pPr>
            <w:r>
              <w:rPr>
                <w:rFonts w:cs="Arial"/>
                <w:sz w:val="18"/>
                <w:szCs w:val="18"/>
              </w:rPr>
              <w:t>Disposals – accumulated depreciation</w:t>
            </w:r>
          </w:p>
        </w:tc>
        <w:tc>
          <w:tcPr>
            <w:tcW w:w="2126" w:type="dxa"/>
            <w:tcBorders>
              <w:top w:val="nil"/>
              <w:left w:val="nil"/>
              <w:bottom w:val="nil"/>
              <w:right w:val="nil"/>
            </w:tcBorders>
            <w:shd w:val="clear" w:color="FFFFFF" w:fill="FFFFFF"/>
            <w:noWrap/>
            <w:vAlign w:val="bottom"/>
          </w:tcPr>
          <w:p w14:paraId="490C6E78" w14:textId="77777777" w:rsidR="00C32CBD" w:rsidRDefault="00C32CBD" w:rsidP="00320D09">
            <w:pPr>
              <w:jc w:val="right"/>
              <w:rPr>
                <w:rFonts w:cs="Arial"/>
                <w:b/>
                <w:bCs/>
                <w:sz w:val="18"/>
                <w:szCs w:val="18"/>
              </w:rPr>
            </w:pPr>
            <w:r>
              <w:rPr>
                <w:rFonts w:cs="Arial"/>
                <w:b/>
                <w:bCs/>
                <w:sz w:val="18"/>
                <w:szCs w:val="18"/>
              </w:rPr>
              <w:t>296</w:t>
            </w:r>
          </w:p>
        </w:tc>
        <w:tc>
          <w:tcPr>
            <w:tcW w:w="1985" w:type="dxa"/>
            <w:tcBorders>
              <w:top w:val="nil"/>
              <w:left w:val="nil"/>
              <w:bottom w:val="nil"/>
              <w:right w:val="nil"/>
            </w:tcBorders>
            <w:shd w:val="clear" w:color="FFFFFF" w:fill="FFFFFF"/>
            <w:noWrap/>
            <w:vAlign w:val="bottom"/>
          </w:tcPr>
          <w:p w14:paraId="7CF6DFA9" w14:textId="77777777" w:rsidR="00C32CBD" w:rsidRDefault="00C32CBD" w:rsidP="00320D09">
            <w:pPr>
              <w:jc w:val="right"/>
              <w:rPr>
                <w:rFonts w:cs="Arial"/>
                <w:b/>
                <w:bCs/>
                <w:sz w:val="18"/>
                <w:szCs w:val="18"/>
              </w:rPr>
            </w:pPr>
            <w:r>
              <w:rPr>
                <w:rFonts w:cs="Arial"/>
                <w:b/>
                <w:bCs/>
                <w:sz w:val="18"/>
                <w:szCs w:val="18"/>
              </w:rPr>
              <w:t>21</w:t>
            </w:r>
          </w:p>
        </w:tc>
        <w:tc>
          <w:tcPr>
            <w:tcW w:w="2015" w:type="dxa"/>
            <w:tcBorders>
              <w:top w:val="nil"/>
              <w:left w:val="nil"/>
              <w:bottom w:val="nil"/>
              <w:right w:val="nil"/>
            </w:tcBorders>
            <w:shd w:val="clear" w:color="FFFFFF" w:fill="FFFFFF"/>
            <w:noWrap/>
            <w:vAlign w:val="bottom"/>
          </w:tcPr>
          <w:p w14:paraId="25EF5014" w14:textId="77777777" w:rsidR="00C32CBD" w:rsidRDefault="00C32CBD" w:rsidP="00320D09">
            <w:pPr>
              <w:jc w:val="right"/>
              <w:rPr>
                <w:rFonts w:cs="Arial"/>
                <w:b/>
                <w:bCs/>
                <w:sz w:val="18"/>
                <w:szCs w:val="18"/>
              </w:rPr>
            </w:pPr>
            <w:r>
              <w:rPr>
                <w:rFonts w:cs="Arial"/>
                <w:b/>
                <w:bCs/>
                <w:sz w:val="18"/>
                <w:szCs w:val="18"/>
              </w:rPr>
              <w:t>1,888</w:t>
            </w:r>
          </w:p>
        </w:tc>
        <w:tc>
          <w:tcPr>
            <w:tcW w:w="1424" w:type="dxa"/>
            <w:tcBorders>
              <w:top w:val="nil"/>
              <w:left w:val="nil"/>
              <w:bottom w:val="nil"/>
              <w:right w:val="nil"/>
            </w:tcBorders>
            <w:shd w:val="clear" w:color="FFFFFF" w:fill="FFFFFF"/>
            <w:noWrap/>
            <w:vAlign w:val="bottom"/>
          </w:tcPr>
          <w:p w14:paraId="68DFE881" w14:textId="77777777" w:rsidR="00C32CBD" w:rsidRDefault="00C32CBD" w:rsidP="00320D09">
            <w:pPr>
              <w:jc w:val="right"/>
              <w:rPr>
                <w:rFonts w:cs="Arial"/>
                <w:b/>
                <w:bCs/>
                <w:sz w:val="18"/>
                <w:szCs w:val="18"/>
              </w:rPr>
            </w:pPr>
            <w:r>
              <w:rPr>
                <w:rFonts w:cs="Arial"/>
                <w:b/>
                <w:bCs/>
                <w:sz w:val="18"/>
                <w:szCs w:val="18"/>
              </w:rPr>
              <w:t>2,205</w:t>
            </w:r>
          </w:p>
        </w:tc>
      </w:tr>
      <w:tr w:rsidR="00C32CBD" w14:paraId="1F2D61CF" w14:textId="77777777" w:rsidTr="00320D09">
        <w:trPr>
          <w:trHeight w:val="255"/>
        </w:trPr>
        <w:tc>
          <w:tcPr>
            <w:tcW w:w="6441" w:type="dxa"/>
            <w:tcBorders>
              <w:top w:val="nil"/>
              <w:left w:val="nil"/>
              <w:bottom w:val="nil"/>
              <w:right w:val="nil"/>
            </w:tcBorders>
            <w:shd w:val="clear" w:color="FFFFFF" w:fill="FFFFFF"/>
            <w:noWrap/>
            <w:vAlign w:val="bottom"/>
            <w:hideMark/>
          </w:tcPr>
          <w:p w14:paraId="7CAD32F2" w14:textId="77777777" w:rsidR="00C32CBD" w:rsidRDefault="00C32CBD" w:rsidP="00320D09">
            <w:pPr>
              <w:ind w:firstLineChars="100" w:firstLine="180"/>
              <w:rPr>
                <w:rFonts w:cs="Arial"/>
                <w:sz w:val="18"/>
                <w:szCs w:val="18"/>
              </w:rPr>
            </w:pPr>
            <w:r>
              <w:rPr>
                <w:rFonts w:cs="Arial"/>
                <w:sz w:val="18"/>
                <w:szCs w:val="18"/>
              </w:rPr>
              <w:t>Write offs</w:t>
            </w:r>
          </w:p>
        </w:tc>
        <w:tc>
          <w:tcPr>
            <w:tcW w:w="2126" w:type="dxa"/>
            <w:tcBorders>
              <w:top w:val="nil"/>
              <w:left w:val="nil"/>
              <w:bottom w:val="nil"/>
              <w:right w:val="nil"/>
            </w:tcBorders>
            <w:shd w:val="clear" w:color="FFFFFF" w:fill="FFFFFF"/>
            <w:noWrap/>
            <w:vAlign w:val="bottom"/>
            <w:hideMark/>
          </w:tcPr>
          <w:p w14:paraId="1B885F95" w14:textId="77777777" w:rsidR="00C32CBD" w:rsidRDefault="00C32CBD" w:rsidP="00320D09">
            <w:pPr>
              <w:jc w:val="right"/>
              <w:rPr>
                <w:rFonts w:cs="Arial"/>
                <w:b/>
                <w:bCs/>
                <w:sz w:val="18"/>
                <w:szCs w:val="18"/>
              </w:rPr>
            </w:pPr>
            <w:r>
              <w:rPr>
                <w:rFonts w:cs="Arial"/>
                <w:b/>
                <w:bCs/>
                <w:sz w:val="18"/>
                <w:szCs w:val="18"/>
              </w:rPr>
              <w:t>-</w:t>
            </w:r>
          </w:p>
        </w:tc>
        <w:tc>
          <w:tcPr>
            <w:tcW w:w="1985" w:type="dxa"/>
            <w:tcBorders>
              <w:top w:val="nil"/>
              <w:left w:val="nil"/>
              <w:bottom w:val="nil"/>
              <w:right w:val="nil"/>
            </w:tcBorders>
            <w:shd w:val="clear" w:color="FFFFFF" w:fill="FFFFFF"/>
            <w:noWrap/>
            <w:vAlign w:val="bottom"/>
            <w:hideMark/>
          </w:tcPr>
          <w:p w14:paraId="59C79FBC" w14:textId="77777777" w:rsidR="00C32CBD" w:rsidRDefault="00C32CBD" w:rsidP="00320D09">
            <w:pPr>
              <w:jc w:val="right"/>
              <w:rPr>
                <w:rFonts w:cs="Arial"/>
                <w:b/>
                <w:bCs/>
                <w:sz w:val="18"/>
                <w:szCs w:val="18"/>
              </w:rPr>
            </w:pPr>
            <w:r>
              <w:rPr>
                <w:rFonts w:cs="Arial"/>
                <w:b/>
                <w:bCs/>
                <w:sz w:val="18"/>
                <w:szCs w:val="18"/>
              </w:rPr>
              <w:t>-</w:t>
            </w:r>
          </w:p>
        </w:tc>
        <w:tc>
          <w:tcPr>
            <w:tcW w:w="2015" w:type="dxa"/>
            <w:tcBorders>
              <w:top w:val="nil"/>
              <w:left w:val="nil"/>
              <w:bottom w:val="nil"/>
              <w:right w:val="nil"/>
            </w:tcBorders>
            <w:shd w:val="clear" w:color="FFFFFF" w:fill="FFFFFF"/>
            <w:noWrap/>
            <w:vAlign w:val="bottom"/>
            <w:hideMark/>
          </w:tcPr>
          <w:p w14:paraId="5A47C982" w14:textId="77777777" w:rsidR="00C32CBD" w:rsidRDefault="00C32CBD" w:rsidP="00320D09">
            <w:pPr>
              <w:jc w:val="right"/>
              <w:rPr>
                <w:rFonts w:cs="Arial"/>
                <w:b/>
                <w:bCs/>
                <w:sz w:val="18"/>
                <w:szCs w:val="18"/>
              </w:rPr>
            </w:pPr>
            <w:r>
              <w:rPr>
                <w:rFonts w:cs="Arial"/>
                <w:b/>
                <w:bCs/>
                <w:sz w:val="18"/>
                <w:szCs w:val="18"/>
              </w:rPr>
              <w:t>-</w:t>
            </w:r>
          </w:p>
        </w:tc>
        <w:tc>
          <w:tcPr>
            <w:tcW w:w="1424" w:type="dxa"/>
            <w:tcBorders>
              <w:top w:val="nil"/>
              <w:left w:val="nil"/>
              <w:bottom w:val="nil"/>
              <w:right w:val="nil"/>
            </w:tcBorders>
            <w:shd w:val="clear" w:color="FFFFFF" w:fill="FFFFFF"/>
            <w:noWrap/>
            <w:vAlign w:val="bottom"/>
            <w:hideMark/>
          </w:tcPr>
          <w:p w14:paraId="0F0A74BE" w14:textId="77777777" w:rsidR="00C32CBD" w:rsidRDefault="00C32CBD" w:rsidP="00320D09">
            <w:pPr>
              <w:jc w:val="right"/>
              <w:rPr>
                <w:rFonts w:cs="Arial"/>
                <w:b/>
                <w:bCs/>
                <w:sz w:val="18"/>
                <w:szCs w:val="18"/>
              </w:rPr>
            </w:pPr>
            <w:r>
              <w:rPr>
                <w:rFonts w:cs="Arial"/>
                <w:b/>
                <w:bCs/>
                <w:sz w:val="18"/>
                <w:szCs w:val="18"/>
              </w:rPr>
              <w:t>-</w:t>
            </w:r>
          </w:p>
        </w:tc>
      </w:tr>
      <w:tr w:rsidR="00C32CBD" w14:paraId="6AE1486C" w14:textId="77777777" w:rsidTr="00320D09">
        <w:trPr>
          <w:trHeight w:val="255"/>
        </w:trPr>
        <w:tc>
          <w:tcPr>
            <w:tcW w:w="6441" w:type="dxa"/>
            <w:tcBorders>
              <w:top w:val="nil"/>
              <w:left w:val="nil"/>
              <w:bottom w:val="nil"/>
              <w:right w:val="nil"/>
            </w:tcBorders>
            <w:shd w:val="clear" w:color="FFFFFF" w:fill="FFFFFF"/>
            <w:noWrap/>
            <w:vAlign w:val="bottom"/>
          </w:tcPr>
          <w:p w14:paraId="2B0E124D" w14:textId="77777777" w:rsidR="00C32CBD" w:rsidRDefault="00C32CBD" w:rsidP="00320D09">
            <w:pPr>
              <w:ind w:firstLineChars="100" w:firstLine="180"/>
              <w:rPr>
                <w:rFonts w:cs="Arial"/>
                <w:sz w:val="18"/>
                <w:szCs w:val="18"/>
              </w:rPr>
            </w:pPr>
            <w:r>
              <w:rPr>
                <w:rFonts w:cs="Arial"/>
                <w:sz w:val="18"/>
                <w:szCs w:val="18"/>
              </w:rPr>
              <w:t>Revaluation adjustments – gross book value</w:t>
            </w:r>
          </w:p>
        </w:tc>
        <w:tc>
          <w:tcPr>
            <w:tcW w:w="2126" w:type="dxa"/>
            <w:tcBorders>
              <w:top w:val="nil"/>
              <w:left w:val="nil"/>
              <w:bottom w:val="nil"/>
              <w:right w:val="nil"/>
            </w:tcBorders>
            <w:shd w:val="clear" w:color="FFFFFF" w:fill="FFFFFF"/>
            <w:noWrap/>
            <w:vAlign w:val="bottom"/>
          </w:tcPr>
          <w:p w14:paraId="55E0CE1E" w14:textId="77777777" w:rsidR="00C32CBD" w:rsidRDefault="00C32CBD" w:rsidP="00320D09">
            <w:pPr>
              <w:jc w:val="right"/>
              <w:rPr>
                <w:rFonts w:cs="Arial"/>
                <w:b/>
                <w:bCs/>
                <w:sz w:val="18"/>
                <w:szCs w:val="18"/>
              </w:rPr>
            </w:pPr>
            <w:r>
              <w:rPr>
                <w:rFonts w:cs="Arial"/>
                <w:b/>
                <w:bCs/>
                <w:sz w:val="18"/>
                <w:szCs w:val="18"/>
              </w:rPr>
              <w:t>(26,336)</w:t>
            </w:r>
          </w:p>
        </w:tc>
        <w:tc>
          <w:tcPr>
            <w:tcW w:w="1985" w:type="dxa"/>
            <w:tcBorders>
              <w:top w:val="nil"/>
              <w:left w:val="nil"/>
              <w:bottom w:val="nil"/>
              <w:right w:val="nil"/>
            </w:tcBorders>
            <w:shd w:val="clear" w:color="FFFFFF" w:fill="FFFFFF"/>
            <w:noWrap/>
            <w:vAlign w:val="bottom"/>
          </w:tcPr>
          <w:p w14:paraId="2C502CF1" w14:textId="77777777" w:rsidR="00C32CBD" w:rsidRDefault="00C32CBD" w:rsidP="00320D09">
            <w:pPr>
              <w:jc w:val="right"/>
              <w:rPr>
                <w:rFonts w:cs="Arial"/>
                <w:b/>
                <w:bCs/>
                <w:sz w:val="18"/>
                <w:szCs w:val="18"/>
              </w:rPr>
            </w:pPr>
            <w:r>
              <w:rPr>
                <w:rFonts w:cs="Arial"/>
                <w:b/>
                <w:bCs/>
                <w:sz w:val="18"/>
                <w:szCs w:val="18"/>
              </w:rPr>
              <w:t>-</w:t>
            </w:r>
          </w:p>
        </w:tc>
        <w:tc>
          <w:tcPr>
            <w:tcW w:w="2015" w:type="dxa"/>
            <w:tcBorders>
              <w:top w:val="nil"/>
              <w:left w:val="nil"/>
              <w:bottom w:val="nil"/>
              <w:right w:val="nil"/>
            </w:tcBorders>
            <w:shd w:val="clear" w:color="FFFFFF" w:fill="FFFFFF"/>
            <w:noWrap/>
            <w:vAlign w:val="bottom"/>
          </w:tcPr>
          <w:p w14:paraId="1AD8DD70" w14:textId="77777777" w:rsidR="00C32CBD" w:rsidRDefault="00C32CBD" w:rsidP="00320D09">
            <w:pPr>
              <w:jc w:val="right"/>
              <w:rPr>
                <w:rFonts w:cs="Arial"/>
                <w:b/>
                <w:bCs/>
                <w:sz w:val="18"/>
                <w:szCs w:val="18"/>
              </w:rPr>
            </w:pPr>
            <w:r>
              <w:rPr>
                <w:rFonts w:cs="Arial"/>
                <w:b/>
                <w:bCs/>
                <w:sz w:val="18"/>
                <w:szCs w:val="18"/>
              </w:rPr>
              <w:t>-</w:t>
            </w:r>
          </w:p>
        </w:tc>
        <w:tc>
          <w:tcPr>
            <w:tcW w:w="1424" w:type="dxa"/>
            <w:tcBorders>
              <w:top w:val="nil"/>
              <w:left w:val="nil"/>
              <w:bottom w:val="nil"/>
              <w:right w:val="nil"/>
            </w:tcBorders>
            <w:shd w:val="clear" w:color="FFFFFF" w:fill="FFFFFF"/>
            <w:noWrap/>
            <w:vAlign w:val="bottom"/>
          </w:tcPr>
          <w:p w14:paraId="0CB3DAE5" w14:textId="77777777" w:rsidR="00C32CBD" w:rsidRDefault="00C32CBD" w:rsidP="00320D09">
            <w:pPr>
              <w:jc w:val="right"/>
              <w:rPr>
                <w:rFonts w:cs="Arial"/>
                <w:b/>
                <w:bCs/>
                <w:sz w:val="18"/>
                <w:szCs w:val="18"/>
              </w:rPr>
            </w:pPr>
            <w:r>
              <w:rPr>
                <w:rFonts w:cs="Arial"/>
                <w:b/>
                <w:bCs/>
                <w:sz w:val="18"/>
                <w:szCs w:val="18"/>
              </w:rPr>
              <w:t>(26,336)</w:t>
            </w:r>
          </w:p>
        </w:tc>
      </w:tr>
      <w:tr w:rsidR="00C32CBD" w14:paraId="3BECEACB" w14:textId="77777777" w:rsidTr="00320D09">
        <w:trPr>
          <w:trHeight w:val="255"/>
        </w:trPr>
        <w:tc>
          <w:tcPr>
            <w:tcW w:w="6441" w:type="dxa"/>
            <w:tcBorders>
              <w:top w:val="nil"/>
              <w:left w:val="nil"/>
              <w:bottom w:val="nil"/>
              <w:right w:val="nil"/>
            </w:tcBorders>
            <w:shd w:val="clear" w:color="FFFFFF" w:fill="FFFFFF"/>
            <w:noWrap/>
            <w:vAlign w:val="bottom"/>
          </w:tcPr>
          <w:p w14:paraId="5FA45124" w14:textId="77777777" w:rsidR="00C32CBD" w:rsidRDefault="00C32CBD" w:rsidP="00320D09">
            <w:pPr>
              <w:ind w:firstLineChars="100" w:firstLine="180"/>
              <w:rPr>
                <w:rFonts w:cs="Arial"/>
                <w:sz w:val="18"/>
                <w:szCs w:val="18"/>
              </w:rPr>
            </w:pPr>
            <w:r>
              <w:rPr>
                <w:rFonts w:cs="Arial"/>
                <w:sz w:val="18"/>
                <w:szCs w:val="18"/>
              </w:rPr>
              <w:t>Revaluation adjustments – accumulated depreciation</w:t>
            </w:r>
          </w:p>
        </w:tc>
        <w:tc>
          <w:tcPr>
            <w:tcW w:w="2126" w:type="dxa"/>
            <w:tcBorders>
              <w:top w:val="nil"/>
              <w:left w:val="nil"/>
              <w:bottom w:val="nil"/>
              <w:right w:val="nil"/>
            </w:tcBorders>
            <w:shd w:val="clear" w:color="FFFFFF" w:fill="FFFFFF"/>
            <w:noWrap/>
            <w:vAlign w:val="bottom"/>
          </w:tcPr>
          <w:p w14:paraId="3DC9C04C" w14:textId="77777777" w:rsidR="00C32CBD" w:rsidRDefault="00C32CBD" w:rsidP="00320D09">
            <w:pPr>
              <w:jc w:val="right"/>
              <w:rPr>
                <w:rFonts w:cs="Arial"/>
                <w:b/>
                <w:bCs/>
                <w:sz w:val="18"/>
                <w:szCs w:val="18"/>
              </w:rPr>
            </w:pPr>
            <w:r>
              <w:rPr>
                <w:rFonts w:cs="Arial"/>
                <w:b/>
                <w:bCs/>
                <w:sz w:val="18"/>
                <w:szCs w:val="18"/>
              </w:rPr>
              <w:t>26,336</w:t>
            </w:r>
          </w:p>
        </w:tc>
        <w:tc>
          <w:tcPr>
            <w:tcW w:w="1985" w:type="dxa"/>
            <w:tcBorders>
              <w:top w:val="nil"/>
              <w:left w:val="nil"/>
              <w:bottom w:val="nil"/>
              <w:right w:val="nil"/>
            </w:tcBorders>
            <w:shd w:val="clear" w:color="FFFFFF" w:fill="FFFFFF"/>
            <w:noWrap/>
            <w:vAlign w:val="bottom"/>
          </w:tcPr>
          <w:p w14:paraId="7FE304DD" w14:textId="77777777" w:rsidR="00C32CBD" w:rsidRDefault="00C32CBD" w:rsidP="00320D09">
            <w:pPr>
              <w:jc w:val="right"/>
              <w:rPr>
                <w:rFonts w:cs="Arial"/>
                <w:b/>
                <w:bCs/>
                <w:sz w:val="18"/>
                <w:szCs w:val="18"/>
              </w:rPr>
            </w:pPr>
            <w:r>
              <w:rPr>
                <w:rFonts w:cs="Arial"/>
                <w:b/>
                <w:bCs/>
                <w:sz w:val="18"/>
                <w:szCs w:val="18"/>
              </w:rPr>
              <w:t>-</w:t>
            </w:r>
          </w:p>
        </w:tc>
        <w:tc>
          <w:tcPr>
            <w:tcW w:w="2015" w:type="dxa"/>
            <w:tcBorders>
              <w:top w:val="nil"/>
              <w:left w:val="nil"/>
              <w:bottom w:val="nil"/>
              <w:right w:val="nil"/>
            </w:tcBorders>
            <w:shd w:val="clear" w:color="FFFFFF" w:fill="FFFFFF"/>
            <w:noWrap/>
            <w:vAlign w:val="bottom"/>
          </w:tcPr>
          <w:p w14:paraId="433E89A5" w14:textId="77777777" w:rsidR="00C32CBD" w:rsidRDefault="00C32CBD" w:rsidP="00320D09">
            <w:pPr>
              <w:jc w:val="right"/>
              <w:rPr>
                <w:rFonts w:cs="Arial"/>
                <w:b/>
                <w:bCs/>
                <w:sz w:val="18"/>
                <w:szCs w:val="18"/>
              </w:rPr>
            </w:pPr>
            <w:r>
              <w:rPr>
                <w:rFonts w:cs="Arial"/>
                <w:b/>
                <w:bCs/>
                <w:sz w:val="18"/>
                <w:szCs w:val="18"/>
              </w:rPr>
              <w:t>-</w:t>
            </w:r>
          </w:p>
        </w:tc>
        <w:tc>
          <w:tcPr>
            <w:tcW w:w="1424" w:type="dxa"/>
            <w:tcBorders>
              <w:top w:val="nil"/>
              <w:left w:val="nil"/>
              <w:bottom w:val="nil"/>
              <w:right w:val="nil"/>
            </w:tcBorders>
            <w:shd w:val="clear" w:color="FFFFFF" w:fill="FFFFFF"/>
            <w:noWrap/>
            <w:vAlign w:val="bottom"/>
          </w:tcPr>
          <w:p w14:paraId="5133666B" w14:textId="77777777" w:rsidR="00C32CBD" w:rsidRDefault="00C32CBD" w:rsidP="00320D09">
            <w:pPr>
              <w:jc w:val="right"/>
              <w:rPr>
                <w:rFonts w:cs="Arial"/>
                <w:b/>
                <w:bCs/>
                <w:sz w:val="18"/>
                <w:szCs w:val="18"/>
              </w:rPr>
            </w:pPr>
            <w:r>
              <w:rPr>
                <w:rFonts w:cs="Arial"/>
                <w:b/>
                <w:bCs/>
                <w:sz w:val="18"/>
                <w:szCs w:val="18"/>
              </w:rPr>
              <w:t>26,336</w:t>
            </w:r>
          </w:p>
        </w:tc>
      </w:tr>
      <w:tr w:rsidR="00C32CBD" w14:paraId="12F787B6" w14:textId="77777777" w:rsidTr="00320D09">
        <w:trPr>
          <w:trHeight w:val="255"/>
        </w:trPr>
        <w:tc>
          <w:tcPr>
            <w:tcW w:w="6441" w:type="dxa"/>
            <w:tcBorders>
              <w:top w:val="single" w:sz="4" w:space="0" w:color="auto"/>
              <w:left w:val="nil"/>
              <w:bottom w:val="single" w:sz="4" w:space="0" w:color="auto"/>
              <w:right w:val="nil"/>
            </w:tcBorders>
            <w:shd w:val="clear" w:color="FFFFFF" w:fill="FFFFFF"/>
            <w:vAlign w:val="bottom"/>
            <w:hideMark/>
          </w:tcPr>
          <w:p w14:paraId="0AF83202" w14:textId="77777777" w:rsidR="00C32CBD" w:rsidRDefault="00C32CBD" w:rsidP="00320D09">
            <w:pPr>
              <w:rPr>
                <w:rFonts w:cs="Arial"/>
                <w:b/>
                <w:bCs/>
                <w:sz w:val="18"/>
                <w:szCs w:val="18"/>
              </w:rPr>
            </w:pPr>
            <w:r>
              <w:rPr>
                <w:rFonts w:cs="Arial"/>
                <w:b/>
                <w:bCs/>
                <w:sz w:val="18"/>
                <w:szCs w:val="18"/>
              </w:rPr>
              <w:t>Net book value 30 June 2017</w:t>
            </w:r>
          </w:p>
        </w:tc>
        <w:tc>
          <w:tcPr>
            <w:tcW w:w="2126" w:type="dxa"/>
            <w:tcBorders>
              <w:top w:val="single" w:sz="4" w:space="0" w:color="auto"/>
              <w:left w:val="nil"/>
              <w:bottom w:val="single" w:sz="4" w:space="0" w:color="auto"/>
              <w:right w:val="nil"/>
            </w:tcBorders>
            <w:shd w:val="clear" w:color="FFFFFF" w:fill="FFFFFF"/>
            <w:noWrap/>
            <w:vAlign w:val="bottom"/>
            <w:hideMark/>
          </w:tcPr>
          <w:p w14:paraId="6EA33C68" w14:textId="77777777" w:rsidR="00C32CBD" w:rsidRDefault="00C32CBD" w:rsidP="00320D09">
            <w:pPr>
              <w:jc w:val="right"/>
              <w:rPr>
                <w:rFonts w:cs="Arial"/>
                <w:b/>
                <w:bCs/>
                <w:sz w:val="18"/>
                <w:szCs w:val="18"/>
              </w:rPr>
            </w:pPr>
            <w:r>
              <w:rPr>
                <w:rFonts w:cs="Arial"/>
                <w:b/>
                <w:bCs/>
                <w:sz w:val="18"/>
                <w:szCs w:val="18"/>
              </w:rPr>
              <w:t>33,900</w:t>
            </w:r>
          </w:p>
        </w:tc>
        <w:tc>
          <w:tcPr>
            <w:tcW w:w="1985" w:type="dxa"/>
            <w:tcBorders>
              <w:top w:val="single" w:sz="4" w:space="0" w:color="auto"/>
              <w:left w:val="nil"/>
              <w:bottom w:val="single" w:sz="4" w:space="0" w:color="auto"/>
              <w:right w:val="nil"/>
            </w:tcBorders>
            <w:shd w:val="clear" w:color="FFFFFF" w:fill="FFFFFF"/>
            <w:noWrap/>
            <w:vAlign w:val="bottom"/>
            <w:hideMark/>
          </w:tcPr>
          <w:p w14:paraId="07515F24" w14:textId="77777777" w:rsidR="00C32CBD" w:rsidRDefault="00C32CBD" w:rsidP="00320D09">
            <w:pPr>
              <w:jc w:val="right"/>
              <w:rPr>
                <w:rFonts w:cs="Arial"/>
                <w:b/>
                <w:bCs/>
                <w:sz w:val="18"/>
                <w:szCs w:val="18"/>
              </w:rPr>
            </w:pPr>
            <w:r>
              <w:rPr>
                <w:rFonts w:cs="Arial"/>
                <w:b/>
                <w:bCs/>
                <w:sz w:val="18"/>
                <w:szCs w:val="18"/>
              </w:rPr>
              <w:t>391</w:t>
            </w:r>
          </w:p>
        </w:tc>
        <w:tc>
          <w:tcPr>
            <w:tcW w:w="2015" w:type="dxa"/>
            <w:tcBorders>
              <w:top w:val="single" w:sz="4" w:space="0" w:color="auto"/>
              <w:left w:val="nil"/>
              <w:bottom w:val="single" w:sz="4" w:space="0" w:color="auto"/>
              <w:right w:val="nil"/>
            </w:tcBorders>
            <w:shd w:val="clear" w:color="FFFFFF" w:fill="FFFFFF"/>
            <w:noWrap/>
            <w:vAlign w:val="bottom"/>
            <w:hideMark/>
          </w:tcPr>
          <w:p w14:paraId="57BB9735" w14:textId="77777777" w:rsidR="00C32CBD" w:rsidRDefault="00C32CBD" w:rsidP="00320D09">
            <w:pPr>
              <w:jc w:val="right"/>
              <w:rPr>
                <w:rFonts w:cs="Arial"/>
                <w:b/>
                <w:bCs/>
                <w:sz w:val="18"/>
                <w:szCs w:val="18"/>
              </w:rPr>
            </w:pPr>
            <w:r>
              <w:rPr>
                <w:rFonts w:cs="Arial"/>
                <w:b/>
                <w:bCs/>
                <w:sz w:val="18"/>
                <w:szCs w:val="18"/>
              </w:rPr>
              <w:t>-</w:t>
            </w:r>
          </w:p>
        </w:tc>
        <w:tc>
          <w:tcPr>
            <w:tcW w:w="1424" w:type="dxa"/>
            <w:tcBorders>
              <w:top w:val="single" w:sz="4" w:space="0" w:color="auto"/>
              <w:left w:val="nil"/>
              <w:bottom w:val="single" w:sz="4" w:space="0" w:color="auto"/>
              <w:right w:val="nil"/>
            </w:tcBorders>
            <w:shd w:val="clear" w:color="FFFFFF" w:fill="FFFFFF"/>
            <w:noWrap/>
            <w:vAlign w:val="bottom"/>
            <w:hideMark/>
          </w:tcPr>
          <w:p w14:paraId="52A4AFC2" w14:textId="77777777" w:rsidR="00C32CBD" w:rsidRDefault="00C32CBD" w:rsidP="00320D09">
            <w:pPr>
              <w:jc w:val="right"/>
              <w:rPr>
                <w:rFonts w:cs="Arial"/>
                <w:b/>
                <w:bCs/>
                <w:sz w:val="18"/>
                <w:szCs w:val="18"/>
              </w:rPr>
            </w:pPr>
            <w:r>
              <w:rPr>
                <w:rFonts w:cs="Arial"/>
                <w:b/>
                <w:bCs/>
                <w:sz w:val="18"/>
                <w:szCs w:val="18"/>
              </w:rPr>
              <w:t>34,291</w:t>
            </w:r>
          </w:p>
        </w:tc>
      </w:tr>
      <w:tr w:rsidR="00C32CBD" w14:paraId="27995875" w14:textId="77777777" w:rsidTr="00320D09">
        <w:trPr>
          <w:trHeight w:val="255"/>
        </w:trPr>
        <w:tc>
          <w:tcPr>
            <w:tcW w:w="6441" w:type="dxa"/>
            <w:tcBorders>
              <w:top w:val="nil"/>
              <w:left w:val="nil"/>
              <w:bottom w:val="nil"/>
              <w:right w:val="nil"/>
            </w:tcBorders>
            <w:shd w:val="clear" w:color="FFFFFF" w:fill="FFFFFF"/>
            <w:noWrap/>
            <w:vAlign w:val="bottom"/>
            <w:hideMark/>
          </w:tcPr>
          <w:p w14:paraId="3D1E099D" w14:textId="77777777" w:rsidR="00C32CBD" w:rsidRDefault="00C32CBD" w:rsidP="00320D09">
            <w:pPr>
              <w:rPr>
                <w:rFonts w:cs="Arial"/>
                <w:b/>
                <w:bCs/>
                <w:sz w:val="18"/>
                <w:szCs w:val="18"/>
              </w:rPr>
            </w:pPr>
            <w:r>
              <w:rPr>
                <w:rFonts w:cs="Arial"/>
                <w:b/>
                <w:bCs/>
                <w:sz w:val="18"/>
                <w:szCs w:val="18"/>
              </w:rPr>
              <w:t> </w:t>
            </w:r>
          </w:p>
        </w:tc>
        <w:tc>
          <w:tcPr>
            <w:tcW w:w="2126" w:type="dxa"/>
            <w:tcBorders>
              <w:top w:val="nil"/>
              <w:left w:val="nil"/>
              <w:bottom w:val="nil"/>
              <w:right w:val="nil"/>
            </w:tcBorders>
            <w:shd w:val="clear" w:color="FFFFFF" w:fill="FFFFFF"/>
            <w:noWrap/>
            <w:vAlign w:val="bottom"/>
            <w:hideMark/>
          </w:tcPr>
          <w:p w14:paraId="4463A43A" w14:textId="77777777" w:rsidR="00C32CBD" w:rsidRDefault="00C32CBD" w:rsidP="00320D09">
            <w:pPr>
              <w:rPr>
                <w:rFonts w:cs="Arial"/>
                <w:b/>
                <w:bCs/>
                <w:sz w:val="18"/>
                <w:szCs w:val="18"/>
              </w:rPr>
            </w:pPr>
            <w:r>
              <w:rPr>
                <w:rFonts w:cs="Arial"/>
                <w:b/>
                <w:bCs/>
                <w:sz w:val="18"/>
                <w:szCs w:val="18"/>
              </w:rPr>
              <w:t> </w:t>
            </w:r>
          </w:p>
        </w:tc>
        <w:tc>
          <w:tcPr>
            <w:tcW w:w="1985" w:type="dxa"/>
            <w:tcBorders>
              <w:top w:val="nil"/>
              <w:left w:val="nil"/>
              <w:bottom w:val="nil"/>
              <w:right w:val="nil"/>
            </w:tcBorders>
            <w:shd w:val="clear" w:color="FFFFFF" w:fill="FFFFFF"/>
            <w:noWrap/>
            <w:vAlign w:val="bottom"/>
            <w:hideMark/>
          </w:tcPr>
          <w:p w14:paraId="3DA016E4" w14:textId="77777777" w:rsidR="00C32CBD" w:rsidRDefault="00C32CBD" w:rsidP="00320D09">
            <w:pPr>
              <w:rPr>
                <w:rFonts w:cs="Arial"/>
                <w:b/>
                <w:bCs/>
                <w:sz w:val="18"/>
                <w:szCs w:val="18"/>
              </w:rPr>
            </w:pPr>
            <w:r>
              <w:rPr>
                <w:rFonts w:cs="Arial"/>
                <w:b/>
                <w:bCs/>
                <w:sz w:val="18"/>
                <w:szCs w:val="18"/>
              </w:rPr>
              <w:t> </w:t>
            </w:r>
          </w:p>
        </w:tc>
        <w:tc>
          <w:tcPr>
            <w:tcW w:w="2015" w:type="dxa"/>
            <w:tcBorders>
              <w:top w:val="nil"/>
              <w:left w:val="nil"/>
              <w:bottom w:val="nil"/>
              <w:right w:val="nil"/>
            </w:tcBorders>
            <w:shd w:val="clear" w:color="FFFFFF" w:fill="FFFFFF"/>
            <w:noWrap/>
            <w:vAlign w:val="bottom"/>
            <w:hideMark/>
          </w:tcPr>
          <w:p w14:paraId="419B1028" w14:textId="77777777" w:rsidR="00C32CBD" w:rsidRDefault="00C32CBD" w:rsidP="00320D09">
            <w:pPr>
              <w:rPr>
                <w:rFonts w:cs="Arial"/>
                <w:b/>
                <w:bCs/>
                <w:sz w:val="18"/>
                <w:szCs w:val="18"/>
              </w:rPr>
            </w:pPr>
            <w:r>
              <w:rPr>
                <w:rFonts w:cs="Arial"/>
                <w:b/>
                <w:bCs/>
                <w:sz w:val="18"/>
                <w:szCs w:val="18"/>
              </w:rPr>
              <w:t> </w:t>
            </w:r>
          </w:p>
        </w:tc>
        <w:tc>
          <w:tcPr>
            <w:tcW w:w="1424" w:type="dxa"/>
            <w:tcBorders>
              <w:top w:val="nil"/>
              <w:left w:val="nil"/>
              <w:bottom w:val="nil"/>
              <w:right w:val="nil"/>
            </w:tcBorders>
            <w:shd w:val="clear" w:color="FFFFFF" w:fill="FFFFFF"/>
            <w:noWrap/>
            <w:vAlign w:val="bottom"/>
            <w:hideMark/>
          </w:tcPr>
          <w:p w14:paraId="74C79483" w14:textId="77777777" w:rsidR="00C32CBD" w:rsidRDefault="00C32CBD" w:rsidP="00320D09">
            <w:pPr>
              <w:rPr>
                <w:rFonts w:cs="Arial"/>
                <w:b/>
                <w:bCs/>
                <w:sz w:val="18"/>
                <w:szCs w:val="18"/>
              </w:rPr>
            </w:pPr>
            <w:r>
              <w:rPr>
                <w:rFonts w:cs="Arial"/>
                <w:b/>
                <w:bCs/>
                <w:sz w:val="18"/>
                <w:szCs w:val="18"/>
              </w:rPr>
              <w:t> </w:t>
            </w:r>
          </w:p>
        </w:tc>
      </w:tr>
      <w:tr w:rsidR="00C32CBD" w14:paraId="06F29BF3" w14:textId="77777777" w:rsidTr="00320D09">
        <w:trPr>
          <w:trHeight w:val="255"/>
        </w:trPr>
        <w:tc>
          <w:tcPr>
            <w:tcW w:w="6441" w:type="dxa"/>
            <w:tcBorders>
              <w:top w:val="nil"/>
              <w:left w:val="nil"/>
              <w:bottom w:val="nil"/>
              <w:right w:val="nil"/>
            </w:tcBorders>
            <w:shd w:val="clear" w:color="FFFFFF" w:fill="FFFFFF"/>
            <w:vAlign w:val="bottom"/>
            <w:hideMark/>
          </w:tcPr>
          <w:p w14:paraId="40E34583" w14:textId="77777777" w:rsidR="00C32CBD" w:rsidRDefault="00C32CBD" w:rsidP="00320D09">
            <w:pPr>
              <w:rPr>
                <w:rFonts w:cs="Arial"/>
                <w:b/>
                <w:bCs/>
                <w:sz w:val="18"/>
                <w:szCs w:val="18"/>
              </w:rPr>
            </w:pPr>
            <w:r>
              <w:rPr>
                <w:rFonts w:cs="Arial"/>
                <w:b/>
                <w:bCs/>
                <w:sz w:val="18"/>
                <w:szCs w:val="18"/>
              </w:rPr>
              <w:t>Net book value as of 30 June 2017 represented by:</w:t>
            </w:r>
          </w:p>
        </w:tc>
        <w:tc>
          <w:tcPr>
            <w:tcW w:w="2126" w:type="dxa"/>
            <w:tcBorders>
              <w:top w:val="nil"/>
              <w:left w:val="nil"/>
              <w:bottom w:val="nil"/>
              <w:right w:val="nil"/>
            </w:tcBorders>
            <w:shd w:val="clear" w:color="FFFFFF" w:fill="FFFFFF"/>
            <w:noWrap/>
            <w:vAlign w:val="bottom"/>
            <w:hideMark/>
          </w:tcPr>
          <w:p w14:paraId="69EE9797" w14:textId="77777777" w:rsidR="00C32CBD" w:rsidRDefault="00C32CBD" w:rsidP="00320D09">
            <w:pPr>
              <w:rPr>
                <w:rFonts w:cs="Arial"/>
                <w:b/>
                <w:bCs/>
                <w:sz w:val="18"/>
                <w:szCs w:val="18"/>
              </w:rPr>
            </w:pPr>
            <w:r>
              <w:rPr>
                <w:rFonts w:cs="Arial"/>
                <w:b/>
                <w:bCs/>
                <w:sz w:val="18"/>
                <w:szCs w:val="18"/>
              </w:rPr>
              <w:t> </w:t>
            </w:r>
          </w:p>
        </w:tc>
        <w:tc>
          <w:tcPr>
            <w:tcW w:w="1985" w:type="dxa"/>
            <w:tcBorders>
              <w:top w:val="nil"/>
              <w:left w:val="nil"/>
              <w:bottom w:val="nil"/>
              <w:right w:val="nil"/>
            </w:tcBorders>
            <w:shd w:val="clear" w:color="FFFFFF" w:fill="FFFFFF"/>
            <w:noWrap/>
            <w:vAlign w:val="bottom"/>
            <w:hideMark/>
          </w:tcPr>
          <w:p w14:paraId="013A765E" w14:textId="77777777" w:rsidR="00C32CBD" w:rsidRDefault="00C32CBD" w:rsidP="00320D09">
            <w:pPr>
              <w:rPr>
                <w:rFonts w:cs="Arial"/>
                <w:b/>
                <w:bCs/>
                <w:sz w:val="18"/>
                <w:szCs w:val="18"/>
              </w:rPr>
            </w:pPr>
            <w:r>
              <w:rPr>
                <w:rFonts w:cs="Arial"/>
                <w:b/>
                <w:bCs/>
                <w:sz w:val="18"/>
                <w:szCs w:val="18"/>
              </w:rPr>
              <w:t> </w:t>
            </w:r>
          </w:p>
        </w:tc>
        <w:tc>
          <w:tcPr>
            <w:tcW w:w="2015" w:type="dxa"/>
            <w:tcBorders>
              <w:top w:val="nil"/>
              <w:left w:val="nil"/>
              <w:bottom w:val="nil"/>
              <w:right w:val="nil"/>
            </w:tcBorders>
            <w:shd w:val="clear" w:color="FFFFFF" w:fill="FFFFFF"/>
            <w:noWrap/>
            <w:vAlign w:val="bottom"/>
            <w:hideMark/>
          </w:tcPr>
          <w:p w14:paraId="3ADBA6F3" w14:textId="77777777" w:rsidR="00C32CBD" w:rsidRDefault="00C32CBD" w:rsidP="00320D09">
            <w:pPr>
              <w:rPr>
                <w:rFonts w:cs="Arial"/>
                <w:b/>
                <w:bCs/>
                <w:sz w:val="18"/>
                <w:szCs w:val="18"/>
              </w:rPr>
            </w:pPr>
            <w:r>
              <w:rPr>
                <w:rFonts w:cs="Arial"/>
                <w:b/>
                <w:bCs/>
                <w:sz w:val="18"/>
                <w:szCs w:val="18"/>
              </w:rPr>
              <w:t> </w:t>
            </w:r>
          </w:p>
        </w:tc>
        <w:tc>
          <w:tcPr>
            <w:tcW w:w="1424" w:type="dxa"/>
            <w:tcBorders>
              <w:top w:val="nil"/>
              <w:left w:val="nil"/>
              <w:bottom w:val="nil"/>
              <w:right w:val="nil"/>
            </w:tcBorders>
            <w:shd w:val="clear" w:color="FFFFFF" w:fill="FFFFFF"/>
            <w:noWrap/>
            <w:vAlign w:val="bottom"/>
            <w:hideMark/>
          </w:tcPr>
          <w:p w14:paraId="17A097F7" w14:textId="77777777" w:rsidR="00C32CBD" w:rsidRDefault="00C32CBD" w:rsidP="00320D09">
            <w:pPr>
              <w:rPr>
                <w:rFonts w:cs="Arial"/>
                <w:b/>
                <w:bCs/>
                <w:sz w:val="18"/>
                <w:szCs w:val="18"/>
              </w:rPr>
            </w:pPr>
            <w:r>
              <w:rPr>
                <w:rFonts w:cs="Arial"/>
                <w:b/>
                <w:bCs/>
                <w:sz w:val="18"/>
                <w:szCs w:val="18"/>
              </w:rPr>
              <w:t> </w:t>
            </w:r>
          </w:p>
        </w:tc>
      </w:tr>
      <w:tr w:rsidR="00C32CBD" w14:paraId="7EEDC747" w14:textId="77777777" w:rsidTr="00320D09">
        <w:trPr>
          <w:trHeight w:val="255"/>
        </w:trPr>
        <w:tc>
          <w:tcPr>
            <w:tcW w:w="6441" w:type="dxa"/>
            <w:tcBorders>
              <w:top w:val="nil"/>
              <w:left w:val="nil"/>
              <w:bottom w:val="nil"/>
              <w:right w:val="nil"/>
            </w:tcBorders>
            <w:shd w:val="clear" w:color="FFFFFF" w:fill="FFFFFF"/>
            <w:vAlign w:val="bottom"/>
            <w:hideMark/>
          </w:tcPr>
          <w:p w14:paraId="24557C1E" w14:textId="77777777" w:rsidR="00C32CBD" w:rsidRDefault="00C32CBD" w:rsidP="00320D09">
            <w:pPr>
              <w:rPr>
                <w:rFonts w:cs="Arial"/>
                <w:sz w:val="18"/>
                <w:szCs w:val="18"/>
              </w:rPr>
            </w:pPr>
            <w:r>
              <w:rPr>
                <w:rFonts w:cs="Arial"/>
                <w:sz w:val="18"/>
                <w:szCs w:val="18"/>
              </w:rPr>
              <w:t>Gross book value</w:t>
            </w:r>
          </w:p>
        </w:tc>
        <w:tc>
          <w:tcPr>
            <w:tcW w:w="2126" w:type="dxa"/>
            <w:tcBorders>
              <w:top w:val="nil"/>
              <w:left w:val="nil"/>
              <w:bottom w:val="nil"/>
              <w:right w:val="nil"/>
            </w:tcBorders>
            <w:shd w:val="clear" w:color="FFFFFF" w:fill="FFFFFF"/>
            <w:noWrap/>
            <w:vAlign w:val="bottom"/>
            <w:hideMark/>
          </w:tcPr>
          <w:p w14:paraId="7E873F45" w14:textId="77777777" w:rsidR="00C32CBD" w:rsidRDefault="00C32CBD" w:rsidP="00320D09">
            <w:pPr>
              <w:jc w:val="right"/>
              <w:rPr>
                <w:rFonts w:cs="Arial"/>
                <w:b/>
                <w:bCs/>
                <w:sz w:val="18"/>
                <w:szCs w:val="18"/>
              </w:rPr>
            </w:pPr>
            <w:r>
              <w:rPr>
                <w:rFonts w:cs="Arial"/>
                <w:b/>
                <w:bCs/>
                <w:sz w:val="18"/>
                <w:szCs w:val="18"/>
              </w:rPr>
              <w:t>34,300</w:t>
            </w:r>
          </w:p>
        </w:tc>
        <w:tc>
          <w:tcPr>
            <w:tcW w:w="1985" w:type="dxa"/>
            <w:tcBorders>
              <w:top w:val="nil"/>
              <w:left w:val="nil"/>
              <w:bottom w:val="nil"/>
              <w:right w:val="nil"/>
            </w:tcBorders>
            <w:shd w:val="clear" w:color="FFFFFF" w:fill="FFFFFF"/>
            <w:noWrap/>
            <w:vAlign w:val="bottom"/>
            <w:hideMark/>
          </w:tcPr>
          <w:p w14:paraId="259338FF" w14:textId="77777777" w:rsidR="00C32CBD" w:rsidRDefault="00C32CBD" w:rsidP="00320D09">
            <w:pPr>
              <w:jc w:val="right"/>
              <w:rPr>
                <w:rFonts w:cs="Arial"/>
                <w:b/>
                <w:bCs/>
                <w:sz w:val="18"/>
                <w:szCs w:val="18"/>
              </w:rPr>
            </w:pPr>
            <w:r>
              <w:rPr>
                <w:rFonts w:cs="Arial"/>
                <w:b/>
                <w:bCs/>
                <w:sz w:val="18"/>
                <w:szCs w:val="18"/>
              </w:rPr>
              <w:t>2,400</w:t>
            </w:r>
          </w:p>
        </w:tc>
        <w:tc>
          <w:tcPr>
            <w:tcW w:w="2015" w:type="dxa"/>
            <w:tcBorders>
              <w:top w:val="nil"/>
              <w:left w:val="nil"/>
              <w:bottom w:val="nil"/>
              <w:right w:val="nil"/>
            </w:tcBorders>
            <w:shd w:val="clear" w:color="FFFFFF" w:fill="FFFFFF"/>
            <w:noWrap/>
            <w:vAlign w:val="bottom"/>
            <w:hideMark/>
          </w:tcPr>
          <w:p w14:paraId="1BFE5D17" w14:textId="77777777" w:rsidR="00C32CBD" w:rsidRDefault="00C32CBD" w:rsidP="00320D09">
            <w:pPr>
              <w:jc w:val="right"/>
              <w:rPr>
                <w:rFonts w:cs="Arial"/>
                <w:b/>
                <w:bCs/>
                <w:sz w:val="18"/>
                <w:szCs w:val="18"/>
              </w:rPr>
            </w:pPr>
            <w:r>
              <w:rPr>
                <w:rFonts w:cs="Arial"/>
                <w:b/>
                <w:bCs/>
                <w:sz w:val="18"/>
                <w:szCs w:val="18"/>
              </w:rPr>
              <w:t>-</w:t>
            </w:r>
          </w:p>
        </w:tc>
        <w:tc>
          <w:tcPr>
            <w:tcW w:w="1424" w:type="dxa"/>
            <w:tcBorders>
              <w:top w:val="nil"/>
              <w:left w:val="nil"/>
              <w:bottom w:val="nil"/>
              <w:right w:val="nil"/>
            </w:tcBorders>
            <w:shd w:val="clear" w:color="FFFFFF" w:fill="FFFFFF"/>
            <w:noWrap/>
            <w:vAlign w:val="bottom"/>
            <w:hideMark/>
          </w:tcPr>
          <w:p w14:paraId="0845F5A7" w14:textId="77777777" w:rsidR="00C32CBD" w:rsidRDefault="00C32CBD" w:rsidP="00320D09">
            <w:pPr>
              <w:jc w:val="right"/>
              <w:rPr>
                <w:rFonts w:cs="Arial"/>
                <w:b/>
                <w:bCs/>
                <w:sz w:val="18"/>
                <w:szCs w:val="18"/>
              </w:rPr>
            </w:pPr>
            <w:r>
              <w:rPr>
                <w:rFonts w:cs="Arial"/>
                <w:b/>
                <w:bCs/>
                <w:sz w:val="18"/>
                <w:szCs w:val="18"/>
              </w:rPr>
              <w:t>36,700</w:t>
            </w:r>
          </w:p>
        </w:tc>
      </w:tr>
      <w:tr w:rsidR="00C32CBD" w14:paraId="10E3F451" w14:textId="77777777" w:rsidTr="00320D09">
        <w:trPr>
          <w:trHeight w:val="255"/>
        </w:trPr>
        <w:tc>
          <w:tcPr>
            <w:tcW w:w="6441" w:type="dxa"/>
            <w:tcBorders>
              <w:top w:val="nil"/>
              <w:left w:val="nil"/>
              <w:bottom w:val="nil"/>
              <w:right w:val="nil"/>
            </w:tcBorders>
            <w:shd w:val="clear" w:color="FFFFFF" w:fill="FFFFFF"/>
            <w:vAlign w:val="bottom"/>
            <w:hideMark/>
          </w:tcPr>
          <w:p w14:paraId="0302F72B" w14:textId="77777777" w:rsidR="00C32CBD" w:rsidRDefault="00C32CBD" w:rsidP="00320D09">
            <w:pPr>
              <w:rPr>
                <w:rFonts w:cs="Arial"/>
                <w:sz w:val="18"/>
                <w:szCs w:val="18"/>
              </w:rPr>
            </w:pPr>
            <w:r>
              <w:rPr>
                <w:rFonts w:cs="Arial"/>
                <w:sz w:val="18"/>
                <w:szCs w:val="18"/>
              </w:rPr>
              <w:t>Accumulated depreciation and impairment</w:t>
            </w:r>
          </w:p>
        </w:tc>
        <w:tc>
          <w:tcPr>
            <w:tcW w:w="2126" w:type="dxa"/>
            <w:tcBorders>
              <w:top w:val="nil"/>
              <w:left w:val="nil"/>
              <w:bottom w:val="nil"/>
              <w:right w:val="nil"/>
            </w:tcBorders>
            <w:shd w:val="clear" w:color="FFFFFF" w:fill="FFFFFF"/>
            <w:noWrap/>
            <w:vAlign w:val="bottom"/>
            <w:hideMark/>
          </w:tcPr>
          <w:p w14:paraId="23D0D037" w14:textId="77777777" w:rsidR="00C32CBD" w:rsidRDefault="00C32CBD" w:rsidP="00320D09">
            <w:pPr>
              <w:jc w:val="right"/>
              <w:rPr>
                <w:rFonts w:cs="Arial"/>
                <w:b/>
                <w:bCs/>
                <w:sz w:val="18"/>
                <w:szCs w:val="18"/>
              </w:rPr>
            </w:pPr>
            <w:r>
              <w:rPr>
                <w:rFonts w:cs="Arial"/>
                <w:b/>
                <w:bCs/>
                <w:sz w:val="18"/>
                <w:szCs w:val="18"/>
              </w:rPr>
              <w:t>(400)</w:t>
            </w:r>
          </w:p>
        </w:tc>
        <w:tc>
          <w:tcPr>
            <w:tcW w:w="1985" w:type="dxa"/>
            <w:tcBorders>
              <w:top w:val="nil"/>
              <w:left w:val="nil"/>
              <w:bottom w:val="nil"/>
              <w:right w:val="nil"/>
            </w:tcBorders>
            <w:shd w:val="clear" w:color="FFFFFF" w:fill="FFFFFF"/>
            <w:noWrap/>
            <w:vAlign w:val="bottom"/>
            <w:hideMark/>
          </w:tcPr>
          <w:p w14:paraId="1CD08C2D" w14:textId="77777777" w:rsidR="00C32CBD" w:rsidRDefault="00C32CBD" w:rsidP="00320D09">
            <w:pPr>
              <w:jc w:val="right"/>
              <w:rPr>
                <w:rFonts w:cs="Arial"/>
                <w:b/>
                <w:bCs/>
                <w:sz w:val="18"/>
                <w:szCs w:val="18"/>
              </w:rPr>
            </w:pPr>
            <w:r>
              <w:rPr>
                <w:rFonts w:cs="Arial"/>
                <w:b/>
                <w:bCs/>
                <w:sz w:val="18"/>
                <w:szCs w:val="18"/>
              </w:rPr>
              <w:t>(2,009)</w:t>
            </w:r>
          </w:p>
        </w:tc>
        <w:tc>
          <w:tcPr>
            <w:tcW w:w="2015" w:type="dxa"/>
            <w:tcBorders>
              <w:top w:val="nil"/>
              <w:left w:val="nil"/>
              <w:bottom w:val="nil"/>
              <w:right w:val="nil"/>
            </w:tcBorders>
            <w:shd w:val="clear" w:color="FFFFFF" w:fill="FFFFFF"/>
            <w:noWrap/>
            <w:vAlign w:val="bottom"/>
            <w:hideMark/>
          </w:tcPr>
          <w:p w14:paraId="079E5BB0" w14:textId="77777777" w:rsidR="00C32CBD" w:rsidRDefault="00C32CBD" w:rsidP="00320D09">
            <w:pPr>
              <w:jc w:val="right"/>
              <w:rPr>
                <w:rFonts w:cs="Arial"/>
                <w:b/>
                <w:bCs/>
                <w:sz w:val="18"/>
                <w:szCs w:val="18"/>
              </w:rPr>
            </w:pPr>
            <w:r>
              <w:rPr>
                <w:rFonts w:cs="Arial"/>
                <w:b/>
                <w:bCs/>
                <w:sz w:val="18"/>
                <w:szCs w:val="18"/>
              </w:rPr>
              <w:t>-</w:t>
            </w:r>
          </w:p>
        </w:tc>
        <w:tc>
          <w:tcPr>
            <w:tcW w:w="1424" w:type="dxa"/>
            <w:tcBorders>
              <w:top w:val="nil"/>
              <w:left w:val="nil"/>
              <w:bottom w:val="nil"/>
              <w:right w:val="nil"/>
            </w:tcBorders>
            <w:shd w:val="clear" w:color="FFFFFF" w:fill="FFFFFF"/>
            <w:noWrap/>
            <w:vAlign w:val="bottom"/>
            <w:hideMark/>
          </w:tcPr>
          <w:p w14:paraId="61303166" w14:textId="77777777" w:rsidR="00C32CBD" w:rsidRDefault="00C32CBD" w:rsidP="00320D09">
            <w:pPr>
              <w:jc w:val="right"/>
              <w:rPr>
                <w:rFonts w:cs="Arial"/>
                <w:b/>
                <w:bCs/>
                <w:sz w:val="18"/>
                <w:szCs w:val="18"/>
              </w:rPr>
            </w:pPr>
            <w:r>
              <w:rPr>
                <w:rFonts w:cs="Arial"/>
                <w:b/>
                <w:bCs/>
                <w:sz w:val="18"/>
                <w:szCs w:val="18"/>
              </w:rPr>
              <w:t>(2,409)</w:t>
            </w:r>
          </w:p>
        </w:tc>
      </w:tr>
      <w:tr w:rsidR="00C32CBD" w14:paraId="00C68E78" w14:textId="77777777" w:rsidTr="00320D09">
        <w:trPr>
          <w:trHeight w:val="255"/>
        </w:trPr>
        <w:tc>
          <w:tcPr>
            <w:tcW w:w="6441" w:type="dxa"/>
            <w:tcBorders>
              <w:top w:val="nil"/>
              <w:left w:val="nil"/>
              <w:bottom w:val="nil"/>
              <w:right w:val="nil"/>
            </w:tcBorders>
            <w:shd w:val="clear" w:color="FFFFFF" w:fill="FFFFFF"/>
            <w:noWrap/>
            <w:vAlign w:val="bottom"/>
            <w:hideMark/>
          </w:tcPr>
          <w:p w14:paraId="14208E3C" w14:textId="77777777" w:rsidR="00C32CBD" w:rsidRDefault="00C32CBD" w:rsidP="00320D09">
            <w:pPr>
              <w:rPr>
                <w:rFonts w:cs="Arial"/>
                <w:b/>
                <w:bCs/>
                <w:i/>
                <w:iCs/>
                <w:sz w:val="18"/>
                <w:szCs w:val="18"/>
              </w:rPr>
            </w:pPr>
            <w:r>
              <w:rPr>
                <w:rFonts w:cs="Arial"/>
                <w:b/>
                <w:bCs/>
                <w:i/>
                <w:iCs/>
                <w:sz w:val="18"/>
                <w:szCs w:val="18"/>
              </w:rPr>
              <w:t> </w:t>
            </w:r>
          </w:p>
        </w:tc>
        <w:tc>
          <w:tcPr>
            <w:tcW w:w="2126" w:type="dxa"/>
            <w:tcBorders>
              <w:top w:val="single" w:sz="4" w:space="0" w:color="auto"/>
              <w:left w:val="nil"/>
              <w:bottom w:val="single" w:sz="4" w:space="0" w:color="auto"/>
              <w:right w:val="nil"/>
            </w:tcBorders>
            <w:shd w:val="clear" w:color="FFFFFF" w:fill="FFFFFF"/>
            <w:noWrap/>
            <w:vAlign w:val="bottom"/>
            <w:hideMark/>
          </w:tcPr>
          <w:p w14:paraId="3FFD6039" w14:textId="77777777" w:rsidR="00C32CBD" w:rsidRDefault="00C32CBD" w:rsidP="00320D09">
            <w:pPr>
              <w:jc w:val="right"/>
              <w:rPr>
                <w:rFonts w:cs="Arial"/>
                <w:b/>
                <w:bCs/>
                <w:sz w:val="18"/>
                <w:szCs w:val="18"/>
              </w:rPr>
            </w:pPr>
            <w:r>
              <w:rPr>
                <w:rFonts w:cs="Arial"/>
                <w:b/>
                <w:bCs/>
                <w:sz w:val="18"/>
                <w:szCs w:val="18"/>
              </w:rPr>
              <w:t>33,900</w:t>
            </w:r>
          </w:p>
        </w:tc>
        <w:tc>
          <w:tcPr>
            <w:tcW w:w="1985" w:type="dxa"/>
            <w:tcBorders>
              <w:top w:val="single" w:sz="4" w:space="0" w:color="auto"/>
              <w:left w:val="nil"/>
              <w:bottom w:val="single" w:sz="4" w:space="0" w:color="auto"/>
              <w:right w:val="nil"/>
            </w:tcBorders>
            <w:shd w:val="clear" w:color="FFFFFF" w:fill="FFFFFF"/>
            <w:noWrap/>
            <w:vAlign w:val="bottom"/>
            <w:hideMark/>
          </w:tcPr>
          <w:p w14:paraId="76614F08" w14:textId="77777777" w:rsidR="00C32CBD" w:rsidRDefault="00C32CBD" w:rsidP="00320D09">
            <w:pPr>
              <w:jc w:val="right"/>
              <w:rPr>
                <w:rFonts w:cs="Arial"/>
                <w:b/>
                <w:bCs/>
                <w:sz w:val="18"/>
                <w:szCs w:val="18"/>
              </w:rPr>
            </w:pPr>
            <w:r>
              <w:rPr>
                <w:rFonts w:cs="Arial"/>
                <w:b/>
                <w:bCs/>
                <w:sz w:val="18"/>
                <w:szCs w:val="18"/>
              </w:rPr>
              <w:t>391</w:t>
            </w:r>
          </w:p>
        </w:tc>
        <w:tc>
          <w:tcPr>
            <w:tcW w:w="2015" w:type="dxa"/>
            <w:tcBorders>
              <w:top w:val="single" w:sz="4" w:space="0" w:color="auto"/>
              <w:left w:val="nil"/>
              <w:bottom w:val="single" w:sz="4" w:space="0" w:color="auto"/>
              <w:right w:val="nil"/>
            </w:tcBorders>
            <w:shd w:val="clear" w:color="FFFFFF" w:fill="FFFFFF"/>
            <w:noWrap/>
            <w:vAlign w:val="bottom"/>
            <w:hideMark/>
          </w:tcPr>
          <w:p w14:paraId="0E21EE6E" w14:textId="77777777" w:rsidR="00C32CBD" w:rsidRDefault="00C32CBD" w:rsidP="00320D09">
            <w:pPr>
              <w:jc w:val="right"/>
              <w:rPr>
                <w:rFonts w:cs="Arial"/>
                <w:b/>
                <w:bCs/>
                <w:sz w:val="18"/>
                <w:szCs w:val="18"/>
              </w:rPr>
            </w:pPr>
            <w:r>
              <w:rPr>
                <w:rFonts w:cs="Arial"/>
                <w:b/>
                <w:bCs/>
                <w:sz w:val="18"/>
                <w:szCs w:val="18"/>
              </w:rPr>
              <w:t>-</w:t>
            </w:r>
          </w:p>
        </w:tc>
        <w:tc>
          <w:tcPr>
            <w:tcW w:w="1424" w:type="dxa"/>
            <w:tcBorders>
              <w:top w:val="single" w:sz="4" w:space="0" w:color="auto"/>
              <w:left w:val="nil"/>
              <w:bottom w:val="single" w:sz="4" w:space="0" w:color="auto"/>
              <w:right w:val="nil"/>
            </w:tcBorders>
            <w:shd w:val="clear" w:color="FFFFFF" w:fill="FFFFFF"/>
            <w:noWrap/>
            <w:vAlign w:val="bottom"/>
            <w:hideMark/>
          </w:tcPr>
          <w:p w14:paraId="46C4A3A3" w14:textId="77777777" w:rsidR="00C32CBD" w:rsidRDefault="00C32CBD" w:rsidP="00320D09">
            <w:pPr>
              <w:jc w:val="right"/>
              <w:rPr>
                <w:rFonts w:cs="Arial"/>
                <w:b/>
                <w:bCs/>
                <w:sz w:val="18"/>
                <w:szCs w:val="18"/>
              </w:rPr>
            </w:pPr>
            <w:r>
              <w:rPr>
                <w:rFonts w:cs="Arial"/>
                <w:b/>
                <w:bCs/>
                <w:sz w:val="18"/>
                <w:szCs w:val="18"/>
              </w:rPr>
              <w:t>34,291</w:t>
            </w:r>
          </w:p>
        </w:tc>
      </w:tr>
    </w:tbl>
    <w:p w14:paraId="5C54346F" w14:textId="77777777" w:rsidR="00C32CBD" w:rsidRDefault="00C32CBD" w:rsidP="00C32CBD">
      <w:pPr>
        <w:spacing w:line="240" w:lineRule="auto"/>
        <w:ind w:left="142"/>
        <w:rPr>
          <w:rFonts w:cs="Arial"/>
          <w:sz w:val="18"/>
          <w:szCs w:val="18"/>
        </w:rPr>
      </w:pPr>
    </w:p>
    <w:p w14:paraId="256C71ED" w14:textId="70B7C8F3" w:rsidR="00C32CBD" w:rsidRDefault="00C32CBD" w:rsidP="00C32CBD">
      <w:pPr>
        <w:spacing w:line="240" w:lineRule="auto"/>
        <w:ind w:left="142"/>
        <w:rPr>
          <w:rFonts w:cs="Arial"/>
          <w:sz w:val="18"/>
          <w:szCs w:val="18"/>
        </w:rPr>
      </w:pPr>
      <w:r w:rsidRPr="001F107C">
        <w:rPr>
          <w:rFonts w:cs="Arial"/>
          <w:sz w:val="18"/>
          <w:szCs w:val="18"/>
        </w:rPr>
        <w:t>All</w:t>
      </w:r>
      <w:r>
        <w:rPr>
          <w:rFonts w:cs="Arial"/>
          <w:sz w:val="18"/>
          <w:szCs w:val="18"/>
        </w:rPr>
        <w:t xml:space="preserve"> items of property, plant and equipment and</w:t>
      </w:r>
      <w:r w:rsidRPr="001F107C">
        <w:rPr>
          <w:rFonts w:cs="Arial"/>
          <w:sz w:val="18"/>
          <w:szCs w:val="18"/>
        </w:rPr>
        <w:t xml:space="preserve"> intangible assets were assessed for indications of impairment as at </w:t>
      </w:r>
      <w:r w:rsidR="009F7EBD" w:rsidRPr="009F7EBD">
        <w:t>30 June 2017</w:t>
      </w:r>
      <w:r>
        <w:rPr>
          <w:rFonts w:cs="Arial"/>
          <w:sz w:val="18"/>
          <w:szCs w:val="18"/>
        </w:rPr>
        <w:t xml:space="preserve"> and no indicators of impairment were found. </w:t>
      </w:r>
    </w:p>
    <w:p w14:paraId="4C5B49BE" w14:textId="77777777" w:rsidR="00C32CBD" w:rsidRDefault="00C32CBD" w:rsidP="00C32CBD">
      <w:pPr>
        <w:spacing w:line="240" w:lineRule="auto"/>
        <w:ind w:left="142"/>
        <w:rPr>
          <w:rFonts w:cs="Arial"/>
          <w:sz w:val="18"/>
          <w:szCs w:val="18"/>
        </w:rPr>
      </w:pPr>
      <w:r w:rsidRPr="001F107C">
        <w:rPr>
          <w:rFonts w:cs="Arial"/>
          <w:sz w:val="18"/>
          <w:szCs w:val="18"/>
        </w:rPr>
        <w:t>No property, plant and equipment is expected to be sold or disposed of within the next 12 months.</w:t>
      </w:r>
    </w:p>
    <w:p w14:paraId="6528E426" w14:textId="77777777" w:rsidR="00C32CBD" w:rsidRPr="001F107C" w:rsidRDefault="00C32CBD" w:rsidP="00C32CBD">
      <w:pPr>
        <w:spacing w:line="240" w:lineRule="auto"/>
        <w:ind w:left="142"/>
        <w:rPr>
          <w:rFonts w:cs="Arial"/>
          <w:sz w:val="18"/>
          <w:szCs w:val="18"/>
        </w:rPr>
        <w:sectPr w:rsidR="00C32CBD" w:rsidRPr="001F107C" w:rsidSect="00320D09">
          <w:pgSz w:w="16838" w:h="11906" w:orient="landscape" w:code="9"/>
          <w:pgMar w:top="1134" w:right="1670" w:bottom="1134" w:left="1134" w:header="958" w:footer="737" w:gutter="0"/>
          <w:cols w:space="708"/>
          <w:docGrid w:linePitch="360"/>
        </w:sectPr>
      </w:pPr>
      <w:r w:rsidRPr="00EA4864">
        <w:rPr>
          <w:rFonts w:cs="Arial"/>
          <w:sz w:val="18"/>
          <w:szCs w:val="18"/>
        </w:rPr>
        <w:t>Buildings (leasehold improvements), property, plant and equipment are measured at their estimated fair value in the financial statements.</w:t>
      </w:r>
      <w:r>
        <w:rPr>
          <w:rFonts w:cs="Arial"/>
          <w:sz w:val="18"/>
          <w:szCs w:val="18"/>
        </w:rPr>
        <w:t xml:space="preserve"> Refer to Note 5.3 for further details.</w:t>
      </w:r>
    </w:p>
    <w:p w14:paraId="6CC575BF" w14:textId="77777777" w:rsidR="00C32CBD" w:rsidRPr="001F107C" w:rsidRDefault="00C32CBD" w:rsidP="00C32CBD">
      <w:pPr>
        <w:autoSpaceDE w:val="0"/>
        <w:autoSpaceDN w:val="0"/>
        <w:adjustRightInd w:val="0"/>
        <w:spacing w:line="240" w:lineRule="auto"/>
        <w:rPr>
          <w:rFonts w:cs="Arial"/>
          <w:b/>
          <w:bCs/>
          <w:sz w:val="18"/>
          <w:szCs w:val="18"/>
        </w:rPr>
      </w:pPr>
      <w:r>
        <w:rPr>
          <w:rFonts w:cs="Arial"/>
          <w:noProof/>
          <w:sz w:val="18"/>
          <w:szCs w:val="18"/>
          <w:lang w:val="en-AU" w:eastAsia="en-AU"/>
        </w:rPr>
        <mc:AlternateContent>
          <mc:Choice Requires="wps">
            <w:drawing>
              <wp:anchor distT="0" distB="0" distL="114300" distR="114300" simplePos="0" relativeHeight="251659264" behindDoc="0" locked="0" layoutInCell="1" allowOverlap="1" wp14:anchorId="266B6267" wp14:editId="5AE04CD4">
                <wp:simplePos x="0" y="0"/>
                <wp:positionH relativeFrom="column">
                  <wp:posOffset>-81915</wp:posOffset>
                </wp:positionH>
                <wp:positionV relativeFrom="paragraph">
                  <wp:posOffset>-69215</wp:posOffset>
                </wp:positionV>
                <wp:extent cx="6337300" cy="8718550"/>
                <wp:effectExtent l="0" t="0" r="25400" b="254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7300" cy="8718550"/>
                        </a:xfrm>
                        <a:prstGeom prst="rect">
                          <a:avLst/>
                        </a:prstGeom>
                        <a:noFill/>
                        <a:ln w="9525">
                          <a:solidFill>
                            <a:srgbClr val="0095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mv="urn:schemas-microsoft-com:mac:vml" xmlns:mo="http://schemas.microsoft.com/office/mac/office/2008/main">
            <w:pict>
              <v:rect w14:anchorId="41720612" id="Rectangle 2" o:spid="_x0000_s1026" style="position:absolute;margin-left:-6.45pt;margin-top:-5.4pt;width:499pt;height:6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" filled="f" strokecolor="#009560"/>
            </w:pict>
          </mc:Fallback>
        </mc:AlternateContent>
      </w:r>
      <w:r w:rsidRPr="001F107C">
        <w:rPr>
          <w:rFonts w:cs="Arial"/>
          <w:b/>
          <w:sz w:val="18"/>
          <w:szCs w:val="18"/>
          <w:lang w:eastAsia="en-AU"/>
        </w:rPr>
        <w:t>A</w:t>
      </w:r>
      <w:r w:rsidRPr="001F107C">
        <w:rPr>
          <w:rFonts w:cs="Arial"/>
          <w:b/>
          <w:bCs/>
          <w:sz w:val="18"/>
          <w:szCs w:val="18"/>
        </w:rPr>
        <w:t>ccounting Policy</w:t>
      </w:r>
    </w:p>
    <w:p w14:paraId="6E430876" w14:textId="77777777" w:rsidR="00C32CBD" w:rsidRDefault="00C32CBD" w:rsidP="00C32CBD">
      <w:pPr>
        <w:spacing w:line="240" w:lineRule="auto"/>
        <w:rPr>
          <w:rFonts w:cs="Arial"/>
          <w:sz w:val="18"/>
          <w:szCs w:val="18"/>
        </w:rPr>
      </w:pPr>
    </w:p>
    <w:p w14:paraId="1CA87C3F" w14:textId="77777777" w:rsidR="00C32CBD" w:rsidRDefault="00C32CBD" w:rsidP="00C32CBD">
      <w:pPr>
        <w:spacing w:line="240" w:lineRule="auto"/>
        <w:rPr>
          <w:rFonts w:cs="Arial"/>
          <w:sz w:val="18"/>
          <w:szCs w:val="18"/>
        </w:rPr>
      </w:pPr>
      <w:r w:rsidRPr="005D0F61">
        <w:rPr>
          <w:rFonts w:cs="Arial"/>
          <w:sz w:val="18"/>
          <w:szCs w:val="18"/>
        </w:rPr>
        <w:t xml:space="preserve">Assets are recorded at cost on acquisition except as stated below. The cost of acquisition includes the fair value of assets transferred in exchange and liabilities undertaken. </w:t>
      </w:r>
      <w:r>
        <w:rPr>
          <w:rFonts w:cs="Arial"/>
          <w:sz w:val="18"/>
          <w:szCs w:val="18"/>
        </w:rPr>
        <w:t>Non-f</w:t>
      </w:r>
      <w:r w:rsidRPr="005D0F61">
        <w:rPr>
          <w:rFonts w:cs="Arial"/>
          <w:sz w:val="18"/>
          <w:szCs w:val="18"/>
        </w:rPr>
        <w:t>inancial assets are initially measured at their fair value plus transaction costs where appropriate.</w:t>
      </w:r>
    </w:p>
    <w:p w14:paraId="06B34D97" w14:textId="77777777" w:rsidR="00C32CBD" w:rsidRPr="005D0F61" w:rsidRDefault="00C32CBD" w:rsidP="00C32CBD">
      <w:pPr>
        <w:spacing w:line="240" w:lineRule="auto"/>
        <w:rPr>
          <w:rFonts w:cs="Arial"/>
          <w:sz w:val="18"/>
          <w:szCs w:val="18"/>
        </w:rPr>
      </w:pPr>
    </w:p>
    <w:p w14:paraId="27B43F06" w14:textId="77777777" w:rsidR="00C32CBD" w:rsidRDefault="00C32CBD" w:rsidP="00C32CBD">
      <w:pPr>
        <w:spacing w:line="240" w:lineRule="auto"/>
        <w:rPr>
          <w:rFonts w:cs="Arial"/>
          <w:sz w:val="18"/>
          <w:szCs w:val="18"/>
        </w:rPr>
      </w:pPr>
      <w:r w:rsidRPr="005D0F61">
        <w:rPr>
          <w:rFonts w:cs="Arial"/>
          <w:sz w:val="18"/>
          <w:szCs w:val="18"/>
        </w:rPr>
        <w:t xml:space="preserve">Assets acquired at no cost, or for nominal </w:t>
      </w:r>
      <w:r>
        <w:rPr>
          <w:rFonts w:cs="Arial"/>
          <w:sz w:val="18"/>
          <w:szCs w:val="18"/>
        </w:rPr>
        <w:t>c</w:t>
      </w:r>
      <w:r w:rsidRPr="005D0F61">
        <w:rPr>
          <w:rFonts w:cs="Arial"/>
          <w:sz w:val="18"/>
          <w:szCs w:val="18"/>
        </w:rPr>
        <w:t>onsideration, are initially recognised as assets and income at their fair value at the date of acquisition, unless acquired as a consequence of restructuring of administrative arrangements. In the latter case, assets are initially recognised as contributions by owne</w:t>
      </w:r>
      <w:r>
        <w:rPr>
          <w:rFonts w:cs="Arial"/>
          <w:sz w:val="18"/>
          <w:szCs w:val="18"/>
        </w:rPr>
        <w:t>r</w:t>
      </w:r>
      <w:r w:rsidRPr="005D0F61">
        <w:rPr>
          <w:rFonts w:cs="Arial"/>
          <w:sz w:val="18"/>
          <w:szCs w:val="18"/>
        </w:rPr>
        <w:t>s at the amounts at which they were recognised in the transferor’s accounts immediately prior to the restructuring.</w:t>
      </w:r>
    </w:p>
    <w:p w14:paraId="48E28040" w14:textId="77777777" w:rsidR="00C32CBD" w:rsidRPr="001F107C" w:rsidRDefault="00C32CBD" w:rsidP="00C32CBD">
      <w:pPr>
        <w:spacing w:line="240" w:lineRule="auto"/>
        <w:rPr>
          <w:rFonts w:cs="Arial"/>
          <w:sz w:val="18"/>
          <w:szCs w:val="18"/>
        </w:rPr>
      </w:pPr>
    </w:p>
    <w:p w14:paraId="345F047F" w14:textId="77777777" w:rsidR="00C32CBD" w:rsidRPr="005E5430" w:rsidRDefault="00C32CBD" w:rsidP="00C32CBD">
      <w:pPr>
        <w:spacing w:line="240" w:lineRule="auto"/>
        <w:rPr>
          <w:rFonts w:cs="Arial"/>
          <w:i/>
          <w:iCs/>
          <w:sz w:val="18"/>
          <w:szCs w:val="18"/>
          <w:u w:val="single"/>
          <w:lang w:eastAsia="en-AU"/>
        </w:rPr>
      </w:pPr>
      <w:r w:rsidRPr="005E5430">
        <w:rPr>
          <w:rFonts w:cs="Arial"/>
          <w:i/>
          <w:iCs/>
          <w:sz w:val="18"/>
          <w:szCs w:val="18"/>
          <w:u w:val="single"/>
          <w:lang w:eastAsia="en-AU"/>
        </w:rPr>
        <w:t>Asset recognition threshold</w:t>
      </w:r>
    </w:p>
    <w:p w14:paraId="3C3C4F88" w14:textId="77777777" w:rsidR="00C32CBD" w:rsidRPr="005E5430" w:rsidRDefault="00C32CBD" w:rsidP="00C32CBD">
      <w:pPr>
        <w:spacing w:line="240" w:lineRule="auto"/>
        <w:rPr>
          <w:rFonts w:cs="Arial"/>
          <w:sz w:val="18"/>
          <w:szCs w:val="18"/>
          <w:lang w:eastAsia="en-AU"/>
        </w:rPr>
      </w:pPr>
      <w:r w:rsidRPr="005E5430">
        <w:rPr>
          <w:rFonts w:cs="Arial"/>
          <w:sz w:val="18"/>
          <w:szCs w:val="18"/>
          <w:lang w:eastAsia="en-AU"/>
        </w:rPr>
        <w:t>Purchases of property, plant and equipment are recognised initially at cost in the Statement of Financial Position, except for purchases costing less than $5,000 which are expensed in the year of acquisition</w:t>
      </w:r>
      <w:r>
        <w:rPr>
          <w:rFonts w:cs="Arial"/>
          <w:sz w:val="18"/>
          <w:szCs w:val="18"/>
          <w:lang w:eastAsia="en-AU"/>
        </w:rPr>
        <w:t xml:space="preserve"> (other than where they form part of a group of similar items which are significant in total)</w:t>
      </w:r>
      <w:r w:rsidRPr="005E5430">
        <w:rPr>
          <w:rFonts w:cs="Arial"/>
          <w:sz w:val="18"/>
          <w:szCs w:val="18"/>
          <w:lang w:eastAsia="en-AU"/>
        </w:rPr>
        <w:t>.</w:t>
      </w:r>
    </w:p>
    <w:p w14:paraId="70C3F49D" w14:textId="77777777" w:rsidR="00C32CBD" w:rsidRPr="005E5430" w:rsidRDefault="00C32CBD" w:rsidP="00C32CBD">
      <w:pPr>
        <w:spacing w:line="240" w:lineRule="auto"/>
        <w:rPr>
          <w:rFonts w:cs="Arial"/>
          <w:sz w:val="18"/>
          <w:szCs w:val="18"/>
          <w:lang w:eastAsia="en-AU"/>
        </w:rPr>
      </w:pPr>
    </w:p>
    <w:p w14:paraId="288C0D91" w14:textId="77777777" w:rsidR="00C32CBD" w:rsidRPr="005E5430" w:rsidRDefault="00C32CBD" w:rsidP="00C32CBD">
      <w:pPr>
        <w:spacing w:line="240" w:lineRule="auto"/>
        <w:rPr>
          <w:rFonts w:cs="Arial"/>
          <w:sz w:val="18"/>
          <w:szCs w:val="18"/>
          <w:lang w:eastAsia="en-AU"/>
        </w:rPr>
      </w:pPr>
      <w:r w:rsidRPr="005E5430">
        <w:rPr>
          <w:rFonts w:cs="Arial"/>
          <w:sz w:val="18"/>
          <w:szCs w:val="18"/>
          <w:lang w:eastAsia="en-AU"/>
        </w:rPr>
        <w:t>The initial cost of an asset includes an estimate of the cost of dismantling and removing the item and restoring the site on which it is located.  This is particularly relevant to ‘make good’ provisions in property leases taken up by the Agency where there exists an obligation to restore the property to its original condition.  These costs are included in the value of the Agency's leasehold improvements with a corresponding provision for the ‘make good’ obligation recognised.</w:t>
      </w:r>
    </w:p>
    <w:p w14:paraId="1FF1481F" w14:textId="77777777" w:rsidR="00C32CBD" w:rsidRPr="005E5430" w:rsidRDefault="00C32CBD" w:rsidP="00C32CBD">
      <w:pPr>
        <w:spacing w:line="240" w:lineRule="auto"/>
        <w:rPr>
          <w:rFonts w:cs="Arial"/>
          <w:i/>
          <w:iCs/>
          <w:sz w:val="18"/>
          <w:szCs w:val="18"/>
          <w:u w:val="single"/>
          <w:lang w:eastAsia="en-AU"/>
        </w:rPr>
      </w:pPr>
    </w:p>
    <w:p w14:paraId="06689BF1" w14:textId="77777777" w:rsidR="00C32CBD" w:rsidRPr="005E5430" w:rsidRDefault="00C32CBD" w:rsidP="00C32CBD">
      <w:pPr>
        <w:spacing w:line="240" w:lineRule="auto"/>
        <w:rPr>
          <w:rFonts w:cs="Arial"/>
          <w:i/>
          <w:iCs/>
          <w:sz w:val="18"/>
          <w:szCs w:val="18"/>
          <w:u w:val="single"/>
          <w:lang w:eastAsia="en-AU"/>
        </w:rPr>
      </w:pPr>
      <w:r w:rsidRPr="005E5430">
        <w:rPr>
          <w:rFonts w:cs="Arial"/>
          <w:i/>
          <w:iCs/>
          <w:sz w:val="18"/>
          <w:szCs w:val="18"/>
          <w:u w:val="single"/>
          <w:lang w:eastAsia="en-AU"/>
        </w:rPr>
        <w:t>Revaluations</w:t>
      </w:r>
    </w:p>
    <w:p w14:paraId="76331562" w14:textId="65496C28" w:rsidR="00C32CBD" w:rsidRDefault="00C32CBD" w:rsidP="00C32CBD">
      <w:pPr>
        <w:spacing w:line="240" w:lineRule="auto"/>
        <w:rPr>
          <w:rFonts w:cs="Arial"/>
          <w:sz w:val="18"/>
          <w:szCs w:val="18"/>
          <w:lang w:eastAsia="en-AU"/>
        </w:rPr>
      </w:pPr>
      <w:r w:rsidRPr="005E5430">
        <w:rPr>
          <w:rFonts w:cs="Arial"/>
          <w:sz w:val="18"/>
          <w:szCs w:val="18"/>
          <w:lang w:eastAsia="en-AU"/>
        </w:rPr>
        <w:t xml:space="preserve">Following initial recognition at cost, items of property, plant and equipment are carried at fair value less accumulated depreciation and accumulated impairment losses. The Agency’s policy is to conduct valuations with sufficient frequency to ensure that the carrying value of items do not differ materially from their fair value at each reporting date. </w:t>
      </w:r>
      <w:r w:rsidRPr="00C63934">
        <w:rPr>
          <w:rFonts w:cs="Arial"/>
          <w:sz w:val="18"/>
          <w:szCs w:val="18"/>
          <w:lang w:eastAsia="en-AU"/>
        </w:rPr>
        <w:t xml:space="preserve">The </w:t>
      </w:r>
      <w:r>
        <w:rPr>
          <w:rFonts w:cs="Arial"/>
          <w:sz w:val="18"/>
          <w:szCs w:val="18"/>
          <w:lang w:eastAsia="en-AU"/>
        </w:rPr>
        <w:t>Agency</w:t>
      </w:r>
      <w:r w:rsidRPr="00C63934">
        <w:rPr>
          <w:rFonts w:cs="Arial"/>
          <w:sz w:val="18"/>
          <w:szCs w:val="18"/>
          <w:lang w:eastAsia="en-AU"/>
        </w:rPr>
        <w:t xml:space="preserve">'s </w:t>
      </w:r>
      <w:r>
        <w:rPr>
          <w:rFonts w:cs="Arial"/>
          <w:sz w:val="18"/>
          <w:szCs w:val="18"/>
          <w:lang w:eastAsia="en-AU"/>
        </w:rPr>
        <w:t>leasehold improvements</w:t>
      </w:r>
      <w:r w:rsidRPr="00C63934">
        <w:rPr>
          <w:rFonts w:cs="Arial"/>
          <w:sz w:val="18"/>
          <w:szCs w:val="18"/>
          <w:lang w:eastAsia="en-AU"/>
        </w:rPr>
        <w:t xml:space="preserve"> are stated at their revalued amounts, being the fair value at the date of revaluation, less any subsequent accumulated depreciation. The fair value measurements of the </w:t>
      </w:r>
      <w:r>
        <w:rPr>
          <w:rFonts w:cs="Arial"/>
          <w:sz w:val="18"/>
          <w:szCs w:val="18"/>
          <w:lang w:eastAsia="en-AU"/>
        </w:rPr>
        <w:t>Agency</w:t>
      </w:r>
      <w:r w:rsidRPr="00C63934">
        <w:rPr>
          <w:rFonts w:cs="Arial"/>
          <w:sz w:val="18"/>
          <w:szCs w:val="18"/>
          <w:lang w:eastAsia="en-AU"/>
        </w:rPr>
        <w:t xml:space="preserve">'s </w:t>
      </w:r>
      <w:r>
        <w:rPr>
          <w:rFonts w:cs="Arial"/>
          <w:sz w:val="18"/>
          <w:szCs w:val="18"/>
          <w:lang w:eastAsia="en-AU"/>
        </w:rPr>
        <w:t>leasehold improvements</w:t>
      </w:r>
      <w:r w:rsidRPr="00C63934">
        <w:rPr>
          <w:rFonts w:cs="Arial"/>
          <w:sz w:val="18"/>
          <w:szCs w:val="18"/>
          <w:lang w:eastAsia="en-AU"/>
        </w:rPr>
        <w:t xml:space="preserve"> as at </w:t>
      </w:r>
      <w:r w:rsidR="000263D6" w:rsidRPr="000263D6">
        <w:t>30 June 2017</w:t>
      </w:r>
      <w:r w:rsidRPr="00C63934">
        <w:rPr>
          <w:rFonts w:cs="Arial"/>
          <w:sz w:val="18"/>
          <w:szCs w:val="18"/>
          <w:lang w:eastAsia="en-AU"/>
        </w:rPr>
        <w:t xml:space="preserve"> were performed by </w:t>
      </w:r>
      <w:r>
        <w:rPr>
          <w:rFonts w:cs="Arial"/>
          <w:sz w:val="18"/>
          <w:szCs w:val="18"/>
          <w:lang w:eastAsia="en-AU"/>
        </w:rPr>
        <w:t>Australian Valuation Solutions (‘AVS’)</w:t>
      </w:r>
      <w:r w:rsidRPr="00C63934">
        <w:rPr>
          <w:rFonts w:cs="Arial"/>
          <w:sz w:val="18"/>
          <w:szCs w:val="18"/>
          <w:lang w:eastAsia="en-AU"/>
        </w:rPr>
        <w:t xml:space="preserve">, independent </w:t>
      </w:r>
      <w:r>
        <w:rPr>
          <w:rFonts w:cs="Arial"/>
          <w:sz w:val="18"/>
          <w:szCs w:val="18"/>
          <w:lang w:eastAsia="en-AU"/>
        </w:rPr>
        <w:t>valuers</w:t>
      </w:r>
      <w:r w:rsidRPr="00C63934">
        <w:rPr>
          <w:rFonts w:cs="Arial"/>
          <w:sz w:val="18"/>
          <w:szCs w:val="18"/>
          <w:lang w:eastAsia="en-AU"/>
        </w:rPr>
        <w:t xml:space="preserve">. </w:t>
      </w:r>
      <w:r>
        <w:rPr>
          <w:rFonts w:cs="Arial"/>
          <w:sz w:val="18"/>
          <w:szCs w:val="18"/>
          <w:lang w:eastAsia="en-AU"/>
        </w:rPr>
        <w:t>AVS</w:t>
      </w:r>
      <w:r w:rsidRPr="00C63934">
        <w:rPr>
          <w:rFonts w:cs="Arial"/>
          <w:sz w:val="18"/>
          <w:szCs w:val="18"/>
          <w:lang w:eastAsia="en-AU"/>
        </w:rPr>
        <w:t xml:space="preserve"> have appropriate qualifications and recent experience in the fair value measurement of </w:t>
      </w:r>
      <w:r>
        <w:rPr>
          <w:rFonts w:cs="Arial"/>
          <w:sz w:val="18"/>
          <w:szCs w:val="18"/>
          <w:lang w:eastAsia="en-AU"/>
        </w:rPr>
        <w:t>similar assets</w:t>
      </w:r>
      <w:r w:rsidRPr="00C63934">
        <w:rPr>
          <w:rFonts w:cs="Arial"/>
          <w:sz w:val="18"/>
          <w:szCs w:val="18"/>
          <w:lang w:eastAsia="en-AU"/>
        </w:rPr>
        <w:t xml:space="preserve"> in the </w:t>
      </w:r>
      <w:r>
        <w:rPr>
          <w:rFonts w:cs="Arial"/>
          <w:sz w:val="18"/>
          <w:szCs w:val="18"/>
          <w:lang w:eastAsia="en-AU"/>
        </w:rPr>
        <w:t>Government sector</w:t>
      </w:r>
      <w:r w:rsidRPr="005F1A12">
        <w:rPr>
          <w:rFonts w:cs="Arial"/>
          <w:sz w:val="18"/>
          <w:szCs w:val="18"/>
          <w:lang w:eastAsia="en-AU"/>
        </w:rPr>
        <w:t>.</w:t>
      </w:r>
    </w:p>
    <w:p w14:paraId="20C85095" w14:textId="77777777" w:rsidR="00C32CBD" w:rsidRDefault="00C32CBD" w:rsidP="00C32CBD">
      <w:pPr>
        <w:spacing w:line="240" w:lineRule="auto"/>
        <w:rPr>
          <w:rFonts w:cs="Arial"/>
          <w:sz w:val="18"/>
          <w:szCs w:val="18"/>
          <w:lang w:eastAsia="en-AU"/>
        </w:rPr>
      </w:pPr>
    </w:p>
    <w:p w14:paraId="3FC820E5" w14:textId="77777777" w:rsidR="00C32CBD" w:rsidRDefault="00C32CBD" w:rsidP="00C32CBD">
      <w:pPr>
        <w:spacing w:line="240" w:lineRule="auto"/>
        <w:rPr>
          <w:rFonts w:cs="Arial"/>
          <w:sz w:val="18"/>
          <w:szCs w:val="18"/>
          <w:lang w:eastAsia="en-AU"/>
        </w:rPr>
      </w:pPr>
      <w:r>
        <w:rPr>
          <w:rFonts w:cs="Arial"/>
          <w:sz w:val="18"/>
          <w:szCs w:val="18"/>
          <w:lang w:eastAsia="en-AU"/>
        </w:rPr>
        <w:t xml:space="preserve">Revaluation adjustments are made on a class basis.  Any revaluation increment is credited to equity under the heading of asset revaluation reserve except to the extent that it reverses a previous revaluation decrement of the same asset class that was previously recognised in the surplus/deficit.  Revaluation decrements for a class of assets are recognised directly in the surplus/deficit except to the extent that they reverse a previous revaluation increment for that class. </w:t>
      </w:r>
    </w:p>
    <w:p w14:paraId="7BA2D6F1" w14:textId="77777777" w:rsidR="00C32CBD" w:rsidRDefault="00C32CBD" w:rsidP="00C32CBD">
      <w:pPr>
        <w:spacing w:line="240" w:lineRule="auto"/>
        <w:rPr>
          <w:rFonts w:cs="Arial"/>
          <w:sz w:val="18"/>
          <w:szCs w:val="18"/>
          <w:lang w:eastAsia="en-AU"/>
        </w:rPr>
      </w:pPr>
    </w:p>
    <w:p w14:paraId="311CCF04" w14:textId="77777777" w:rsidR="00C32CBD" w:rsidRDefault="00C32CBD" w:rsidP="00C32CBD">
      <w:pPr>
        <w:spacing w:line="240" w:lineRule="auto"/>
        <w:rPr>
          <w:rFonts w:cs="Arial"/>
          <w:sz w:val="18"/>
          <w:szCs w:val="18"/>
          <w:lang w:eastAsia="en-AU"/>
        </w:rPr>
      </w:pPr>
    </w:p>
    <w:p w14:paraId="393EA2D9" w14:textId="77777777" w:rsidR="00C32CBD" w:rsidRPr="005E5430" w:rsidRDefault="00C32CBD" w:rsidP="00C32CBD">
      <w:pPr>
        <w:spacing w:line="240" w:lineRule="auto"/>
        <w:rPr>
          <w:rFonts w:cs="Arial"/>
          <w:sz w:val="18"/>
          <w:szCs w:val="18"/>
          <w:lang w:eastAsia="en-AU"/>
        </w:rPr>
      </w:pPr>
      <w:r>
        <w:rPr>
          <w:rFonts w:cs="Arial"/>
          <w:sz w:val="18"/>
          <w:szCs w:val="18"/>
          <w:lang w:eastAsia="en-AU"/>
        </w:rPr>
        <w:t xml:space="preserve">Any accumulated depreciation as at the revaluation date is eliminated against the gross carrying amount of the asset and the asset was restated to the revalued amount. </w:t>
      </w:r>
    </w:p>
    <w:p w14:paraId="32FA22DE" w14:textId="77777777" w:rsidR="00C32CBD" w:rsidRPr="005E5430" w:rsidRDefault="00C32CBD" w:rsidP="00C32CBD">
      <w:pPr>
        <w:spacing w:line="240" w:lineRule="auto"/>
        <w:ind w:left="720"/>
        <w:rPr>
          <w:rFonts w:cs="Arial"/>
          <w:i/>
          <w:iCs/>
          <w:sz w:val="18"/>
          <w:szCs w:val="18"/>
          <w:u w:val="single"/>
          <w:lang w:eastAsia="en-AU"/>
        </w:rPr>
      </w:pPr>
    </w:p>
    <w:p w14:paraId="411875CA" w14:textId="77777777" w:rsidR="00C32CBD" w:rsidRPr="005E5430" w:rsidRDefault="00C32CBD" w:rsidP="00C32CBD">
      <w:pPr>
        <w:spacing w:line="240" w:lineRule="auto"/>
        <w:rPr>
          <w:rFonts w:cs="Arial"/>
          <w:i/>
          <w:iCs/>
          <w:sz w:val="18"/>
          <w:szCs w:val="18"/>
          <w:u w:val="single"/>
          <w:lang w:eastAsia="en-AU"/>
        </w:rPr>
      </w:pPr>
      <w:r w:rsidRPr="005E5430">
        <w:rPr>
          <w:rFonts w:cs="Arial"/>
          <w:i/>
          <w:iCs/>
          <w:sz w:val="18"/>
          <w:szCs w:val="18"/>
          <w:u w:val="single"/>
          <w:lang w:eastAsia="en-AU"/>
        </w:rPr>
        <w:t>Depreciation</w:t>
      </w:r>
    </w:p>
    <w:p w14:paraId="626BA9BC" w14:textId="77777777" w:rsidR="00C32CBD" w:rsidRPr="005E5430" w:rsidRDefault="00C32CBD" w:rsidP="00C32CBD">
      <w:pPr>
        <w:autoSpaceDE w:val="0"/>
        <w:autoSpaceDN w:val="0"/>
        <w:adjustRightInd w:val="0"/>
        <w:spacing w:line="240" w:lineRule="auto"/>
        <w:rPr>
          <w:rFonts w:cs="Arial"/>
          <w:sz w:val="18"/>
          <w:szCs w:val="18"/>
          <w:lang w:eastAsia="en-AU"/>
        </w:rPr>
      </w:pPr>
      <w:r>
        <w:rPr>
          <w:rFonts w:cs="Arial"/>
          <w:sz w:val="18"/>
          <w:szCs w:val="18"/>
        </w:rPr>
        <w:t xml:space="preserve">Depreciable property, plant and equipment assets </w:t>
      </w:r>
      <w:r w:rsidRPr="005E5430">
        <w:rPr>
          <w:rFonts w:cs="Arial"/>
          <w:sz w:val="18"/>
          <w:szCs w:val="18"/>
        </w:rPr>
        <w:t>(other than freehold land and properties under construction)</w:t>
      </w:r>
      <w:r>
        <w:rPr>
          <w:rFonts w:cs="Arial"/>
          <w:sz w:val="18"/>
          <w:szCs w:val="18"/>
        </w:rPr>
        <w:t xml:space="preserve"> are written-off to their estimated residual values over their estimated useful lives using the straight-line method of depreciation.  </w:t>
      </w:r>
      <w:r w:rsidRPr="005E5430">
        <w:rPr>
          <w:rFonts w:cs="Arial"/>
          <w:sz w:val="18"/>
          <w:szCs w:val="18"/>
        </w:rPr>
        <w:t>The estimated useful lives, residual values and depreciation methods are reviewed at the end of each reporting period, with the effect of any changes in estimates accounted for on a prospective basis. The table below outlines the d</w:t>
      </w:r>
      <w:r w:rsidRPr="005E5430">
        <w:rPr>
          <w:rFonts w:cs="Arial"/>
          <w:sz w:val="18"/>
          <w:szCs w:val="18"/>
          <w:lang w:eastAsia="en-AU"/>
        </w:rPr>
        <w:t>epreciation rates applying to each class of depreciable asset based on the following useful lives</w:t>
      </w:r>
      <w:r>
        <w:rPr>
          <w:rFonts w:cs="Arial"/>
          <w:sz w:val="18"/>
          <w:szCs w:val="18"/>
          <w:lang w:eastAsia="en-AU"/>
        </w:rPr>
        <w:t>:</w:t>
      </w:r>
    </w:p>
    <w:p w14:paraId="575B8BF4" w14:textId="77777777" w:rsidR="00C32CBD" w:rsidRPr="005E5430" w:rsidRDefault="00C32CBD" w:rsidP="00C32CBD">
      <w:pPr>
        <w:spacing w:line="240" w:lineRule="auto"/>
        <w:rPr>
          <w:rFonts w:cs="Arial"/>
          <w:sz w:val="18"/>
          <w:szCs w:val="18"/>
          <w:lang w:eastAsia="en-AU"/>
        </w:rPr>
      </w:pPr>
    </w:p>
    <w:tbl>
      <w:tblPr>
        <w:tblStyle w:val="LightShading1"/>
        <w:tblW w:w="4536" w:type="dxa"/>
        <w:tblLayout w:type="fixed"/>
        <w:tblLook w:val="04A0" w:firstRow="1" w:lastRow="0" w:firstColumn="1" w:lastColumn="0" w:noHBand="0" w:noVBand="1"/>
      </w:tblPr>
      <w:tblGrid>
        <w:gridCol w:w="2835"/>
        <w:gridCol w:w="1701"/>
      </w:tblGrid>
      <w:tr w:rsidR="00C32CBD" w:rsidRPr="005E5430" w14:paraId="0D13E42C" w14:textId="77777777" w:rsidTr="00320D09">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6E14F6BD" w14:textId="77777777" w:rsidR="00C32CBD" w:rsidRPr="005E5430" w:rsidRDefault="00C32CBD" w:rsidP="00320D09">
            <w:pPr>
              <w:rPr>
                <w:rFonts w:eastAsia="Times New Roman" w:cs="Arial"/>
                <w:color w:val="auto"/>
                <w:sz w:val="18"/>
                <w:szCs w:val="18"/>
                <w:lang w:eastAsia="en-AU"/>
              </w:rPr>
            </w:pPr>
            <w:r w:rsidRPr="005E5430">
              <w:rPr>
                <w:rFonts w:eastAsia="Times New Roman" w:cs="Arial"/>
                <w:color w:val="auto"/>
                <w:sz w:val="18"/>
                <w:szCs w:val="18"/>
                <w:lang w:eastAsia="en-AU"/>
              </w:rPr>
              <w:t>Asset class</w:t>
            </w:r>
          </w:p>
        </w:tc>
        <w:tc>
          <w:tcPr>
            <w:tcW w:w="1701" w:type="dxa"/>
            <w:shd w:val="clear" w:color="auto" w:fill="auto"/>
          </w:tcPr>
          <w:p w14:paraId="354AAE77" w14:textId="77777777" w:rsidR="00C32CBD" w:rsidRPr="005E5430" w:rsidRDefault="00C32CBD" w:rsidP="00320D09">
            <w:pPr>
              <w:cnfStyle w:val="100000000000" w:firstRow="1" w:lastRow="0" w:firstColumn="0" w:lastColumn="0" w:oddVBand="0" w:evenVBand="0" w:oddHBand="0" w:evenHBand="0" w:firstRowFirstColumn="0" w:firstRowLastColumn="0" w:lastRowFirstColumn="0" w:lastRowLastColumn="0"/>
              <w:rPr>
                <w:rFonts w:eastAsia="Times New Roman" w:cs="Arial"/>
                <w:color w:val="auto"/>
                <w:sz w:val="18"/>
                <w:szCs w:val="18"/>
                <w:lang w:eastAsia="en-AU"/>
              </w:rPr>
            </w:pPr>
            <w:r w:rsidRPr="005E5430">
              <w:rPr>
                <w:rFonts w:eastAsia="Times New Roman" w:cs="Arial"/>
                <w:color w:val="auto"/>
                <w:sz w:val="18"/>
                <w:szCs w:val="18"/>
                <w:lang w:eastAsia="en-AU"/>
              </w:rPr>
              <w:t xml:space="preserve">Useful life </w:t>
            </w:r>
          </w:p>
        </w:tc>
      </w:tr>
      <w:tr w:rsidR="00C32CBD" w:rsidRPr="005E5430" w14:paraId="20C90285" w14:textId="77777777" w:rsidTr="00320D09">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4F2536C3" w14:textId="77777777" w:rsidR="00C32CBD" w:rsidRPr="005E5430" w:rsidRDefault="00C32CBD" w:rsidP="00320D09">
            <w:pPr>
              <w:rPr>
                <w:rFonts w:cs="Arial"/>
                <w:b w:val="0"/>
                <w:color w:val="auto"/>
                <w:sz w:val="18"/>
                <w:szCs w:val="18"/>
                <w:lang w:eastAsia="en-AU"/>
              </w:rPr>
            </w:pPr>
            <w:r w:rsidRPr="005E5430">
              <w:rPr>
                <w:rFonts w:cs="Arial"/>
                <w:b w:val="0"/>
                <w:color w:val="auto"/>
                <w:sz w:val="18"/>
                <w:szCs w:val="18"/>
                <w:lang w:eastAsia="en-AU"/>
              </w:rPr>
              <w:t>Property, plant and equipment</w:t>
            </w:r>
          </w:p>
        </w:tc>
        <w:tc>
          <w:tcPr>
            <w:tcW w:w="1701" w:type="dxa"/>
            <w:shd w:val="clear" w:color="auto" w:fill="auto"/>
          </w:tcPr>
          <w:p w14:paraId="61B2BB51" w14:textId="77777777" w:rsidR="00C32CBD" w:rsidRPr="005E5430" w:rsidRDefault="00C32CBD" w:rsidP="00320D09">
            <w:pPr>
              <w:cnfStyle w:val="000000100000" w:firstRow="0" w:lastRow="0" w:firstColumn="0" w:lastColumn="0" w:oddVBand="0" w:evenVBand="0" w:oddHBand="1" w:evenHBand="0" w:firstRowFirstColumn="0" w:firstRowLastColumn="0" w:lastRowFirstColumn="0" w:lastRowLastColumn="0"/>
              <w:rPr>
                <w:rFonts w:cs="Arial"/>
                <w:bCs/>
                <w:color w:val="auto"/>
                <w:sz w:val="18"/>
                <w:szCs w:val="18"/>
                <w:lang w:eastAsia="en-AU"/>
              </w:rPr>
            </w:pPr>
            <w:r w:rsidRPr="005E5430">
              <w:rPr>
                <w:rFonts w:cs="Arial"/>
                <w:bCs/>
                <w:color w:val="auto"/>
                <w:sz w:val="18"/>
                <w:szCs w:val="18"/>
                <w:lang w:eastAsia="en-AU"/>
              </w:rPr>
              <w:t>3 to 10 years</w:t>
            </w:r>
          </w:p>
        </w:tc>
      </w:tr>
      <w:tr w:rsidR="00C32CBD" w:rsidRPr="005E5430" w14:paraId="32440527" w14:textId="77777777" w:rsidTr="00320D09">
        <w:trPr>
          <w:trHeight w:val="251"/>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5A7277F7" w14:textId="77777777" w:rsidR="00C32CBD" w:rsidRPr="005E5430" w:rsidRDefault="00C32CBD" w:rsidP="00320D09">
            <w:pPr>
              <w:rPr>
                <w:rFonts w:cs="Arial"/>
                <w:b w:val="0"/>
                <w:color w:val="auto"/>
                <w:sz w:val="18"/>
                <w:szCs w:val="18"/>
                <w:lang w:eastAsia="en-AU"/>
              </w:rPr>
            </w:pPr>
            <w:r w:rsidRPr="005E5430">
              <w:rPr>
                <w:rFonts w:cs="Arial"/>
                <w:b w:val="0"/>
                <w:color w:val="auto"/>
                <w:sz w:val="18"/>
                <w:szCs w:val="18"/>
                <w:lang w:eastAsia="en-AU"/>
              </w:rPr>
              <w:t>Buildings (leasehold improvements)</w:t>
            </w:r>
          </w:p>
        </w:tc>
        <w:tc>
          <w:tcPr>
            <w:tcW w:w="1701" w:type="dxa"/>
            <w:shd w:val="clear" w:color="auto" w:fill="auto"/>
          </w:tcPr>
          <w:p w14:paraId="74711BCA" w14:textId="77777777" w:rsidR="00C32CBD" w:rsidRPr="005E5430" w:rsidRDefault="00C32CBD" w:rsidP="00320D09">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Arial"/>
                <w:bCs/>
                <w:color w:val="auto"/>
                <w:sz w:val="18"/>
                <w:szCs w:val="18"/>
                <w:lang w:eastAsia="en-AU"/>
              </w:rPr>
            </w:pPr>
            <w:r w:rsidRPr="005E5430">
              <w:rPr>
                <w:rFonts w:cs="Arial"/>
                <w:bCs/>
                <w:color w:val="auto"/>
                <w:sz w:val="18"/>
                <w:szCs w:val="18"/>
                <w:lang w:eastAsia="en-AU"/>
              </w:rPr>
              <w:t>Lesser of 10 years or the lease term</w:t>
            </w:r>
          </w:p>
        </w:tc>
      </w:tr>
    </w:tbl>
    <w:p w14:paraId="76866AE1" w14:textId="77777777" w:rsidR="00C32CBD" w:rsidRPr="005E5430" w:rsidRDefault="00C32CBD" w:rsidP="00C32CBD">
      <w:pPr>
        <w:rPr>
          <w:rFonts w:cs="Arial"/>
          <w:sz w:val="18"/>
          <w:szCs w:val="18"/>
          <w:lang w:eastAsia="en-AU"/>
        </w:rPr>
      </w:pPr>
    </w:p>
    <w:p w14:paraId="1DBF1F0B" w14:textId="77777777" w:rsidR="00C32CBD" w:rsidRPr="005E5430" w:rsidRDefault="00C32CBD" w:rsidP="00C32CBD">
      <w:pPr>
        <w:spacing w:line="240" w:lineRule="auto"/>
        <w:rPr>
          <w:rFonts w:cs="Arial"/>
          <w:i/>
          <w:iCs/>
          <w:sz w:val="18"/>
          <w:szCs w:val="18"/>
          <w:u w:val="single"/>
          <w:lang w:eastAsia="en-AU"/>
        </w:rPr>
      </w:pPr>
      <w:r w:rsidRPr="005E5430">
        <w:rPr>
          <w:rFonts w:cs="Arial"/>
          <w:i/>
          <w:iCs/>
          <w:sz w:val="18"/>
          <w:szCs w:val="18"/>
          <w:u w:val="single"/>
          <w:lang w:eastAsia="en-AU"/>
        </w:rPr>
        <w:t>Impairment</w:t>
      </w:r>
    </w:p>
    <w:p w14:paraId="4816B2A7" w14:textId="70704EF7" w:rsidR="00C32CBD" w:rsidRPr="005E5430" w:rsidRDefault="00C32CBD" w:rsidP="00C32CBD">
      <w:pPr>
        <w:spacing w:line="240" w:lineRule="auto"/>
        <w:rPr>
          <w:rFonts w:cs="Arial"/>
          <w:sz w:val="18"/>
          <w:szCs w:val="18"/>
          <w:lang w:eastAsia="en-AU"/>
        </w:rPr>
      </w:pPr>
      <w:r w:rsidRPr="005E5430">
        <w:rPr>
          <w:rFonts w:cs="Arial"/>
          <w:sz w:val="18"/>
          <w:szCs w:val="18"/>
          <w:lang w:eastAsia="en-AU"/>
        </w:rPr>
        <w:t>All assets were assessed for impairment at</w:t>
      </w:r>
      <w:r w:rsidR="00906F82" w:rsidRPr="00906F82">
        <w:t xml:space="preserve"> </w:t>
      </w:r>
      <w:r w:rsidR="00906F82" w:rsidRPr="00906F82">
        <w:rPr>
          <w:rFonts w:cs="Arial"/>
          <w:sz w:val="18"/>
          <w:szCs w:val="18"/>
          <w:lang w:eastAsia="en-AU"/>
        </w:rPr>
        <w:t>30 June 2017</w:t>
      </w:r>
      <w:r w:rsidRPr="005E5430">
        <w:rPr>
          <w:rFonts w:cs="Arial"/>
          <w:sz w:val="18"/>
          <w:szCs w:val="18"/>
          <w:lang w:eastAsia="en-AU"/>
        </w:rPr>
        <w:t xml:space="preserve">. Where indications of impairment exist, the asset’s recoverable amount is estimated and an impairment adjustment made if the asset’s recoverable amount is less than its carrying amount. The recoverable amount of an asset is the higher of its fair value less costs of disposal and its value in use. Value in use is the present value of the future cash flows expected to be derived from the asset. Where the future economic benefit of an asset is not primarily dependent on the asset’s ability to generate future cash flows, and the asset would be replaced if the </w:t>
      </w:r>
      <w:r>
        <w:rPr>
          <w:rFonts w:cs="Arial"/>
          <w:sz w:val="18"/>
          <w:szCs w:val="18"/>
          <w:lang w:eastAsia="en-AU"/>
        </w:rPr>
        <w:t>Agency</w:t>
      </w:r>
      <w:r w:rsidRPr="005E5430">
        <w:rPr>
          <w:rFonts w:cs="Arial"/>
          <w:sz w:val="18"/>
          <w:szCs w:val="18"/>
          <w:lang w:eastAsia="en-AU"/>
        </w:rPr>
        <w:t xml:space="preserve"> were deprived of the asset, its value in use is taken to be its depreciated replacement cost. </w:t>
      </w:r>
    </w:p>
    <w:p w14:paraId="29D0795A" w14:textId="77777777" w:rsidR="00C32CBD" w:rsidRPr="005E5430" w:rsidRDefault="00C32CBD" w:rsidP="00C32CBD">
      <w:pPr>
        <w:spacing w:line="240" w:lineRule="auto"/>
        <w:rPr>
          <w:rFonts w:cs="Arial"/>
          <w:sz w:val="18"/>
          <w:szCs w:val="18"/>
          <w:lang w:eastAsia="en-AU"/>
        </w:rPr>
      </w:pPr>
    </w:p>
    <w:p w14:paraId="3DCC2C84" w14:textId="77777777" w:rsidR="00C32CBD" w:rsidRPr="005E5430" w:rsidRDefault="00C32CBD" w:rsidP="00C32CBD">
      <w:pPr>
        <w:spacing w:line="240" w:lineRule="auto"/>
        <w:rPr>
          <w:rFonts w:cs="Arial"/>
          <w:i/>
          <w:iCs/>
          <w:sz w:val="18"/>
          <w:szCs w:val="18"/>
          <w:u w:val="single"/>
          <w:lang w:eastAsia="en-AU"/>
        </w:rPr>
      </w:pPr>
      <w:r w:rsidRPr="005E5430">
        <w:rPr>
          <w:rFonts w:cs="Arial"/>
          <w:i/>
          <w:iCs/>
          <w:sz w:val="18"/>
          <w:szCs w:val="18"/>
          <w:u w:val="single"/>
          <w:lang w:eastAsia="en-AU"/>
        </w:rPr>
        <w:t>Derecognition</w:t>
      </w:r>
    </w:p>
    <w:p w14:paraId="5CD48DFB" w14:textId="77777777" w:rsidR="00C32CBD" w:rsidRPr="005E5430" w:rsidRDefault="00C32CBD" w:rsidP="00C32CBD">
      <w:pPr>
        <w:autoSpaceDE w:val="0"/>
        <w:autoSpaceDN w:val="0"/>
        <w:adjustRightInd w:val="0"/>
        <w:spacing w:line="240" w:lineRule="auto"/>
        <w:rPr>
          <w:rFonts w:cs="Arial"/>
          <w:sz w:val="18"/>
          <w:szCs w:val="18"/>
          <w:lang w:eastAsia="en-AU"/>
        </w:rPr>
      </w:pPr>
      <w:r w:rsidRPr="005E5430">
        <w:rPr>
          <w:rFonts w:cs="Arial"/>
          <w:sz w:val="18"/>
          <w:szCs w:val="18"/>
        </w:rPr>
        <w:t>An item of property, plant and equipment is derecognised upon disposal or when no further future economic benefits are expected from its use or its disposal.</w:t>
      </w:r>
      <w:r>
        <w:rPr>
          <w:rFonts w:cs="Arial"/>
          <w:sz w:val="18"/>
          <w:szCs w:val="18"/>
        </w:rPr>
        <w:t xml:space="preserve"> Any gain or loss arising on disposal or retirement of an item of property, plant and equipment is determined as the difference between the sales processed and the carrying amount of the asset and is recognised in profit or loss.</w:t>
      </w:r>
    </w:p>
    <w:p w14:paraId="6157C1B4" w14:textId="77777777" w:rsidR="00C32CBD" w:rsidRPr="005E5430" w:rsidRDefault="00C32CBD" w:rsidP="00C32CBD">
      <w:pPr>
        <w:autoSpaceDE w:val="0"/>
        <w:autoSpaceDN w:val="0"/>
        <w:adjustRightInd w:val="0"/>
        <w:spacing w:line="240" w:lineRule="auto"/>
        <w:rPr>
          <w:rFonts w:cs="Arial"/>
          <w:sz w:val="18"/>
          <w:szCs w:val="18"/>
          <w:lang w:eastAsia="en-AU"/>
        </w:rPr>
      </w:pPr>
    </w:p>
    <w:p w14:paraId="7EAF0954" w14:textId="77777777" w:rsidR="00C32CBD" w:rsidRPr="005E5430" w:rsidRDefault="00C32CBD" w:rsidP="00C32CBD">
      <w:pPr>
        <w:spacing w:line="240" w:lineRule="auto"/>
        <w:contextualSpacing/>
        <w:rPr>
          <w:rFonts w:cs="Arial"/>
          <w:b/>
          <w:sz w:val="18"/>
          <w:szCs w:val="18"/>
          <w:lang w:eastAsia="en-AU"/>
        </w:rPr>
      </w:pPr>
      <w:r w:rsidRPr="007F568E">
        <w:rPr>
          <w:rFonts w:cs="Arial"/>
          <w:i/>
          <w:iCs/>
          <w:sz w:val="18"/>
          <w:szCs w:val="18"/>
          <w:u w:val="single"/>
          <w:lang w:eastAsia="en-AU"/>
        </w:rPr>
        <w:t>Intangibles</w:t>
      </w:r>
    </w:p>
    <w:p w14:paraId="1C05CDC9" w14:textId="77777777" w:rsidR="00C32CBD" w:rsidRDefault="00C32CBD" w:rsidP="00C32CBD">
      <w:pPr>
        <w:spacing w:line="240" w:lineRule="auto"/>
        <w:contextualSpacing/>
        <w:rPr>
          <w:rFonts w:cs="Arial"/>
          <w:sz w:val="18"/>
          <w:szCs w:val="18"/>
          <w:lang w:eastAsia="en-AU"/>
        </w:rPr>
      </w:pPr>
      <w:r>
        <w:rPr>
          <w:rFonts w:cs="Arial"/>
          <w:sz w:val="18"/>
          <w:szCs w:val="18"/>
          <w:lang w:eastAsia="en-AU"/>
        </w:rPr>
        <w:t>The Agency has no intangible assets.</w:t>
      </w:r>
    </w:p>
    <w:p w14:paraId="25B44BA6" w14:textId="77777777" w:rsidR="00C32CBD" w:rsidRDefault="00C32CBD" w:rsidP="00C32CBD">
      <w:pPr>
        <w:spacing w:line="240" w:lineRule="auto"/>
        <w:contextualSpacing/>
        <w:rPr>
          <w:rFonts w:cs="Arial"/>
          <w:sz w:val="18"/>
          <w:szCs w:val="18"/>
          <w:lang w:eastAsia="en-AU"/>
        </w:rPr>
      </w:pPr>
    </w:p>
    <w:p w14:paraId="10C6D88E" w14:textId="77777777" w:rsidR="00C32CBD" w:rsidRDefault="00C32CBD" w:rsidP="00C32CBD">
      <w:pPr>
        <w:spacing w:line="240" w:lineRule="auto"/>
        <w:contextualSpacing/>
        <w:rPr>
          <w:rFonts w:cs="Arial"/>
          <w:sz w:val="18"/>
          <w:szCs w:val="18"/>
          <w:lang w:eastAsia="en-AU"/>
        </w:rPr>
        <w:sectPr w:rsidR="00C32CBD" w:rsidSect="00320D09">
          <w:type w:val="continuous"/>
          <w:pgSz w:w="11906" w:h="16838" w:code="9"/>
          <w:pgMar w:top="1670" w:right="1134" w:bottom="1134" w:left="1134" w:header="958" w:footer="737" w:gutter="0"/>
          <w:cols w:num="2" w:space="708"/>
          <w:docGrid w:linePitch="360"/>
        </w:sectPr>
      </w:pPr>
    </w:p>
    <w:p w14:paraId="376E6A5F" w14:textId="77777777" w:rsidR="00C32CBD" w:rsidRDefault="00C32CBD" w:rsidP="00C32CBD">
      <w:pPr>
        <w:spacing w:line="240" w:lineRule="auto"/>
        <w:sectPr w:rsidR="00C32CBD" w:rsidSect="00320D09">
          <w:type w:val="continuous"/>
          <w:pgSz w:w="11906" w:h="16838" w:code="9"/>
          <w:pgMar w:top="1670" w:right="1134" w:bottom="1134" w:left="1134" w:header="958" w:footer="737" w:gutter="0"/>
          <w:cols w:space="708"/>
          <w:docGrid w:linePitch="360"/>
        </w:sectPr>
      </w:pPr>
    </w:p>
    <w:tbl>
      <w:tblPr>
        <w:tblW w:w="13991" w:type="dxa"/>
        <w:tblInd w:w="80" w:type="dxa"/>
        <w:tblLayout w:type="fixed"/>
        <w:tblLook w:val="04A0" w:firstRow="1" w:lastRow="0" w:firstColumn="1" w:lastColumn="0" w:noHBand="0" w:noVBand="1"/>
      </w:tblPr>
      <w:tblGrid>
        <w:gridCol w:w="6601"/>
        <w:gridCol w:w="2089"/>
        <w:gridCol w:w="1767"/>
        <w:gridCol w:w="1767"/>
        <w:gridCol w:w="1767"/>
      </w:tblGrid>
      <w:tr w:rsidR="00C32CBD" w14:paraId="1787B91F" w14:textId="77777777" w:rsidTr="00320D09">
        <w:trPr>
          <w:trHeight w:val="255"/>
        </w:trPr>
        <w:tc>
          <w:tcPr>
            <w:tcW w:w="10420" w:type="dxa"/>
            <w:gridSpan w:val="5"/>
            <w:tcBorders>
              <w:top w:val="nil"/>
              <w:left w:val="nil"/>
              <w:bottom w:val="nil"/>
              <w:right w:val="nil"/>
            </w:tcBorders>
            <w:shd w:val="clear" w:color="FFFFFF" w:fill="FFFFFF"/>
            <w:noWrap/>
            <w:vAlign w:val="bottom"/>
            <w:hideMark/>
          </w:tcPr>
          <w:p w14:paraId="21F38D7D" w14:textId="77777777" w:rsidR="00C32CBD" w:rsidRDefault="00C32CBD" w:rsidP="00320D09">
            <w:pPr>
              <w:rPr>
                <w:rFonts w:cs="Arial"/>
                <w:b/>
                <w:bCs/>
                <w:sz w:val="18"/>
                <w:szCs w:val="18"/>
                <w:u w:val="single"/>
              </w:rPr>
            </w:pPr>
            <w:bookmarkStart w:id="155" w:name="Note_MTATABLE2" w:colFirst="0" w:colLast="0"/>
            <w:r>
              <w:rPr>
                <w:rFonts w:cs="Arial"/>
                <w:b/>
                <w:bCs/>
                <w:sz w:val="18"/>
                <w:szCs w:val="18"/>
                <w:u w:val="single"/>
              </w:rPr>
              <w:t>Note 2.2B: Reconciliation of the opening and closing balances of property, plant and equipment and intangibles for 2016</w:t>
            </w:r>
          </w:p>
        </w:tc>
      </w:tr>
      <w:bookmarkEnd w:id="155"/>
      <w:tr w:rsidR="00C32CBD" w14:paraId="620E80F0" w14:textId="77777777" w:rsidTr="00320D09">
        <w:trPr>
          <w:trHeight w:val="255"/>
        </w:trPr>
        <w:tc>
          <w:tcPr>
            <w:tcW w:w="4916" w:type="dxa"/>
            <w:tcBorders>
              <w:top w:val="nil"/>
              <w:left w:val="nil"/>
              <w:bottom w:val="nil"/>
              <w:right w:val="nil"/>
            </w:tcBorders>
            <w:shd w:val="clear" w:color="FFFFFF" w:fill="FFFFFF"/>
            <w:noWrap/>
            <w:vAlign w:val="bottom"/>
            <w:hideMark/>
          </w:tcPr>
          <w:p w14:paraId="4CD5A364" w14:textId="77777777" w:rsidR="00C32CBD" w:rsidRDefault="00C32CBD" w:rsidP="00320D09">
            <w:pPr>
              <w:rPr>
                <w:rFonts w:cs="Arial"/>
                <w:sz w:val="18"/>
                <w:szCs w:val="18"/>
              </w:rPr>
            </w:pPr>
            <w:r>
              <w:rPr>
                <w:rFonts w:cs="Arial"/>
                <w:sz w:val="18"/>
                <w:szCs w:val="18"/>
              </w:rPr>
              <w:t> </w:t>
            </w:r>
          </w:p>
        </w:tc>
        <w:tc>
          <w:tcPr>
            <w:tcW w:w="1556" w:type="dxa"/>
            <w:tcBorders>
              <w:top w:val="nil"/>
              <w:left w:val="nil"/>
              <w:bottom w:val="nil"/>
              <w:right w:val="nil"/>
            </w:tcBorders>
            <w:shd w:val="clear" w:color="FFFFFF" w:fill="FFFFFF"/>
            <w:noWrap/>
            <w:vAlign w:val="bottom"/>
            <w:hideMark/>
          </w:tcPr>
          <w:p w14:paraId="3AEA17F5" w14:textId="77777777" w:rsidR="00C32CBD" w:rsidRDefault="00C32CBD" w:rsidP="00320D09">
            <w:pPr>
              <w:rPr>
                <w:rFonts w:cs="Arial"/>
                <w:sz w:val="18"/>
                <w:szCs w:val="18"/>
              </w:rPr>
            </w:pPr>
            <w:r>
              <w:rPr>
                <w:rFonts w:cs="Arial"/>
                <w:sz w:val="18"/>
                <w:szCs w:val="18"/>
              </w:rPr>
              <w:t> </w:t>
            </w:r>
          </w:p>
        </w:tc>
        <w:tc>
          <w:tcPr>
            <w:tcW w:w="1316" w:type="dxa"/>
            <w:tcBorders>
              <w:top w:val="nil"/>
              <w:left w:val="nil"/>
              <w:bottom w:val="nil"/>
              <w:right w:val="nil"/>
            </w:tcBorders>
            <w:shd w:val="clear" w:color="FFFFFF" w:fill="FFFFFF"/>
            <w:noWrap/>
            <w:vAlign w:val="bottom"/>
            <w:hideMark/>
          </w:tcPr>
          <w:p w14:paraId="41A5E9AC" w14:textId="77777777" w:rsidR="00C32CBD" w:rsidRDefault="00C32CBD" w:rsidP="00320D09">
            <w:pPr>
              <w:rPr>
                <w:rFonts w:cs="Arial"/>
                <w:sz w:val="18"/>
                <w:szCs w:val="18"/>
              </w:rPr>
            </w:pPr>
            <w:r>
              <w:rPr>
                <w:rFonts w:cs="Arial"/>
                <w:sz w:val="18"/>
                <w:szCs w:val="18"/>
              </w:rPr>
              <w:t> </w:t>
            </w:r>
          </w:p>
        </w:tc>
        <w:tc>
          <w:tcPr>
            <w:tcW w:w="1316" w:type="dxa"/>
            <w:tcBorders>
              <w:top w:val="nil"/>
              <w:left w:val="nil"/>
              <w:bottom w:val="nil"/>
              <w:right w:val="nil"/>
            </w:tcBorders>
            <w:shd w:val="clear" w:color="FFFFFF" w:fill="FFFFFF"/>
            <w:noWrap/>
            <w:vAlign w:val="bottom"/>
            <w:hideMark/>
          </w:tcPr>
          <w:p w14:paraId="150232E5" w14:textId="77777777" w:rsidR="00C32CBD" w:rsidRDefault="00C32CBD" w:rsidP="00320D09">
            <w:pPr>
              <w:rPr>
                <w:rFonts w:cs="Arial"/>
                <w:sz w:val="18"/>
                <w:szCs w:val="18"/>
              </w:rPr>
            </w:pPr>
            <w:r>
              <w:rPr>
                <w:rFonts w:cs="Arial"/>
                <w:sz w:val="18"/>
                <w:szCs w:val="18"/>
              </w:rPr>
              <w:t> </w:t>
            </w:r>
          </w:p>
        </w:tc>
        <w:tc>
          <w:tcPr>
            <w:tcW w:w="1316" w:type="dxa"/>
            <w:tcBorders>
              <w:top w:val="nil"/>
              <w:left w:val="nil"/>
              <w:bottom w:val="nil"/>
              <w:right w:val="nil"/>
            </w:tcBorders>
            <w:shd w:val="clear" w:color="FFFFFF" w:fill="FFFFFF"/>
            <w:noWrap/>
            <w:vAlign w:val="bottom"/>
            <w:hideMark/>
          </w:tcPr>
          <w:p w14:paraId="106732A4" w14:textId="77777777" w:rsidR="00C32CBD" w:rsidRDefault="00C32CBD" w:rsidP="00320D09">
            <w:pPr>
              <w:rPr>
                <w:rFonts w:cs="Arial"/>
                <w:sz w:val="18"/>
                <w:szCs w:val="18"/>
              </w:rPr>
            </w:pPr>
            <w:r>
              <w:rPr>
                <w:rFonts w:cs="Arial"/>
                <w:sz w:val="18"/>
                <w:szCs w:val="18"/>
              </w:rPr>
              <w:t> </w:t>
            </w:r>
          </w:p>
        </w:tc>
      </w:tr>
      <w:tr w:rsidR="00C32CBD" w14:paraId="4C8C9382" w14:textId="77777777" w:rsidTr="00320D09">
        <w:trPr>
          <w:trHeight w:val="960"/>
        </w:trPr>
        <w:tc>
          <w:tcPr>
            <w:tcW w:w="4916" w:type="dxa"/>
            <w:tcBorders>
              <w:top w:val="single" w:sz="4" w:space="0" w:color="auto"/>
              <w:left w:val="nil"/>
              <w:bottom w:val="nil"/>
              <w:right w:val="nil"/>
            </w:tcBorders>
            <w:shd w:val="clear" w:color="FFFFFF" w:fill="FFFFFF"/>
            <w:noWrap/>
            <w:vAlign w:val="bottom"/>
            <w:hideMark/>
          </w:tcPr>
          <w:p w14:paraId="61755C57" w14:textId="77777777" w:rsidR="00C32CBD" w:rsidRDefault="00C32CBD" w:rsidP="00320D09">
            <w:pPr>
              <w:rPr>
                <w:rFonts w:cs="Arial"/>
                <w:b/>
                <w:bCs/>
                <w:sz w:val="18"/>
                <w:szCs w:val="18"/>
              </w:rPr>
            </w:pPr>
            <w:r>
              <w:rPr>
                <w:rFonts w:cs="Arial"/>
                <w:b/>
                <w:bCs/>
                <w:sz w:val="18"/>
                <w:szCs w:val="18"/>
              </w:rPr>
              <w:t> </w:t>
            </w:r>
          </w:p>
        </w:tc>
        <w:tc>
          <w:tcPr>
            <w:tcW w:w="1556" w:type="dxa"/>
            <w:tcBorders>
              <w:top w:val="single" w:sz="4" w:space="0" w:color="auto"/>
              <w:left w:val="nil"/>
              <w:bottom w:val="nil"/>
              <w:right w:val="nil"/>
            </w:tcBorders>
            <w:shd w:val="clear" w:color="FFFFFF" w:fill="FFFFFF"/>
            <w:vAlign w:val="bottom"/>
            <w:hideMark/>
          </w:tcPr>
          <w:p w14:paraId="6E6457AF" w14:textId="77777777" w:rsidR="00C32CBD" w:rsidRDefault="00C32CBD" w:rsidP="00320D09">
            <w:pPr>
              <w:jc w:val="right"/>
              <w:rPr>
                <w:rFonts w:cs="Arial"/>
                <w:sz w:val="18"/>
                <w:szCs w:val="18"/>
              </w:rPr>
            </w:pPr>
            <w:r>
              <w:rPr>
                <w:rFonts w:cs="Arial"/>
                <w:sz w:val="18"/>
                <w:szCs w:val="18"/>
              </w:rPr>
              <w:t>Buildings (leasehold improvements)</w:t>
            </w:r>
          </w:p>
        </w:tc>
        <w:tc>
          <w:tcPr>
            <w:tcW w:w="1316" w:type="dxa"/>
            <w:tcBorders>
              <w:top w:val="single" w:sz="4" w:space="0" w:color="auto"/>
              <w:left w:val="nil"/>
              <w:bottom w:val="nil"/>
              <w:right w:val="nil"/>
            </w:tcBorders>
            <w:shd w:val="clear" w:color="FFFFFF" w:fill="FFFFFF"/>
            <w:vAlign w:val="bottom"/>
            <w:hideMark/>
          </w:tcPr>
          <w:p w14:paraId="1A84CBDD" w14:textId="77777777" w:rsidR="00C32CBD" w:rsidRDefault="00C32CBD" w:rsidP="00320D09">
            <w:pPr>
              <w:jc w:val="right"/>
              <w:rPr>
                <w:rFonts w:cs="Arial"/>
                <w:sz w:val="18"/>
                <w:szCs w:val="18"/>
              </w:rPr>
            </w:pPr>
            <w:r>
              <w:rPr>
                <w:rFonts w:cs="Arial"/>
                <w:sz w:val="18"/>
                <w:szCs w:val="18"/>
              </w:rPr>
              <w:t>Other property, plant &amp; equipment</w:t>
            </w:r>
          </w:p>
        </w:tc>
        <w:tc>
          <w:tcPr>
            <w:tcW w:w="1316" w:type="dxa"/>
            <w:tcBorders>
              <w:top w:val="single" w:sz="4" w:space="0" w:color="auto"/>
              <w:left w:val="nil"/>
              <w:bottom w:val="nil"/>
              <w:right w:val="nil"/>
            </w:tcBorders>
            <w:shd w:val="clear" w:color="FFFFFF" w:fill="FFFFFF"/>
            <w:vAlign w:val="bottom"/>
            <w:hideMark/>
          </w:tcPr>
          <w:p w14:paraId="738D975A" w14:textId="77777777" w:rsidR="00C32CBD" w:rsidRDefault="00C32CBD" w:rsidP="00320D09">
            <w:pPr>
              <w:jc w:val="right"/>
              <w:rPr>
                <w:rFonts w:cs="Arial"/>
                <w:sz w:val="18"/>
                <w:szCs w:val="18"/>
              </w:rPr>
            </w:pPr>
            <w:r>
              <w:rPr>
                <w:rFonts w:cs="Arial"/>
                <w:sz w:val="18"/>
                <w:szCs w:val="18"/>
              </w:rPr>
              <w:t>Computer  software internally developed</w:t>
            </w:r>
          </w:p>
        </w:tc>
        <w:tc>
          <w:tcPr>
            <w:tcW w:w="1316" w:type="dxa"/>
            <w:tcBorders>
              <w:top w:val="single" w:sz="4" w:space="0" w:color="auto"/>
              <w:left w:val="nil"/>
              <w:bottom w:val="nil"/>
              <w:right w:val="nil"/>
            </w:tcBorders>
            <w:shd w:val="clear" w:color="FFFFFF" w:fill="FFFFFF"/>
            <w:vAlign w:val="bottom"/>
            <w:hideMark/>
          </w:tcPr>
          <w:p w14:paraId="19F44F22" w14:textId="77777777" w:rsidR="00C32CBD" w:rsidRDefault="00C32CBD" w:rsidP="00320D09">
            <w:pPr>
              <w:jc w:val="right"/>
              <w:rPr>
                <w:rFonts w:cs="Arial"/>
                <w:sz w:val="18"/>
                <w:szCs w:val="18"/>
              </w:rPr>
            </w:pPr>
            <w:r>
              <w:rPr>
                <w:rFonts w:cs="Arial"/>
                <w:sz w:val="18"/>
                <w:szCs w:val="18"/>
              </w:rPr>
              <w:t>Total</w:t>
            </w:r>
          </w:p>
        </w:tc>
      </w:tr>
      <w:tr w:rsidR="00C32CBD" w14:paraId="531AD5BA" w14:textId="77777777" w:rsidTr="00320D09">
        <w:trPr>
          <w:trHeight w:val="255"/>
        </w:trPr>
        <w:tc>
          <w:tcPr>
            <w:tcW w:w="4916" w:type="dxa"/>
            <w:tcBorders>
              <w:top w:val="nil"/>
              <w:left w:val="nil"/>
              <w:bottom w:val="single" w:sz="4" w:space="0" w:color="auto"/>
              <w:right w:val="nil"/>
            </w:tcBorders>
            <w:shd w:val="clear" w:color="FFFFFF" w:fill="FFFFFF"/>
            <w:noWrap/>
            <w:vAlign w:val="bottom"/>
            <w:hideMark/>
          </w:tcPr>
          <w:p w14:paraId="4803B8FE" w14:textId="77777777" w:rsidR="00C32CBD" w:rsidRDefault="00C32CBD" w:rsidP="00320D09">
            <w:pPr>
              <w:rPr>
                <w:rFonts w:cs="Arial"/>
                <w:sz w:val="18"/>
                <w:szCs w:val="18"/>
              </w:rPr>
            </w:pPr>
            <w:r>
              <w:rPr>
                <w:rFonts w:cs="Arial"/>
                <w:sz w:val="18"/>
                <w:szCs w:val="18"/>
              </w:rPr>
              <w:t> </w:t>
            </w:r>
          </w:p>
        </w:tc>
        <w:tc>
          <w:tcPr>
            <w:tcW w:w="1556" w:type="dxa"/>
            <w:tcBorders>
              <w:top w:val="nil"/>
              <w:left w:val="nil"/>
              <w:bottom w:val="single" w:sz="4" w:space="0" w:color="auto"/>
              <w:right w:val="nil"/>
            </w:tcBorders>
            <w:shd w:val="clear" w:color="FFFFFF" w:fill="FFFFFF"/>
            <w:vAlign w:val="bottom"/>
            <w:hideMark/>
          </w:tcPr>
          <w:p w14:paraId="51DCCF26" w14:textId="77777777" w:rsidR="00C32CBD" w:rsidRDefault="00C32CBD" w:rsidP="00320D09">
            <w:pPr>
              <w:jc w:val="right"/>
              <w:rPr>
                <w:rFonts w:cs="Arial"/>
                <w:sz w:val="18"/>
                <w:szCs w:val="18"/>
              </w:rPr>
            </w:pPr>
            <w:r>
              <w:rPr>
                <w:rFonts w:cs="Arial"/>
                <w:sz w:val="18"/>
                <w:szCs w:val="18"/>
              </w:rPr>
              <w:t>$’000</w:t>
            </w:r>
          </w:p>
        </w:tc>
        <w:tc>
          <w:tcPr>
            <w:tcW w:w="1316" w:type="dxa"/>
            <w:tcBorders>
              <w:top w:val="nil"/>
              <w:left w:val="nil"/>
              <w:bottom w:val="single" w:sz="4" w:space="0" w:color="auto"/>
              <w:right w:val="nil"/>
            </w:tcBorders>
            <w:shd w:val="clear" w:color="FFFFFF" w:fill="FFFFFF"/>
            <w:vAlign w:val="bottom"/>
            <w:hideMark/>
          </w:tcPr>
          <w:p w14:paraId="1F03CDB5" w14:textId="77777777" w:rsidR="00C32CBD" w:rsidRDefault="00C32CBD" w:rsidP="00320D09">
            <w:pPr>
              <w:jc w:val="right"/>
              <w:rPr>
                <w:rFonts w:cs="Arial"/>
                <w:sz w:val="18"/>
                <w:szCs w:val="18"/>
              </w:rPr>
            </w:pPr>
            <w:r>
              <w:rPr>
                <w:rFonts w:cs="Arial"/>
                <w:sz w:val="18"/>
                <w:szCs w:val="18"/>
              </w:rPr>
              <w:t>$’000</w:t>
            </w:r>
          </w:p>
        </w:tc>
        <w:tc>
          <w:tcPr>
            <w:tcW w:w="1316" w:type="dxa"/>
            <w:tcBorders>
              <w:top w:val="nil"/>
              <w:left w:val="nil"/>
              <w:bottom w:val="single" w:sz="4" w:space="0" w:color="auto"/>
              <w:right w:val="nil"/>
            </w:tcBorders>
            <w:shd w:val="clear" w:color="FFFFFF" w:fill="FFFFFF"/>
            <w:vAlign w:val="bottom"/>
            <w:hideMark/>
          </w:tcPr>
          <w:p w14:paraId="6FF7579E" w14:textId="77777777" w:rsidR="00C32CBD" w:rsidRDefault="00C32CBD" w:rsidP="00320D09">
            <w:pPr>
              <w:jc w:val="right"/>
              <w:rPr>
                <w:rFonts w:cs="Arial"/>
                <w:sz w:val="18"/>
                <w:szCs w:val="18"/>
              </w:rPr>
            </w:pPr>
            <w:r>
              <w:rPr>
                <w:rFonts w:cs="Arial"/>
                <w:sz w:val="18"/>
                <w:szCs w:val="18"/>
              </w:rPr>
              <w:t>$’000</w:t>
            </w:r>
          </w:p>
        </w:tc>
        <w:tc>
          <w:tcPr>
            <w:tcW w:w="1316" w:type="dxa"/>
            <w:tcBorders>
              <w:top w:val="nil"/>
              <w:left w:val="nil"/>
              <w:bottom w:val="single" w:sz="4" w:space="0" w:color="auto"/>
              <w:right w:val="nil"/>
            </w:tcBorders>
            <w:shd w:val="clear" w:color="FFFFFF" w:fill="FFFFFF"/>
            <w:vAlign w:val="bottom"/>
            <w:hideMark/>
          </w:tcPr>
          <w:p w14:paraId="7EE93172" w14:textId="77777777" w:rsidR="00C32CBD" w:rsidRDefault="00C32CBD" w:rsidP="00320D09">
            <w:pPr>
              <w:jc w:val="right"/>
              <w:rPr>
                <w:rFonts w:cs="Arial"/>
                <w:sz w:val="18"/>
                <w:szCs w:val="18"/>
              </w:rPr>
            </w:pPr>
            <w:r>
              <w:rPr>
                <w:rFonts w:cs="Arial"/>
                <w:sz w:val="18"/>
                <w:szCs w:val="18"/>
              </w:rPr>
              <w:t>$’000</w:t>
            </w:r>
          </w:p>
        </w:tc>
      </w:tr>
      <w:tr w:rsidR="00C32CBD" w14:paraId="5F912A4F" w14:textId="77777777" w:rsidTr="00320D09">
        <w:trPr>
          <w:trHeight w:val="255"/>
        </w:trPr>
        <w:tc>
          <w:tcPr>
            <w:tcW w:w="4916" w:type="dxa"/>
            <w:tcBorders>
              <w:top w:val="nil"/>
              <w:left w:val="nil"/>
              <w:bottom w:val="nil"/>
              <w:right w:val="nil"/>
            </w:tcBorders>
            <w:shd w:val="clear" w:color="FFFFFF" w:fill="FFFFFF"/>
            <w:vAlign w:val="bottom"/>
            <w:hideMark/>
          </w:tcPr>
          <w:p w14:paraId="47862F64" w14:textId="77777777" w:rsidR="00C32CBD" w:rsidRDefault="00C32CBD" w:rsidP="00320D09">
            <w:pPr>
              <w:rPr>
                <w:rFonts w:cs="Arial"/>
                <w:b/>
                <w:bCs/>
                <w:sz w:val="18"/>
                <w:szCs w:val="18"/>
              </w:rPr>
            </w:pPr>
            <w:r>
              <w:rPr>
                <w:rFonts w:cs="Arial"/>
                <w:b/>
                <w:bCs/>
                <w:sz w:val="18"/>
                <w:szCs w:val="18"/>
              </w:rPr>
              <w:t>As at 1 July 2015</w:t>
            </w:r>
          </w:p>
        </w:tc>
        <w:tc>
          <w:tcPr>
            <w:tcW w:w="1556" w:type="dxa"/>
            <w:tcBorders>
              <w:top w:val="nil"/>
              <w:left w:val="nil"/>
              <w:bottom w:val="nil"/>
              <w:right w:val="nil"/>
            </w:tcBorders>
            <w:shd w:val="clear" w:color="FFFFFF" w:fill="FFFFFF"/>
            <w:noWrap/>
            <w:vAlign w:val="bottom"/>
            <w:hideMark/>
          </w:tcPr>
          <w:p w14:paraId="01D4DB9C" w14:textId="77777777" w:rsidR="00C32CBD" w:rsidRDefault="00C32CBD" w:rsidP="00320D09">
            <w:pPr>
              <w:rPr>
                <w:rFonts w:cs="Arial"/>
                <w:sz w:val="18"/>
                <w:szCs w:val="18"/>
              </w:rPr>
            </w:pPr>
            <w:r>
              <w:rPr>
                <w:rFonts w:cs="Arial"/>
                <w:sz w:val="18"/>
                <w:szCs w:val="18"/>
              </w:rPr>
              <w:t> </w:t>
            </w:r>
          </w:p>
        </w:tc>
        <w:tc>
          <w:tcPr>
            <w:tcW w:w="1316" w:type="dxa"/>
            <w:tcBorders>
              <w:top w:val="nil"/>
              <w:left w:val="nil"/>
              <w:bottom w:val="nil"/>
              <w:right w:val="nil"/>
            </w:tcBorders>
            <w:shd w:val="clear" w:color="FFFFFF" w:fill="FFFFFF"/>
            <w:noWrap/>
            <w:vAlign w:val="bottom"/>
            <w:hideMark/>
          </w:tcPr>
          <w:p w14:paraId="5DF99FB3" w14:textId="77777777" w:rsidR="00C32CBD" w:rsidRDefault="00C32CBD" w:rsidP="00320D09">
            <w:pPr>
              <w:rPr>
                <w:rFonts w:cs="Arial"/>
                <w:sz w:val="18"/>
                <w:szCs w:val="18"/>
              </w:rPr>
            </w:pPr>
            <w:r>
              <w:rPr>
                <w:rFonts w:cs="Arial"/>
                <w:sz w:val="18"/>
                <w:szCs w:val="18"/>
              </w:rPr>
              <w:t> </w:t>
            </w:r>
          </w:p>
        </w:tc>
        <w:tc>
          <w:tcPr>
            <w:tcW w:w="1316" w:type="dxa"/>
            <w:tcBorders>
              <w:top w:val="nil"/>
              <w:left w:val="nil"/>
              <w:bottom w:val="nil"/>
              <w:right w:val="nil"/>
            </w:tcBorders>
            <w:shd w:val="clear" w:color="FFFFFF" w:fill="FFFFFF"/>
            <w:noWrap/>
            <w:vAlign w:val="bottom"/>
            <w:hideMark/>
          </w:tcPr>
          <w:p w14:paraId="4C70806D" w14:textId="77777777" w:rsidR="00C32CBD" w:rsidRDefault="00C32CBD" w:rsidP="00320D09">
            <w:pPr>
              <w:rPr>
                <w:rFonts w:cs="Arial"/>
                <w:sz w:val="18"/>
                <w:szCs w:val="18"/>
              </w:rPr>
            </w:pPr>
            <w:r>
              <w:rPr>
                <w:rFonts w:cs="Arial"/>
                <w:sz w:val="18"/>
                <w:szCs w:val="18"/>
              </w:rPr>
              <w:t> </w:t>
            </w:r>
          </w:p>
        </w:tc>
        <w:tc>
          <w:tcPr>
            <w:tcW w:w="1316" w:type="dxa"/>
            <w:tcBorders>
              <w:top w:val="nil"/>
              <w:left w:val="nil"/>
              <w:bottom w:val="nil"/>
              <w:right w:val="nil"/>
            </w:tcBorders>
            <w:shd w:val="clear" w:color="FFFFFF" w:fill="FFFFFF"/>
            <w:noWrap/>
            <w:vAlign w:val="bottom"/>
            <w:hideMark/>
          </w:tcPr>
          <w:p w14:paraId="12FBC3BF" w14:textId="77777777" w:rsidR="00C32CBD" w:rsidRDefault="00C32CBD" w:rsidP="00320D09">
            <w:pPr>
              <w:rPr>
                <w:rFonts w:cs="Arial"/>
                <w:b/>
                <w:bCs/>
                <w:sz w:val="18"/>
                <w:szCs w:val="18"/>
              </w:rPr>
            </w:pPr>
            <w:r>
              <w:rPr>
                <w:rFonts w:cs="Arial"/>
                <w:b/>
                <w:bCs/>
                <w:sz w:val="18"/>
                <w:szCs w:val="18"/>
              </w:rPr>
              <w:t> </w:t>
            </w:r>
          </w:p>
        </w:tc>
      </w:tr>
      <w:tr w:rsidR="00C32CBD" w14:paraId="31512FC1" w14:textId="77777777" w:rsidTr="00320D09">
        <w:trPr>
          <w:trHeight w:val="255"/>
        </w:trPr>
        <w:tc>
          <w:tcPr>
            <w:tcW w:w="4916" w:type="dxa"/>
            <w:tcBorders>
              <w:top w:val="nil"/>
              <w:left w:val="nil"/>
              <w:bottom w:val="nil"/>
              <w:right w:val="nil"/>
            </w:tcBorders>
            <w:shd w:val="clear" w:color="FFFFFF" w:fill="FFFFFF"/>
            <w:vAlign w:val="bottom"/>
            <w:hideMark/>
          </w:tcPr>
          <w:p w14:paraId="5F11142E" w14:textId="77777777" w:rsidR="00C32CBD" w:rsidRDefault="00C32CBD" w:rsidP="00320D09">
            <w:pPr>
              <w:rPr>
                <w:rFonts w:cs="Arial"/>
                <w:sz w:val="18"/>
                <w:szCs w:val="18"/>
              </w:rPr>
            </w:pPr>
            <w:r>
              <w:rPr>
                <w:rFonts w:cs="Arial"/>
                <w:sz w:val="18"/>
                <w:szCs w:val="18"/>
              </w:rPr>
              <w:t>Gross book value</w:t>
            </w:r>
          </w:p>
        </w:tc>
        <w:tc>
          <w:tcPr>
            <w:tcW w:w="1556" w:type="dxa"/>
            <w:tcBorders>
              <w:top w:val="nil"/>
              <w:left w:val="nil"/>
              <w:bottom w:val="nil"/>
              <w:right w:val="nil"/>
            </w:tcBorders>
            <w:shd w:val="clear" w:color="FFFFFF" w:fill="FFFFFF"/>
            <w:noWrap/>
            <w:vAlign w:val="bottom"/>
            <w:hideMark/>
          </w:tcPr>
          <w:p w14:paraId="2D400FBD" w14:textId="77777777" w:rsidR="00C32CBD" w:rsidRDefault="00C32CBD" w:rsidP="00320D09">
            <w:pPr>
              <w:jc w:val="right"/>
              <w:rPr>
                <w:rFonts w:cs="Arial"/>
                <w:sz w:val="18"/>
                <w:szCs w:val="18"/>
              </w:rPr>
            </w:pPr>
            <w:r>
              <w:rPr>
                <w:rFonts w:cs="Arial"/>
                <w:sz w:val="18"/>
                <w:szCs w:val="18"/>
              </w:rPr>
              <w:t>37,747</w:t>
            </w:r>
          </w:p>
        </w:tc>
        <w:tc>
          <w:tcPr>
            <w:tcW w:w="1316" w:type="dxa"/>
            <w:tcBorders>
              <w:top w:val="nil"/>
              <w:left w:val="nil"/>
              <w:bottom w:val="nil"/>
              <w:right w:val="nil"/>
            </w:tcBorders>
            <w:shd w:val="clear" w:color="FFFFFF" w:fill="FFFFFF"/>
            <w:noWrap/>
            <w:vAlign w:val="bottom"/>
            <w:hideMark/>
          </w:tcPr>
          <w:p w14:paraId="0DA89623" w14:textId="77777777" w:rsidR="00C32CBD" w:rsidRDefault="00C32CBD" w:rsidP="00320D09">
            <w:pPr>
              <w:jc w:val="right"/>
              <w:rPr>
                <w:rFonts w:cs="Arial"/>
                <w:sz w:val="18"/>
                <w:szCs w:val="18"/>
              </w:rPr>
            </w:pPr>
            <w:r>
              <w:rPr>
                <w:rFonts w:cs="Arial"/>
                <w:sz w:val="18"/>
                <w:szCs w:val="18"/>
              </w:rPr>
              <w:t>2,298</w:t>
            </w:r>
          </w:p>
        </w:tc>
        <w:tc>
          <w:tcPr>
            <w:tcW w:w="1316" w:type="dxa"/>
            <w:tcBorders>
              <w:top w:val="nil"/>
              <w:left w:val="nil"/>
              <w:bottom w:val="nil"/>
              <w:right w:val="nil"/>
            </w:tcBorders>
            <w:shd w:val="clear" w:color="FFFFFF" w:fill="FFFFFF"/>
            <w:noWrap/>
            <w:vAlign w:val="bottom"/>
            <w:hideMark/>
          </w:tcPr>
          <w:p w14:paraId="17947357" w14:textId="77777777" w:rsidR="00C32CBD" w:rsidRDefault="00C32CBD" w:rsidP="00320D09">
            <w:pPr>
              <w:jc w:val="right"/>
              <w:rPr>
                <w:rFonts w:cs="Arial"/>
                <w:sz w:val="18"/>
                <w:szCs w:val="18"/>
              </w:rPr>
            </w:pPr>
            <w:r>
              <w:rPr>
                <w:rFonts w:cs="Arial"/>
                <w:sz w:val="18"/>
                <w:szCs w:val="18"/>
              </w:rPr>
              <w:t>3,555</w:t>
            </w:r>
          </w:p>
        </w:tc>
        <w:tc>
          <w:tcPr>
            <w:tcW w:w="1316" w:type="dxa"/>
            <w:tcBorders>
              <w:top w:val="nil"/>
              <w:left w:val="nil"/>
              <w:bottom w:val="nil"/>
              <w:right w:val="nil"/>
            </w:tcBorders>
            <w:shd w:val="clear" w:color="FFFFFF" w:fill="FFFFFF"/>
            <w:noWrap/>
            <w:vAlign w:val="bottom"/>
            <w:hideMark/>
          </w:tcPr>
          <w:p w14:paraId="3519940B" w14:textId="77777777" w:rsidR="00C32CBD" w:rsidRDefault="00C32CBD" w:rsidP="00320D09">
            <w:pPr>
              <w:jc w:val="right"/>
              <w:rPr>
                <w:rFonts w:cs="Arial"/>
                <w:sz w:val="18"/>
                <w:szCs w:val="18"/>
              </w:rPr>
            </w:pPr>
            <w:r>
              <w:rPr>
                <w:rFonts w:cs="Arial"/>
                <w:sz w:val="18"/>
                <w:szCs w:val="18"/>
              </w:rPr>
              <w:t>43,600</w:t>
            </w:r>
          </w:p>
        </w:tc>
      </w:tr>
      <w:tr w:rsidR="00C32CBD" w14:paraId="70555EBF" w14:textId="77777777" w:rsidTr="00320D09">
        <w:trPr>
          <w:trHeight w:val="255"/>
        </w:trPr>
        <w:tc>
          <w:tcPr>
            <w:tcW w:w="4916" w:type="dxa"/>
            <w:tcBorders>
              <w:top w:val="nil"/>
              <w:left w:val="nil"/>
              <w:bottom w:val="nil"/>
              <w:right w:val="nil"/>
            </w:tcBorders>
            <w:shd w:val="clear" w:color="FFFFFF" w:fill="FFFFFF"/>
            <w:vAlign w:val="bottom"/>
            <w:hideMark/>
          </w:tcPr>
          <w:p w14:paraId="12A1DD14" w14:textId="77777777" w:rsidR="00C32CBD" w:rsidRDefault="00C32CBD" w:rsidP="00320D09">
            <w:pPr>
              <w:rPr>
                <w:rFonts w:cs="Arial"/>
                <w:sz w:val="18"/>
                <w:szCs w:val="18"/>
              </w:rPr>
            </w:pPr>
            <w:r>
              <w:rPr>
                <w:rFonts w:cs="Arial"/>
                <w:sz w:val="18"/>
                <w:szCs w:val="18"/>
              </w:rPr>
              <w:t>Accumulated depreciation and impairment</w:t>
            </w:r>
          </w:p>
        </w:tc>
        <w:tc>
          <w:tcPr>
            <w:tcW w:w="1556" w:type="dxa"/>
            <w:tcBorders>
              <w:top w:val="nil"/>
              <w:left w:val="nil"/>
              <w:bottom w:val="nil"/>
              <w:right w:val="nil"/>
            </w:tcBorders>
            <w:shd w:val="clear" w:color="FFFFFF" w:fill="FFFFFF"/>
            <w:noWrap/>
            <w:vAlign w:val="bottom"/>
            <w:hideMark/>
          </w:tcPr>
          <w:p w14:paraId="66AAF333" w14:textId="77777777" w:rsidR="00C32CBD" w:rsidRDefault="00C32CBD" w:rsidP="00320D09">
            <w:pPr>
              <w:jc w:val="right"/>
              <w:rPr>
                <w:rFonts w:cs="Arial"/>
                <w:sz w:val="18"/>
                <w:szCs w:val="18"/>
              </w:rPr>
            </w:pPr>
            <w:r>
              <w:rPr>
                <w:rFonts w:cs="Arial"/>
                <w:sz w:val="18"/>
                <w:szCs w:val="18"/>
              </w:rPr>
              <w:t>(11,284)</w:t>
            </w:r>
          </w:p>
        </w:tc>
        <w:tc>
          <w:tcPr>
            <w:tcW w:w="1316" w:type="dxa"/>
            <w:tcBorders>
              <w:top w:val="nil"/>
              <w:left w:val="nil"/>
              <w:bottom w:val="nil"/>
              <w:right w:val="nil"/>
            </w:tcBorders>
            <w:shd w:val="clear" w:color="FFFFFF" w:fill="FFFFFF"/>
            <w:noWrap/>
            <w:vAlign w:val="bottom"/>
            <w:hideMark/>
          </w:tcPr>
          <w:p w14:paraId="4740C870" w14:textId="77777777" w:rsidR="00C32CBD" w:rsidRDefault="00C32CBD" w:rsidP="00320D09">
            <w:pPr>
              <w:jc w:val="right"/>
              <w:rPr>
                <w:rFonts w:cs="Arial"/>
                <w:sz w:val="18"/>
                <w:szCs w:val="18"/>
              </w:rPr>
            </w:pPr>
            <w:r>
              <w:rPr>
                <w:rFonts w:cs="Arial"/>
                <w:sz w:val="18"/>
                <w:szCs w:val="18"/>
              </w:rPr>
              <w:t>(842)</w:t>
            </w:r>
          </w:p>
        </w:tc>
        <w:tc>
          <w:tcPr>
            <w:tcW w:w="1316" w:type="dxa"/>
            <w:tcBorders>
              <w:top w:val="nil"/>
              <w:left w:val="nil"/>
              <w:bottom w:val="nil"/>
              <w:right w:val="nil"/>
            </w:tcBorders>
            <w:shd w:val="clear" w:color="FFFFFF" w:fill="FFFFFF"/>
            <w:noWrap/>
            <w:vAlign w:val="bottom"/>
            <w:hideMark/>
          </w:tcPr>
          <w:p w14:paraId="1B565385" w14:textId="77777777" w:rsidR="00C32CBD" w:rsidRDefault="00C32CBD" w:rsidP="00320D09">
            <w:pPr>
              <w:jc w:val="right"/>
              <w:rPr>
                <w:rFonts w:cs="Arial"/>
                <w:sz w:val="18"/>
                <w:szCs w:val="18"/>
              </w:rPr>
            </w:pPr>
            <w:r>
              <w:rPr>
                <w:rFonts w:cs="Arial"/>
                <w:sz w:val="18"/>
                <w:szCs w:val="18"/>
              </w:rPr>
              <w:t>(139)</w:t>
            </w:r>
          </w:p>
        </w:tc>
        <w:tc>
          <w:tcPr>
            <w:tcW w:w="1316" w:type="dxa"/>
            <w:tcBorders>
              <w:top w:val="nil"/>
              <w:left w:val="nil"/>
              <w:bottom w:val="nil"/>
              <w:right w:val="nil"/>
            </w:tcBorders>
            <w:shd w:val="clear" w:color="FFFFFF" w:fill="FFFFFF"/>
            <w:noWrap/>
            <w:vAlign w:val="bottom"/>
            <w:hideMark/>
          </w:tcPr>
          <w:p w14:paraId="59CEDF32" w14:textId="77777777" w:rsidR="00C32CBD" w:rsidRDefault="00C32CBD" w:rsidP="00320D09">
            <w:pPr>
              <w:jc w:val="right"/>
              <w:rPr>
                <w:rFonts w:cs="Arial"/>
                <w:sz w:val="18"/>
                <w:szCs w:val="18"/>
              </w:rPr>
            </w:pPr>
            <w:r>
              <w:rPr>
                <w:rFonts w:cs="Arial"/>
                <w:sz w:val="18"/>
                <w:szCs w:val="18"/>
              </w:rPr>
              <w:t>(12,265)</w:t>
            </w:r>
          </w:p>
        </w:tc>
      </w:tr>
      <w:tr w:rsidR="00C32CBD" w14:paraId="1D640F5B" w14:textId="77777777" w:rsidTr="00320D09">
        <w:trPr>
          <w:trHeight w:val="255"/>
        </w:trPr>
        <w:tc>
          <w:tcPr>
            <w:tcW w:w="4916" w:type="dxa"/>
            <w:tcBorders>
              <w:top w:val="single" w:sz="4" w:space="0" w:color="auto"/>
              <w:left w:val="nil"/>
              <w:bottom w:val="single" w:sz="4" w:space="0" w:color="auto"/>
              <w:right w:val="nil"/>
            </w:tcBorders>
            <w:shd w:val="clear" w:color="FFFFFF" w:fill="FFFFFF"/>
            <w:vAlign w:val="bottom"/>
            <w:hideMark/>
          </w:tcPr>
          <w:p w14:paraId="1620C092" w14:textId="77777777" w:rsidR="00C32CBD" w:rsidRDefault="00C32CBD" w:rsidP="00320D09">
            <w:pPr>
              <w:rPr>
                <w:rFonts w:cs="Arial"/>
                <w:b/>
                <w:bCs/>
                <w:sz w:val="18"/>
                <w:szCs w:val="18"/>
              </w:rPr>
            </w:pPr>
            <w:r>
              <w:rPr>
                <w:rFonts w:cs="Arial"/>
                <w:b/>
                <w:bCs/>
                <w:sz w:val="18"/>
                <w:szCs w:val="18"/>
              </w:rPr>
              <w:t>Net book value 1 July 2015</w:t>
            </w:r>
          </w:p>
        </w:tc>
        <w:tc>
          <w:tcPr>
            <w:tcW w:w="1556" w:type="dxa"/>
            <w:tcBorders>
              <w:top w:val="single" w:sz="4" w:space="0" w:color="auto"/>
              <w:left w:val="nil"/>
              <w:bottom w:val="single" w:sz="4" w:space="0" w:color="auto"/>
              <w:right w:val="nil"/>
            </w:tcBorders>
            <w:shd w:val="clear" w:color="FFFFFF" w:fill="FFFFFF"/>
            <w:noWrap/>
            <w:vAlign w:val="bottom"/>
            <w:hideMark/>
          </w:tcPr>
          <w:p w14:paraId="01886C32" w14:textId="77777777" w:rsidR="00C32CBD" w:rsidRDefault="00C32CBD" w:rsidP="00320D09">
            <w:pPr>
              <w:jc w:val="right"/>
              <w:rPr>
                <w:rFonts w:cs="Arial"/>
                <w:sz w:val="18"/>
                <w:szCs w:val="18"/>
              </w:rPr>
            </w:pPr>
            <w:r>
              <w:rPr>
                <w:rFonts w:cs="Arial"/>
                <w:sz w:val="18"/>
                <w:szCs w:val="18"/>
              </w:rPr>
              <w:t>26,463</w:t>
            </w:r>
          </w:p>
        </w:tc>
        <w:tc>
          <w:tcPr>
            <w:tcW w:w="1316" w:type="dxa"/>
            <w:tcBorders>
              <w:top w:val="single" w:sz="4" w:space="0" w:color="auto"/>
              <w:left w:val="nil"/>
              <w:bottom w:val="single" w:sz="4" w:space="0" w:color="auto"/>
              <w:right w:val="nil"/>
            </w:tcBorders>
            <w:shd w:val="clear" w:color="FFFFFF" w:fill="FFFFFF"/>
            <w:noWrap/>
            <w:vAlign w:val="bottom"/>
            <w:hideMark/>
          </w:tcPr>
          <w:p w14:paraId="69AB74C1" w14:textId="77777777" w:rsidR="00C32CBD" w:rsidRDefault="00C32CBD" w:rsidP="00320D09">
            <w:pPr>
              <w:jc w:val="right"/>
              <w:rPr>
                <w:rFonts w:cs="Arial"/>
                <w:sz w:val="18"/>
                <w:szCs w:val="18"/>
              </w:rPr>
            </w:pPr>
            <w:r>
              <w:rPr>
                <w:rFonts w:cs="Arial"/>
                <w:sz w:val="18"/>
                <w:szCs w:val="18"/>
              </w:rPr>
              <w:t>1,456</w:t>
            </w:r>
          </w:p>
        </w:tc>
        <w:tc>
          <w:tcPr>
            <w:tcW w:w="1316" w:type="dxa"/>
            <w:tcBorders>
              <w:top w:val="single" w:sz="4" w:space="0" w:color="auto"/>
              <w:left w:val="nil"/>
              <w:bottom w:val="single" w:sz="4" w:space="0" w:color="auto"/>
              <w:right w:val="nil"/>
            </w:tcBorders>
            <w:shd w:val="clear" w:color="FFFFFF" w:fill="FFFFFF"/>
            <w:noWrap/>
            <w:vAlign w:val="bottom"/>
            <w:hideMark/>
          </w:tcPr>
          <w:p w14:paraId="71AB11F6" w14:textId="77777777" w:rsidR="00C32CBD" w:rsidRDefault="00C32CBD" w:rsidP="00320D09">
            <w:pPr>
              <w:jc w:val="right"/>
              <w:rPr>
                <w:rFonts w:cs="Arial"/>
                <w:sz w:val="18"/>
                <w:szCs w:val="18"/>
              </w:rPr>
            </w:pPr>
            <w:r>
              <w:rPr>
                <w:rFonts w:cs="Arial"/>
                <w:sz w:val="18"/>
                <w:szCs w:val="18"/>
              </w:rPr>
              <w:t>3,416</w:t>
            </w:r>
          </w:p>
        </w:tc>
        <w:tc>
          <w:tcPr>
            <w:tcW w:w="1316" w:type="dxa"/>
            <w:tcBorders>
              <w:top w:val="single" w:sz="4" w:space="0" w:color="auto"/>
              <w:left w:val="nil"/>
              <w:bottom w:val="single" w:sz="4" w:space="0" w:color="auto"/>
              <w:right w:val="nil"/>
            </w:tcBorders>
            <w:shd w:val="clear" w:color="FFFFFF" w:fill="FFFFFF"/>
            <w:noWrap/>
            <w:vAlign w:val="bottom"/>
            <w:hideMark/>
          </w:tcPr>
          <w:p w14:paraId="4ADD0DB7" w14:textId="77777777" w:rsidR="00C32CBD" w:rsidRDefault="00C32CBD" w:rsidP="00320D09">
            <w:pPr>
              <w:jc w:val="right"/>
              <w:rPr>
                <w:rFonts w:cs="Arial"/>
                <w:sz w:val="18"/>
                <w:szCs w:val="18"/>
              </w:rPr>
            </w:pPr>
            <w:r>
              <w:rPr>
                <w:rFonts w:cs="Arial"/>
                <w:sz w:val="18"/>
                <w:szCs w:val="18"/>
              </w:rPr>
              <w:t>31,335</w:t>
            </w:r>
          </w:p>
        </w:tc>
      </w:tr>
      <w:tr w:rsidR="00C32CBD" w14:paraId="2AFC384F" w14:textId="77777777" w:rsidTr="00320D09">
        <w:trPr>
          <w:trHeight w:val="255"/>
        </w:trPr>
        <w:tc>
          <w:tcPr>
            <w:tcW w:w="4916" w:type="dxa"/>
            <w:tcBorders>
              <w:top w:val="nil"/>
              <w:left w:val="nil"/>
              <w:bottom w:val="nil"/>
              <w:right w:val="nil"/>
            </w:tcBorders>
            <w:shd w:val="clear" w:color="FFFFFF" w:fill="FFFFFF"/>
            <w:vAlign w:val="bottom"/>
            <w:hideMark/>
          </w:tcPr>
          <w:p w14:paraId="22ADE2CA" w14:textId="77777777" w:rsidR="00C32CBD" w:rsidRDefault="00C32CBD" w:rsidP="00320D09">
            <w:pPr>
              <w:rPr>
                <w:rFonts w:cs="Arial"/>
                <w:sz w:val="18"/>
                <w:szCs w:val="18"/>
              </w:rPr>
            </w:pPr>
            <w:r>
              <w:rPr>
                <w:rFonts w:cs="Arial"/>
                <w:sz w:val="18"/>
                <w:szCs w:val="18"/>
              </w:rPr>
              <w:t>Additions:</w:t>
            </w:r>
          </w:p>
        </w:tc>
        <w:tc>
          <w:tcPr>
            <w:tcW w:w="1556" w:type="dxa"/>
            <w:tcBorders>
              <w:top w:val="nil"/>
              <w:left w:val="nil"/>
              <w:bottom w:val="nil"/>
              <w:right w:val="nil"/>
            </w:tcBorders>
            <w:shd w:val="clear" w:color="FFFFFF" w:fill="FFFFFF"/>
            <w:noWrap/>
            <w:vAlign w:val="bottom"/>
            <w:hideMark/>
          </w:tcPr>
          <w:p w14:paraId="03E212DD" w14:textId="77777777" w:rsidR="00C32CBD" w:rsidRDefault="00C32CBD" w:rsidP="00320D09">
            <w:pPr>
              <w:rPr>
                <w:rFonts w:cs="Arial"/>
                <w:sz w:val="18"/>
                <w:szCs w:val="18"/>
              </w:rPr>
            </w:pPr>
            <w:r>
              <w:rPr>
                <w:rFonts w:cs="Arial"/>
                <w:sz w:val="18"/>
                <w:szCs w:val="18"/>
              </w:rPr>
              <w:t> </w:t>
            </w:r>
          </w:p>
        </w:tc>
        <w:tc>
          <w:tcPr>
            <w:tcW w:w="1316" w:type="dxa"/>
            <w:tcBorders>
              <w:top w:val="nil"/>
              <w:left w:val="nil"/>
              <w:bottom w:val="nil"/>
              <w:right w:val="nil"/>
            </w:tcBorders>
            <w:shd w:val="clear" w:color="FFFFFF" w:fill="FFFFFF"/>
            <w:noWrap/>
            <w:vAlign w:val="bottom"/>
            <w:hideMark/>
          </w:tcPr>
          <w:p w14:paraId="12FA5399" w14:textId="77777777" w:rsidR="00C32CBD" w:rsidRDefault="00C32CBD" w:rsidP="00320D09">
            <w:pPr>
              <w:rPr>
                <w:rFonts w:cs="Arial"/>
                <w:sz w:val="18"/>
                <w:szCs w:val="18"/>
              </w:rPr>
            </w:pPr>
            <w:r>
              <w:rPr>
                <w:rFonts w:cs="Arial"/>
                <w:sz w:val="18"/>
                <w:szCs w:val="18"/>
              </w:rPr>
              <w:t> </w:t>
            </w:r>
          </w:p>
        </w:tc>
        <w:tc>
          <w:tcPr>
            <w:tcW w:w="1316" w:type="dxa"/>
            <w:tcBorders>
              <w:top w:val="nil"/>
              <w:left w:val="nil"/>
              <w:bottom w:val="nil"/>
              <w:right w:val="nil"/>
            </w:tcBorders>
            <w:shd w:val="clear" w:color="FFFFFF" w:fill="FFFFFF"/>
            <w:noWrap/>
            <w:vAlign w:val="bottom"/>
            <w:hideMark/>
          </w:tcPr>
          <w:p w14:paraId="2865C79C" w14:textId="77777777" w:rsidR="00C32CBD" w:rsidRDefault="00C32CBD" w:rsidP="00320D09">
            <w:pPr>
              <w:rPr>
                <w:rFonts w:cs="Arial"/>
                <w:sz w:val="18"/>
                <w:szCs w:val="18"/>
              </w:rPr>
            </w:pPr>
            <w:r>
              <w:rPr>
                <w:rFonts w:cs="Arial"/>
                <w:sz w:val="18"/>
                <w:szCs w:val="18"/>
              </w:rPr>
              <w:t> </w:t>
            </w:r>
          </w:p>
        </w:tc>
        <w:tc>
          <w:tcPr>
            <w:tcW w:w="1316" w:type="dxa"/>
            <w:tcBorders>
              <w:top w:val="nil"/>
              <w:left w:val="nil"/>
              <w:bottom w:val="nil"/>
              <w:right w:val="nil"/>
            </w:tcBorders>
            <w:shd w:val="clear" w:color="FFFFFF" w:fill="FFFFFF"/>
            <w:noWrap/>
            <w:vAlign w:val="bottom"/>
            <w:hideMark/>
          </w:tcPr>
          <w:p w14:paraId="63A779E5" w14:textId="77777777" w:rsidR="00C32CBD" w:rsidRDefault="00C32CBD" w:rsidP="00320D09">
            <w:pPr>
              <w:jc w:val="right"/>
              <w:rPr>
                <w:rFonts w:cs="Arial"/>
                <w:sz w:val="18"/>
                <w:szCs w:val="18"/>
              </w:rPr>
            </w:pPr>
            <w:r>
              <w:rPr>
                <w:rFonts w:cs="Arial"/>
                <w:sz w:val="18"/>
                <w:szCs w:val="18"/>
              </w:rPr>
              <w:t> </w:t>
            </w:r>
          </w:p>
        </w:tc>
      </w:tr>
      <w:tr w:rsidR="00C32CBD" w14:paraId="02E3DB13" w14:textId="77777777" w:rsidTr="00320D09">
        <w:trPr>
          <w:trHeight w:val="255"/>
        </w:trPr>
        <w:tc>
          <w:tcPr>
            <w:tcW w:w="4916" w:type="dxa"/>
            <w:tcBorders>
              <w:top w:val="nil"/>
              <w:left w:val="nil"/>
              <w:bottom w:val="nil"/>
              <w:right w:val="nil"/>
            </w:tcBorders>
            <w:shd w:val="clear" w:color="FFFFFF" w:fill="FFFFFF"/>
            <w:vAlign w:val="bottom"/>
            <w:hideMark/>
          </w:tcPr>
          <w:p w14:paraId="2908FAAE" w14:textId="77777777" w:rsidR="00C32CBD" w:rsidRDefault="00C32CBD" w:rsidP="00320D09">
            <w:pPr>
              <w:ind w:firstLineChars="100" w:firstLine="180"/>
              <w:rPr>
                <w:rFonts w:cs="Arial"/>
                <w:sz w:val="18"/>
                <w:szCs w:val="18"/>
              </w:rPr>
            </w:pPr>
            <w:r>
              <w:rPr>
                <w:rFonts w:cs="Arial"/>
                <w:sz w:val="18"/>
                <w:szCs w:val="18"/>
              </w:rPr>
              <w:t>By purchase</w:t>
            </w:r>
          </w:p>
        </w:tc>
        <w:tc>
          <w:tcPr>
            <w:tcW w:w="1556" w:type="dxa"/>
            <w:tcBorders>
              <w:top w:val="nil"/>
              <w:left w:val="nil"/>
              <w:bottom w:val="nil"/>
              <w:right w:val="nil"/>
            </w:tcBorders>
            <w:shd w:val="clear" w:color="FFFFFF" w:fill="FFFFFF"/>
            <w:noWrap/>
            <w:vAlign w:val="bottom"/>
            <w:hideMark/>
          </w:tcPr>
          <w:p w14:paraId="58859FBB" w14:textId="77777777" w:rsidR="00C32CBD" w:rsidRDefault="00C32CBD" w:rsidP="00320D09">
            <w:pPr>
              <w:jc w:val="right"/>
              <w:rPr>
                <w:rFonts w:cs="Arial"/>
                <w:sz w:val="18"/>
                <w:szCs w:val="18"/>
              </w:rPr>
            </w:pPr>
            <w:r>
              <w:rPr>
                <w:rFonts w:cs="Arial"/>
                <w:sz w:val="18"/>
                <w:szCs w:val="18"/>
              </w:rPr>
              <w:t>3,829</w:t>
            </w:r>
          </w:p>
        </w:tc>
        <w:tc>
          <w:tcPr>
            <w:tcW w:w="1316" w:type="dxa"/>
            <w:tcBorders>
              <w:top w:val="nil"/>
              <w:left w:val="nil"/>
              <w:bottom w:val="nil"/>
              <w:right w:val="nil"/>
            </w:tcBorders>
            <w:shd w:val="clear" w:color="FFFFFF" w:fill="FFFFFF"/>
            <w:noWrap/>
            <w:vAlign w:val="bottom"/>
            <w:hideMark/>
          </w:tcPr>
          <w:p w14:paraId="194D9D75" w14:textId="77777777" w:rsidR="00C32CBD" w:rsidRDefault="00C32CBD" w:rsidP="00320D09">
            <w:pPr>
              <w:jc w:val="right"/>
              <w:rPr>
                <w:rFonts w:cs="Arial"/>
                <w:sz w:val="18"/>
                <w:szCs w:val="18"/>
              </w:rPr>
            </w:pPr>
            <w:r>
              <w:rPr>
                <w:rFonts w:cs="Arial"/>
                <w:sz w:val="18"/>
                <w:szCs w:val="18"/>
              </w:rPr>
              <w:t>396</w:t>
            </w:r>
          </w:p>
        </w:tc>
        <w:tc>
          <w:tcPr>
            <w:tcW w:w="1316" w:type="dxa"/>
            <w:tcBorders>
              <w:top w:val="nil"/>
              <w:left w:val="nil"/>
              <w:bottom w:val="nil"/>
              <w:right w:val="nil"/>
            </w:tcBorders>
            <w:shd w:val="clear" w:color="FFFFFF" w:fill="FFFFFF"/>
            <w:noWrap/>
            <w:vAlign w:val="bottom"/>
            <w:hideMark/>
          </w:tcPr>
          <w:p w14:paraId="519E40C8" w14:textId="77777777" w:rsidR="00C32CBD" w:rsidRDefault="00C32CBD" w:rsidP="00320D09">
            <w:pPr>
              <w:jc w:val="right"/>
              <w:rPr>
                <w:rFonts w:cs="Arial"/>
                <w:sz w:val="18"/>
                <w:szCs w:val="18"/>
              </w:rPr>
            </w:pPr>
            <w:r>
              <w:rPr>
                <w:rFonts w:cs="Arial"/>
                <w:sz w:val="18"/>
                <w:szCs w:val="18"/>
              </w:rPr>
              <w:t xml:space="preserve"> -</w:t>
            </w:r>
          </w:p>
        </w:tc>
        <w:tc>
          <w:tcPr>
            <w:tcW w:w="1316" w:type="dxa"/>
            <w:tcBorders>
              <w:top w:val="nil"/>
              <w:left w:val="nil"/>
              <w:bottom w:val="nil"/>
              <w:right w:val="nil"/>
            </w:tcBorders>
            <w:shd w:val="clear" w:color="FFFFFF" w:fill="FFFFFF"/>
            <w:noWrap/>
            <w:vAlign w:val="bottom"/>
            <w:hideMark/>
          </w:tcPr>
          <w:p w14:paraId="3F282A19" w14:textId="77777777" w:rsidR="00C32CBD" w:rsidRDefault="00C32CBD" w:rsidP="00320D09">
            <w:pPr>
              <w:jc w:val="right"/>
              <w:rPr>
                <w:rFonts w:cs="Arial"/>
                <w:sz w:val="18"/>
                <w:szCs w:val="18"/>
              </w:rPr>
            </w:pPr>
            <w:r>
              <w:rPr>
                <w:rFonts w:cs="Arial"/>
                <w:sz w:val="18"/>
                <w:szCs w:val="18"/>
              </w:rPr>
              <w:t>4,225</w:t>
            </w:r>
          </w:p>
        </w:tc>
      </w:tr>
      <w:tr w:rsidR="00C32CBD" w14:paraId="4D3CD7DA" w14:textId="77777777" w:rsidTr="00320D09">
        <w:trPr>
          <w:trHeight w:val="255"/>
        </w:trPr>
        <w:tc>
          <w:tcPr>
            <w:tcW w:w="4916" w:type="dxa"/>
            <w:tcBorders>
              <w:top w:val="nil"/>
              <w:left w:val="nil"/>
              <w:bottom w:val="nil"/>
              <w:right w:val="nil"/>
            </w:tcBorders>
            <w:shd w:val="clear" w:color="FFFFFF" w:fill="FFFFFF"/>
            <w:vAlign w:val="bottom"/>
            <w:hideMark/>
          </w:tcPr>
          <w:p w14:paraId="7A582125" w14:textId="77777777" w:rsidR="00C32CBD" w:rsidRDefault="00C32CBD" w:rsidP="00320D09">
            <w:pPr>
              <w:ind w:firstLineChars="100" w:firstLine="180"/>
              <w:rPr>
                <w:rFonts w:cs="Arial"/>
                <w:sz w:val="18"/>
                <w:szCs w:val="18"/>
              </w:rPr>
            </w:pPr>
            <w:r>
              <w:rPr>
                <w:rFonts w:cs="Arial"/>
                <w:sz w:val="18"/>
                <w:szCs w:val="18"/>
              </w:rPr>
              <w:t>Assets first found</w:t>
            </w:r>
          </w:p>
        </w:tc>
        <w:tc>
          <w:tcPr>
            <w:tcW w:w="1556" w:type="dxa"/>
            <w:tcBorders>
              <w:top w:val="nil"/>
              <w:left w:val="nil"/>
              <w:bottom w:val="nil"/>
              <w:right w:val="nil"/>
            </w:tcBorders>
            <w:shd w:val="clear" w:color="FFFFFF" w:fill="FFFFFF"/>
            <w:noWrap/>
            <w:vAlign w:val="bottom"/>
            <w:hideMark/>
          </w:tcPr>
          <w:p w14:paraId="21FC7FF5" w14:textId="77777777" w:rsidR="00C32CBD" w:rsidRDefault="00C32CBD" w:rsidP="00320D09">
            <w:pPr>
              <w:jc w:val="right"/>
              <w:rPr>
                <w:rFonts w:cs="Arial"/>
                <w:sz w:val="18"/>
                <w:szCs w:val="18"/>
              </w:rPr>
            </w:pPr>
            <w:r>
              <w:rPr>
                <w:rFonts w:cs="Arial"/>
                <w:sz w:val="18"/>
                <w:szCs w:val="18"/>
              </w:rPr>
              <w:t xml:space="preserve"> -</w:t>
            </w:r>
          </w:p>
        </w:tc>
        <w:tc>
          <w:tcPr>
            <w:tcW w:w="1316" w:type="dxa"/>
            <w:tcBorders>
              <w:top w:val="nil"/>
              <w:left w:val="nil"/>
              <w:bottom w:val="nil"/>
              <w:right w:val="nil"/>
            </w:tcBorders>
            <w:shd w:val="clear" w:color="FFFFFF" w:fill="FFFFFF"/>
            <w:noWrap/>
            <w:vAlign w:val="bottom"/>
            <w:hideMark/>
          </w:tcPr>
          <w:p w14:paraId="6EC5999E" w14:textId="77777777" w:rsidR="00C32CBD" w:rsidRDefault="00C32CBD" w:rsidP="00320D09">
            <w:pPr>
              <w:jc w:val="right"/>
              <w:rPr>
                <w:rFonts w:cs="Arial"/>
                <w:sz w:val="18"/>
                <w:szCs w:val="18"/>
              </w:rPr>
            </w:pPr>
            <w:r>
              <w:rPr>
                <w:rFonts w:cs="Arial"/>
                <w:sz w:val="18"/>
                <w:szCs w:val="18"/>
              </w:rPr>
              <w:t>143</w:t>
            </w:r>
          </w:p>
        </w:tc>
        <w:tc>
          <w:tcPr>
            <w:tcW w:w="1316" w:type="dxa"/>
            <w:tcBorders>
              <w:top w:val="nil"/>
              <w:left w:val="nil"/>
              <w:bottom w:val="nil"/>
              <w:right w:val="nil"/>
            </w:tcBorders>
            <w:shd w:val="clear" w:color="FFFFFF" w:fill="FFFFFF"/>
            <w:noWrap/>
            <w:vAlign w:val="bottom"/>
            <w:hideMark/>
          </w:tcPr>
          <w:p w14:paraId="2DA32468" w14:textId="77777777" w:rsidR="00C32CBD" w:rsidRDefault="00C32CBD" w:rsidP="00320D09">
            <w:pPr>
              <w:jc w:val="right"/>
              <w:rPr>
                <w:rFonts w:cs="Arial"/>
                <w:sz w:val="18"/>
                <w:szCs w:val="18"/>
              </w:rPr>
            </w:pPr>
            <w:r>
              <w:rPr>
                <w:rFonts w:cs="Arial"/>
                <w:sz w:val="18"/>
                <w:szCs w:val="18"/>
              </w:rPr>
              <w:t xml:space="preserve"> -</w:t>
            </w:r>
          </w:p>
        </w:tc>
        <w:tc>
          <w:tcPr>
            <w:tcW w:w="1316" w:type="dxa"/>
            <w:tcBorders>
              <w:top w:val="nil"/>
              <w:left w:val="nil"/>
              <w:bottom w:val="nil"/>
              <w:right w:val="nil"/>
            </w:tcBorders>
            <w:shd w:val="clear" w:color="FFFFFF" w:fill="FFFFFF"/>
            <w:noWrap/>
            <w:vAlign w:val="bottom"/>
            <w:hideMark/>
          </w:tcPr>
          <w:p w14:paraId="66B873BC" w14:textId="77777777" w:rsidR="00C32CBD" w:rsidRDefault="00C32CBD" w:rsidP="00320D09">
            <w:pPr>
              <w:jc w:val="right"/>
              <w:rPr>
                <w:rFonts w:cs="Arial"/>
                <w:sz w:val="18"/>
                <w:szCs w:val="18"/>
              </w:rPr>
            </w:pPr>
            <w:r>
              <w:rPr>
                <w:rFonts w:cs="Arial"/>
                <w:sz w:val="18"/>
                <w:szCs w:val="18"/>
              </w:rPr>
              <w:t>143</w:t>
            </w:r>
          </w:p>
        </w:tc>
      </w:tr>
      <w:tr w:rsidR="00C32CBD" w14:paraId="5535D6C0" w14:textId="77777777" w:rsidTr="00320D09">
        <w:trPr>
          <w:trHeight w:val="255"/>
        </w:trPr>
        <w:tc>
          <w:tcPr>
            <w:tcW w:w="4916" w:type="dxa"/>
            <w:tcBorders>
              <w:top w:val="nil"/>
              <w:left w:val="nil"/>
              <w:bottom w:val="nil"/>
              <w:right w:val="nil"/>
            </w:tcBorders>
            <w:shd w:val="clear" w:color="FFFFFF" w:fill="FFFFFF"/>
            <w:vAlign w:val="bottom"/>
            <w:hideMark/>
          </w:tcPr>
          <w:p w14:paraId="323196E5" w14:textId="77777777" w:rsidR="00C32CBD" w:rsidRDefault="00C32CBD" w:rsidP="00320D09">
            <w:pPr>
              <w:rPr>
                <w:rFonts w:cs="Arial"/>
                <w:sz w:val="18"/>
                <w:szCs w:val="18"/>
              </w:rPr>
            </w:pPr>
            <w:r>
              <w:rPr>
                <w:rFonts w:cs="Arial"/>
                <w:sz w:val="18"/>
                <w:szCs w:val="18"/>
              </w:rPr>
              <w:t>Revaluations in other comprehensive income</w:t>
            </w:r>
          </w:p>
        </w:tc>
        <w:tc>
          <w:tcPr>
            <w:tcW w:w="1556" w:type="dxa"/>
            <w:tcBorders>
              <w:top w:val="nil"/>
              <w:left w:val="nil"/>
              <w:bottom w:val="nil"/>
              <w:right w:val="nil"/>
            </w:tcBorders>
            <w:shd w:val="clear" w:color="FFFFFF" w:fill="FFFFFF"/>
            <w:noWrap/>
            <w:vAlign w:val="bottom"/>
            <w:hideMark/>
          </w:tcPr>
          <w:p w14:paraId="33769AB8" w14:textId="77777777" w:rsidR="00C32CBD" w:rsidRDefault="00C32CBD" w:rsidP="00320D09">
            <w:pPr>
              <w:jc w:val="right"/>
              <w:rPr>
                <w:rFonts w:cs="Arial"/>
                <w:sz w:val="18"/>
                <w:szCs w:val="18"/>
              </w:rPr>
            </w:pPr>
            <w:r>
              <w:rPr>
                <w:rFonts w:cs="Arial"/>
                <w:sz w:val="18"/>
                <w:szCs w:val="18"/>
              </w:rPr>
              <w:t>1,881</w:t>
            </w:r>
          </w:p>
        </w:tc>
        <w:tc>
          <w:tcPr>
            <w:tcW w:w="1316" w:type="dxa"/>
            <w:tcBorders>
              <w:top w:val="nil"/>
              <w:left w:val="nil"/>
              <w:bottom w:val="nil"/>
              <w:right w:val="nil"/>
            </w:tcBorders>
            <w:shd w:val="clear" w:color="FFFFFF" w:fill="FFFFFF"/>
            <w:noWrap/>
            <w:vAlign w:val="bottom"/>
            <w:hideMark/>
          </w:tcPr>
          <w:p w14:paraId="681A6247" w14:textId="77777777" w:rsidR="00C32CBD" w:rsidRDefault="00C32CBD" w:rsidP="00320D09">
            <w:pPr>
              <w:jc w:val="right"/>
              <w:rPr>
                <w:rFonts w:cs="Arial"/>
                <w:sz w:val="18"/>
                <w:szCs w:val="18"/>
              </w:rPr>
            </w:pPr>
            <w:r>
              <w:rPr>
                <w:rFonts w:cs="Arial"/>
                <w:sz w:val="18"/>
                <w:szCs w:val="18"/>
              </w:rPr>
              <w:t xml:space="preserve"> -</w:t>
            </w:r>
          </w:p>
        </w:tc>
        <w:tc>
          <w:tcPr>
            <w:tcW w:w="1316" w:type="dxa"/>
            <w:tcBorders>
              <w:top w:val="nil"/>
              <w:left w:val="nil"/>
              <w:bottom w:val="nil"/>
              <w:right w:val="nil"/>
            </w:tcBorders>
            <w:shd w:val="clear" w:color="FFFFFF" w:fill="FFFFFF"/>
            <w:noWrap/>
            <w:vAlign w:val="bottom"/>
            <w:hideMark/>
          </w:tcPr>
          <w:p w14:paraId="57392B0A" w14:textId="77777777" w:rsidR="00C32CBD" w:rsidRDefault="00C32CBD" w:rsidP="00320D09">
            <w:pPr>
              <w:jc w:val="right"/>
              <w:rPr>
                <w:rFonts w:cs="Arial"/>
                <w:sz w:val="18"/>
                <w:szCs w:val="18"/>
              </w:rPr>
            </w:pPr>
            <w:r>
              <w:rPr>
                <w:rFonts w:cs="Arial"/>
                <w:sz w:val="18"/>
                <w:szCs w:val="18"/>
              </w:rPr>
              <w:t xml:space="preserve"> -</w:t>
            </w:r>
          </w:p>
        </w:tc>
        <w:tc>
          <w:tcPr>
            <w:tcW w:w="1316" w:type="dxa"/>
            <w:tcBorders>
              <w:top w:val="nil"/>
              <w:left w:val="nil"/>
              <w:bottom w:val="nil"/>
              <w:right w:val="nil"/>
            </w:tcBorders>
            <w:shd w:val="clear" w:color="FFFFFF" w:fill="FFFFFF"/>
            <w:noWrap/>
            <w:vAlign w:val="bottom"/>
            <w:hideMark/>
          </w:tcPr>
          <w:p w14:paraId="4734F207" w14:textId="77777777" w:rsidR="00C32CBD" w:rsidRDefault="00C32CBD" w:rsidP="00320D09">
            <w:pPr>
              <w:jc w:val="right"/>
              <w:rPr>
                <w:rFonts w:cs="Arial"/>
                <w:sz w:val="18"/>
                <w:szCs w:val="18"/>
              </w:rPr>
            </w:pPr>
            <w:r>
              <w:rPr>
                <w:rFonts w:cs="Arial"/>
                <w:sz w:val="18"/>
                <w:szCs w:val="18"/>
              </w:rPr>
              <w:t>1,881</w:t>
            </w:r>
          </w:p>
        </w:tc>
      </w:tr>
      <w:tr w:rsidR="00C32CBD" w14:paraId="5E7B18C8" w14:textId="77777777" w:rsidTr="00320D09">
        <w:trPr>
          <w:trHeight w:val="255"/>
        </w:trPr>
        <w:tc>
          <w:tcPr>
            <w:tcW w:w="4916" w:type="dxa"/>
            <w:tcBorders>
              <w:top w:val="nil"/>
              <w:left w:val="nil"/>
              <w:bottom w:val="nil"/>
              <w:right w:val="nil"/>
            </w:tcBorders>
            <w:shd w:val="clear" w:color="FFFFFF" w:fill="FFFFFF"/>
            <w:vAlign w:val="bottom"/>
            <w:hideMark/>
          </w:tcPr>
          <w:p w14:paraId="0D7C6649" w14:textId="77777777" w:rsidR="00C32CBD" w:rsidRDefault="00C32CBD" w:rsidP="00320D09">
            <w:pPr>
              <w:rPr>
                <w:rFonts w:cs="Arial"/>
                <w:sz w:val="18"/>
                <w:szCs w:val="18"/>
              </w:rPr>
            </w:pPr>
            <w:r>
              <w:rPr>
                <w:rFonts w:cs="Arial"/>
                <w:sz w:val="18"/>
                <w:szCs w:val="18"/>
              </w:rPr>
              <w:t>Depreciation and amortisation expense</w:t>
            </w:r>
          </w:p>
        </w:tc>
        <w:tc>
          <w:tcPr>
            <w:tcW w:w="1556" w:type="dxa"/>
            <w:tcBorders>
              <w:top w:val="nil"/>
              <w:left w:val="nil"/>
              <w:bottom w:val="nil"/>
              <w:right w:val="nil"/>
            </w:tcBorders>
            <w:shd w:val="clear" w:color="FFFFFF" w:fill="FFFFFF"/>
            <w:noWrap/>
            <w:vAlign w:val="bottom"/>
            <w:hideMark/>
          </w:tcPr>
          <w:p w14:paraId="786CAC86" w14:textId="77777777" w:rsidR="00C32CBD" w:rsidRDefault="00C32CBD" w:rsidP="00320D09">
            <w:pPr>
              <w:jc w:val="right"/>
              <w:rPr>
                <w:rFonts w:cs="Arial"/>
                <w:sz w:val="18"/>
                <w:szCs w:val="18"/>
              </w:rPr>
            </w:pPr>
            <w:r>
              <w:rPr>
                <w:rFonts w:cs="Arial"/>
                <w:sz w:val="18"/>
                <w:szCs w:val="18"/>
              </w:rPr>
              <w:t>(7,766)</w:t>
            </w:r>
          </w:p>
        </w:tc>
        <w:tc>
          <w:tcPr>
            <w:tcW w:w="1316" w:type="dxa"/>
            <w:tcBorders>
              <w:top w:val="nil"/>
              <w:left w:val="nil"/>
              <w:bottom w:val="nil"/>
              <w:right w:val="nil"/>
            </w:tcBorders>
            <w:shd w:val="clear" w:color="FFFFFF" w:fill="FFFFFF"/>
            <w:noWrap/>
            <w:vAlign w:val="bottom"/>
            <w:hideMark/>
          </w:tcPr>
          <w:p w14:paraId="7C237EBF" w14:textId="77777777" w:rsidR="00C32CBD" w:rsidRDefault="00C32CBD" w:rsidP="00320D09">
            <w:pPr>
              <w:jc w:val="right"/>
              <w:rPr>
                <w:rFonts w:cs="Arial"/>
                <w:sz w:val="18"/>
                <w:szCs w:val="18"/>
              </w:rPr>
            </w:pPr>
            <w:r>
              <w:rPr>
                <w:rFonts w:cs="Arial"/>
                <w:sz w:val="18"/>
                <w:szCs w:val="18"/>
              </w:rPr>
              <w:t>(805)</w:t>
            </w:r>
          </w:p>
        </w:tc>
        <w:tc>
          <w:tcPr>
            <w:tcW w:w="1316" w:type="dxa"/>
            <w:tcBorders>
              <w:top w:val="nil"/>
              <w:left w:val="nil"/>
              <w:bottom w:val="nil"/>
              <w:right w:val="nil"/>
            </w:tcBorders>
            <w:shd w:val="clear" w:color="FFFFFF" w:fill="FFFFFF"/>
            <w:noWrap/>
            <w:vAlign w:val="bottom"/>
            <w:hideMark/>
          </w:tcPr>
          <w:p w14:paraId="78C25F24" w14:textId="77777777" w:rsidR="00C32CBD" w:rsidRDefault="00C32CBD" w:rsidP="00320D09">
            <w:pPr>
              <w:jc w:val="right"/>
              <w:rPr>
                <w:rFonts w:cs="Arial"/>
                <w:sz w:val="18"/>
                <w:szCs w:val="18"/>
              </w:rPr>
            </w:pPr>
            <w:r>
              <w:rPr>
                <w:rFonts w:cs="Arial"/>
                <w:sz w:val="18"/>
                <w:szCs w:val="18"/>
              </w:rPr>
              <w:t>(315)</w:t>
            </w:r>
          </w:p>
        </w:tc>
        <w:tc>
          <w:tcPr>
            <w:tcW w:w="1316" w:type="dxa"/>
            <w:tcBorders>
              <w:top w:val="nil"/>
              <w:left w:val="nil"/>
              <w:bottom w:val="nil"/>
              <w:right w:val="nil"/>
            </w:tcBorders>
            <w:shd w:val="clear" w:color="FFFFFF" w:fill="FFFFFF"/>
            <w:noWrap/>
            <w:vAlign w:val="bottom"/>
            <w:hideMark/>
          </w:tcPr>
          <w:p w14:paraId="53C8EEB9" w14:textId="77777777" w:rsidR="00C32CBD" w:rsidRDefault="00C32CBD" w:rsidP="00320D09">
            <w:pPr>
              <w:jc w:val="right"/>
              <w:rPr>
                <w:rFonts w:cs="Arial"/>
                <w:sz w:val="18"/>
                <w:szCs w:val="18"/>
              </w:rPr>
            </w:pPr>
            <w:r>
              <w:rPr>
                <w:rFonts w:cs="Arial"/>
                <w:sz w:val="18"/>
                <w:szCs w:val="18"/>
              </w:rPr>
              <w:t>(8,886)</w:t>
            </w:r>
          </w:p>
        </w:tc>
      </w:tr>
      <w:tr w:rsidR="00C32CBD" w14:paraId="17724ADB" w14:textId="77777777" w:rsidTr="00320D09">
        <w:trPr>
          <w:trHeight w:val="255"/>
        </w:trPr>
        <w:tc>
          <w:tcPr>
            <w:tcW w:w="4916" w:type="dxa"/>
            <w:tcBorders>
              <w:top w:val="nil"/>
              <w:left w:val="nil"/>
              <w:bottom w:val="nil"/>
              <w:right w:val="nil"/>
            </w:tcBorders>
            <w:shd w:val="clear" w:color="FFFFFF" w:fill="FFFFFF"/>
            <w:vAlign w:val="bottom"/>
            <w:hideMark/>
          </w:tcPr>
          <w:p w14:paraId="337287E0" w14:textId="77777777" w:rsidR="00C32CBD" w:rsidRDefault="00C32CBD" w:rsidP="00320D09">
            <w:pPr>
              <w:rPr>
                <w:rFonts w:cs="Arial"/>
                <w:sz w:val="18"/>
                <w:szCs w:val="18"/>
              </w:rPr>
            </w:pPr>
            <w:r>
              <w:rPr>
                <w:rFonts w:cs="Arial"/>
                <w:sz w:val="18"/>
                <w:szCs w:val="18"/>
              </w:rPr>
              <w:t>Impairment recognised in net cost of services</w:t>
            </w:r>
          </w:p>
        </w:tc>
        <w:tc>
          <w:tcPr>
            <w:tcW w:w="1556" w:type="dxa"/>
            <w:tcBorders>
              <w:top w:val="nil"/>
              <w:left w:val="nil"/>
              <w:bottom w:val="nil"/>
              <w:right w:val="nil"/>
            </w:tcBorders>
            <w:shd w:val="clear" w:color="FFFFFF" w:fill="FFFFFF"/>
            <w:noWrap/>
            <w:vAlign w:val="bottom"/>
            <w:hideMark/>
          </w:tcPr>
          <w:p w14:paraId="4BD36056" w14:textId="77777777" w:rsidR="00C32CBD" w:rsidRDefault="00C32CBD" w:rsidP="00320D09">
            <w:pPr>
              <w:jc w:val="right"/>
              <w:rPr>
                <w:rFonts w:cs="Arial"/>
                <w:sz w:val="18"/>
                <w:szCs w:val="18"/>
              </w:rPr>
            </w:pPr>
            <w:r>
              <w:rPr>
                <w:rFonts w:cs="Arial"/>
                <w:sz w:val="18"/>
                <w:szCs w:val="18"/>
              </w:rPr>
              <w:t xml:space="preserve"> -</w:t>
            </w:r>
          </w:p>
        </w:tc>
        <w:tc>
          <w:tcPr>
            <w:tcW w:w="1316" w:type="dxa"/>
            <w:tcBorders>
              <w:top w:val="nil"/>
              <w:left w:val="nil"/>
              <w:bottom w:val="nil"/>
              <w:right w:val="nil"/>
            </w:tcBorders>
            <w:shd w:val="clear" w:color="FFFFFF" w:fill="FFFFFF"/>
            <w:noWrap/>
            <w:vAlign w:val="bottom"/>
            <w:hideMark/>
          </w:tcPr>
          <w:p w14:paraId="0723936B" w14:textId="77777777" w:rsidR="00C32CBD" w:rsidRDefault="00C32CBD" w:rsidP="00320D09">
            <w:pPr>
              <w:jc w:val="right"/>
              <w:rPr>
                <w:rFonts w:cs="Arial"/>
                <w:sz w:val="18"/>
                <w:szCs w:val="18"/>
              </w:rPr>
            </w:pPr>
            <w:r>
              <w:rPr>
                <w:rFonts w:cs="Arial"/>
                <w:sz w:val="18"/>
                <w:szCs w:val="18"/>
              </w:rPr>
              <w:t xml:space="preserve"> -</w:t>
            </w:r>
          </w:p>
        </w:tc>
        <w:tc>
          <w:tcPr>
            <w:tcW w:w="1316" w:type="dxa"/>
            <w:tcBorders>
              <w:top w:val="nil"/>
              <w:left w:val="nil"/>
              <w:bottom w:val="nil"/>
              <w:right w:val="nil"/>
            </w:tcBorders>
            <w:shd w:val="clear" w:color="FFFFFF" w:fill="FFFFFF"/>
            <w:noWrap/>
            <w:vAlign w:val="bottom"/>
            <w:hideMark/>
          </w:tcPr>
          <w:p w14:paraId="7ADB30FB" w14:textId="77777777" w:rsidR="00C32CBD" w:rsidRDefault="00C32CBD" w:rsidP="00320D09">
            <w:pPr>
              <w:jc w:val="right"/>
              <w:rPr>
                <w:rFonts w:cs="Arial"/>
                <w:sz w:val="18"/>
                <w:szCs w:val="18"/>
              </w:rPr>
            </w:pPr>
            <w:r>
              <w:rPr>
                <w:rFonts w:cs="Arial"/>
                <w:sz w:val="18"/>
                <w:szCs w:val="18"/>
              </w:rPr>
              <w:t>(1,589)</w:t>
            </w:r>
          </w:p>
        </w:tc>
        <w:tc>
          <w:tcPr>
            <w:tcW w:w="1316" w:type="dxa"/>
            <w:tcBorders>
              <w:top w:val="nil"/>
              <w:left w:val="nil"/>
              <w:bottom w:val="nil"/>
              <w:right w:val="nil"/>
            </w:tcBorders>
            <w:shd w:val="clear" w:color="FFFFFF" w:fill="FFFFFF"/>
            <w:noWrap/>
            <w:vAlign w:val="bottom"/>
            <w:hideMark/>
          </w:tcPr>
          <w:p w14:paraId="45F30777" w14:textId="77777777" w:rsidR="00C32CBD" w:rsidRDefault="00C32CBD" w:rsidP="00320D09">
            <w:pPr>
              <w:jc w:val="right"/>
              <w:rPr>
                <w:rFonts w:cs="Arial"/>
                <w:sz w:val="18"/>
                <w:szCs w:val="18"/>
              </w:rPr>
            </w:pPr>
            <w:r>
              <w:rPr>
                <w:rFonts w:cs="Arial"/>
                <w:sz w:val="18"/>
                <w:szCs w:val="18"/>
              </w:rPr>
              <w:t>(1,589)</w:t>
            </w:r>
          </w:p>
        </w:tc>
      </w:tr>
      <w:tr w:rsidR="00C32CBD" w14:paraId="7AAB769A" w14:textId="77777777" w:rsidTr="00320D09">
        <w:trPr>
          <w:trHeight w:val="255"/>
        </w:trPr>
        <w:tc>
          <w:tcPr>
            <w:tcW w:w="4916" w:type="dxa"/>
            <w:tcBorders>
              <w:top w:val="nil"/>
              <w:left w:val="nil"/>
              <w:bottom w:val="nil"/>
              <w:right w:val="nil"/>
            </w:tcBorders>
            <w:shd w:val="clear" w:color="FFFFFF" w:fill="FFFFFF"/>
            <w:vAlign w:val="bottom"/>
            <w:hideMark/>
          </w:tcPr>
          <w:p w14:paraId="16AE793F" w14:textId="77777777" w:rsidR="00C32CBD" w:rsidRDefault="00C32CBD" w:rsidP="00320D09">
            <w:pPr>
              <w:rPr>
                <w:rFonts w:cs="Arial"/>
                <w:sz w:val="18"/>
                <w:szCs w:val="18"/>
              </w:rPr>
            </w:pPr>
            <w:r>
              <w:rPr>
                <w:rFonts w:cs="Arial"/>
                <w:sz w:val="18"/>
                <w:szCs w:val="18"/>
              </w:rPr>
              <w:t>Disposals:</w:t>
            </w:r>
          </w:p>
        </w:tc>
        <w:tc>
          <w:tcPr>
            <w:tcW w:w="1556" w:type="dxa"/>
            <w:tcBorders>
              <w:top w:val="nil"/>
              <w:left w:val="nil"/>
              <w:bottom w:val="nil"/>
              <w:right w:val="nil"/>
            </w:tcBorders>
            <w:shd w:val="clear" w:color="FFFFFF" w:fill="FFFFFF"/>
            <w:noWrap/>
            <w:vAlign w:val="bottom"/>
            <w:hideMark/>
          </w:tcPr>
          <w:p w14:paraId="3E6E1684" w14:textId="77777777" w:rsidR="00C32CBD" w:rsidRDefault="00C32CBD" w:rsidP="00320D09">
            <w:pPr>
              <w:rPr>
                <w:rFonts w:cs="Arial"/>
                <w:sz w:val="18"/>
                <w:szCs w:val="18"/>
              </w:rPr>
            </w:pPr>
            <w:r>
              <w:rPr>
                <w:rFonts w:cs="Arial"/>
                <w:sz w:val="18"/>
                <w:szCs w:val="18"/>
              </w:rPr>
              <w:t> </w:t>
            </w:r>
          </w:p>
        </w:tc>
        <w:tc>
          <w:tcPr>
            <w:tcW w:w="1316" w:type="dxa"/>
            <w:tcBorders>
              <w:top w:val="nil"/>
              <w:left w:val="nil"/>
              <w:bottom w:val="nil"/>
              <w:right w:val="nil"/>
            </w:tcBorders>
            <w:shd w:val="clear" w:color="FFFFFF" w:fill="FFFFFF"/>
            <w:noWrap/>
            <w:vAlign w:val="bottom"/>
            <w:hideMark/>
          </w:tcPr>
          <w:p w14:paraId="20629B60" w14:textId="77777777" w:rsidR="00C32CBD" w:rsidRDefault="00C32CBD" w:rsidP="00320D09">
            <w:pPr>
              <w:rPr>
                <w:rFonts w:cs="Arial"/>
                <w:sz w:val="18"/>
                <w:szCs w:val="18"/>
              </w:rPr>
            </w:pPr>
            <w:r>
              <w:rPr>
                <w:rFonts w:cs="Arial"/>
                <w:sz w:val="18"/>
                <w:szCs w:val="18"/>
              </w:rPr>
              <w:t> </w:t>
            </w:r>
          </w:p>
        </w:tc>
        <w:tc>
          <w:tcPr>
            <w:tcW w:w="1316" w:type="dxa"/>
            <w:tcBorders>
              <w:top w:val="nil"/>
              <w:left w:val="nil"/>
              <w:bottom w:val="nil"/>
              <w:right w:val="nil"/>
            </w:tcBorders>
            <w:shd w:val="clear" w:color="FFFFFF" w:fill="FFFFFF"/>
            <w:noWrap/>
            <w:vAlign w:val="bottom"/>
            <w:hideMark/>
          </w:tcPr>
          <w:p w14:paraId="01EF680D" w14:textId="77777777" w:rsidR="00C32CBD" w:rsidRDefault="00C32CBD" w:rsidP="00320D09">
            <w:pPr>
              <w:rPr>
                <w:rFonts w:cs="Arial"/>
                <w:sz w:val="18"/>
                <w:szCs w:val="18"/>
              </w:rPr>
            </w:pPr>
            <w:r>
              <w:rPr>
                <w:rFonts w:cs="Arial"/>
                <w:sz w:val="18"/>
                <w:szCs w:val="18"/>
              </w:rPr>
              <w:t> </w:t>
            </w:r>
          </w:p>
        </w:tc>
        <w:tc>
          <w:tcPr>
            <w:tcW w:w="1316" w:type="dxa"/>
            <w:tcBorders>
              <w:top w:val="nil"/>
              <w:left w:val="nil"/>
              <w:bottom w:val="nil"/>
              <w:right w:val="nil"/>
            </w:tcBorders>
            <w:shd w:val="clear" w:color="FFFFFF" w:fill="FFFFFF"/>
            <w:noWrap/>
            <w:vAlign w:val="bottom"/>
            <w:hideMark/>
          </w:tcPr>
          <w:p w14:paraId="58777AB6" w14:textId="77777777" w:rsidR="00C32CBD" w:rsidRDefault="00C32CBD" w:rsidP="00320D09">
            <w:pPr>
              <w:jc w:val="right"/>
              <w:rPr>
                <w:rFonts w:cs="Arial"/>
                <w:sz w:val="18"/>
                <w:szCs w:val="18"/>
              </w:rPr>
            </w:pPr>
            <w:r>
              <w:rPr>
                <w:rFonts w:cs="Arial"/>
                <w:sz w:val="18"/>
                <w:szCs w:val="18"/>
              </w:rPr>
              <w:t> </w:t>
            </w:r>
          </w:p>
        </w:tc>
      </w:tr>
      <w:tr w:rsidR="00C32CBD" w14:paraId="0BBAD666" w14:textId="77777777" w:rsidTr="00320D09">
        <w:trPr>
          <w:trHeight w:val="255"/>
        </w:trPr>
        <w:tc>
          <w:tcPr>
            <w:tcW w:w="4916" w:type="dxa"/>
            <w:tcBorders>
              <w:top w:val="nil"/>
              <w:left w:val="nil"/>
              <w:bottom w:val="nil"/>
              <w:right w:val="nil"/>
            </w:tcBorders>
            <w:shd w:val="clear" w:color="FFFFFF" w:fill="FFFFFF"/>
            <w:noWrap/>
            <w:vAlign w:val="bottom"/>
            <w:hideMark/>
          </w:tcPr>
          <w:p w14:paraId="1EF1E4AA" w14:textId="77777777" w:rsidR="00C32CBD" w:rsidRDefault="00C32CBD" w:rsidP="00320D09">
            <w:pPr>
              <w:ind w:firstLineChars="100" w:firstLine="180"/>
              <w:rPr>
                <w:rFonts w:cs="Arial"/>
                <w:sz w:val="18"/>
                <w:szCs w:val="18"/>
              </w:rPr>
            </w:pPr>
            <w:r>
              <w:rPr>
                <w:rFonts w:cs="Arial"/>
                <w:sz w:val="18"/>
                <w:szCs w:val="18"/>
              </w:rPr>
              <w:t>Write offs</w:t>
            </w:r>
          </w:p>
        </w:tc>
        <w:tc>
          <w:tcPr>
            <w:tcW w:w="1556" w:type="dxa"/>
            <w:tcBorders>
              <w:top w:val="nil"/>
              <w:left w:val="nil"/>
              <w:bottom w:val="nil"/>
              <w:right w:val="nil"/>
            </w:tcBorders>
            <w:shd w:val="clear" w:color="FFFFFF" w:fill="FFFFFF"/>
            <w:noWrap/>
            <w:vAlign w:val="bottom"/>
            <w:hideMark/>
          </w:tcPr>
          <w:p w14:paraId="40DE04D5" w14:textId="77777777" w:rsidR="00C32CBD" w:rsidRDefault="00C32CBD" w:rsidP="00320D09">
            <w:pPr>
              <w:jc w:val="right"/>
              <w:rPr>
                <w:rFonts w:cs="Arial"/>
                <w:sz w:val="18"/>
                <w:szCs w:val="18"/>
              </w:rPr>
            </w:pPr>
            <w:r>
              <w:rPr>
                <w:rFonts w:cs="Arial"/>
                <w:sz w:val="18"/>
                <w:szCs w:val="18"/>
              </w:rPr>
              <w:t>(106)</w:t>
            </w:r>
          </w:p>
        </w:tc>
        <w:tc>
          <w:tcPr>
            <w:tcW w:w="1316" w:type="dxa"/>
            <w:tcBorders>
              <w:top w:val="nil"/>
              <w:left w:val="nil"/>
              <w:bottom w:val="nil"/>
              <w:right w:val="nil"/>
            </w:tcBorders>
            <w:shd w:val="clear" w:color="FFFFFF" w:fill="FFFFFF"/>
            <w:noWrap/>
            <w:vAlign w:val="bottom"/>
            <w:hideMark/>
          </w:tcPr>
          <w:p w14:paraId="206C2643" w14:textId="77777777" w:rsidR="00C32CBD" w:rsidRDefault="00C32CBD" w:rsidP="00320D09">
            <w:pPr>
              <w:jc w:val="right"/>
              <w:rPr>
                <w:rFonts w:cs="Arial"/>
                <w:sz w:val="18"/>
                <w:szCs w:val="18"/>
              </w:rPr>
            </w:pPr>
            <w:r>
              <w:rPr>
                <w:rFonts w:cs="Arial"/>
                <w:sz w:val="18"/>
                <w:szCs w:val="18"/>
              </w:rPr>
              <w:t>(178)</w:t>
            </w:r>
          </w:p>
        </w:tc>
        <w:tc>
          <w:tcPr>
            <w:tcW w:w="1316" w:type="dxa"/>
            <w:tcBorders>
              <w:top w:val="nil"/>
              <w:left w:val="nil"/>
              <w:bottom w:val="nil"/>
              <w:right w:val="nil"/>
            </w:tcBorders>
            <w:shd w:val="clear" w:color="FFFFFF" w:fill="FFFFFF"/>
            <w:noWrap/>
            <w:vAlign w:val="bottom"/>
            <w:hideMark/>
          </w:tcPr>
          <w:p w14:paraId="7004ABBC" w14:textId="77777777" w:rsidR="00C32CBD" w:rsidRDefault="00C32CBD" w:rsidP="00320D09">
            <w:pPr>
              <w:jc w:val="right"/>
              <w:rPr>
                <w:rFonts w:cs="Arial"/>
                <w:sz w:val="18"/>
                <w:szCs w:val="18"/>
              </w:rPr>
            </w:pPr>
            <w:r>
              <w:rPr>
                <w:rFonts w:cs="Arial"/>
                <w:sz w:val="18"/>
                <w:szCs w:val="18"/>
              </w:rPr>
              <w:t>(1,512)</w:t>
            </w:r>
          </w:p>
        </w:tc>
        <w:tc>
          <w:tcPr>
            <w:tcW w:w="1316" w:type="dxa"/>
            <w:tcBorders>
              <w:top w:val="nil"/>
              <w:left w:val="nil"/>
              <w:bottom w:val="nil"/>
              <w:right w:val="nil"/>
            </w:tcBorders>
            <w:shd w:val="clear" w:color="FFFFFF" w:fill="FFFFFF"/>
            <w:noWrap/>
            <w:vAlign w:val="bottom"/>
            <w:hideMark/>
          </w:tcPr>
          <w:p w14:paraId="7E3D2B80" w14:textId="77777777" w:rsidR="00C32CBD" w:rsidRDefault="00C32CBD" w:rsidP="00320D09">
            <w:pPr>
              <w:jc w:val="right"/>
              <w:rPr>
                <w:rFonts w:cs="Arial"/>
                <w:sz w:val="18"/>
                <w:szCs w:val="18"/>
              </w:rPr>
            </w:pPr>
            <w:r>
              <w:rPr>
                <w:rFonts w:cs="Arial"/>
                <w:sz w:val="18"/>
                <w:szCs w:val="18"/>
              </w:rPr>
              <w:t>(1,796)</w:t>
            </w:r>
          </w:p>
        </w:tc>
      </w:tr>
      <w:tr w:rsidR="00C32CBD" w14:paraId="7484B3A5" w14:textId="77777777" w:rsidTr="00320D09">
        <w:trPr>
          <w:trHeight w:val="255"/>
        </w:trPr>
        <w:tc>
          <w:tcPr>
            <w:tcW w:w="4916" w:type="dxa"/>
            <w:tcBorders>
              <w:top w:val="single" w:sz="4" w:space="0" w:color="auto"/>
              <w:left w:val="nil"/>
              <w:bottom w:val="single" w:sz="4" w:space="0" w:color="auto"/>
              <w:right w:val="nil"/>
            </w:tcBorders>
            <w:shd w:val="clear" w:color="FFFFFF" w:fill="FFFFFF"/>
            <w:vAlign w:val="bottom"/>
            <w:hideMark/>
          </w:tcPr>
          <w:p w14:paraId="19BFB523" w14:textId="77777777" w:rsidR="00C32CBD" w:rsidRDefault="00C32CBD" w:rsidP="00320D09">
            <w:pPr>
              <w:rPr>
                <w:rFonts w:cs="Arial"/>
                <w:b/>
                <w:bCs/>
                <w:sz w:val="18"/>
                <w:szCs w:val="18"/>
              </w:rPr>
            </w:pPr>
            <w:r>
              <w:rPr>
                <w:rFonts w:cs="Arial"/>
                <w:b/>
                <w:bCs/>
                <w:sz w:val="18"/>
                <w:szCs w:val="18"/>
              </w:rPr>
              <w:t>Net book value 30 June 2016</w:t>
            </w:r>
          </w:p>
        </w:tc>
        <w:tc>
          <w:tcPr>
            <w:tcW w:w="1556" w:type="dxa"/>
            <w:tcBorders>
              <w:top w:val="single" w:sz="4" w:space="0" w:color="auto"/>
              <w:left w:val="nil"/>
              <w:bottom w:val="single" w:sz="4" w:space="0" w:color="auto"/>
              <w:right w:val="nil"/>
            </w:tcBorders>
            <w:shd w:val="clear" w:color="FFFFFF" w:fill="FFFFFF"/>
            <w:noWrap/>
            <w:vAlign w:val="bottom"/>
            <w:hideMark/>
          </w:tcPr>
          <w:p w14:paraId="6A94CE63" w14:textId="77777777" w:rsidR="00C32CBD" w:rsidRDefault="00C32CBD" w:rsidP="00320D09">
            <w:pPr>
              <w:jc w:val="right"/>
              <w:rPr>
                <w:rFonts w:cs="Arial"/>
                <w:sz w:val="18"/>
                <w:szCs w:val="18"/>
              </w:rPr>
            </w:pPr>
            <w:r>
              <w:rPr>
                <w:rFonts w:cs="Arial"/>
                <w:sz w:val="18"/>
                <w:szCs w:val="18"/>
              </w:rPr>
              <w:t>24,301</w:t>
            </w:r>
          </w:p>
        </w:tc>
        <w:tc>
          <w:tcPr>
            <w:tcW w:w="1316" w:type="dxa"/>
            <w:tcBorders>
              <w:top w:val="single" w:sz="4" w:space="0" w:color="auto"/>
              <w:left w:val="nil"/>
              <w:bottom w:val="single" w:sz="4" w:space="0" w:color="auto"/>
              <w:right w:val="nil"/>
            </w:tcBorders>
            <w:shd w:val="clear" w:color="FFFFFF" w:fill="FFFFFF"/>
            <w:noWrap/>
            <w:vAlign w:val="bottom"/>
            <w:hideMark/>
          </w:tcPr>
          <w:p w14:paraId="69BEA186" w14:textId="77777777" w:rsidR="00C32CBD" w:rsidRDefault="00C32CBD" w:rsidP="00320D09">
            <w:pPr>
              <w:jc w:val="right"/>
              <w:rPr>
                <w:rFonts w:cs="Arial"/>
                <w:sz w:val="18"/>
                <w:szCs w:val="18"/>
              </w:rPr>
            </w:pPr>
            <w:r>
              <w:rPr>
                <w:rFonts w:cs="Arial"/>
                <w:sz w:val="18"/>
                <w:szCs w:val="18"/>
              </w:rPr>
              <w:t>1,012</w:t>
            </w:r>
          </w:p>
        </w:tc>
        <w:tc>
          <w:tcPr>
            <w:tcW w:w="1316" w:type="dxa"/>
            <w:tcBorders>
              <w:top w:val="single" w:sz="4" w:space="0" w:color="auto"/>
              <w:left w:val="nil"/>
              <w:bottom w:val="single" w:sz="4" w:space="0" w:color="auto"/>
              <w:right w:val="nil"/>
            </w:tcBorders>
            <w:shd w:val="clear" w:color="FFFFFF" w:fill="FFFFFF"/>
            <w:noWrap/>
            <w:vAlign w:val="bottom"/>
            <w:hideMark/>
          </w:tcPr>
          <w:p w14:paraId="514791A8" w14:textId="77777777" w:rsidR="00C32CBD" w:rsidRDefault="00C32CBD" w:rsidP="00320D09">
            <w:pPr>
              <w:jc w:val="right"/>
              <w:rPr>
                <w:rFonts w:cs="Arial"/>
                <w:sz w:val="18"/>
                <w:szCs w:val="18"/>
              </w:rPr>
            </w:pPr>
            <w:r>
              <w:rPr>
                <w:rFonts w:cs="Arial"/>
                <w:sz w:val="18"/>
                <w:szCs w:val="18"/>
              </w:rPr>
              <w:t>-</w:t>
            </w:r>
          </w:p>
        </w:tc>
        <w:tc>
          <w:tcPr>
            <w:tcW w:w="1316" w:type="dxa"/>
            <w:tcBorders>
              <w:top w:val="single" w:sz="4" w:space="0" w:color="auto"/>
              <w:left w:val="nil"/>
              <w:bottom w:val="single" w:sz="4" w:space="0" w:color="auto"/>
              <w:right w:val="nil"/>
            </w:tcBorders>
            <w:shd w:val="clear" w:color="FFFFFF" w:fill="FFFFFF"/>
            <w:noWrap/>
            <w:vAlign w:val="bottom"/>
            <w:hideMark/>
          </w:tcPr>
          <w:p w14:paraId="41ABBD29" w14:textId="77777777" w:rsidR="00C32CBD" w:rsidRDefault="00C32CBD" w:rsidP="00320D09">
            <w:pPr>
              <w:jc w:val="right"/>
              <w:rPr>
                <w:rFonts w:cs="Arial"/>
                <w:sz w:val="18"/>
                <w:szCs w:val="18"/>
              </w:rPr>
            </w:pPr>
            <w:r>
              <w:rPr>
                <w:rFonts w:cs="Arial"/>
                <w:sz w:val="18"/>
                <w:szCs w:val="18"/>
              </w:rPr>
              <w:t>25,313</w:t>
            </w:r>
          </w:p>
        </w:tc>
      </w:tr>
      <w:tr w:rsidR="00C32CBD" w14:paraId="42405988" w14:textId="77777777" w:rsidTr="00320D09">
        <w:trPr>
          <w:trHeight w:val="255"/>
        </w:trPr>
        <w:tc>
          <w:tcPr>
            <w:tcW w:w="4916" w:type="dxa"/>
            <w:tcBorders>
              <w:top w:val="nil"/>
              <w:left w:val="nil"/>
              <w:bottom w:val="nil"/>
              <w:right w:val="nil"/>
            </w:tcBorders>
            <w:shd w:val="clear" w:color="FFFFFF" w:fill="FFFFFF"/>
            <w:noWrap/>
            <w:vAlign w:val="bottom"/>
            <w:hideMark/>
          </w:tcPr>
          <w:p w14:paraId="21ECB468" w14:textId="77777777" w:rsidR="00C32CBD" w:rsidRDefault="00C32CBD" w:rsidP="00320D09">
            <w:pPr>
              <w:rPr>
                <w:rFonts w:cs="Arial"/>
                <w:b/>
                <w:bCs/>
                <w:sz w:val="18"/>
                <w:szCs w:val="18"/>
              </w:rPr>
            </w:pPr>
            <w:r>
              <w:rPr>
                <w:rFonts w:cs="Arial"/>
                <w:b/>
                <w:bCs/>
                <w:sz w:val="18"/>
                <w:szCs w:val="18"/>
              </w:rPr>
              <w:t> </w:t>
            </w:r>
          </w:p>
        </w:tc>
        <w:tc>
          <w:tcPr>
            <w:tcW w:w="1556" w:type="dxa"/>
            <w:tcBorders>
              <w:top w:val="nil"/>
              <w:left w:val="nil"/>
              <w:bottom w:val="nil"/>
              <w:right w:val="nil"/>
            </w:tcBorders>
            <w:shd w:val="clear" w:color="FFFFFF" w:fill="FFFFFF"/>
            <w:noWrap/>
            <w:vAlign w:val="bottom"/>
            <w:hideMark/>
          </w:tcPr>
          <w:p w14:paraId="10D1D02D" w14:textId="77777777" w:rsidR="00C32CBD" w:rsidRDefault="00C32CBD" w:rsidP="00320D09">
            <w:pPr>
              <w:rPr>
                <w:rFonts w:cs="Arial"/>
                <w:sz w:val="18"/>
                <w:szCs w:val="18"/>
              </w:rPr>
            </w:pPr>
            <w:r>
              <w:rPr>
                <w:rFonts w:cs="Arial"/>
                <w:sz w:val="18"/>
                <w:szCs w:val="18"/>
              </w:rPr>
              <w:t> </w:t>
            </w:r>
          </w:p>
        </w:tc>
        <w:tc>
          <w:tcPr>
            <w:tcW w:w="1316" w:type="dxa"/>
            <w:tcBorders>
              <w:top w:val="nil"/>
              <w:left w:val="nil"/>
              <w:bottom w:val="nil"/>
              <w:right w:val="nil"/>
            </w:tcBorders>
            <w:shd w:val="clear" w:color="FFFFFF" w:fill="FFFFFF"/>
            <w:noWrap/>
            <w:vAlign w:val="bottom"/>
            <w:hideMark/>
          </w:tcPr>
          <w:p w14:paraId="5C2C1262" w14:textId="77777777" w:rsidR="00C32CBD" w:rsidRDefault="00C32CBD" w:rsidP="00320D09">
            <w:pPr>
              <w:rPr>
                <w:rFonts w:cs="Arial"/>
                <w:sz w:val="18"/>
                <w:szCs w:val="18"/>
              </w:rPr>
            </w:pPr>
            <w:r>
              <w:rPr>
                <w:rFonts w:cs="Arial"/>
                <w:sz w:val="18"/>
                <w:szCs w:val="18"/>
              </w:rPr>
              <w:t> </w:t>
            </w:r>
          </w:p>
        </w:tc>
        <w:tc>
          <w:tcPr>
            <w:tcW w:w="1316" w:type="dxa"/>
            <w:tcBorders>
              <w:top w:val="nil"/>
              <w:left w:val="nil"/>
              <w:bottom w:val="nil"/>
              <w:right w:val="nil"/>
            </w:tcBorders>
            <w:shd w:val="clear" w:color="FFFFFF" w:fill="FFFFFF"/>
            <w:noWrap/>
            <w:vAlign w:val="bottom"/>
            <w:hideMark/>
          </w:tcPr>
          <w:p w14:paraId="21CA10BF" w14:textId="77777777" w:rsidR="00C32CBD" w:rsidRDefault="00C32CBD" w:rsidP="00320D09">
            <w:pPr>
              <w:rPr>
                <w:rFonts w:cs="Arial"/>
                <w:sz w:val="18"/>
                <w:szCs w:val="18"/>
              </w:rPr>
            </w:pPr>
            <w:r>
              <w:rPr>
                <w:rFonts w:cs="Arial"/>
                <w:sz w:val="18"/>
                <w:szCs w:val="18"/>
              </w:rPr>
              <w:t> </w:t>
            </w:r>
          </w:p>
        </w:tc>
        <w:tc>
          <w:tcPr>
            <w:tcW w:w="1316" w:type="dxa"/>
            <w:tcBorders>
              <w:top w:val="nil"/>
              <w:left w:val="nil"/>
              <w:bottom w:val="nil"/>
              <w:right w:val="nil"/>
            </w:tcBorders>
            <w:shd w:val="clear" w:color="FFFFFF" w:fill="FFFFFF"/>
            <w:noWrap/>
            <w:vAlign w:val="bottom"/>
            <w:hideMark/>
          </w:tcPr>
          <w:p w14:paraId="5FF12C60" w14:textId="77777777" w:rsidR="00C32CBD" w:rsidRDefault="00C32CBD" w:rsidP="00320D09">
            <w:pPr>
              <w:rPr>
                <w:rFonts w:cs="Arial"/>
                <w:sz w:val="18"/>
                <w:szCs w:val="18"/>
              </w:rPr>
            </w:pPr>
            <w:r>
              <w:rPr>
                <w:rFonts w:cs="Arial"/>
                <w:sz w:val="18"/>
                <w:szCs w:val="18"/>
              </w:rPr>
              <w:t> </w:t>
            </w:r>
          </w:p>
        </w:tc>
      </w:tr>
      <w:tr w:rsidR="00C32CBD" w14:paraId="32C105C5" w14:textId="77777777" w:rsidTr="00320D09">
        <w:trPr>
          <w:trHeight w:val="255"/>
        </w:trPr>
        <w:tc>
          <w:tcPr>
            <w:tcW w:w="4916" w:type="dxa"/>
            <w:tcBorders>
              <w:top w:val="nil"/>
              <w:left w:val="nil"/>
              <w:bottom w:val="nil"/>
              <w:right w:val="nil"/>
            </w:tcBorders>
            <w:shd w:val="clear" w:color="FFFFFF" w:fill="FFFFFF"/>
            <w:vAlign w:val="bottom"/>
            <w:hideMark/>
          </w:tcPr>
          <w:p w14:paraId="39B79D82" w14:textId="77777777" w:rsidR="00C32CBD" w:rsidRDefault="00C32CBD" w:rsidP="00320D09">
            <w:pPr>
              <w:rPr>
                <w:rFonts w:cs="Arial"/>
                <w:b/>
                <w:bCs/>
                <w:sz w:val="18"/>
                <w:szCs w:val="18"/>
              </w:rPr>
            </w:pPr>
            <w:r>
              <w:rPr>
                <w:rFonts w:cs="Arial"/>
                <w:b/>
                <w:bCs/>
                <w:sz w:val="18"/>
                <w:szCs w:val="18"/>
              </w:rPr>
              <w:t>Net book value as of 30 June 2016 represented by:</w:t>
            </w:r>
          </w:p>
        </w:tc>
        <w:tc>
          <w:tcPr>
            <w:tcW w:w="1556" w:type="dxa"/>
            <w:tcBorders>
              <w:top w:val="nil"/>
              <w:left w:val="nil"/>
              <w:bottom w:val="nil"/>
              <w:right w:val="nil"/>
            </w:tcBorders>
            <w:shd w:val="clear" w:color="FFFFFF" w:fill="FFFFFF"/>
            <w:noWrap/>
            <w:vAlign w:val="bottom"/>
            <w:hideMark/>
          </w:tcPr>
          <w:p w14:paraId="54225BAB" w14:textId="77777777" w:rsidR="00C32CBD" w:rsidRDefault="00C32CBD" w:rsidP="00320D09">
            <w:pPr>
              <w:rPr>
                <w:rFonts w:cs="Arial"/>
                <w:sz w:val="18"/>
                <w:szCs w:val="18"/>
              </w:rPr>
            </w:pPr>
            <w:r>
              <w:rPr>
                <w:rFonts w:cs="Arial"/>
                <w:sz w:val="18"/>
                <w:szCs w:val="18"/>
              </w:rPr>
              <w:t> </w:t>
            </w:r>
          </w:p>
        </w:tc>
        <w:tc>
          <w:tcPr>
            <w:tcW w:w="1316" w:type="dxa"/>
            <w:tcBorders>
              <w:top w:val="nil"/>
              <w:left w:val="nil"/>
              <w:bottom w:val="nil"/>
              <w:right w:val="nil"/>
            </w:tcBorders>
            <w:shd w:val="clear" w:color="FFFFFF" w:fill="FFFFFF"/>
            <w:noWrap/>
            <w:vAlign w:val="bottom"/>
            <w:hideMark/>
          </w:tcPr>
          <w:p w14:paraId="452387FC" w14:textId="77777777" w:rsidR="00C32CBD" w:rsidRDefault="00C32CBD" w:rsidP="00320D09">
            <w:pPr>
              <w:rPr>
                <w:rFonts w:cs="Arial"/>
                <w:sz w:val="18"/>
                <w:szCs w:val="18"/>
              </w:rPr>
            </w:pPr>
            <w:r>
              <w:rPr>
                <w:rFonts w:cs="Arial"/>
                <w:sz w:val="18"/>
                <w:szCs w:val="18"/>
              </w:rPr>
              <w:t> </w:t>
            </w:r>
          </w:p>
        </w:tc>
        <w:tc>
          <w:tcPr>
            <w:tcW w:w="1316" w:type="dxa"/>
            <w:tcBorders>
              <w:top w:val="nil"/>
              <w:left w:val="nil"/>
              <w:bottom w:val="nil"/>
              <w:right w:val="nil"/>
            </w:tcBorders>
            <w:shd w:val="clear" w:color="FFFFFF" w:fill="FFFFFF"/>
            <w:noWrap/>
            <w:vAlign w:val="bottom"/>
            <w:hideMark/>
          </w:tcPr>
          <w:p w14:paraId="7F24B8B7" w14:textId="77777777" w:rsidR="00C32CBD" w:rsidRDefault="00C32CBD" w:rsidP="00320D09">
            <w:pPr>
              <w:rPr>
                <w:rFonts w:cs="Arial"/>
                <w:sz w:val="18"/>
                <w:szCs w:val="18"/>
              </w:rPr>
            </w:pPr>
            <w:r>
              <w:rPr>
                <w:rFonts w:cs="Arial"/>
                <w:sz w:val="18"/>
                <w:szCs w:val="18"/>
              </w:rPr>
              <w:t> </w:t>
            </w:r>
          </w:p>
        </w:tc>
        <w:tc>
          <w:tcPr>
            <w:tcW w:w="1316" w:type="dxa"/>
            <w:tcBorders>
              <w:top w:val="nil"/>
              <w:left w:val="nil"/>
              <w:bottom w:val="nil"/>
              <w:right w:val="nil"/>
            </w:tcBorders>
            <w:shd w:val="clear" w:color="FFFFFF" w:fill="FFFFFF"/>
            <w:noWrap/>
            <w:vAlign w:val="bottom"/>
            <w:hideMark/>
          </w:tcPr>
          <w:p w14:paraId="3ECF5372" w14:textId="77777777" w:rsidR="00C32CBD" w:rsidRDefault="00C32CBD" w:rsidP="00320D09">
            <w:pPr>
              <w:rPr>
                <w:rFonts w:cs="Arial"/>
                <w:sz w:val="18"/>
                <w:szCs w:val="18"/>
              </w:rPr>
            </w:pPr>
            <w:r>
              <w:rPr>
                <w:rFonts w:cs="Arial"/>
                <w:sz w:val="18"/>
                <w:szCs w:val="18"/>
              </w:rPr>
              <w:t> </w:t>
            </w:r>
          </w:p>
        </w:tc>
      </w:tr>
      <w:tr w:rsidR="00C32CBD" w14:paraId="18B2E29E" w14:textId="77777777" w:rsidTr="00320D09">
        <w:trPr>
          <w:trHeight w:val="255"/>
        </w:trPr>
        <w:tc>
          <w:tcPr>
            <w:tcW w:w="4916" w:type="dxa"/>
            <w:tcBorders>
              <w:top w:val="nil"/>
              <w:left w:val="nil"/>
              <w:bottom w:val="nil"/>
              <w:right w:val="nil"/>
            </w:tcBorders>
            <w:shd w:val="clear" w:color="FFFFFF" w:fill="FFFFFF"/>
            <w:vAlign w:val="bottom"/>
            <w:hideMark/>
          </w:tcPr>
          <w:p w14:paraId="320729BD" w14:textId="77777777" w:rsidR="00C32CBD" w:rsidRDefault="00C32CBD" w:rsidP="00320D09">
            <w:pPr>
              <w:rPr>
                <w:rFonts w:cs="Arial"/>
                <w:sz w:val="18"/>
                <w:szCs w:val="18"/>
              </w:rPr>
            </w:pPr>
            <w:r>
              <w:rPr>
                <w:rFonts w:cs="Arial"/>
                <w:sz w:val="18"/>
                <w:szCs w:val="18"/>
              </w:rPr>
              <w:t>Gross book value</w:t>
            </w:r>
          </w:p>
        </w:tc>
        <w:tc>
          <w:tcPr>
            <w:tcW w:w="1556" w:type="dxa"/>
            <w:tcBorders>
              <w:top w:val="nil"/>
              <w:left w:val="nil"/>
              <w:bottom w:val="nil"/>
              <w:right w:val="nil"/>
            </w:tcBorders>
            <w:shd w:val="clear" w:color="FFFFFF" w:fill="FFFFFF"/>
            <w:noWrap/>
            <w:vAlign w:val="bottom"/>
            <w:hideMark/>
          </w:tcPr>
          <w:p w14:paraId="57D902F6" w14:textId="77777777" w:rsidR="00C32CBD" w:rsidRDefault="00C32CBD" w:rsidP="00320D09">
            <w:pPr>
              <w:jc w:val="right"/>
              <w:rPr>
                <w:rFonts w:cs="Arial"/>
                <w:sz w:val="18"/>
                <w:szCs w:val="18"/>
              </w:rPr>
            </w:pPr>
            <w:r>
              <w:rPr>
                <w:rFonts w:cs="Arial"/>
                <w:sz w:val="18"/>
                <w:szCs w:val="18"/>
              </w:rPr>
              <w:t>43,254</w:t>
            </w:r>
          </w:p>
        </w:tc>
        <w:tc>
          <w:tcPr>
            <w:tcW w:w="1316" w:type="dxa"/>
            <w:tcBorders>
              <w:top w:val="nil"/>
              <w:left w:val="nil"/>
              <w:bottom w:val="nil"/>
              <w:right w:val="nil"/>
            </w:tcBorders>
            <w:shd w:val="clear" w:color="FFFFFF" w:fill="FFFFFF"/>
            <w:noWrap/>
            <w:vAlign w:val="bottom"/>
            <w:hideMark/>
          </w:tcPr>
          <w:p w14:paraId="3B538643" w14:textId="77777777" w:rsidR="00C32CBD" w:rsidRDefault="00C32CBD" w:rsidP="00320D09">
            <w:pPr>
              <w:jc w:val="right"/>
              <w:rPr>
                <w:rFonts w:cs="Arial"/>
                <w:sz w:val="18"/>
                <w:szCs w:val="18"/>
              </w:rPr>
            </w:pPr>
            <w:r>
              <w:rPr>
                <w:rFonts w:cs="Arial"/>
                <w:sz w:val="18"/>
                <w:szCs w:val="18"/>
              </w:rPr>
              <w:t>2,403</w:t>
            </w:r>
          </w:p>
        </w:tc>
        <w:tc>
          <w:tcPr>
            <w:tcW w:w="1316" w:type="dxa"/>
            <w:tcBorders>
              <w:top w:val="nil"/>
              <w:left w:val="nil"/>
              <w:bottom w:val="nil"/>
              <w:right w:val="nil"/>
            </w:tcBorders>
            <w:shd w:val="clear" w:color="FFFFFF" w:fill="FFFFFF"/>
            <w:noWrap/>
            <w:vAlign w:val="bottom"/>
            <w:hideMark/>
          </w:tcPr>
          <w:p w14:paraId="0E528B97" w14:textId="77777777" w:rsidR="00C32CBD" w:rsidRDefault="00C32CBD" w:rsidP="00320D09">
            <w:pPr>
              <w:jc w:val="right"/>
              <w:rPr>
                <w:rFonts w:cs="Arial"/>
                <w:sz w:val="18"/>
                <w:szCs w:val="18"/>
              </w:rPr>
            </w:pPr>
            <w:r>
              <w:rPr>
                <w:rFonts w:cs="Arial"/>
                <w:sz w:val="18"/>
                <w:szCs w:val="18"/>
              </w:rPr>
              <w:t>1,888</w:t>
            </w:r>
          </w:p>
        </w:tc>
        <w:tc>
          <w:tcPr>
            <w:tcW w:w="1316" w:type="dxa"/>
            <w:tcBorders>
              <w:top w:val="nil"/>
              <w:left w:val="nil"/>
              <w:bottom w:val="nil"/>
              <w:right w:val="nil"/>
            </w:tcBorders>
            <w:shd w:val="clear" w:color="FFFFFF" w:fill="FFFFFF"/>
            <w:noWrap/>
            <w:vAlign w:val="bottom"/>
            <w:hideMark/>
          </w:tcPr>
          <w:p w14:paraId="0FC1CBC4" w14:textId="77777777" w:rsidR="00C32CBD" w:rsidRDefault="00C32CBD" w:rsidP="00320D09">
            <w:pPr>
              <w:jc w:val="right"/>
              <w:rPr>
                <w:rFonts w:cs="Arial"/>
                <w:sz w:val="18"/>
                <w:szCs w:val="18"/>
              </w:rPr>
            </w:pPr>
            <w:r>
              <w:rPr>
                <w:rFonts w:cs="Arial"/>
                <w:sz w:val="18"/>
                <w:szCs w:val="18"/>
              </w:rPr>
              <w:t>47,545</w:t>
            </w:r>
          </w:p>
        </w:tc>
      </w:tr>
      <w:tr w:rsidR="00C32CBD" w14:paraId="7BEB5913" w14:textId="77777777" w:rsidTr="00320D09">
        <w:trPr>
          <w:trHeight w:val="255"/>
        </w:trPr>
        <w:tc>
          <w:tcPr>
            <w:tcW w:w="4916" w:type="dxa"/>
            <w:tcBorders>
              <w:top w:val="nil"/>
              <w:left w:val="nil"/>
              <w:bottom w:val="nil"/>
              <w:right w:val="nil"/>
            </w:tcBorders>
            <w:shd w:val="clear" w:color="FFFFFF" w:fill="FFFFFF"/>
            <w:vAlign w:val="bottom"/>
            <w:hideMark/>
          </w:tcPr>
          <w:p w14:paraId="21AC74A8" w14:textId="77777777" w:rsidR="00C32CBD" w:rsidRDefault="00C32CBD" w:rsidP="00320D09">
            <w:pPr>
              <w:rPr>
                <w:rFonts w:cs="Arial"/>
                <w:sz w:val="18"/>
                <w:szCs w:val="18"/>
              </w:rPr>
            </w:pPr>
            <w:r>
              <w:rPr>
                <w:rFonts w:cs="Arial"/>
                <w:sz w:val="18"/>
                <w:szCs w:val="18"/>
              </w:rPr>
              <w:t>Accumulated depreciation and impairment</w:t>
            </w:r>
          </w:p>
        </w:tc>
        <w:tc>
          <w:tcPr>
            <w:tcW w:w="1556" w:type="dxa"/>
            <w:tcBorders>
              <w:top w:val="nil"/>
              <w:left w:val="nil"/>
              <w:bottom w:val="nil"/>
              <w:right w:val="nil"/>
            </w:tcBorders>
            <w:shd w:val="clear" w:color="FFFFFF" w:fill="FFFFFF"/>
            <w:noWrap/>
            <w:vAlign w:val="bottom"/>
            <w:hideMark/>
          </w:tcPr>
          <w:p w14:paraId="70041FC7" w14:textId="77777777" w:rsidR="00C32CBD" w:rsidRDefault="00C32CBD" w:rsidP="00320D09">
            <w:pPr>
              <w:jc w:val="right"/>
              <w:rPr>
                <w:rFonts w:cs="Arial"/>
                <w:sz w:val="18"/>
                <w:szCs w:val="18"/>
              </w:rPr>
            </w:pPr>
            <w:r>
              <w:rPr>
                <w:rFonts w:cs="Arial"/>
                <w:sz w:val="18"/>
                <w:szCs w:val="18"/>
              </w:rPr>
              <w:t>(18,953)</w:t>
            </w:r>
          </w:p>
        </w:tc>
        <w:tc>
          <w:tcPr>
            <w:tcW w:w="1316" w:type="dxa"/>
            <w:tcBorders>
              <w:top w:val="nil"/>
              <w:left w:val="nil"/>
              <w:bottom w:val="nil"/>
              <w:right w:val="nil"/>
            </w:tcBorders>
            <w:shd w:val="clear" w:color="FFFFFF" w:fill="FFFFFF"/>
            <w:noWrap/>
            <w:vAlign w:val="bottom"/>
            <w:hideMark/>
          </w:tcPr>
          <w:p w14:paraId="694411D2" w14:textId="77777777" w:rsidR="00C32CBD" w:rsidRDefault="00C32CBD" w:rsidP="00320D09">
            <w:pPr>
              <w:jc w:val="right"/>
              <w:rPr>
                <w:rFonts w:cs="Arial"/>
                <w:sz w:val="18"/>
                <w:szCs w:val="18"/>
              </w:rPr>
            </w:pPr>
            <w:r>
              <w:rPr>
                <w:rFonts w:cs="Arial"/>
                <w:sz w:val="18"/>
                <w:szCs w:val="18"/>
              </w:rPr>
              <w:t>(1,391)</w:t>
            </w:r>
          </w:p>
        </w:tc>
        <w:tc>
          <w:tcPr>
            <w:tcW w:w="1316" w:type="dxa"/>
            <w:tcBorders>
              <w:top w:val="nil"/>
              <w:left w:val="nil"/>
              <w:bottom w:val="nil"/>
              <w:right w:val="nil"/>
            </w:tcBorders>
            <w:shd w:val="clear" w:color="FFFFFF" w:fill="FFFFFF"/>
            <w:noWrap/>
            <w:vAlign w:val="bottom"/>
            <w:hideMark/>
          </w:tcPr>
          <w:p w14:paraId="736CA14B" w14:textId="77777777" w:rsidR="00C32CBD" w:rsidRDefault="00C32CBD" w:rsidP="00320D09">
            <w:pPr>
              <w:jc w:val="right"/>
              <w:rPr>
                <w:rFonts w:cs="Arial"/>
                <w:sz w:val="18"/>
                <w:szCs w:val="18"/>
              </w:rPr>
            </w:pPr>
            <w:r>
              <w:rPr>
                <w:rFonts w:cs="Arial"/>
                <w:sz w:val="18"/>
                <w:szCs w:val="18"/>
              </w:rPr>
              <w:t>(1,888)</w:t>
            </w:r>
          </w:p>
        </w:tc>
        <w:tc>
          <w:tcPr>
            <w:tcW w:w="1316" w:type="dxa"/>
            <w:tcBorders>
              <w:top w:val="nil"/>
              <w:left w:val="nil"/>
              <w:bottom w:val="nil"/>
              <w:right w:val="nil"/>
            </w:tcBorders>
            <w:shd w:val="clear" w:color="FFFFFF" w:fill="FFFFFF"/>
            <w:noWrap/>
            <w:vAlign w:val="bottom"/>
            <w:hideMark/>
          </w:tcPr>
          <w:p w14:paraId="2974ABB0" w14:textId="77777777" w:rsidR="00C32CBD" w:rsidRDefault="00C32CBD" w:rsidP="00320D09">
            <w:pPr>
              <w:jc w:val="right"/>
              <w:rPr>
                <w:rFonts w:cs="Arial"/>
                <w:sz w:val="18"/>
                <w:szCs w:val="18"/>
              </w:rPr>
            </w:pPr>
            <w:r>
              <w:rPr>
                <w:rFonts w:cs="Arial"/>
                <w:sz w:val="18"/>
                <w:szCs w:val="18"/>
              </w:rPr>
              <w:t>(22,232)</w:t>
            </w:r>
          </w:p>
        </w:tc>
      </w:tr>
      <w:tr w:rsidR="00C32CBD" w14:paraId="2AE81309" w14:textId="77777777" w:rsidTr="00320D09">
        <w:trPr>
          <w:trHeight w:val="255"/>
        </w:trPr>
        <w:tc>
          <w:tcPr>
            <w:tcW w:w="4916" w:type="dxa"/>
            <w:tcBorders>
              <w:top w:val="nil"/>
              <w:left w:val="nil"/>
              <w:bottom w:val="nil"/>
              <w:right w:val="nil"/>
            </w:tcBorders>
            <w:shd w:val="clear" w:color="FFFFFF" w:fill="FFFFFF"/>
            <w:noWrap/>
            <w:vAlign w:val="bottom"/>
            <w:hideMark/>
          </w:tcPr>
          <w:p w14:paraId="0EC51B73" w14:textId="77777777" w:rsidR="00C32CBD" w:rsidRDefault="00C32CBD" w:rsidP="00320D09">
            <w:pPr>
              <w:rPr>
                <w:rFonts w:cs="Arial"/>
                <w:b/>
                <w:bCs/>
                <w:i/>
                <w:iCs/>
                <w:sz w:val="18"/>
                <w:szCs w:val="18"/>
              </w:rPr>
            </w:pPr>
            <w:r>
              <w:rPr>
                <w:rFonts w:cs="Arial"/>
                <w:b/>
                <w:bCs/>
                <w:i/>
                <w:iCs/>
                <w:sz w:val="18"/>
                <w:szCs w:val="18"/>
              </w:rPr>
              <w:t> </w:t>
            </w:r>
          </w:p>
        </w:tc>
        <w:tc>
          <w:tcPr>
            <w:tcW w:w="1556" w:type="dxa"/>
            <w:tcBorders>
              <w:top w:val="single" w:sz="4" w:space="0" w:color="auto"/>
              <w:left w:val="nil"/>
              <w:bottom w:val="single" w:sz="4" w:space="0" w:color="auto"/>
              <w:right w:val="nil"/>
            </w:tcBorders>
            <w:shd w:val="clear" w:color="FFFFFF" w:fill="FFFFFF"/>
            <w:noWrap/>
            <w:vAlign w:val="bottom"/>
            <w:hideMark/>
          </w:tcPr>
          <w:p w14:paraId="3ABAD3D5" w14:textId="77777777" w:rsidR="00C32CBD" w:rsidRDefault="00C32CBD" w:rsidP="00320D09">
            <w:pPr>
              <w:jc w:val="right"/>
              <w:rPr>
                <w:rFonts w:cs="Arial"/>
                <w:sz w:val="18"/>
                <w:szCs w:val="18"/>
              </w:rPr>
            </w:pPr>
            <w:r>
              <w:rPr>
                <w:rFonts w:cs="Arial"/>
                <w:sz w:val="18"/>
                <w:szCs w:val="18"/>
              </w:rPr>
              <w:t>24,301</w:t>
            </w:r>
          </w:p>
        </w:tc>
        <w:tc>
          <w:tcPr>
            <w:tcW w:w="1316" w:type="dxa"/>
            <w:tcBorders>
              <w:top w:val="single" w:sz="4" w:space="0" w:color="auto"/>
              <w:left w:val="nil"/>
              <w:bottom w:val="single" w:sz="4" w:space="0" w:color="auto"/>
              <w:right w:val="nil"/>
            </w:tcBorders>
            <w:shd w:val="clear" w:color="FFFFFF" w:fill="FFFFFF"/>
            <w:noWrap/>
            <w:vAlign w:val="bottom"/>
            <w:hideMark/>
          </w:tcPr>
          <w:p w14:paraId="2C5D700A" w14:textId="77777777" w:rsidR="00C32CBD" w:rsidRDefault="00C32CBD" w:rsidP="00320D09">
            <w:pPr>
              <w:jc w:val="right"/>
              <w:rPr>
                <w:rFonts w:cs="Arial"/>
                <w:sz w:val="18"/>
                <w:szCs w:val="18"/>
              </w:rPr>
            </w:pPr>
            <w:r>
              <w:rPr>
                <w:rFonts w:cs="Arial"/>
                <w:sz w:val="18"/>
                <w:szCs w:val="18"/>
              </w:rPr>
              <w:t>1,012</w:t>
            </w:r>
          </w:p>
        </w:tc>
        <w:tc>
          <w:tcPr>
            <w:tcW w:w="1316" w:type="dxa"/>
            <w:tcBorders>
              <w:top w:val="single" w:sz="4" w:space="0" w:color="auto"/>
              <w:left w:val="nil"/>
              <w:bottom w:val="single" w:sz="4" w:space="0" w:color="auto"/>
              <w:right w:val="nil"/>
            </w:tcBorders>
            <w:shd w:val="clear" w:color="FFFFFF" w:fill="FFFFFF"/>
            <w:noWrap/>
            <w:vAlign w:val="bottom"/>
            <w:hideMark/>
          </w:tcPr>
          <w:p w14:paraId="17A00B6C" w14:textId="77777777" w:rsidR="00C32CBD" w:rsidRDefault="00C32CBD" w:rsidP="00320D09">
            <w:pPr>
              <w:jc w:val="right"/>
              <w:rPr>
                <w:rFonts w:cs="Arial"/>
                <w:sz w:val="18"/>
                <w:szCs w:val="18"/>
              </w:rPr>
            </w:pPr>
            <w:r>
              <w:rPr>
                <w:rFonts w:cs="Arial"/>
                <w:sz w:val="18"/>
                <w:szCs w:val="18"/>
              </w:rPr>
              <w:t>-</w:t>
            </w:r>
          </w:p>
        </w:tc>
        <w:tc>
          <w:tcPr>
            <w:tcW w:w="1316" w:type="dxa"/>
            <w:tcBorders>
              <w:top w:val="single" w:sz="4" w:space="0" w:color="auto"/>
              <w:left w:val="nil"/>
              <w:bottom w:val="single" w:sz="4" w:space="0" w:color="auto"/>
              <w:right w:val="nil"/>
            </w:tcBorders>
            <w:shd w:val="clear" w:color="FFFFFF" w:fill="FFFFFF"/>
            <w:noWrap/>
            <w:vAlign w:val="bottom"/>
            <w:hideMark/>
          </w:tcPr>
          <w:p w14:paraId="71E2F544" w14:textId="77777777" w:rsidR="00C32CBD" w:rsidRDefault="00C32CBD" w:rsidP="00320D09">
            <w:pPr>
              <w:jc w:val="right"/>
              <w:rPr>
                <w:rFonts w:cs="Arial"/>
                <w:sz w:val="18"/>
                <w:szCs w:val="18"/>
              </w:rPr>
            </w:pPr>
            <w:r>
              <w:rPr>
                <w:rFonts w:cs="Arial"/>
                <w:sz w:val="18"/>
                <w:szCs w:val="18"/>
              </w:rPr>
              <w:t>25,313</w:t>
            </w:r>
          </w:p>
        </w:tc>
      </w:tr>
    </w:tbl>
    <w:p w14:paraId="242F1850" w14:textId="77777777" w:rsidR="00C32CBD" w:rsidRDefault="00C32CBD" w:rsidP="00C32CBD">
      <w:pPr>
        <w:pStyle w:val="ReferenceText"/>
      </w:pPr>
    </w:p>
    <w:p w14:paraId="3DC478F3" w14:textId="3F7B8156" w:rsidR="00C32CBD" w:rsidRDefault="00C32CBD" w:rsidP="00C32CBD">
      <w:pPr>
        <w:spacing w:line="240" w:lineRule="auto"/>
        <w:ind w:left="142"/>
        <w:rPr>
          <w:rFonts w:cs="Arial"/>
          <w:sz w:val="18"/>
          <w:szCs w:val="18"/>
        </w:rPr>
      </w:pPr>
      <w:r w:rsidRPr="001F107C">
        <w:rPr>
          <w:rFonts w:cs="Arial"/>
          <w:sz w:val="18"/>
          <w:szCs w:val="18"/>
        </w:rPr>
        <w:t>All</w:t>
      </w:r>
      <w:r>
        <w:rPr>
          <w:rFonts w:cs="Arial"/>
          <w:sz w:val="18"/>
          <w:szCs w:val="18"/>
        </w:rPr>
        <w:t xml:space="preserve"> items of property, plant and equipment and</w:t>
      </w:r>
      <w:r w:rsidRPr="001F107C">
        <w:rPr>
          <w:rFonts w:cs="Arial"/>
          <w:sz w:val="18"/>
          <w:szCs w:val="18"/>
        </w:rPr>
        <w:t xml:space="preserve"> intangible assets were assessed for indications of impairment as at </w:t>
      </w:r>
      <w:r w:rsidR="005C251E">
        <w:t>30 June 201</w:t>
      </w:r>
      <w:r>
        <w:rPr>
          <w:rFonts w:cs="Arial"/>
          <w:sz w:val="18"/>
          <w:szCs w:val="18"/>
        </w:rPr>
        <w:t>6</w:t>
      </w:r>
      <w:r w:rsidRPr="001F107C">
        <w:rPr>
          <w:rFonts w:cs="Arial"/>
          <w:sz w:val="18"/>
          <w:szCs w:val="18"/>
        </w:rPr>
        <w:t xml:space="preserve">. As part of a transition </w:t>
      </w:r>
      <w:r>
        <w:rPr>
          <w:rFonts w:cs="Arial"/>
          <w:sz w:val="18"/>
          <w:szCs w:val="18"/>
        </w:rPr>
        <w:t>to</w:t>
      </w:r>
      <w:r w:rsidRPr="001F107C">
        <w:rPr>
          <w:rFonts w:cs="Arial"/>
          <w:sz w:val="18"/>
          <w:szCs w:val="18"/>
        </w:rPr>
        <w:t xml:space="preserve"> the delivery of </w:t>
      </w:r>
      <w:r>
        <w:rPr>
          <w:rFonts w:cs="Arial"/>
          <w:sz w:val="18"/>
          <w:szCs w:val="18"/>
        </w:rPr>
        <w:t>shared</w:t>
      </w:r>
      <w:r w:rsidRPr="001F107C">
        <w:rPr>
          <w:rFonts w:cs="Arial"/>
          <w:sz w:val="18"/>
          <w:szCs w:val="18"/>
        </w:rPr>
        <w:t xml:space="preserve"> services </w:t>
      </w:r>
      <w:r>
        <w:rPr>
          <w:rFonts w:cs="Arial"/>
          <w:sz w:val="18"/>
          <w:szCs w:val="18"/>
        </w:rPr>
        <w:t>by</w:t>
      </w:r>
      <w:r w:rsidRPr="001F107C">
        <w:rPr>
          <w:rFonts w:cs="Arial"/>
          <w:sz w:val="18"/>
          <w:szCs w:val="18"/>
        </w:rPr>
        <w:t xml:space="preserve"> the Department of Human Services (DHS), the Agency will no longer be utilising some of its </w:t>
      </w:r>
      <w:r>
        <w:rPr>
          <w:rFonts w:cs="Arial"/>
          <w:sz w:val="18"/>
          <w:szCs w:val="18"/>
        </w:rPr>
        <w:t>i</w:t>
      </w:r>
      <w:r w:rsidRPr="001F107C">
        <w:rPr>
          <w:rFonts w:cs="Arial"/>
          <w:sz w:val="18"/>
          <w:szCs w:val="18"/>
        </w:rPr>
        <w:t xml:space="preserve">ntangible </w:t>
      </w:r>
      <w:r>
        <w:rPr>
          <w:rFonts w:cs="Arial"/>
          <w:sz w:val="18"/>
          <w:szCs w:val="18"/>
        </w:rPr>
        <w:t>a</w:t>
      </w:r>
      <w:r w:rsidRPr="001F107C">
        <w:rPr>
          <w:rFonts w:cs="Arial"/>
          <w:sz w:val="18"/>
          <w:szCs w:val="18"/>
        </w:rPr>
        <w:t>ssets. As a result, an impairment expense of $1.</w:t>
      </w:r>
      <w:r>
        <w:rPr>
          <w:rFonts w:cs="Arial"/>
          <w:sz w:val="18"/>
          <w:szCs w:val="18"/>
        </w:rPr>
        <w:t>6</w:t>
      </w:r>
      <w:r w:rsidRPr="001F107C">
        <w:rPr>
          <w:rFonts w:cs="Arial"/>
          <w:sz w:val="18"/>
          <w:szCs w:val="18"/>
        </w:rPr>
        <w:t xml:space="preserve"> million was recorded during the year.</w:t>
      </w:r>
    </w:p>
    <w:p w14:paraId="3560CB7C" w14:textId="77777777" w:rsidR="00C32CBD" w:rsidRDefault="00C32CBD" w:rsidP="00C32CBD">
      <w:pPr>
        <w:pStyle w:val="ReferenceText"/>
      </w:pPr>
      <w:r w:rsidRPr="005E5430">
        <w:t>No</w:t>
      </w:r>
      <w:r>
        <w:t xml:space="preserve"> items of property, plant and equipment or</w:t>
      </w:r>
      <w:r w:rsidRPr="005E5430">
        <w:t xml:space="preserve"> intangibles are expected to be sold or disposed of within the next 12 months.</w:t>
      </w:r>
    </w:p>
    <w:p w14:paraId="5D6B1947" w14:textId="77777777" w:rsidR="00C32CBD" w:rsidRPr="001F107C" w:rsidRDefault="00C32CBD" w:rsidP="00C32CBD">
      <w:pPr>
        <w:spacing w:line="240" w:lineRule="auto"/>
        <w:ind w:left="142"/>
        <w:rPr>
          <w:rFonts w:cs="Arial"/>
          <w:sz w:val="18"/>
          <w:szCs w:val="18"/>
        </w:rPr>
        <w:sectPr w:rsidR="00C32CBD" w:rsidRPr="001F107C" w:rsidSect="00320D09">
          <w:type w:val="continuous"/>
          <w:pgSz w:w="16838" w:h="11906" w:orient="landscape" w:code="9"/>
          <w:pgMar w:top="1134" w:right="1670" w:bottom="1134" w:left="1134" w:header="958" w:footer="737" w:gutter="0"/>
          <w:cols w:space="708"/>
          <w:docGrid w:linePitch="360"/>
        </w:sectPr>
      </w:pPr>
      <w:r w:rsidRPr="00EA4864">
        <w:rPr>
          <w:rFonts w:cs="Arial"/>
          <w:sz w:val="18"/>
          <w:szCs w:val="18"/>
        </w:rPr>
        <w:t>Buildings (leasehold improvements), property, plant and equipment are measured at their estimated fair value in the financial statements.</w:t>
      </w:r>
      <w:r>
        <w:rPr>
          <w:rFonts w:cs="Arial"/>
          <w:sz w:val="18"/>
          <w:szCs w:val="18"/>
        </w:rPr>
        <w:t xml:space="preserve"> Refer to Note 5.3 for further details.</w:t>
      </w:r>
    </w:p>
    <w:p w14:paraId="70B5B2B3" w14:textId="77777777" w:rsidR="00C32CBD" w:rsidRPr="005E5430" w:rsidRDefault="00C32CBD" w:rsidP="00C32CBD">
      <w:pPr>
        <w:pStyle w:val="ReferenceText"/>
      </w:pPr>
    </w:p>
    <w:p w14:paraId="05956B2D" w14:textId="77777777" w:rsidR="00C32CBD" w:rsidRPr="005E5430" w:rsidRDefault="00C32CBD" w:rsidP="00C32CBD">
      <w:pPr>
        <w:spacing w:line="240" w:lineRule="auto"/>
      </w:pPr>
      <w:r w:rsidRPr="005E5430">
        <w:br w:type="page"/>
      </w:r>
    </w:p>
    <w:p w14:paraId="503D516C" w14:textId="77777777" w:rsidR="00C32CBD" w:rsidRPr="005E5430" w:rsidRDefault="00C32CBD" w:rsidP="00C32CBD">
      <w:pPr>
        <w:sectPr w:rsidR="00C32CBD" w:rsidRPr="005E5430" w:rsidSect="00320D09">
          <w:type w:val="continuous"/>
          <w:pgSz w:w="16838" w:h="11906" w:orient="landscape" w:code="9"/>
          <w:pgMar w:top="1134" w:right="1670" w:bottom="1134" w:left="1134" w:header="958" w:footer="737" w:gutter="0"/>
          <w:cols w:space="708"/>
          <w:docGrid w:linePitch="360"/>
        </w:sectPr>
      </w:pPr>
    </w:p>
    <w:tbl>
      <w:tblPr>
        <w:tblW w:w="9087" w:type="dxa"/>
        <w:tblInd w:w="80" w:type="dxa"/>
        <w:tblLayout w:type="fixed"/>
        <w:tblLook w:val="04A0" w:firstRow="1" w:lastRow="0" w:firstColumn="1" w:lastColumn="0" w:noHBand="0" w:noVBand="1"/>
      </w:tblPr>
      <w:tblGrid>
        <w:gridCol w:w="6353"/>
        <w:gridCol w:w="1249"/>
        <w:gridCol w:w="236"/>
        <w:gridCol w:w="1249"/>
      </w:tblGrid>
      <w:tr w:rsidR="00C32CBD" w14:paraId="7316D3AB" w14:textId="77777777" w:rsidTr="00320D09">
        <w:trPr>
          <w:trHeight w:val="255"/>
        </w:trPr>
        <w:tc>
          <w:tcPr>
            <w:tcW w:w="6353" w:type="dxa"/>
            <w:tcBorders>
              <w:top w:val="nil"/>
              <w:left w:val="nil"/>
              <w:bottom w:val="nil"/>
              <w:right w:val="nil"/>
            </w:tcBorders>
            <w:shd w:val="clear" w:color="FFFFFF" w:fill="FFFFFF"/>
            <w:noWrap/>
            <w:vAlign w:val="bottom"/>
            <w:hideMark/>
          </w:tcPr>
          <w:p w14:paraId="5B697F4A" w14:textId="77777777" w:rsidR="00C32CBD" w:rsidRDefault="00C32CBD" w:rsidP="00320D09">
            <w:pPr>
              <w:rPr>
                <w:rFonts w:cs="Arial"/>
                <w:sz w:val="18"/>
                <w:szCs w:val="18"/>
              </w:rPr>
            </w:pPr>
            <w:bookmarkStart w:id="156" w:name="Note_ONATABLE1" w:colFirst="0" w:colLast="0"/>
            <w:r>
              <w:rPr>
                <w:rFonts w:cs="Arial"/>
                <w:sz w:val="18"/>
                <w:szCs w:val="18"/>
              </w:rPr>
              <w:t> </w:t>
            </w:r>
          </w:p>
        </w:tc>
        <w:tc>
          <w:tcPr>
            <w:tcW w:w="1249" w:type="dxa"/>
            <w:tcBorders>
              <w:top w:val="nil"/>
              <w:left w:val="nil"/>
              <w:bottom w:val="nil"/>
              <w:right w:val="nil"/>
            </w:tcBorders>
            <w:shd w:val="clear" w:color="FFFFFF" w:fill="FFFFFF"/>
            <w:vAlign w:val="bottom"/>
            <w:hideMark/>
          </w:tcPr>
          <w:p w14:paraId="794518AA" w14:textId="77777777" w:rsidR="00C32CBD" w:rsidRDefault="00C32CBD" w:rsidP="00320D09">
            <w:pPr>
              <w:jc w:val="right"/>
              <w:rPr>
                <w:rFonts w:cs="Arial"/>
                <w:b/>
                <w:bCs/>
                <w:sz w:val="18"/>
                <w:szCs w:val="18"/>
              </w:rPr>
            </w:pPr>
            <w:r>
              <w:rPr>
                <w:rFonts w:cs="Arial"/>
                <w:b/>
                <w:bCs/>
                <w:sz w:val="18"/>
                <w:szCs w:val="18"/>
              </w:rPr>
              <w:t>2017</w:t>
            </w:r>
          </w:p>
        </w:tc>
        <w:tc>
          <w:tcPr>
            <w:tcW w:w="236" w:type="dxa"/>
            <w:tcBorders>
              <w:top w:val="nil"/>
              <w:left w:val="nil"/>
              <w:bottom w:val="nil"/>
              <w:right w:val="nil"/>
            </w:tcBorders>
            <w:shd w:val="clear" w:color="FFFFFF" w:fill="FFFFFF"/>
            <w:noWrap/>
            <w:vAlign w:val="bottom"/>
            <w:hideMark/>
          </w:tcPr>
          <w:p w14:paraId="6AD02957"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vAlign w:val="bottom"/>
            <w:hideMark/>
          </w:tcPr>
          <w:p w14:paraId="4ECEEAE9" w14:textId="77777777" w:rsidR="00C32CBD" w:rsidRDefault="00C32CBD" w:rsidP="00320D09">
            <w:pPr>
              <w:jc w:val="right"/>
              <w:rPr>
                <w:rFonts w:cs="Arial"/>
                <w:sz w:val="18"/>
                <w:szCs w:val="18"/>
              </w:rPr>
            </w:pPr>
            <w:r>
              <w:rPr>
                <w:rFonts w:cs="Arial"/>
                <w:sz w:val="18"/>
                <w:szCs w:val="18"/>
              </w:rPr>
              <w:t>2016</w:t>
            </w:r>
          </w:p>
        </w:tc>
      </w:tr>
      <w:bookmarkEnd w:id="156"/>
      <w:tr w:rsidR="00C32CBD" w14:paraId="546365BD" w14:textId="77777777" w:rsidTr="00320D09">
        <w:trPr>
          <w:trHeight w:val="255"/>
        </w:trPr>
        <w:tc>
          <w:tcPr>
            <w:tcW w:w="6353" w:type="dxa"/>
            <w:tcBorders>
              <w:top w:val="nil"/>
              <w:left w:val="nil"/>
              <w:bottom w:val="nil"/>
              <w:right w:val="nil"/>
            </w:tcBorders>
            <w:shd w:val="clear" w:color="FFFFFF" w:fill="FFFFFF"/>
            <w:noWrap/>
            <w:vAlign w:val="bottom"/>
            <w:hideMark/>
          </w:tcPr>
          <w:p w14:paraId="4DC33DF5"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vAlign w:val="bottom"/>
            <w:hideMark/>
          </w:tcPr>
          <w:p w14:paraId="562CBD24" w14:textId="77777777" w:rsidR="00C32CBD" w:rsidRDefault="00C32CBD" w:rsidP="00320D09">
            <w:pPr>
              <w:jc w:val="right"/>
              <w:rPr>
                <w:rFonts w:cs="Arial"/>
                <w:b/>
                <w:bCs/>
                <w:sz w:val="18"/>
                <w:szCs w:val="18"/>
              </w:rPr>
            </w:pPr>
            <w:r>
              <w:rPr>
                <w:rFonts w:cs="Arial"/>
                <w:b/>
                <w:bCs/>
                <w:sz w:val="18"/>
                <w:szCs w:val="18"/>
              </w:rPr>
              <w:t>$'000</w:t>
            </w:r>
          </w:p>
        </w:tc>
        <w:tc>
          <w:tcPr>
            <w:tcW w:w="236" w:type="dxa"/>
            <w:tcBorders>
              <w:top w:val="nil"/>
              <w:left w:val="nil"/>
              <w:bottom w:val="nil"/>
              <w:right w:val="nil"/>
            </w:tcBorders>
            <w:shd w:val="clear" w:color="FFFFFF" w:fill="FFFFFF"/>
            <w:noWrap/>
            <w:vAlign w:val="bottom"/>
            <w:hideMark/>
          </w:tcPr>
          <w:p w14:paraId="0D60DF74"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vAlign w:val="bottom"/>
            <w:hideMark/>
          </w:tcPr>
          <w:p w14:paraId="586922A8" w14:textId="77777777" w:rsidR="00C32CBD" w:rsidRDefault="00C32CBD" w:rsidP="00320D09">
            <w:pPr>
              <w:jc w:val="right"/>
              <w:rPr>
                <w:rFonts w:cs="Arial"/>
                <w:sz w:val="18"/>
                <w:szCs w:val="18"/>
              </w:rPr>
            </w:pPr>
            <w:r>
              <w:rPr>
                <w:rFonts w:cs="Arial"/>
                <w:sz w:val="18"/>
                <w:szCs w:val="18"/>
              </w:rPr>
              <w:t>$'000</w:t>
            </w:r>
          </w:p>
        </w:tc>
      </w:tr>
      <w:tr w:rsidR="00C32CBD" w14:paraId="5109645F" w14:textId="77777777" w:rsidTr="00320D09">
        <w:trPr>
          <w:trHeight w:val="255"/>
        </w:trPr>
        <w:tc>
          <w:tcPr>
            <w:tcW w:w="6353" w:type="dxa"/>
            <w:tcBorders>
              <w:top w:val="nil"/>
              <w:left w:val="nil"/>
              <w:bottom w:val="nil"/>
              <w:right w:val="nil"/>
            </w:tcBorders>
            <w:shd w:val="clear" w:color="FFFFFF" w:fill="FFFFFF"/>
            <w:noWrap/>
            <w:vAlign w:val="bottom"/>
            <w:hideMark/>
          </w:tcPr>
          <w:p w14:paraId="0442F448" w14:textId="77777777" w:rsidR="00C32CBD" w:rsidRDefault="00C32CBD" w:rsidP="00320D09">
            <w:pPr>
              <w:rPr>
                <w:rFonts w:cs="Arial"/>
                <w:b/>
                <w:bCs/>
                <w:sz w:val="18"/>
                <w:szCs w:val="18"/>
                <w:u w:val="single"/>
              </w:rPr>
            </w:pPr>
            <w:r>
              <w:rPr>
                <w:rFonts w:cs="Arial"/>
                <w:b/>
                <w:bCs/>
                <w:sz w:val="18"/>
                <w:szCs w:val="18"/>
                <w:u w:val="single"/>
              </w:rPr>
              <w:t>Note 2.2C: Other non-financial assets</w:t>
            </w:r>
          </w:p>
        </w:tc>
        <w:tc>
          <w:tcPr>
            <w:tcW w:w="1249" w:type="dxa"/>
            <w:tcBorders>
              <w:top w:val="nil"/>
              <w:left w:val="nil"/>
              <w:bottom w:val="nil"/>
              <w:right w:val="nil"/>
            </w:tcBorders>
            <w:shd w:val="clear" w:color="FFFFFF" w:fill="FFFFFF"/>
            <w:noWrap/>
            <w:vAlign w:val="bottom"/>
            <w:hideMark/>
          </w:tcPr>
          <w:p w14:paraId="17A221DC"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41F9B523"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23A6CCBE" w14:textId="77777777" w:rsidR="00C32CBD" w:rsidRDefault="00C32CBD" w:rsidP="00320D09">
            <w:pPr>
              <w:rPr>
                <w:rFonts w:cs="Arial"/>
                <w:sz w:val="18"/>
                <w:szCs w:val="18"/>
              </w:rPr>
            </w:pPr>
            <w:r>
              <w:rPr>
                <w:rFonts w:cs="Arial"/>
                <w:sz w:val="18"/>
                <w:szCs w:val="18"/>
              </w:rPr>
              <w:t> </w:t>
            </w:r>
          </w:p>
        </w:tc>
      </w:tr>
      <w:tr w:rsidR="00C32CBD" w14:paraId="1E11B698" w14:textId="77777777" w:rsidTr="00320D09">
        <w:trPr>
          <w:trHeight w:val="285"/>
        </w:trPr>
        <w:tc>
          <w:tcPr>
            <w:tcW w:w="6353" w:type="dxa"/>
            <w:tcBorders>
              <w:top w:val="nil"/>
              <w:left w:val="nil"/>
              <w:bottom w:val="nil"/>
              <w:right w:val="nil"/>
            </w:tcBorders>
            <w:shd w:val="clear" w:color="FFFFFF" w:fill="FFFFFF"/>
            <w:noWrap/>
            <w:vAlign w:val="bottom"/>
            <w:hideMark/>
          </w:tcPr>
          <w:p w14:paraId="705C780F" w14:textId="77777777" w:rsidR="00C32CBD" w:rsidRDefault="00C32CBD" w:rsidP="00320D09">
            <w:pPr>
              <w:rPr>
                <w:rFonts w:cs="Arial"/>
                <w:sz w:val="18"/>
                <w:szCs w:val="18"/>
              </w:rPr>
            </w:pPr>
            <w:r>
              <w:rPr>
                <w:rFonts w:cs="Arial"/>
                <w:sz w:val="18"/>
                <w:szCs w:val="18"/>
              </w:rPr>
              <w:t>Participant advances</w:t>
            </w:r>
            <w:r>
              <w:rPr>
                <w:rFonts w:cs="Arial"/>
                <w:vertAlign w:val="superscript"/>
              </w:rPr>
              <w:t>1</w:t>
            </w:r>
          </w:p>
        </w:tc>
        <w:tc>
          <w:tcPr>
            <w:tcW w:w="1249" w:type="dxa"/>
            <w:tcBorders>
              <w:top w:val="nil"/>
              <w:left w:val="nil"/>
              <w:bottom w:val="nil"/>
              <w:right w:val="nil"/>
            </w:tcBorders>
            <w:shd w:val="clear" w:color="FFFFFF" w:fill="FFFFFF"/>
            <w:noWrap/>
            <w:vAlign w:val="bottom"/>
            <w:hideMark/>
          </w:tcPr>
          <w:p w14:paraId="2676D8B4" w14:textId="77777777" w:rsidR="00C32CBD" w:rsidRDefault="00C32CBD" w:rsidP="00320D09">
            <w:pPr>
              <w:jc w:val="right"/>
              <w:rPr>
                <w:rFonts w:cs="Arial"/>
                <w:b/>
                <w:bCs/>
                <w:sz w:val="18"/>
                <w:szCs w:val="18"/>
              </w:rPr>
            </w:pPr>
            <w:r>
              <w:rPr>
                <w:rFonts w:cs="Arial"/>
                <w:b/>
                <w:bCs/>
                <w:sz w:val="18"/>
                <w:szCs w:val="18"/>
              </w:rPr>
              <w:t>6,910</w:t>
            </w:r>
          </w:p>
        </w:tc>
        <w:tc>
          <w:tcPr>
            <w:tcW w:w="236" w:type="dxa"/>
            <w:tcBorders>
              <w:top w:val="nil"/>
              <w:left w:val="nil"/>
              <w:bottom w:val="nil"/>
              <w:right w:val="nil"/>
            </w:tcBorders>
            <w:shd w:val="clear" w:color="FFFFFF" w:fill="FFFFFF"/>
            <w:noWrap/>
            <w:vAlign w:val="bottom"/>
            <w:hideMark/>
          </w:tcPr>
          <w:p w14:paraId="3864319B"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76CFD455" w14:textId="77777777" w:rsidR="00C32CBD" w:rsidRDefault="00C32CBD" w:rsidP="00320D09">
            <w:pPr>
              <w:jc w:val="right"/>
              <w:rPr>
                <w:rFonts w:cs="Arial"/>
                <w:sz w:val="18"/>
                <w:szCs w:val="18"/>
              </w:rPr>
            </w:pPr>
            <w:r>
              <w:rPr>
                <w:rFonts w:cs="Arial"/>
                <w:sz w:val="18"/>
                <w:szCs w:val="18"/>
              </w:rPr>
              <w:t>7,060</w:t>
            </w:r>
          </w:p>
        </w:tc>
      </w:tr>
      <w:tr w:rsidR="00C32CBD" w14:paraId="3D9161EA" w14:textId="77777777" w:rsidTr="00320D09">
        <w:trPr>
          <w:trHeight w:val="270"/>
        </w:trPr>
        <w:tc>
          <w:tcPr>
            <w:tcW w:w="6353" w:type="dxa"/>
            <w:tcBorders>
              <w:top w:val="nil"/>
              <w:left w:val="nil"/>
              <w:bottom w:val="nil"/>
              <w:right w:val="nil"/>
            </w:tcBorders>
            <w:shd w:val="clear" w:color="FFFFFF" w:fill="FFFFFF"/>
            <w:noWrap/>
            <w:vAlign w:val="bottom"/>
            <w:hideMark/>
          </w:tcPr>
          <w:p w14:paraId="2896A67C" w14:textId="77777777" w:rsidR="00C32CBD" w:rsidRDefault="00C32CBD" w:rsidP="00320D09">
            <w:pPr>
              <w:rPr>
                <w:rFonts w:cs="Arial"/>
                <w:sz w:val="18"/>
                <w:szCs w:val="18"/>
              </w:rPr>
            </w:pPr>
            <w:r>
              <w:rPr>
                <w:rFonts w:cs="Arial"/>
                <w:sz w:val="18"/>
                <w:szCs w:val="18"/>
              </w:rPr>
              <w:t>Participant plan prepayments</w:t>
            </w:r>
            <w:r>
              <w:rPr>
                <w:rFonts w:cs="Arial"/>
                <w:sz w:val="18"/>
                <w:szCs w:val="18"/>
                <w:vertAlign w:val="superscript"/>
              </w:rPr>
              <w:t>2</w:t>
            </w:r>
          </w:p>
        </w:tc>
        <w:tc>
          <w:tcPr>
            <w:tcW w:w="1249" w:type="dxa"/>
            <w:tcBorders>
              <w:top w:val="nil"/>
              <w:left w:val="nil"/>
              <w:bottom w:val="nil"/>
              <w:right w:val="nil"/>
            </w:tcBorders>
            <w:shd w:val="clear" w:color="FFFFFF" w:fill="FFFFFF"/>
            <w:noWrap/>
            <w:vAlign w:val="bottom"/>
            <w:hideMark/>
          </w:tcPr>
          <w:p w14:paraId="367D9E8A" w14:textId="77777777" w:rsidR="00C32CBD" w:rsidRDefault="00C32CBD" w:rsidP="00320D09">
            <w:pPr>
              <w:jc w:val="right"/>
              <w:rPr>
                <w:rFonts w:cs="Arial"/>
                <w:b/>
                <w:bCs/>
                <w:sz w:val="18"/>
                <w:szCs w:val="18"/>
              </w:rPr>
            </w:pPr>
            <w:r>
              <w:rPr>
                <w:rFonts w:cs="Arial"/>
                <w:b/>
                <w:bCs/>
                <w:sz w:val="18"/>
                <w:szCs w:val="18"/>
              </w:rPr>
              <w:t>1,591</w:t>
            </w:r>
          </w:p>
        </w:tc>
        <w:tc>
          <w:tcPr>
            <w:tcW w:w="236" w:type="dxa"/>
            <w:tcBorders>
              <w:top w:val="nil"/>
              <w:left w:val="nil"/>
              <w:bottom w:val="nil"/>
              <w:right w:val="nil"/>
            </w:tcBorders>
            <w:shd w:val="clear" w:color="FFFFFF" w:fill="FFFFFF"/>
            <w:noWrap/>
            <w:vAlign w:val="bottom"/>
            <w:hideMark/>
          </w:tcPr>
          <w:p w14:paraId="0C37F684"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59F8EC62" w14:textId="77777777" w:rsidR="00C32CBD" w:rsidRDefault="00C32CBD" w:rsidP="00320D09">
            <w:pPr>
              <w:jc w:val="right"/>
              <w:rPr>
                <w:rFonts w:cs="Arial"/>
                <w:sz w:val="18"/>
                <w:szCs w:val="18"/>
              </w:rPr>
            </w:pPr>
            <w:r>
              <w:rPr>
                <w:rFonts w:cs="Arial"/>
                <w:sz w:val="18"/>
                <w:szCs w:val="18"/>
              </w:rPr>
              <w:t>275</w:t>
            </w:r>
          </w:p>
        </w:tc>
      </w:tr>
      <w:tr w:rsidR="00C32CBD" w14:paraId="67718B23" w14:textId="77777777" w:rsidTr="00320D09">
        <w:trPr>
          <w:trHeight w:val="255"/>
        </w:trPr>
        <w:tc>
          <w:tcPr>
            <w:tcW w:w="6353" w:type="dxa"/>
            <w:tcBorders>
              <w:top w:val="nil"/>
              <w:left w:val="nil"/>
              <w:bottom w:val="nil"/>
              <w:right w:val="nil"/>
            </w:tcBorders>
            <w:shd w:val="clear" w:color="FFFFFF" w:fill="FFFFFF"/>
            <w:noWrap/>
            <w:vAlign w:val="bottom"/>
            <w:hideMark/>
          </w:tcPr>
          <w:p w14:paraId="0D662095" w14:textId="77777777" w:rsidR="00C32CBD" w:rsidRDefault="00C32CBD" w:rsidP="00320D09">
            <w:pPr>
              <w:rPr>
                <w:rFonts w:cs="Arial"/>
                <w:sz w:val="18"/>
                <w:szCs w:val="18"/>
              </w:rPr>
            </w:pPr>
            <w:r>
              <w:rPr>
                <w:rFonts w:cs="Arial"/>
                <w:sz w:val="18"/>
                <w:szCs w:val="18"/>
              </w:rPr>
              <w:t>Other prepayments</w:t>
            </w:r>
          </w:p>
        </w:tc>
        <w:tc>
          <w:tcPr>
            <w:tcW w:w="1249" w:type="dxa"/>
            <w:tcBorders>
              <w:top w:val="nil"/>
              <w:left w:val="nil"/>
              <w:bottom w:val="nil"/>
              <w:right w:val="nil"/>
            </w:tcBorders>
            <w:shd w:val="clear" w:color="FFFFFF" w:fill="FFFFFF"/>
            <w:noWrap/>
            <w:vAlign w:val="bottom"/>
            <w:hideMark/>
          </w:tcPr>
          <w:p w14:paraId="21FCAE0D" w14:textId="77777777" w:rsidR="00C32CBD" w:rsidRDefault="00C32CBD" w:rsidP="00320D09">
            <w:pPr>
              <w:jc w:val="right"/>
              <w:rPr>
                <w:rFonts w:cs="Arial"/>
                <w:b/>
                <w:bCs/>
                <w:sz w:val="18"/>
                <w:szCs w:val="18"/>
              </w:rPr>
            </w:pPr>
            <w:r>
              <w:rPr>
                <w:rFonts w:cs="Arial"/>
                <w:b/>
                <w:bCs/>
                <w:sz w:val="18"/>
                <w:szCs w:val="18"/>
              </w:rPr>
              <w:t>843</w:t>
            </w:r>
          </w:p>
        </w:tc>
        <w:tc>
          <w:tcPr>
            <w:tcW w:w="236" w:type="dxa"/>
            <w:tcBorders>
              <w:top w:val="nil"/>
              <w:left w:val="nil"/>
              <w:bottom w:val="nil"/>
              <w:right w:val="nil"/>
            </w:tcBorders>
            <w:shd w:val="clear" w:color="FFFFFF" w:fill="FFFFFF"/>
            <w:noWrap/>
            <w:vAlign w:val="bottom"/>
            <w:hideMark/>
          </w:tcPr>
          <w:p w14:paraId="75ADEBDB"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2C3E272C" w14:textId="77777777" w:rsidR="00C32CBD" w:rsidRDefault="00C32CBD" w:rsidP="00320D09">
            <w:pPr>
              <w:jc w:val="right"/>
              <w:rPr>
                <w:rFonts w:cs="Arial"/>
                <w:sz w:val="18"/>
                <w:szCs w:val="18"/>
              </w:rPr>
            </w:pPr>
            <w:r>
              <w:rPr>
                <w:rFonts w:cs="Arial"/>
                <w:sz w:val="18"/>
                <w:szCs w:val="18"/>
              </w:rPr>
              <w:t>3,137</w:t>
            </w:r>
          </w:p>
        </w:tc>
      </w:tr>
      <w:tr w:rsidR="00C32CBD" w14:paraId="7CD96A6C" w14:textId="77777777" w:rsidTr="00320D09">
        <w:trPr>
          <w:trHeight w:val="255"/>
        </w:trPr>
        <w:tc>
          <w:tcPr>
            <w:tcW w:w="6353" w:type="dxa"/>
            <w:tcBorders>
              <w:top w:val="nil"/>
              <w:left w:val="nil"/>
              <w:bottom w:val="nil"/>
              <w:right w:val="nil"/>
            </w:tcBorders>
            <w:shd w:val="clear" w:color="FFFFFF" w:fill="FFFFFF"/>
            <w:noWrap/>
            <w:vAlign w:val="bottom"/>
            <w:hideMark/>
          </w:tcPr>
          <w:p w14:paraId="09F3BAD9" w14:textId="77777777" w:rsidR="00C32CBD" w:rsidRDefault="00C32CBD" w:rsidP="00320D09">
            <w:pPr>
              <w:rPr>
                <w:rFonts w:cs="Arial"/>
                <w:sz w:val="18"/>
                <w:szCs w:val="18"/>
              </w:rPr>
            </w:pPr>
            <w:r>
              <w:rPr>
                <w:rFonts w:cs="Arial"/>
                <w:sz w:val="18"/>
                <w:szCs w:val="18"/>
              </w:rPr>
              <w:t>Impairment provision - other non-financial assets</w:t>
            </w:r>
          </w:p>
        </w:tc>
        <w:tc>
          <w:tcPr>
            <w:tcW w:w="1249" w:type="dxa"/>
            <w:tcBorders>
              <w:top w:val="nil"/>
              <w:left w:val="nil"/>
              <w:bottom w:val="nil"/>
              <w:right w:val="nil"/>
            </w:tcBorders>
            <w:shd w:val="clear" w:color="FFFFFF" w:fill="FFFFFF"/>
            <w:noWrap/>
            <w:vAlign w:val="bottom"/>
            <w:hideMark/>
          </w:tcPr>
          <w:p w14:paraId="6653D758" w14:textId="77777777" w:rsidR="00C32CBD" w:rsidRDefault="00C32CBD" w:rsidP="00320D09">
            <w:pPr>
              <w:jc w:val="right"/>
              <w:rPr>
                <w:rFonts w:cs="Arial"/>
                <w:b/>
                <w:bCs/>
                <w:sz w:val="18"/>
                <w:szCs w:val="18"/>
              </w:rPr>
            </w:pPr>
            <w:r>
              <w:rPr>
                <w:rFonts w:cs="Arial"/>
                <w:b/>
                <w:bCs/>
                <w:sz w:val="18"/>
                <w:szCs w:val="18"/>
              </w:rPr>
              <w:t>(4,727)</w:t>
            </w:r>
          </w:p>
        </w:tc>
        <w:tc>
          <w:tcPr>
            <w:tcW w:w="236" w:type="dxa"/>
            <w:tcBorders>
              <w:top w:val="nil"/>
              <w:left w:val="nil"/>
              <w:bottom w:val="nil"/>
              <w:right w:val="nil"/>
            </w:tcBorders>
            <w:shd w:val="clear" w:color="FFFFFF" w:fill="FFFFFF"/>
            <w:noWrap/>
            <w:vAlign w:val="bottom"/>
            <w:hideMark/>
          </w:tcPr>
          <w:p w14:paraId="397933DE"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79C7B0E0" w14:textId="77777777" w:rsidR="00C32CBD" w:rsidRDefault="00C32CBD" w:rsidP="00320D09">
            <w:pPr>
              <w:jc w:val="right"/>
              <w:rPr>
                <w:rFonts w:cs="Arial"/>
                <w:sz w:val="18"/>
                <w:szCs w:val="18"/>
              </w:rPr>
            </w:pPr>
            <w:r>
              <w:rPr>
                <w:rFonts w:cs="Arial"/>
                <w:sz w:val="18"/>
                <w:szCs w:val="18"/>
              </w:rPr>
              <w:t>-</w:t>
            </w:r>
          </w:p>
        </w:tc>
      </w:tr>
      <w:tr w:rsidR="00C32CBD" w14:paraId="0198D7E0" w14:textId="77777777" w:rsidTr="00320D09">
        <w:trPr>
          <w:trHeight w:val="255"/>
        </w:trPr>
        <w:tc>
          <w:tcPr>
            <w:tcW w:w="6353" w:type="dxa"/>
            <w:tcBorders>
              <w:top w:val="nil"/>
              <w:left w:val="nil"/>
              <w:bottom w:val="nil"/>
              <w:right w:val="nil"/>
            </w:tcBorders>
            <w:shd w:val="clear" w:color="FFFFFF" w:fill="FFFFFF"/>
            <w:vAlign w:val="bottom"/>
            <w:hideMark/>
          </w:tcPr>
          <w:p w14:paraId="3BD4A48D" w14:textId="77777777" w:rsidR="00C32CBD" w:rsidRDefault="00C32CBD" w:rsidP="00320D09">
            <w:pPr>
              <w:rPr>
                <w:rFonts w:cs="Arial"/>
                <w:b/>
                <w:bCs/>
                <w:sz w:val="18"/>
                <w:szCs w:val="18"/>
              </w:rPr>
            </w:pPr>
            <w:r>
              <w:rPr>
                <w:rFonts w:cs="Arial"/>
                <w:b/>
                <w:bCs/>
                <w:sz w:val="18"/>
                <w:szCs w:val="18"/>
              </w:rPr>
              <w:t>Total other non-financial assets</w:t>
            </w:r>
          </w:p>
        </w:tc>
        <w:tc>
          <w:tcPr>
            <w:tcW w:w="1249" w:type="dxa"/>
            <w:tcBorders>
              <w:top w:val="single" w:sz="4" w:space="0" w:color="auto"/>
              <w:left w:val="nil"/>
              <w:bottom w:val="single" w:sz="4" w:space="0" w:color="auto"/>
              <w:right w:val="nil"/>
            </w:tcBorders>
            <w:shd w:val="clear" w:color="FFFFFF" w:fill="FFFFFF"/>
            <w:noWrap/>
            <w:vAlign w:val="bottom"/>
            <w:hideMark/>
          </w:tcPr>
          <w:p w14:paraId="67B97DAD" w14:textId="77777777" w:rsidR="00C32CBD" w:rsidRDefault="00C32CBD" w:rsidP="00320D09">
            <w:pPr>
              <w:jc w:val="right"/>
              <w:rPr>
                <w:rFonts w:cs="Arial"/>
                <w:b/>
                <w:bCs/>
                <w:sz w:val="18"/>
                <w:szCs w:val="18"/>
              </w:rPr>
            </w:pPr>
            <w:r>
              <w:rPr>
                <w:rFonts w:cs="Arial"/>
                <w:b/>
                <w:bCs/>
                <w:sz w:val="18"/>
                <w:szCs w:val="18"/>
              </w:rPr>
              <w:t>4,617</w:t>
            </w:r>
          </w:p>
        </w:tc>
        <w:tc>
          <w:tcPr>
            <w:tcW w:w="236" w:type="dxa"/>
            <w:tcBorders>
              <w:top w:val="nil"/>
              <w:left w:val="nil"/>
              <w:bottom w:val="nil"/>
              <w:right w:val="nil"/>
            </w:tcBorders>
            <w:shd w:val="clear" w:color="FFFFFF" w:fill="FFFFFF"/>
            <w:noWrap/>
            <w:vAlign w:val="bottom"/>
            <w:hideMark/>
          </w:tcPr>
          <w:p w14:paraId="5217487D" w14:textId="77777777" w:rsidR="00C32CBD" w:rsidRDefault="00C32CBD" w:rsidP="00320D09">
            <w:pPr>
              <w:rPr>
                <w:rFonts w:cs="Arial"/>
                <w:sz w:val="18"/>
                <w:szCs w:val="18"/>
              </w:rPr>
            </w:pPr>
            <w:r>
              <w:rPr>
                <w:rFonts w:cs="Arial"/>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6244B9CD" w14:textId="77777777" w:rsidR="00C32CBD" w:rsidRDefault="00C32CBD" w:rsidP="00320D09">
            <w:pPr>
              <w:jc w:val="right"/>
              <w:rPr>
                <w:rFonts w:cs="Arial"/>
                <w:sz w:val="18"/>
                <w:szCs w:val="18"/>
              </w:rPr>
            </w:pPr>
            <w:r>
              <w:rPr>
                <w:rFonts w:cs="Arial"/>
                <w:sz w:val="18"/>
                <w:szCs w:val="18"/>
              </w:rPr>
              <w:t>10,472</w:t>
            </w:r>
          </w:p>
        </w:tc>
      </w:tr>
      <w:tr w:rsidR="00C32CBD" w14:paraId="3AE845AA" w14:textId="77777777" w:rsidTr="00320D09">
        <w:trPr>
          <w:trHeight w:val="255"/>
        </w:trPr>
        <w:tc>
          <w:tcPr>
            <w:tcW w:w="6353" w:type="dxa"/>
            <w:tcBorders>
              <w:top w:val="nil"/>
              <w:left w:val="nil"/>
              <w:bottom w:val="nil"/>
              <w:right w:val="nil"/>
            </w:tcBorders>
            <w:shd w:val="clear" w:color="FFFFFF" w:fill="FFFFFF"/>
            <w:noWrap/>
            <w:vAlign w:val="bottom"/>
            <w:hideMark/>
          </w:tcPr>
          <w:p w14:paraId="5F9E5D27"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59688486"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19B0E871"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32D1EFC6" w14:textId="77777777" w:rsidR="00C32CBD" w:rsidRDefault="00C32CBD" w:rsidP="00320D09">
            <w:pPr>
              <w:rPr>
                <w:rFonts w:cs="Arial"/>
                <w:sz w:val="18"/>
                <w:szCs w:val="18"/>
              </w:rPr>
            </w:pPr>
            <w:r>
              <w:rPr>
                <w:rFonts w:cs="Arial"/>
                <w:sz w:val="18"/>
                <w:szCs w:val="18"/>
              </w:rPr>
              <w:t> </w:t>
            </w:r>
          </w:p>
        </w:tc>
      </w:tr>
      <w:tr w:rsidR="00C32CBD" w14:paraId="213CFE06" w14:textId="77777777" w:rsidTr="00320D09">
        <w:trPr>
          <w:trHeight w:val="255"/>
        </w:trPr>
        <w:tc>
          <w:tcPr>
            <w:tcW w:w="6353" w:type="dxa"/>
            <w:tcBorders>
              <w:top w:val="nil"/>
              <w:left w:val="nil"/>
              <w:bottom w:val="nil"/>
              <w:right w:val="nil"/>
            </w:tcBorders>
            <w:shd w:val="clear" w:color="FFFFFF" w:fill="FFFFFF"/>
            <w:vAlign w:val="bottom"/>
            <w:hideMark/>
          </w:tcPr>
          <w:p w14:paraId="7BC55037" w14:textId="77777777" w:rsidR="00C32CBD" w:rsidRDefault="00C32CBD" w:rsidP="00320D09">
            <w:pPr>
              <w:rPr>
                <w:rFonts w:cs="Arial"/>
                <w:b/>
                <w:bCs/>
                <w:sz w:val="18"/>
                <w:szCs w:val="18"/>
              </w:rPr>
            </w:pPr>
            <w:r>
              <w:rPr>
                <w:rFonts w:cs="Arial"/>
                <w:b/>
                <w:bCs/>
                <w:sz w:val="18"/>
                <w:szCs w:val="18"/>
              </w:rPr>
              <w:t>Other non-financial assets expected to be recovered</w:t>
            </w:r>
          </w:p>
        </w:tc>
        <w:tc>
          <w:tcPr>
            <w:tcW w:w="1249" w:type="dxa"/>
            <w:tcBorders>
              <w:top w:val="nil"/>
              <w:left w:val="nil"/>
              <w:bottom w:val="nil"/>
              <w:right w:val="nil"/>
            </w:tcBorders>
            <w:shd w:val="clear" w:color="FFFFFF" w:fill="FFFFFF"/>
            <w:noWrap/>
            <w:vAlign w:val="bottom"/>
            <w:hideMark/>
          </w:tcPr>
          <w:p w14:paraId="5BA3366E"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1F6BFBE5"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0CAB432E" w14:textId="77777777" w:rsidR="00C32CBD" w:rsidRDefault="00C32CBD" w:rsidP="00320D09">
            <w:pPr>
              <w:rPr>
                <w:rFonts w:cs="Arial"/>
                <w:sz w:val="18"/>
                <w:szCs w:val="18"/>
              </w:rPr>
            </w:pPr>
            <w:r>
              <w:rPr>
                <w:rFonts w:cs="Arial"/>
                <w:sz w:val="18"/>
                <w:szCs w:val="18"/>
              </w:rPr>
              <w:t> </w:t>
            </w:r>
          </w:p>
        </w:tc>
      </w:tr>
      <w:tr w:rsidR="00C32CBD" w14:paraId="242463EB" w14:textId="77777777" w:rsidTr="00320D09">
        <w:trPr>
          <w:trHeight w:val="255"/>
        </w:trPr>
        <w:tc>
          <w:tcPr>
            <w:tcW w:w="6353" w:type="dxa"/>
            <w:tcBorders>
              <w:top w:val="nil"/>
              <w:left w:val="nil"/>
              <w:bottom w:val="nil"/>
              <w:right w:val="nil"/>
            </w:tcBorders>
            <w:shd w:val="clear" w:color="FFFFFF" w:fill="FFFFFF"/>
            <w:noWrap/>
            <w:vAlign w:val="bottom"/>
            <w:hideMark/>
          </w:tcPr>
          <w:p w14:paraId="3BE9FC81" w14:textId="77777777" w:rsidR="00C32CBD" w:rsidRDefault="00C32CBD" w:rsidP="00320D09">
            <w:pPr>
              <w:ind w:firstLineChars="100" w:firstLine="180"/>
              <w:rPr>
                <w:rFonts w:cs="Arial"/>
                <w:sz w:val="18"/>
                <w:szCs w:val="18"/>
              </w:rPr>
            </w:pPr>
            <w:r>
              <w:rPr>
                <w:rFonts w:cs="Arial"/>
                <w:sz w:val="18"/>
                <w:szCs w:val="18"/>
              </w:rPr>
              <w:t>No more than 12 months</w:t>
            </w:r>
          </w:p>
        </w:tc>
        <w:tc>
          <w:tcPr>
            <w:tcW w:w="1249" w:type="dxa"/>
            <w:tcBorders>
              <w:top w:val="nil"/>
              <w:left w:val="nil"/>
              <w:bottom w:val="nil"/>
              <w:right w:val="nil"/>
            </w:tcBorders>
            <w:shd w:val="clear" w:color="FFFFFF" w:fill="FFFFFF"/>
            <w:noWrap/>
            <w:vAlign w:val="bottom"/>
            <w:hideMark/>
          </w:tcPr>
          <w:p w14:paraId="1A88AFEA" w14:textId="77777777" w:rsidR="00C32CBD" w:rsidRDefault="00C32CBD" w:rsidP="00320D09">
            <w:pPr>
              <w:jc w:val="right"/>
              <w:rPr>
                <w:rFonts w:cs="Arial"/>
                <w:b/>
                <w:bCs/>
                <w:sz w:val="18"/>
                <w:szCs w:val="18"/>
              </w:rPr>
            </w:pPr>
            <w:r>
              <w:rPr>
                <w:rFonts w:cs="Arial"/>
                <w:b/>
                <w:bCs/>
                <w:sz w:val="18"/>
                <w:szCs w:val="18"/>
              </w:rPr>
              <w:t>4,141</w:t>
            </w:r>
          </w:p>
        </w:tc>
        <w:tc>
          <w:tcPr>
            <w:tcW w:w="236" w:type="dxa"/>
            <w:tcBorders>
              <w:top w:val="nil"/>
              <w:left w:val="nil"/>
              <w:bottom w:val="nil"/>
              <w:right w:val="nil"/>
            </w:tcBorders>
            <w:shd w:val="clear" w:color="FFFFFF" w:fill="FFFFFF"/>
            <w:noWrap/>
            <w:vAlign w:val="bottom"/>
            <w:hideMark/>
          </w:tcPr>
          <w:p w14:paraId="08D16FB0"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65B677F2" w14:textId="77777777" w:rsidR="00C32CBD" w:rsidRDefault="00C32CBD" w:rsidP="00320D09">
            <w:pPr>
              <w:jc w:val="right"/>
              <w:rPr>
                <w:rFonts w:cs="Arial"/>
                <w:sz w:val="18"/>
                <w:szCs w:val="18"/>
              </w:rPr>
            </w:pPr>
            <w:r>
              <w:rPr>
                <w:rFonts w:cs="Arial"/>
                <w:sz w:val="18"/>
                <w:szCs w:val="18"/>
              </w:rPr>
              <w:t>10,427</w:t>
            </w:r>
          </w:p>
        </w:tc>
      </w:tr>
      <w:tr w:rsidR="00C32CBD" w14:paraId="7BE2CCBD" w14:textId="77777777" w:rsidTr="00320D09">
        <w:trPr>
          <w:trHeight w:val="255"/>
        </w:trPr>
        <w:tc>
          <w:tcPr>
            <w:tcW w:w="6353" w:type="dxa"/>
            <w:tcBorders>
              <w:top w:val="nil"/>
              <w:left w:val="nil"/>
              <w:bottom w:val="nil"/>
              <w:right w:val="nil"/>
            </w:tcBorders>
            <w:shd w:val="clear" w:color="FFFFFF" w:fill="FFFFFF"/>
            <w:noWrap/>
            <w:vAlign w:val="bottom"/>
          </w:tcPr>
          <w:p w14:paraId="231A0285" w14:textId="77777777" w:rsidR="00C32CBD" w:rsidRDefault="00C32CBD" w:rsidP="00320D09">
            <w:pPr>
              <w:ind w:firstLineChars="100" w:firstLine="180"/>
              <w:rPr>
                <w:rFonts w:cs="Arial"/>
                <w:sz w:val="18"/>
                <w:szCs w:val="18"/>
              </w:rPr>
            </w:pPr>
            <w:r>
              <w:rPr>
                <w:rFonts w:cs="Arial"/>
                <w:sz w:val="18"/>
                <w:szCs w:val="18"/>
              </w:rPr>
              <w:t xml:space="preserve">More than 12 months </w:t>
            </w:r>
          </w:p>
        </w:tc>
        <w:tc>
          <w:tcPr>
            <w:tcW w:w="1249" w:type="dxa"/>
            <w:tcBorders>
              <w:top w:val="nil"/>
              <w:left w:val="nil"/>
              <w:bottom w:val="nil"/>
              <w:right w:val="nil"/>
            </w:tcBorders>
            <w:shd w:val="clear" w:color="FFFFFF" w:fill="FFFFFF"/>
            <w:noWrap/>
            <w:vAlign w:val="bottom"/>
          </w:tcPr>
          <w:p w14:paraId="37DF5B1E" w14:textId="77777777" w:rsidR="00C32CBD" w:rsidRDefault="00C32CBD" w:rsidP="00320D09">
            <w:pPr>
              <w:jc w:val="right"/>
              <w:rPr>
                <w:rFonts w:cs="Arial"/>
                <w:b/>
                <w:bCs/>
                <w:sz w:val="18"/>
                <w:szCs w:val="18"/>
              </w:rPr>
            </w:pPr>
            <w:r>
              <w:rPr>
                <w:rFonts w:cs="Arial"/>
                <w:b/>
                <w:bCs/>
                <w:sz w:val="18"/>
                <w:szCs w:val="18"/>
              </w:rPr>
              <w:t>476</w:t>
            </w:r>
          </w:p>
        </w:tc>
        <w:tc>
          <w:tcPr>
            <w:tcW w:w="236" w:type="dxa"/>
            <w:tcBorders>
              <w:top w:val="nil"/>
              <w:left w:val="nil"/>
              <w:bottom w:val="nil"/>
              <w:right w:val="nil"/>
            </w:tcBorders>
            <w:shd w:val="clear" w:color="FFFFFF" w:fill="FFFFFF"/>
            <w:noWrap/>
            <w:vAlign w:val="bottom"/>
          </w:tcPr>
          <w:p w14:paraId="0EB76D96" w14:textId="77777777" w:rsidR="00C32CBD" w:rsidRDefault="00C32CBD" w:rsidP="00320D09">
            <w:pPr>
              <w:rPr>
                <w:rFonts w:cs="Arial"/>
                <w:sz w:val="18"/>
                <w:szCs w:val="18"/>
              </w:rPr>
            </w:pPr>
          </w:p>
        </w:tc>
        <w:tc>
          <w:tcPr>
            <w:tcW w:w="1249" w:type="dxa"/>
            <w:tcBorders>
              <w:top w:val="nil"/>
              <w:left w:val="nil"/>
              <w:bottom w:val="nil"/>
              <w:right w:val="nil"/>
            </w:tcBorders>
            <w:shd w:val="clear" w:color="FFFFFF" w:fill="FFFFFF"/>
            <w:noWrap/>
            <w:vAlign w:val="bottom"/>
          </w:tcPr>
          <w:p w14:paraId="2DF3C53F" w14:textId="77777777" w:rsidR="00C32CBD" w:rsidRDefault="00C32CBD" w:rsidP="00320D09">
            <w:pPr>
              <w:jc w:val="right"/>
              <w:rPr>
                <w:rFonts w:cs="Arial"/>
                <w:sz w:val="18"/>
                <w:szCs w:val="18"/>
              </w:rPr>
            </w:pPr>
            <w:r>
              <w:rPr>
                <w:rFonts w:cs="Arial"/>
                <w:sz w:val="18"/>
                <w:szCs w:val="18"/>
              </w:rPr>
              <w:t>45</w:t>
            </w:r>
          </w:p>
        </w:tc>
      </w:tr>
      <w:tr w:rsidR="00C32CBD" w14:paraId="30DE6A52" w14:textId="77777777" w:rsidTr="00320D09">
        <w:trPr>
          <w:trHeight w:val="255"/>
        </w:trPr>
        <w:tc>
          <w:tcPr>
            <w:tcW w:w="6353" w:type="dxa"/>
            <w:tcBorders>
              <w:top w:val="nil"/>
              <w:left w:val="nil"/>
              <w:bottom w:val="nil"/>
              <w:right w:val="nil"/>
            </w:tcBorders>
            <w:shd w:val="clear" w:color="FFFFFF" w:fill="FFFFFF"/>
            <w:vAlign w:val="bottom"/>
            <w:hideMark/>
          </w:tcPr>
          <w:p w14:paraId="46D55A1B" w14:textId="77777777" w:rsidR="00C32CBD" w:rsidRDefault="00C32CBD" w:rsidP="00320D09">
            <w:pPr>
              <w:rPr>
                <w:rFonts w:cs="Arial"/>
                <w:b/>
                <w:bCs/>
                <w:sz w:val="18"/>
                <w:szCs w:val="18"/>
              </w:rPr>
            </w:pPr>
            <w:r>
              <w:rPr>
                <w:rFonts w:cs="Arial"/>
                <w:b/>
                <w:bCs/>
                <w:sz w:val="18"/>
                <w:szCs w:val="18"/>
              </w:rPr>
              <w:t>Total other non-financial assets</w:t>
            </w:r>
          </w:p>
        </w:tc>
        <w:tc>
          <w:tcPr>
            <w:tcW w:w="1249" w:type="dxa"/>
            <w:tcBorders>
              <w:top w:val="single" w:sz="4" w:space="0" w:color="auto"/>
              <w:left w:val="nil"/>
              <w:bottom w:val="single" w:sz="4" w:space="0" w:color="auto"/>
              <w:right w:val="nil"/>
            </w:tcBorders>
            <w:shd w:val="clear" w:color="FFFFFF" w:fill="FFFFFF"/>
            <w:noWrap/>
            <w:vAlign w:val="bottom"/>
            <w:hideMark/>
          </w:tcPr>
          <w:p w14:paraId="01EEA9EF" w14:textId="77777777" w:rsidR="00C32CBD" w:rsidRDefault="00C32CBD" w:rsidP="00320D09">
            <w:pPr>
              <w:jc w:val="right"/>
              <w:rPr>
                <w:rFonts w:cs="Arial"/>
                <w:b/>
                <w:bCs/>
                <w:sz w:val="18"/>
                <w:szCs w:val="18"/>
              </w:rPr>
            </w:pPr>
            <w:r>
              <w:rPr>
                <w:rFonts w:cs="Arial"/>
                <w:b/>
                <w:bCs/>
                <w:sz w:val="18"/>
                <w:szCs w:val="18"/>
              </w:rPr>
              <w:t>4,617</w:t>
            </w:r>
          </w:p>
        </w:tc>
        <w:tc>
          <w:tcPr>
            <w:tcW w:w="236" w:type="dxa"/>
            <w:tcBorders>
              <w:top w:val="nil"/>
              <w:left w:val="nil"/>
              <w:bottom w:val="nil"/>
              <w:right w:val="nil"/>
            </w:tcBorders>
            <w:shd w:val="clear" w:color="FFFFFF" w:fill="FFFFFF"/>
            <w:noWrap/>
            <w:vAlign w:val="bottom"/>
            <w:hideMark/>
          </w:tcPr>
          <w:p w14:paraId="3BF9ED6C" w14:textId="77777777" w:rsidR="00C32CBD" w:rsidRDefault="00C32CBD" w:rsidP="00320D09">
            <w:pPr>
              <w:rPr>
                <w:rFonts w:cs="Arial"/>
                <w:sz w:val="18"/>
                <w:szCs w:val="18"/>
              </w:rPr>
            </w:pPr>
            <w:r>
              <w:rPr>
                <w:rFonts w:cs="Arial"/>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7E161988" w14:textId="77777777" w:rsidR="00C32CBD" w:rsidRDefault="00C32CBD" w:rsidP="00320D09">
            <w:pPr>
              <w:jc w:val="right"/>
              <w:rPr>
                <w:rFonts w:cs="Arial"/>
                <w:sz w:val="18"/>
                <w:szCs w:val="18"/>
              </w:rPr>
            </w:pPr>
            <w:r>
              <w:rPr>
                <w:rFonts w:cs="Arial"/>
                <w:sz w:val="18"/>
                <w:szCs w:val="18"/>
              </w:rPr>
              <w:t>10,472</w:t>
            </w:r>
          </w:p>
        </w:tc>
      </w:tr>
    </w:tbl>
    <w:p w14:paraId="5FA1A5A0" w14:textId="77777777" w:rsidR="00C32CBD" w:rsidRPr="005E5430" w:rsidRDefault="00C32CBD" w:rsidP="00C32CBD"/>
    <w:p w14:paraId="575BE329" w14:textId="77777777" w:rsidR="00C32CBD" w:rsidRPr="005E5430" w:rsidRDefault="00C32CBD" w:rsidP="00C32CBD">
      <w:pPr>
        <w:pStyle w:val="ReferenceText"/>
      </w:pPr>
      <w:r w:rsidRPr="005E5430">
        <w:t>No indicators of impairment were found for other non-financial assets.</w:t>
      </w:r>
    </w:p>
    <w:tbl>
      <w:tblPr>
        <w:tblStyle w:val="TableGrid"/>
        <w:tblW w:w="508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
        <w:gridCol w:w="8935"/>
      </w:tblGrid>
      <w:tr w:rsidR="00C32CBD" w:rsidRPr="005E5430" w14:paraId="59904E23" w14:textId="77777777" w:rsidTr="00320D09">
        <w:trPr>
          <w:trHeight w:val="618"/>
        </w:trPr>
        <w:tc>
          <w:tcPr>
            <w:tcW w:w="153" w:type="pct"/>
            <w:tcMar>
              <w:left w:w="0" w:type="dxa"/>
              <w:right w:w="0" w:type="dxa"/>
            </w:tcMar>
          </w:tcPr>
          <w:p w14:paraId="7B267548" w14:textId="77777777" w:rsidR="00C32CBD" w:rsidRPr="005E5430" w:rsidRDefault="00C32CBD" w:rsidP="00320D09">
            <w:pPr>
              <w:jc w:val="center"/>
            </w:pPr>
            <w:r w:rsidRPr="005E5430">
              <w:rPr>
                <w:rFonts w:eastAsia="Calibri" w:cs="Arial"/>
                <w:sz w:val="18"/>
                <w:szCs w:val="18"/>
                <w:vertAlign w:val="superscript"/>
              </w:rPr>
              <w:t>1</w:t>
            </w:r>
          </w:p>
        </w:tc>
        <w:tc>
          <w:tcPr>
            <w:tcW w:w="4847" w:type="pct"/>
            <w:tcMar>
              <w:left w:w="0" w:type="dxa"/>
              <w:right w:w="0" w:type="dxa"/>
            </w:tcMar>
          </w:tcPr>
          <w:p w14:paraId="0D6E3FC0" w14:textId="77777777" w:rsidR="00C32CBD" w:rsidRPr="00E42114" w:rsidRDefault="00C32CBD" w:rsidP="00320D09">
            <w:pPr>
              <w:rPr>
                <w:rFonts w:cs="Arial"/>
                <w:sz w:val="18"/>
                <w:szCs w:val="18"/>
              </w:rPr>
            </w:pPr>
            <w:r w:rsidRPr="00E42114">
              <w:rPr>
                <w:rFonts w:cs="Arial"/>
                <w:sz w:val="18"/>
                <w:szCs w:val="18"/>
              </w:rPr>
              <w:t>Participant advances represent payments that have been made to self-managed participants in the Scheme in advance of support being provided.</w:t>
            </w:r>
          </w:p>
        </w:tc>
      </w:tr>
      <w:tr w:rsidR="00C32CBD" w:rsidRPr="005E5430" w14:paraId="2DCF729D" w14:textId="77777777" w:rsidTr="00320D09">
        <w:trPr>
          <w:trHeight w:val="618"/>
        </w:trPr>
        <w:tc>
          <w:tcPr>
            <w:tcW w:w="153" w:type="pct"/>
            <w:tcMar>
              <w:left w:w="0" w:type="dxa"/>
              <w:right w:w="0" w:type="dxa"/>
            </w:tcMar>
          </w:tcPr>
          <w:p w14:paraId="1012870F" w14:textId="77777777" w:rsidR="00C32CBD" w:rsidRPr="00742787" w:rsidRDefault="00C32CBD" w:rsidP="00320D09">
            <w:pPr>
              <w:jc w:val="center"/>
              <w:rPr>
                <w:rFonts w:eastAsia="Calibri" w:cs="Arial"/>
                <w:color w:val="00B050"/>
                <w:sz w:val="18"/>
                <w:szCs w:val="18"/>
                <w:vertAlign w:val="superscript"/>
              </w:rPr>
            </w:pPr>
            <w:r w:rsidRPr="0069264B">
              <w:rPr>
                <w:rFonts w:eastAsia="Calibri" w:cs="Arial"/>
                <w:sz w:val="18"/>
                <w:szCs w:val="18"/>
                <w:vertAlign w:val="superscript"/>
              </w:rPr>
              <w:t>2</w:t>
            </w:r>
          </w:p>
        </w:tc>
        <w:tc>
          <w:tcPr>
            <w:tcW w:w="4847" w:type="pct"/>
            <w:tcMar>
              <w:left w:w="0" w:type="dxa"/>
              <w:right w:w="0" w:type="dxa"/>
            </w:tcMar>
          </w:tcPr>
          <w:p w14:paraId="31D404F8" w14:textId="77777777" w:rsidR="00C32CBD" w:rsidRPr="00E42114" w:rsidRDefault="00C32CBD" w:rsidP="00320D09">
            <w:pPr>
              <w:rPr>
                <w:rFonts w:cs="Arial"/>
                <w:sz w:val="18"/>
                <w:szCs w:val="18"/>
              </w:rPr>
            </w:pPr>
            <w:r w:rsidRPr="00E42114">
              <w:rPr>
                <w:rFonts w:cs="Arial"/>
                <w:sz w:val="18"/>
                <w:szCs w:val="18"/>
              </w:rPr>
              <w:t xml:space="preserve">Participant plan prepayments represent payments that have been made to providers in advance of supports being utilised by participants. </w:t>
            </w:r>
          </w:p>
        </w:tc>
      </w:tr>
    </w:tbl>
    <w:p w14:paraId="0A6CC6AF" w14:textId="77777777" w:rsidR="00C32CBD" w:rsidRPr="005E5430" w:rsidRDefault="00C32CBD" w:rsidP="00C32CBD">
      <w:pPr>
        <w:spacing w:line="240" w:lineRule="auto"/>
      </w:pPr>
    </w:p>
    <w:p w14:paraId="0A0ECC4B" w14:textId="77777777" w:rsidR="00C32CBD" w:rsidRPr="005D6360" w:rsidRDefault="00C32CBD" w:rsidP="00C32CBD">
      <w:pPr>
        <w:pStyle w:val="SubHeading"/>
      </w:pPr>
      <w:bookmarkStart w:id="157" w:name="_Toc443469531"/>
      <w:bookmarkStart w:id="158" w:name="_Toc443577405"/>
      <w:bookmarkStart w:id="159" w:name="_Toc445194083"/>
      <w:bookmarkStart w:id="160" w:name="_Toc447030541"/>
      <w:bookmarkStart w:id="161" w:name="_Toc447030693"/>
      <w:bookmarkStart w:id="162" w:name="_Toc447030786"/>
      <w:bookmarkStart w:id="163" w:name="_Toc456865060"/>
      <w:bookmarkStart w:id="164" w:name="_Toc496611903"/>
      <w:r w:rsidRPr="005D6360">
        <w:t>Payables</w:t>
      </w:r>
      <w:bookmarkEnd w:id="157"/>
      <w:bookmarkEnd w:id="158"/>
      <w:bookmarkEnd w:id="159"/>
      <w:bookmarkEnd w:id="160"/>
      <w:bookmarkEnd w:id="161"/>
      <w:bookmarkEnd w:id="162"/>
      <w:bookmarkEnd w:id="163"/>
      <w:bookmarkEnd w:id="164"/>
    </w:p>
    <w:tbl>
      <w:tblPr>
        <w:tblW w:w="9087" w:type="dxa"/>
        <w:tblInd w:w="80" w:type="dxa"/>
        <w:tblLayout w:type="fixed"/>
        <w:tblLook w:val="04A0" w:firstRow="1" w:lastRow="0" w:firstColumn="1" w:lastColumn="0" w:noHBand="0" w:noVBand="1"/>
      </w:tblPr>
      <w:tblGrid>
        <w:gridCol w:w="6353"/>
        <w:gridCol w:w="1249"/>
        <w:gridCol w:w="236"/>
        <w:gridCol w:w="1249"/>
      </w:tblGrid>
      <w:tr w:rsidR="00C32CBD" w14:paraId="0F1ECF79" w14:textId="77777777" w:rsidTr="00320D09">
        <w:trPr>
          <w:trHeight w:val="255"/>
        </w:trPr>
        <w:tc>
          <w:tcPr>
            <w:tcW w:w="6353" w:type="dxa"/>
            <w:tcBorders>
              <w:top w:val="nil"/>
              <w:left w:val="nil"/>
              <w:bottom w:val="nil"/>
              <w:right w:val="nil"/>
            </w:tcBorders>
            <w:shd w:val="clear" w:color="FFFFFF" w:fill="FFFFFF"/>
            <w:noWrap/>
            <w:vAlign w:val="bottom"/>
            <w:hideMark/>
          </w:tcPr>
          <w:p w14:paraId="74C00CDE" w14:textId="77777777" w:rsidR="00C32CBD" w:rsidRDefault="00C32CBD" w:rsidP="00320D09">
            <w:pPr>
              <w:rPr>
                <w:rFonts w:cs="Arial"/>
                <w:sz w:val="18"/>
                <w:szCs w:val="18"/>
              </w:rPr>
            </w:pPr>
            <w:bookmarkStart w:id="165" w:name="Note_SPATABLE1" w:colFirst="0" w:colLast="0"/>
            <w:r>
              <w:rPr>
                <w:rFonts w:cs="Arial"/>
                <w:sz w:val="18"/>
                <w:szCs w:val="18"/>
              </w:rPr>
              <w:t> </w:t>
            </w:r>
          </w:p>
        </w:tc>
        <w:tc>
          <w:tcPr>
            <w:tcW w:w="1249" w:type="dxa"/>
            <w:tcBorders>
              <w:top w:val="nil"/>
              <w:left w:val="nil"/>
              <w:bottom w:val="nil"/>
              <w:right w:val="nil"/>
            </w:tcBorders>
            <w:shd w:val="clear" w:color="FFFFFF" w:fill="FFFFFF"/>
            <w:noWrap/>
            <w:vAlign w:val="bottom"/>
            <w:hideMark/>
          </w:tcPr>
          <w:p w14:paraId="06BAA6A0" w14:textId="77777777" w:rsidR="00C32CBD" w:rsidRDefault="00C32CBD" w:rsidP="00320D09">
            <w:pPr>
              <w:jc w:val="right"/>
              <w:rPr>
                <w:rFonts w:cs="Arial"/>
                <w:b/>
                <w:bCs/>
                <w:sz w:val="18"/>
                <w:szCs w:val="18"/>
              </w:rPr>
            </w:pPr>
            <w:r>
              <w:rPr>
                <w:rFonts w:cs="Arial"/>
                <w:b/>
                <w:bCs/>
                <w:sz w:val="18"/>
                <w:szCs w:val="18"/>
              </w:rPr>
              <w:t>2017</w:t>
            </w:r>
          </w:p>
        </w:tc>
        <w:tc>
          <w:tcPr>
            <w:tcW w:w="236" w:type="dxa"/>
            <w:tcBorders>
              <w:top w:val="nil"/>
              <w:left w:val="nil"/>
              <w:bottom w:val="nil"/>
              <w:right w:val="nil"/>
            </w:tcBorders>
            <w:shd w:val="clear" w:color="FFFFFF" w:fill="FFFFFF"/>
            <w:noWrap/>
            <w:vAlign w:val="bottom"/>
            <w:hideMark/>
          </w:tcPr>
          <w:p w14:paraId="4196F2E9"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56F1A39E" w14:textId="77777777" w:rsidR="00C32CBD" w:rsidRDefault="00C32CBD" w:rsidP="00320D09">
            <w:pPr>
              <w:jc w:val="right"/>
              <w:rPr>
                <w:rFonts w:cs="Arial"/>
                <w:sz w:val="18"/>
                <w:szCs w:val="18"/>
              </w:rPr>
            </w:pPr>
            <w:r>
              <w:rPr>
                <w:rFonts w:cs="Arial"/>
                <w:sz w:val="18"/>
                <w:szCs w:val="18"/>
              </w:rPr>
              <w:t>2016</w:t>
            </w:r>
          </w:p>
        </w:tc>
      </w:tr>
      <w:bookmarkEnd w:id="165"/>
      <w:tr w:rsidR="00C32CBD" w14:paraId="46DCFBF5" w14:textId="77777777" w:rsidTr="00320D09">
        <w:trPr>
          <w:trHeight w:val="255"/>
        </w:trPr>
        <w:tc>
          <w:tcPr>
            <w:tcW w:w="6353" w:type="dxa"/>
            <w:tcBorders>
              <w:top w:val="nil"/>
              <w:left w:val="nil"/>
              <w:bottom w:val="nil"/>
              <w:right w:val="nil"/>
            </w:tcBorders>
            <w:shd w:val="clear" w:color="FFFFFF" w:fill="FFFFFF"/>
            <w:noWrap/>
            <w:vAlign w:val="bottom"/>
            <w:hideMark/>
          </w:tcPr>
          <w:p w14:paraId="2C0A1E17"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1B3116A0" w14:textId="77777777" w:rsidR="00C32CBD" w:rsidRDefault="00C32CBD" w:rsidP="00320D09">
            <w:pPr>
              <w:jc w:val="right"/>
              <w:rPr>
                <w:rFonts w:cs="Arial"/>
                <w:b/>
                <w:bCs/>
                <w:sz w:val="18"/>
                <w:szCs w:val="18"/>
              </w:rPr>
            </w:pPr>
            <w:r>
              <w:rPr>
                <w:rFonts w:cs="Arial"/>
                <w:b/>
                <w:bCs/>
                <w:sz w:val="18"/>
                <w:szCs w:val="18"/>
              </w:rPr>
              <w:t>$'000</w:t>
            </w:r>
          </w:p>
        </w:tc>
        <w:tc>
          <w:tcPr>
            <w:tcW w:w="236" w:type="dxa"/>
            <w:tcBorders>
              <w:top w:val="nil"/>
              <w:left w:val="nil"/>
              <w:bottom w:val="nil"/>
              <w:right w:val="nil"/>
            </w:tcBorders>
            <w:shd w:val="clear" w:color="FFFFFF" w:fill="FFFFFF"/>
            <w:noWrap/>
            <w:vAlign w:val="bottom"/>
            <w:hideMark/>
          </w:tcPr>
          <w:p w14:paraId="453DA96E"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6999A85E" w14:textId="77777777" w:rsidR="00C32CBD" w:rsidRDefault="00C32CBD" w:rsidP="00320D09">
            <w:pPr>
              <w:jc w:val="right"/>
              <w:rPr>
                <w:rFonts w:cs="Arial"/>
                <w:sz w:val="18"/>
                <w:szCs w:val="18"/>
              </w:rPr>
            </w:pPr>
            <w:r>
              <w:rPr>
                <w:rFonts w:cs="Arial"/>
                <w:sz w:val="18"/>
                <w:szCs w:val="18"/>
              </w:rPr>
              <w:t>$'000</w:t>
            </w:r>
          </w:p>
        </w:tc>
      </w:tr>
      <w:tr w:rsidR="00C32CBD" w14:paraId="062D3046" w14:textId="77777777" w:rsidTr="00320D09">
        <w:trPr>
          <w:trHeight w:val="255"/>
        </w:trPr>
        <w:tc>
          <w:tcPr>
            <w:tcW w:w="6353" w:type="dxa"/>
            <w:tcBorders>
              <w:top w:val="nil"/>
              <w:left w:val="nil"/>
              <w:bottom w:val="nil"/>
              <w:right w:val="nil"/>
            </w:tcBorders>
            <w:shd w:val="clear" w:color="FFFFFF" w:fill="FFFFFF"/>
            <w:noWrap/>
            <w:vAlign w:val="bottom"/>
            <w:hideMark/>
          </w:tcPr>
          <w:p w14:paraId="26BACFBB" w14:textId="77777777" w:rsidR="00C32CBD" w:rsidRDefault="00C32CBD" w:rsidP="00320D09">
            <w:pPr>
              <w:rPr>
                <w:rFonts w:cs="Arial"/>
                <w:b/>
                <w:bCs/>
                <w:sz w:val="18"/>
                <w:szCs w:val="18"/>
                <w:u w:val="single"/>
              </w:rPr>
            </w:pPr>
            <w:r>
              <w:rPr>
                <w:rFonts w:cs="Arial"/>
                <w:b/>
                <w:bCs/>
                <w:sz w:val="18"/>
                <w:szCs w:val="18"/>
                <w:u w:val="single"/>
              </w:rPr>
              <w:t>Note 2.3A: Suppliers</w:t>
            </w:r>
          </w:p>
        </w:tc>
        <w:tc>
          <w:tcPr>
            <w:tcW w:w="1249" w:type="dxa"/>
            <w:tcBorders>
              <w:top w:val="nil"/>
              <w:left w:val="nil"/>
              <w:bottom w:val="nil"/>
              <w:right w:val="nil"/>
            </w:tcBorders>
            <w:shd w:val="clear" w:color="FFFFFF" w:fill="FFFFFF"/>
            <w:noWrap/>
            <w:vAlign w:val="bottom"/>
            <w:hideMark/>
          </w:tcPr>
          <w:p w14:paraId="67BFF7B9"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4A8F564A"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77EE25CD" w14:textId="77777777" w:rsidR="00C32CBD" w:rsidRDefault="00C32CBD" w:rsidP="00320D09">
            <w:pPr>
              <w:rPr>
                <w:rFonts w:cs="Arial"/>
                <w:b/>
                <w:bCs/>
                <w:sz w:val="18"/>
                <w:szCs w:val="18"/>
              </w:rPr>
            </w:pPr>
            <w:r>
              <w:rPr>
                <w:rFonts w:cs="Arial"/>
                <w:b/>
                <w:bCs/>
                <w:sz w:val="18"/>
                <w:szCs w:val="18"/>
              </w:rPr>
              <w:t> </w:t>
            </w:r>
          </w:p>
        </w:tc>
      </w:tr>
      <w:tr w:rsidR="00C32CBD" w14:paraId="6A246D4C" w14:textId="77777777" w:rsidTr="00320D09">
        <w:trPr>
          <w:trHeight w:val="255"/>
        </w:trPr>
        <w:tc>
          <w:tcPr>
            <w:tcW w:w="6353" w:type="dxa"/>
            <w:tcBorders>
              <w:top w:val="nil"/>
              <w:left w:val="nil"/>
              <w:bottom w:val="nil"/>
              <w:right w:val="nil"/>
            </w:tcBorders>
            <w:shd w:val="clear" w:color="FFFFFF" w:fill="FFFFFF"/>
            <w:vAlign w:val="bottom"/>
            <w:hideMark/>
          </w:tcPr>
          <w:p w14:paraId="0EA19838" w14:textId="77777777" w:rsidR="00C32CBD" w:rsidRDefault="00C32CBD" w:rsidP="00320D09">
            <w:pPr>
              <w:rPr>
                <w:rFonts w:cs="Arial"/>
                <w:sz w:val="18"/>
                <w:szCs w:val="18"/>
              </w:rPr>
            </w:pPr>
            <w:r>
              <w:rPr>
                <w:rFonts w:cs="Arial"/>
                <w:sz w:val="18"/>
                <w:szCs w:val="18"/>
              </w:rPr>
              <w:t>Trade creditors and accruals</w:t>
            </w:r>
          </w:p>
        </w:tc>
        <w:tc>
          <w:tcPr>
            <w:tcW w:w="1249" w:type="dxa"/>
            <w:tcBorders>
              <w:top w:val="nil"/>
              <w:left w:val="nil"/>
              <w:bottom w:val="nil"/>
              <w:right w:val="nil"/>
            </w:tcBorders>
            <w:shd w:val="clear" w:color="FFFFFF" w:fill="FFFFFF"/>
            <w:noWrap/>
            <w:vAlign w:val="bottom"/>
            <w:hideMark/>
          </w:tcPr>
          <w:p w14:paraId="685944F4" w14:textId="77777777" w:rsidR="00C32CBD" w:rsidRDefault="00C32CBD" w:rsidP="00320D09">
            <w:pPr>
              <w:jc w:val="right"/>
              <w:rPr>
                <w:rFonts w:cs="Arial"/>
                <w:b/>
                <w:bCs/>
                <w:sz w:val="18"/>
                <w:szCs w:val="18"/>
              </w:rPr>
            </w:pPr>
            <w:r>
              <w:rPr>
                <w:rFonts w:cs="Arial"/>
                <w:b/>
                <w:bCs/>
                <w:sz w:val="18"/>
                <w:szCs w:val="18"/>
              </w:rPr>
              <w:t>105,961</w:t>
            </w:r>
          </w:p>
        </w:tc>
        <w:tc>
          <w:tcPr>
            <w:tcW w:w="236" w:type="dxa"/>
            <w:tcBorders>
              <w:top w:val="nil"/>
              <w:left w:val="nil"/>
              <w:bottom w:val="nil"/>
              <w:right w:val="nil"/>
            </w:tcBorders>
            <w:shd w:val="clear" w:color="FFFFFF" w:fill="FFFFFF"/>
            <w:noWrap/>
            <w:vAlign w:val="bottom"/>
            <w:hideMark/>
          </w:tcPr>
          <w:p w14:paraId="43B72FB7"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65AE489C" w14:textId="77777777" w:rsidR="00C32CBD" w:rsidRDefault="00C32CBD" w:rsidP="00320D09">
            <w:pPr>
              <w:jc w:val="right"/>
              <w:rPr>
                <w:rFonts w:cs="Arial"/>
                <w:sz w:val="18"/>
                <w:szCs w:val="18"/>
              </w:rPr>
            </w:pPr>
            <w:r>
              <w:rPr>
                <w:rFonts w:cs="Arial"/>
                <w:sz w:val="18"/>
                <w:szCs w:val="18"/>
              </w:rPr>
              <w:t>24,912</w:t>
            </w:r>
          </w:p>
        </w:tc>
      </w:tr>
      <w:tr w:rsidR="00C32CBD" w14:paraId="4AF2FECF" w14:textId="77777777" w:rsidTr="00320D09">
        <w:trPr>
          <w:trHeight w:val="255"/>
        </w:trPr>
        <w:tc>
          <w:tcPr>
            <w:tcW w:w="6353" w:type="dxa"/>
            <w:tcBorders>
              <w:top w:val="nil"/>
              <w:left w:val="nil"/>
              <w:bottom w:val="nil"/>
              <w:right w:val="nil"/>
            </w:tcBorders>
            <w:shd w:val="clear" w:color="FFFFFF" w:fill="FFFFFF"/>
            <w:vAlign w:val="bottom"/>
            <w:hideMark/>
          </w:tcPr>
          <w:p w14:paraId="1281FAA4" w14:textId="77777777" w:rsidR="00C32CBD" w:rsidRDefault="00C32CBD" w:rsidP="00320D09">
            <w:pPr>
              <w:rPr>
                <w:rFonts w:cs="Arial"/>
                <w:sz w:val="18"/>
                <w:szCs w:val="18"/>
              </w:rPr>
            </w:pPr>
            <w:r>
              <w:rPr>
                <w:rFonts w:cs="Arial"/>
                <w:sz w:val="18"/>
                <w:szCs w:val="18"/>
              </w:rPr>
              <w:t>Operating lease rentals</w:t>
            </w:r>
          </w:p>
        </w:tc>
        <w:tc>
          <w:tcPr>
            <w:tcW w:w="1249" w:type="dxa"/>
            <w:tcBorders>
              <w:top w:val="nil"/>
              <w:left w:val="nil"/>
              <w:bottom w:val="nil"/>
              <w:right w:val="nil"/>
            </w:tcBorders>
            <w:shd w:val="clear" w:color="FFFFFF" w:fill="FFFFFF"/>
            <w:noWrap/>
            <w:vAlign w:val="bottom"/>
            <w:hideMark/>
          </w:tcPr>
          <w:p w14:paraId="1F792CFD" w14:textId="77777777" w:rsidR="00C32CBD" w:rsidRDefault="00C32CBD" w:rsidP="00320D09">
            <w:pPr>
              <w:jc w:val="right"/>
              <w:rPr>
                <w:rFonts w:cs="Arial"/>
                <w:b/>
                <w:bCs/>
                <w:sz w:val="18"/>
                <w:szCs w:val="18"/>
              </w:rPr>
            </w:pPr>
            <w:r>
              <w:rPr>
                <w:rFonts w:cs="Arial"/>
                <w:b/>
                <w:bCs/>
                <w:sz w:val="18"/>
                <w:szCs w:val="18"/>
              </w:rPr>
              <w:t>831</w:t>
            </w:r>
          </w:p>
        </w:tc>
        <w:tc>
          <w:tcPr>
            <w:tcW w:w="236" w:type="dxa"/>
            <w:tcBorders>
              <w:top w:val="nil"/>
              <w:left w:val="nil"/>
              <w:bottom w:val="nil"/>
              <w:right w:val="nil"/>
            </w:tcBorders>
            <w:shd w:val="clear" w:color="FFFFFF" w:fill="FFFFFF"/>
            <w:noWrap/>
            <w:vAlign w:val="bottom"/>
            <w:hideMark/>
          </w:tcPr>
          <w:p w14:paraId="06BF9D5C"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000495C9" w14:textId="77777777" w:rsidR="00C32CBD" w:rsidRDefault="00C32CBD" w:rsidP="00320D09">
            <w:pPr>
              <w:jc w:val="right"/>
              <w:rPr>
                <w:rFonts w:cs="Arial"/>
                <w:sz w:val="18"/>
                <w:szCs w:val="18"/>
              </w:rPr>
            </w:pPr>
            <w:r>
              <w:rPr>
                <w:rFonts w:cs="Arial"/>
                <w:sz w:val="18"/>
                <w:szCs w:val="18"/>
              </w:rPr>
              <w:t>437</w:t>
            </w:r>
          </w:p>
        </w:tc>
      </w:tr>
      <w:tr w:rsidR="00C32CBD" w14:paraId="00E211F8" w14:textId="77777777" w:rsidTr="00320D09">
        <w:trPr>
          <w:trHeight w:val="255"/>
        </w:trPr>
        <w:tc>
          <w:tcPr>
            <w:tcW w:w="6353" w:type="dxa"/>
            <w:tcBorders>
              <w:top w:val="nil"/>
              <w:left w:val="nil"/>
              <w:bottom w:val="nil"/>
              <w:right w:val="nil"/>
            </w:tcBorders>
            <w:shd w:val="clear" w:color="FFFFFF" w:fill="FFFFFF"/>
            <w:vAlign w:val="bottom"/>
            <w:hideMark/>
          </w:tcPr>
          <w:p w14:paraId="67262D48" w14:textId="77777777" w:rsidR="00C32CBD" w:rsidRDefault="00C32CBD" w:rsidP="00320D09">
            <w:pPr>
              <w:rPr>
                <w:rFonts w:cs="Arial"/>
                <w:b/>
                <w:bCs/>
                <w:sz w:val="18"/>
                <w:szCs w:val="18"/>
              </w:rPr>
            </w:pPr>
            <w:r>
              <w:rPr>
                <w:rFonts w:cs="Arial"/>
                <w:b/>
                <w:bCs/>
                <w:sz w:val="18"/>
                <w:szCs w:val="18"/>
              </w:rPr>
              <w:t>Total suppliers</w:t>
            </w:r>
          </w:p>
        </w:tc>
        <w:tc>
          <w:tcPr>
            <w:tcW w:w="1249" w:type="dxa"/>
            <w:tcBorders>
              <w:top w:val="single" w:sz="4" w:space="0" w:color="auto"/>
              <w:left w:val="nil"/>
              <w:bottom w:val="single" w:sz="4" w:space="0" w:color="auto"/>
              <w:right w:val="nil"/>
            </w:tcBorders>
            <w:shd w:val="clear" w:color="FFFFFF" w:fill="FFFFFF"/>
            <w:noWrap/>
            <w:vAlign w:val="bottom"/>
            <w:hideMark/>
          </w:tcPr>
          <w:p w14:paraId="3EA401F1" w14:textId="77777777" w:rsidR="00C32CBD" w:rsidRDefault="00C32CBD" w:rsidP="00320D09">
            <w:pPr>
              <w:jc w:val="right"/>
              <w:rPr>
                <w:rFonts w:cs="Arial"/>
                <w:b/>
                <w:bCs/>
                <w:sz w:val="18"/>
                <w:szCs w:val="18"/>
              </w:rPr>
            </w:pPr>
            <w:r>
              <w:rPr>
                <w:rFonts w:cs="Arial"/>
                <w:b/>
                <w:bCs/>
                <w:sz w:val="18"/>
                <w:szCs w:val="18"/>
              </w:rPr>
              <w:t>106,792</w:t>
            </w:r>
          </w:p>
        </w:tc>
        <w:tc>
          <w:tcPr>
            <w:tcW w:w="236" w:type="dxa"/>
            <w:tcBorders>
              <w:top w:val="nil"/>
              <w:left w:val="nil"/>
              <w:bottom w:val="nil"/>
              <w:right w:val="nil"/>
            </w:tcBorders>
            <w:shd w:val="clear" w:color="FFFFFF" w:fill="FFFFFF"/>
            <w:noWrap/>
            <w:vAlign w:val="bottom"/>
            <w:hideMark/>
          </w:tcPr>
          <w:p w14:paraId="34EB4BC6" w14:textId="77777777" w:rsidR="00C32CBD" w:rsidRDefault="00C32CBD" w:rsidP="00320D09">
            <w:pPr>
              <w:rPr>
                <w:rFonts w:cs="Arial"/>
                <w:sz w:val="18"/>
                <w:szCs w:val="18"/>
              </w:rPr>
            </w:pPr>
            <w:r>
              <w:rPr>
                <w:rFonts w:cs="Arial"/>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41C6C0DF" w14:textId="77777777" w:rsidR="00C32CBD" w:rsidRDefault="00C32CBD" w:rsidP="00320D09">
            <w:pPr>
              <w:jc w:val="right"/>
              <w:rPr>
                <w:rFonts w:cs="Arial"/>
                <w:sz w:val="18"/>
                <w:szCs w:val="18"/>
              </w:rPr>
            </w:pPr>
            <w:r>
              <w:rPr>
                <w:rFonts w:cs="Arial"/>
                <w:sz w:val="18"/>
                <w:szCs w:val="18"/>
              </w:rPr>
              <w:t>25,349</w:t>
            </w:r>
          </w:p>
        </w:tc>
      </w:tr>
      <w:tr w:rsidR="00C32CBD" w14:paraId="2499FA9E" w14:textId="77777777" w:rsidTr="00320D09">
        <w:trPr>
          <w:trHeight w:val="255"/>
        </w:trPr>
        <w:tc>
          <w:tcPr>
            <w:tcW w:w="6353" w:type="dxa"/>
            <w:tcBorders>
              <w:top w:val="nil"/>
              <w:left w:val="nil"/>
              <w:bottom w:val="nil"/>
              <w:right w:val="nil"/>
            </w:tcBorders>
            <w:shd w:val="clear" w:color="FFFFFF" w:fill="FFFFFF"/>
            <w:noWrap/>
            <w:vAlign w:val="bottom"/>
            <w:hideMark/>
          </w:tcPr>
          <w:p w14:paraId="7BD7FA3B"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27A7B0E8" w14:textId="77777777" w:rsidR="00C32CBD" w:rsidRDefault="00C32CBD" w:rsidP="00320D09">
            <w:pPr>
              <w:rPr>
                <w:rFonts w:cs="Arial"/>
                <w:b/>
                <w:bCs/>
                <w:sz w:val="18"/>
                <w:szCs w:val="18"/>
              </w:rPr>
            </w:pPr>
            <w:r>
              <w:rPr>
                <w:rFonts w:cs="Arial"/>
                <w:b/>
                <w:bCs/>
                <w:sz w:val="18"/>
                <w:szCs w:val="18"/>
              </w:rPr>
              <w:t> </w:t>
            </w:r>
          </w:p>
        </w:tc>
        <w:tc>
          <w:tcPr>
            <w:tcW w:w="236" w:type="dxa"/>
            <w:tcBorders>
              <w:top w:val="nil"/>
              <w:left w:val="nil"/>
              <w:bottom w:val="nil"/>
              <w:right w:val="nil"/>
            </w:tcBorders>
            <w:shd w:val="clear" w:color="FFFFFF" w:fill="FFFFFF"/>
            <w:noWrap/>
            <w:vAlign w:val="bottom"/>
            <w:hideMark/>
          </w:tcPr>
          <w:p w14:paraId="673A82E1"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4ABBE055" w14:textId="77777777" w:rsidR="00C32CBD" w:rsidRDefault="00C32CBD" w:rsidP="00320D09">
            <w:pPr>
              <w:rPr>
                <w:rFonts w:cs="Arial"/>
                <w:sz w:val="18"/>
                <w:szCs w:val="18"/>
              </w:rPr>
            </w:pPr>
            <w:r>
              <w:rPr>
                <w:rFonts w:cs="Arial"/>
                <w:sz w:val="18"/>
                <w:szCs w:val="18"/>
              </w:rPr>
              <w:t> </w:t>
            </w:r>
          </w:p>
        </w:tc>
      </w:tr>
      <w:tr w:rsidR="00C32CBD" w14:paraId="6EEA148E" w14:textId="77777777" w:rsidTr="00320D09">
        <w:trPr>
          <w:trHeight w:val="255"/>
        </w:trPr>
        <w:tc>
          <w:tcPr>
            <w:tcW w:w="6353" w:type="dxa"/>
            <w:tcBorders>
              <w:top w:val="nil"/>
              <w:left w:val="nil"/>
              <w:bottom w:val="nil"/>
              <w:right w:val="nil"/>
            </w:tcBorders>
            <w:shd w:val="clear" w:color="FFFFFF" w:fill="FFFFFF"/>
            <w:noWrap/>
            <w:vAlign w:val="bottom"/>
            <w:hideMark/>
          </w:tcPr>
          <w:p w14:paraId="42303BCA" w14:textId="77777777" w:rsidR="00C32CBD" w:rsidRDefault="00C32CBD" w:rsidP="00320D09">
            <w:pPr>
              <w:rPr>
                <w:rFonts w:cs="Arial"/>
                <w:sz w:val="18"/>
                <w:szCs w:val="18"/>
              </w:rPr>
            </w:pPr>
            <w:r>
              <w:rPr>
                <w:rFonts w:cs="Arial"/>
                <w:sz w:val="18"/>
                <w:szCs w:val="18"/>
              </w:rPr>
              <w:t>Suppliers expected to be settled</w:t>
            </w:r>
          </w:p>
        </w:tc>
        <w:tc>
          <w:tcPr>
            <w:tcW w:w="1249" w:type="dxa"/>
            <w:tcBorders>
              <w:top w:val="nil"/>
              <w:left w:val="nil"/>
              <w:bottom w:val="nil"/>
              <w:right w:val="nil"/>
            </w:tcBorders>
            <w:shd w:val="clear" w:color="FFFFFF" w:fill="FFFFFF"/>
            <w:noWrap/>
            <w:vAlign w:val="bottom"/>
            <w:hideMark/>
          </w:tcPr>
          <w:p w14:paraId="4F729DA8" w14:textId="77777777" w:rsidR="00C32CBD" w:rsidRDefault="00C32CBD" w:rsidP="00320D09">
            <w:pPr>
              <w:rPr>
                <w:rFonts w:cs="Arial"/>
                <w:b/>
                <w:bCs/>
                <w:sz w:val="18"/>
                <w:szCs w:val="18"/>
              </w:rPr>
            </w:pPr>
            <w:r>
              <w:rPr>
                <w:rFonts w:cs="Arial"/>
                <w:b/>
                <w:bCs/>
                <w:sz w:val="18"/>
                <w:szCs w:val="18"/>
              </w:rPr>
              <w:t> </w:t>
            </w:r>
          </w:p>
        </w:tc>
        <w:tc>
          <w:tcPr>
            <w:tcW w:w="236" w:type="dxa"/>
            <w:tcBorders>
              <w:top w:val="nil"/>
              <w:left w:val="nil"/>
              <w:bottom w:val="nil"/>
              <w:right w:val="nil"/>
            </w:tcBorders>
            <w:shd w:val="clear" w:color="FFFFFF" w:fill="FFFFFF"/>
            <w:noWrap/>
            <w:vAlign w:val="bottom"/>
            <w:hideMark/>
          </w:tcPr>
          <w:p w14:paraId="7B1717BC"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3FF6821B" w14:textId="77777777" w:rsidR="00C32CBD" w:rsidRDefault="00C32CBD" w:rsidP="00320D09">
            <w:pPr>
              <w:rPr>
                <w:rFonts w:cs="Arial"/>
                <w:sz w:val="18"/>
                <w:szCs w:val="18"/>
              </w:rPr>
            </w:pPr>
            <w:r>
              <w:rPr>
                <w:rFonts w:cs="Arial"/>
                <w:sz w:val="18"/>
                <w:szCs w:val="18"/>
              </w:rPr>
              <w:t> </w:t>
            </w:r>
          </w:p>
        </w:tc>
      </w:tr>
      <w:tr w:rsidR="00C32CBD" w14:paraId="4FA71BF0" w14:textId="77777777" w:rsidTr="00320D09">
        <w:trPr>
          <w:trHeight w:val="255"/>
        </w:trPr>
        <w:tc>
          <w:tcPr>
            <w:tcW w:w="6353" w:type="dxa"/>
            <w:tcBorders>
              <w:top w:val="nil"/>
              <w:left w:val="nil"/>
              <w:bottom w:val="nil"/>
              <w:right w:val="nil"/>
            </w:tcBorders>
            <w:shd w:val="clear" w:color="FFFFFF" w:fill="FFFFFF"/>
            <w:noWrap/>
            <w:vAlign w:val="bottom"/>
            <w:hideMark/>
          </w:tcPr>
          <w:p w14:paraId="2523881E" w14:textId="77777777" w:rsidR="00C32CBD" w:rsidRDefault="00C32CBD" w:rsidP="00320D09">
            <w:pPr>
              <w:ind w:firstLineChars="100" w:firstLine="180"/>
              <w:rPr>
                <w:rFonts w:cs="Arial"/>
                <w:sz w:val="18"/>
                <w:szCs w:val="18"/>
              </w:rPr>
            </w:pPr>
            <w:r>
              <w:rPr>
                <w:rFonts w:cs="Arial"/>
                <w:sz w:val="18"/>
                <w:szCs w:val="18"/>
              </w:rPr>
              <w:t>No more than 12 months</w:t>
            </w:r>
          </w:p>
        </w:tc>
        <w:tc>
          <w:tcPr>
            <w:tcW w:w="1249" w:type="dxa"/>
            <w:tcBorders>
              <w:top w:val="nil"/>
              <w:left w:val="nil"/>
              <w:bottom w:val="nil"/>
              <w:right w:val="nil"/>
            </w:tcBorders>
            <w:shd w:val="clear" w:color="FFFFFF" w:fill="FFFFFF"/>
            <w:noWrap/>
            <w:vAlign w:val="bottom"/>
            <w:hideMark/>
          </w:tcPr>
          <w:p w14:paraId="5F29BC8A" w14:textId="77777777" w:rsidR="00C32CBD" w:rsidRDefault="00C32CBD" w:rsidP="00320D09">
            <w:pPr>
              <w:jc w:val="right"/>
              <w:rPr>
                <w:rFonts w:cs="Arial"/>
                <w:b/>
                <w:bCs/>
                <w:sz w:val="18"/>
                <w:szCs w:val="18"/>
              </w:rPr>
            </w:pPr>
            <w:r>
              <w:rPr>
                <w:rFonts w:cs="Arial"/>
                <w:b/>
                <w:bCs/>
                <w:sz w:val="18"/>
                <w:szCs w:val="18"/>
              </w:rPr>
              <w:t>106,402</w:t>
            </w:r>
          </w:p>
        </w:tc>
        <w:tc>
          <w:tcPr>
            <w:tcW w:w="236" w:type="dxa"/>
            <w:tcBorders>
              <w:top w:val="nil"/>
              <w:left w:val="nil"/>
              <w:bottom w:val="nil"/>
              <w:right w:val="nil"/>
            </w:tcBorders>
            <w:shd w:val="clear" w:color="FFFFFF" w:fill="FFFFFF"/>
            <w:noWrap/>
            <w:vAlign w:val="bottom"/>
            <w:hideMark/>
          </w:tcPr>
          <w:p w14:paraId="5F32EB93"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3F844064" w14:textId="77777777" w:rsidR="00C32CBD" w:rsidRDefault="00C32CBD" w:rsidP="00320D09">
            <w:pPr>
              <w:jc w:val="right"/>
              <w:rPr>
                <w:rFonts w:cs="Arial"/>
                <w:sz w:val="18"/>
                <w:szCs w:val="18"/>
              </w:rPr>
            </w:pPr>
            <w:r>
              <w:rPr>
                <w:rFonts w:cs="Arial"/>
                <w:sz w:val="18"/>
                <w:szCs w:val="18"/>
              </w:rPr>
              <w:t>25,000</w:t>
            </w:r>
          </w:p>
        </w:tc>
      </w:tr>
      <w:tr w:rsidR="00C32CBD" w14:paraId="124F2E9D" w14:textId="77777777" w:rsidTr="00320D09">
        <w:trPr>
          <w:trHeight w:val="255"/>
        </w:trPr>
        <w:tc>
          <w:tcPr>
            <w:tcW w:w="6353" w:type="dxa"/>
            <w:tcBorders>
              <w:top w:val="nil"/>
              <w:left w:val="nil"/>
              <w:bottom w:val="nil"/>
              <w:right w:val="nil"/>
            </w:tcBorders>
            <w:shd w:val="clear" w:color="FFFFFF" w:fill="FFFFFF"/>
            <w:noWrap/>
            <w:vAlign w:val="bottom"/>
            <w:hideMark/>
          </w:tcPr>
          <w:p w14:paraId="58E79755" w14:textId="77777777" w:rsidR="00C32CBD" w:rsidRDefault="00C32CBD" w:rsidP="00320D09">
            <w:pPr>
              <w:ind w:firstLineChars="100" w:firstLine="180"/>
              <w:rPr>
                <w:rFonts w:cs="Arial"/>
                <w:sz w:val="18"/>
                <w:szCs w:val="18"/>
              </w:rPr>
            </w:pPr>
            <w:r>
              <w:rPr>
                <w:rFonts w:cs="Arial"/>
                <w:sz w:val="18"/>
                <w:szCs w:val="18"/>
              </w:rPr>
              <w:t>More than 12 months</w:t>
            </w:r>
          </w:p>
        </w:tc>
        <w:tc>
          <w:tcPr>
            <w:tcW w:w="1249" w:type="dxa"/>
            <w:tcBorders>
              <w:top w:val="nil"/>
              <w:left w:val="nil"/>
              <w:bottom w:val="nil"/>
              <w:right w:val="nil"/>
            </w:tcBorders>
            <w:shd w:val="clear" w:color="FFFFFF" w:fill="FFFFFF"/>
            <w:noWrap/>
            <w:vAlign w:val="bottom"/>
            <w:hideMark/>
          </w:tcPr>
          <w:p w14:paraId="47A58D37" w14:textId="77777777" w:rsidR="00C32CBD" w:rsidRDefault="00C32CBD" w:rsidP="00320D09">
            <w:pPr>
              <w:jc w:val="right"/>
              <w:rPr>
                <w:rFonts w:cs="Arial"/>
                <w:b/>
                <w:bCs/>
                <w:sz w:val="18"/>
                <w:szCs w:val="18"/>
              </w:rPr>
            </w:pPr>
            <w:r>
              <w:rPr>
                <w:rFonts w:cs="Arial"/>
                <w:b/>
                <w:bCs/>
                <w:sz w:val="18"/>
                <w:szCs w:val="18"/>
              </w:rPr>
              <w:t>390</w:t>
            </w:r>
          </w:p>
        </w:tc>
        <w:tc>
          <w:tcPr>
            <w:tcW w:w="236" w:type="dxa"/>
            <w:tcBorders>
              <w:top w:val="nil"/>
              <w:left w:val="nil"/>
              <w:bottom w:val="nil"/>
              <w:right w:val="nil"/>
            </w:tcBorders>
            <w:shd w:val="clear" w:color="FFFFFF" w:fill="FFFFFF"/>
            <w:noWrap/>
            <w:vAlign w:val="bottom"/>
            <w:hideMark/>
          </w:tcPr>
          <w:p w14:paraId="3527620E"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42E97C37" w14:textId="77777777" w:rsidR="00C32CBD" w:rsidRDefault="00C32CBD" w:rsidP="00320D09">
            <w:pPr>
              <w:jc w:val="right"/>
              <w:rPr>
                <w:rFonts w:cs="Arial"/>
                <w:sz w:val="18"/>
                <w:szCs w:val="18"/>
              </w:rPr>
            </w:pPr>
            <w:r>
              <w:rPr>
                <w:rFonts w:cs="Arial"/>
                <w:sz w:val="18"/>
                <w:szCs w:val="18"/>
              </w:rPr>
              <w:t>349</w:t>
            </w:r>
          </w:p>
        </w:tc>
      </w:tr>
      <w:tr w:rsidR="00C32CBD" w14:paraId="56A5511D" w14:textId="77777777" w:rsidTr="00320D09">
        <w:trPr>
          <w:trHeight w:val="255"/>
        </w:trPr>
        <w:tc>
          <w:tcPr>
            <w:tcW w:w="6353" w:type="dxa"/>
            <w:tcBorders>
              <w:top w:val="nil"/>
              <w:left w:val="nil"/>
              <w:bottom w:val="nil"/>
              <w:right w:val="nil"/>
            </w:tcBorders>
            <w:shd w:val="clear" w:color="FFFFFF" w:fill="FFFFFF"/>
            <w:vAlign w:val="bottom"/>
            <w:hideMark/>
          </w:tcPr>
          <w:p w14:paraId="02BBEE58" w14:textId="77777777" w:rsidR="00C32CBD" w:rsidRDefault="00C32CBD" w:rsidP="00320D09">
            <w:pPr>
              <w:rPr>
                <w:rFonts w:cs="Arial"/>
                <w:b/>
                <w:bCs/>
                <w:sz w:val="18"/>
                <w:szCs w:val="18"/>
              </w:rPr>
            </w:pPr>
            <w:r>
              <w:rPr>
                <w:rFonts w:cs="Arial"/>
                <w:b/>
                <w:bCs/>
                <w:sz w:val="18"/>
                <w:szCs w:val="18"/>
              </w:rPr>
              <w:t>Total suppliers</w:t>
            </w:r>
          </w:p>
        </w:tc>
        <w:tc>
          <w:tcPr>
            <w:tcW w:w="1249" w:type="dxa"/>
            <w:tcBorders>
              <w:top w:val="single" w:sz="4" w:space="0" w:color="auto"/>
              <w:left w:val="nil"/>
              <w:bottom w:val="single" w:sz="4" w:space="0" w:color="auto"/>
              <w:right w:val="nil"/>
            </w:tcBorders>
            <w:shd w:val="clear" w:color="FFFFFF" w:fill="FFFFFF"/>
            <w:noWrap/>
            <w:vAlign w:val="bottom"/>
            <w:hideMark/>
          </w:tcPr>
          <w:p w14:paraId="7EB34702" w14:textId="77777777" w:rsidR="00C32CBD" w:rsidRDefault="00C32CBD" w:rsidP="00320D09">
            <w:pPr>
              <w:jc w:val="right"/>
              <w:rPr>
                <w:rFonts w:cs="Arial"/>
                <w:b/>
                <w:bCs/>
                <w:sz w:val="18"/>
                <w:szCs w:val="18"/>
              </w:rPr>
            </w:pPr>
            <w:r>
              <w:rPr>
                <w:rFonts w:cs="Arial"/>
                <w:b/>
                <w:bCs/>
                <w:sz w:val="18"/>
                <w:szCs w:val="18"/>
              </w:rPr>
              <w:t>106,792</w:t>
            </w:r>
          </w:p>
        </w:tc>
        <w:tc>
          <w:tcPr>
            <w:tcW w:w="236" w:type="dxa"/>
            <w:tcBorders>
              <w:top w:val="nil"/>
              <w:left w:val="nil"/>
              <w:bottom w:val="nil"/>
              <w:right w:val="nil"/>
            </w:tcBorders>
            <w:shd w:val="clear" w:color="FFFFFF" w:fill="FFFFFF"/>
            <w:noWrap/>
            <w:vAlign w:val="bottom"/>
            <w:hideMark/>
          </w:tcPr>
          <w:p w14:paraId="3EB81BE7" w14:textId="77777777" w:rsidR="00C32CBD" w:rsidRDefault="00C32CBD" w:rsidP="00320D09">
            <w:pPr>
              <w:rPr>
                <w:rFonts w:cs="Arial"/>
                <w:sz w:val="18"/>
                <w:szCs w:val="18"/>
              </w:rPr>
            </w:pPr>
            <w:r>
              <w:rPr>
                <w:rFonts w:cs="Arial"/>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3813475B" w14:textId="77777777" w:rsidR="00C32CBD" w:rsidRDefault="00C32CBD" w:rsidP="00320D09">
            <w:pPr>
              <w:jc w:val="right"/>
              <w:rPr>
                <w:rFonts w:cs="Arial"/>
                <w:sz w:val="18"/>
                <w:szCs w:val="18"/>
              </w:rPr>
            </w:pPr>
            <w:r>
              <w:rPr>
                <w:rFonts w:cs="Arial"/>
                <w:sz w:val="18"/>
                <w:szCs w:val="18"/>
              </w:rPr>
              <w:t>25,349</w:t>
            </w:r>
          </w:p>
        </w:tc>
      </w:tr>
    </w:tbl>
    <w:p w14:paraId="1F25A452" w14:textId="77777777" w:rsidR="00C32CBD" w:rsidRPr="005E5430" w:rsidRDefault="00C32CBD" w:rsidP="00C32CBD">
      <w:pPr>
        <w:pStyle w:val="ReferenceText"/>
      </w:pPr>
      <w:r w:rsidRPr="005E5430">
        <w:t>Settlement is usually made</w:t>
      </w:r>
      <w:r>
        <w:t xml:space="preserve"> for suppliers</w:t>
      </w:r>
      <w:r w:rsidRPr="005E5430">
        <w:t xml:space="preserve"> within 30 days.</w:t>
      </w:r>
    </w:p>
    <w:p w14:paraId="021DAF04" w14:textId="77777777" w:rsidR="00C32CBD" w:rsidRPr="005E5430" w:rsidRDefault="00C32CBD" w:rsidP="00C32CBD"/>
    <w:tbl>
      <w:tblPr>
        <w:tblW w:w="9087" w:type="dxa"/>
        <w:tblInd w:w="80" w:type="dxa"/>
        <w:tblLayout w:type="fixed"/>
        <w:tblLook w:val="04A0" w:firstRow="1" w:lastRow="0" w:firstColumn="1" w:lastColumn="0" w:noHBand="0" w:noVBand="1"/>
      </w:tblPr>
      <w:tblGrid>
        <w:gridCol w:w="6353"/>
        <w:gridCol w:w="1249"/>
        <w:gridCol w:w="236"/>
        <w:gridCol w:w="1249"/>
      </w:tblGrid>
      <w:tr w:rsidR="00C32CBD" w14:paraId="0EA81F41" w14:textId="77777777" w:rsidTr="00320D09">
        <w:trPr>
          <w:trHeight w:val="255"/>
        </w:trPr>
        <w:tc>
          <w:tcPr>
            <w:tcW w:w="6353" w:type="dxa"/>
            <w:tcBorders>
              <w:top w:val="nil"/>
              <w:left w:val="nil"/>
              <w:bottom w:val="nil"/>
              <w:right w:val="nil"/>
            </w:tcBorders>
            <w:shd w:val="clear" w:color="FFFFFF" w:fill="FFFFFF"/>
            <w:noWrap/>
            <w:vAlign w:val="bottom"/>
            <w:hideMark/>
          </w:tcPr>
          <w:p w14:paraId="47CFDC08" w14:textId="77777777" w:rsidR="00C32CBD" w:rsidRDefault="00C32CBD" w:rsidP="00320D09">
            <w:pPr>
              <w:rPr>
                <w:rFonts w:cs="Arial"/>
                <w:b/>
                <w:bCs/>
                <w:sz w:val="18"/>
                <w:szCs w:val="18"/>
                <w:u w:val="single"/>
              </w:rPr>
            </w:pPr>
            <w:bookmarkStart w:id="166" w:name="Note_OPBTABLE1" w:colFirst="0" w:colLast="0"/>
            <w:r>
              <w:rPr>
                <w:rFonts w:cs="Arial"/>
                <w:b/>
                <w:bCs/>
                <w:sz w:val="18"/>
                <w:szCs w:val="18"/>
                <w:u w:val="single"/>
              </w:rPr>
              <w:t>Note 2.3B: Other payables</w:t>
            </w:r>
          </w:p>
        </w:tc>
        <w:tc>
          <w:tcPr>
            <w:tcW w:w="1249" w:type="dxa"/>
            <w:tcBorders>
              <w:top w:val="nil"/>
              <w:left w:val="nil"/>
              <w:bottom w:val="nil"/>
              <w:right w:val="nil"/>
            </w:tcBorders>
            <w:shd w:val="clear" w:color="FFFFFF" w:fill="FFFFFF"/>
            <w:noWrap/>
            <w:vAlign w:val="bottom"/>
            <w:hideMark/>
          </w:tcPr>
          <w:p w14:paraId="0C3905DD"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02A2A96F"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354AB901" w14:textId="77777777" w:rsidR="00C32CBD" w:rsidRDefault="00C32CBD" w:rsidP="00320D09">
            <w:pPr>
              <w:rPr>
                <w:rFonts w:cs="Arial"/>
                <w:sz w:val="18"/>
                <w:szCs w:val="18"/>
              </w:rPr>
            </w:pPr>
            <w:r>
              <w:rPr>
                <w:rFonts w:cs="Arial"/>
                <w:sz w:val="18"/>
                <w:szCs w:val="18"/>
              </w:rPr>
              <w:t> </w:t>
            </w:r>
          </w:p>
        </w:tc>
      </w:tr>
      <w:bookmarkEnd w:id="166"/>
      <w:tr w:rsidR="00C32CBD" w14:paraId="695718D6" w14:textId="77777777" w:rsidTr="00320D09">
        <w:trPr>
          <w:trHeight w:val="255"/>
        </w:trPr>
        <w:tc>
          <w:tcPr>
            <w:tcW w:w="6353" w:type="dxa"/>
            <w:tcBorders>
              <w:top w:val="nil"/>
              <w:left w:val="nil"/>
              <w:bottom w:val="nil"/>
              <w:right w:val="nil"/>
            </w:tcBorders>
            <w:shd w:val="clear" w:color="FFFFFF" w:fill="FFFFFF"/>
            <w:vAlign w:val="bottom"/>
            <w:hideMark/>
          </w:tcPr>
          <w:p w14:paraId="62C3BA75" w14:textId="77777777" w:rsidR="00C32CBD" w:rsidRDefault="00C32CBD" w:rsidP="00320D09">
            <w:pPr>
              <w:rPr>
                <w:rFonts w:cs="Arial"/>
                <w:sz w:val="18"/>
                <w:szCs w:val="18"/>
              </w:rPr>
            </w:pPr>
            <w:r>
              <w:rPr>
                <w:rFonts w:cs="Arial"/>
                <w:sz w:val="18"/>
                <w:szCs w:val="18"/>
              </w:rPr>
              <w:t>Salaries and wages</w:t>
            </w:r>
          </w:p>
        </w:tc>
        <w:tc>
          <w:tcPr>
            <w:tcW w:w="1249" w:type="dxa"/>
            <w:tcBorders>
              <w:top w:val="nil"/>
              <w:left w:val="nil"/>
              <w:bottom w:val="nil"/>
              <w:right w:val="nil"/>
            </w:tcBorders>
            <w:shd w:val="clear" w:color="FFFFFF" w:fill="FFFFFF"/>
            <w:noWrap/>
            <w:vAlign w:val="bottom"/>
            <w:hideMark/>
          </w:tcPr>
          <w:p w14:paraId="09D4FD0A" w14:textId="77777777" w:rsidR="00C32CBD" w:rsidRDefault="00C32CBD" w:rsidP="00320D09">
            <w:pPr>
              <w:jc w:val="right"/>
              <w:rPr>
                <w:rFonts w:cs="Arial"/>
                <w:b/>
                <w:bCs/>
                <w:sz w:val="18"/>
                <w:szCs w:val="18"/>
              </w:rPr>
            </w:pPr>
            <w:r>
              <w:rPr>
                <w:rFonts w:cs="Arial"/>
                <w:b/>
                <w:bCs/>
                <w:sz w:val="18"/>
                <w:szCs w:val="18"/>
              </w:rPr>
              <w:t>1,255</w:t>
            </w:r>
          </w:p>
        </w:tc>
        <w:tc>
          <w:tcPr>
            <w:tcW w:w="236" w:type="dxa"/>
            <w:tcBorders>
              <w:top w:val="nil"/>
              <w:left w:val="nil"/>
              <w:bottom w:val="nil"/>
              <w:right w:val="nil"/>
            </w:tcBorders>
            <w:shd w:val="clear" w:color="FFFFFF" w:fill="FFFFFF"/>
            <w:noWrap/>
            <w:vAlign w:val="bottom"/>
            <w:hideMark/>
          </w:tcPr>
          <w:p w14:paraId="4AFC16A3"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43FD5949" w14:textId="77777777" w:rsidR="00C32CBD" w:rsidRDefault="00C32CBD" w:rsidP="00320D09">
            <w:pPr>
              <w:jc w:val="right"/>
              <w:rPr>
                <w:rFonts w:cs="Arial"/>
                <w:sz w:val="18"/>
                <w:szCs w:val="18"/>
              </w:rPr>
            </w:pPr>
            <w:r>
              <w:rPr>
                <w:rFonts w:cs="Arial"/>
                <w:sz w:val="18"/>
                <w:szCs w:val="18"/>
              </w:rPr>
              <w:t>471</w:t>
            </w:r>
          </w:p>
        </w:tc>
      </w:tr>
      <w:tr w:rsidR="00C32CBD" w14:paraId="6FD2D050" w14:textId="77777777" w:rsidTr="00320D09">
        <w:trPr>
          <w:trHeight w:val="255"/>
        </w:trPr>
        <w:tc>
          <w:tcPr>
            <w:tcW w:w="6353" w:type="dxa"/>
            <w:tcBorders>
              <w:top w:val="nil"/>
              <w:left w:val="nil"/>
              <w:bottom w:val="nil"/>
              <w:right w:val="nil"/>
            </w:tcBorders>
            <w:shd w:val="clear" w:color="FFFFFF" w:fill="FFFFFF"/>
            <w:vAlign w:val="bottom"/>
            <w:hideMark/>
          </w:tcPr>
          <w:p w14:paraId="4D60C958" w14:textId="77777777" w:rsidR="00C32CBD" w:rsidRDefault="00C32CBD" w:rsidP="00320D09">
            <w:pPr>
              <w:rPr>
                <w:rFonts w:cs="Arial"/>
                <w:sz w:val="18"/>
                <w:szCs w:val="18"/>
              </w:rPr>
            </w:pPr>
            <w:r>
              <w:rPr>
                <w:rFonts w:cs="Arial"/>
                <w:sz w:val="18"/>
                <w:szCs w:val="18"/>
              </w:rPr>
              <w:t>Superannuation</w:t>
            </w:r>
          </w:p>
        </w:tc>
        <w:tc>
          <w:tcPr>
            <w:tcW w:w="1249" w:type="dxa"/>
            <w:tcBorders>
              <w:top w:val="nil"/>
              <w:left w:val="nil"/>
              <w:bottom w:val="nil"/>
              <w:right w:val="nil"/>
            </w:tcBorders>
            <w:shd w:val="clear" w:color="FFFFFF" w:fill="FFFFFF"/>
            <w:noWrap/>
            <w:vAlign w:val="bottom"/>
            <w:hideMark/>
          </w:tcPr>
          <w:p w14:paraId="15191BA0" w14:textId="77777777" w:rsidR="00C32CBD" w:rsidRDefault="00C32CBD" w:rsidP="00320D09">
            <w:pPr>
              <w:jc w:val="right"/>
              <w:rPr>
                <w:rFonts w:cs="Arial"/>
                <w:b/>
                <w:bCs/>
                <w:sz w:val="18"/>
                <w:szCs w:val="18"/>
              </w:rPr>
            </w:pPr>
            <w:r>
              <w:rPr>
                <w:rFonts w:cs="Arial"/>
                <w:b/>
                <w:bCs/>
                <w:sz w:val="18"/>
                <w:szCs w:val="18"/>
              </w:rPr>
              <w:t>189</w:t>
            </w:r>
          </w:p>
        </w:tc>
        <w:tc>
          <w:tcPr>
            <w:tcW w:w="236" w:type="dxa"/>
            <w:tcBorders>
              <w:top w:val="nil"/>
              <w:left w:val="nil"/>
              <w:bottom w:val="nil"/>
              <w:right w:val="nil"/>
            </w:tcBorders>
            <w:shd w:val="clear" w:color="FFFFFF" w:fill="FFFFFF"/>
            <w:noWrap/>
            <w:vAlign w:val="bottom"/>
            <w:hideMark/>
          </w:tcPr>
          <w:p w14:paraId="7F4576C1"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26E9BBB5" w14:textId="77777777" w:rsidR="00C32CBD" w:rsidRDefault="00C32CBD" w:rsidP="00320D09">
            <w:pPr>
              <w:jc w:val="right"/>
              <w:rPr>
                <w:rFonts w:cs="Arial"/>
                <w:sz w:val="18"/>
                <w:szCs w:val="18"/>
              </w:rPr>
            </w:pPr>
            <w:r>
              <w:rPr>
                <w:rFonts w:cs="Arial"/>
                <w:sz w:val="18"/>
                <w:szCs w:val="18"/>
              </w:rPr>
              <w:t>75</w:t>
            </w:r>
          </w:p>
        </w:tc>
      </w:tr>
      <w:tr w:rsidR="00C32CBD" w14:paraId="5AE8DC84" w14:textId="77777777" w:rsidTr="00320D09">
        <w:trPr>
          <w:trHeight w:val="255"/>
        </w:trPr>
        <w:tc>
          <w:tcPr>
            <w:tcW w:w="6353" w:type="dxa"/>
            <w:tcBorders>
              <w:top w:val="nil"/>
              <w:left w:val="nil"/>
              <w:bottom w:val="nil"/>
              <w:right w:val="nil"/>
            </w:tcBorders>
            <w:shd w:val="clear" w:color="FFFFFF" w:fill="FFFFFF"/>
            <w:vAlign w:val="bottom"/>
            <w:hideMark/>
          </w:tcPr>
          <w:p w14:paraId="058E8ACC" w14:textId="77777777" w:rsidR="00C32CBD" w:rsidRDefault="00C32CBD" w:rsidP="00320D09">
            <w:pPr>
              <w:rPr>
                <w:rFonts w:cs="Arial"/>
                <w:sz w:val="18"/>
                <w:szCs w:val="18"/>
              </w:rPr>
            </w:pPr>
            <w:r>
              <w:rPr>
                <w:rFonts w:cs="Arial"/>
                <w:sz w:val="18"/>
                <w:szCs w:val="18"/>
              </w:rPr>
              <w:t>Lease incentives</w:t>
            </w:r>
          </w:p>
        </w:tc>
        <w:tc>
          <w:tcPr>
            <w:tcW w:w="1249" w:type="dxa"/>
            <w:tcBorders>
              <w:top w:val="nil"/>
              <w:left w:val="nil"/>
              <w:bottom w:val="nil"/>
              <w:right w:val="nil"/>
            </w:tcBorders>
            <w:shd w:val="clear" w:color="FFFFFF" w:fill="FFFFFF"/>
            <w:noWrap/>
            <w:vAlign w:val="bottom"/>
            <w:hideMark/>
          </w:tcPr>
          <w:p w14:paraId="486F5FCB" w14:textId="77777777" w:rsidR="00C32CBD" w:rsidRDefault="00C32CBD" w:rsidP="00320D09">
            <w:pPr>
              <w:jc w:val="right"/>
              <w:rPr>
                <w:rFonts w:cs="Arial"/>
                <w:b/>
                <w:bCs/>
                <w:sz w:val="18"/>
                <w:szCs w:val="18"/>
              </w:rPr>
            </w:pPr>
            <w:r>
              <w:rPr>
                <w:rFonts w:cs="Arial"/>
                <w:b/>
                <w:bCs/>
                <w:sz w:val="18"/>
                <w:szCs w:val="18"/>
              </w:rPr>
              <w:t>2,717</w:t>
            </w:r>
          </w:p>
        </w:tc>
        <w:tc>
          <w:tcPr>
            <w:tcW w:w="236" w:type="dxa"/>
            <w:tcBorders>
              <w:top w:val="nil"/>
              <w:left w:val="nil"/>
              <w:bottom w:val="nil"/>
              <w:right w:val="nil"/>
            </w:tcBorders>
            <w:shd w:val="clear" w:color="FFFFFF" w:fill="FFFFFF"/>
            <w:noWrap/>
            <w:vAlign w:val="bottom"/>
            <w:hideMark/>
          </w:tcPr>
          <w:p w14:paraId="73BAC49C"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5F159B04" w14:textId="77777777" w:rsidR="00C32CBD" w:rsidRDefault="00C32CBD" w:rsidP="00320D09">
            <w:pPr>
              <w:jc w:val="right"/>
              <w:rPr>
                <w:rFonts w:cs="Arial"/>
                <w:sz w:val="18"/>
                <w:szCs w:val="18"/>
              </w:rPr>
            </w:pPr>
            <w:r>
              <w:rPr>
                <w:rFonts w:cs="Arial"/>
                <w:sz w:val="18"/>
                <w:szCs w:val="18"/>
              </w:rPr>
              <w:t>2,065</w:t>
            </w:r>
          </w:p>
        </w:tc>
      </w:tr>
      <w:tr w:rsidR="00C32CBD" w14:paraId="0B5061B2" w14:textId="77777777" w:rsidTr="00320D09">
        <w:trPr>
          <w:trHeight w:val="255"/>
        </w:trPr>
        <w:tc>
          <w:tcPr>
            <w:tcW w:w="6353" w:type="dxa"/>
            <w:tcBorders>
              <w:top w:val="nil"/>
              <w:left w:val="nil"/>
              <w:bottom w:val="nil"/>
              <w:right w:val="nil"/>
            </w:tcBorders>
            <w:shd w:val="clear" w:color="FFFFFF" w:fill="FFFFFF"/>
            <w:vAlign w:val="bottom"/>
            <w:hideMark/>
          </w:tcPr>
          <w:p w14:paraId="32609BA8" w14:textId="77777777" w:rsidR="00C32CBD" w:rsidRDefault="00C32CBD" w:rsidP="00320D09">
            <w:pPr>
              <w:rPr>
                <w:rFonts w:cs="Arial"/>
                <w:sz w:val="18"/>
                <w:szCs w:val="18"/>
              </w:rPr>
            </w:pPr>
            <w:r>
              <w:rPr>
                <w:rFonts w:cs="Arial"/>
                <w:sz w:val="18"/>
                <w:szCs w:val="18"/>
              </w:rPr>
              <w:t>Other</w:t>
            </w:r>
          </w:p>
        </w:tc>
        <w:tc>
          <w:tcPr>
            <w:tcW w:w="1249" w:type="dxa"/>
            <w:tcBorders>
              <w:top w:val="nil"/>
              <w:left w:val="nil"/>
              <w:bottom w:val="nil"/>
              <w:right w:val="nil"/>
            </w:tcBorders>
            <w:shd w:val="clear" w:color="FFFFFF" w:fill="FFFFFF"/>
            <w:noWrap/>
            <w:vAlign w:val="bottom"/>
            <w:hideMark/>
          </w:tcPr>
          <w:p w14:paraId="3F403E7E" w14:textId="77777777" w:rsidR="00C32CBD" w:rsidRDefault="00C32CBD" w:rsidP="00320D09">
            <w:pPr>
              <w:jc w:val="right"/>
              <w:rPr>
                <w:rFonts w:cs="Arial"/>
                <w:b/>
                <w:bCs/>
                <w:sz w:val="18"/>
                <w:szCs w:val="18"/>
              </w:rPr>
            </w:pPr>
            <w:r>
              <w:rPr>
                <w:rFonts w:cs="Arial"/>
                <w:b/>
                <w:bCs/>
                <w:sz w:val="18"/>
                <w:szCs w:val="18"/>
              </w:rPr>
              <w:t>72</w:t>
            </w:r>
          </w:p>
        </w:tc>
        <w:tc>
          <w:tcPr>
            <w:tcW w:w="236" w:type="dxa"/>
            <w:tcBorders>
              <w:top w:val="nil"/>
              <w:left w:val="nil"/>
              <w:bottom w:val="nil"/>
              <w:right w:val="nil"/>
            </w:tcBorders>
            <w:shd w:val="clear" w:color="FFFFFF" w:fill="FFFFFF"/>
            <w:noWrap/>
            <w:vAlign w:val="bottom"/>
            <w:hideMark/>
          </w:tcPr>
          <w:p w14:paraId="1EAA4609"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054D8E15" w14:textId="77777777" w:rsidR="00C32CBD" w:rsidRDefault="00C32CBD" w:rsidP="00320D09">
            <w:pPr>
              <w:jc w:val="right"/>
              <w:rPr>
                <w:rFonts w:cs="Arial"/>
                <w:sz w:val="18"/>
                <w:szCs w:val="18"/>
              </w:rPr>
            </w:pPr>
            <w:r>
              <w:rPr>
                <w:rFonts w:cs="Arial"/>
                <w:sz w:val="18"/>
                <w:szCs w:val="18"/>
              </w:rPr>
              <w:t>-</w:t>
            </w:r>
          </w:p>
        </w:tc>
      </w:tr>
      <w:tr w:rsidR="00C32CBD" w14:paraId="2846BCB2" w14:textId="77777777" w:rsidTr="00320D09">
        <w:trPr>
          <w:trHeight w:val="255"/>
        </w:trPr>
        <w:tc>
          <w:tcPr>
            <w:tcW w:w="6353" w:type="dxa"/>
            <w:tcBorders>
              <w:top w:val="nil"/>
              <w:left w:val="nil"/>
              <w:bottom w:val="nil"/>
              <w:right w:val="nil"/>
            </w:tcBorders>
            <w:shd w:val="clear" w:color="FFFFFF" w:fill="FFFFFF"/>
            <w:vAlign w:val="bottom"/>
            <w:hideMark/>
          </w:tcPr>
          <w:p w14:paraId="25C0A7A2" w14:textId="77777777" w:rsidR="00C32CBD" w:rsidRDefault="00C32CBD" w:rsidP="00320D09">
            <w:pPr>
              <w:rPr>
                <w:rFonts w:cs="Arial"/>
                <w:b/>
                <w:bCs/>
                <w:sz w:val="18"/>
                <w:szCs w:val="18"/>
              </w:rPr>
            </w:pPr>
            <w:r>
              <w:rPr>
                <w:rFonts w:cs="Arial"/>
                <w:b/>
                <w:bCs/>
                <w:sz w:val="18"/>
                <w:szCs w:val="18"/>
              </w:rPr>
              <w:t xml:space="preserve">Total other payables </w:t>
            </w:r>
          </w:p>
        </w:tc>
        <w:tc>
          <w:tcPr>
            <w:tcW w:w="1249" w:type="dxa"/>
            <w:tcBorders>
              <w:top w:val="single" w:sz="4" w:space="0" w:color="auto"/>
              <w:left w:val="nil"/>
              <w:bottom w:val="single" w:sz="4" w:space="0" w:color="auto"/>
              <w:right w:val="nil"/>
            </w:tcBorders>
            <w:shd w:val="clear" w:color="FFFFFF" w:fill="FFFFFF"/>
            <w:noWrap/>
            <w:vAlign w:val="bottom"/>
            <w:hideMark/>
          </w:tcPr>
          <w:p w14:paraId="6AEBADA4" w14:textId="77777777" w:rsidR="00C32CBD" w:rsidRDefault="00C32CBD" w:rsidP="00320D09">
            <w:pPr>
              <w:jc w:val="right"/>
              <w:rPr>
                <w:rFonts w:cs="Arial"/>
                <w:b/>
                <w:bCs/>
                <w:sz w:val="18"/>
                <w:szCs w:val="18"/>
              </w:rPr>
            </w:pPr>
            <w:r>
              <w:rPr>
                <w:rFonts w:cs="Arial"/>
                <w:b/>
                <w:bCs/>
                <w:sz w:val="18"/>
                <w:szCs w:val="18"/>
              </w:rPr>
              <w:t>4,233</w:t>
            </w:r>
          </w:p>
        </w:tc>
        <w:tc>
          <w:tcPr>
            <w:tcW w:w="236" w:type="dxa"/>
            <w:tcBorders>
              <w:top w:val="nil"/>
              <w:left w:val="nil"/>
              <w:bottom w:val="nil"/>
              <w:right w:val="nil"/>
            </w:tcBorders>
            <w:shd w:val="clear" w:color="FFFFFF" w:fill="FFFFFF"/>
            <w:noWrap/>
            <w:vAlign w:val="bottom"/>
            <w:hideMark/>
          </w:tcPr>
          <w:p w14:paraId="6E716AD4" w14:textId="77777777" w:rsidR="00C32CBD" w:rsidRDefault="00C32CBD" w:rsidP="00320D09">
            <w:pPr>
              <w:rPr>
                <w:rFonts w:cs="Arial"/>
                <w:sz w:val="18"/>
                <w:szCs w:val="18"/>
              </w:rPr>
            </w:pPr>
            <w:r>
              <w:rPr>
                <w:rFonts w:cs="Arial"/>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101C49C5" w14:textId="77777777" w:rsidR="00C32CBD" w:rsidRDefault="00C32CBD" w:rsidP="00320D09">
            <w:pPr>
              <w:jc w:val="right"/>
              <w:rPr>
                <w:rFonts w:cs="Arial"/>
                <w:sz w:val="18"/>
                <w:szCs w:val="18"/>
              </w:rPr>
            </w:pPr>
            <w:r>
              <w:rPr>
                <w:rFonts w:cs="Arial"/>
                <w:sz w:val="18"/>
                <w:szCs w:val="18"/>
              </w:rPr>
              <w:t>2,611</w:t>
            </w:r>
          </w:p>
        </w:tc>
      </w:tr>
      <w:tr w:rsidR="00C32CBD" w14:paraId="79B9049C" w14:textId="77777777" w:rsidTr="00320D09">
        <w:trPr>
          <w:trHeight w:val="255"/>
        </w:trPr>
        <w:tc>
          <w:tcPr>
            <w:tcW w:w="6353" w:type="dxa"/>
            <w:tcBorders>
              <w:top w:val="nil"/>
              <w:left w:val="nil"/>
              <w:bottom w:val="nil"/>
              <w:right w:val="nil"/>
            </w:tcBorders>
            <w:shd w:val="clear" w:color="FFFFFF" w:fill="FFFFFF"/>
            <w:noWrap/>
            <w:vAlign w:val="bottom"/>
            <w:hideMark/>
          </w:tcPr>
          <w:p w14:paraId="3CC1BFFF" w14:textId="77777777" w:rsidR="00C32CBD" w:rsidRDefault="00C32CBD" w:rsidP="00320D09">
            <w:pPr>
              <w:rPr>
                <w:rFonts w:cs="Arial"/>
                <w:b/>
                <w:bCs/>
                <w:sz w:val="18"/>
                <w:szCs w:val="18"/>
              </w:rPr>
            </w:pPr>
            <w:r>
              <w:rPr>
                <w:rFonts w:cs="Arial"/>
                <w:b/>
                <w:bCs/>
                <w:sz w:val="18"/>
                <w:szCs w:val="18"/>
              </w:rPr>
              <w:t> </w:t>
            </w:r>
          </w:p>
        </w:tc>
        <w:tc>
          <w:tcPr>
            <w:tcW w:w="1249" w:type="dxa"/>
            <w:tcBorders>
              <w:top w:val="nil"/>
              <w:left w:val="nil"/>
              <w:bottom w:val="nil"/>
              <w:right w:val="nil"/>
            </w:tcBorders>
            <w:shd w:val="clear" w:color="FFFFFF" w:fill="FFFFFF"/>
            <w:noWrap/>
            <w:vAlign w:val="bottom"/>
            <w:hideMark/>
          </w:tcPr>
          <w:p w14:paraId="6FEF707A"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4FBAE62A"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501CBE30" w14:textId="77777777" w:rsidR="00C32CBD" w:rsidRDefault="00C32CBD" w:rsidP="00320D09">
            <w:pPr>
              <w:rPr>
                <w:rFonts w:cs="Arial"/>
                <w:sz w:val="18"/>
                <w:szCs w:val="18"/>
              </w:rPr>
            </w:pPr>
            <w:r>
              <w:rPr>
                <w:rFonts w:cs="Arial"/>
                <w:sz w:val="18"/>
                <w:szCs w:val="18"/>
              </w:rPr>
              <w:t> </w:t>
            </w:r>
          </w:p>
        </w:tc>
      </w:tr>
      <w:tr w:rsidR="00C32CBD" w14:paraId="736D3CBF" w14:textId="77777777" w:rsidTr="00320D09">
        <w:trPr>
          <w:trHeight w:val="255"/>
        </w:trPr>
        <w:tc>
          <w:tcPr>
            <w:tcW w:w="6353" w:type="dxa"/>
            <w:tcBorders>
              <w:top w:val="nil"/>
              <w:left w:val="nil"/>
              <w:bottom w:val="nil"/>
              <w:right w:val="nil"/>
            </w:tcBorders>
            <w:shd w:val="clear" w:color="FFFFFF" w:fill="FFFFFF"/>
            <w:vAlign w:val="bottom"/>
            <w:hideMark/>
          </w:tcPr>
          <w:p w14:paraId="49F2D852" w14:textId="77777777" w:rsidR="00C32CBD" w:rsidRDefault="00C32CBD" w:rsidP="00320D09">
            <w:pPr>
              <w:rPr>
                <w:rFonts w:cs="Arial"/>
                <w:sz w:val="18"/>
                <w:szCs w:val="18"/>
              </w:rPr>
            </w:pPr>
            <w:r>
              <w:rPr>
                <w:rFonts w:cs="Arial"/>
                <w:sz w:val="18"/>
                <w:szCs w:val="18"/>
              </w:rPr>
              <w:t>Other payables expected to be settled</w:t>
            </w:r>
          </w:p>
        </w:tc>
        <w:tc>
          <w:tcPr>
            <w:tcW w:w="1249" w:type="dxa"/>
            <w:tcBorders>
              <w:top w:val="nil"/>
              <w:left w:val="nil"/>
              <w:bottom w:val="nil"/>
              <w:right w:val="nil"/>
            </w:tcBorders>
            <w:shd w:val="clear" w:color="FFFFFF" w:fill="FFFFFF"/>
            <w:noWrap/>
            <w:vAlign w:val="bottom"/>
            <w:hideMark/>
          </w:tcPr>
          <w:p w14:paraId="0461A12D"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3070F797"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78D73731" w14:textId="77777777" w:rsidR="00C32CBD" w:rsidRDefault="00C32CBD" w:rsidP="00320D09">
            <w:pPr>
              <w:rPr>
                <w:rFonts w:cs="Arial"/>
                <w:sz w:val="18"/>
                <w:szCs w:val="18"/>
              </w:rPr>
            </w:pPr>
            <w:r>
              <w:rPr>
                <w:rFonts w:cs="Arial"/>
                <w:sz w:val="18"/>
                <w:szCs w:val="18"/>
              </w:rPr>
              <w:t> </w:t>
            </w:r>
          </w:p>
        </w:tc>
      </w:tr>
      <w:tr w:rsidR="00C32CBD" w14:paraId="401EE8BC" w14:textId="77777777" w:rsidTr="00320D09">
        <w:trPr>
          <w:trHeight w:val="255"/>
        </w:trPr>
        <w:tc>
          <w:tcPr>
            <w:tcW w:w="6353" w:type="dxa"/>
            <w:tcBorders>
              <w:top w:val="nil"/>
              <w:left w:val="nil"/>
              <w:bottom w:val="nil"/>
              <w:right w:val="nil"/>
            </w:tcBorders>
            <w:shd w:val="clear" w:color="FFFFFF" w:fill="FFFFFF"/>
            <w:noWrap/>
            <w:vAlign w:val="bottom"/>
            <w:hideMark/>
          </w:tcPr>
          <w:p w14:paraId="40C06598" w14:textId="77777777" w:rsidR="00C32CBD" w:rsidRDefault="00C32CBD" w:rsidP="00320D09">
            <w:pPr>
              <w:ind w:firstLineChars="100" w:firstLine="180"/>
              <w:rPr>
                <w:rFonts w:cs="Arial"/>
                <w:sz w:val="18"/>
                <w:szCs w:val="18"/>
              </w:rPr>
            </w:pPr>
            <w:r>
              <w:rPr>
                <w:rFonts w:cs="Arial"/>
                <w:sz w:val="18"/>
                <w:szCs w:val="18"/>
              </w:rPr>
              <w:t>No more than 12 months</w:t>
            </w:r>
          </w:p>
        </w:tc>
        <w:tc>
          <w:tcPr>
            <w:tcW w:w="1249" w:type="dxa"/>
            <w:tcBorders>
              <w:top w:val="nil"/>
              <w:left w:val="nil"/>
              <w:bottom w:val="nil"/>
              <w:right w:val="nil"/>
            </w:tcBorders>
            <w:shd w:val="clear" w:color="FFFFFF" w:fill="FFFFFF"/>
            <w:noWrap/>
            <w:vAlign w:val="bottom"/>
            <w:hideMark/>
          </w:tcPr>
          <w:p w14:paraId="30065BF3" w14:textId="77777777" w:rsidR="00C32CBD" w:rsidRDefault="00C32CBD" w:rsidP="00320D09">
            <w:pPr>
              <w:jc w:val="right"/>
              <w:rPr>
                <w:rFonts w:cs="Arial"/>
                <w:b/>
                <w:bCs/>
                <w:sz w:val="18"/>
                <w:szCs w:val="18"/>
              </w:rPr>
            </w:pPr>
            <w:r>
              <w:rPr>
                <w:rFonts w:cs="Arial"/>
                <w:b/>
                <w:bCs/>
                <w:sz w:val="18"/>
                <w:szCs w:val="18"/>
              </w:rPr>
              <w:t>1,985</w:t>
            </w:r>
          </w:p>
        </w:tc>
        <w:tc>
          <w:tcPr>
            <w:tcW w:w="236" w:type="dxa"/>
            <w:tcBorders>
              <w:top w:val="nil"/>
              <w:left w:val="nil"/>
              <w:bottom w:val="nil"/>
              <w:right w:val="nil"/>
            </w:tcBorders>
            <w:shd w:val="clear" w:color="FFFFFF" w:fill="FFFFFF"/>
            <w:noWrap/>
            <w:vAlign w:val="bottom"/>
            <w:hideMark/>
          </w:tcPr>
          <w:p w14:paraId="7F024A0C"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15DFA739" w14:textId="77777777" w:rsidR="00C32CBD" w:rsidRDefault="00C32CBD" w:rsidP="00320D09">
            <w:pPr>
              <w:jc w:val="right"/>
              <w:rPr>
                <w:rFonts w:cs="Arial"/>
                <w:sz w:val="18"/>
                <w:szCs w:val="18"/>
              </w:rPr>
            </w:pPr>
            <w:r>
              <w:rPr>
                <w:rFonts w:cs="Arial"/>
                <w:sz w:val="18"/>
                <w:szCs w:val="18"/>
              </w:rPr>
              <w:t>883</w:t>
            </w:r>
          </w:p>
        </w:tc>
      </w:tr>
      <w:tr w:rsidR="00C32CBD" w14:paraId="160B31F9" w14:textId="77777777" w:rsidTr="00320D09">
        <w:trPr>
          <w:trHeight w:val="255"/>
        </w:trPr>
        <w:tc>
          <w:tcPr>
            <w:tcW w:w="6353" w:type="dxa"/>
            <w:tcBorders>
              <w:top w:val="nil"/>
              <w:left w:val="nil"/>
              <w:bottom w:val="nil"/>
              <w:right w:val="nil"/>
            </w:tcBorders>
            <w:shd w:val="clear" w:color="FFFFFF" w:fill="FFFFFF"/>
            <w:noWrap/>
            <w:vAlign w:val="bottom"/>
            <w:hideMark/>
          </w:tcPr>
          <w:p w14:paraId="7CD34285" w14:textId="77777777" w:rsidR="00C32CBD" w:rsidRDefault="00C32CBD" w:rsidP="00320D09">
            <w:pPr>
              <w:ind w:firstLineChars="100" w:firstLine="180"/>
              <w:rPr>
                <w:rFonts w:cs="Arial"/>
                <w:sz w:val="18"/>
                <w:szCs w:val="18"/>
              </w:rPr>
            </w:pPr>
            <w:r>
              <w:rPr>
                <w:rFonts w:cs="Arial"/>
                <w:sz w:val="18"/>
                <w:szCs w:val="18"/>
              </w:rPr>
              <w:t>More than 12 months</w:t>
            </w:r>
          </w:p>
        </w:tc>
        <w:tc>
          <w:tcPr>
            <w:tcW w:w="1249" w:type="dxa"/>
            <w:tcBorders>
              <w:top w:val="nil"/>
              <w:left w:val="nil"/>
              <w:bottom w:val="nil"/>
              <w:right w:val="nil"/>
            </w:tcBorders>
            <w:shd w:val="clear" w:color="FFFFFF" w:fill="FFFFFF"/>
            <w:noWrap/>
            <w:vAlign w:val="bottom"/>
            <w:hideMark/>
          </w:tcPr>
          <w:p w14:paraId="4FABDA6E" w14:textId="77777777" w:rsidR="00C32CBD" w:rsidRDefault="00C32CBD" w:rsidP="00320D09">
            <w:pPr>
              <w:jc w:val="right"/>
              <w:rPr>
                <w:rFonts w:cs="Arial"/>
                <w:b/>
                <w:bCs/>
                <w:sz w:val="18"/>
                <w:szCs w:val="18"/>
              </w:rPr>
            </w:pPr>
            <w:r>
              <w:rPr>
                <w:rFonts w:cs="Arial"/>
                <w:b/>
                <w:bCs/>
                <w:sz w:val="18"/>
                <w:szCs w:val="18"/>
              </w:rPr>
              <w:t>2,248</w:t>
            </w:r>
          </w:p>
        </w:tc>
        <w:tc>
          <w:tcPr>
            <w:tcW w:w="236" w:type="dxa"/>
            <w:tcBorders>
              <w:top w:val="nil"/>
              <w:left w:val="nil"/>
              <w:bottom w:val="nil"/>
              <w:right w:val="nil"/>
            </w:tcBorders>
            <w:shd w:val="clear" w:color="FFFFFF" w:fill="FFFFFF"/>
            <w:noWrap/>
            <w:vAlign w:val="bottom"/>
            <w:hideMark/>
          </w:tcPr>
          <w:p w14:paraId="0EE7A061"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67006AB9" w14:textId="77777777" w:rsidR="00C32CBD" w:rsidRDefault="00C32CBD" w:rsidP="00320D09">
            <w:pPr>
              <w:jc w:val="right"/>
              <w:rPr>
                <w:rFonts w:cs="Arial"/>
                <w:sz w:val="18"/>
                <w:szCs w:val="18"/>
              </w:rPr>
            </w:pPr>
            <w:r>
              <w:rPr>
                <w:rFonts w:cs="Arial"/>
                <w:sz w:val="18"/>
                <w:szCs w:val="18"/>
              </w:rPr>
              <w:t>1,728</w:t>
            </w:r>
          </w:p>
        </w:tc>
      </w:tr>
      <w:tr w:rsidR="00C32CBD" w14:paraId="6D6C22FF" w14:textId="77777777" w:rsidTr="00320D09">
        <w:trPr>
          <w:trHeight w:val="255"/>
        </w:trPr>
        <w:tc>
          <w:tcPr>
            <w:tcW w:w="6353" w:type="dxa"/>
            <w:tcBorders>
              <w:top w:val="nil"/>
              <w:left w:val="nil"/>
              <w:bottom w:val="nil"/>
              <w:right w:val="nil"/>
            </w:tcBorders>
            <w:shd w:val="clear" w:color="FFFFFF" w:fill="FFFFFF"/>
            <w:vAlign w:val="bottom"/>
            <w:hideMark/>
          </w:tcPr>
          <w:p w14:paraId="4688CD1D" w14:textId="77777777" w:rsidR="00C32CBD" w:rsidRDefault="00C32CBD" w:rsidP="00320D09">
            <w:pPr>
              <w:rPr>
                <w:rFonts w:cs="Arial"/>
                <w:b/>
                <w:bCs/>
                <w:sz w:val="18"/>
                <w:szCs w:val="18"/>
              </w:rPr>
            </w:pPr>
            <w:r>
              <w:rPr>
                <w:rFonts w:cs="Arial"/>
                <w:b/>
                <w:bCs/>
                <w:sz w:val="18"/>
                <w:szCs w:val="18"/>
              </w:rPr>
              <w:t xml:space="preserve">Total other payables </w:t>
            </w:r>
          </w:p>
        </w:tc>
        <w:tc>
          <w:tcPr>
            <w:tcW w:w="1249" w:type="dxa"/>
            <w:tcBorders>
              <w:top w:val="single" w:sz="4" w:space="0" w:color="auto"/>
              <w:left w:val="nil"/>
              <w:bottom w:val="single" w:sz="4" w:space="0" w:color="auto"/>
              <w:right w:val="nil"/>
            </w:tcBorders>
            <w:shd w:val="clear" w:color="FFFFFF" w:fill="FFFFFF"/>
            <w:noWrap/>
            <w:vAlign w:val="bottom"/>
            <w:hideMark/>
          </w:tcPr>
          <w:p w14:paraId="09319918" w14:textId="77777777" w:rsidR="00C32CBD" w:rsidRDefault="00C32CBD" w:rsidP="00320D09">
            <w:pPr>
              <w:jc w:val="right"/>
              <w:rPr>
                <w:rFonts w:cs="Arial"/>
                <w:b/>
                <w:bCs/>
                <w:sz w:val="18"/>
                <w:szCs w:val="18"/>
              </w:rPr>
            </w:pPr>
            <w:r>
              <w:rPr>
                <w:rFonts w:cs="Arial"/>
                <w:b/>
                <w:bCs/>
                <w:sz w:val="18"/>
                <w:szCs w:val="18"/>
              </w:rPr>
              <w:t>4,233</w:t>
            </w:r>
          </w:p>
        </w:tc>
        <w:tc>
          <w:tcPr>
            <w:tcW w:w="236" w:type="dxa"/>
            <w:tcBorders>
              <w:top w:val="nil"/>
              <w:left w:val="nil"/>
              <w:bottom w:val="nil"/>
              <w:right w:val="nil"/>
            </w:tcBorders>
            <w:shd w:val="clear" w:color="FFFFFF" w:fill="FFFFFF"/>
            <w:noWrap/>
            <w:vAlign w:val="bottom"/>
            <w:hideMark/>
          </w:tcPr>
          <w:p w14:paraId="4ECAF31A" w14:textId="77777777" w:rsidR="00C32CBD" w:rsidRDefault="00C32CBD" w:rsidP="00320D09">
            <w:pPr>
              <w:rPr>
                <w:rFonts w:cs="Arial"/>
                <w:sz w:val="18"/>
                <w:szCs w:val="18"/>
              </w:rPr>
            </w:pPr>
            <w:r>
              <w:rPr>
                <w:rFonts w:cs="Arial"/>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5ADD0DED" w14:textId="77777777" w:rsidR="00C32CBD" w:rsidRDefault="00C32CBD" w:rsidP="00320D09">
            <w:pPr>
              <w:jc w:val="right"/>
              <w:rPr>
                <w:rFonts w:cs="Arial"/>
                <w:sz w:val="18"/>
                <w:szCs w:val="18"/>
              </w:rPr>
            </w:pPr>
            <w:r>
              <w:rPr>
                <w:rFonts w:cs="Arial"/>
                <w:sz w:val="18"/>
                <w:szCs w:val="18"/>
              </w:rPr>
              <w:t>2,611</w:t>
            </w:r>
          </w:p>
        </w:tc>
      </w:tr>
    </w:tbl>
    <w:p w14:paraId="68879209" w14:textId="77777777" w:rsidR="00C32CBD" w:rsidRPr="00E42114" w:rsidRDefault="00C32CBD" w:rsidP="00C32CBD"/>
    <w:p w14:paraId="33FA57C9" w14:textId="77777777" w:rsidR="00C32CBD" w:rsidRDefault="00C32CBD" w:rsidP="00C32CBD">
      <w:r>
        <w:br w:type="page"/>
      </w:r>
    </w:p>
    <w:p w14:paraId="26067ECE" w14:textId="77777777" w:rsidR="00C32CBD" w:rsidRDefault="00C32CBD" w:rsidP="00C32CBD">
      <w:pPr>
        <w:pStyle w:val="SubHeading"/>
      </w:pPr>
      <w:bookmarkStart w:id="167" w:name="_Toc443469532"/>
      <w:bookmarkStart w:id="168" w:name="_Toc444065785"/>
      <w:bookmarkStart w:id="169" w:name="_Toc444079982"/>
      <w:bookmarkStart w:id="170" w:name="_Toc447030542"/>
      <w:bookmarkStart w:id="171" w:name="_Toc447030694"/>
      <w:bookmarkStart w:id="172" w:name="_Toc447030787"/>
      <w:bookmarkStart w:id="173" w:name="_Toc456865061"/>
      <w:bookmarkStart w:id="174" w:name="_Toc496611904"/>
      <w:r>
        <w:t>Other Provisions</w:t>
      </w:r>
      <w:bookmarkEnd w:id="167"/>
      <w:bookmarkEnd w:id="168"/>
      <w:bookmarkEnd w:id="169"/>
      <w:bookmarkEnd w:id="170"/>
      <w:bookmarkEnd w:id="171"/>
      <w:bookmarkEnd w:id="172"/>
      <w:bookmarkEnd w:id="173"/>
      <w:bookmarkEnd w:id="174"/>
    </w:p>
    <w:p w14:paraId="623B74EF" w14:textId="77777777" w:rsidR="00C32CBD" w:rsidRPr="005E5430" w:rsidRDefault="00C32CBD" w:rsidP="00C32CBD"/>
    <w:tbl>
      <w:tblPr>
        <w:tblW w:w="9087" w:type="dxa"/>
        <w:tblInd w:w="80" w:type="dxa"/>
        <w:tblLayout w:type="fixed"/>
        <w:tblLook w:val="04A0" w:firstRow="1" w:lastRow="0" w:firstColumn="1" w:lastColumn="0" w:noHBand="0" w:noVBand="1"/>
      </w:tblPr>
      <w:tblGrid>
        <w:gridCol w:w="6353"/>
        <w:gridCol w:w="1249"/>
        <w:gridCol w:w="236"/>
        <w:gridCol w:w="1249"/>
      </w:tblGrid>
      <w:tr w:rsidR="00C32CBD" w14:paraId="421F4D54" w14:textId="77777777" w:rsidTr="00320D09">
        <w:trPr>
          <w:trHeight w:val="255"/>
        </w:trPr>
        <w:tc>
          <w:tcPr>
            <w:tcW w:w="6353" w:type="dxa"/>
            <w:tcBorders>
              <w:top w:val="nil"/>
              <w:left w:val="nil"/>
              <w:bottom w:val="nil"/>
              <w:right w:val="nil"/>
            </w:tcBorders>
            <w:shd w:val="clear" w:color="FFFFFF" w:fill="FFFFFF"/>
            <w:noWrap/>
            <w:vAlign w:val="bottom"/>
            <w:hideMark/>
          </w:tcPr>
          <w:p w14:paraId="1E01D556" w14:textId="77777777" w:rsidR="00C32CBD" w:rsidRDefault="00C32CBD" w:rsidP="00320D09">
            <w:pPr>
              <w:rPr>
                <w:rFonts w:cs="Arial"/>
                <w:sz w:val="18"/>
                <w:szCs w:val="18"/>
              </w:rPr>
            </w:pPr>
            <w:bookmarkStart w:id="175" w:name="Note_PPRTABLE1" w:colFirst="0" w:colLast="0"/>
            <w:r>
              <w:rPr>
                <w:rFonts w:cs="Arial"/>
                <w:sz w:val="18"/>
                <w:szCs w:val="18"/>
              </w:rPr>
              <w:t> </w:t>
            </w:r>
          </w:p>
        </w:tc>
        <w:tc>
          <w:tcPr>
            <w:tcW w:w="1249" w:type="dxa"/>
            <w:tcBorders>
              <w:top w:val="nil"/>
              <w:left w:val="nil"/>
              <w:bottom w:val="nil"/>
              <w:right w:val="nil"/>
            </w:tcBorders>
            <w:shd w:val="clear" w:color="FFFFFF" w:fill="FFFFFF"/>
            <w:vAlign w:val="bottom"/>
            <w:hideMark/>
          </w:tcPr>
          <w:p w14:paraId="4761F5EB" w14:textId="77777777" w:rsidR="00C32CBD" w:rsidRDefault="00C32CBD" w:rsidP="00320D09">
            <w:pPr>
              <w:jc w:val="right"/>
              <w:rPr>
                <w:rFonts w:cs="Arial"/>
                <w:b/>
                <w:bCs/>
                <w:sz w:val="18"/>
                <w:szCs w:val="18"/>
              </w:rPr>
            </w:pPr>
            <w:r>
              <w:rPr>
                <w:rFonts w:cs="Arial"/>
                <w:b/>
                <w:bCs/>
                <w:sz w:val="18"/>
                <w:szCs w:val="18"/>
              </w:rPr>
              <w:t>2017</w:t>
            </w:r>
          </w:p>
        </w:tc>
        <w:tc>
          <w:tcPr>
            <w:tcW w:w="236" w:type="dxa"/>
            <w:tcBorders>
              <w:top w:val="nil"/>
              <w:left w:val="nil"/>
              <w:bottom w:val="nil"/>
              <w:right w:val="nil"/>
            </w:tcBorders>
            <w:shd w:val="clear" w:color="FFFFFF" w:fill="FFFFFF"/>
            <w:noWrap/>
            <w:vAlign w:val="bottom"/>
            <w:hideMark/>
          </w:tcPr>
          <w:p w14:paraId="1424229F"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vAlign w:val="bottom"/>
            <w:hideMark/>
          </w:tcPr>
          <w:p w14:paraId="4950F6F7" w14:textId="77777777" w:rsidR="00C32CBD" w:rsidRDefault="00C32CBD" w:rsidP="00320D09">
            <w:pPr>
              <w:jc w:val="right"/>
              <w:rPr>
                <w:rFonts w:cs="Arial"/>
                <w:sz w:val="18"/>
                <w:szCs w:val="18"/>
              </w:rPr>
            </w:pPr>
            <w:r>
              <w:rPr>
                <w:rFonts w:cs="Arial"/>
                <w:sz w:val="18"/>
                <w:szCs w:val="18"/>
              </w:rPr>
              <w:t>2016</w:t>
            </w:r>
          </w:p>
        </w:tc>
      </w:tr>
      <w:bookmarkEnd w:id="175"/>
      <w:tr w:rsidR="00C32CBD" w14:paraId="19ED43FF" w14:textId="77777777" w:rsidTr="00320D09">
        <w:trPr>
          <w:trHeight w:val="240"/>
        </w:trPr>
        <w:tc>
          <w:tcPr>
            <w:tcW w:w="6353" w:type="dxa"/>
            <w:tcBorders>
              <w:top w:val="nil"/>
              <w:left w:val="nil"/>
              <w:bottom w:val="nil"/>
              <w:right w:val="nil"/>
            </w:tcBorders>
            <w:shd w:val="clear" w:color="FFFFFF" w:fill="FFFFFF"/>
            <w:noWrap/>
            <w:vAlign w:val="bottom"/>
            <w:hideMark/>
          </w:tcPr>
          <w:p w14:paraId="45E66310"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vAlign w:val="bottom"/>
            <w:hideMark/>
          </w:tcPr>
          <w:p w14:paraId="32732498" w14:textId="77777777" w:rsidR="00C32CBD" w:rsidRDefault="00C32CBD" w:rsidP="00320D09">
            <w:pPr>
              <w:jc w:val="right"/>
              <w:rPr>
                <w:rFonts w:cs="Arial"/>
                <w:b/>
                <w:bCs/>
                <w:sz w:val="18"/>
                <w:szCs w:val="18"/>
              </w:rPr>
            </w:pPr>
            <w:r>
              <w:rPr>
                <w:rFonts w:cs="Arial"/>
                <w:b/>
                <w:bCs/>
                <w:sz w:val="18"/>
                <w:szCs w:val="18"/>
              </w:rPr>
              <w:t>$'000</w:t>
            </w:r>
          </w:p>
        </w:tc>
        <w:tc>
          <w:tcPr>
            <w:tcW w:w="236" w:type="dxa"/>
            <w:tcBorders>
              <w:top w:val="nil"/>
              <w:left w:val="nil"/>
              <w:bottom w:val="nil"/>
              <w:right w:val="nil"/>
            </w:tcBorders>
            <w:shd w:val="clear" w:color="FFFFFF" w:fill="FFFFFF"/>
            <w:noWrap/>
            <w:vAlign w:val="bottom"/>
            <w:hideMark/>
          </w:tcPr>
          <w:p w14:paraId="064FB583"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vAlign w:val="bottom"/>
            <w:hideMark/>
          </w:tcPr>
          <w:p w14:paraId="3AF31159" w14:textId="77777777" w:rsidR="00C32CBD" w:rsidRDefault="00C32CBD" w:rsidP="00320D09">
            <w:pPr>
              <w:jc w:val="right"/>
              <w:rPr>
                <w:rFonts w:cs="Arial"/>
                <w:sz w:val="18"/>
                <w:szCs w:val="18"/>
              </w:rPr>
            </w:pPr>
            <w:r>
              <w:rPr>
                <w:rFonts w:cs="Arial"/>
                <w:sz w:val="18"/>
                <w:szCs w:val="18"/>
              </w:rPr>
              <w:t>$'000</w:t>
            </w:r>
          </w:p>
        </w:tc>
      </w:tr>
      <w:tr w:rsidR="00C32CBD" w14:paraId="2837B62D" w14:textId="77777777" w:rsidTr="00320D09">
        <w:trPr>
          <w:trHeight w:val="240"/>
        </w:trPr>
        <w:tc>
          <w:tcPr>
            <w:tcW w:w="6353" w:type="dxa"/>
            <w:tcBorders>
              <w:top w:val="nil"/>
              <w:left w:val="nil"/>
              <w:bottom w:val="nil"/>
              <w:right w:val="nil"/>
            </w:tcBorders>
            <w:shd w:val="clear" w:color="FFFFFF" w:fill="FFFFFF"/>
            <w:noWrap/>
            <w:vAlign w:val="bottom"/>
            <w:hideMark/>
          </w:tcPr>
          <w:p w14:paraId="3E565E1C" w14:textId="77777777" w:rsidR="00C32CBD" w:rsidRDefault="00C32CBD" w:rsidP="00320D09">
            <w:pPr>
              <w:rPr>
                <w:rFonts w:cs="Arial"/>
                <w:b/>
                <w:bCs/>
                <w:sz w:val="18"/>
                <w:szCs w:val="18"/>
                <w:u w:val="single"/>
              </w:rPr>
            </w:pPr>
            <w:r>
              <w:rPr>
                <w:rFonts w:cs="Arial"/>
                <w:b/>
                <w:bCs/>
                <w:sz w:val="18"/>
                <w:szCs w:val="18"/>
                <w:u w:val="single"/>
              </w:rPr>
              <w:t>Note 2.4A: Participant plan provisions</w:t>
            </w:r>
          </w:p>
        </w:tc>
        <w:tc>
          <w:tcPr>
            <w:tcW w:w="1249" w:type="dxa"/>
            <w:tcBorders>
              <w:top w:val="nil"/>
              <w:left w:val="nil"/>
              <w:bottom w:val="nil"/>
              <w:right w:val="nil"/>
            </w:tcBorders>
            <w:shd w:val="clear" w:color="FFFFFF" w:fill="FFFFFF"/>
            <w:noWrap/>
            <w:vAlign w:val="bottom"/>
            <w:hideMark/>
          </w:tcPr>
          <w:p w14:paraId="12653529"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4FB52954"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73FF67A2" w14:textId="77777777" w:rsidR="00C32CBD" w:rsidRDefault="00C32CBD" w:rsidP="00320D09">
            <w:pPr>
              <w:rPr>
                <w:rFonts w:cs="Arial"/>
                <w:sz w:val="18"/>
                <w:szCs w:val="18"/>
              </w:rPr>
            </w:pPr>
            <w:r>
              <w:rPr>
                <w:rFonts w:cs="Arial"/>
                <w:sz w:val="18"/>
                <w:szCs w:val="18"/>
              </w:rPr>
              <w:t> </w:t>
            </w:r>
          </w:p>
        </w:tc>
      </w:tr>
      <w:tr w:rsidR="00C32CBD" w14:paraId="0AF8F658" w14:textId="77777777" w:rsidTr="00320D09">
        <w:trPr>
          <w:trHeight w:val="240"/>
        </w:trPr>
        <w:tc>
          <w:tcPr>
            <w:tcW w:w="6353" w:type="dxa"/>
            <w:tcBorders>
              <w:top w:val="nil"/>
              <w:left w:val="nil"/>
              <w:bottom w:val="nil"/>
              <w:right w:val="nil"/>
            </w:tcBorders>
            <w:shd w:val="clear" w:color="FFFFFF" w:fill="FFFFFF"/>
            <w:vAlign w:val="bottom"/>
            <w:hideMark/>
          </w:tcPr>
          <w:p w14:paraId="7C54ADCB" w14:textId="77777777" w:rsidR="00C32CBD" w:rsidRDefault="00C32CBD" w:rsidP="00320D09">
            <w:pPr>
              <w:ind w:firstLineChars="100" w:firstLine="180"/>
              <w:rPr>
                <w:rFonts w:cs="Arial"/>
                <w:sz w:val="18"/>
                <w:szCs w:val="18"/>
              </w:rPr>
            </w:pPr>
            <w:r>
              <w:rPr>
                <w:rFonts w:cs="Arial"/>
                <w:sz w:val="18"/>
                <w:szCs w:val="18"/>
              </w:rPr>
              <w:t>Participant plan provisions</w:t>
            </w:r>
          </w:p>
        </w:tc>
        <w:tc>
          <w:tcPr>
            <w:tcW w:w="1249" w:type="dxa"/>
            <w:tcBorders>
              <w:top w:val="nil"/>
              <w:left w:val="nil"/>
              <w:bottom w:val="nil"/>
              <w:right w:val="nil"/>
            </w:tcBorders>
            <w:shd w:val="clear" w:color="FFFFFF" w:fill="FFFFFF"/>
            <w:noWrap/>
            <w:vAlign w:val="bottom"/>
            <w:hideMark/>
          </w:tcPr>
          <w:p w14:paraId="579C2F98" w14:textId="77777777" w:rsidR="00C32CBD" w:rsidRDefault="00C32CBD" w:rsidP="00320D09">
            <w:pPr>
              <w:jc w:val="right"/>
              <w:rPr>
                <w:rFonts w:cs="Arial"/>
                <w:b/>
                <w:bCs/>
                <w:sz w:val="18"/>
                <w:szCs w:val="18"/>
              </w:rPr>
            </w:pPr>
            <w:r>
              <w:rPr>
                <w:rFonts w:cs="Arial"/>
                <w:b/>
                <w:bCs/>
                <w:sz w:val="18"/>
                <w:szCs w:val="18"/>
              </w:rPr>
              <w:t>505,604</w:t>
            </w:r>
          </w:p>
        </w:tc>
        <w:tc>
          <w:tcPr>
            <w:tcW w:w="236" w:type="dxa"/>
            <w:tcBorders>
              <w:top w:val="nil"/>
              <w:left w:val="nil"/>
              <w:bottom w:val="nil"/>
              <w:right w:val="nil"/>
            </w:tcBorders>
            <w:shd w:val="clear" w:color="FFFFFF" w:fill="FFFFFF"/>
            <w:noWrap/>
            <w:vAlign w:val="bottom"/>
            <w:hideMark/>
          </w:tcPr>
          <w:p w14:paraId="1DDAB4F6" w14:textId="77777777" w:rsidR="00C32CBD" w:rsidRDefault="00C32CBD" w:rsidP="00320D09">
            <w:pPr>
              <w:rPr>
                <w:rFonts w:cs="Arial"/>
                <w:b/>
                <w:bCs/>
                <w:sz w:val="18"/>
                <w:szCs w:val="18"/>
              </w:rPr>
            </w:pPr>
            <w:r>
              <w:rPr>
                <w:rFonts w:cs="Arial"/>
                <w:b/>
                <w:bCs/>
                <w:sz w:val="18"/>
                <w:szCs w:val="18"/>
              </w:rPr>
              <w:t> </w:t>
            </w:r>
          </w:p>
        </w:tc>
        <w:tc>
          <w:tcPr>
            <w:tcW w:w="1249" w:type="dxa"/>
            <w:tcBorders>
              <w:top w:val="nil"/>
              <w:left w:val="nil"/>
              <w:bottom w:val="nil"/>
              <w:right w:val="nil"/>
            </w:tcBorders>
            <w:shd w:val="clear" w:color="FFFFFF" w:fill="FFFFFF"/>
            <w:noWrap/>
            <w:vAlign w:val="bottom"/>
            <w:hideMark/>
          </w:tcPr>
          <w:p w14:paraId="6A5CF391" w14:textId="77777777" w:rsidR="00C32CBD" w:rsidRDefault="00C32CBD" w:rsidP="00320D09">
            <w:pPr>
              <w:jc w:val="right"/>
              <w:rPr>
                <w:rFonts w:cs="Arial"/>
                <w:sz w:val="18"/>
                <w:szCs w:val="18"/>
              </w:rPr>
            </w:pPr>
            <w:r>
              <w:rPr>
                <w:rFonts w:cs="Arial"/>
                <w:sz w:val="18"/>
                <w:szCs w:val="18"/>
              </w:rPr>
              <w:t>215,852</w:t>
            </w:r>
          </w:p>
        </w:tc>
      </w:tr>
      <w:tr w:rsidR="00C32CBD" w14:paraId="3DADAEB7" w14:textId="77777777" w:rsidTr="00320D09">
        <w:trPr>
          <w:trHeight w:val="240"/>
        </w:trPr>
        <w:tc>
          <w:tcPr>
            <w:tcW w:w="6353" w:type="dxa"/>
            <w:tcBorders>
              <w:top w:val="nil"/>
              <w:left w:val="nil"/>
              <w:bottom w:val="nil"/>
              <w:right w:val="nil"/>
            </w:tcBorders>
            <w:shd w:val="clear" w:color="FFFFFF" w:fill="FFFFFF"/>
            <w:vAlign w:val="bottom"/>
            <w:hideMark/>
          </w:tcPr>
          <w:p w14:paraId="0C0F3A54" w14:textId="77777777" w:rsidR="00C32CBD" w:rsidRDefault="00C32CBD" w:rsidP="00320D09">
            <w:pPr>
              <w:rPr>
                <w:rFonts w:cs="Arial"/>
                <w:b/>
                <w:bCs/>
                <w:sz w:val="18"/>
                <w:szCs w:val="18"/>
              </w:rPr>
            </w:pPr>
            <w:r>
              <w:rPr>
                <w:rFonts w:cs="Arial"/>
                <w:b/>
                <w:bCs/>
                <w:sz w:val="18"/>
                <w:szCs w:val="18"/>
              </w:rPr>
              <w:t>Total participant plan provisions</w:t>
            </w:r>
          </w:p>
        </w:tc>
        <w:tc>
          <w:tcPr>
            <w:tcW w:w="1249" w:type="dxa"/>
            <w:tcBorders>
              <w:top w:val="single" w:sz="4" w:space="0" w:color="auto"/>
              <w:left w:val="nil"/>
              <w:bottom w:val="single" w:sz="4" w:space="0" w:color="auto"/>
              <w:right w:val="nil"/>
            </w:tcBorders>
            <w:shd w:val="clear" w:color="FFFFFF" w:fill="FFFFFF"/>
            <w:noWrap/>
            <w:vAlign w:val="bottom"/>
            <w:hideMark/>
          </w:tcPr>
          <w:p w14:paraId="3F3D705F" w14:textId="77777777" w:rsidR="00C32CBD" w:rsidRDefault="00C32CBD" w:rsidP="00320D09">
            <w:pPr>
              <w:jc w:val="right"/>
              <w:rPr>
                <w:rFonts w:cs="Arial"/>
                <w:b/>
                <w:bCs/>
                <w:sz w:val="18"/>
                <w:szCs w:val="18"/>
              </w:rPr>
            </w:pPr>
            <w:r>
              <w:rPr>
                <w:rFonts w:cs="Arial"/>
                <w:b/>
                <w:bCs/>
                <w:sz w:val="18"/>
                <w:szCs w:val="18"/>
              </w:rPr>
              <w:t>505,604</w:t>
            </w:r>
          </w:p>
        </w:tc>
        <w:tc>
          <w:tcPr>
            <w:tcW w:w="236" w:type="dxa"/>
            <w:tcBorders>
              <w:top w:val="nil"/>
              <w:left w:val="nil"/>
              <w:bottom w:val="nil"/>
              <w:right w:val="nil"/>
            </w:tcBorders>
            <w:shd w:val="clear" w:color="FFFFFF" w:fill="FFFFFF"/>
            <w:noWrap/>
            <w:vAlign w:val="bottom"/>
            <w:hideMark/>
          </w:tcPr>
          <w:p w14:paraId="330CCDC5" w14:textId="77777777" w:rsidR="00C32CBD" w:rsidRDefault="00C32CBD" w:rsidP="00320D09">
            <w:pPr>
              <w:rPr>
                <w:rFonts w:cs="Arial"/>
                <w:sz w:val="18"/>
                <w:szCs w:val="18"/>
              </w:rPr>
            </w:pPr>
            <w:r>
              <w:rPr>
                <w:rFonts w:cs="Arial"/>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0D3ECF91" w14:textId="77777777" w:rsidR="00C32CBD" w:rsidRDefault="00C32CBD" w:rsidP="00320D09">
            <w:pPr>
              <w:jc w:val="right"/>
              <w:rPr>
                <w:rFonts w:cs="Arial"/>
                <w:sz w:val="18"/>
                <w:szCs w:val="18"/>
              </w:rPr>
            </w:pPr>
            <w:r>
              <w:rPr>
                <w:rFonts w:cs="Arial"/>
                <w:sz w:val="18"/>
                <w:szCs w:val="18"/>
              </w:rPr>
              <w:t>215,852</w:t>
            </w:r>
          </w:p>
        </w:tc>
      </w:tr>
      <w:tr w:rsidR="00C32CBD" w14:paraId="1942182E" w14:textId="77777777" w:rsidTr="00320D09">
        <w:trPr>
          <w:trHeight w:val="255"/>
        </w:trPr>
        <w:tc>
          <w:tcPr>
            <w:tcW w:w="6353" w:type="dxa"/>
            <w:tcBorders>
              <w:top w:val="nil"/>
              <w:left w:val="nil"/>
              <w:bottom w:val="nil"/>
              <w:right w:val="nil"/>
            </w:tcBorders>
            <w:shd w:val="clear" w:color="FFFFFF" w:fill="FFFFFF"/>
            <w:noWrap/>
            <w:vAlign w:val="bottom"/>
            <w:hideMark/>
          </w:tcPr>
          <w:p w14:paraId="4B146F6E"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6A03BDB4"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2C918E10"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6703D653" w14:textId="77777777" w:rsidR="00C32CBD" w:rsidRDefault="00C32CBD" w:rsidP="00320D09">
            <w:pPr>
              <w:rPr>
                <w:rFonts w:cs="Arial"/>
                <w:sz w:val="18"/>
                <w:szCs w:val="18"/>
              </w:rPr>
            </w:pPr>
            <w:r>
              <w:rPr>
                <w:rFonts w:cs="Arial"/>
                <w:sz w:val="18"/>
                <w:szCs w:val="18"/>
              </w:rPr>
              <w:t> </w:t>
            </w:r>
          </w:p>
        </w:tc>
      </w:tr>
      <w:tr w:rsidR="00C32CBD" w14:paraId="627EB1AF" w14:textId="77777777" w:rsidTr="00320D09">
        <w:trPr>
          <w:trHeight w:val="960"/>
        </w:trPr>
        <w:tc>
          <w:tcPr>
            <w:tcW w:w="9087" w:type="dxa"/>
            <w:gridSpan w:val="4"/>
            <w:tcBorders>
              <w:top w:val="nil"/>
              <w:left w:val="nil"/>
              <w:bottom w:val="nil"/>
              <w:right w:val="nil"/>
            </w:tcBorders>
            <w:shd w:val="clear" w:color="FFFFFF" w:fill="FFFFFF"/>
            <w:hideMark/>
          </w:tcPr>
          <w:p w14:paraId="17A65104" w14:textId="77777777" w:rsidR="00C32CBD" w:rsidRDefault="00C32CBD" w:rsidP="00320D09">
            <w:pPr>
              <w:rPr>
                <w:rFonts w:cs="Arial"/>
                <w:sz w:val="18"/>
                <w:szCs w:val="18"/>
              </w:rPr>
            </w:pPr>
            <w:r>
              <w:rPr>
                <w:rFonts w:cs="Arial"/>
                <w:sz w:val="18"/>
                <w:szCs w:val="18"/>
              </w:rPr>
              <w:t>The valuation of the participant provision was undertaken as at 30 June 2017 by the Scheme Actuary.</w:t>
            </w:r>
            <w:r>
              <w:rPr>
                <w:rFonts w:cs="Arial"/>
                <w:sz w:val="18"/>
                <w:szCs w:val="18"/>
              </w:rPr>
              <w:br/>
              <w:t>All participant provisions are expected to be settled within 12 months.</w:t>
            </w:r>
            <w:r>
              <w:rPr>
                <w:rFonts w:cs="Arial"/>
                <w:sz w:val="18"/>
                <w:szCs w:val="18"/>
              </w:rPr>
              <w:br/>
              <w:t xml:space="preserve">No liability is recorded for any participant supports to be provided in future reporting periods as the relevant recognition criteria are not met. </w:t>
            </w:r>
          </w:p>
        </w:tc>
      </w:tr>
    </w:tbl>
    <w:p w14:paraId="31737F5C" w14:textId="77777777" w:rsidR="00C32CBD" w:rsidRPr="005E5430" w:rsidRDefault="00C32CBD" w:rsidP="00C32CBD"/>
    <w:p w14:paraId="36E9BEC5" w14:textId="77777777" w:rsidR="00C32CBD" w:rsidRPr="005E5430" w:rsidRDefault="00C32CBD" w:rsidP="00C32CBD"/>
    <w:tbl>
      <w:tblPr>
        <w:tblW w:w="9087" w:type="dxa"/>
        <w:tblInd w:w="80" w:type="dxa"/>
        <w:tblLayout w:type="fixed"/>
        <w:tblLook w:val="04A0" w:firstRow="1" w:lastRow="0" w:firstColumn="1" w:lastColumn="0" w:noHBand="0" w:noVBand="1"/>
      </w:tblPr>
      <w:tblGrid>
        <w:gridCol w:w="6353"/>
        <w:gridCol w:w="1249"/>
        <w:gridCol w:w="236"/>
        <w:gridCol w:w="1249"/>
      </w:tblGrid>
      <w:tr w:rsidR="00C32CBD" w14:paraId="5DF99263" w14:textId="77777777" w:rsidTr="00320D09">
        <w:trPr>
          <w:trHeight w:val="255"/>
        </w:trPr>
        <w:tc>
          <w:tcPr>
            <w:tcW w:w="6353" w:type="dxa"/>
            <w:tcBorders>
              <w:top w:val="nil"/>
              <w:left w:val="nil"/>
              <w:bottom w:val="nil"/>
              <w:right w:val="nil"/>
            </w:tcBorders>
            <w:shd w:val="clear" w:color="FFFFFF" w:fill="FFFFFF"/>
            <w:noWrap/>
            <w:vAlign w:val="bottom"/>
            <w:hideMark/>
          </w:tcPr>
          <w:p w14:paraId="404856F2" w14:textId="77777777" w:rsidR="00C32CBD" w:rsidRDefault="00C32CBD" w:rsidP="00320D09">
            <w:pPr>
              <w:rPr>
                <w:rFonts w:cs="Arial"/>
                <w:b/>
                <w:bCs/>
                <w:sz w:val="18"/>
                <w:szCs w:val="18"/>
                <w:u w:val="single"/>
              </w:rPr>
            </w:pPr>
            <w:bookmarkStart w:id="176" w:name="Note_OPRTABLE1" w:colFirst="0" w:colLast="0"/>
            <w:r>
              <w:rPr>
                <w:rFonts w:cs="Arial"/>
                <w:b/>
                <w:bCs/>
                <w:sz w:val="18"/>
                <w:szCs w:val="18"/>
                <w:u w:val="single"/>
              </w:rPr>
              <w:t>Note 2.4B: Other provisions</w:t>
            </w:r>
          </w:p>
        </w:tc>
        <w:tc>
          <w:tcPr>
            <w:tcW w:w="1249" w:type="dxa"/>
            <w:tcBorders>
              <w:top w:val="nil"/>
              <w:left w:val="nil"/>
              <w:bottom w:val="nil"/>
              <w:right w:val="nil"/>
            </w:tcBorders>
            <w:shd w:val="clear" w:color="FFFFFF" w:fill="FFFFFF"/>
            <w:noWrap/>
            <w:vAlign w:val="bottom"/>
            <w:hideMark/>
          </w:tcPr>
          <w:p w14:paraId="323C516A" w14:textId="77777777" w:rsidR="00C32CBD" w:rsidRDefault="00C32CBD" w:rsidP="00320D09">
            <w:pPr>
              <w:rPr>
                <w:rFonts w:cs="Arial"/>
                <w:b/>
                <w:bCs/>
                <w:sz w:val="18"/>
                <w:szCs w:val="18"/>
              </w:rPr>
            </w:pPr>
            <w:r>
              <w:rPr>
                <w:rFonts w:cs="Arial"/>
                <w:b/>
                <w:bCs/>
                <w:sz w:val="18"/>
                <w:szCs w:val="18"/>
              </w:rPr>
              <w:t> </w:t>
            </w:r>
          </w:p>
        </w:tc>
        <w:tc>
          <w:tcPr>
            <w:tcW w:w="236" w:type="dxa"/>
            <w:tcBorders>
              <w:top w:val="nil"/>
              <w:left w:val="nil"/>
              <w:bottom w:val="nil"/>
              <w:right w:val="nil"/>
            </w:tcBorders>
            <w:shd w:val="clear" w:color="FFFFFF" w:fill="FFFFFF"/>
            <w:noWrap/>
            <w:vAlign w:val="bottom"/>
            <w:hideMark/>
          </w:tcPr>
          <w:p w14:paraId="4F0C1EA2"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1EFFFF80" w14:textId="77777777" w:rsidR="00C32CBD" w:rsidRDefault="00C32CBD" w:rsidP="00320D09">
            <w:pPr>
              <w:rPr>
                <w:rFonts w:cs="Arial"/>
                <w:sz w:val="18"/>
                <w:szCs w:val="18"/>
              </w:rPr>
            </w:pPr>
            <w:r>
              <w:rPr>
                <w:rFonts w:cs="Arial"/>
                <w:sz w:val="18"/>
                <w:szCs w:val="18"/>
              </w:rPr>
              <w:t> </w:t>
            </w:r>
          </w:p>
        </w:tc>
      </w:tr>
      <w:bookmarkEnd w:id="176"/>
      <w:tr w:rsidR="00C32CBD" w14:paraId="167070B5" w14:textId="77777777" w:rsidTr="00320D09">
        <w:trPr>
          <w:trHeight w:val="255"/>
        </w:trPr>
        <w:tc>
          <w:tcPr>
            <w:tcW w:w="6353" w:type="dxa"/>
            <w:tcBorders>
              <w:top w:val="nil"/>
              <w:left w:val="nil"/>
              <w:bottom w:val="nil"/>
              <w:right w:val="nil"/>
            </w:tcBorders>
            <w:shd w:val="clear" w:color="FFFFFF" w:fill="FFFFFF"/>
            <w:vAlign w:val="bottom"/>
            <w:hideMark/>
          </w:tcPr>
          <w:p w14:paraId="4A71C558" w14:textId="77777777" w:rsidR="00C32CBD" w:rsidRDefault="00C32CBD" w:rsidP="00320D09">
            <w:pPr>
              <w:rPr>
                <w:rFonts w:cs="Arial"/>
                <w:sz w:val="18"/>
                <w:szCs w:val="18"/>
              </w:rPr>
            </w:pPr>
            <w:r>
              <w:rPr>
                <w:rFonts w:cs="Arial"/>
                <w:sz w:val="18"/>
                <w:szCs w:val="18"/>
              </w:rPr>
              <w:t>Scheme contributions provision</w:t>
            </w:r>
          </w:p>
        </w:tc>
        <w:tc>
          <w:tcPr>
            <w:tcW w:w="1249" w:type="dxa"/>
            <w:tcBorders>
              <w:top w:val="nil"/>
              <w:left w:val="nil"/>
              <w:bottom w:val="nil"/>
              <w:right w:val="nil"/>
            </w:tcBorders>
            <w:shd w:val="clear" w:color="FFFFFF" w:fill="FFFFFF"/>
            <w:noWrap/>
            <w:vAlign w:val="bottom"/>
            <w:hideMark/>
          </w:tcPr>
          <w:p w14:paraId="09AC9198" w14:textId="77777777" w:rsidR="00C32CBD" w:rsidRDefault="00C32CBD" w:rsidP="00320D09">
            <w:pPr>
              <w:jc w:val="right"/>
              <w:rPr>
                <w:rFonts w:cs="Arial"/>
                <w:b/>
                <w:bCs/>
                <w:sz w:val="18"/>
                <w:szCs w:val="18"/>
              </w:rPr>
            </w:pPr>
            <w:r>
              <w:rPr>
                <w:rFonts w:cs="Arial"/>
                <w:b/>
                <w:bCs/>
                <w:sz w:val="18"/>
                <w:szCs w:val="18"/>
              </w:rPr>
              <w:t>54,227</w:t>
            </w:r>
          </w:p>
        </w:tc>
        <w:tc>
          <w:tcPr>
            <w:tcW w:w="236" w:type="dxa"/>
            <w:tcBorders>
              <w:top w:val="nil"/>
              <w:left w:val="nil"/>
              <w:bottom w:val="nil"/>
              <w:right w:val="nil"/>
            </w:tcBorders>
            <w:shd w:val="clear" w:color="FFFFFF" w:fill="FFFFFF"/>
            <w:noWrap/>
            <w:vAlign w:val="bottom"/>
            <w:hideMark/>
          </w:tcPr>
          <w:p w14:paraId="3C5A38C7"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6C410BD9" w14:textId="77777777" w:rsidR="00C32CBD" w:rsidRDefault="00C32CBD" w:rsidP="00320D09">
            <w:pPr>
              <w:jc w:val="right"/>
              <w:rPr>
                <w:rFonts w:cs="Arial"/>
                <w:sz w:val="18"/>
                <w:szCs w:val="18"/>
              </w:rPr>
            </w:pPr>
            <w:r>
              <w:rPr>
                <w:rFonts w:cs="Arial"/>
                <w:sz w:val="18"/>
                <w:szCs w:val="18"/>
              </w:rPr>
              <w:t>-</w:t>
            </w:r>
          </w:p>
        </w:tc>
      </w:tr>
      <w:tr w:rsidR="00C32CBD" w14:paraId="5B2C36D8" w14:textId="77777777" w:rsidTr="00320D09">
        <w:trPr>
          <w:trHeight w:val="255"/>
        </w:trPr>
        <w:tc>
          <w:tcPr>
            <w:tcW w:w="6353" w:type="dxa"/>
            <w:tcBorders>
              <w:top w:val="nil"/>
              <w:left w:val="nil"/>
              <w:bottom w:val="nil"/>
              <w:right w:val="nil"/>
            </w:tcBorders>
            <w:shd w:val="clear" w:color="FFFFFF" w:fill="FFFFFF"/>
            <w:vAlign w:val="bottom"/>
            <w:hideMark/>
          </w:tcPr>
          <w:p w14:paraId="72A08061" w14:textId="77777777" w:rsidR="00C32CBD" w:rsidRDefault="00C32CBD" w:rsidP="00320D09">
            <w:pPr>
              <w:rPr>
                <w:rFonts w:cs="Arial"/>
                <w:sz w:val="18"/>
                <w:szCs w:val="18"/>
              </w:rPr>
            </w:pPr>
            <w:r>
              <w:rPr>
                <w:rFonts w:cs="Arial"/>
                <w:sz w:val="18"/>
                <w:szCs w:val="18"/>
              </w:rPr>
              <w:t>Provision for restoration obligations</w:t>
            </w:r>
          </w:p>
        </w:tc>
        <w:tc>
          <w:tcPr>
            <w:tcW w:w="1249" w:type="dxa"/>
            <w:tcBorders>
              <w:top w:val="nil"/>
              <w:left w:val="nil"/>
              <w:bottom w:val="nil"/>
              <w:right w:val="nil"/>
            </w:tcBorders>
            <w:shd w:val="clear" w:color="FFFFFF" w:fill="FFFFFF"/>
            <w:noWrap/>
            <w:vAlign w:val="bottom"/>
            <w:hideMark/>
          </w:tcPr>
          <w:p w14:paraId="126A0506" w14:textId="77777777" w:rsidR="00C32CBD" w:rsidRDefault="00C32CBD" w:rsidP="00320D09">
            <w:pPr>
              <w:jc w:val="right"/>
              <w:rPr>
                <w:rFonts w:cs="Arial"/>
                <w:b/>
                <w:bCs/>
                <w:sz w:val="18"/>
                <w:szCs w:val="18"/>
              </w:rPr>
            </w:pPr>
            <w:r>
              <w:rPr>
                <w:rFonts w:cs="Arial"/>
                <w:b/>
                <w:bCs/>
                <w:sz w:val="18"/>
                <w:szCs w:val="18"/>
              </w:rPr>
              <w:t>3,112</w:t>
            </w:r>
          </w:p>
        </w:tc>
        <w:tc>
          <w:tcPr>
            <w:tcW w:w="236" w:type="dxa"/>
            <w:tcBorders>
              <w:top w:val="nil"/>
              <w:left w:val="nil"/>
              <w:bottom w:val="nil"/>
              <w:right w:val="nil"/>
            </w:tcBorders>
            <w:shd w:val="clear" w:color="FFFFFF" w:fill="FFFFFF"/>
            <w:noWrap/>
            <w:vAlign w:val="bottom"/>
            <w:hideMark/>
          </w:tcPr>
          <w:p w14:paraId="084F6D5B"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6A22FC0C" w14:textId="77777777" w:rsidR="00C32CBD" w:rsidRDefault="00C32CBD" w:rsidP="00320D09">
            <w:pPr>
              <w:jc w:val="right"/>
              <w:rPr>
                <w:rFonts w:cs="Arial"/>
                <w:sz w:val="18"/>
                <w:szCs w:val="18"/>
              </w:rPr>
            </w:pPr>
            <w:r>
              <w:rPr>
                <w:rFonts w:cs="Arial"/>
                <w:sz w:val="18"/>
                <w:szCs w:val="18"/>
              </w:rPr>
              <w:t>2,735</w:t>
            </w:r>
          </w:p>
        </w:tc>
      </w:tr>
      <w:tr w:rsidR="00C32CBD" w14:paraId="5492166B" w14:textId="77777777" w:rsidTr="00320D09">
        <w:trPr>
          <w:trHeight w:val="255"/>
        </w:trPr>
        <w:tc>
          <w:tcPr>
            <w:tcW w:w="6353" w:type="dxa"/>
            <w:tcBorders>
              <w:top w:val="nil"/>
              <w:left w:val="nil"/>
              <w:bottom w:val="nil"/>
              <w:right w:val="nil"/>
            </w:tcBorders>
            <w:shd w:val="clear" w:color="FFFFFF" w:fill="FFFFFF"/>
            <w:vAlign w:val="bottom"/>
            <w:hideMark/>
          </w:tcPr>
          <w:p w14:paraId="4A40D82E" w14:textId="77777777" w:rsidR="00C32CBD" w:rsidRDefault="00C32CBD" w:rsidP="00320D09">
            <w:pPr>
              <w:rPr>
                <w:rFonts w:cs="Arial"/>
                <w:b/>
                <w:bCs/>
                <w:sz w:val="18"/>
                <w:szCs w:val="18"/>
              </w:rPr>
            </w:pPr>
            <w:r>
              <w:rPr>
                <w:rFonts w:cs="Arial"/>
                <w:b/>
                <w:bCs/>
                <w:sz w:val="18"/>
                <w:szCs w:val="18"/>
              </w:rPr>
              <w:t>Total other provisions</w:t>
            </w:r>
          </w:p>
        </w:tc>
        <w:tc>
          <w:tcPr>
            <w:tcW w:w="1249" w:type="dxa"/>
            <w:tcBorders>
              <w:top w:val="single" w:sz="4" w:space="0" w:color="auto"/>
              <w:left w:val="nil"/>
              <w:bottom w:val="single" w:sz="4" w:space="0" w:color="auto"/>
              <w:right w:val="nil"/>
            </w:tcBorders>
            <w:shd w:val="clear" w:color="FFFFFF" w:fill="FFFFFF"/>
            <w:noWrap/>
            <w:vAlign w:val="bottom"/>
            <w:hideMark/>
          </w:tcPr>
          <w:p w14:paraId="34B24324" w14:textId="77777777" w:rsidR="00C32CBD" w:rsidRDefault="00C32CBD" w:rsidP="00320D09">
            <w:pPr>
              <w:jc w:val="right"/>
              <w:rPr>
                <w:rFonts w:cs="Arial"/>
                <w:b/>
                <w:bCs/>
                <w:sz w:val="18"/>
                <w:szCs w:val="18"/>
              </w:rPr>
            </w:pPr>
            <w:r>
              <w:rPr>
                <w:rFonts w:cs="Arial"/>
                <w:b/>
                <w:bCs/>
                <w:sz w:val="18"/>
                <w:szCs w:val="18"/>
              </w:rPr>
              <w:t>57,339</w:t>
            </w:r>
          </w:p>
        </w:tc>
        <w:tc>
          <w:tcPr>
            <w:tcW w:w="236" w:type="dxa"/>
            <w:tcBorders>
              <w:top w:val="nil"/>
              <w:left w:val="nil"/>
              <w:bottom w:val="nil"/>
              <w:right w:val="nil"/>
            </w:tcBorders>
            <w:shd w:val="clear" w:color="FFFFFF" w:fill="FFFFFF"/>
            <w:noWrap/>
            <w:vAlign w:val="bottom"/>
            <w:hideMark/>
          </w:tcPr>
          <w:p w14:paraId="35C67B2B" w14:textId="77777777" w:rsidR="00C32CBD" w:rsidRDefault="00C32CBD" w:rsidP="00320D09">
            <w:pPr>
              <w:rPr>
                <w:rFonts w:cs="Arial"/>
              </w:rPr>
            </w:pPr>
            <w:r>
              <w:rPr>
                <w:rFonts w:cs="Arial"/>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1A6FF837" w14:textId="77777777" w:rsidR="00C32CBD" w:rsidRDefault="00C32CBD" w:rsidP="00320D09">
            <w:pPr>
              <w:jc w:val="right"/>
              <w:rPr>
                <w:rFonts w:cs="Arial"/>
                <w:sz w:val="18"/>
                <w:szCs w:val="18"/>
              </w:rPr>
            </w:pPr>
            <w:r>
              <w:rPr>
                <w:rFonts w:cs="Arial"/>
                <w:sz w:val="18"/>
                <w:szCs w:val="18"/>
              </w:rPr>
              <w:t>2,735</w:t>
            </w:r>
          </w:p>
        </w:tc>
      </w:tr>
      <w:tr w:rsidR="00C32CBD" w14:paraId="7721D922" w14:textId="77777777" w:rsidTr="00320D09">
        <w:trPr>
          <w:trHeight w:val="255"/>
        </w:trPr>
        <w:tc>
          <w:tcPr>
            <w:tcW w:w="6353" w:type="dxa"/>
            <w:tcBorders>
              <w:top w:val="nil"/>
              <w:left w:val="nil"/>
              <w:bottom w:val="nil"/>
              <w:right w:val="nil"/>
            </w:tcBorders>
            <w:shd w:val="clear" w:color="FFFFFF" w:fill="FFFFFF"/>
            <w:noWrap/>
            <w:vAlign w:val="bottom"/>
            <w:hideMark/>
          </w:tcPr>
          <w:p w14:paraId="0372E8CE"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6A59E9D2" w14:textId="77777777" w:rsidR="00C32CBD" w:rsidRDefault="00C32CBD" w:rsidP="00320D09">
            <w:pPr>
              <w:rPr>
                <w:rFonts w:cs="Arial"/>
                <w:b/>
                <w:bCs/>
                <w:sz w:val="18"/>
                <w:szCs w:val="18"/>
              </w:rPr>
            </w:pPr>
            <w:r>
              <w:rPr>
                <w:rFonts w:cs="Arial"/>
                <w:b/>
                <w:bCs/>
                <w:sz w:val="18"/>
                <w:szCs w:val="18"/>
              </w:rPr>
              <w:t> </w:t>
            </w:r>
          </w:p>
        </w:tc>
        <w:tc>
          <w:tcPr>
            <w:tcW w:w="236" w:type="dxa"/>
            <w:tcBorders>
              <w:top w:val="nil"/>
              <w:left w:val="nil"/>
              <w:bottom w:val="nil"/>
              <w:right w:val="nil"/>
            </w:tcBorders>
            <w:shd w:val="clear" w:color="FFFFFF" w:fill="FFFFFF"/>
            <w:noWrap/>
            <w:vAlign w:val="bottom"/>
            <w:hideMark/>
          </w:tcPr>
          <w:p w14:paraId="166C05F7" w14:textId="77777777" w:rsidR="00C32CBD" w:rsidRDefault="00C32CBD" w:rsidP="00320D09">
            <w:pPr>
              <w:rPr>
                <w:rFonts w:cs="Arial"/>
              </w:rPr>
            </w:pPr>
            <w:r>
              <w:rPr>
                <w:rFonts w:cs="Arial"/>
              </w:rPr>
              <w:t> </w:t>
            </w:r>
          </w:p>
        </w:tc>
        <w:tc>
          <w:tcPr>
            <w:tcW w:w="1249" w:type="dxa"/>
            <w:tcBorders>
              <w:top w:val="nil"/>
              <w:left w:val="nil"/>
              <w:bottom w:val="nil"/>
              <w:right w:val="nil"/>
            </w:tcBorders>
            <w:shd w:val="clear" w:color="FFFFFF" w:fill="FFFFFF"/>
            <w:noWrap/>
            <w:vAlign w:val="bottom"/>
            <w:hideMark/>
          </w:tcPr>
          <w:p w14:paraId="492DA50E" w14:textId="77777777" w:rsidR="00C32CBD" w:rsidRDefault="00C32CBD" w:rsidP="00320D09">
            <w:pPr>
              <w:rPr>
                <w:rFonts w:cs="Arial"/>
                <w:sz w:val="18"/>
                <w:szCs w:val="18"/>
              </w:rPr>
            </w:pPr>
            <w:r>
              <w:rPr>
                <w:rFonts w:cs="Arial"/>
                <w:sz w:val="18"/>
                <w:szCs w:val="18"/>
              </w:rPr>
              <w:t> </w:t>
            </w:r>
          </w:p>
        </w:tc>
      </w:tr>
      <w:tr w:rsidR="00C32CBD" w14:paraId="7047014A" w14:textId="77777777" w:rsidTr="00320D09">
        <w:trPr>
          <w:trHeight w:val="255"/>
        </w:trPr>
        <w:tc>
          <w:tcPr>
            <w:tcW w:w="6353" w:type="dxa"/>
            <w:tcBorders>
              <w:top w:val="nil"/>
              <w:left w:val="nil"/>
              <w:bottom w:val="nil"/>
              <w:right w:val="nil"/>
            </w:tcBorders>
            <w:shd w:val="clear" w:color="FFFFFF" w:fill="FFFFFF"/>
            <w:vAlign w:val="bottom"/>
            <w:hideMark/>
          </w:tcPr>
          <w:p w14:paraId="6893DF64" w14:textId="77777777" w:rsidR="00C32CBD" w:rsidRDefault="00C32CBD" w:rsidP="00320D09">
            <w:pPr>
              <w:rPr>
                <w:rFonts w:cs="Arial"/>
                <w:sz w:val="18"/>
                <w:szCs w:val="18"/>
              </w:rPr>
            </w:pPr>
            <w:r>
              <w:rPr>
                <w:rFonts w:cs="Arial"/>
                <w:sz w:val="18"/>
                <w:szCs w:val="18"/>
              </w:rPr>
              <w:t>Other provisions expected to be settled</w:t>
            </w:r>
          </w:p>
        </w:tc>
        <w:tc>
          <w:tcPr>
            <w:tcW w:w="1249" w:type="dxa"/>
            <w:tcBorders>
              <w:top w:val="nil"/>
              <w:left w:val="nil"/>
              <w:bottom w:val="nil"/>
              <w:right w:val="nil"/>
            </w:tcBorders>
            <w:shd w:val="clear" w:color="FFFFFF" w:fill="FFFFFF"/>
            <w:noWrap/>
            <w:vAlign w:val="bottom"/>
            <w:hideMark/>
          </w:tcPr>
          <w:p w14:paraId="0BEDEADB" w14:textId="77777777" w:rsidR="00C32CBD" w:rsidRDefault="00C32CBD" w:rsidP="00320D09">
            <w:pPr>
              <w:rPr>
                <w:rFonts w:cs="Arial"/>
                <w:b/>
                <w:bCs/>
                <w:sz w:val="18"/>
                <w:szCs w:val="18"/>
              </w:rPr>
            </w:pPr>
            <w:r>
              <w:rPr>
                <w:rFonts w:cs="Arial"/>
                <w:b/>
                <w:bCs/>
                <w:sz w:val="18"/>
                <w:szCs w:val="18"/>
              </w:rPr>
              <w:t> </w:t>
            </w:r>
          </w:p>
        </w:tc>
        <w:tc>
          <w:tcPr>
            <w:tcW w:w="236" w:type="dxa"/>
            <w:tcBorders>
              <w:top w:val="nil"/>
              <w:left w:val="nil"/>
              <w:bottom w:val="nil"/>
              <w:right w:val="nil"/>
            </w:tcBorders>
            <w:shd w:val="clear" w:color="FFFFFF" w:fill="FFFFFF"/>
            <w:noWrap/>
            <w:vAlign w:val="bottom"/>
            <w:hideMark/>
          </w:tcPr>
          <w:p w14:paraId="415779C6" w14:textId="77777777" w:rsidR="00C32CBD" w:rsidRDefault="00C32CBD" w:rsidP="00320D09">
            <w:pPr>
              <w:rPr>
                <w:rFonts w:cs="Arial"/>
              </w:rPr>
            </w:pPr>
            <w:r>
              <w:rPr>
                <w:rFonts w:cs="Arial"/>
              </w:rPr>
              <w:t> </w:t>
            </w:r>
          </w:p>
        </w:tc>
        <w:tc>
          <w:tcPr>
            <w:tcW w:w="1249" w:type="dxa"/>
            <w:tcBorders>
              <w:top w:val="nil"/>
              <w:left w:val="nil"/>
              <w:bottom w:val="nil"/>
              <w:right w:val="nil"/>
            </w:tcBorders>
            <w:shd w:val="clear" w:color="FFFFFF" w:fill="FFFFFF"/>
            <w:noWrap/>
            <w:vAlign w:val="bottom"/>
            <w:hideMark/>
          </w:tcPr>
          <w:p w14:paraId="53E76CD5" w14:textId="77777777" w:rsidR="00C32CBD" w:rsidRDefault="00C32CBD" w:rsidP="00320D09">
            <w:pPr>
              <w:rPr>
                <w:rFonts w:cs="Arial"/>
                <w:sz w:val="18"/>
                <w:szCs w:val="18"/>
              </w:rPr>
            </w:pPr>
            <w:r>
              <w:rPr>
                <w:rFonts w:cs="Arial"/>
                <w:sz w:val="18"/>
                <w:szCs w:val="18"/>
              </w:rPr>
              <w:t> </w:t>
            </w:r>
          </w:p>
        </w:tc>
      </w:tr>
      <w:tr w:rsidR="00C32CBD" w14:paraId="3A0632D9" w14:textId="77777777" w:rsidTr="00320D09">
        <w:trPr>
          <w:trHeight w:val="255"/>
        </w:trPr>
        <w:tc>
          <w:tcPr>
            <w:tcW w:w="6353" w:type="dxa"/>
            <w:tcBorders>
              <w:top w:val="nil"/>
              <w:left w:val="nil"/>
              <w:bottom w:val="nil"/>
              <w:right w:val="nil"/>
            </w:tcBorders>
            <w:shd w:val="clear" w:color="FFFFFF" w:fill="FFFFFF"/>
            <w:noWrap/>
            <w:vAlign w:val="bottom"/>
            <w:hideMark/>
          </w:tcPr>
          <w:p w14:paraId="6F0972E2" w14:textId="77777777" w:rsidR="00C32CBD" w:rsidRDefault="00C32CBD" w:rsidP="00320D09">
            <w:pPr>
              <w:ind w:firstLineChars="100" w:firstLine="180"/>
              <w:rPr>
                <w:rFonts w:cs="Arial"/>
                <w:sz w:val="18"/>
                <w:szCs w:val="18"/>
              </w:rPr>
            </w:pPr>
            <w:r>
              <w:rPr>
                <w:rFonts w:cs="Arial"/>
                <w:sz w:val="18"/>
                <w:szCs w:val="18"/>
              </w:rPr>
              <w:t>No more than 12 months</w:t>
            </w:r>
          </w:p>
        </w:tc>
        <w:tc>
          <w:tcPr>
            <w:tcW w:w="1249" w:type="dxa"/>
            <w:tcBorders>
              <w:top w:val="nil"/>
              <w:left w:val="nil"/>
              <w:bottom w:val="nil"/>
              <w:right w:val="nil"/>
            </w:tcBorders>
            <w:shd w:val="clear" w:color="FFFFFF" w:fill="FFFFFF"/>
            <w:noWrap/>
            <w:vAlign w:val="bottom"/>
            <w:hideMark/>
          </w:tcPr>
          <w:p w14:paraId="588943CF" w14:textId="77777777" w:rsidR="00C32CBD" w:rsidRDefault="00C32CBD" w:rsidP="00320D09">
            <w:pPr>
              <w:jc w:val="right"/>
              <w:rPr>
                <w:rFonts w:cs="Arial"/>
                <w:b/>
                <w:bCs/>
                <w:sz w:val="18"/>
                <w:szCs w:val="18"/>
              </w:rPr>
            </w:pPr>
            <w:r>
              <w:rPr>
                <w:rFonts w:cs="Arial"/>
                <w:b/>
                <w:bCs/>
                <w:sz w:val="18"/>
                <w:szCs w:val="18"/>
              </w:rPr>
              <w:t>54,878</w:t>
            </w:r>
          </w:p>
        </w:tc>
        <w:tc>
          <w:tcPr>
            <w:tcW w:w="236" w:type="dxa"/>
            <w:tcBorders>
              <w:top w:val="nil"/>
              <w:left w:val="nil"/>
              <w:bottom w:val="nil"/>
              <w:right w:val="nil"/>
            </w:tcBorders>
            <w:shd w:val="clear" w:color="FFFFFF" w:fill="FFFFFF"/>
            <w:noWrap/>
            <w:vAlign w:val="bottom"/>
            <w:hideMark/>
          </w:tcPr>
          <w:p w14:paraId="24FB31D8"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53B3F68C" w14:textId="77777777" w:rsidR="00C32CBD" w:rsidRDefault="00C32CBD" w:rsidP="00320D09">
            <w:pPr>
              <w:jc w:val="right"/>
              <w:rPr>
                <w:rFonts w:cs="Arial"/>
                <w:sz w:val="18"/>
                <w:szCs w:val="18"/>
              </w:rPr>
            </w:pPr>
            <w:r>
              <w:rPr>
                <w:rFonts w:cs="Arial"/>
                <w:sz w:val="18"/>
                <w:szCs w:val="18"/>
              </w:rPr>
              <w:t>1,437</w:t>
            </w:r>
          </w:p>
        </w:tc>
      </w:tr>
      <w:tr w:rsidR="00C32CBD" w14:paraId="1BCADE89" w14:textId="77777777" w:rsidTr="00320D09">
        <w:trPr>
          <w:trHeight w:val="255"/>
        </w:trPr>
        <w:tc>
          <w:tcPr>
            <w:tcW w:w="6353" w:type="dxa"/>
            <w:tcBorders>
              <w:top w:val="nil"/>
              <w:left w:val="nil"/>
              <w:bottom w:val="nil"/>
              <w:right w:val="nil"/>
            </w:tcBorders>
            <w:shd w:val="clear" w:color="FFFFFF" w:fill="FFFFFF"/>
            <w:noWrap/>
            <w:vAlign w:val="bottom"/>
            <w:hideMark/>
          </w:tcPr>
          <w:p w14:paraId="1AD98E71" w14:textId="77777777" w:rsidR="00C32CBD" w:rsidRDefault="00C32CBD" w:rsidP="00320D09">
            <w:pPr>
              <w:ind w:firstLineChars="100" w:firstLine="180"/>
              <w:rPr>
                <w:rFonts w:cs="Arial"/>
                <w:sz w:val="18"/>
                <w:szCs w:val="18"/>
              </w:rPr>
            </w:pPr>
            <w:r>
              <w:rPr>
                <w:rFonts w:cs="Arial"/>
                <w:sz w:val="18"/>
                <w:szCs w:val="18"/>
              </w:rPr>
              <w:t>More than 12 months</w:t>
            </w:r>
          </w:p>
        </w:tc>
        <w:tc>
          <w:tcPr>
            <w:tcW w:w="1249" w:type="dxa"/>
            <w:tcBorders>
              <w:top w:val="nil"/>
              <w:left w:val="nil"/>
              <w:bottom w:val="nil"/>
              <w:right w:val="nil"/>
            </w:tcBorders>
            <w:shd w:val="clear" w:color="FFFFFF" w:fill="FFFFFF"/>
            <w:noWrap/>
            <w:vAlign w:val="bottom"/>
            <w:hideMark/>
          </w:tcPr>
          <w:p w14:paraId="273A5633" w14:textId="77777777" w:rsidR="00C32CBD" w:rsidRDefault="00C32CBD" w:rsidP="00320D09">
            <w:pPr>
              <w:jc w:val="right"/>
              <w:rPr>
                <w:rFonts w:cs="Arial"/>
                <w:b/>
                <w:bCs/>
                <w:sz w:val="18"/>
                <w:szCs w:val="18"/>
              </w:rPr>
            </w:pPr>
            <w:r>
              <w:rPr>
                <w:rFonts w:cs="Arial"/>
                <w:b/>
                <w:bCs/>
                <w:sz w:val="18"/>
                <w:szCs w:val="18"/>
              </w:rPr>
              <w:t>2,461</w:t>
            </w:r>
          </w:p>
        </w:tc>
        <w:tc>
          <w:tcPr>
            <w:tcW w:w="236" w:type="dxa"/>
            <w:tcBorders>
              <w:top w:val="nil"/>
              <w:left w:val="nil"/>
              <w:bottom w:val="nil"/>
              <w:right w:val="nil"/>
            </w:tcBorders>
            <w:shd w:val="clear" w:color="FFFFFF" w:fill="FFFFFF"/>
            <w:noWrap/>
            <w:vAlign w:val="bottom"/>
            <w:hideMark/>
          </w:tcPr>
          <w:p w14:paraId="0409B181"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02EB6694" w14:textId="77777777" w:rsidR="00C32CBD" w:rsidRDefault="00C32CBD" w:rsidP="00320D09">
            <w:pPr>
              <w:jc w:val="right"/>
              <w:rPr>
                <w:rFonts w:cs="Arial"/>
                <w:sz w:val="18"/>
                <w:szCs w:val="18"/>
              </w:rPr>
            </w:pPr>
            <w:r>
              <w:rPr>
                <w:rFonts w:cs="Arial"/>
                <w:sz w:val="18"/>
                <w:szCs w:val="18"/>
              </w:rPr>
              <w:t>1,298</w:t>
            </w:r>
          </w:p>
        </w:tc>
      </w:tr>
      <w:tr w:rsidR="00C32CBD" w14:paraId="5D80DF84" w14:textId="77777777" w:rsidTr="00320D09">
        <w:trPr>
          <w:trHeight w:val="255"/>
        </w:trPr>
        <w:tc>
          <w:tcPr>
            <w:tcW w:w="6353" w:type="dxa"/>
            <w:tcBorders>
              <w:top w:val="nil"/>
              <w:left w:val="nil"/>
              <w:bottom w:val="nil"/>
              <w:right w:val="nil"/>
            </w:tcBorders>
            <w:shd w:val="clear" w:color="FFFFFF" w:fill="FFFFFF"/>
            <w:vAlign w:val="bottom"/>
            <w:hideMark/>
          </w:tcPr>
          <w:p w14:paraId="50C7EC09" w14:textId="77777777" w:rsidR="00C32CBD" w:rsidRDefault="00C32CBD" w:rsidP="00320D09">
            <w:pPr>
              <w:rPr>
                <w:rFonts w:cs="Arial"/>
                <w:b/>
                <w:bCs/>
                <w:sz w:val="18"/>
                <w:szCs w:val="18"/>
              </w:rPr>
            </w:pPr>
            <w:r>
              <w:rPr>
                <w:rFonts w:cs="Arial"/>
                <w:b/>
                <w:bCs/>
                <w:sz w:val="18"/>
                <w:szCs w:val="18"/>
              </w:rPr>
              <w:t>Total other provisions</w:t>
            </w:r>
          </w:p>
        </w:tc>
        <w:tc>
          <w:tcPr>
            <w:tcW w:w="1249" w:type="dxa"/>
            <w:tcBorders>
              <w:top w:val="single" w:sz="4" w:space="0" w:color="auto"/>
              <w:left w:val="nil"/>
              <w:bottom w:val="single" w:sz="4" w:space="0" w:color="auto"/>
              <w:right w:val="nil"/>
            </w:tcBorders>
            <w:shd w:val="clear" w:color="FFFFFF" w:fill="FFFFFF"/>
            <w:noWrap/>
            <w:vAlign w:val="bottom"/>
            <w:hideMark/>
          </w:tcPr>
          <w:p w14:paraId="20B703F1" w14:textId="77777777" w:rsidR="00C32CBD" w:rsidRDefault="00C32CBD" w:rsidP="00320D09">
            <w:pPr>
              <w:jc w:val="right"/>
              <w:rPr>
                <w:rFonts w:cs="Arial"/>
                <w:b/>
                <w:bCs/>
                <w:sz w:val="18"/>
                <w:szCs w:val="18"/>
              </w:rPr>
            </w:pPr>
            <w:r>
              <w:rPr>
                <w:rFonts w:cs="Arial"/>
                <w:b/>
                <w:bCs/>
                <w:sz w:val="18"/>
                <w:szCs w:val="18"/>
              </w:rPr>
              <w:t>57,339</w:t>
            </w:r>
          </w:p>
        </w:tc>
        <w:tc>
          <w:tcPr>
            <w:tcW w:w="236" w:type="dxa"/>
            <w:tcBorders>
              <w:top w:val="nil"/>
              <w:left w:val="nil"/>
              <w:bottom w:val="nil"/>
              <w:right w:val="nil"/>
            </w:tcBorders>
            <w:shd w:val="clear" w:color="FFFFFF" w:fill="FFFFFF"/>
            <w:noWrap/>
            <w:vAlign w:val="bottom"/>
            <w:hideMark/>
          </w:tcPr>
          <w:p w14:paraId="281EF2E5" w14:textId="77777777" w:rsidR="00C32CBD" w:rsidRDefault="00C32CBD" w:rsidP="00320D09">
            <w:pPr>
              <w:rPr>
                <w:rFonts w:cs="Arial"/>
              </w:rPr>
            </w:pPr>
            <w:r>
              <w:rPr>
                <w:rFonts w:cs="Arial"/>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4658F376" w14:textId="77777777" w:rsidR="00C32CBD" w:rsidRDefault="00C32CBD" w:rsidP="00320D09">
            <w:pPr>
              <w:jc w:val="right"/>
              <w:rPr>
                <w:rFonts w:cs="Arial"/>
                <w:sz w:val="18"/>
                <w:szCs w:val="18"/>
              </w:rPr>
            </w:pPr>
            <w:r>
              <w:rPr>
                <w:rFonts w:cs="Arial"/>
                <w:sz w:val="18"/>
                <w:szCs w:val="18"/>
              </w:rPr>
              <w:t>2,735</w:t>
            </w:r>
          </w:p>
        </w:tc>
      </w:tr>
    </w:tbl>
    <w:p w14:paraId="340BA924" w14:textId="77777777" w:rsidR="00C32CBD" w:rsidRDefault="00C32CBD" w:rsidP="00C32CBD"/>
    <w:p w14:paraId="3E6489EB" w14:textId="77777777" w:rsidR="00C32CBD" w:rsidRDefault="00C32CBD" w:rsidP="00C32CBD">
      <w:pPr>
        <w:rPr>
          <w:rFonts w:cs="Arial"/>
          <w:sz w:val="18"/>
          <w:szCs w:val="18"/>
        </w:rPr>
      </w:pPr>
      <w:r w:rsidRPr="0060513E">
        <w:rPr>
          <w:rFonts w:cs="Arial"/>
          <w:sz w:val="18"/>
          <w:szCs w:val="18"/>
        </w:rPr>
        <w:t xml:space="preserve">The </w:t>
      </w:r>
      <w:r>
        <w:rPr>
          <w:rFonts w:cs="Arial"/>
          <w:sz w:val="18"/>
          <w:szCs w:val="18"/>
        </w:rPr>
        <w:t>Agenc</w:t>
      </w:r>
      <w:r w:rsidRPr="0060513E">
        <w:rPr>
          <w:rFonts w:cs="Arial"/>
          <w:sz w:val="18"/>
          <w:szCs w:val="18"/>
        </w:rPr>
        <w:t>y</w:t>
      </w:r>
      <w:r>
        <w:rPr>
          <w:rFonts w:cs="Arial"/>
          <w:sz w:val="18"/>
          <w:szCs w:val="18"/>
        </w:rPr>
        <w:t xml:space="preserve"> has 19 (2015-16: 16) agreements for the leasing of premises which have provisions requiring the entity to restore the premises to their original condition at the conclusion of the lease. The Agency has made a provision to reflect the present value of this obligation.</w:t>
      </w:r>
    </w:p>
    <w:p w14:paraId="320BCCEC" w14:textId="77777777" w:rsidR="00C32CBD" w:rsidRDefault="00C32CBD" w:rsidP="00C32CBD">
      <w:pPr>
        <w:rPr>
          <w:rFonts w:cs="Arial"/>
          <w:sz w:val="18"/>
          <w:szCs w:val="18"/>
        </w:rPr>
      </w:pPr>
    </w:p>
    <w:p w14:paraId="09C13754" w14:textId="77777777" w:rsidR="00C32CBD" w:rsidRPr="002533F9" w:rsidRDefault="00C32CBD" w:rsidP="00C32CBD">
      <w:pPr>
        <w:pStyle w:val="SubHeading"/>
        <w:numPr>
          <w:ilvl w:val="0"/>
          <w:numId w:val="0"/>
        </w:numPr>
        <w:shd w:val="clear" w:color="auto" w:fill="auto"/>
        <w:ind w:left="360" w:hanging="360"/>
        <w:rPr>
          <w:color w:val="auto"/>
          <w:sz w:val="18"/>
        </w:rPr>
      </w:pPr>
      <w:bookmarkStart w:id="177" w:name="_Toc496611905"/>
      <w:r w:rsidRPr="002533F9">
        <w:rPr>
          <w:color w:val="auto"/>
          <w:sz w:val="18"/>
        </w:rPr>
        <w:t>Reconciliation of provisions</w:t>
      </w:r>
      <w:bookmarkEnd w:id="177"/>
      <w:r w:rsidRPr="002533F9">
        <w:rPr>
          <w:color w:val="auto"/>
          <w:sz w:val="18"/>
        </w:rPr>
        <w:t xml:space="preserve"> </w:t>
      </w:r>
    </w:p>
    <w:p w14:paraId="547450D4" w14:textId="77777777" w:rsidR="00C32CBD" w:rsidRDefault="00C32CBD" w:rsidP="00C32CBD"/>
    <w:tbl>
      <w:tblPr>
        <w:tblW w:w="9087" w:type="dxa"/>
        <w:tblInd w:w="80" w:type="dxa"/>
        <w:tblLayout w:type="fixed"/>
        <w:tblLook w:val="04A0" w:firstRow="1" w:lastRow="0" w:firstColumn="1" w:lastColumn="0" w:noHBand="0" w:noVBand="1"/>
      </w:tblPr>
      <w:tblGrid>
        <w:gridCol w:w="2755"/>
        <w:gridCol w:w="1418"/>
        <w:gridCol w:w="1276"/>
        <w:gridCol w:w="1275"/>
        <w:gridCol w:w="1276"/>
        <w:gridCol w:w="1087"/>
      </w:tblGrid>
      <w:tr w:rsidR="00C32CBD" w14:paraId="30099280" w14:textId="77777777" w:rsidTr="00320D09">
        <w:trPr>
          <w:trHeight w:val="1050"/>
        </w:trPr>
        <w:tc>
          <w:tcPr>
            <w:tcW w:w="2755" w:type="dxa"/>
            <w:tcBorders>
              <w:top w:val="single" w:sz="4" w:space="0" w:color="auto"/>
              <w:left w:val="nil"/>
              <w:bottom w:val="nil"/>
              <w:right w:val="nil"/>
            </w:tcBorders>
            <w:shd w:val="clear" w:color="FFFFFF" w:fill="FFFFFF"/>
            <w:vAlign w:val="bottom"/>
            <w:hideMark/>
          </w:tcPr>
          <w:p w14:paraId="0D4DC184" w14:textId="77777777" w:rsidR="00C32CBD" w:rsidRDefault="00C32CBD" w:rsidP="00320D09">
            <w:pPr>
              <w:rPr>
                <w:rFonts w:cs="Arial"/>
                <w:sz w:val="18"/>
                <w:szCs w:val="18"/>
              </w:rPr>
            </w:pPr>
            <w:bookmarkStart w:id="178" w:name="Note_ROPTABLE1" w:colFirst="0" w:colLast="0"/>
            <w:r>
              <w:rPr>
                <w:rFonts w:cs="Arial"/>
                <w:sz w:val="18"/>
                <w:szCs w:val="18"/>
              </w:rPr>
              <w:t> </w:t>
            </w:r>
          </w:p>
        </w:tc>
        <w:tc>
          <w:tcPr>
            <w:tcW w:w="1418" w:type="dxa"/>
            <w:tcBorders>
              <w:top w:val="single" w:sz="4" w:space="0" w:color="auto"/>
              <w:left w:val="nil"/>
              <w:bottom w:val="nil"/>
              <w:right w:val="nil"/>
            </w:tcBorders>
            <w:shd w:val="clear" w:color="FFFFFF" w:fill="FFFFFF"/>
            <w:vAlign w:val="bottom"/>
            <w:hideMark/>
          </w:tcPr>
          <w:p w14:paraId="7B059906" w14:textId="77777777" w:rsidR="00C32CBD" w:rsidRDefault="00C32CBD" w:rsidP="00320D09">
            <w:pPr>
              <w:jc w:val="right"/>
              <w:rPr>
                <w:rFonts w:cs="Arial"/>
                <w:b/>
                <w:bCs/>
                <w:sz w:val="18"/>
                <w:szCs w:val="18"/>
              </w:rPr>
            </w:pPr>
            <w:r>
              <w:rPr>
                <w:rFonts w:cs="Arial"/>
                <w:b/>
                <w:bCs/>
                <w:sz w:val="18"/>
                <w:szCs w:val="18"/>
              </w:rPr>
              <w:t>Participant plan provision</w:t>
            </w:r>
          </w:p>
        </w:tc>
        <w:tc>
          <w:tcPr>
            <w:tcW w:w="1276" w:type="dxa"/>
            <w:tcBorders>
              <w:top w:val="single" w:sz="4" w:space="0" w:color="auto"/>
              <w:left w:val="nil"/>
              <w:bottom w:val="nil"/>
              <w:right w:val="nil"/>
            </w:tcBorders>
            <w:shd w:val="clear" w:color="FFFFFF" w:fill="FFFFFF"/>
            <w:vAlign w:val="bottom"/>
            <w:hideMark/>
          </w:tcPr>
          <w:p w14:paraId="20CC849A" w14:textId="77777777" w:rsidR="00C32CBD" w:rsidRDefault="00C32CBD" w:rsidP="00320D09">
            <w:pPr>
              <w:jc w:val="right"/>
              <w:rPr>
                <w:rFonts w:cs="Arial"/>
                <w:b/>
                <w:bCs/>
                <w:sz w:val="18"/>
                <w:szCs w:val="18"/>
              </w:rPr>
            </w:pPr>
            <w:r>
              <w:rPr>
                <w:rFonts w:cs="Arial"/>
                <w:b/>
                <w:bCs/>
                <w:sz w:val="18"/>
                <w:szCs w:val="18"/>
              </w:rPr>
              <w:t>Provision for restoration</w:t>
            </w:r>
          </w:p>
        </w:tc>
        <w:tc>
          <w:tcPr>
            <w:tcW w:w="1275" w:type="dxa"/>
            <w:tcBorders>
              <w:top w:val="single" w:sz="4" w:space="0" w:color="auto"/>
              <w:left w:val="nil"/>
              <w:bottom w:val="nil"/>
              <w:right w:val="nil"/>
            </w:tcBorders>
            <w:shd w:val="clear" w:color="FFFFFF" w:fill="FFFFFF"/>
            <w:vAlign w:val="bottom"/>
            <w:hideMark/>
          </w:tcPr>
          <w:p w14:paraId="6107C084" w14:textId="77777777" w:rsidR="00C32CBD" w:rsidRDefault="00C32CBD" w:rsidP="00320D09">
            <w:pPr>
              <w:jc w:val="right"/>
              <w:rPr>
                <w:rFonts w:cs="Arial"/>
                <w:b/>
                <w:bCs/>
                <w:sz w:val="18"/>
                <w:szCs w:val="18"/>
              </w:rPr>
            </w:pPr>
            <w:r>
              <w:rPr>
                <w:rFonts w:cs="Arial"/>
                <w:b/>
                <w:bCs/>
                <w:sz w:val="18"/>
                <w:szCs w:val="18"/>
              </w:rPr>
              <w:t>Participant advances provision</w:t>
            </w:r>
          </w:p>
        </w:tc>
        <w:tc>
          <w:tcPr>
            <w:tcW w:w="1276" w:type="dxa"/>
            <w:tcBorders>
              <w:top w:val="single" w:sz="4" w:space="0" w:color="auto"/>
              <w:left w:val="nil"/>
              <w:bottom w:val="nil"/>
              <w:right w:val="nil"/>
            </w:tcBorders>
            <w:shd w:val="clear" w:color="FFFFFF" w:fill="FFFFFF"/>
            <w:vAlign w:val="bottom"/>
            <w:hideMark/>
          </w:tcPr>
          <w:p w14:paraId="0171671E" w14:textId="77777777" w:rsidR="00C32CBD" w:rsidRDefault="00C32CBD" w:rsidP="00320D09">
            <w:pPr>
              <w:jc w:val="right"/>
              <w:rPr>
                <w:rFonts w:cs="Arial"/>
                <w:b/>
                <w:bCs/>
                <w:sz w:val="18"/>
                <w:szCs w:val="18"/>
              </w:rPr>
            </w:pPr>
            <w:r>
              <w:rPr>
                <w:rFonts w:cs="Arial"/>
                <w:b/>
                <w:bCs/>
                <w:sz w:val="18"/>
                <w:szCs w:val="18"/>
              </w:rPr>
              <w:t>Scheme contribution provision</w:t>
            </w:r>
          </w:p>
        </w:tc>
        <w:tc>
          <w:tcPr>
            <w:tcW w:w="1087" w:type="dxa"/>
            <w:tcBorders>
              <w:top w:val="single" w:sz="4" w:space="0" w:color="auto"/>
              <w:left w:val="nil"/>
              <w:bottom w:val="nil"/>
              <w:right w:val="nil"/>
            </w:tcBorders>
            <w:shd w:val="clear" w:color="FFFFFF" w:fill="FFFFFF"/>
            <w:vAlign w:val="bottom"/>
            <w:hideMark/>
          </w:tcPr>
          <w:p w14:paraId="768D913C" w14:textId="77777777" w:rsidR="00C32CBD" w:rsidRDefault="00C32CBD" w:rsidP="00320D09">
            <w:pPr>
              <w:jc w:val="right"/>
              <w:rPr>
                <w:rFonts w:cs="Arial"/>
                <w:b/>
                <w:bCs/>
                <w:sz w:val="18"/>
                <w:szCs w:val="18"/>
              </w:rPr>
            </w:pPr>
            <w:r>
              <w:rPr>
                <w:rFonts w:cs="Arial"/>
                <w:b/>
                <w:bCs/>
                <w:sz w:val="18"/>
                <w:szCs w:val="18"/>
              </w:rPr>
              <w:t>Total</w:t>
            </w:r>
          </w:p>
        </w:tc>
      </w:tr>
      <w:bookmarkEnd w:id="178"/>
      <w:tr w:rsidR="00C32CBD" w14:paraId="73423A8A" w14:textId="77777777" w:rsidTr="00320D09">
        <w:trPr>
          <w:trHeight w:val="255"/>
        </w:trPr>
        <w:tc>
          <w:tcPr>
            <w:tcW w:w="2755" w:type="dxa"/>
            <w:tcBorders>
              <w:top w:val="nil"/>
              <w:left w:val="nil"/>
              <w:bottom w:val="single" w:sz="4" w:space="0" w:color="auto"/>
              <w:right w:val="nil"/>
            </w:tcBorders>
            <w:shd w:val="clear" w:color="FFFFFF" w:fill="FFFFFF"/>
            <w:vAlign w:val="bottom"/>
            <w:hideMark/>
          </w:tcPr>
          <w:p w14:paraId="7A46067F" w14:textId="77777777" w:rsidR="00C32CBD" w:rsidRDefault="00C32CBD" w:rsidP="00320D09">
            <w:pPr>
              <w:rPr>
                <w:rFonts w:cs="Arial"/>
                <w:sz w:val="18"/>
                <w:szCs w:val="18"/>
              </w:rPr>
            </w:pPr>
            <w:r>
              <w:rPr>
                <w:rFonts w:cs="Arial"/>
                <w:sz w:val="18"/>
                <w:szCs w:val="18"/>
              </w:rPr>
              <w:t> </w:t>
            </w:r>
          </w:p>
        </w:tc>
        <w:tc>
          <w:tcPr>
            <w:tcW w:w="1418" w:type="dxa"/>
            <w:tcBorders>
              <w:top w:val="nil"/>
              <w:left w:val="nil"/>
              <w:bottom w:val="single" w:sz="4" w:space="0" w:color="auto"/>
              <w:right w:val="nil"/>
            </w:tcBorders>
            <w:shd w:val="clear" w:color="FFFFFF" w:fill="FFFFFF"/>
            <w:vAlign w:val="bottom"/>
            <w:hideMark/>
          </w:tcPr>
          <w:p w14:paraId="6B7439B5" w14:textId="77777777" w:rsidR="00C32CBD" w:rsidRDefault="00C32CBD" w:rsidP="00320D09">
            <w:pPr>
              <w:jc w:val="right"/>
              <w:rPr>
                <w:rFonts w:cs="Arial"/>
                <w:b/>
                <w:bCs/>
                <w:sz w:val="18"/>
                <w:szCs w:val="18"/>
              </w:rPr>
            </w:pPr>
            <w:r>
              <w:rPr>
                <w:rFonts w:cs="Arial"/>
                <w:b/>
                <w:bCs/>
                <w:sz w:val="18"/>
                <w:szCs w:val="18"/>
              </w:rPr>
              <w:t>$’000</w:t>
            </w:r>
          </w:p>
        </w:tc>
        <w:tc>
          <w:tcPr>
            <w:tcW w:w="1276" w:type="dxa"/>
            <w:tcBorders>
              <w:top w:val="nil"/>
              <w:left w:val="nil"/>
              <w:bottom w:val="single" w:sz="4" w:space="0" w:color="auto"/>
              <w:right w:val="nil"/>
            </w:tcBorders>
            <w:shd w:val="clear" w:color="FFFFFF" w:fill="FFFFFF"/>
            <w:vAlign w:val="bottom"/>
            <w:hideMark/>
          </w:tcPr>
          <w:p w14:paraId="64D6D375" w14:textId="77777777" w:rsidR="00C32CBD" w:rsidRDefault="00C32CBD" w:rsidP="00320D09">
            <w:pPr>
              <w:jc w:val="right"/>
              <w:rPr>
                <w:rFonts w:cs="Arial"/>
                <w:b/>
                <w:bCs/>
                <w:sz w:val="18"/>
                <w:szCs w:val="18"/>
              </w:rPr>
            </w:pPr>
            <w:r>
              <w:rPr>
                <w:rFonts w:cs="Arial"/>
                <w:b/>
                <w:bCs/>
                <w:sz w:val="18"/>
                <w:szCs w:val="18"/>
              </w:rPr>
              <w:t>$’000</w:t>
            </w:r>
          </w:p>
        </w:tc>
        <w:tc>
          <w:tcPr>
            <w:tcW w:w="1275" w:type="dxa"/>
            <w:tcBorders>
              <w:top w:val="nil"/>
              <w:left w:val="nil"/>
              <w:bottom w:val="single" w:sz="4" w:space="0" w:color="auto"/>
              <w:right w:val="nil"/>
            </w:tcBorders>
            <w:shd w:val="clear" w:color="FFFFFF" w:fill="FFFFFF"/>
            <w:vAlign w:val="bottom"/>
            <w:hideMark/>
          </w:tcPr>
          <w:p w14:paraId="207B0F57" w14:textId="77777777" w:rsidR="00C32CBD" w:rsidRDefault="00C32CBD" w:rsidP="00320D09">
            <w:pPr>
              <w:jc w:val="right"/>
              <w:rPr>
                <w:rFonts w:cs="Arial"/>
                <w:b/>
                <w:bCs/>
                <w:sz w:val="18"/>
                <w:szCs w:val="18"/>
              </w:rPr>
            </w:pPr>
            <w:r>
              <w:rPr>
                <w:rFonts w:cs="Arial"/>
                <w:b/>
                <w:bCs/>
                <w:sz w:val="18"/>
                <w:szCs w:val="18"/>
              </w:rPr>
              <w:t>$’000</w:t>
            </w:r>
          </w:p>
        </w:tc>
        <w:tc>
          <w:tcPr>
            <w:tcW w:w="1276" w:type="dxa"/>
            <w:tcBorders>
              <w:top w:val="nil"/>
              <w:left w:val="nil"/>
              <w:bottom w:val="single" w:sz="4" w:space="0" w:color="auto"/>
              <w:right w:val="nil"/>
            </w:tcBorders>
            <w:shd w:val="clear" w:color="FFFFFF" w:fill="FFFFFF"/>
            <w:vAlign w:val="bottom"/>
            <w:hideMark/>
          </w:tcPr>
          <w:p w14:paraId="2C083C4C" w14:textId="77777777" w:rsidR="00C32CBD" w:rsidRDefault="00C32CBD" w:rsidP="00320D09">
            <w:pPr>
              <w:jc w:val="right"/>
              <w:rPr>
                <w:rFonts w:cs="Arial"/>
                <w:b/>
                <w:bCs/>
                <w:sz w:val="18"/>
                <w:szCs w:val="18"/>
              </w:rPr>
            </w:pPr>
            <w:r>
              <w:rPr>
                <w:rFonts w:cs="Arial"/>
                <w:b/>
                <w:bCs/>
                <w:sz w:val="18"/>
                <w:szCs w:val="18"/>
              </w:rPr>
              <w:t>$’000</w:t>
            </w:r>
          </w:p>
        </w:tc>
        <w:tc>
          <w:tcPr>
            <w:tcW w:w="1087" w:type="dxa"/>
            <w:tcBorders>
              <w:top w:val="nil"/>
              <w:left w:val="nil"/>
              <w:bottom w:val="single" w:sz="4" w:space="0" w:color="auto"/>
              <w:right w:val="nil"/>
            </w:tcBorders>
            <w:shd w:val="clear" w:color="FFFFFF" w:fill="FFFFFF"/>
            <w:vAlign w:val="bottom"/>
            <w:hideMark/>
          </w:tcPr>
          <w:p w14:paraId="52FDF238" w14:textId="77777777" w:rsidR="00C32CBD" w:rsidRDefault="00C32CBD" w:rsidP="00320D09">
            <w:pPr>
              <w:jc w:val="right"/>
              <w:rPr>
                <w:rFonts w:cs="Arial"/>
                <w:b/>
                <w:bCs/>
                <w:sz w:val="18"/>
                <w:szCs w:val="18"/>
              </w:rPr>
            </w:pPr>
            <w:r>
              <w:rPr>
                <w:rFonts w:cs="Arial"/>
                <w:b/>
                <w:bCs/>
                <w:sz w:val="18"/>
                <w:szCs w:val="18"/>
              </w:rPr>
              <w:t>$’000</w:t>
            </w:r>
          </w:p>
        </w:tc>
      </w:tr>
      <w:tr w:rsidR="00C32CBD" w14:paraId="75AABB53" w14:textId="77777777" w:rsidTr="00320D09">
        <w:trPr>
          <w:trHeight w:val="255"/>
        </w:trPr>
        <w:tc>
          <w:tcPr>
            <w:tcW w:w="2755" w:type="dxa"/>
            <w:tcBorders>
              <w:top w:val="nil"/>
              <w:left w:val="nil"/>
              <w:bottom w:val="nil"/>
              <w:right w:val="nil"/>
            </w:tcBorders>
            <w:shd w:val="clear" w:color="FFFFFF" w:fill="FFFFFF"/>
            <w:vAlign w:val="bottom"/>
            <w:hideMark/>
          </w:tcPr>
          <w:p w14:paraId="4ECCA510" w14:textId="77777777" w:rsidR="00C32CBD" w:rsidRDefault="00C32CBD" w:rsidP="00320D09">
            <w:pPr>
              <w:rPr>
                <w:rFonts w:cs="Arial"/>
                <w:b/>
                <w:bCs/>
                <w:sz w:val="18"/>
                <w:szCs w:val="18"/>
              </w:rPr>
            </w:pPr>
            <w:r>
              <w:rPr>
                <w:rFonts w:cs="Arial"/>
                <w:b/>
                <w:bCs/>
                <w:sz w:val="18"/>
                <w:szCs w:val="18"/>
              </w:rPr>
              <w:t>Carrying amount 1 July 2016</w:t>
            </w:r>
          </w:p>
        </w:tc>
        <w:tc>
          <w:tcPr>
            <w:tcW w:w="1418" w:type="dxa"/>
            <w:tcBorders>
              <w:top w:val="nil"/>
              <w:left w:val="nil"/>
              <w:bottom w:val="nil"/>
              <w:right w:val="nil"/>
            </w:tcBorders>
            <w:shd w:val="clear" w:color="FFFFFF" w:fill="FFFFFF"/>
            <w:noWrap/>
            <w:vAlign w:val="bottom"/>
            <w:hideMark/>
          </w:tcPr>
          <w:p w14:paraId="1BE52411" w14:textId="77777777" w:rsidR="00C32CBD" w:rsidRDefault="00C32CBD" w:rsidP="00320D09">
            <w:pPr>
              <w:jc w:val="right"/>
              <w:rPr>
                <w:rFonts w:cs="Arial"/>
                <w:b/>
                <w:bCs/>
                <w:sz w:val="18"/>
                <w:szCs w:val="18"/>
              </w:rPr>
            </w:pPr>
            <w:r>
              <w:rPr>
                <w:rFonts w:cs="Arial"/>
                <w:b/>
                <w:bCs/>
                <w:sz w:val="18"/>
                <w:szCs w:val="18"/>
              </w:rPr>
              <w:t>215,852</w:t>
            </w:r>
          </w:p>
        </w:tc>
        <w:tc>
          <w:tcPr>
            <w:tcW w:w="1276" w:type="dxa"/>
            <w:tcBorders>
              <w:top w:val="nil"/>
              <w:left w:val="nil"/>
              <w:bottom w:val="nil"/>
              <w:right w:val="nil"/>
            </w:tcBorders>
            <w:shd w:val="clear" w:color="FFFFFF" w:fill="FFFFFF"/>
            <w:noWrap/>
            <w:vAlign w:val="bottom"/>
            <w:hideMark/>
          </w:tcPr>
          <w:p w14:paraId="40A55E11" w14:textId="77777777" w:rsidR="00C32CBD" w:rsidRDefault="00C32CBD" w:rsidP="00320D09">
            <w:pPr>
              <w:jc w:val="right"/>
              <w:rPr>
                <w:rFonts w:cs="Arial"/>
                <w:b/>
                <w:bCs/>
                <w:sz w:val="18"/>
                <w:szCs w:val="18"/>
              </w:rPr>
            </w:pPr>
            <w:r>
              <w:rPr>
                <w:rFonts w:cs="Arial"/>
                <w:b/>
                <w:bCs/>
                <w:sz w:val="18"/>
                <w:szCs w:val="18"/>
              </w:rPr>
              <w:t>2,735</w:t>
            </w:r>
          </w:p>
        </w:tc>
        <w:tc>
          <w:tcPr>
            <w:tcW w:w="1275" w:type="dxa"/>
            <w:tcBorders>
              <w:top w:val="nil"/>
              <w:left w:val="nil"/>
              <w:bottom w:val="nil"/>
              <w:right w:val="nil"/>
            </w:tcBorders>
            <w:shd w:val="clear" w:color="FFFFFF" w:fill="FFFFFF"/>
            <w:noWrap/>
            <w:vAlign w:val="bottom"/>
            <w:hideMark/>
          </w:tcPr>
          <w:p w14:paraId="23168D5E" w14:textId="77777777" w:rsidR="00C32CBD" w:rsidRDefault="00C32CBD" w:rsidP="00320D09">
            <w:pPr>
              <w:jc w:val="right"/>
              <w:rPr>
                <w:rFonts w:cs="Arial"/>
                <w:b/>
                <w:bCs/>
                <w:sz w:val="18"/>
                <w:szCs w:val="18"/>
              </w:rPr>
            </w:pPr>
            <w:r>
              <w:rPr>
                <w:rFonts w:cs="Arial"/>
                <w:b/>
                <w:bCs/>
                <w:sz w:val="18"/>
                <w:szCs w:val="18"/>
              </w:rPr>
              <w:t>-</w:t>
            </w:r>
          </w:p>
        </w:tc>
        <w:tc>
          <w:tcPr>
            <w:tcW w:w="1276" w:type="dxa"/>
            <w:tcBorders>
              <w:top w:val="nil"/>
              <w:left w:val="nil"/>
              <w:bottom w:val="nil"/>
              <w:right w:val="nil"/>
            </w:tcBorders>
            <w:shd w:val="clear" w:color="FFFFFF" w:fill="FFFFFF"/>
            <w:noWrap/>
            <w:vAlign w:val="bottom"/>
            <w:hideMark/>
          </w:tcPr>
          <w:p w14:paraId="333A04CC" w14:textId="77777777" w:rsidR="00C32CBD" w:rsidRDefault="00C32CBD" w:rsidP="00320D09">
            <w:pPr>
              <w:jc w:val="right"/>
              <w:rPr>
                <w:rFonts w:cs="Arial"/>
                <w:b/>
                <w:bCs/>
                <w:sz w:val="18"/>
                <w:szCs w:val="18"/>
              </w:rPr>
            </w:pPr>
            <w:r>
              <w:rPr>
                <w:rFonts w:cs="Arial"/>
                <w:b/>
                <w:bCs/>
                <w:sz w:val="18"/>
                <w:szCs w:val="18"/>
              </w:rPr>
              <w:t>-</w:t>
            </w:r>
          </w:p>
        </w:tc>
        <w:tc>
          <w:tcPr>
            <w:tcW w:w="1087" w:type="dxa"/>
            <w:tcBorders>
              <w:top w:val="nil"/>
              <w:left w:val="nil"/>
              <w:bottom w:val="nil"/>
              <w:right w:val="nil"/>
            </w:tcBorders>
            <w:shd w:val="clear" w:color="FFFFFF" w:fill="FFFFFF"/>
            <w:noWrap/>
            <w:vAlign w:val="bottom"/>
            <w:hideMark/>
          </w:tcPr>
          <w:p w14:paraId="53D6E20C" w14:textId="77777777" w:rsidR="00C32CBD" w:rsidRDefault="00C32CBD" w:rsidP="00320D09">
            <w:pPr>
              <w:jc w:val="right"/>
              <w:rPr>
                <w:rFonts w:cs="Arial"/>
                <w:b/>
                <w:bCs/>
                <w:sz w:val="18"/>
                <w:szCs w:val="18"/>
              </w:rPr>
            </w:pPr>
            <w:r>
              <w:rPr>
                <w:rFonts w:cs="Arial"/>
                <w:b/>
                <w:bCs/>
                <w:sz w:val="18"/>
                <w:szCs w:val="18"/>
              </w:rPr>
              <w:t>218,587</w:t>
            </w:r>
          </w:p>
        </w:tc>
      </w:tr>
      <w:tr w:rsidR="00C32CBD" w14:paraId="325494A7" w14:textId="77777777" w:rsidTr="00320D09">
        <w:trPr>
          <w:trHeight w:val="255"/>
        </w:trPr>
        <w:tc>
          <w:tcPr>
            <w:tcW w:w="2755" w:type="dxa"/>
            <w:tcBorders>
              <w:top w:val="nil"/>
              <w:left w:val="nil"/>
              <w:bottom w:val="nil"/>
              <w:right w:val="nil"/>
            </w:tcBorders>
            <w:shd w:val="clear" w:color="FFFFFF" w:fill="FFFFFF"/>
            <w:vAlign w:val="bottom"/>
            <w:hideMark/>
          </w:tcPr>
          <w:p w14:paraId="31E15E9B" w14:textId="77777777" w:rsidR="00C32CBD" w:rsidRDefault="00C32CBD" w:rsidP="00320D09">
            <w:pPr>
              <w:rPr>
                <w:rFonts w:cs="Arial"/>
                <w:sz w:val="18"/>
                <w:szCs w:val="18"/>
              </w:rPr>
            </w:pPr>
            <w:r>
              <w:rPr>
                <w:rFonts w:cs="Arial"/>
                <w:sz w:val="18"/>
                <w:szCs w:val="18"/>
              </w:rPr>
              <w:t>Additional provisions made</w:t>
            </w:r>
          </w:p>
        </w:tc>
        <w:tc>
          <w:tcPr>
            <w:tcW w:w="1418" w:type="dxa"/>
            <w:tcBorders>
              <w:top w:val="nil"/>
              <w:left w:val="nil"/>
              <w:bottom w:val="nil"/>
              <w:right w:val="nil"/>
            </w:tcBorders>
            <w:shd w:val="clear" w:color="FFFFFF" w:fill="FFFFFF"/>
            <w:noWrap/>
            <w:vAlign w:val="bottom"/>
            <w:hideMark/>
          </w:tcPr>
          <w:p w14:paraId="2DF7391A" w14:textId="77777777" w:rsidR="00C32CBD" w:rsidRDefault="00C32CBD" w:rsidP="00320D09">
            <w:pPr>
              <w:jc w:val="right"/>
              <w:rPr>
                <w:rFonts w:cs="Arial"/>
                <w:b/>
                <w:bCs/>
                <w:sz w:val="18"/>
                <w:szCs w:val="18"/>
              </w:rPr>
            </w:pPr>
            <w:r>
              <w:rPr>
                <w:rFonts w:cs="Arial"/>
                <w:b/>
                <w:bCs/>
                <w:sz w:val="18"/>
                <w:szCs w:val="18"/>
              </w:rPr>
              <w:t>497,685</w:t>
            </w:r>
          </w:p>
        </w:tc>
        <w:tc>
          <w:tcPr>
            <w:tcW w:w="1276" w:type="dxa"/>
            <w:tcBorders>
              <w:top w:val="nil"/>
              <w:left w:val="nil"/>
              <w:bottom w:val="nil"/>
              <w:right w:val="nil"/>
            </w:tcBorders>
            <w:shd w:val="clear" w:color="FFFFFF" w:fill="FFFFFF"/>
            <w:noWrap/>
            <w:vAlign w:val="bottom"/>
            <w:hideMark/>
          </w:tcPr>
          <w:p w14:paraId="0056574B" w14:textId="77777777" w:rsidR="00C32CBD" w:rsidRDefault="00C32CBD" w:rsidP="00320D09">
            <w:pPr>
              <w:jc w:val="right"/>
              <w:rPr>
                <w:rFonts w:cs="Arial"/>
                <w:b/>
                <w:bCs/>
                <w:sz w:val="18"/>
                <w:szCs w:val="18"/>
              </w:rPr>
            </w:pPr>
            <w:r>
              <w:rPr>
                <w:rFonts w:cs="Arial"/>
                <w:b/>
                <w:bCs/>
                <w:sz w:val="18"/>
                <w:szCs w:val="18"/>
              </w:rPr>
              <w:t>622</w:t>
            </w:r>
          </w:p>
        </w:tc>
        <w:tc>
          <w:tcPr>
            <w:tcW w:w="1275" w:type="dxa"/>
            <w:tcBorders>
              <w:top w:val="nil"/>
              <w:left w:val="nil"/>
              <w:bottom w:val="nil"/>
              <w:right w:val="nil"/>
            </w:tcBorders>
            <w:shd w:val="clear" w:color="FFFFFF" w:fill="FFFFFF"/>
            <w:noWrap/>
            <w:vAlign w:val="bottom"/>
            <w:hideMark/>
          </w:tcPr>
          <w:p w14:paraId="0B5F783E" w14:textId="77777777" w:rsidR="00C32CBD" w:rsidRDefault="00C32CBD" w:rsidP="00320D09">
            <w:pPr>
              <w:jc w:val="right"/>
              <w:rPr>
                <w:rFonts w:cs="Arial"/>
                <w:b/>
                <w:bCs/>
                <w:sz w:val="18"/>
                <w:szCs w:val="18"/>
              </w:rPr>
            </w:pPr>
            <w:r>
              <w:rPr>
                <w:rFonts w:cs="Arial"/>
                <w:b/>
                <w:bCs/>
                <w:sz w:val="18"/>
                <w:szCs w:val="18"/>
              </w:rPr>
              <w:t>4,727</w:t>
            </w:r>
          </w:p>
        </w:tc>
        <w:tc>
          <w:tcPr>
            <w:tcW w:w="1276" w:type="dxa"/>
            <w:tcBorders>
              <w:top w:val="nil"/>
              <w:left w:val="nil"/>
              <w:bottom w:val="nil"/>
              <w:right w:val="nil"/>
            </w:tcBorders>
            <w:shd w:val="clear" w:color="FFFFFF" w:fill="FFFFFF"/>
            <w:noWrap/>
            <w:vAlign w:val="bottom"/>
            <w:hideMark/>
          </w:tcPr>
          <w:p w14:paraId="6894AB81" w14:textId="77777777" w:rsidR="00C32CBD" w:rsidRDefault="00C32CBD" w:rsidP="00320D09">
            <w:pPr>
              <w:jc w:val="right"/>
              <w:rPr>
                <w:rFonts w:cs="Arial"/>
                <w:b/>
                <w:bCs/>
                <w:sz w:val="18"/>
                <w:szCs w:val="18"/>
              </w:rPr>
            </w:pPr>
            <w:r>
              <w:rPr>
                <w:rFonts w:cs="Arial"/>
                <w:b/>
                <w:bCs/>
                <w:sz w:val="18"/>
                <w:szCs w:val="18"/>
              </w:rPr>
              <w:t>54,227</w:t>
            </w:r>
          </w:p>
        </w:tc>
        <w:tc>
          <w:tcPr>
            <w:tcW w:w="1087" w:type="dxa"/>
            <w:tcBorders>
              <w:top w:val="nil"/>
              <w:left w:val="nil"/>
              <w:bottom w:val="nil"/>
              <w:right w:val="nil"/>
            </w:tcBorders>
            <w:shd w:val="clear" w:color="FFFFFF" w:fill="FFFFFF"/>
            <w:noWrap/>
            <w:vAlign w:val="bottom"/>
            <w:hideMark/>
          </w:tcPr>
          <w:p w14:paraId="2A8458EF" w14:textId="77777777" w:rsidR="00C32CBD" w:rsidRDefault="00C32CBD" w:rsidP="00320D09">
            <w:pPr>
              <w:jc w:val="right"/>
              <w:rPr>
                <w:rFonts w:cs="Arial"/>
                <w:b/>
                <w:bCs/>
                <w:sz w:val="18"/>
                <w:szCs w:val="18"/>
              </w:rPr>
            </w:pPr>
            <w:r>
              <w:rPr>
                <w:rFonts w:cs="Arial"/>
                <w:b/>
                <w:bCs/>
                <w:sz w:val="18"/>
                <w:szCs w:val="18"/>
              </w:rPr>
              <w:t>557,261</w:t>
            </w:r>
          </w:p>
        </w:tc>
      </w:tr>
      <w:tr w:rsidR="00C32CBD" w14:paraId="642EA9AB" w14:textId="77777777" w:rsidTr="00320D09">
        <w:trPr>
          <w:trHeight w:val="270"/>
        </w:trPr>
        <w:tc>
          <w:tcPr>
            <w:tcW w:w="2755" w:type="dxa"/>
            <w:tcBorders>
              <w:top w:val="nil"/>
              <w:left w:val="nil"/>
              <w:bottom w:val="nil"/>
              <w:right w:val="nil"/>
            </w:tcBorders>
            <w:shd w:val="clear" w:color="FFFFFF" w:fill="FFFFFF"/>
            <w:vAlign w:val="bottom"/>
            <w:hideMark/>
          </w:tcPr>
          <w:p w14:paraId="71D79D9C" w14:textId="77777777" w:rsidR="00C32CBD" w:rsidRDefault="00C32CBD" w:rsidP="00320D09">
            <w:pPr>
              <w:rPr>
                <w:rFonts w:cs="Arial"/>
                <w:sz w:val="18"/>
                <w:szCs w:val="18"/>
              </w:rPr>
            </w:pPr>
            <w:r>
              <w:rPr>
                <w:rFonts w:cs="Arial"/>
                <w:sz w:val="18"/>
                <w:szCs w:val="18"/>
              </w:rPr>
              <w:t>Amounts reversed</w:t>
            </w:r>
          </w:p>
        </w:tc>
        <w:tc>
          <w:tcPr>
            <w:tcW w:w="1418" w:type="dxa"/>
            <w:tcBorders>
              <w:top w:val="nil"/>
              <w:left w:val="nil"/>
              <w:bottom w:val="nil"/>
              <w:right w:val="nil"/>
            </w:tcBorders>
            <w:shd w:val="clear" w:color="FFFFFF" w:fill="FFFFFF"/>
            <w:noWrap/>
            <w:vAlign w:val="bottom"/>
            <w:hideMark/>
          </w:tcPr>
          <w:p w14:paraId="77C66CCB" w14:textId="77777777" w:rsidR="00C32CBD" w:rsidRDefault="00C32CBD" w:rsidP="00320D09">
            <w:pPr>
              <w:jc w:val="right"/>
              <w:rPr>
                <w:rFonts w:cs="Arial"/>
                <w:b/>
                <w:bCs/>
                <w:sz w:val="18"/>
                <w:szCs w:val="18"/>
              </w:rPr>
            </w:pPr>
            <w:r>
              <w:rPr>
                <w:rFonts w:cs="Arial"/>
                <w:b/>
                <w:bCs/>
                <w:sz w:val="18"/>
                <w:szCs w:val="18"/>
              </w:rPr>
              <w:t>(131,127)</w:t>
            </w:r>
          </w:p>
        </w:tc>
        <w:tc>
          <w:tcPr>
            <w:tcW w:w="1276" w:type="dxa"/>
            <w:tcBorders>
              <w:top w:val="nil"/>
              <w:left w:val="nil"/>
              <w:bottom w:val="nil"/>
              <w:right w:val="nil"/>
            </w:tcBorders>
            <w:shd w:val="clear" w:color="FFFFFF" w:fill="FFFFFF"/>
            <w:noWrap/>
            <w:vAlign w:val="bottom"/>
            <w:hideMark/>
          </w:tcPr>
          <w:p w14:paraId="1248A328" w14:textId="77777777" w:rsidR="00C32CBD" w:rsidRDefault="00C32CBD" w:rsidP="00320D09">
            <w:pPr>
              <w:jc w:val="right"/>
              <w:rPr>
                <w:rFonts w:cs="Arial"/>
                <w:b/>
                <w:bCs/>
                <w:sz w:val="18"/>
                <w:szCs w:val="18"/>
              </w:rPr>
            </w:pPr>
            <w:r>
              <w:rPr>
                <w:rFonts w:cs="Arial"/>
                <w:b/>
                <w:bCs/>
                <w:sz w:val="18"/>
                <w:szCs w:val="18"/>
              </w:rPr>
              <w:t>(689)</w:t>
            </w:r>
          </w:p>
        </w:tc>
        <w:tc>
          <w:tcPr>
            <w:tcW w:w="1275" w:type="dxa"/>
            <w:tcBorders>
              <w:top w:val="nil"/>
              <w:left w:val="nil"/>
              <w:bottom w:val="nil"/>
              <w:right w:val="nil"/>
            </w:tcBorders>
            <w:shd w:val="clear" w:color="FFFFFF" w:fill="FFFFFF"/>
            <w:noWrap/>
            <w:vAlign w:val="bottom"/>
            <w:hideMark/>
          </w:tcPr>
          <w:p w14:paraId="07A7EF4E" w14:textId="77777777" w:rsidR="00C32CBD" w:rsidRDefault="00C32CBD" w:rsidP="00320D09">
            <w:pPr>
              <w:jc w:val="right"/>
              <w:rPr>
                <w:rFonts w:cs="Arial"/>
                <w:b/>
                <w:bCs/>
                <w:sz w:val="18"/>
                <w:szCs w:val="18"/>
              </w:rPr>
            </w:pPr>
            <w:r>
              <w:rPr>
                <w:rFonts w:cs="Arial"/>
                <w:b/>
                <w:bCs/>
                <w:sz w:val="18"/>
                <w:szCs w:val="18"/>
              </w:rPr>
              <w:t>-</w:t>
            </w:r>
          </w:p>
        </w:tc>
        <w:tc>
          <w:tcPr>
            <w:tcW w:w="1276" w:type="dxa"/>
            <w:tcBorders>
              <w:top w:val="nil"/>
              <w:left w:val="nil"/>
              <w:bottom w:val="nil"/>
              <w:right w:val="nil"/>
            </w:tcBorders>
            <w:shd w:val="clear" w:color="FFFFFF" w:fill="FFFFFF"/>
            <w:noWrap/>
            <w:vAlign w:val="bottom"/>
            <w:hideMark/>
          </w:tcPr>
          <w:p w14:paraId="50943889" w14:textId="77777777" w:rsidR="00C32CBD" w:rsidRDefault="00C32CBD" w:rsidP="00320D09">
            <w:pPr>
              <w:jc w:val="right"/>
              <w:rPr>
                <w:rFonts w:cs="Arial"/>
                <w:b/>
                <w:bCs/>
                <w:sz w:val="18"/>
                <w:szCs w:val="18"/>
              </w:rPr>
            </w:pPr>
            <w:r>
              <w:rPr>
                <w:rFonts w:cs="Arial"/>
                <w:b/>
                <w:bCs/>
                <w:sz w:val="18"/>
                <w:szCs w:val="18"/>
              </w:rPr>
              <w:t>-</w:t>
            </w:r>
          </w:p>
        </w:tc>
        <w:tc>
          <w:tcPr>
            <w:tcW w:w="1087" w:type="dxa"/>
            <w:tcBorders>
              <w:top w:val="nil"/>
              <w:left w:val="nil"/>
              <w:bottom w:val="nil"/>
              <w:right w:val="nil"/>
            </w:tcBorders>
            <w:shd w:val="clear" w:color="FFFFFF" w:fill="FFFFFF"/>
            <w:noWrap/>
            <w:vAlign w:val="bottom"/>
            <w:hideMark/>
          </w:tcPr>
          <w:p w14:paraId="6149B842" w14:textId="77777777" w:rsidR="00C32CBD" w:rsidRDefault="00C32CBD" w:rsidP="00320D09">
            <w:pPr>
              <w:jc w:val="right"/>
              <w:rPr>
                <w:rFonts w:cs="Arial"/>
                <w:b/>
                <w:bCs/>
                <w:sz w:val="18"/>
                <w:szCs w:val="18"/>
              </w:rPr>
            </w:pPr>
            <w:r>
              <w:rPr>
                <w:rFonts w:cs="Arial"/>
                <w:b/>
                <w:bCs/>
                <w:sz w:val="18"/>
                <w:szCs w:val="18"/>
              </w:rPr>
              <w:t>(131,816)</w:t>
            </w:r>
          </w:p>
        </w:tc>
      </w:tr>
      <w:tr w:rsidR="00C32CBD" w14:paraId="13F9A5EA" w14:textId="77777777" w:rsidTr="00320D09">
        <w:trPr>
          <w:trHeight w:val="255"/>
        </w:trPr>
        <w:tc>
          <w:tcPr>
            <w:tcW w:w="2755" w:type="dxa"/>
            <w:tcBorders>
              <w:top w:val="nil"/>
              <w:left w:val="nil"/>
              <w:bottom w:val="nil"/>
              <w:right w:val="nil"/>
            </w:tcBorders>
            <w:shd w:val="clear" w:color="FFFFFF" w:fill="FFFFFF"/>
            <w:vAlign w:val="bottom"/>
            <w:hideMark/>
          </w:tcPr>
          <w:p w14:paraId="6D300253" w14:textId="77777777" w:rsidR="00C32CBD" w:rsidRDefault="00C32CBD" w:rsidP="00320D09">
            <w:pPr>
              <w:rPr>
                <w:rFonts w:cs="Arial"/>
                <w:sz w:val="18"/>
                <w:szCs w:val="18"/>
              </w:rPr>
            </w:pPr>
            <w:r>
              <w:rPr>
                <w:rFonts w:cs="Arial"/>
                <w:sz w:val="18"/>
                <w:szCs w:val="18"/>
              </w:rPr>
              <w:t>Amounts used</w:t>
            </w:r>
          </w:p>
        </w:tc>
        <w:tc>
          <w:tcPr>
            <w:tcW w:w="1418" w:type="dxa"/>
            <w:tcBorders>
              <w:top w:val="nil"/>
              <w:left w:val="nil"/>
              <w:bottom w:val="nil"/>
              <w:right w:val="nil"/>
            </w:tcBorders>
            <w:shd w:val="clear" w:color="FFFFFF" w:fill="FFFFFF"/>
            <w:noWrap/>
            <w:vAlign w:val="bottom"/>
            <w:hideMark/>
          </w:tcPr>
          <w:p w14:paraId="65D617FF" w14:textId="77777777" w:rsidR="00C32CBD" w:rsidRDefault="00C32CBD" w:rsidP="00320D09">
            <w:pPr>
              <w:jc w:val="right"/>
              <w:rPr>
                <w:rFonts w:cs="Arial"/>
                <w:b/>
                <w:bCs/>
                <w:sz w:val="18"/>
                <w:szCs w:val="18"/>
              </w:rPr>
            </w:pPr>
            <w:r>
              <w:rPr>
                <w:rFonts w:cs="Arial"/>
                <w:b/>
                <w:bCs/>
                <w:sz w:val="18"/>
                <w:szCs w:val="18"/>
              </w:rPr>
              <w:t>(76,806)</w:t>
            </w:r>
          </w:p>
        </w:tc>
        <w:tc>
          <w:tcPr>
            <w:tcW w:w="1276" w:type="dxa"/>
            <w:tcBorders>
              <w:top w:val="nil"/>
              <w:left w:val="nil"/>
              <w:bottom w:val="nil"/>
              <w:right w:val="nil"/>
            </w:tcBorders>
            <w:shd w:val="clear" w:color="FFFFFF" w:fill="FFFFFF"/>
            <w:noWrap/>
            <w:vAlign w:val="bottom"/>
            <w:hideMark/>
          </w:tcPr>
          <w:p w14:paraId="61637690" w14:textId="77777777" w:rsidR="00C32CBD" w:rsidRDefault="00C32CBD" w:rsidP="00320D09">
            <w:pPr>
              <w:jc w:val="right"/>
              <w:rPr>
                <w:rFonts w:cs="Arial"/>
                <w:b/>
                <w:bCs/>
                <w:sz w:val="18"/>
                <w:szCs w:val="18"/>
              </w:rPr>
            </w:pPr>
            <w:r>
              <w:rPr>
                <w:rFonts w:cs="Arial"/>
                <w:b/>
                <w:bCs/>
                <w:sz w:val="18"/>
                <w:szCs w:val="18"/>
              </w:rPr>
              <w:t>-</w:t>
            </w:r>
          </w:p>
        </w:tc>
        <w:tc>
          <w:tcPr>
            <w:tcW w:w="1275" w:type="dxa"/>
            <w:tcBorders>
              <w:top w:val="nil"/>
              <w:left w:val="nil"/>
              <w:bottom w:val="nil"/>
              <w:right w:val="nil"/>
            </w:tcBorders>
            <w:shd w:val="clear" w:color="FFFFFF" w:fill="FFFFFF"/>
            <w:noWrap/>
            <w:vAlign w:val="bottom"/>
            <w:hideMark/>
          </w:tcPr>
          <w:p w14:paraId="3FC865DA" w14:textId="77777777" w:rsidR="00C32CBD" w:rsidRDefault="00C32CBD" w:rsidP="00320D09">
            <w:pPr>
              <w:jc w:val="right"/>
              <w:rPr>
                <w:rFonts w:cs="Arial"/>
                <w:b/>
                <w:bCs/>
                <w:sz w:val="18"/>
                <w:szCs w:val="18"/>
              </w:rPr>
            </w:pPr>
            <w:r>
              <w:rPr>
                <w:rFonts w:cs="Arial"/>
                <w:b/>
                <w:bCs/>
                <w:sz w:val="18"/>
                <w:szCs w:val="18"/>
              </w:rPr>
              <w:t>-</w:t>
            </w:r>
          </w:p>
        </w:tc>
        <w:tc>
          <w:tcPr>
            <w:tcW w:w="1276" w:type="dxa"/>
            <w:tcBorders>
              <w:top w:val="nil"/>
              <w:left w:val="nil"/>
              <w:bottom w:val="nil"/>
              <w:right w:val="nil"/>
            </w:tcBorders>
            <w:shd w:val="clear" w:color="FFFFFF" w:fill="FFFFFF"/>
            <w:noWrap/>
            <w:vAlign w:val="bottom"/>
            <w:hideMark/>
          </w:tcPr>
          <w:p w14:paraId="05F8397C" w14:textId="77777777" w:rsidR="00C32CBD" w:rsidRDefault="00C32CBD" w:rsidP="00320D09">
            <w:pPr>
              <w:jc w:val="right"/>
              <w:rPr>
                <w:rFonts w:cs="Arial"/>
                <w:b/>
                <w:bCs/>
                <w:sz w:val="18"/>
                <w:szCs w:val="18"/>
              </w:rPr>
            </w:pPr>
            <w:r>
              <w:rPr>
                <w:rFonts w:cs="Arial"/>
                <w:b/>
                <w:bCs/>
                <w:sz w:val="18"/>
                <w:szCs w:val="18"/>
              </w:rPr>
              <w:t>-</w:t>
            </w:r>
          </w:p>
        </w:tc>
        <w:tc>
          <w:tcPr>
            <w:tcW w:w="1087" w:type="dxa"/>
            <w:tcBorders>
              <w:top w:val="nil"/>
              <w:left w:val="nil"/>
              <w:bottom w:val="nil"/>
              <w:right w:val="nil"/>
            </w:tcBorders>
            <w:shd w:val="clear" w:color="FFFFFF" w:fill="FFFFFF"/>
            <w:noWrap/>
            <w:vAlign w:val="bottom"/>
            <w:hideMark/>
          </w:tcPr>
          <w:p w14:paraId="1EC202FF" w14:textId="77777777" w:rsidR="00C32CBD" w:rsidRDefault="00C32CBD" w:rsidP="00320D09">
            <w:pPr>
              <w:jc w:val="right"/>
              <w:rPr>
                <w:rFonts w:cs="Arial"/>
                <w:b/>
                <w:bCs/>
                <w:sz w:val="18"/>
                <w:szCs w:val="18"/>
              </w:rPr>
            </w:pPr>
            <w:r>
              <w:rPr>
                <w:rFonts w:cs="Arial"/>
                <w:b/>
                <w:bCs/>
                <w:sz w:val="18"/>
                <w:szCs w:val="18"/>
              </w:rPr>
              <w:t>(76,806)</w:t>
            </w:r>
          </w:p>
        </w:tc>
      </w:tr>
      <w:tr w:rsidR="00C32CBD" w14:paraId="4AA8A44F" w14:textId="77777777" w:rsidTr="00320D09">
        <w:trPr>
          <w:trHeight w:val="255"/>
        </w:trPr>
        <w:tc>
          <w:tcPr>
            <w:tcW w:w="2755" w:type="dxa"/>
            <w:tcBorders>
              <w:top w:val="nil"/>
              <w:left w:val="nil"/>
              <w:bottom w:val="nil"/>
              <w:right w:val="nil"/>
            </w:tcBorders>
            <w:shd w:val="clear" w:color="FFFFFF" w:fill="FFFFFF"/>
            <w:vAlign w:val="bottom"/>
            <w:hideMark/>
          </w:tcPr>
          <w:p w14:paraId="6B5EBB1A" w14:textId="77777777" w:rsidR="00C32CBD" w:rsidRDefault="00C32CBD" w:rsidP="00320D09">
            <w:pPr>
              <w:rPr>
                <w:rFonts w:cs="Arial"/>
                <w:sz w:val="18"/>
                <w:szCs w:val="18"/>
              </w:rPr>
            </w:pPr>
            <w:r>
              <w:rPr>
                <w:rFonts w:cs="Arial"/>
                <w:sz w:val="18"/>
                <w:szCs w:val="18"/>
              </w:rPr>
              <w:t>Unwinding of discount or change in discount rate</w:t>
            </w:r>
          </w:p>
        </w:tc>
        <w:tc>
          <w:tcPr>
            <w:tcW w:w="1418" w:type="dxa"/>
            <w:tcBorders>
              <w:top w:val="nil"/>
              <w:left w:val="nil"/>
              <w:bottom w:val="nil"/>
              <w:right w:val="nil"/>
            </w:tcBorders>
            <w:shd w:val="clear" w:color="FFFFFF" w:fill="FFFFFF"/>
            <w:noWrap/>
            <w:vAlign w:val="bottom"/>
            <w:hideMark/>
          </w:tcPr>
          <w:p w14:paraId="2C3CBE05" w14:textId="77777777" w:rsidR="00C32CBD" w:rsidRDefault="00C32CBD" w:rsidP="00320D09">
            <w:pPr>
              <w:jc w:val="right"/>
              <w:rPr>
                <w:rFonts w:cs="Arial"/>
                <w:b/>
                <w:bCs/>
                <w:sz w:val="18"/>
                <w:szCs w:val="18"/>
              </w:rPr>
            </w:pPr>
            <w:r>
              <w:rPr>
                <w:rFonts w:cs="Arial"/>
                <w:b/>
                <w:bCs/>
                <w:sz w:val="18"/>
                <w:szCs w:val="18"/>
              </w:rPr>
              <w:t>-</w:t>
            </w:r>
          </w:p>
        </w:tc>
        <w:tc>
          <w:tcPr>
            <w:tcW w:w="1276" w:type="dxa"/>
            <w:tcBorders>
              <w:top w:val="nil"/>
              <w:left w:val="nil"/>
              <w:bottom w:val="nil"/>
              <w:right w:val="nil"/>
            </w:tcBorders>
            <w:shd w:val="clear" w:color="FFFFFF" w:fill="FFFFFF"/>
            <w:noWrap/>
            <w:vAlign w:val="bottom"/>
            <w:hideMark/>
          </w:tcPr>
          <w:p w14:paraId="31529D1C" w14:textId="77777777" w:rsidR="00C32CBD" w:rsidRDefault="00C32CBD" w:rsidP="00320D09">
            <w:pPr>
              <w:jc w:val="right"/>
              <w:rPr>
                <w:rFonts w:cs="Arial"/>
                <w:b/>
                <w:bCs/>
                <w:sz w:val="18"/>
                <w:szCs w:val="18"/>
              </w:rPr>
            </w:pPr>
            <w:r>
              <w:rPr>
                <w:rFonts w:cs="Arial"/>
                <w:b/>
                <w:bCs/>
                <w:sz w:val="18"/>
                <w:szCs w:val="18"/>
              </w:rPr>
              <w:t>444</w:t>
            </w:r>
          </w:p>
        </w:tc>
        <w:tc>
          <w:tcPr>
            <w:tcW w:w="1275" w:type="dxa"/>
            <w:tcBorders>
              <w:top w:val="nil"/>
              <w:left w:val="nil"/>
              <w:bottom w:val="nil"/>
              <w:right w:val="nil"/>
            </w:tcBorders>
            <w:shd w:val="clear" w:color="FFFFFF" w:fill="FFFFFF"/>
            <w:noWrap/>
            <w:vAlign w:val="bottom"/>
            <w:hideMark/>
          </w:tcPr>
          <w:p w14:paraId="4962061A" w14:textId="77777777" w:rsidR="00C32CBD" w:rsidRDefault="00C32CBD" w:rsidP="00320D09">
            <w:pPr>
              <w:jc w:val="right"/>
              <w:rPr>
                <w:rFonts w:cs="Arial"/>
                <w:b/>
                <w:bCs/>
                <w:sz w:val="18"/>
                <w:szCs w:val="18"/>
              </w:rPr>
            </w:pPr>
            <w:r>
              <w:rPr>
                <w:rFonts w:cs="Arial"/>
                <w:b/>
                <w:bCs/>
                <w:sz w:val="18"/>
                <w:szCs w:val="18"/>
              </w:rPr>
              <w:t>-</w:t>
            </w:r>
          </w:p>
        </w:tc>
        <w:tc>
          <w:tcPr>
            <w:tcW w:w="1276" w:type="dxa"/>
            <w:tcBorders>
              <w:top w:val="nil"/>
              <w:left w:val="nil"/>
              <w:bottom w:val="nil"/>
              <w:right w:val="nil"/>
            </w:tcBorders>
            <w:shd w:val="clear" w:color="FFFFFF" w:fill="FFFFFF"/>
            <w:noWrap/>
            <w:vAlign w:val="bottom"/>
            <w:hideMark/>
          </w:tcPr>
          <w:p w14:paraId="5090DF7F" w14:textId="77777777" w:rsidR="00C32CBD" w:rsidRDefault="00C32CBD" w:rsidP="00320D09">
            <w:pPr>
              <w:jc w:val="right"/>
              <w:rPr>
                <w:rFonts w:cs="Arial"/>
                <w:b/>
                <w:bCs/>
                <w:sz w:val="18"/>
                <w:szCs w:val="18"/>
              </w:rPr>
            </w:pPr>
            <w:r>
              <w:rPr>
                <w:rFonts w:cs="Arial"/>
                <w:b/>
                <w:bCs/>
                <w:sz w:val="18"/>
                <w:szCs w:val="18"/>
              </w:rPr>
              <w:t>-</w:t>
            </w:r>
          </w:p>
        </w:tc>
        <w:tc>
          <w:tcPr>
            <w:tcW w:w="1087" w:type="dxa"/>
            <w:tcBorders>
              <w:top w:val="nil"/>
              <w:left w:val="nil"/>
              <w:bottom w:val="nil"/>
              <w:right w:val="nil"/>
            </w:tcBorders>
            <w:shd w:val="clear" w:color="FFFFFF" w:fill="FFFFFF"/>
            <w:noWrap/>
            <w:vAlign w:val="bottom"/>
            <w:hideMark/>
          </w:tcPr>
          <w:p w14:paraId="60DAF2FC" w14:textId="77777777" w:rsidR="00C32CBD" w:rsidRDefault="00C32CBD" w:rsidP="00320D09">
            <w:pPr>
              <w:jc w:val="right"/>
              <w:rPr>
                <w:rFonts w:cs="Arial"/>
                <w:b/>
                <w:bCs/>
                <w:sz w:val="18"/>
                <w:szCs w:val="18"/>
              </w:rPr>
            </w:pPr>
            <w:r>
              <w:rPr>
                <w:rFonts w:cs="Arial"/>
                <w:b/>
                <w:bCs/>
                <w:sz w:val="18"/>
                <w:szCs w:val="18"/>
              </w:rPr>
              <w:t>444</w:t>
            </w:r>
          </w:p>
        </w:tc>
      </w:tr>
      <w:tr w:rsidR="00C32CBD" w14:paraId="35AD91D9" w14:textId="77777777" w:rsidTr="00320D09">
        <w:trPr>
          <w:trHeight w:val="255"/>
        </w:trPr>
        <w:tc>
          <w:tcPr>
            <w:tcW w:w="2755" w:type="dxa"/>
            <w:tcBorders>
              <w:top w:val="single" w:sz="4" w:space="0" w:color="auto"/>
              <w:left w:val="nil"/>
              <w:bottom w:val="single" w:sz="4" w:space="0" w:color="auto"/>
              <w:right w:val="nil"/>
            </w:tcBorders>
            <w:shd w:val="clear" w:color="FFFFFF" w:fill="FFFFFF"/>
            <w:vAlign w:val="bottom"/>
            <w:hideMark/>
          </w:tcPr>
          <w:p w14:paraId="42B440B8" w14:textId="77777777" w:rsidR="00C32CBD" w:rsidRDefault="00C32CBD" w:rsidP="00320D09">
            <w:pPr>
              <w:rPr>
                <w:rFonts w:cs="Arial"/>
                <w:b/>
                <w:bCs/>
                <w:sz w:val="18"/>
                <w:szCs w:val="18"/>
              </w:rPr>
            </w:pPr>
            <w:r>
              <w:rPr>
                <w:rFonts w:cs="Arial"/>
                <w:b/>
                <w:bCs/>
                <w:sz w:val="18"/>
                <w:szCs w:val="18"/>
              </w:rPr>
              <w:t>Closing balance 30 June 2017</w:t>
            </w:r>
          </w:p>
        </w:tc>
        <w:tc>
          <w:tcPr>
            <w:tcW w:w="1418" w:type="dxa"/>
            <w:tcBorders>
              <w:top w:val="single" w:sz="4" w:space="0" w:color="auto"/>
              <w:left w:val="nil"/>
              <w:bottom w:val="single" w:sz="4" w:space="0" w:color="auto"/>
              <w:right w:val="nil"/>
            </w:tcBorders>
            <w:shd w:val="clear" w:color="FFFFFF" w:fill="FFFFFF"/>
            <w:noWrap/>
            <w:vAlign w:val="bottom"/>
            <w:hideMark/>
          </w:tcPr>
          <w:p w14:paraId="18239A67" w14:textId="77777777" w:rsidR="00C32CBD" w:rsidRDefault="00C32CBD" w:rsidP="00320D09">
            <w:pPr>
              <w:jc w:val="right"/>
              <w:rPr>
                <w:rFonts w:cs="Arial"/>
                <w:b/>
                <w:bCs/>
                <w:sz w:val="18"/>
                <w:szCs w:val="18"/>
              </w:rPr>
            </w:pPr>
            <w:r>
              <w:rPr>
                <w:rFonts w:cs="Arial"/>
                <w:b/>
                <w:bCs/>
                <w:sz w:val="18"/>
                <w:szCs w:val="18"/>
              </w:rPr>
              <w:t>505,604</w:t>
            </w:r>
          </w:p>
        </w:tc>
        <w:tc>
          <w:tcPr>
            <w:tcW w:w="1276" w:type="dxa"/>
            <w:tcBorders>
              <w:top w:val="single" w:sz="4" w:space="0" w:color="auto"/>
              <w:left w:val="nil"/>
              <w:bottom w:val="single" w:sz="4" w:space="0" w:color="auto"/>
              <w:right w:val="nil"/>
            </w:tcBorders>
            <w:shd w:val="clear" w:color="FFFFFF" w:fill="FFFFFF"/>
            <w:noWrap/>
            <w:vAlign w:val="bottom"/>
            <w:hideMark/>
          </w:tcPr>
          <w:p w14:paraId="28E726CE" w14:textId="77777777" w:rsidR="00C32CBD" w:rsidRDefault="00C32CBD" w:rsidP="00320D09">
            <w:pPr>
              <w:jc w:val="right"/>
              <w:rPr>
                <w:rFonts w:cs="Arial"/>
                <w:b/>
                <w:bCs/>
                <w:sz w:val="18"/>
                <w:szCs w:val="18"/>
              </w:rPr>
            </w:pPr>
            <w:r>
              <w:rPr>
                <w:rFonts w:cs="Arial"/>
                <w:b/>
                <w:bCs/>
                <w:sz w:val="18"/>
                <w:szCs w:val="18"/>
              </w:rPr>
              <w:t>3,112</w:t>
            </w:r>
          </w:p>
        </w:tc>
        <w:tc>
          <w:tcPr>
            <w:tcW w:w="1275" w:type="dxa"/>
            <w:tcBorders>
              <w:top w:val="single" w:sz="4" w:space="0" w:color="auto"/>
              <w:left w:val="nil"/>
              <w:bottom w:val="single" w:sz="4" w:space="0" w:color="auto"/>
              <w:right w:val="nil"/>
            </w:tcBorders>
            <w:shd w:val="clear" w:color="FFFFFF" w:fill="FFFFFF"/>
            <w:noWrap/>
            <w:vAlign w:val="bottom"/>
            <w:hideMark/>
          </w:tcPr>
          <w:p w14:paraId="46C867F4" w14:textId="77777777" w:rsidR="00C32CBD" w:rsidRDefault="00C32CBD" w:rsidP="00320D09">
            <w:pPr>
              <w:jc w:val="right"/>
              <w:rPr>
                <w:rFonts w:cs="Arial"/>
                <w:b/>
                <w:bCs/>
                <w:sz w:val="18"/>
                <w:szCs w:val="18"/>
              </w:rPr>
            </w:pPr>
            <w:r>
              <w:rPr>
                <w:rFonts w:cs="Arial"/>
                <w:b/>
                <w:bCs/>
                <w:sz w:val="18"/>
                <w:szCs w:val="18"/>
              </w:rPr>
              <w:t>4,727</w:t>
            </w:r>
            <w:r>
              <w:rPr>
                <w:rFonts w:cs="Arial"/>
                <w:sz w:val="18"/>
                <w:szCs w:val="18"/>
                <w:vertAlign w:val="superscript"/>
              </w:rPr>
              <w:t>1</w:t>
            </w:r>
          </w:p>
        </w:tc>
        <w:tc>
          <w:tcPr>
            <w:tcW w:w="1276" w:type="dxa"/>
            <w:tcBorders>
              <w:top w:val="single" w:sz="4" w:space="0" w:color="auto"/>
              <w:left w:val="nil"/>
              <w:bottom w:val="single" w:sz="4" w:space="0" w:color="auto"/>
              <w:right w:val="nil"/>
            </w:tcBorders>
            <w:shd w:val="clear" w:color="FFFFFF" w:fill="FFFFFF"/>
            <w:noWrap/>
            <w:vAlign w:val="bottom"/>
            <w:hideMark/>
          </w:tcPr>
          <w:p w14:paraId="1148E18C" w14:textId="77777777" w:rsidR="00C32CBD" w:rsidRDefault="00C32CBD" w:rsidP="00320D09">
            <w:pPr>
              <w:jc w:val="right"/>
              <w:rPr>
                <w:rFonts w:cs="Arial"/>
                <w:b/>
                <w:bCs/>
                <w:sz w:val="18"/>
                <w:szCs w:val="18"/>
              </w:rPr>
            </w:pPr>
            <w:r>
              <w:rPr>
                <w:rFonts w:cs="Arial"/>
                <w:b/>
                <w:bCs/>
                <w:sz w:val="18"/>
                <w:szCs w:val="18"/>
              </w:rPr>
              <w:t>54,227</w:t>
            </w:r>
          </w:p>
        </w:tc>
        <w:tc>
          <w:tcPr>
            <w:tcW w:w="1087" w:type="dxa"/>
            <w:tcBorders>
              <w:top w:val="single" w:sz="4" w:space="0" w:color="auto"/>
              <w:left w:val="nil"/>
              <w:bottom w:val="single" w:sz="4" w:space="0" w:color="auto"/>
              <w:right w:val="nil"/>
            </w:tcBorders>
            <w:shd w:val="clear" w:color="FFFFFF" w:fill="FFFFFF"/>
            <w:noWrap/>
            <w:vAlign w:val="bottom"/>
            <w:hideMark/>
          </w:tcPr>
          <w:p w14:paraId="34016C89" w14:textId="77777777" w:rsidR="00C32CBD" w:rsidRDefault="00C32CBD" w:rsidP="00320D09">
            <w:pPr>
              <w:jc w:val="right"/>
              <w:rPr>
                <w:rFonts w:cs="Arial"/>
                <w:b/>
                <w:bCs/>
                <w:sz w:val="18"/>
                <w:szCs w:val="18"/>
              </w:rPr>
            </w:pPr>
            <w:r>
              <w:rPr>
                <w:rFonts w:cs="Arial"/>
                <w:b/>
                <w:bCs/>
                <w:sz w:val="18"/>
                <w:szCs w:val="18"/>
              </w:rPr>
              <w:t>567,670</w:t>
            </w:r>
          </w:p>
        </w:tc>
      </w:tr>
    </w:tbl>
    <w:p w14:paraId="5EC0EFA5" w14:textId="77777777" w:rsidR="00C32CBD" w:rsidRPr="00E42114" w:rsidRDefault="00C32CBD" w:rsidP="00C32CBD"/>
    <w:p w14:paraId="2AB68787" w14:textId="77777777" w:rsidR="00C32CBD" w:rsidRDefault="00C32CBD" w:rsidP="00C32CBD">
      <w:r>
        <w:rPr>
          <w:rFonts w:cs="Arial"/>
          <w:sz w:val="18"/>
          <w:szCs w:val="18"/>
          <w:vertAlign w:val="superscript"/>
        </w:rPr>
        <w:t>1</w:t>
      </w:r>
      <w:r>
        <w:rPr>
          <w:rFonts w:cs="Arial"/>
          <w:sz w:val="18"/>
          <w:szCs w:val="18"/>
        </w:rPr>
        <w:t>Refer to note 2.2C.</w:t>
      </w:r>
      <w:r>
        <w:br w:type="page"/>
      </w:r>
    </w:p>
    <w:p w14:paraId="3779FFD0" w14:textId="77777777" w:rsidR="00C32CBD" w:rsidRPr="005E5430" w:rsidRDefault="00C32CBD" w:rsidP="00C32CBD"/>
    <w:p w14:paraId="5E57AA20" w14:textId="77777777" w:rsidR="00C32CBD" w:rsidRPr="00F36D6B" w:rsidRDefault="00C32CBD" w:rsidP="00C32CBD">
      <w:pPr>
        <w:pBdr>
          <w:top w:val="single" w:sz="4" w:space="1" w:color="009560"/>
          <w:left w:val="single" w:sz="4" w:space="4" w:color="009560"/>
          <w:bottom w:val="single" w:sz="4" w:space="1" w:color="009560"/>
          <w:right w:val="single" w:sz="4" w:space="31" w:color="009560"/>
        </w:pBdr>
        <w:spacing w:line="120" w:lineRule="atLeast"/>
        <w:ind w:right="607"/>
        <w:rPr>
          <w:rFonts w:cs="Arial"/>
          <w:sz w:val="18"/>
          <w:szCs w:val="18"/>
        </w:rPr>
      </w:pPr>
      <w:bookmarkStart w:id="179" w:name="_Toc443469538"/>
      <w:bookmarkStart w:id="180" w:name="_Toc444065792"/>
      <w:bookmarkStart w:id="181" w:name="_Toc444079989"/>
      <w:bookmarkStart w:id="182" w:name="_Toc447030543"/>
      <w:bookmarkStart w:id="183" w:name="_Toc447030695"/>
      <w:bookmarkStart w:id="184" w:name="_Toc447030788"/>
      <w:r w:rsidRPr="00F36D6B">
        <w:rPr>
          <w:rFonts w:cs="Arial"/>
          <w:b/>
          <w:sz w:val="18"/>
          <w:szCs w:val="18"/>
        </w:rPr>
        <w:t>Accounting Policy</w:t>
      </w:r>
    </w:p>
    <w:p w14:paraId="6426661D" w14:textId="77777777" w:rsidR="00C32CBD" w:rsidRDefault="00C32CBD" w:rsidP="00C32CBD">
      <w:pPr>
        <w:pBdr>
          <w:top w:val="single" w:sz="4" w:space="1" w:color="009560"/>
          <w:left w:val="single" w:sz="4" w:space="4" w:color="009560"/>
          <w:bottom w:val="single" w:sz="4" w:space="1" w:color="009560"/>
          <w:right w:val="single" w:sz="4" w:space="31" w:color="009560"/>
        </w:pBdr>
        <w:spacing w:line="120" w:lineRule="atLeast"/>
        <w:ind w:right="607"/>
        <w:rPr>
          <w:rFonts w:cs="Arial"/>
          <w:sz w:val="18"/>
          <w:szCs w:val="18"/>
        </w:rPr>
      </w:pPr>
      <w:r w:rsidRPr="00511D15">
        <w:rPr>
          <w:rFonts w:cs="Arial"/>
          <w:sz w:val="18"/>
          <w:szCs w:val="18"/>
        </w:rPr>
        <w:t>The Agency makes a provision for the reasonable care and support for participants provided during the period but not yet notified to the Agency. The provision represents the best estimate of the amount based on available evidence in relation to rates of expenditure by participants and is informed by actuarial analysis.</w:t>
      </w:r>
    </w:p>
    <w:p w14:paraId="3028543B" w14:textId="77777777" w:rsidR="00C32CBD" w:rsidRPr="00F36D6B" w:rsidRDefault="00C32CBD" w:rsidP="00C32CBD">
      <w:pPr>
        <w:pBdr>
          <w:top w:val="single" w:sz="4" w:space="1" w:color="009560"/>
          <w:left w:val="single" w:sz="4" w:space="4" w:color="009560"/>
          <w:bottom w:val="single" w:sz="4" w:space="1" w:color="009560"/>
          <w:right w:val="single" w:sz="4" w:space="31" w:color="009560"/>
        </w:pBdr>
        <w:spacing w:line="120" w:lineRule="atLeast"/>
        <w:ind w:right="607"/>
        <w:rPr>
          <w:rFonts w:cs="Arial"/>
          <w:b/>
          <w:sz w:val="18"/>
          <w:szCs w:val="18"/>
        </w:rPr>
      </w:pPr>
      <w:r w:rsidRPr="00F36D6B">
        <w:rPr>
          <w:rFonts w:cs="Arial"/>
          <w:b/>
          <w:sz w:val="18"/>
          <w:szCs w:val="18"/>
        </w:rPr>
        <w:t>Key judgements and estimates</w:t>
      </w:r>
    </w:p>
    <w:p w14:paraId="16343247" w14:textId="77777777" w:rsidR="00C32CBD" w:rsidRPr="00EA468A" w:rsidRDefault="00C32CBD" w:rsidP="00C32CBD">
      <w:pPr>
        <w:pBdr>
          <w:top w:val="single" w:sz="4" w:space="1" w:color="009560"/>
          <w:left w:val="single" w:sz="4" w:space="4" w:color="009560"/>
          <w:bottom w:val="single" w:sz="4" w:space="1" w:color="009560"/>
          <w:right w:val="single" w:sz="4" w:space="31" w:color="009560"/>
        </w:pBdr>
        <w:spacing w:line="120" w:lineRule="atLeast"/>
        <w:ind w:right="607"/>
        <w:rPr>
          <w:rFonts w:cs="Arial"/>
          <w:i/>
          <w:sz w:val="18"/>
          <w:szCs w:val="18"/>
          <w:u w:val="single"/>
        </w:rPr>
      </w:pPr>
      <w:r w:rsidRPr="00EA468A">
        <w:rPr>
          <w:rFonts w:cs="Arial"/>
          <w:i/>
          <w:sz w:val="18"/>
          <w:szCs w:val="18"/>
          <w:u w:val="single"/>
        </w:rPr>
        <w:t>Participant plan provisions</w:t>
      </w:r>
    </w:p>
    <w:p w14:paraId="6B799546" w14:textId="77777777" w:rsidR="00C32CBD" w:rsidRDefault="00C32CBD" w:rsidP="00C32CBD">
      <w:pPr>
        <w:pBdr>
          <w:top w:val="single" w:sz="4" w:space="1" w:color="009560"/>
          <w:left w:val="single" w:sz="4" w:space="4" w:color="009560"/>
          <w:bottom w:val="single" w:sz="4" w:space="1" w:color="009560"/>
          <w:right w:val="single" w:sz="4" w:space="31" w:color="009560"/>
        </w:pBdr>
        <w:spacing w:line="120" w:lineRule="atLeast"/>
        <w:ind w:right="607"/>
        <w:rPr>
          <w:rFonts w:cs="Arial"/>
          <w:sz w:val="18"/>
          <w:szCs w:val="18"/>
        </w:rPr>
      </w:pPr>
      <w:r w:rsidRPr="005C54DD">
        <w:rPr>
          <w:rFonts w:cs="Arial"/>
          <w:sz w:val="18"/>
          <w:szCs w:val="18"/>
        </w:rPr>
        <w:t xml:space="preserve">The Agency recognises a liability for the costs of reasonable care and support at the time that services are provided to participants in the Scheme. Due to the administrative processes associated with receiving and processing claims at the end of an accounting period, the Agency may not have been notified of the full value of all services provided during that period. Therefore, the Agency records a provision for the reasonable care and support for participants provided during the period but not yet notified to the Agency based on its best estimate of the outstanding liability using the guidance in accounting standards and information on committed supports contained within participant plans, the claims received by the Agency over time relating back to committed supports and the expected utilisation of committed supports within participant plans. </w:t>
      </w:r>
    </w:p>
    <w:p w14:paraId="32608336" w14:textId="77777777" w:rsidR="00C32CBD" w:rsidRDefault="00C32CBD" w:rsidP="00C32CBD">
      <w:pPr>
        <w:pBdr>
          <w:top w:val="single" w:sz="4" w:space="1" w:color="009560"/>
          <w:left w:val="single" w:sz="4" w:space="4" w:color="009560"/>
          <w:bottom w:val="single" w:sz="4" w:space="1" w:color="009560"/>
          <w:right w:val="single" w:sz="4" w:space="31" w:color="009560"/>
        </w:pBdr>
        <w:spacing w:line="120" w:lineRule="atLeast"/>
        <w:ind w:right="607"/>
        <w:rPr>
          <w:rFonts w:cs="Arial"/>
          <w:sz w:val="18"/>
          <w:szCs w:val="18"/>
        </w:rPr>
      </w:pPr>
      <w:r w:rsidRPr="005C54DD">
        <w:rPr>
          <w:rFonts w:cs="Arial"/>
          <w:sz w:val="18"/>
          <w:szCs w:val="18"/>
        </w:rPr>
        <w:t>As at 30 June 2017, the expected utilisation of committed support provision raised by financial years is as follows:</w:t>
      </w:r>
    </w:p>
    <w:p w14:paraId="3B966DEF" w14:textId="77777777" w:rsidR="00C32CBD" w:rsidRDefault="00C32CBD" w:rsidP="00C32CBD">
      <w:pPr>
        <w:pBdr>
          <w:top w:val="single" w:sz="4" w:space="1" w:color="009560"/>
          <w:left w:val="single" w:sz="4" w:space="4" w:color="009560"/>
          <w:bottom w:val="single" w:sz="4" w:space="1" w:color="009560"/>
          <w:right w:val="single" w:sz="4" w:space="31" w:color="009560"/>
        </w:pBdr>
        <w:spacing w:line="120" w:lineRule="atLeast"/>
        <w:ind w:right="607"/>
        <w:rPr>
          <w:rFonts w:cs="Arial"/>
          <w:sz w:val="18"/>
          <w:szCs w:val="18"/>
        </w:rPr>
      </w:pPr>
      <w:r>
        <w:rPr>
          <w:rFonts w:cs="Arial"/>
          <w:sz w:val="18"/>
          <w:szCs w:val="18"/>
        </w:rPr>
        <w:t xml:space="preserve">  2013-14: 65.0%</w:t>
      </w:r>
    </w:p>
    <w:p w14:paraId="15042FF6" w14:textId="77777777" w:rsidR="00C32CBD" w:rsidRDefault="00C32CBD" w:rsidP="00C32CBD">
      <w:pPr>
        <w:pBdr>
          <w:top w:val="single" w:sz="4" w:space="1" w:color="009560"/>
          <w:left w:val="single" w:sz="4" w:space="4" w:color="009560"/>
          <w:bottom w:val="single" w:sz="4" w:space="1" w:color="009560"/>
          <w:right w:val="single" w:sz="4" w:space="31" w:color="009560"/>
        </w:pBdr>
        <w:spacing w:line="120" w:lineRule="atLeast"/>
        <w:ind w:right="607"/>
        <w:rPr>
          <w:rFonts w:cs="Arial"/>
          <w:sz w:val="18"/>
          <w:szCs w:val="18"/>
        </w:rPr>
      </w:pPr>
      <w:r>
        <w:rPr>
          <w:rFonts w:cs="Arial"/>
          <w:sz w:val="18"/>
          <w:szCs w:val="18"/>
        </w:rPr>
        <w:t xml:space="preserve">  2014-15: 75.0%</w:t>
      </w:r>
    </w:p>
    <w:p w14:paraId="5CB0A471" w14:textId="77777777" w:rsidR="00C32CBD" w:rsidRDefault="00C32CBD" w:rsidP="00C32CBD">
      <w:pPr>
        <w:pBdr>
          <w:top w:val="single" w:sz="4" w:space="1" w:color="009560"/>
          <w:left w:val="single" w:sz="4" w:space="4" w:color="009560"/>
          <w:bottom w:val="single" w:sz="4" w:space="1" w:color="009560"/>
          <w:right w:val="single" w:sz="4" w:space="31" w:color="009560"/>
        </w:pBdr>
        <w:spacing w:line="120" w:lineRule="atLeast"/>
        <w:ind w:right="607"/>
        <w:rPr>
          <w:rFonts w:cs="Arial"/>
          <w:sz w:val="18"/>
          <w:szCs w:val="18"/>
        </w:rPr>
      </w:pPr>
      <w:r>
        <w:rPr>
          <w:rFonts w:cs="Arial"/>
          <w:sz w:val="18"/>
          <w:szCs w:val="18"/>
        </w:rPr>
        <w:t xml:space="preserve">  2015-16: 76.5%</w:t>
      </w:r>
    </w:p>
    <w:p w14:paraId="7FA1661A" w14:textId="77777777" w:rsidR="00C32CBD" w:rsidRDefault="00C32CBD" w:rsidP="00C32CBD">
      <w:pPr>
        <w:pBdr>
          <w:top w:val="single" w:sz="4" w:space="1" w:color="009560"/>
          <w:left w:val="single" w:sz="4" w:space="4" w:color="009560"/>
          <w:bottom w:val="single" w:sz="4" w:space="1" w:color="009560"/>
          <w:right w:val="single" w:sz="4" w:space="31" w:color="009560"/>
        </w:pBdr>
        <w:spacing w:line="120" w:lineRule="atLeast"/>
        <w:ind w:right="607"/>
        <w:rPr>
          <w:rFonts w:cs="Arial"/>
          <w:sz w:val="18"/>
          <w:szCs w:val="18"/>
        </w:rPr>
      </w:pPr>
      <w:r>
        <w:rPr>
          <w:rFonts w:cs="Arial"/>
          <w:sz w:val="18"/>
          <w:szCs w:val="18"/>
        </w:rPr>
        <w:t xml:space="preserve">  2016-17: 75.0%</w:t>
      </w:r>
    </w:p>
    <w:p w14:paraId="6DD6F897" w14:textId="77777777" w:rsidR="00C32CBD" w:rsidRPr="00DB3D62" w:rsidRDefault="00C32CBD" w:rsidP="00C32CBD">
      <w:pPr>
        <w:pBdr>
          <w:top w:val="single" w:sz="4" w:space="1" w:color="009560"/>
          <w:left w:val="single" w:sz="4" w:space="4" w:color="009560"/>
          <w:bottom w:val="single" w:sz="4" w:space="1" w:color="009560"/>
          <w:right w:val="single" w:sz="4" w:space="31" w:color="009560"/>
        </w:pBdr>
        <w:spacing w:line="120" w:lineRule="atLeast"/>
        <w:ind w:right="607"/>
        <w:rPr>
          <w:rFonts w:cs="Arial"/>
          <w:sz w:val="18"/>
          <w:szCs w:val="18"/>
        </w:rPr>
      </w:pPr>
      <w:r w:rsidRPr="005C54DD">
        <w:rPr>
          <w:rFonts w:cs="Arial"/>
          <w:sz w:val="18"/>
          <w:szCs w:val="18"/>
        </w:rPr>
        <w:t>Given that limited historical information is available in relation to participant claims history and the rapid period of growth of the Scheme, estimates of the participant plan provision includes allowances for uncertainty based on discussions with jurisdictions and may require material adjustment in future accounting periods. The weighted average term to settlement is three months and no allowance has been made for discounting these costs.</w:t>
      </w:r>
    </w:p>
    <w:p w14:paraId="6B0BB083" w14:textId="77777777" w:rsidR="00C32CBD" w:rsidRDefault="00C32CBD" w:rsidP="00C32CBD">
      <w:pPr>
        <w:pStyle w:val="SectionHeading"/>
        <w:numPr>
          <w:ilvl w:val="0"/>
          <w:numId w:val="0"/>
        </w:numPr>
        <w:ind w:left="360" w:hanging="360"/>
        <w:sectPr w:rsidR="00C32CBD" w:rsidSect="00320D09">
          <w:pgSz w:w="11906" w:h="16838" w:code="9"/>
          <w:pgMar w:top="1134" w:right="1700" w:bottom="1134" w:left="1134" w:header="958" w:footer="737" w:gutter="0"/>
          <w:cols w:space="708"/>
          <w:docGrid w:linePitch="360"/>
        </w:sectPr>
      </w:pPr>
    </w:p>
    <w:p w14:paraId="3A7F94F1" w14:textId="77777777" w:rsidR="00C32CBD" w:rsidRDefault="00C32CBD" w:rsidP="00C32CBD">
      <w:pPr>
        <w:pStyle w:val="SectionHeading"/>
      </w:pPr>
      <w:bookmarkStart w:id="185" w:name="_Toc456865062"/>
      <w:bookmarkStart w:id="186" w:name="_Toc496611906"/>
      <w:r>
        <w:t>Funding</w:t>
      </w:r>
      <w:bookmarkEnd w:id="179"/>
      <w:bookmarkEnd w:id="180"/>
      <w:bookmarkEnd w:id="181"/>
      <w:bookmarkEnd w:id="182"/>
      <w:bookmarkEnd w:id="183"/>
      <w:bookmarkEnd w:id="184"/>
      <w:bookmarkEnd w:id="185"/>
      <w:bookmarkEnd w:id="186"/>
    </w:p>
    <w:p w14:paraId="4B81A510" w14:textId="77777777" w:rsidR="00C32CBD" w:rsidRDefault="00C32CBD" w:rsidP="00C32CBD">
      <w:pPr>
        <w:pStyle w:val="SectionHeadingDescription"/>
      </w:pPr>
      <w:r w:rsidRPr="00185212">
        <w:t xml:space="preserve">This section identifies the </w:t>
      </w:r>
      <w:r>
        <w:t xml:space="preserve">Agency </w:t>
      </w:r>
      <w:r w:rsidRPr="00185212">
        <w:t>funding structure.</w:t>
      </w:r>
    </w:p>
    <w:p w14:paraId="47A6238A" w14:textId="77777777" w:rsidR="00C32CBD" w:rsidRPr="00714F4A" w:rsidRDefault="00C32CBD" w:rsidP="00C32CBD">
      <w:pPr>
        <w:pStyle w:val="ListParagraph"/>
        <w:numPr>
          <w:ilvl w:val="0"/>
          <w:numId w:val="28"/>
        </w:numPr>
        <w:shd w:val="clear" w:color="auto" w:fill="FEFFFF" w:themeFill="text1"/>
        <w:spacing w:before="0" w:after="0" w:line="260" w:lineRule="atLeast"/>
        <w:contextualSpacing w:val="0"/>
        <w:outlineLvl w:val="1"/>
        <w:rPr>
          <w:rFonts w:eastAsia="Times New Roman" w:cs="Arial"/>
          <w:b/>
          <w:vanish/>
          <w:szCs w:val="20"/>
        </w:rPr>
      </w:pPr>
      <w:bookmarkStart w:id="187" w:name="_Toc447116450"/>
      <w:bookmarkStart w:id="188" w:name="_Toc447542884"/>
      <w:bookmarkStart w:id="189" w:name="_Toc447787259"/>
      <w:bookmarkStart w:id="190" w:name="_Toc448415759"/>
      <w:bookmarkStart w:id="191" w:name="_Toc448500684"/>
      <w:bookmarkStart w:id="192" w:name="_Toc449452846"/>
      <w:bookmarkStart w:id="193" w:name="_Toc456185888"/>
      <w:bookmarkStart w:id="194" w:name="_Toc456185945"/>
      <w:bookmarkStart w:id="195" w:name="_Toc456256306"/>
      <w:bookmarkStart w:id="196" w:name="_Toc456865063"/>
      <w:bookmarkStart w:id="197" w:name="_Toc447030544"/>
      <w:bookmarkStart w:id="198" w:name="_Toc447030696"/>
      <w:bookmarkStart w:id="199" w:name="_Toc447030789"/>
      <w:bookmarkStart w:id="200" w:name="_Toc443469540"/>
      <w:bookmarkStart w:id="201" w:name="_Toc444065794"/>
      <w:bookmarkStart w:id="202" w:name="_Toc444079991"/>
      <w:bookmarkEnd w:id="187"/>
      <w:bookmarkEnd w:id="188"/>
      <w:bookmarkEnd w:id="189"/>
      <w:bookmarkEnd w:id="190"/>
      <w:bookmarkEnd w:id="191"/>
      <w:bookmarkEnd w:id="192"/>
      <w:bookmarkEnd w:id="193"/>
      <w:bookmarkEnd w:id="194"/>
      <w:bookmarkEnd w:id="195"/>
      <w:bookmarkEnd w:id="196"/>
    </w:p>
    <w:p w14:paraId="4BAE3EF9" w14:textId="77777777" w:rsidR="00C32CBD" w:rsidRPr="005E5430" w:rsidRDefault="00C32CBD" w:rsidP="00C32CBD">
      <w:pPr>
        <w:pStyle w:val="SubHeading"/>
      </w:pPr>
      <w:bookmarkStart w:id="203" w:name="_Toc456865064"/>
      <w:bookmarkStart w:id="204" w:name="_Toc496611907"/>
      <w:r w:rsidRPr="005E5430">
        <w:t>Cash Flow Reconciliation</w:t>
      </w:r>
      <w:bookmarkEnd w:id="197"/>
      <w:bookmarkEnd w:id="198"/>
      <w:bookmarkEnd w:id="199"/>
      <w:bookmarkEnd w:id="203"/>
      <w:bookmarkEnd w:id="204"/>
    </w:p>
    <w:tbl>
      <w:tblPr>
        <w:tblW w:w="9087" w:type="dxa"/>
        <w:tblInd w:w="80" w:type="dxa"/>
        <w:tblLayout w:type="fixed"/>
        <w:tblLook w:val="04A0" w:firstRow="1" w:lastRow="0" w:firstColumn="1" w:lastColumn="0" w:noHBand="0" w:noVBand="1"/>
      </w:tblPr>
      <w:tblGrid>
        <w:gridCol w:w="6322"/>
        <w:gridCol w:w="1277"/>
        <w:gridCol w:w="272"/>
        <w:gridCol w:w="1216"/>
      </w:tblGrid>
      <w:tr w:rsidR="00C32CBD" w14:paraId="586F876A" w14:textId="77777777" w:rsidTr="00320D09">
        <w:trPr>
          <w:trHeight w:val="255"/>
        </w:trPr>
        <w:tc>
          <w:tcPr>
            <w:tcW w:w="6216" w:type="dxa"/>
            <w:tcBorders>
              <w:top w:val="nil"/>
              <w:left w:val="nil"/>
              <w:bottom w:val="nil"/>
              <w:right w:val="nil"/>
            </w:tcBorders>
            <w:shd w:val="clear" w:color="FFFFFF" w:fill="FFFFFF"/>
            <w:noWrap/>
            <w:vAlign w:val="bottom"/>
            <w:hideMark/>
          </w:tcPr>
          <w:p w14:paraId="76B2A820" w14:textId="77777777" w:rsidR="00C32CBD" w:rsidRDefault="00C32CBD" w:rsidP="00320D09">
            <w:pPr>
              <w:rPr>
                <w:rFonts w:cs="Arial"/>
                <w:sz w:val="18"/>
                <w:szCs w:val="18"/>
              </w:rPr>
            </w:pPr>
            <w:bookmarkStart w:id="205" w:name="Note_CFRTABLE1" w:colFirst="0" w:colLast="0"/>
            <w:r>
              <w:rPr>
                <w:rFonts w:cs="Arial"/>
                <w:sz w:val="18"/>
                <w:szCs w:val="18"/>
              </w:rPr>
              <w:t> </w:t>
            </w:r>
          </w:p>
        </w:tc>
        <w:tc>
          <w:tcPr>
            <w:tcW w:w="1256" w:type="dxa"/>
            <w:tcBorders>
              <w:top w:val="nil"/>
              <w:left w:val="nil"/>
              <w:bottom w:val="nil"/>
              <w:right w:val="nil"/>
            </w:tcBorders>
            <w:shd w:val="clear" w:color="FFFFFF" w:fill="FFFFFF"/>
            <w:noWrap/>
            <w:vAlign w:val="bottom"/>
            <w:hideMark/>
          </w:tcPr>
          <w:p w14:paraId="3EE8D361" w14:textId="77777777" w:rsidR="00C32CBD" w:rsidRDefault="00C32CBD" w:rsidP="00320D09">
            <w:pPr>
              <w:jc w:val="right"/>
              <w:rPr>
                <w:rFonts w:cs="Arial"/>
                <w:b/>
                <w:bCs/>
                <w:sz w:val="18"/>
                <w:szCs w:val="18"/>
              </w:rPr>
            </w:pPr>
            <w:r>
              <w:rPr>
                <w:rFonts w:cs="Arial"/>
                <w:b/>
                <w:bCs/>
                <w:sz w:val="18"/>
                <w:szCs w:val="18"/>
              </w:rPr>
              <w:t>2017</w:t>
            </w:r>
          </w:p>
        </w:tc>
        <w:tc>
          <w:tcPr>
            <w:tcW w:w="267" w:type="dxa"/>
            <w:tcBorders>
              <w:top w:val="nil"/>
              <w:left w:val="nil"/>
              <w:bottom w:val="nil"/>
              <w:right w:val="nil"/>
            </w:tcBorders>
            <w:shd w:val="clear" w:color="FFFFFF" w:fill="FFFFFF"/>
            <w:noWrap/>
            <w:vAlign w:val="bottom"/>
            <w:hideMark/>
          </w:tcPr>
          <w:p w14:paraId="0501FE8B" w14:textId="77777777" w:rsidR="00C32CBD" w:rsidRDefault="00C32CBD" w:rsidP="00320D09">
            <w:pPr>
              <w:rPr>
                <w:rFonts w:cs="Arial"/>
                <w:sz w:val="18"/>
                <w:szCs w:val="18"/>
              </w:rPr>
            </w:pPr>
            <w:r>
              <w:rPr>
                <w:rFonts w:cs="Arial"/>
                <w:sz w:val="18"/>
                <w:szCs w:val="18"/>
              </w:rPr>
              <w:t> </w:t>
            </w:r>
          </w:p>
        </w:tc>
        <w:tc>
          <w:tcPr>
            <w:tcW w:w="1196" w:type="dxa"/>
            <w:tcBorders>
              <w:top w:val="nil"/>
              <w:left w:val="nil"/>
              <w:bottom w:val="nil"/>
              <w:right w:val="nil"/>
            </w:tcBorders>
            <w:shd w:val="clear" w:color="FFFFFF" w:fill="FFFFFF"/>
            <w:noWrap/>
            <w:vAlign w:val="bottom"/>
            <w:hideMark/>
          </w:tcPr>
          <w:p w14:paraId="388EC6DB" w14:textId="77777777" w:rsidR="00C32CBD" w:rsidRDefault="00C32CBD" w:rsidP="00320D09">
            <w:pPr>
              <w:jc w:val="right"/>
              <w:rPr>
                <w:rFonts w:cs="Arial"/>
                <w:sz w:val="18"/>
                <w:szCs w:val="18"/>
              </w:rPr>
            </w:pPr>
            <w:r>
              <w:rPr>
                <w:rFonts w:cs="Arial"/>
                <w:sz w:val="18"/>
                <w:szCs w:val="18"/>
              </w:rPr>
              <w:t>2016</w:t>
            </w:r>
          </w:p>
        </w:tc>
      </w:tr>
      <w:bookmarkEnd w:id="205"/>
      <w:tr w:rsidR="00C32CBD" w14:paraId="7AC926E3" w14:textId="77777777" w:rsidTr="00320D09">
        <w:trPr>
          <w:trHeight w:val="255"/>
        </w:trPr>
        <w:tc>
          <w:tcPr>
            <w:tcW w:w="6216" w:type="dxa"/>
            <w:tcBorders>
              <w:top w:val="nil"/>
              <w:left w:val="nil"/>
              <w:bottom w:val="nil"/>
              <w:right w:val="nil"/>
            </w:tcBorders>
            <w:shd w:val="clear" w:color="FFFFFF" w:fill="FFFFFF"/>
            <w:noWrap/>
            <w:vAlign w:val="bottom"/>
            <w:hideMark/>
          </w:tcPr>
          <w:p w14:paraId="49AACEC4" w14:textId="77777777" w:rsidR="00C32CBD" w:rsidRDefault="00C32CBD" w:rsidP="00320D09">
            <w:pPr>
              <w:rPr>
                <w:rFonts w:cs="Arial"/>
                <w:sz w:val="18"/>
                <w:szCs w:val="18"/>
              </w:rPr>
            </w:pPr>
            <w:r>
              <w:rPr>
                <w:rFonts w:cs="Arial"/>
                <w:sz w:val="18"/>
                <w:szCs w:val="18"/>
              </w:rPr>
              <w:t> </w:t>
            </w:r>
          </w:p>
        </w:tc>
        <w:tc>
          <w:tcPr>
            <w:tcW w:w="1256" w:type="dxa"/>
            <w:tcBorders>
              <w:top w:val="nil"/>
              <w:left w:val="nil"/>
              <w:bottom w:val="nil"/>
              <w:right w:val="nil"/>
            </w:tcBorders>
            <w:shd w:val="clear" w:color="FFFFFF" w:fill="FFFFFF"/>
            <w:noWrap/>
            <w:vAlign w:val="bottom"/>
            <w:hideMark/>
          </w:tcPr>
          <w:p w14:paraId="38CB0634" w14:textId="77777777" w:rsidR="00C32CBD" w:rsidRDefault="00C32CBD" w:rsidP="00320D09">
            <w:pPr>
              <w:jc w:val="right"/>
              <w:rPr>
                <w:rFonts w:cs="Arial"/>
                <w:b/>
                <w:bCs/>
                <w:sz w:val="18"/>
                <w:szCs w:val="18"/>
              </w:rPr>
            </w:pPr>
            <w:r>
              <w:rPr>
                <w:rFonts w:cs="Arial"/>
                <w:b/>
                <w:bCs/>
                <w:sz w:val="18"/>
                <w:szCs w:val="18"/>
              </w:rPr>
              <w:t>$'000</w:t>
            </w:r>
          </w:p>
        </w:tc>
        <w:tc>
          <w:tcPr>
            <w:tcW w:w="267" w:type="dxa"/>
            <w:tcBorders>
              <w:top w:val="nil"/>
              <w:left w:val="nil"/>
              <w:bottom w:val="nil"/>
              <w:right w:val="nil"/>
            </w:tcBorders>
            <w:shd w:val="clear" w:color="FFFFFF" w:fill="FFFFFF"/>
            <w:noWrap/>
            <w:vAlign w:val="bottom"/>
            <w:hideMark/>
          </w:tcPr>
          <w:p w14:paraId="5FB9B9ED" w14:textId="77777777" w:rsidR="00C32CBD" w:rsidRDefault="00C32CBD" w:rsidP="00320D09">
            <w:pPr>
              <w:rPr>
                <w:rFonts w:cs="Arial"/>
                <w:sz w:val="18"/>
                <w:szCs w:val="18"/>
              </w:rPr>
            </w:pPr>
            <w:r>
              <w:rPr>
                <w:rFonts w:cs="Arial"/>
                <w:sz w:val="18"/>
                <w:szCs w:val="18"/>
              </w:rPr>
              <w:t> </w:t>
            </w:r>
          </w:p>
        </w:tc>
        <w:tc>
          <w:tcPr>
            <w:tcW w:w="1196" w:type="dxa"/>
            <w:tcBorders>
              <w:top w:val="nil"/>
              <w:left w:val="nil"/>
              <w:bottom w:val="nil"/>
              <w:right w:val="nil"/>
            </w:tcBorders>
            <w:shd w:val="clear" w:color="FFFFFF" w:fill="FFFFFF"/>
            <w:noWrap/>
            <w:vAlign w:val="bottom"/>
            <w:hideMark/>
          </w:tcPr>
          <w:p w14:paraId="731EAC69" w14:textId="77777777" w:rsidR="00C32CBD" w:rsidRDefault="00C32CBD" w:rsidP="00320D09">
            <w:pPr>
              <w:jc w:val="right"/>
              <w:rPr>
                <w:rFonts w:cs="Arial"/>
                <w:sz w:val="18"/>
                <w:szCs w:val="18"/>
              </w:rPr>
            </w:pPr>
            <w:r>
              <w:rPr>
                <w:rFonts w:cs="Arial"/>
                <w:sz w:val="18"/>
                <w:szCs w:val="18"/>
              </w:rPr>
              <w:t>$'000</w:t>
            </w:r>
          </w:p>
        </w:tc>
      </w:tr>
      <w:tr w:rsidR="00C32CBD" w14:paraId="5FFF9523" w14:textId="77777777" w:rsidTr="00320D09">
        <w:trPr>
          <w:trHeight w:val="480"/>
        </w:trPr>
        <w:tc>
          <w:tcPr>
            <w:tcW w:w="6216" w:type="dxa"/>
            <w:tcBorders>
              <w:top w:val="nil"/>
              <w:left w:val="nil"/>
              <w:bottom w:val="nil"/>
              <w:right w:val="nil"/>
            </w:tcBorders>
            <w:shd w:val="clear" w:color="FFFFFF" w:fill="FFFFFF"/>
            <w:vAlign w:val="bottom"/>
            <w:hideMark/>
          </w:tcPr>
          <w:p w14:paraId="11E5BE4A" w14:textId="77777777" w:rsidR="00C32CBD" w:rsidRDefault="00C32CBD" w:rsidP="00320D09">
            <w:pPr>
              <w:rPr>
                <w:rFonts w:cs="Arial"/>
                <w:b/>
                <w:bCs/>
                <w:sz w:val="18"/>
                <w:szCs w:val="18"/>
              </w:rPr>
            </w:pPr>
            <w:r>
              <w:rPr>
                <w:rFonts w:cs="Arial"/>
                <w:b/>
                <w:bCs/>
                <w:sz w:val="18"/>
                <w:szCs w:val="18"/>
              </w:rPr>
              <w:t>Reconciliation of cash and cash equivalents as per Statement of Financial Position to Cash Flow Statement</w:t>
            </w:r>
          </w:p>
        </w:tc>
        <w:tc>
          <w:tcPr>
            <w:tcW w:w="1256" w:type="dxa"/>
            <w:tcBorders>
              <w:top w:val="nil"/>
              <w:left w:val="nil"/>
              <w:bottom w:val="nil"/>
              <w:right w:val="nil"/>
            </w:tcBorders>
            <w:shd w:val="clear" w:color="FFFFFF" w:fill="FFFFFF"/>
            <w:noWrap/>
            <w:vAlign w:val="bottom"/>
            <w:hideMark/>
          </w:tcPr>
          <w:p w14:paraId="35C1DF0C" w14:textId="77777777" w:rsidR="00C32CBD" w:rsidRDefault="00C32CBD" w:rsidP="00320D09">
            <w:pPr>
              <w:rPr>
                <w:rFonts w:cs="Arial"/>
                <w:b/>
                <w:bCs/>
                <w:sz w:val="18"/>
                <w:szCs w:val="18"/>
              </w:rPr>
            </w:pPr>
            <w:r>
              <w:rPr>
                <w:rFonts w:cs="Arial"/>
                <w:b/>
                <w:bCs/>
                <w:sz w:val="18"/>
                <w:szCs w:val="18"/>
              </w:rPr>
              <w:t> </w:t>
            </w:r>
          </w:p>
        </w:tc>
        <w:tc>
          <w:tcPr>
            <w:tcW w:w="267" w:type="dxa"/>
            <w:tcBorders>
              <w:top w:val="nil"/>
              <w:left w:val="nil"/>
              <w:bottom w:val="nil"/>
              <w:right w:val="nil"/>
            </w:tcBorders>
            <w:shd w:val="clear" w:color="FFFFFF" w:fill="FFFFFF"/>
            <w:noWrap/>
            <w:vAlign w:val="bottom"/>
            <w:hideMark/>
          </w:tcPr>
          <w:p w14:paraId="699691BE" w14:textId="77777777" w:rsidR="00C32CBD" w:rsidRDefault="00C32CBD" w:rsidP="00320D09">
            <w:pPr>
              <w:rPr>
                <w:rFonts w:cs="Arial"/>
                <w:b/>
                <w:bCs/>
                <w:sz w:val="18"/>
                <w:szCs w:val="18"/>
              </w:rPr>
            </w:pPr>
            <w:r>
              <w:rPr>
                <w:rFonts w:cs="Arial"/>
                <w:b/>
                <w:bCs/>
                <w:sz w:val="18"/>
                <w:szCs w:val="18"/>
              </w:rPr>
              <w:t> </w:t>
            </w:r>
          </w:p>
        </w:tc>
        <w:tc>
          <w:tcPr>
            <w:tcW w:w="1196" w:type="dxa"/>
            <w:tcBorders>
              <w:top w:val="nil"/>
              <w:left w:val="nil"/>
              <w:bottom w:val="nil"/>
              <w:right w:val="nil"/>
            </w:tcBorders>
            <w:shd w:val="clear" w:color="FFFFFF" w:fill="FFFFFF"/>
            <w:noWrap/>
            <w:vAlign w:val="bottom"/>
            <w:hideMark/>
          </w:tcPr>
          <w:p w14:paraId="506223AD" w14:textId="77777777" w:rsidR="00C32CBD" w:rsidRDefault="00C32CBD" w:rsidP="00320D09">
            <w:pPr>
              <w:rPr>
                <w:rFonts w:cs="Arial"/>
                <w:b/>
                <w:bCs/>
                <w:sz w:val="18"/>
                <w:szCs w:val="18"/>
              </w:rPr>
            </w:pPr>
            <w:r>
              <w:rPr>
                <w:rFonts w:cs="Arial"/>
                <w:b/>
                <w:bCs/>
                <w:sz w:val="18"/>
                <w:szCs w:val="18"/>
              </w:rPr>
              <w:t> </w:t>
            </w:r>
          </w:p>
        </w:tc>
      </w:tr>
      <w:tr w:rsidR="00C32CBD" w14:paraId="5C653270" w14:textId="77777777" w:rsidTr="00320D09">
        <w:trPr>
          <w:trHeight w:val="255"/>
        </w:trPr>
        <w:tc>
          <w:tcPr>
            <w:tcW w:w="6216" w:type="dxa"/>
            <w:tcBorders>
              <w:top w:val="nil"/>
              <w:left w:val="nil"/>
              <w:bottom w:val="nil"/>
              <w:right w:val="nil"/>
            </w:tcBorders>
            <w:shd w:val="clear" w:color="FFFFFF" w:fill="FFFFFF"/>
            <w:noWrap/>
            <w:vAlign w:val="bottom"/>
            <w:hideMark/>
          </w:tcPr>
          <w:p w14:paraId="6B095221" w14:textId="77777777" w:rsidR="00C32CBD" w:rsidRDefault="00C32CBD" w:rsidP="00320D09">
            <w:pPr>
              <w:rPr>
                <w:rFonts w:cs="Arial"/>
                <w:b/>
                <w:bCs/>
                <w:sz w:val="18"/>
                <w:szCs w:val="18"/>
              </w:rPr>
            </w:pPr>
            <w:r>
              <w:rPr>
                <w:rFonts w:cs="Arial"/>
                <w:b/>
                <w:bCs/>
                <w:sz w:val="18"/>
                <w:szCs w:val="18"/>
              </w:rPr>
              <w:t> </w:t>
            </w:r>
          </w:p>
        </w:tc>
        <w:tc>
          <w:tcPr>
            <w:tcW w:w="1256" w:type="dxa"/>
            <w:tcBorders>
              <w:top w:val="nil"/>
              <w:left w:val="nil"/>
              <w:bottom w:val="nil"/>
              <w:right w:val="nil"/>
            </w:tcBorders>
            <w:shd w:val="clear" w:color="FFFFFF" w:fill="FFFFFF"/>
            <w:noWrap/>
            <w:vAlign w:val="bottom"/>
            <w:hideMark/>
          </w:tcPr>
          <w:p w14:paraId="5FA0A3D6" w14:textId="77777777" w:rsidR="00C32CBD" w:rsidRDefault="00C32CBD" w:rsidP="00320D09">
            <w:pPr>
              <w:rPr>
                <w:rFonts w:cs="Arial"/>
                <w:b/>
                <w:bCs/>
                <w:sz w:val="18"/>
                <w:szCs w:val="18"/>
              </w:rPr>
            </w:pPr>
            <w:r>
              <w:rPr>
                <w:rFonts w:cs="Arial"/>
                <w:b/>
                <w:bCs/>
                <w:sz w:val="18"/>
                <w:szCs w:val="18"/>
              </w:rPr>
              <w:t> </w:t>
            </w:r>
          </w:p>
        </w:tc>
        <w:tc>
          <w:tcPr>
            <w:tcW w:w="267" w:type="dxa"/>
            <w:tcBorders>
              <w:top w:val="nil"/>
              <w:left w:val="nil"/>
              <w:bottom w:val="nil"/>
              <w:right w:val="nil"/>
            </w:tcBorders>
            <w:shd w:val="clear" w:color="FFFFFF" w:fill="FFFFFF"/>
            <w:noWrap/>
            <w:vAlign w:val="bottom"/>
            <w:hideMark/>
          </w:tcPr>
          <w:p w14:paraId="30BA3FA8" w14:textId="77777777" w:rsidR="00C32CBD" w:rsidRDefault="00C32CBD" w:rsidP="00320D09">
            <w:pPr>
              <w:rPr>
                <w:rFonts w:cs="Arial"/>
                <w:b/>
                <w:bCs/>
                <w:sz w:val="18"/>
                <w:szCs w:val="18"/>
              </w:rPr>
            </w:pPr>
            <w:r>
              <w:rPr>
                <w:rFonts w:cs="Arial"/>
                <w:b/>
                <w:bCs/>
                <w:sz w:val="18"/>
                <w:szCs w:val="18"/>
              </w:rPr>
              <w:t> </w:t>
            </w:r>
          </w:p>
        </w:tc>
        <w:tc>
          <w:tcPr>
            <w:tcW w:w="1196" w:type="dxa"/>
            <w:tcBorders>
              <w:top w:val="nil"/>
              <w:left w:val="nil"/>
              <w:bottom w:val="nil"/>
              <w:right w:val="nil"/>
            </w:tcBorders>
            <w:shd w:val="clear" w:color="FFFFFF" w:fill="FFFFFF"/>
            <w:noWrap/>
            <w:vAlign w:val="bottom"/>
            <w:hideMark/>
          </w:tcPr>
          <w:p w14:paraId="7428CD9F" w14:textId="77777777" w:rsidR="00C32CBD" w:rsidRDefault="00C32CBD" w:rsidP="00320D09">
            <w:pPr>
              <w:rPr>
                <w:rFonts w:cs="Arial"/>
                <w:b/>
                <w:bCs/>
                <w:sz w:val="18"/>
                <w:szCs w:val="18"/>
              </w:rPr>
            </w:pPr>
            <w:r>
              <w:rPr>
                <w:rFonts w:cs="Arial"/>
                <w:b/>
                <w:bCs/>
                <w:sz w:val="18"/>
                <w:szCs w:val="18"/>
              </w:rPr>
              <w:t> </w:t>
            </w:r>
          </w:p>
        </w:tc>
      </w:tr>
      <w:tr w:rsidR="00C32CBD" w14:paraId="3BC6CC08" w14:textId="77777777" w:rsidTr="00320D09">
        <w:trPr>
          <w:trHeight w:val="255"/>
        </w:trPr>
        <w:tc>
          <w:tcPr>
            <w:tcW w:w="6216" w:type="dxa"/>
            <w:tcBorders>
              <w:top w:val="nil"/>
              <w:left w:val="nil"/>
              <w:bottom w:val="nil"/>
              <w:right w:val="nil"/>
            </w:tcBorders>
            <w:shd w:val="clear" w:color="FFFFFF" w:fill="FFFFFF"/>
            <w:vAlign w:val="bottom"/>
            <w:hideMark/>
          </w:tcPr>
          <w:p w14:paraId="314CDF43" w14:textId="77777777" w:rsidR="00C32CBD" w:rsidRDefault="00C32CBD" w:rsidP="00320D09">
            <w:pPr>
              <w:rPr>
                <w:rFonts w:cs="Arial"/>
                <w:b/>
                <w:bCs/>
                <w:sz w:val="18"/>
                <w:szCs w:val="18"/>
              </w:rPr>
            </w:pPr>
            <w:r>
              <w:rPr>
                <w:rFonts w:cs="Arial"/>
                <w:b/>
                <w:bCs/>
                <w:sz w:val="18"/>
                <w:szCs w:val="18"/>
              </w:rPr>
              <w:t>Cash and cash equivalents as per</w:t>
            </w:r>
          </w:p>
        </w:tc>
        <w:tc>
          <w:tcPr>
            <w:tcW w:w="1256" w:type="dxa"/>
            <w:tcBorders>
              <w:top w:val="nil"/>
              <w:left w:val="nil"/>
              <w:bottom w:val="nil"/>
              <w:right w:val="nil"/>
            </w:tcBorders>
            <w:shd w:val="clear" w:color="FFFFFF" w:fill="FFFFFF"/>
            <w:noWrap/>
            <w:vAlign w:val="bottom"/>
            <w:hideMark/>
          </w:tcPr>
          <w:p w14:paraId="6D1DC862" w14:textId="77777777" w:rsidR="00C32CBD" w:rsidRDefault="00C32CBD" w:rsidP="00320D09">
            <w:pPr>
              <w:rPr>
                <w:rFonts w:cs="Arial"/>
                <w:b/>
                <w:bCs/>
                <w:sz w:val="18"/>
                <w:szCs w:val="18"/>
              </w:rPr>
            </w:pPr>
            <w:r>
              <w:rPr>
                <w:rFonts w:cs="Arial"/>
                <w:b/>
                <w:bCs/>
                <w:sz w:val="18"/>
                <w:szCs w:val="18"/>
              </w:rPr>
              <w:t> </w:t>
            </w:r>
          </w:p>
        </w:tc>
        <w:tc>
          <w:tcPr>
            <w:tcW w:w="267" w:type="dxa"/>
            <w:tcBorders>
              <w:top w:val="nil"/>
              <w:left w:val="nil"/>
              <w:bottom w:val="nil"/>
              <w:right w:val="nil"/>
            </w:tcBorders>
            <w:shd w:val="clear" w:color="FFFFFF" w:fill="FFFFFF"/>
            <w:noWrap/>
            <w:vAlign w:val="bottom"/>
            <w:hideMark/>
          </w:tcPr>
          <w:p w14:paraId="2A9D368A" w14:textId="77777777" w:rsidR="00C32CBD" w:rsidRDefault="00C32CBD" w:rsidP="00320D09">
            <w:pPr>
              <w:rPr>
                <w:rFonts w:cs="Arial"/>
                <w:b/>
                <w:bCs/>
                <w:sz w:val="18"/>
                <w:szCs w:val="18"/>
              </w:rPr>
            </w:pPr>
            <w:r>
              <w:rPr>
                <w:rFonts w:cs="Arial"/>
                <w:b/>
                <w:bCs/>
                <w:sz w:val="18"/>
                <w:szCs w:val="18"/>
              </w:rPr>
              <w:t> </w:t>
            </w:r>
          </w:p>
        </w:tc>
        <w:tc>
          <w:tcPr>
            <w:tcW w:w="1196" w:type="dxa"/>
            <w:tcBorders>
              <w:top w:val="nil"/>
              <w:left w:val="nil"/>
              <w:bottom w:val="nil"/>
              <w:right w:val="nil"/>
            </w:tcBorders>
            <w:shd w:val="clear" w:color="FFFFFF" w:fill="FFFFFF"/>
            <w:noWrap/>
            <w:vAlign w:val="bottom"/>
            <w:hideMark/>
          </w:tcPr>
          <w:p w14:paraId="6C420500" w14:textId="77777777" w:rsidR="00C32CBD" w:rsidRDefault="00C32CBD" w:rsidP="00320D09">
            <w:pPr>
              <w:rPr>
                <w:rFonts w:cs="Arial"/>
                <w:b/>
                <w:bCs/>
                <w:sz w:val="18"/>
                <w:szCs w:val="18"/>
              </w:rPr>
            </w:pPr>
            <w:r>
              <w:rPr>
                <w:rFonts w:cs="Arial"/>
                <w:b/>
                <w:bCs/>
                <w:sz w:val="18"/>
                <w:szCs w:val="18"/>
              </w:rPr>
              <w:t> </w:t>
            </w:r>
          </w:p>
        </w:tc>
      </w:tr>
      <w:tr w:rsidR="00C32CBD" w14:paraId="251A5836" w14:textId="77777777" w:rsidTr="00320D09">
        <w:trPr>
          <w:trHeight w:val="255"/>
        </w:trPr>
        <w:tc>
          <w:tcPr>
            <w:tcW w:w="6216" w:type="dxa"/>
            <w:tcBorders>
              <w:top w:val="nil"/>
              <w:left w:val="nil"/>
              <w:bottom w:val="nil"/>
              <w:right w:val="nil"/>
            </w:tcBorders>
            <w:shd w:val="clear" w:color="FFFFFF" w:fill="FFFFFF"/>
            <w:vAlign w:val="bottom"/>
            <w:hideMark/>
          </w:tcPr>
          <w:p w14:paraId="548E32A3" w14:textId="77777777" w:rsidR="00C32CBD" w:rsidRDefault="00C32CBD" w:rsidP="00320D09">
            <w:pPr>
              <w:ind w:firstLineChars="100" w:firstLine="180"/>
              <w:rPr>
                <w:rFonts w:cs="Arial"/>
                <w:sz w:val="18"/>
                <w:szCs w:val="18"/>
              </w:rPr>
            </w:pPr>
            <w:r>
              <w:rPr>
                <w:rFonts w:cs="Arial"/>
                <w:sz w:val="18"/>
                <w:szCs w:val="18"/>
              </w:rPr>
              <w:t>Cash Flow Statement</w:t>
            </w:r>
          </w:p>
        </w:tc>
        <w:tc>
          <w:tcPr>
            <w:tcW w:w="1256" w:type="dxa"/>
            <w:tcBorders>
              <w:top w:val="nil"/>
              <w:left w:val="nil"/>
              <w:bottom w:val="nil"/>
              <w:right w:val="nil"/>
            </w:tcBorders>
            <w:shd w:val="clear" w:color="FFFFFF" w:fill="FFFFFF"/>
            <w:noWrap/>
            <w:vAlign w:val="bottom"/>
            <w:hideMark/>
          </w:tcPr>
          <w:p w14:paraId="6E3967FC" w14:textId="77777777" w:rsidR="00C32CBD" w:rsidRDefault="00C32CBD" w:rsidP="00320D09">
            <w:pPr>
              <w:jc w:val="right"/>
              <w:rPr>
                <w:rFonts w:cs="Arial"/>
                <w:b/>
                <w:bCs/>
                <w:sz w:val="18"/>
                <w:szCs w:val="18"/>
              </w:rPr>
            </w:pPr>
            <w:r>
              <w:rPr>
                <w:rFonts w:cs="Arial"/>
                <w:b/>
                <w:bCs/>
                <w:sz w:val="18"/>
                <w:szCs w:val="18"/>
              </w:rPr>
              <w:t>1,328,287</w:t>
            </w:r>
          </w:p>
        </w:tc>
        <w:tc>
          <w:tcPr>
            <w:tcW w:w="267" w:type="dxa"/>
            <w:tcBorders>
              <w:top w:val="nil"/>
              <w:left w:val="nil"/>
              <w:bottom w:val="nil"/>
              <w:right w:val="nil"/>
            </w:tcBorders>
            <w:shd w:val="clear" w:color="FFFFFF" w:fill="FFFFFF"/>
            <w:noWrap/>
            <w:vAlign w:val="bottom"/>
            <w:hideMark/>
          </w:tcPr>
          <w:p w14:paraId="2B572768" w14:textId="77777777" w:rsidR="00C32CBD" w:rsidRDefault="00C32CBD" w:rsidP="00320D09">
            <w:pPr>
              <w:rPr>
                <w:rFonts w:cs="Arial"/>
                <w:b/>
                <w:bCs/>
                <w:sz w:val="18"/>
                <w:szCs w:val="18"/>
              </w:rPr>
            </w:pPr>
            <w:r>
              <w:rPr>
                <w:rFonts w:cs="Arial"/>
                <w:b/>
                <w:bCs/>
                <w:sz w:val="18"/>
                <w:szCs w:val="18"/>
              </w:rPr>
              <w:t> </w:t>
            </w:r>
          </w:p>
        </w:tc>
        <w:tc>
          <w:tcPr>
            <w:tcW w:w="1196" w:type="dxa"/>
            <w:tcBorders>
              <w:top w:val="nil"/>
              <w:left w:val="nil"/>
              <w:bottom w:val="nil"/>
              <w:right w:val="nil"/>
            </w:tcBorders>
            <w:shd w:val="clear" w:color="FFFFFF" w:fill="FFFFFF"/>
            <w:noWrap/>
            <w:vAlign w:val="bottom"/>
            <w:hideMark/>
          </w:tcPr>
          <w:p w14:paraId="498F9A2C" w14:textId="77777777" w:rsidR="00C32CBD" w:rsidRDefault="00C32CBD" w:rsidP="00320D09">
            <w:pPr>
              <w:jc w:val="right"/>
              <w:rPr>
                <w:rFonts w:cs="Arial"/>
                <w:sz w:val="18"/>
                <w:szCs w:val="18"/>
              </w:rPr>
            </w:pPr>
            <w:r>
              <w:rPr>
                <w:rFonts w:cs="Arial"/>
                <w:sz w:val="18"/>
                <w:szCs w:val="18"/>
              </w:rPr>
              <w:t>306,430</w:t>
            </w:r>
          </w:p>
        </w:tc>
      </w:tr>
      <w:tr w:rsidR="00C32CBD" w14:paraId="0B25A4A2" w14:textId="77777777" w:rsidTr="00320D09">
        <w:trPr>
          <w:trHeight w:val="255"/>
        </w:trPr>
        <w:tc>
          <w:tcPr>
            <w:tcW w:w="6216" w:type="dxa"/>
            <w:tcBorders>
              <w:top w:val="nil"/>
              <w:left w:val="nil"/>
              <w:bottom w:val="nil"/>
              <w:right w:val="nil"/>
            </w:tcBorders>
            <w:shd w:val="clear" w:color="FFFFFF" w:fill="FFFFFF"/>
            <w:vAlign w:val="bottom"/>
            <w:hideMark/>
          </w:tcPr>
          <w:p w14:paraId="7EB6DB5E" w14:textId="77777777" w:rsidR="00C32CBD" w:rsidRDefault="00C32CBD" w:rsidP="00320D09">
            <w:pPr>
              <w:ind w:firstLineChars="100" w:firstLine="180"/>
              <w:rPr>
                <w:rFonts w:cs="Arial"/>
                <w:sz w:val="18"/>
                <w:szCs w:val="18"/>
              </w:rPr>
            </w:pPr>
            <w:r>
              <w:rPr>
                <w:rFonts w:cs="Arial"/>
                <w:sz w:val="18"/>
                <w:szCs w:val="18"/>
              </w:rPr>
              <w:t>Statement of Financial Position</w:t>
            </w:r>
          </w:p>
        </w:tc>
        <w:tc>
          <w:tcPr>
            <w:tcW w:w="1256" w:type="dxa"/>
            <w:tcBorders>
              <w:top w:val="nil"/>
              <w:left w:val="nil"/>
              <w:bottom w:val="nil"/>
              <w:right w:val="nil"/>
            </w:tcBorders>
            <w:shd w:val="clear" w:color="FFFFFF" w:fill="FFFFFF"/>
            <w:noWrap/>
            <w:vAlign w:val="bottom"/>
            <w:hideMark/>
          </w:tcPr>
          <w:p w14:paraId="480A977D" w14:textId="77777777" w:rsidR="00C32CBD" w:rsidRDefault="00C32CBD" w:rsidP="00320D09">
            <w:pPr>
              <w:jc w:val="right"/>
              <w:rPr>
                <w:rFonts w:cs="Arial"/>
                <w:b/>
                <w:bCs/>
                <w:sz w:val="18"/>
                <w:szCs w:val="18"/>
              </w:rPr>
            </w:pPr>
            <w:r>
              <w:rPr>
                <w:rFonts w:cs="Arial"/>
                <w:b/>
                <w:bCs/>
                <w:sz w:val="18"/>
                <w:szCs w:val="18"/>
              </w:rPr>
              <w:t>1,328,287</w:t>
            </w:r>
          </w:p>
        </w:tc>
        <w:tc>
          <w:tcPr>
            <w:tcW w:w="267" w:type="dxa"/>
            <w:tcBorders>
              <w:top w:val="nil"/>
              <w:left w:val="nil"/>
              <w:bottom w:val="nil"/>
              <w:right w:val="nil"/>
            </w:tcBorders>
            <w:shd w:val="clear" w:color="FFFFFF" w:fill="FFFFFF"/>
            <w:noWrap/>
            <w:vAlign w:val="bottom"/>
            <w:hideMark/>
          </w:tcPr>
          <w:p w14:paraId="59627771" w14:textId="77777777" w:rsidR="00C32CBD" w:rsidRDefault="00C32CBD" w:rsidP="00320D09">
            <w:pPr>
              <w:rPr>
                <w:rFonts w:cs="Arial"/>
                <w:b/>
                <w:bCs/>
                <w:sz w:val="18"/>
                <w:szCs w:val="18"/>
              </w:rPr>
            </w:pPr>
            <w:r>
              <w:rPr>
                <w:rFonts w:cs="Arial"/>
                <w:b/>
                <w:bCs/>
                <w:sz w:val="18"/>
                <w:szCs w:val="18"/>
              </w:rPr>
              <w:t> </w:t>
            </w:r>
          </w:p>
        </w:tc>
        <w:tc>
          <w:tcPr>
            <w:tcW w:w="1196" w:type="dxa"/>
            <w:tcBorders>
              <w:top w:val="nil"/>
              <w:left w:val="nil"/>
              <w:bottom w:val="nil"/>
              <w:right w:val="nil"/>
            </w:tcBorders>
            <w:shd w:val="clear" w:color="FFFFFF" w:fill="FFFFFF"/>
            <w:noWrap/>
            <w:vAlign w:val="bottom"/>
            <w:hideMark/>
          </w:tcPr>
          <w:p w14:paraId="318D0C82" w14:textId="77777777" w:rsidR="00C32CBD" w:rsidRDefault="00C32CBD" w:rsidP="00320D09">
            <w:pPr>
              <w:jc w:val="right"/>
              <w:rPr>
                <w:rFonts w:cs="Arial"/>
                <w:sz w:val="18"/>
                <w:szCs w:val="18"/>
              </w:rPr>
            </w:pPr>
            <w:r>
              <w:rPr>
                <w:rFonts w:cs="Arial"/>
                <w:sz w:val="18"/>
                <w:szCs w:val="18"/>
              </w:rPr>
              <w:t>306,430</w:t>
            </w:r>
          </w:p>
        </w:tc>
      </w:tr>
      <w:tr w:rsidR="00C32CBD" w14:paraId="1587FB47" w14:textId="77777777" w:rsidTr="00320D09">
        <w:trPr>
          <w:trHeight w:val="255"/>
        </w:trPr>
        <w:tc>
          <w:tcPr>
            <w:tcW w:w="6216" w:type="dxa"/>
            <w:tcBorders>
              <w:top w:val="nil"/>
              <w:left w:val="nil"/>
              <w:bottom w:val="nil"/>
              <w:right w:val="nil"/>
            </w:tcBorders>
            <w:shd w:val="clear" w:color="FFFFFF" w:fill="FFFFFF"/>
            <w:vAlign w:val="bottom"/>
            <w:hideMark/>
          </w:tcPr>
          <w:p w14:paraId="3E298051" w14:textId="77777777" w:rsidR="00C32CBD" w:rsidRDefault="00C32CBD" w:rsidP="00320D09">
            <w:pPr>
              <w:rPr>
                <w:rFonts w:cs="Arial"/>
                <w:b/>
                <w:bCs/>
                <w:sz w:val="18"/>
                <w:szCs w:val="18"/>
              </w:rPr>
            </w:pPr>
            <w:r>
              <w:rPr>
                <w:rFonts w:cs="Arial"/>
                <w:b/>
                <w:bCs/>
                <w:sz w:val="18"/>
                <w:szCs w:val="18"/>
              </w:rPr>
              <w:t>Discrepancy</w:t>
            </w:r>
          </w:p>
        </w:tc>
        <w:tc>
          <w:tcPr>
            <w:tcW w:w="1256" w:type="dxa"/>
            <w:tcBorders>
              <w:top w:val="single" w:sz="4" w:space="0" w:color="auto"/>
              <w:left w:val="nil"/>
              <w:bottom w:val="single" w:sz="4" w:space="0" w:color="auto"/>
              <w:right w:val="nil"/>
            </w:tcBorders>
            <w:shd w:val="clear" w:color="FFFFFF" w:fill="FFFFFF"/>
            <w:noWrap/>
            <w:vAlign w:val="bottom"/>
            <w:hideMark/>
          </w:tcPr>
          <w:p w14:paraId="592C765F" w14:textId="77777777" w:rsidR="00C32CBD" w:rsidRDefault="00C32CBD" w:rsidP="00320D09">
            <w:pPr>
              <w:jc w:val="right"/>
              <w:rPr>
                <w:rFonts w:cs="Arial"/>
                <w:b/>
                <w:bCs/>
                <w:sz w:val="18"/>
                <w:szCs w:val="18"/>
              </w:rPr>
            </w:pPr>
            <w:r>
              <w:rPr>
                <w:rFonts w:cs="Arial"/>
                <w:b/>
                <w:bCs/>
                <w:sz w:val="18"/>
                <w:szCs w:val="18"/>
              </w:rPr>
              <w:t>-</w:t>
            </w:r>
          </w:p>
        </w:tc>
        <w:tc>
          <w:tcPr>
            <w:tcW w:w="267" w:type="dxa"/>
            <w:tcBorders>
              <w:top w:val="nil"/>
              <w:left w:val="nil"/>
              <w:bottom w:val="nil"/>
              <w:right w:val="nil"/>
            </w:tcBorders>
            <w:shd w:val="clear" w:color="FFFFFF" w:fill="FFFFFF"/>
            <w:noWrap/>
            <w:vAlign w:val="bottom"/>
            <w:hideMark/>
          </w:tcPr>
          <w:p w14:paraId="19C5F747" w14:textId="77777777" w:rsidR="00C32CBD" w:rsidRDefault="00C32CBD" w:rsidP="00320D09">
            <w:pPr>
              <w:rPr>
                <w:rFonts w:cs="Arial"/>
                <w:b/>
                <w:bCs/>
                <w:sz w:val="18"/>
                <w:szCs w:val="18"/>
              </w:rPr>
            </w:pPr>
            <w:r>
              <w:rPr>
                <w:rFonts w:cs="Arial"/>
                <w:b/>
                <w:bCs/>
                <w:sz w:val="18"/>
                <w:szCs w:val="18"/>
              </w:rPr>
              <w:t> </w:t>
            </w:r>
          </w:p>
        </w:tc>
        <w:tc>
          <w:tcPr>
            <w:tcW w:w="1196" w:type="dxa"/>
            <w:tcBorders>
              <w:top w:val="single" w:sz="4" w:space="0" w:color="auto"/>
              <w:left w:val="nil"/>
              <w:bottom w:val="single" w:sz="4" w:space="0" w:color="auto"/>
              <w:right w:val="nil"/>
            </w:tcBorders>
            <w:shd w:val="clear" w:color="FFFFFF" w:fill="FFFFFF"/>
            <w:noWrap/>
            <w:vAlign w:val="bottom"/>
            <w:hideMark/>
          </w:tcPr>
          <w:p w14:paraId="5AAC0D52" w14:textId="77777777" w:rsidR="00C32CBD" w:rsidRDefault="00C32CBD" w:rsidP="00320D09">
            <w:pPr>
              <w:jc w:val="right"/>
              <w:rPr>
                <w:rFonts w:cs="Arial"/>
                <w:sz w:val="18"/>
                <w:szCs w:val="18"/>
              </w:rPr>
            </w:pPr>
            <w:r>
              <w:rPr>
                <w:rFonts w:cs="Arial"/>
                <w:sz w:val="18"/>
                <w:szCs w:val="18"/>
              </w:rPr>
              <w:t>-</w:t>
            </w:r>
          </w:p>
        </w:tc>
      </w:tr>
      <w:tr w:rsidR="00C32CBD" w14:paraId="13FB36AA" w14:textId="77777777" w:rsidTr="00320D09">
        <w:trPr>
          <w:trHeight w:val="255"/>
        </w:trPr>
        <w:tc>
          <w:tcPr>
            <w:tcW w:w="6216" w:type="dxa"/>
            <w:tcBorders>
              <w:top w:val="nil"/>
              <w:left w:val="nil"/>
              <w:bottom w:val="nil"/>
              <w:right w:val="nil"/>
            </w:tcBorders>
            <w:shd w:val="clear" w:color="FFFFFF" w:fill="FFFFFF"/>
            <w:noWrap/>
            <w:vAlign w:val="bottom"/>
            <w:hideMark/>
          </w:tcPr>
          <w:p w14:paraId="1CBF8945" w14:textId="77777777" w:rsidR="00C32CBD" w:rsidRDefault="00C32CBD" w:rsidP="00320D09">
            <w:pPr>
              <w:rPr>
                <w:rFonts w:cs="Arial"/>
                <w:sz w:val="18"/>
                <w:szCs w:val="18"/>
              </w:rPr>
            </w:pPr>
            <w:r>
              <w:rPr>
                <w:rFonts w:cs="Arial"/>
                <w:sz w:val="18"/>
                <w:szCs w:val="18"/>
              </w:rPr>
              <w:t> </w:t>
            </w:r>
          </w:p>
        </w:tc>
        <w:tc>
          <w:tcPr>
            <w:tcW w:w="1256" w:type="dxa"/>
            <w:tcBorders>
              <w:top w:val="nil"/>
              <w:left w:val="nil"/>
              <w:bottom w:val="nil"/>
              <w:right w:val="nil"/>
            </w:tcBorders>
            <w:shd w:val="clear" w:color="FFFFFF" w:fill="FFFFFF"/>
            <w:noWrap/>
            <w:vAlign w:val="bottom"/>
            <w:hideMark/>
          </w:tcPr>
          <w:p w14:paraId="7B01D190" w14:textId="77777777" w:rsidR="00C32CBD" w:rsidRDefault="00C32CBD" w:rsidP="00320D09">
            <w:pPr>
              <w:rPr>
                <w:rFonts w:cs="Arial"/>
                <w:sz w:val="18"/>
                <w:szCs w:val="18"/>
              </w:rPr>
            </w:pPr>
            <w:r>
              <w:rPr>
                <w:rFonts w:cs="Arial"/>
                <w:sz w:val="18"/>
                <w:szCs w:val="18"/>
              </w:rPr>
              <w:t> </w:t>
            </w:r>
          </w:p>
        </w:tc>
        <w:tc>
          <w:tcPr>
            <w:tcW w:w="267" w:type="dxa"/>
            <w:tcBorders>
              <w:top w:val="nil"/>
              <w:left w:val="nil"/>
              <w:bottom w:val="nil"/>
              <w:right w:val="nil"/>
            </w:tcBorders>
            <w:shd w:val="clear" w:color="FFFFFF" w:fill="FFFFFF"/>
            <w:noWrap/>
            <w:vAlign w:val="bottom"/>
            <w:hideMark/>
          </w:tcPr>
          <w:p w14:paraId="0FD175AE" w14:textId="77777777" w:rsidR="00C32CBD" w:rsidRDefault="00C32CBD" w:rsidP="00320D09">
            <w:pPr>
              <w:rPr>
                <w:rFonts w:cs="Arial"/>
                <w:b/>
                <w:bCs/>
                <w:sz w:val="18"/>
                <w:szCs w:val="18"/>
              </w:rPr>
            </w:pPr>
            <w:r>
              <w:rPr>
                <w:rFonts w:cs="Arial"/>
                <w:b/>
                <w:bCs/>
                <w:sz w:val="18"/>
                <w:szCs w:val="18"/>
              </w:rPr>
              <w:t> </w:t>
            </w:r>
          </w:p>
        </w:tc>
        <w:tc>
          <w:tcPr>
            <w:tcW w:w="1196" w:type="dxa"/>
            <w:tcBorders>
              <w:top w:val="nil"/>
              <w:left w:val="nil"/>
              <w:bottom w:val="nil"/>
              <w:right w:val="nil"/>
            </w:tcBorders>
            <w:shd w:val="clear" w:color="FFFFFF" w:fill="FFFFFF"/>
            <w:noWrap/>
            <w:vAlign w:val="bottom"/>
            <w:hideMark/>
          </w:tcPr>
          <w:p w14:paraId="719C4B21" w14:textId="77777777" w:rsidR="00C32CBD" w:rsidRDefault="00C32CBD" w:rsidP="00320D09">
            <w:pPr>
              <w:rPr>
                <w:rFonts w:cs="Arial"/>
                <w:sz w:val="18"/>
                <w:szCs w:val="18"/>
              </w:rPr>
            </w:pPr>
            <w:r>
              <w:rPr>
                <w:rFonts w:cs="Arial"/>
                <w:sz w:val="18"/>
                <w:szCs w:val="18"/>
              </w:rPr>
              <w:t> </w:t>
            </w:r>
          </w:p>
        </w:tc>
      </w:tr>
      <w:tr w:rsidR="00C32CBD" w14:paraId="3BAF98A4" w14:textId="77777777" w:rsidTr="00320D09">
        <w:trPr>
          <w:trHeight w:val="510"/>
        </w:trPr>
        <w:tc>
          <w:tcPr>
            <w:tcW w:w="7472" w:type="dxa"/>
            <w:gridSpan w:val="2"/>
            <w:tcBorders>
              <w:top w:val="nil"/>
              <w:left w:val="nil"/>
              <w:bottom w:val="nil"/>
              <w:right w:val="nil"/>
            </w:tcBorders>
            <w:shd w:val="clear" w:color="FFFFFF" w:fill="FFFFFF"/>
            <w:vAlign w:val="bottom"/>
            <w:hideMark/>
          </w:tcPr>
          <w:p w14:paraId="276CCD09" w14:textId="77777777" w:rsidR="00C32CBD" w:rsidRDefault="00C32CBD" w:rsidP="00320D09">
            <w:pPr>
              <w:rPr>
                <w:rFonts w:cs="Arial"/>
                <w:b/>
                <w:bCs/>
                <w:sz w:val="18"/>
                <w:szCs w:val="18"/>
              </w:rPr>
            </w:pPr>
            <w:r>
              <w:rPr>
                <w:rFonts w:cs="Arial"/>
                <w:b/>
                <w:bCs/>
                <w:sz w:val="18"/>
                <w:szCs w:val="18"/>
              </w:rPr>
              <w:t>Reconciliation of net cost of services to net cash from/(used by) operating activities</w:t>
            </w:r>
          </w:p>
        </w:tc>
        <w:tc>
          <w:tcPr>
            <w:tcW w:w="267" w:type="dxa"/>
            <w:tcBorders>
              <w:top w:val="nil"/>
              <w:left w:val="nil"/>
              <w:bottom w:val="nil"/>
              <w:right w:val="nil"/>
            </w:tcBorders>
            <w:shd w:val="clear" w:color="FFFFFF" w:fill="FFFFFF"/>
            <w:noWrap/>
            <w:vAlign w:val="bottom"/>
            <w:hideMark/>
          </w:tcPr>
          <w:p w14:paraId="14028B5E" w14:textId="77777777" w:rsidR="00C32CBD" w:rsidRDefault="00C32CBD" w:rsidP="00320D09">
            <w:pPr>
              <w:rPr>
                <w:rFonts w:cs="Arial"/>
                <w:b/>
                <w:bCs/>
                <w:sz w:val="18"/>
                <w:szCs w:val="18"/>
              </w:rPr>
            </w:pPr>
            <w:r>
              <w:rPr>
                <w:rFonts w:cs="Arial"/>
                <w:b/>
                <w:bCs/>
                <w:sz w:val="18"/>
                <w:szCs w:val="18"/>
              </w:rPr>
              <w:t> </w:t>
            </w:r>
          </w:p>
        </w:tc>
        <w:tc>
          <w:tcPr>
            <w:tcW w:w="1196" w:type="dxa"/>
            <w:tcBorders>
              <w:top w:val="nil"/>
              <w:left w:val="nil"/>
              <w:bottom w:val="nil"/>
              <w:right w:val="nil"/>
            </w:tcBorders>
            <w:shd w:val="clear" w:color="FFFFFF" w:fill="FFFFFF"/>
            <w:noWrap/>
            <w:vAlign w:val="bottom"/>
            <w:hideMark/>
          </w:tcPr>
          <w:p w14:paraId="40A9585C" w14:textId="77777777" w:rsidR="00C32CBD" w:rsidRDefault="00C32CBD" w:rsidP="00320D09">
            <w:pPr>
              <w:rPr>
                <w:rFonts w:cs="Arial"/>
                <w:sz w:val="18"/>
                <w:szCs w:val="18"/>
              </w:rPr>
            </w:pPr>
            <w:r>
              <w:rPr>
                <w:rFonts w:cs="Arial"/>
                <w:sz w:val="18"/>
                <w:szCs w:val="18"/>
              </w:rPr>
              <w:t> </w:t>
            </w:r>
          </w:p>
        </w:tc>
      </w:tr>
      <w:tr w:rsidR="00C32CBD" w14:paraId="3982C04F" w14:textId="77777777" w:rsidTr="00320D09">
        <w:trPr>
          <w:trHeight w:val="255"/>
        </w:trPr>
        <w:tc>
          <w:tcPr>
            <w:tcW w:w="6216" w:type="dxa"/>
            <w:tcBorders>
              <w:top w:val="nil"/>
              <w:left w:val="nil"/>
              <w:bottom w:val="nil"/>
              <w:right w:val="nil"/>
            </w:tcBorders>
            <w:shd w:val="clear" w:color="FFFFFF" w:fill="FFFFFF"/>
            <w:vAlign w:val="bottom"/>
            <w:hideMark/>
          </w:tcPr>
          <w:p w14:paraId="5A7F8F89" w14:textId="77777777" w:rsidR="00C32CBD" w:rsidRDefault="00C32CBD" w:rsidP="00320D09">
            <w:pPr>
              <w:rPr>
                <w:rFonts w:cs="Arial"/>
                <w:sz w:val="18"/>
                <w:szCs w:val="18"/>
              </w:rPr>
            </w:pPr>
            <w:r>
              <w:rPr>
                <w:rFonts w:cs="Arial"/>
                <w:sz w:val="18"/>
                <w:szCs w:val="18"/>
              </w:rPr>
              <w:t>Net (cost of)/contribution by services</w:t>
            </w:r>
          </w:p>
        </w:tc>
        <w:tc>
          <w:tcPr>
            <w:tcW w:w="1256" w:type="dxa"/>
            <w:tcBorders>
              <w:top w:val="nil"/>
              <w:left w:val="nil"/>
              <w:bottom w:val="nil"/>
              <w:right w:val="nil"/>
            </w:tcBorders>
            <w:shd w:val="clear" w:color="FFFFFF" w:fill="FFFFFF"/>
            <w:noWrap/>
            <w:vAlign w:val="bottom"/>
            <w:hideMark/>
          </w:tcPr>
          <w:p w14:paraId="6AB2714E" w14:textId="77777777" w:rsidR="00C32CBD" w:rsidRDefault="00C32CBD" w:rsidP="00320D09">
            <w:pPr>
              <w:jc w:val="right"/>
              <w:rPr>
                <w:rFonts w:cs="Arial"/>
                <w:b/>
                <w:bCs/>
                <w:sz w:val="18"/>
                <w:szCs w:val="18"/>
              </w:rPr>
            </w:pPr>
            <w:r>
              <w:rPr>
                <w:rFonts w:cs="Arial"/>
                <w:b/>
                <w:bCs/>
                <w:sz w:val="18"/>
                <w:szCs w:val="18"/>
              </w:rPr>
              <w:t>(981,398)</w:t>
            </w:r>
          </w:p>
        </w:tc>
        <w:tc>
          <w:tcPr>
            <w:tcW w:w="267" w:type="dxa"/>
            <w:tcBorders>
              <w:top w:val="nil"/>
              <w:left w:val="nil"/>
              <w:bottom w:val="nil"/>
              <w:right w:val="nil"/>
            </w:tcBorders>
            <w:shd w:val="clear" w:color="FFFFFF" w:fill="FFFFFF"/>
            <w:noWrap/>
            <w:vAlign w:val="bottom"/>
            <w:hideMark/>
          </w:tcPr>
          <w:p w14:paraId="5AB1A4D0" w14:textId="77777777" w:rsidR="00C32CBD" w:rsidRDefault="00C32CBD" w:rsidP="00320D09">
            <w:pPr>
              <w:rPr>
                <w:rFonts w:cs="Arial"/>
                <w:b/>
                <w:bCs/>
                <w:sz w:val="18"/>
                <w:szCs w:val="18"/>
              </w:rPr>
            </w:pPr>
            <w:r>
              <w:rPr>
                <w:rFonts w:cs="Arial"/>
                <w:b/>
                <w:bCs/>
                <w:sz w:val="18"/>
                <w:szCs w:val="18"/>
              </w:rPr>
              <w:t> </w:t>
            </w:r>
          </w:p>
        </w:tc>
        <w:tc>
          <w:tcPr>
            <w:tcW w:w="1196" w:type="dxa"/>
            <w:tcBorders>
              <w:top w:val="nil"/>
              <w:left w:val="nil"/>
              <w:bottom w:val="nil"/>
              <w:right w:val="nil"/>
            </w:tcBorders>
            <w:shd w:val="clear" w:color="FFFFFF" w:fill="FFFFFF"/>
            <w:noWrap/>
            <w:vAlign w:val="bottom"/>
            <w:hideMark/>
          </w:tcPr>
          <w:p w14:paraId="6C0C937B" w14:textId="77777777" w:rsidR="00C32CBD" w:rsidRDefault="00C32CBD" w:rsidP="00320D09">
            <w:pPr>
              <w:jc w:val="right"/>
              <w:rPr>
                <w:rFonts w:cs="Arial"/>
                <w:sz w:val="18"/>
                <w:szCs w:val="18"/>
              </w:rPr>
            </w:pPr>
            <w:r>
              <w:rPr>
                <w:rFonts w:cs="Arial"/>
                <w:sz w:val="18"/>
                <w:szCs w:val="18"/>
              </w:rPr>
              <w:t>(565,288)</w:t>
            </w:r>
          </w:p>
        </w:tc>
      </w:tr>
      <w:tr w:rsidR="00C32CBD" w14:paraId="476E3E79" w14:textId="77777777" w:rsidTr="00320D09">
        <w:trPr>
          <w:trHeight w:val="255"/>
        </w:trPr>
        <w:tc>
          <w:tcPr>
            <w:tcW w:w="6216" w:type="dxa"/>
            <w:tcBorders>
              <w:top w:val="nil"/>
              <w:left w:val="nil"/>
              <w:bottom w:val="nil"/>
              <w:right w:val="nil"/>
            </w:tcBorders>
            <w:shd w:val="clear" w:color="FFFFFF" w:fill="FFFFFF"/>
            <w:vAlign w:val="bottom"/>
            <w:hideMark/>
          </w:tcPr>
          <w:p w14:paraId="68185C75" w14:textId="77777777" w:rsidR="00C32CBD" w:rsidRDefault="00C32CBD" w:rsidP="00320D09">
            <w:pPr>
              <w:rPr>
                <w:rFonts w:cs="Arial"/>
                <w:sz w:val="18"/>
                <w:szCs w:val="18"/>
              </w:rPr>
            </w:pPr>
            <w:r>
              <w:rPr>
                <w:rFonts w:cs="Arial"/>
                <w:sz w:val="18"/>
                <w:szCs w:val="18"/>
              </w:rPr>
              <w:t>Revenue from Government</w:t>
            </w:r>
          </w:p>
        </w:tc>
        <w:tc>
          <w:tcPr>
            <w:tcW w:w="1256" w:type="dxa"/>
            <w:tcBorders>
              <w:top w:val="nil"/>
              <w:left w:val="nil"/>
              <w:bottom w:val="nil"/>
              <w:right w:val="nil"/>
            </w:tcBorders>
            <w:shd w:val="clear" w:color="FFFFFF" w:fill="FFFFFF"/>
            <w:noWrap/>
            <w:vAlign w:val="bottom"/>
            <w:hideMark/>
          </w:tcPr>
          <w:p w14:paraId="099FD278" w14:textId="77777777" w:rsidR="00C32CBD" w:rsidRDefault="00C32CBD" w:rsidP="00320D09">
            <w:pPr>
              <w:jc w:val="right"/>
              <w:rPr>
                <w:rFonts w:cs="Arial"/>
                <w:b/>
                <w:bCs/>
                <w:sz w:val="18"/>
                <w:szCs w:val="18"/>
              </w:rPr>
            </w:pPr>
            <w:r>
              <w:rPr>
                <w:rFonts w:cs="Arial"/>
                <w:b/>
                <w:bCs/>
                <w:sz w:val="18"/>
                <w:szCs w:val="18"/>
              </w:rPr>
              <w:t>1,598,466</w:t>
            </w:r>
          </w:p>
        </w:tc>
        <w:tc>
          <w:tcPr>
            <w:tcW w:w="267" w:type="dxa"/>
            <w:tcBorders>
              <w:top w:val="nil"/>
              <w:left w:val="nil"/>
              <w:bottom w:val="nil"/>
              <w:right w:val="nil"/>
            </w:tcBorders>
            <w:shd w:val="clear" w:color="FFFFFF" w:fill="FFFFFF"/>
            <w:noWrap/>
            <w:vAlign w:val="bottom"/>
            <w:hideMark/>
          </w:tcPr>
          <w:p w14:paraId="5359F087" w14:textId="77777777" w:rsidR="00C32CBD" w:rsidRDefault="00C32CBD" w:rsidP="00320D09">
            <w:pPr>
              <w:rPr>
                <w:rFonts w:cs="Arial"/>
                <w:sz w:val="18"/>
                <w:szCs w:val="18"/>
              </w:rPr>
            </w:pPr>
            <w:r>
              <w:rPr>
                <w:rFonts w:cs="Arial"/>
                <w:sz w:val="18"/>
                <w:szCs w:val="18"/>
              </w:rPr>
              <w:t> </w:t>
            </w:r>
          </w:p>
        </w:tc>
        <w:tc>
          <w:tcPr>
            <w:tcW w:w="1196" w:type="dxa"/>
            <w:tcBorders>
              <w:top w:val="nil"/>
              <w:left w:val="nil"/>
              <w:bottom w:val="nil"/>
              <w:right w:val="nil"/>
            </w:tcBorders>
            <w:shd w:val="clear" w:color="FFFFFF" w:fill="FFFFFF"/>
            <w:noWrap/>
            <w:vAlign w:val="bottom"/>
            <w:hideMark/>
          </w:tcPr>
          <w:p w14:paraId="3C6D47F4" w14:textId="77777777" w:rsidR="00C32CBD" w:rsidRDefault="00C32CBD" w:rsidP="00320D09">
            <w:pPr>
              <w:jc w:val="right"/>
              <w:rPr>
                <w:rFonts w:cs="Arial"/>
                <w:sz w:val="18"/>
                <w:szCs w:val="18"/>
              </w:rPr>
            </w:pPr>
            <w:r>
              <w:rPr>
                <w:rFonts w:cs="Arial"/>
                <w:sz w:val="18"/>
                <w:szCs w:val="18"/>
              </w:rPr>
              <w:t>581,070</w:t>
            </w:r>
          </w:p>
        </w:tc>
      </w:tr>
      <w:tr w:rsidR="00C32CBD" w14:paraId="6079928A" w14:textId="77777777" w:rsidTr="00320D09">
        <w:trPr>
          <w:trHeight w:val="255"/>
        </w:trPr>
        <w:tc>
          <w:tcPr>
            <w:tcW w:w="6216" w:type="dxa"/>
            <w:tcBorders>
              <w:top w:val="nil"/>
              <w:left w:val="nil"/>
              <w:bottom w:val="nil"/>
              <w:right w:val="nil"/>
            </w:tcBorders>
            <w:shd w:val="clear" w:color="FFFFFF" w:fill="FFFFFF"/>
            <w:noWrap/>
            <w:vAlign w:val="bottom"/>
            <w:hideMark/>
          </w:tcPr>
          <w:p w14:paraId="6B5F71D6" w14:textId="77777777" w:rsidR="00C32CBD" w:rsidRDefault="00C32CBD" w:rsidP="00320D09">
            <w:pPr>
              <w:rPr>
                <w:rFonts w:cs="Arial"/>
                <w:sz w:val="18"/>
                <w:szCs w:val="18"/>
              </w:rPr>
            </w:pPr>
            <w:r>
              <w:rPr>
                <w:rFonts w:cs="Arial"/>
                <w:sz w:val="18"/>
                <w:szCs w:val="18"/>
              </w:rPr>
              <w:t> </w:t>
            </w:r>
          </w:p>
        </w:tc>
        <w:tc>
          <w:tcPr>
            <w:tcW w:w="1256" w:type="dxa"/>
            <w:tcBorders>
              <w:top w:val="nil"/>
              <w:left w:val="nil"/>
              <w:bottom w:val="nil"/>
              <w:right w:val="nil"/>
            </w:tcBorders>
            <w:shd w:val="clear" w:color="FFFFFF" w:fill="FFFFFF"/>
            <w:noWrap/>
            <w:vAlign w:val="bottom"/>
            <w:hideMark/>
          </w:tcPr>
          <w:p w14:paraId="479EFC54" w14:textId="77777777" w:rsidR="00C32CBD" w:rsidRDefault="00C32CBD" w:rsidP="00320D09">
            <w:pPr>
              <w:rPr>
                <w:rFonts w:cs="Arial"/>
                <w:b/>
                <w:bCs/>
                <w:sz w:val="18"/>
                <w:szCs w:val="18"/>
              </w:rPr>
            </w:pPr>
            <w:r>
              <w:rPr>
                <w:rFonts w:cs="Arial"/>
                <w:b/>
                <w:bCs/>
                <w:sz w:val="18"/>
                <w:szCs w:val="18"/>
              </w:rPr>
              <w:t> </w:t>
            </w:r>
          </w:p>
        </w:tc>
        <w:tc>
          <w:tcPr>
            <w:tcW w:w="267" w:type="dxa"/>
            <w:tcBorders>
              <w:top w:val="nil"/>
              <w:left w:val="nil"/>
              <w:bottom w:val="nil"/>
              <w:right w:val="nil"/>
            </w:tcBorders>
            <w:shd w:val="clear" w:color="FFFFFF" w:fill="FFFFFF"/>
            <w:noWrap/>
            <w:vAlign w:val="bottom"/>
            <w:hideMark/>
          </w:tcPr>
          <w:p w14:paraId="3942F769" w14:textId="77777777" w:rsidR="00C32CBD" w:rsidRDefault="00C32CBD" w:rsidP="00320D09">
            <w:pPr>
              <w:rPr>
                <w:rFonts w:cs="Arial"/>
                <w:b/>
                <w:bCs/>
                <w:sz w:val="18"/>
                <w:szCs w:val="18"/>
              </w:rPr>
            </w:pPr>
            <w:r>
              <w:rPr>
                <w:rFonts w:cs="Arial"/>
                <w:b/>
                <w:bCs/>
                <w:sz w:val="18"/>
                <w:szCs w:val="18"/>
              </w:rPr>
              <w:t> </w:t>
            </w:r>
          </w:p>
        </w:tc>
        <w:tc>
          <w:tcPr>
            <w:tcW w:w="1196" w:type="dxa"/>
            <w:tcBorders>
              <w:top w:val="nil"/>
              <w:left w:val="nil"/>
              <w:bottom w:val="nil"/>
              <w:right w:val="nil"/>
            </w:tcBorders>
            <w:shd w:val="clear" w:color="FFFFFF" w:fill="FFFFFF"/>
            <w:noWrap/>
            <w:vAlign w:val="bottom"/>
            <w:hideMark/>
          </w:tcPr>
          <w:p w14:paraId="591A4944" w14:textId="77777777" w:rsidR="00C32CBD" w:rsidRDefault="00C32CBD" w:rsidP="00320D09">
            <w:pPr>
              <w:rPr>
                <w:rFonts w:cs="Arial"/>
                <w:sz w:val="18"/>
                <w:szCs w:val="18"/>
              </w:rPr>
            </w:pPr>
            <w:r>
              <w:rPr>
                <w:rFonts w:cs="Arial"/>
                <w:sz w:val="18"/>
                <w:szCs w:val="18"/>
              </w:rPr>
              <w:t> </w:t>
            </w:r>
          </w:p>
        </w:tc>
      </w:tr>
      <w:tr w:rsidR="00C32CBD" w14:paraId="1EC460F3" w14:textId="77777777" w:rsidTr="00320D09">
        <w:trPr>
          <w:trHeight w:val="255"/>
        </w:trPr>
        <w:tc>
          <w:tcPr>
            <w:tcW w:w="6216" w:type="dxa"/>
            <w:tcBorders>
              <w:top w:val="nil"/>
              <w:left w:val="nil"/>
              <w:bottom w:val="nil"/>
              <w:right w:val="nil"/>
            </w:tcBorders>
            <w:shd w:val="clear" w:color="FFFFFF" w:fill="FFFFFF"/>
            <w:vAlign w:val="bottom"/>
            <w:hideMark/>
          </w:tcPr>
          <w:p w14:paraId="32F793FF" w14:textId="77777777" w:rsidR="00C32CBD" w:rsidRDefault="00C32CBD" w:rsidP="00320D09">
            <w:pPr>
              <w:rPr>
                <w:rFonts w:cs="Arial"/>
                <w:b/>
                <w:bCs/>
                <w:sz w:val="18"/>
                <w:szCs w:val="18"/>
              </w:rPr>
            </w:pPr>
            <w:r>
              <w:rPr>
                <w:rFonts w:cs="Arial"/>
                <w:b/>
                <w:bCs/>
                <w:sz w:val="18"/>
                <w:szCs w:val="18"/>
              </w:rPr>
              <w:t>Adjustments for non-cash items</w:t>
            </w:r>
          </w:p>
        </w:tc>
        <w:tc>
          <w:tcPr>
            <w:tcW w:w="1256" w:type="dxa"/>
            <w:tcBorders>
              <w:top w:val="nil"/>
              <w:left w:val="nil"/>
              <w:bottom w:val="nil"/>
              <w:right w:val="nil"/>
            </w:tcBorders>
            <w:shd w:val="clear" w:color="FFFFFF" w:fill="FFFFFF"/>
            <w:noWrap/>
            <w:vAlign w:val="bottom"/>
            <w:hideMark/>
          </w:tcPr>
          <w:p w14:paraId="5EF56BA3" w14:textId="77777777" w:rsidR="00C32CBD" w:rsidRDefault="00C32CBD" w:rsidP="00320D09">
            <w:pPr>
              <w:rPr>
                <w:rFonts w:cs="Arial"/>
                <w:b/>
                <w:bCs/>
                <w:sz w:val="18"/>
                <w:szCs w:val="18"/>
              </w:rPr>
            </w:pPr>
            <w:r>
              <w:rPr>
                <w:rFonts w:cs="Arial"/>
                <w:b/>
                <w:bCs/>
                <w:sz w:val="18"/>
                <w:szCs w:val="18"/>
              </w:rPr>
              <w:t> </w:t>
            </w:r>
          </w:p>
        </w:tc>
        <w:tc>
          <w:tcPr>
            <w:tcW w:w="267" w:type="dxa"/>
            <w:tcBorders>
              <w:top w:val="nil"/>
              <w:left w:val="nil"/>
              <w:bottom w:val="nil"/>
              <w:right w:val="nil"/>
            </w:tcBorders>
            <w:shd w:val="clear" w:color="FFFFFF" w:fill="FFFFFF"/>
            <w:noWrap/>
            <w:vAlign w:val="bottom"/>
            <w:hideMark/>
          </w:tcPr>
          <w:p w14:paraId="082F296E" w14:textId="77777777" w:rsidR="00C32CBD" w:rsidRDefault="00C32CBD" w:rsidP="00320D09">
            <w:pPr>
              <w:rPr>
                <w:rFonts w:cs="Arial"/>
                <w:b/>
                <w:bCs/>
                <w:sz w:val="18"/>
                <w:szCs w:val="18"/>
              </w:rPr>
            </w:pPr>
            <w:r>
              <w:rPr>
                <w:rFonts w:cs="Arial"/>
                <w:b/>
                <w:bCs/>
                <w:sz w:val="18"/>
                <w:szCs w:val="18"/>
              </w:rPr>
              <w:t> </w:t>
            </w:r>
          </w:p>
        </w:tc>
        <w:tc>
          <w:tcPr>
            <w:tcW w:w="1196" w:type="dxa"/>
            <w:tcBorders>
              <w:top w:val="nil"/>
              <w:left w:val="nil"/>
              <w:bottom w:val="nil"/>
              <w:right w:val="nil"/>
            </w:tcBorders>
            <w:shd w:val="clear" w:color="FFFFFF" w:fill="FFFFFF"/>
            <w:noWrap/>
            <w:vAlign w:val="bottom"/>
            <w:hideMark/>
          </w:tcPr>
          <w:p w14:paraId="145512F1" w14:textId="77777777" w:rsidR="00C32CBD" w:rsidRDefault="00C32CBD" w:rsidP="00320D09">
            <w:pPr>
              <w:rPr>
                <w:rFonts w:cs="Arial"/>
                <w:sz w:val="18"/>
                <w:szCs w:val="18"/>
              </w:rPr>
            </w:pPr>
            <w:r>
              <w:rPr>
                <w:rFonts w:cs="Arial"/>
                <w:sz w:val="18"/>
                <w:szCs w:val="18"/>
              </w:rPr>
              <w:t> </w:t>
            </w:r>
          </w:p>
        </w:tc>
      </w:tr>
      <w:tr w:rsidR="00C32CBD" w14:paraId="094E0419" w14:textId="77777777" w:rsidTr="00320D09">
        <w:trPr>
          <w:trHeight w:val="255"/>
        </w:trPr>
        <w:tc>
          <w:tcPr>
            <w:tcW w:w="6216" w:type="dxa"/>
            <w:tcBorders>
              <w:top w:val="nil"/>
              <w:left w:val="nil"/>
              <w:bottom w:val="nil"/>
              <w:right w:val="nil"/>
            </w:tcBorders>
            <w:shd w:val="clear" w:color="FFFFFF" w:fill="FFFFFF"/>
            <w:vAlign w:val="bottom"/>
            <w:hideMark/>
          </w:tcPr>
          <w:p w14:paraId="6EC802FF" w14:textId="77777777" w:rsidR="00C32CBD" w:rsidRDefault="00C32CBD" w:rsidP="00320D09">
            <w:pPr>
              <w:ind w:firstLineChars="100" w:firstLine="180"/>
              <w:rPr>
                <w:rFonts w:cs="Arial"/>
                <w:sz w:val="18"/>
                <w:szCs w:val="18"/>
              </w:rPr>
            </w:pPr>
            <w:r>
              <w:rPr>
                <w:rFonts w:cs="Arial"/>
                <w:sz w:val="18"/>
                <w:szCs w:val="18"/>
              </w:rPr>
              <w:t>Assets first found</w:t>
            </w:r>
          </w:p>
        </w:tc>
        <w:tc>
          <w:tcPr>
            <w:tcW w:w="1256" w:type="dxa"/>
            <w:tcBorders>
              <w:top w:val="nil"/>
              <w:left w:val="nil"/>
              <w:bottom w:val="nil"/>
              <w:right w:val="nil"/>
            </w:tcBorders>
            <w:shd w:val="clear" w:color="FFFFFF" w:fill="FFFFFF"/>
            <w:noWrap/>
            <w:vAlign w:val="bottom"/>
            <w:hideMark/>
          </w:tcPr>
          <w:p w14:paraId="0A27DDBC" w14:textId="77777777" w:rsidR="00C32CBD" w:rsidRDefault="00C32CBD" w:rsidP="00320D09">
            <w:pPr>
              <w:jc w:val="right"/>
              <w:rPr>
                <w:rFonts w:cs="Arial"/>
                <w:b/>
                <w:bCs/>
                <w:sz w:val="18"/>
                <w:szCs w:val="18"/>
              </w:rPr>
            </w:pPr>
            <w:r>
              <w:rPr>
                <w:rFonts w:cs="Arial"/>
                <w:b/>
                <w:bCs/>
                <w:sz w:val="18"/>
                <w:szCs w:val="18"/>
              </w:rPr>
              <w:t>(23)</w:t>
            </w:r>
          </w:p>
        </w:tc>
        <w:tc>
          <w:tcPr>
            <w:tcW w:w="267" w:type="dxa"/>
            <w:tcBorders>
              <w:top w:val="nil"/>
              <w:left w:val="nil"/>
              <w:bottom w:val="nil"/>
              <w:right w:val="nil"/>
            </w:tcBorders>
            <w:shd w:val="clear" w:color="FFFFFF" w:fill="FFFFFF"/>
            <w:noWrap/>
            <w:vAlign w:val="bottom"/>
            <w:hideMark/>
          </w:tcPr>
          <w:p w14:paraId="36723AC2" w14:textId="77777777" w:rsidR="00C32CBD" w:rsidRDefault="00C32CBD" w:rsidP="00320D09">
            <w:pPr>
              <w:rPr>
                <w:rFonts w:cs="Arial"/>
                <w:b/>
                <w:bCs/>
                <w:sz w:val="18"/>
                <w:szCs w:val="18"/>
              </w:rPr>
            </w:pPr>
            <w:r>
              <w:rPr>
                <w:rFonts w:cs="Arial"/>
                <w:b/>
                <w:bCs/>
                <w:sz w:val="18"/>
                <w:szCs w:val="18"/>
              </w:rPr>
              <w:t> </w:t>
            </w:r>
          </w:p>
        </w:tc>
        <w:tc>
          <w:tcPr>
            <w:tcW w:w="1196" w:type="dxa"/>
            <w:tcBorders>
              <w:top w:val="nil"/>
              <w:left w:val="nil"/>
              <w:bottom w:val="nil"/>
              <w:right w:val="nil"/>
            </w:tcBorders>
            <w:shd w:val="clear" w:color="FFFFFF" w:fill="FFFFFF"/>
            <w:noWrap/>
            <w:vAlign w:val="bottom"/>
            <w:hideMark/>
          </w:tcPr>
          <w:p w14:paraId="5744E690" w14:textId="77777777" w:rsidR="00C32CBD" w:rsidRDefault="00C32CBD" w:rsidP="00320D09">
            <w:pPr>
              <w:jc w:val="right"/>
              <w:rPr>
                <w:rFonts w:cs="Arial"/>
                <w:sz w:val="18"/>
                <w:szCs w:val="18"/>
              </w:rPr>
            </w:pPr>
            <w:r>
              <w:rPr>
                <w:rFonts w:cs="Arial"/>
                <w:sz w:val="18"/>
                <w:szCs w:val="18"/>
              </w:rPr>
              <w:t>(143)</w:t>
            </w:r>
          </w:p>
        </w:tc>
      </w:tr>
      <w:tr w:rsidR="00C32CBD" w14:paraId="0394BD46" w14:textId="77777777" w:rsidTr="00320D09">
        <w:trPr>
          <w:trHeight w:val="255"/>
        </w:trPr>
        <w:tc>
          <w:tcPr>
            <w:tcW w:w="6216" w:type="dxa"/>
            <w:tcBorders>
              <w:top w:val="nil"/>
              <w:left w:val="nil"/>
              <w:bottom w:val="nil"/>
              <w:right w:val="nil"/>
            </w:tcBorders>
            <w:shd w:val="clear" w:color="FFFFFF" w:fill="FFFFFF"/>
            <w:vAlign w:val="bottom"/>
            <w:hideMark/>
          </w:tcPr>
          <w:p w14:paraId="10FFE822" w14:textId="77777777" w:rsidR="00C32CBD" w:rsidRDefault="00C32CBD" w:rsidP="00320D09">
            <w:pPr>
              <w:ind w:firstLineChars="100" w:firstLine="180"/>
              <w:rPr>
                <w:rFonts w:cs="Arial"/>
                <w:sz w:val="18"/>
                <w:szCs w:val="18"/>
              </w:rPr>
            </w:pPr>
            <w:r>
              <w:rPr>
                <w:rFonts w:cs="Arial"/>
                <w:sz w:val="18"/>
                <w:szCs w:val="18"/>
              </w:rPr>
              <w:t>Depreciation and amortisation</w:t>
            </w:r>
          </w:p>
        </w:tc>
        <w:tc>
          <w:tcPr>
            <w:tcW w:w="1256" w:type="dxa"/>
            <w:tcBorders>
              <w:top w:val="nil"/>
              <w:left w:val="nil"/>
              <w:bottom w:val="nil"/>
              <w:right w:val="nil"/>
            </w:tcBorders>
            <w:shd w:val="clear" w:color="FFFFFF" w:fill="FFFFFF"/>
            <w:noWrap/>
            <w:vAlign w:val="bottom"/>
            <w:hideMark/>
          </w:tcPr>
          <w:p w14:paraId="44792AE8" w14:textId="77777777" w:rsidR="00C32CBD" w:rsidRDefault="00C32CBD" w:rsidP="00320D09">
            <w:pPr>
              <w:jc w:val="right"/>
              <w:rPr>
                <w:rFonts w:cs="Arial"/>
                <w:b/>
                <w:bCs/>
                <w:sz w:val="18"/>
                <w:szCs w:val="18"/>
              </w:rPr>
            </w:pPr>
            <w:r>
              <w:rPr>
                <w:rFonts w:cs="Arial"/>
                <w:b/>
                <w:bCs/>
                <w:sz w:val="18"/>
                <w:szCs w:val="18"/>
              </w:rPr>
              <w:t>8,718</w:t>
            </w:r>
          </w:p>
        </w:tc>
        <w:tc>
          <w:tcPr>
            <w:tcW w:w="267" w:type="dxa"/>
            <w:tcBorders>
              <w:top w:val="nil"/>
              <w:left w:val="nil"/>
              <w:bottom w:val="nil"/>
              <w:right w:val="nil"/>
            </w:tcBorders>
            <w:shd w:val="clear" w:color="FFFFFF" w:fill="FFFFFF"/>
            <w:noWrap/>
            <w:vAlign w:val="bottom"/>
            <w:hideMark/>
          </w:tcPr>
          <w:p w14:paraId="776FD5DA" w14:textId="77777777" w:rsidR="00C32CBD" w:rsidRDefault="00C32CBD" w:rsidP="00320D09">
            <w:pPr>
              <w:rPr>
                <w:rFonts w:cs="Arial"/>
                <w:b/>
                <w:bCs/>
                <w:sz w:val="18"/>
                <w:szCs w:val="18"/>
              </w:rPr>
            </w:pPr>
            <w:r>
              <w:rPr>
                <w:rFonts w:cs="Arial"/>
                <w:b/>
                <w:bCs/>
                <w:sz w:val="18"/>
                <w:szCs w:val="18"/>
              </w:rPr>
              <w:t> </w:t>
            </w:r>
          </w:p>
        </w:tc>
        <w:tc>
          <w:tcPr>
            <w:tcW w:w="1196" w:type="dxa"/>
            <w:tcBorders>
              <w:top w:val="nil"/>
              <w:left w:val="nil"/>
              <w:bottom w:val="nil"/>
              <w:right w:val="nil"/>
            </w:tcBorders>
            <w:shd w:val="clear" w:color="FFFFFF" w:fill="FFFFFF"/>
            <w:noWrap/>
            <w:vAlign w:val="bottom"/>
            <w:hideMark/>
          </w:tcPr>
          <w:p w14:paraId="186C08A7" w14:textId="77777777" w:rsidR="00C32CBD" w:rsidRDefault="00C32CBD" w:rsidP="00320D09">
            <w:pPr>
              <w:jc w:val="right"/>
              <w:rPr>
                <w:rFonts w:cs="Arial"/>
                <w:sz w:val="18"/>
                <w:szCs w:val="18"/>
              </w:rPr>
            </w:pPr>
            <w:r>
              <w:rPr>
                <w:rFonts w:cs="Arial"/>
                <w:sz w:val="18"/>
                <w:szCs w:val="18"/>
              </w:rPr>
              <w:t>8,886</w:t>
            </w:r>
          </w:p>
        </w:tc>
      </w:tr>
      <w:tr w:rsidR="00C32CBD" w14:paraId="3E104348" w14:textId="77777777" w:rsidTr="00320D09">
        <w:trPr>
          <w:trHeight w:val="255"/>
        </w:trPr>
        <w:tc>
          <w:tcPr>
            <w:tcW w:w="6216" w:type="dxa"/>
            <w:tcBorders>
              <w:top w:val="nil"/>
              <w:left w:val="nil"/>
              <w:bottom w:val="nil"/>
              <w:right w:val="nil"/>
            </w:tcBorders>
            <w:shd w:val="clear" w:color="FFFFFF" w:fill="FFFFFF"/>
            <w:vAlign w:val="bottom"/>
            <w:hideMark/>
          </w:tcPr>
          <w:p w14:paraId="7C2DC84B" w14:textId="77777777" w:rsidR="00C32CBD" w:rsidRDefault="00C32CBD" w:rsidP="00320D09">
            <w:pPr>
              <w:ind w:firstLineChars="100" w:firstLine="180"/>
              <w:rPr>
                <w:rFonts w:cs="Arial"/>
                <w:sz w:val="18"/>
                <w:szCs w:val="18"/>
              </w:rPr>
            </w:pPr>
            <w:r>
              <w:rPr>
                <w:rFonts w:cs="Arial"/>
                <w:sz w:val="18"/>
                <w:szCs w:val="18"/>
              </w:rPr>
              <w:t>Net write-down of non-financial assets</w:t>
            </w:r>
          </w:p>
        </w:tc>
        <w:tc>
          <w:tcPr>
            <w:tcW w:w="1256" w:type="dxa"/>
            <w:tcBorders>
              <w:top w:val="nil"/>
              <w:left w:val="nil"/>
              <w:bottom w:val="nil"/>
              <w:right w:val="nil"/>
            </w:tcBorders>
            <w:shd w:val="clear" w:color="FFFFFF" w:fill="FFFFFF"/>
            <w:noWrap/>
            <w:vAlign w:val="bottom"/>
            <w:hideMark/>
          </w:tcPr>
          <w:p w14:paraId="0369E959" w14:textId="77777777" w:rsidR="00C32CBD" w:rsidRDefault="00C32CBD" w:rsidP="00320D09">
            <w:pPr>
              <w:jc w:val="right"/>
              <w:rPr>
                <w:rFonts w:cs="Arial"/>
                <w:b/>
                <w:bCs/>
                <w:sz w:val="18"/>
                <w:szCs w:val="18"/>
              </w:rPr>
            </w:pPr>
            <w:r>
              <w:rPr>
                <w:rFonts w:cs="Arial"/>
                <w:b/>
                <w:bCs/>
                <w:sz w:val="18"/>
                <w:szCs w:val="18"/>
              </w:rPr>
              <w:t>1,371</w:t>
            </w:r>
          </w:p>
        </w:tc>
        <w:tc>
          <w:tcPr>
            <w:tcW w:w="267" w:type="dxa"/>
            <w:tcBorders>
              <w:top w:val="nil"/>
              <w:left w:val="nil"/>
              <w:bottom w:val="nil"/>
              <w:right w:val="nil"/>
            </w:tcBorders>
            <w:shd w:val="clear" w:color="FFFFFF" w:fill="FFFFFF"/>
            <w:noWrap/>
            <w:vAlign w:val="bottom"/>
            <w:hideMark/>
          </w:tcPr>
          <w:p w14:paraId="1129B7CD" w14:textId="77777777" w:rsidR="00C32CBD" w:rsidRDefault="00C32CBD" w:rsidP="00320D09">
            <w:pPr>
              <w:rPr>
                <w:rFonts w:cs="Arial"/>
                <w:b/>
                <w:bCs/>
                <w:sz w:val="18"/>
                <w:szCs w:val="18"/>
              </w:rPr>
            </w:pPr>
            <w:r>
              <w:rPr>
                <w:rFonts w:cs="Arial"/>
                <w:b/>
                <w:bCs/>
                <w:sz w:val="18"/>
                <w:szCs w:val="18"/>
              </w:rPr>
              <w:t> </w:t>
            </w:r>
          </w:p>
        </w:tc>
        <w:tc>
          <w:tcPr>
            <w:tcW w:w="1196" w:type="dxa"/>
            <w:tcBorders>
              <w:top w:val="nil"/>
              <w:left w:val="nil"/>
              <w:bottom w:val="nil"/>
              <w:right w:val="nil"/>
            </w:tcBorders>
            <w:shd w:val="clear" w:color="FFFFFF" w:fill="FFFFFF"/>
            <w:noWrap/>
            <w:vAlign w:val="bottom"/>
            <w:hideMark/>
          </w:tcPr>
          <w:p w14:paraId="087CFD5B" w14:textId="77777777" w:rsidR="00C32CBD" w:rsidRDefault="00C32CBD" w:rsidP="00320D09">
            <w:pPr>
              <w:jc w:val="right"/>
              <w:rPr>
                <w:rFonts w:cs="Arial"/>
                <w:sz w:val="18"/>
                <w:szCs w:val="18"/>
              </w:rPr>
            </w:pPr>
            <w:r>
              <w:rPr>
                <w:rFonts w:cs="Arial"/>
                <w:sz w:val="18"/>
                <w:szCs w:val="18"/>
              </w:rPr>
              <w:t>3,385</w:t>
            </w:r>
          </w:p>
        </w:tc>
      </w:tr>
      <w:tr w:rsidR="00C32CBD" w14:paraId="5D267428" w14:textId="77777777" w:rsidTr="00320D09">
        <w:trPr>
          <w:trHeight w:val="255"/>
        </w:trPr>
        <w:tc>
          <w:tcPr>
            <w:tcW w:w="6216" w:type="dxa"/>
            <w:tcBorders>
              <w:top w:val="nil"/>
              <w:left w:val="nil"/>
              <w:bottom w:val="nil"/>
              <w:right w:val="nil"/>
            </w:tcBorders>
            <w:shd w:val="clear" w:color="FFFFFF" w:fill="FFFFFF"/>
            <w:vAlign w:val="bottom"/>
            <w:hideMark/>
          </w:tcPr>
          <w:p w14:paraId="10F1F5FA" w14:textId="77777777" w:rsidR="00C32CBD" w:rsidRDefault="00C32CBD" w:rsidP="00320D09">
            <w:pPr>
              <w:ind w:firstLineChars="100" w:firstLine="180"/>
              <w:rPr>
                <w:rFonts w:cs="Arial"/>
                <w:sz w:val="18"/>
                <w:szCs w:val="18"/>
              </w:rPr>
            </w:pPr>
            <w:r>
              <w:rPr>
                <w:rFonts w:cs="Arial"/>
                <w:sz w:val="18"/>
                <w:szCs w:val="18"/>
              </w:rPr>
              <w:t>Accrued purchase of buildings and plant and equipment</w:t>
            </w:r>
          </w:p>
        </w:tc>
        <w:tc>
          <w:tcPr>
            <w:tcW w:w="1256" w:type="dxa"/>
            <w:tcBorders>
              <w:top w:val="nil"/>
              <w:left w:val="nil"/>
              <w:bottom w:val="nil"/>
              <w:right w:val="nil"/>
            </w:tcBorders>
            <w:shd w:val="clear" w:color="FFFFFF" w:fill="FFFFFF"/>
            <w:noWrap/>
            <w:vAlign w:val="bottom"/>
            <w:hideMark/>
          </w:tcPr>
          <w:p w14:paraId="2D7642FA" w14:textId="77777777" w:rsidR="00C32CBD" w:rsidRDefault="00C32CBD" w:rsidP="00320D09">
            <w:pPr>
              <w:jc w:val="right"/>
              <w:rPr>
                <w:rFonts w:cs="Arial"/>
                <w:b/>
                <w:bCs/>
                <w:sz w:val="18"/>
                <w:szCs w:val="18"/>
              </w:rPr>
            </w:pPr>
            <w:r>
              <w:rPr>
                <w:rFonts w:cs="Arial"/>
                <w:b/>
                <w:bCs/>
                <w:sz w:val="18"/>
                <w:szCs w:val="18"/>
              </w:rPr>
              <w:t>787</w:t>
            </w:r>
          </w:p>
        </w:tc>
        <w:tc>
          <w:tcPr>
            <w:tcW w:w="267" w:type="dxa"/>
            <w:tcBorders>
              <w:top w:val="nil"/>
              <w:left w:val="nil"/>
              <w:bottom w:val="nil"/>
              <w:right w:val="nil"/>
            </w:tcBorders>
            <w:shd w:val="clear" w:color="FFFFFF" w:fill="FFFFFF"/>
            <w:noWrap/>
            <w:vAlign w:val="bottom"/>
            <w:hideMark/>
          </w:tcPr>
          <w:p w14:paraId="2CF42B6A" w14:textId="77777777" w:rsidR="00C32CBD" w:rsidRDefault="00C32CBD" w:rsidP="00320D09">
            <w:pPr>
              <w:rPr>
                <w:rFonts w:cs="Arial"/>
                <w:b/>
                <w:bCs/>
                <w:sz w:val="18"/>
                <w:szCs w:val="18"/>
              </w:rPr>
            </w:pPr>
            <w:r>
              <w:rPr>
                <w:rFonts w:cs="Arial"/>
                <w:b/>
                <w:bCs/>
                <w:sz w:val="18"/>
                <w:szCs w:val="18"/>
              </w:rPr>
              <w:t> </w:t>
            </w:r>
          </w:p>
        </w:tc>
        <w:tc>
          <w:tcPr>
            <w:tcW w:w="1196" w:type="dxa"/>
            <w:tcBorders>
              <w:top w:val="nil"/>
              <w:left w:val="nil"/>
              <w:bottom w:val="nil"/>
              <w:right w:val="nil"/>
            </w:tcBorders>
            <w:shd w:val="clear" w:color="FFFFFF" w:fill="FFFFFF"/>
            <w:noWrap/>
            <w:vAlign w:val="bottom"/>
            <w:hideMark/>
          </w:tcPr>
          <w:p w14:paraId="2E325CFF" w14:textId="77777777" w:rsidR="00C32CBD" w:rsidRDefault="00C32CBD" w:rsidP="00320D09">
            <w:pPr>
              <w:jc w:val="right"/>
              <w:rPr>
                <w:rFonts w:cs="Arial"/>
                <w:sz w:val="18"/>
                <w:szCs w:val="18"/>
              </w:rPr>
            </w:pPr>
            <w:r>
              <w:rPr>
                <w:rFonts w:cs="Arial"/>
                <w:sz w:val="18"/>
                <w:szCs w:val="18"/>
              </w:rPr>
              <w:t>(3,264)</w:t>
            </w:r>
          </w:p>
        </w:tc>
      </w:tr>
      <w:tr w:rsidR="00C32CBD" w14:paraId="0DFBC757" w14:textId="77777777" w:rsidTr="00320D09">
        <w:trPr>
          <w:trHeight w:val="255"/>
        </w:trPr>
        <w:tc>
          <w:tcPr>
            <w:tcW w:w="6216" w:type="dxa"/>
            <w:tcBorders>
              <w:top w:val="nil"/>
              <w:left w:val="nil"/>
              <w:bottom w:val="nil"/>
              <w:right w:val="nil"/>
            </w:tcBorders>
            <w:shd w:val="clear" w:color="FFFFFF" w:fill="FFFFFF"/>
            <w:vAlign w:val="bottom"/>
            <w:hideMark/>
          </w:tcPr>
          <w:p w14:paraId="27431459" w14:textId="77777777" w:rsidR="00C32CBD" w:rsidRDefault="00C32CBD" w:rsidP="00320D09">
            <w:pPr>
              <w:ind w:firstLineChars="100" w:firstLine="180"/>
              <w:rPr>
                <w:rFonts w:cs="Arial"/>
                <w:sz w:val="18"/>
                <w:szCs w:val="18"/>
              </w:rPr>
            </w:pPr>
            <w:r>
              <w:rPr>
                <w:rFonts w:cs="Arial"/>
                <w:sz w:val="18"/>
                <w:szCs w:val="18"/>
              </w:rPr>
              <w:t>GST on investing activities</w:t>
            </w:r>
          </w:p>
        </w:tc>
        <w:tc>
          <w:tcPr>
            <w:tcW w:w="1256" w:type="dxa"/>
            <w:tcBorders>
              <w:top w:val="nil"/>
              <w:left w:val="nil"/>
              <w:bottom w:val="nil"/>
              <w:right w:val="nil"/>
            </w:tcBorders>
            <w:shd w:val="clear" w:color="FFFFFF" w:fill="FFFFFF"/>
            <w:noWrap/>
            <w:vAlign w:val="bottom"/>
            <w:hideMark/>
          </w:tcPr>
          <w:p w14:paraId="537070CC" w14:textId="77777777" w:rsidR="00C32CBD" w:rsidRDefault="00C32CBD" w:rsidP="00320D09">
            <w:pPr>
              <w:jc w:val="right"/>
              <w:rPr>
                <w:rFonts w:cs="Arial"/>
                <w:b/>
                <w:bCs/>
                <w:sz w:val="18"/>
                <w:szCs w:val="18"/>
              </w:rPr>
            </w:pPr>
            <w:r>
              <w:rPr>
                <w:rFonts w:cs="Arial"/>
                <w:b/>
                <w:bCs/>
                <w:sz w:val="18"/>
                <w:szCs w:val="18"/>
              </w:rPr>
              <w:t>-</w:t>
            </w:r>
          </w:p>
        </w:tc>
        <w:tc>
          <w:tcPr>
            <w:tcW w:w="267" w:type="dxa"/>
            <w:tcBorders>
              <w:top w:val="nil"/>
              <w:left w:val="nil"/>
              <w:bottom w:val="nil"/>
              <w:right w:val="nil"/>
            </w:tcBorders>
            <w:shd w:val="clear" w:color="FFFFFF" w:fill="FFFFFF"/>
            <w:noWrap/>
            <w:vAlign w:val="bottom"/>
            <w:hideMark/>
          </w:tcPr>
          <w:p w14:paraId="1BA4337A" w14:textId="77777777" w:rsidR="00C32CBD" w:rsidRDefault="00C32CBD" w:rsidP="00320D09">
            <w:pPr>
              <w:rPr>
                <w:rFonts w:cs="Arial"/>
                <w:b/>
                <w:bCs/>
                <w:sz w:val="18"/>
                <w:szCs w:val="18"/>
              </w:rPr>
            </w:pPr>
            <w:r>
              <w:rPr>
                <w:rFonts w:cs="Arial"/>
                <w:b/>
                <w:bCs/>
                <w:sz w:val="18"/>
                <w:szCs w:val="18"/>
              </w:rPr>
              <w:t> </w:t>
            </w:r>
          </w:p>
        </w:tc>
        <w:tc>
          <w:tcPr>
            <w:tcW w:w="1196" w:type="dxa"/>
            <w:tcBorders>
              <w:top w:val="nil"/>
              <w:left w:val="nil"/>
              <w:bottom w:val="nil"/>
              <w:right w:val="nil"/>
            </w:tcBorders>
            <w:shd w:val="clear" w:color="FFFFFF" w:fill="FFFFFF"/>
            <w:noWrap/>
            <w:vAlign w:val="bottom"/>
            <w:hideMark/>
          </w:tcPr>
          <w:p w14:paraId="0557A258" w14:textId="77777777" w:rsidR="00C32CBD" w:rsidRDefault="00C32CBD" w:rsidP="00320D09">
            <w:pPr>
              <w:jc w:val="right"/>
              <w:rPr>
                <w:rFonts w:cs="Arial"/>
                <w:sz w:val="18"/>
                <w:szCs w:val="18"/>
              </w:rPr>
            </w:pPr>
            <w:r>
              <w:rPr>
                <w:rFonts w:cs="Arial"/>
                <w:sz w:val="18"/>
                <w:szCs w:val="18"/>
              </w:rPr>
              <w:t xml:space="preserve"> -</w:t>
            </w:r>
          </w:p>
        </w:tc>
      </w:tr>
      <w:tr w:rsidR="00C32CBD" w14:paraId="38C08F45" w14:textId="77777777" w:rsidTr="00320D09">
        <w:trPr>
          <w:trHeight w:val="255"/>
        </w:trPr>
        <w:tc>
          <w:tcPr>
            <w:tcW w:w="6216" w:type="dxa"/>
            <w:tcBorders>
              <w:top w:val="nil"/>
              <w:left w:val="nil"/>
              <w:bottom w:val="nil"/>
              <w:right w:val="nil"/>
            </w:tcBorders>
            <w:shd w:val="clear" w:color="FFFFFF" w:fill="FFFFFF"/>
            <w:noWrap/>
            <w:vAlign w:val="bottom"/>
            <w:hideMark/>
          </w:tcPr>
          <w:p w14:paraId="0F1AFF05" w14:textId="77777777" w:rsidR="00C32CBD" w:rsidRDefault="00C32CBD" w:rsidP="00320D09">
            <w:pPr>
              <w:rPr>
                <w:rFonts w:cs="Arial"/>
                <w:sz w:val="18"/>
                <w:szCs w:val="18"/>
              </w:rPr>
            </w:pPr>
            <w:r>
              <w:rPr>
                <w:rFonts w:cs="Arial"/>
                <w:sz w:val="18"/>
                <w:szCs w:val="18"/>
              </w:rPr>
              <w:t> </w:t>
            </w:r>
          </w:p>
        </w:tc>
        <w:tc>
          <w:tcPr>
            <w:tcW w:w="1256" w:type="dxa"/>
            <w:tcBorders>
              <w:top w:val="nil"/>
              <w:left w:val="nil"/>
              <w:bottom w:val="nil"/>
              <w:right w:val="nil"/>
            </w:tcBorders>
            <w:shd w:val="clear" w:color="FFFFFF" w:fill="FFFFFF"/>
            <w:noWrap/>
            <w:vAlign w:val="bottom"/>
            <w:hideMark/>
          </w:tcPr>
          <w:p w14:paraId="19B60EF4" w14:textId="77777777" w:rsidR="00C32CBD" w:rsidRDefault="00C32CBD" w:rsidP="00320D09">
            <w:pPr>
              <w:rPr>
                <w:rFonts w:cs="Arial"/>
                <w:b/>
                <w:bCs/>
                <w:sz w:val="18"/>
                <w:szCs w:val="18"/>
              </w:rPr>
            </w:pPr>
            <w:r>
              <w:rPr>
                <w:rFonts w:cs="Arial"/>
                <w:b/>
                <w:bCs/>
                <w:sz w:val="18"/>
                <w:szCs w:val="18"/>
              </w:rPr>
              <w:t> </w:t>
            </w:r>
          </w:p>
        </w:tc>
        <w:tc>
          <w:tcPr>
            <w:tcW w:w="267" w:type="dxa"/>
            <w:tcBorders>
              <w:top w:val="nil"/>
              <w:left w:val="nil"/>
              <w:bottom w:val="nil"/>
              <w:right w:val="nil"/>
            </w:tcBorders>
            <w:shd w:val="clear" w:color="FFFFFF" w:fill="FFFFFF"/>
            <w:noWrap/>
            <w:vAlign w:val="bottom"/>
            <w:hideMark/>
          </w:tcPr>
          <w:p w14:paraId="78685997" w14:textId="77777777" w:rsidR="00C32CBD" w:rsidRDefault="00C32CBD" w:rsidP="00320D09">
            <w:pPr>
              <w:rPr>
                <w:rFonts w:cs="Arial"/>
                <w:b/>
                <w:bCs/>
                <w:sz w:val="18"/>
                <w:szCs w:val="18"/>
              </w:rPr>
            </w:pPr>
            <w:r>
              <w:rPr>
                <w:rFonts w:cs="Arial"/>
                <w:b/>
                <w:bCs/>
                <w:sz w:val="18"/>
                <w:szCs w:val="18"/>
              </w:rPr>
              <w:t> </w:t>
            </w:r>
          </w:p>
        </w:tc>
        <w:tc>
          <w:tcPr>
            <w:tcW w:w="1196" w:type="dxa"/>
            <w:tcBorders>
              <w:top w:val="nil"/>
              <w:left w:val="nil"/>
              <w:bottom w:val="nil"/>
              <w:right w:val="nil"/>
            </w:tcBorders>
            <w:shd w:val="clear" w:color="FFFFFF" w:fill="FFFFFF"/>
            <w:noWrap/>
            <w:vAlign w:val="bottom"/>
            <w:hideMark/>
          </w:tcPr>
          <w:p w14:paraId="5641E379" w14:textId="77777777" w:rsidR="00C32CBD" w:rsidRDefault="00C32CBD" w:rsidP="00320D09">
            <w:pPr>
              <w:rPr>
                <w:rFonts w:cs="Arial"/>
                <w:sz w:val="18"/>
                <w:szCs w:val="18"/>
              </w:rPr>
            </w:pPr>
            <w:r>
              <w:rPr>
                <w:rFonts w:cs="Arial"/>
                <w:sz w:val="18"/>
                <w:szCs w:val="18"/>
              </w:rPr>
              <w:t> </w:t>
            </w:r>
          </w:p>
        </w:tc>
      </w:tr>
      <w:tr w:rsidR="00C32CBD" w14:paraId="06475C51" w14:textId="77777777" w:rsidTr="00320D09">
        <w:trPr>
          <w:trHeight w:val="255"/>
        </w:trPr>
        <w:tc>
          <w:tcPr>
            <w:tcW w:w="6216" w:type="dxa"/>
            <w:tcBorders>
              <w:top w:val="nil"/>
              <w:left w:val="nil"/>
              <w:bottom w:val="nil"/>
              <w:right w:val="nil"/>
            </w:tcBorders>
            <w:shd w:val="clear" w:color="FFFFFF" w:fill="FFFFFF"/>
            <w:vAlign w:val="bottom"/>
            <w:hideMark/>
          </w:tcPr>
          <w:p w14:paraId="4E451CA3" w14:textId="77777777" w:rsidR="00C32CBD" w:rsidRDefault="00C32CBD" w:rsidP="00320D09">
            <w:pPr>
              <w:rPr>
                <w:rFonts w:cs="Arial"/>
                <w:b/>
                <w:bCs/>
                <w:sz w:val="18"/>
                <w:szCs w:val="18"/>
              </w:rPr>
            </w:pPr>
            <w:r>
              <w:rPr>
                <w:rFonts w:cs="Arial"/>
                <w:b/>
                <w:bCs/>
                <w:sz w:val="18"/>
                <w:szCs w:val="18"/>
              </w:rPr>
              <w:t>Movements in assets and liabilities</w:t>
            </w:r>
          </w:p>
        </w:tc>
        <w:tc>
          <w:tcPr>
            <w:tcW w:w="1256" w:type="dxa"/>
            <w:tcBorders>
              <w:top w:val="nil"/>
              <w:left w:val="nil"/>
              <w:bottom w:val="nil"/>
              <w:right w:val="nil"/>
            </w:tcBorders>
            <w:shd w:val="clear" w:color="FFFFFF" w:fill="FFFFFF"/>
            <w:noWrap/>
            <w:vAlign w:val="bottom"/>
            <w:hideMark/>
          </w:tcPr>
          <w:p w14:paraId="4C68797F" w14:textId="77777777" w:rsidR="00C32CBD" w:rsidRDefault="00C32CBD" w:rsidP="00320D09">
            <w:pPr>
              <w:rPr>
                <w:rFonts w:cs="Arial"/>
                <w:b/>
                <w:bCs/>
                <w:sz w:val="18"/>
                <w:szCs w:val="18"/>
              </w:rPr>
            </w:pPr>
            <w:r>
              <w:rPr>
                <w:rFonts w:cs="Arial"/>
                <w:b/>
                <w:bCs/>
                <w:sz w:val="18"/>
                <w:szCs w:val="18"/>
              </w:rPr>
              <w:t> </w:t>
            </w:r>
          </w:p>
        </w:tc>
        <w:tc>
          <w:tcPr>
            <w:tcW w:w="267" w:type="dxa"/>
            <w:tcBorders>
              <w:top w:val="nil"/>
              <w:left w:val="nil"/>
              <w:bottom w:val="nil"/>
              <w:right w:val="nil"/>
            </w:tcBorders>
            <w:shd w:val="clear" w:color="FFFFFF" w:fill="FFFFFF"/>
            <w:noWrap/>
            <w:vAlign w:val="bottom"/>
            <w:hideMark/>
          </w:tcPr>
          <w:p w14:paraId="5F09E6A2" w14:textId="77777777" w:rsidR="00C32CBD" w:rsidRDefault="00C32CBD" w:rsidP="00320D09">
            <w:pPr>
              <w:rPr>
                <w:rFonts w:cs="Arial"/>
                <w:b/>
                <w:bCs/>
                <w:sz w:val="18"/>
                <w:szCs w:val="18"/>
              </w:rPr>
            </w:pPr>
            <w:r>
              <w:rPr>
                <w:rFonts w:cs="Arial"/>
                <w:b/>
                <w:bCs/>
                <w:sz w:val="18"/>
                <w:szCs w:val="18"/>
              </w:rPr>
              <w:t> </w:t>
            </w:r>
          </w:p>
        </w:tc>
        <w:tc>
          <w:tcPr>
            <w:tcW w:w="1196" w:type="dxa"/>
            <w:tcBorders>
              <w:top w:val="nil"/>
              <w:left w:val="nil"/>
              <w:bottom w:val="nil"/>
              <w:right w:val="nil"/>
            </w:tcBorders>
            <w:shd w:val="clear" w:color="FFFFFF" w:fill="FFFFFF"/>
            <w:noWrap/>
            <w:vAlign w:val="bottom"/>
            <w:hideMark/>
          </w:tcPr>
          <w:p w14:paraId="19E1CB77" w14:textId="77777777" w:rsidR="00C32CBD" w:rsidRDefault="00C32CBD" w:rsidP="00320D09">
            <w:pPr>
              <w:rPr>
                <w:rFonts w:cs="Arial"/>
                <w:sz w:val="18"/>
                <w:szCs w:val="18"/>
              </w:rPr>
            </w:pPr>
            <w:r>
              <w:rPr>
                <w:rFonts w:cs="Arial"/>
                <w:sz w:val="18"/>
                <w:szCs w:val="18"/>
              </w:rPr>
              <w:t> </w:t>
            </w:r>
          </w:p>
        </w:tc>
      </w:tr>
      <w:tr w:rsidR="00C32CBD" w14:paraId="7DE222D7" w14:textId="77777777" w:rsidTr="00320D09">
        <w:trPr>
          <w:trHeight w:val="255"/>
        </w:trPr>
        <w:tc>
          <w:tcPr>
            <w:tcW w:w="6216" w:type="dxa"/>
            <w:tcBorders>
              <w:top w:val="nil"/>
              <w:left w:val="nil"/>
              <w:bottom w:val="nil"/>
              <w:right w:val="nil"/>
            </w:tcBorders>
            <w:shd w:val="clear" w:color="FFFFFF" w:fill="FFFFFF"/>
            <w:vAlign w:val="bottom"/>
            <w:hideMark/>
          </w:tcPr>
          <w:p w14:paraId="7AAD38DC" w14:textId="77777777" w:rsidR="00C32CBD" w:rsidRDefault="00C32CBD" w:rsidP="00320D09">
            <w:pPr>
              <w:rPr>
                <w:rFonts w:cs="Arial"/>
                <w:b/>
                <w:bCs/>
                <w:sz w:val="18"/>
                <w:szCs w:val="18"/>
              </w:rPr>
            </w:pPr>
            <w:r>
              <w:rPr>
                <w:rFonts w:cs="Arial"/>
                <w:b/>
                <w:bCs/>
                <w:sz w:val="18"/>
                <w:szCs w:val="18"/>
              </w:rPr>
              <w:t>Assets</w:t>
            </w:r>
          </w:p>
        </w:tc>
        <w:tc>
          <w:tcPr>
            <w:tcW w:w="1256" w:type="dxa"/>
            <w:tcBorders>
              <w:top w:val="nil"/>
              <w:left w:val="nil"/>
              <w:bottom w:val="nil"/>
              <w:right w:val="nil"/>
            </w:tcBorders>
            <w:shd w:val="clear" w:color="FFFFFF" w:fill="FFFFFF"/>
            <w:noWrap/>
            <w:vAlign w:val="bottom"/>
            <w:hideMark/>
          </w:tcPr>
          <w:p w14:paraId="626B3AEB" w14:textId="77777777" w:rsidR="00C32CBD" w:rsidRDefault="00C32CBD" w:rsidP="00320D09">
            <w:pPr>
              <w:rPr>
                <w:rFonts w:cs="Arial"/>
                <w:b/>
                <w:bCs/>
                <w:sz w:val="18"/>
                <w:szCs w:val="18"/>
              </w:rPr>
            </w:pPr>
            <w:r>
              <w:rPr>
                <w:rFonts w:cs="Arial"/>
                <w:b/>
                <w:bCs/>
                <w:sz w:val="18"/>
                <w:szCs w:val="18"/>
              </w:rPr>
              <w:t> </w:t>
            </w:r>
          </w:p>
        </w:tc>
        <w:tc>
          <w:tcPr>
            <w:tcW w:w="267" w:type="dxa"/>
            <w:tcBorders>
              <w:top w:val="nil"/>
              <w:left w:val="nil"/>
              <w:bottom w:val="nil"/>
              <w:right w:val="nil"/>
            </w:tcBorders>
            <w:shd w:val="clear" w:color="FFFFFF" w:fill="FFFFFF"/>
            <w:noWrap/>
            <w:vAlign w:val="bottom"/>
            <w:hideMark/>
          </w:tcPr>
          <w:p w14:paraId="46C031E5" w14:textId="77777777" w:rsidR="00C32CBD" w:rsidRDefault="00C32CBD" w:rsidP="00320D09">
            <w:pPr>
              <w:rPr>
                <w:rFonts w:cs="Arial"/>
                <w:b/>
                <w:bCs/>
                <w:sz w:val="18"/>
                <w:szCs w:val="18"/>
              </w:rPr>
            </w:pPr>
            <w:r>
              <w:rPr>
                <w:rFonts w:cs="Arial"/>
                <w:b/>
                <w:bCs/>
                <w:sz w:val="18"/>
                <w:szCs w:val="18"/>
              </w:rPr>
              <w:t> </w:t>
            </w:r>
          </w:p>
        </w:tc>
        <w:tc>
          <w:tcPr>
            <w:tcW w:w="1196" w:type="dxa"/>
            <w:tcBorders>
              <w:top w:val="nil"/>
              <w:left w:val="nil"/>
              <w:bottom w:val="nil"/>
              <w:right w:val="nil"/>
            </w:tcBorders>
            <w:shd w:val="clear" w:color="FFFFFF" w:fill="FFFFFF"/>
            <w:noWrap/>
            <w:vAlign w:val="bottom"/>
            <w:hideMark/>
          </w:tcPr>
          <w:p w14:paraId="564706F1" w14:textId="77777777" w:rsidR="00C32CBD" w:rsidRDefault="00C32CBD" w:rsidP="00320D09">
            <w:pPr>
              <w:rPr>
                <w:rFonts w:cs="Arial"/>
                <w:sz w:val="18"/>
                <w:szCs w:val="18"/>
              </w:rPr>
            </w:pPr>
            <w:r>
              <w:rPr>
                <w:rFonts w:cs="Arial"/>
                <w:sz w:val="18"/>
                <w:szCs w:val="18"/>
              </w:rPr>
              <w:t> </w:t>
            </w:r>
          </w:p>
        </w:tc>
      </w:tr>
      <w:tr w:rsidR="00C32CBD" w14:paraId="2B911FC4" w14:textId="77777777" w:rsidTr="00320D09">
        <w:trPr>
          <w:trHeight w:val="255"/>
        </w:trPr>
        <w:tc>
          <w:tcPr>
            <w:tcW w:w="6216" w:type="dxa"/>
            <w:tcBorders>
              <w:top w:val="nil"/>
              <w:left w:val="nil"/>
              <w:bottom w:val="nil"/>
              <w:right w:val="nil"/>
            </w:tcBorders>
            <w:shd w:val="clear" w:color="FFFFFF" w:fill="FFFFFF"/>
            <w:vAlign w:val="bottom"/>
            <w:hideMark/>
          </w:tcPr>
          <w:p w14:paraId="675F8365" w14:textId="77777777" w:rsidR="00C32CBD" w:rsidRDefault="00C32CBD" w:rsidP="00320D09">
            <w:pPr>
              <w:ind w:firstLineChars="100" w:firstLine="180"/>
              <w:rPr>
                <w:rFonts w:cs="Arial"/>
                <w:sz w:val="18"/>
                <w:szCs w:val="18"/>
              </w:rPr>
            </w:pPr>
            <w:r>
              <w:rPr>
                <w:rFonts w:cs="Arial"/>
                <w:sz w:val="18"/>
                <w:szCs w:val="18"/>
              </w:rPr>
              <w:t>Decrease/(increase) in net receivables</w:t>
            </w:r>
          </w:p>
        </w:tc>
        <w:tc>
          <w:tcPr>
            <w:tcW w:w="1256" w:type="dxa"/>
            <w:tcBorders>
              <w:top w:val="nil"/>
              <w:left w:val="nil"/>
              <w:bottom w:val="nil"/>
              <w:right w:val="nil"/>
            </w:tcBorders>
            <w:shd w:val="clear" w:color="FFFFFF" w:fill="FFFFFF"/>
            <w:noWrap/>
            <w:vAlign w:val="bottom"/>
            <w:hideMark/>
          </w:tcPr>
          <w:p w14:paraId="5640AC1B" w14:textId="77777777" w:rsidR="00C32CBD" w:rsidRDefault="00C32CBD" w:rsidP="00320D09">
            <w:pPr>
              <w:jc w:val="right"/>
              <w:rPr>
                <w:rFonts w:cs="Arial"/>
                <w:b/>
                <w:bCs/>
                <w:sz w:val="18"/>
                <w:szCs w:val="18"/>
              </w:rPr>
            </w:pPr>
            <w:r>
              <w:rPr>
                <w:rFonts w:cs="Arial"/>
                <w:b/>
                <w:bCs/>
                <w:sz w:val="18"/>
                <w:szCs w:val="18"/>
              </w:rPr>
              <w:t>(183,978)</w:t>
            </w:r>
          </w:p>
        </w:tc>
        <w:tc>
          <w:tcPr>
            <w:tcW w:w="267" w:type="dxa"/>
            <w:tcBorders>
              <w:top w:val="nil"/>
              <w:left w:val="nil"/>
              <w:bottom w:val="nil"/>
              <w:right w:val="nil"/>
            </w:tcBorders>
            <w:shd w:val="clear" w:color="FFFFFF" w:fill="FFFFFF"/>
            <w:noWrap/>
            <w:vAlign w:val="bottom"/>
            <w:hideMark/>
          </w:tcPr>
          <w:p w14:paraId="0A176FAA" w14:textId="77777777" w:rsidR="00C32CBD" w:rsidRDefault="00C32CBD" w:rsidP="00320D09">
            <w:pPr>
              <w:rPr>
                <w:rFonts w:cs="Arial"/>
                <w:b/>
                <w:bCs/>
                <w:sz w:val="18"/>
                <w:szCs w:val="18"/>
              </w:rPr>
            </w:pPr>
            <w:r>
              <w:rPr>
                <w:rFonts w:cs="Arial"/>
                <w:b/>
                <w:bCs/>
                <w:sz w:val="18"/>
                <w:szCs w:val="18"/>
              </w:rPr>
              <w:t> </w:t>
            </w:r>
          </w:p>
        </w:tc>
        <w:tc>
          <w:tcPr>
            <w:tcW w:w="1196" w:type="dxa"/>
            <w:tcBorders>
              <w:top w:val="nil"/>
              <w:left w:val="nil"/>
              <w:bottom w:val="nil"/>
              <w:right w:val="nil"/>
            </w:tcBorders>
            <w:shd w:val="clear" w:color="FFFFFF" w:fill="FFFFFF"/>
            <w:noWrap/>
            <w:vAlign w:val="bottom"/>
            <w:hideMark/>
          </w:tcPr>
          <w:p w14:paraId="402376CB" w14:textId="77777777" w:rsidR="00C32CBD" w:rsidRDefault="00C32CBD" w:rsidP="00320D09">
            <w:pPr>
              <w:jc w:val="right"/>
              <w:rPr>
                <w:rFonts w:cs="Arial"/>
                <w:sz w:val="18"/>
                <w:szCs w:val="18"/>
              </w:rPr>
            </w:pPr>
            <w:r>
              <w:rPr>
                <w:rFonts w:cs="Arial"/>
                <w:sz w:val="18"/>
                <w:szCs w:val="18"/>
              </w:rPr>
              <w:t>63,049</w:t>
            </w:r>
          </w:p>
        </w:tc>
      </w:tr>
      <w:tr w:rsidR="00C32CBD" w14:paraId="7EFD8E6C" w14:textId="77777777" w:rsidTr="00320D09">
        <w:trPr>
          <w:trHeight w:val="255"/>
        </w:trPr>
        <w:tc>
          <w:tcPr>
            <w:tcW w:w="6216" w:type="dxa"/>
            <w:tcBorders>
              <w:top w:val="nil"/>
              <w:left w:val="nil"/>
              <w:bottom w:val="nil"/>
              <w:right w:val="nil"/>
            </w:tcBorders>
            <w:shd w:val="clear" w:color="FFFFFF" w:fill="FFFFFF"/>
            <w:vAlign w:val="bottom"/>
            <w:hideMark/>
          </w:tcPr>
          <w:p w14:paraId="797C69C2" w14:textId="77777777" w:rsidR="00C32CBD" w:rsidRDefault="00C32CBD" w:rsidP="00320D09">
            <w:pPr>
              <w:ind w:firstLineChars="100" w:firstLine="180"/>
              <w:rPr>
                <w:rFonts w:cs="Arial"/>
                <w:sz w:val="18"/>
                <w:szCs w:val="18"/>
              </w:rPr>
            </w:pPr>
            <w:r>
              <w:rPr>
                <w:rFonts w:cs="Arial"/>
                <w:sz w:val="18"/>
                <w:szCs w:val="18"/>
              </w:rPr>
              <w:t>(Increase)/decrease in net other non-financial assets</w:t>
            </w:r>
          </w:p>
        </w:tc>
        <w:tc>
          <w:tcPr>
            <w:tcW w:w="1256" w:type="dxa"/>
            <w:tcBorders>
              <w:top w:val="nil"/>
              <w:left w:val="nil"/>
              <w:bottom w:val="nil"/>
              <w:right w:val="nil"/>
            </w:tcBorders>
            <w:shd w:val="clear" w:color="FFFFFF" w:fill="FFFFFF"/>
            <w:noWrap/>
            <w:vAlign w:val="bottom"/>
            <w:hideMark/>
          </w:tcPr>
          <w:p w14:paraId="34F22339" w14:textId="77777777" w:rsidR="00C32CBD" w:rsidRDefault="00C32CBD" w:rsidP="00320D09">
            <w:pPr>
              <w:jc w:val="right"/>
              <w:rPr>
                <w:rFonts w:cs="Arial"/>
                <w:b/>
                <w:bCs/>
                <w:sz w:val="18"/>
                <w:szCs w:val="18"/>
              </w:rPr>
            </w:pPr>
            <w:r>
              <w:rPr>
                <w:rFonts w:cs="Arial"/>
                <w:b/>
                <w:bCs/>
                <w:sz w:val="18"/>
                <w:szCs w:val="18"/>
              </w:rPr>
              <w:t>5,855</w:t>
            </w:r>
          </w:p>
        </w:tc>
        <w:tc>
          <w:tcPr>
            <w:tcW w:w="267" w:type="dxa"/>
            <w:tcBorders>
              <w:top w:val="nil"/>
              <w:left w:val="nil"/>
              <w:bottom w:val="nil"/>
              <w:right w:val="nil"/>
            </w:tcBorders>
            <w:shd w:val="clear" w:color="FFFFFF" w:fill="FFFFFF"/>
            <w:noWrap/>
            <w:vAlign w:val="bottom"/>
            <w:hideMark/>
          </w:tcPr>
          <w:p w14:paraId="483E2357" w14:textId="77777777" w:rsidR="00C32CBD" w:rsidRDefault="00C32CBD" w:rsidP="00320D09">
            <w:pPr>
              <w:rPr>
                <w:rFonts w:cs="Arial"/>
                <w:b/>
                <w:bCs/>
                <w:sz w:val="18"/>
                <w:szCs w:val="18"/>
              </w:rPr>
            </w:pPr>
            <w:r>
              <w:rPr>
                <w:rFonts w:cs="Arial"/>
                <w:b/>
                <w:bCs/>
                <w:sz w:val="18"/>
                <w:szCs w:val="18"/>
              </w:rPr>
              <w:t> </w:t>
            </w:r>
          </w:p>
        </w:tc>
        <w:tc>
          <w:tcPr>
            <w:tcW w:w="1196" w:type="dxa"/>
            <w:tcBorders>
              <w:top w:val="nil"/>
              <w:left w:val="nil"/>
              <w:bottom w:val="nil"/>
              <w:right w:val="nil"/>
            </w:tcBorders>
            <w:shd w:val="clear" w:color="FFFFFF" w:fill="FFFFFF"/>
            <w:noWrap/>
            <w:vAlign w:val="bottom"/>
            <w:hideMark/>
          </w:tcPr>
          <w:p w14:paraId="12DE8E16" w14:textId="77777777" w:rsidR="00C32CBD" w:rsidRDefault="00C32CBD" w:rsidP="00320D09">
            <w:pPr>
              <w:jc w:val="right"/>
              <w:rPr>
                <w:rFonts w:cs="Arial"/>
                <w:sz w:val="18"/>
                <w:szCs w:val="18"/>
              </w:rPr>
            </w:pPr>
            <w:r>
              <w:rPr>
                <w:rFonts w:cs="Arial"/>
                <w:sz w:val="18"/>
                <w:szCs w:val="18"/>
              </w:rPr>
              <w:t>(6,198)</w:t>
            </w:r>
          </w:p>
        </w:tc>
      </w:tr>
      <w:tr w:rsidR="00C32CBD" w14:paraId="21E6E3E5" w14:textId="77777777" w:rsidTr="00320D09">
        <w:trPr>
          <w:trHeight w:val="255"/>
        </w:trPr>
        <w:tc>
          <w:tcPr>
            <w:tcW w:w="6216" w:type="dxa"/>
            <w:tcBorders>
              <w:top w:val="nil"/>
              <w:left w:val="nil"/>
              <w:bottom w:val="nil"/>
              <w:right w:val="nil"/>
            </w:tcBorders>
            <w:shd w:val="clear" w:color="FFFFFF" w:fill="FFFFFF"/>
            <w:vAlign w:val="bottom"/>
            <w:hideMark/>
          </w:tcPr>
          <w:p w14:paraId="604DBA6C" w14:textId="77777777" w:rsidR="00C32CBD" w:rsidRDefault="00C32CBD" w:rsidP="00320D09">
            <w:pPr>
              <w:rPr>
                <w:rFonts w:cs="Arial"/>
                <w:b/>
                <w:bCs/>
                <w:sz w:val="18"/>
                <w:szCs w:val="18"/>
              </w:rPr>
            </w:pPr>
            <w:r>
              <w:rPr>
                <w:rFonts w:cs="Arial"/>
                <w:b/>
                <w:bCs/>
                <w:sz w:val="18"/>
                <w:szCs w:val="18"/>
              </w:rPr>
              <w:t>Liabilities</w:t>
            </w:r>
          </w:p>
        </w:tc>
        <w:tc>
          <w:tcPr>
            <w:tcW w:w="1256" w:type="dxa"/>
            <w:tcBorders>
              <w:top w:val="nil"/>
              <w:left w:val="nil"/>
              <w:bottom w:val="nil"/>
              <w:right w:val="nil"/>
            </w:tcBorders>
            <w:shd w:val="clear" w:color="FFFFFF" w:fill="FFFFFF"/>
            <w:noWrap/>
            <w:vAlign w:val="bottom"/>
            <w:hideMark/>
          </w:tcPr>
          <w:p w14:paraId="20F59E5F" w14:textId="77777777" w:rsidR="00C32CBD" w:rsidRDefault="00C32CBD" w:rsidP="00320D09">
            <w:pPr>
              <w:rPr>
                <w:rFonts w:cs="Arial"/>
                <w:b/>
                <w:bCs/>
                <w:sz w:val="18"/>
                <w:szCs w:val="18"/>
              </w:rPr>
            </w:pPr>
            <w:r>
              <w:rPr>
                <w:rFonts w:cs="Arial"/>
                <w:b/>
                <w:bCs/>
                <w:sz w:val="18"/>
                <w:szCs w:val="18"/>
              </w:rPr>
              <w:t> </w:t>
            </w:r>
          </w:p>
        </w:tc>
        <w:tc>
          <w:tcPr>
            <w:tcW w:w="267" w:type="dxa"/>
            <w:tcBorders>
              <w:top w:val="nil"/>
              <w:left w:val="nil"/>
              <w:bottom w:val="nil"/>
              <w:right w:val="nil"/>
            </w:tcBorders>
            <w:shd w:val="clear" w:color="FFFFFF" w:fill="FFFFFF"/>
            <w:noWrap/>
            <w:vAlign w:val="bottom"/>
            <w:hideMark/>
          </w:tcPr>
          <w:p w14:paraId="09C973E3" w14:textId="77777777" w:rsidR="00C32CBD" w:rsidRDefault="00C32CBD" w:rsidP="00320D09">
            <w:pPr>
              <w:rPr>
                <w:rFonts w:cs="Arial"/>
                <w:b/>
                <w:bCs/>
                <w:sz w:val="18"/>
                <w:szCs w:val="18"/>
              </w:rPr>
            </w:pPr>
            <w:r>
              <w:rPr>
                <w:rFonts w:cs="Arial"/>
                <w:b/>
                <w:bCs/>
                <w:sz w:val="18"/>
                <w:szCs w:val="18"/>
              </w:rPr>
              <w:t> </w:t>
            </w:r>
          </w:p>
        </w:tc>
        <w:tc>
          <w:tcPr>
            <w:tcW w:w="1196" w:type="dxa"/>
            <w:tcBorders>
              <w:top w:val="nil"/>
              <w:left w:val="nil"/>
              <w:bottom w:val="nil"/>
              <w:right w:val="nil"/>
            </w:tcBorders>
            <w:shd w:val="clear" w:color="FFFFFF" w:fill="FFFFFF"/>
            <w:noWrap/>
            <w:vAlign w:val="bottom"/>
            <w:hideMark/>
          </w:tcPr>
          <w:p w14:paraId="106F88FC" w14:textId="77777777" w:rsidR="00C32CBD" w:rsidRDefault="00C32CBD" w:rsidP="00320D09">
            <w:pPr>
              <w:rPr>
                <w:rFonts w:cs="Arial"/>
                <w:sz w:val="18"/>
                <w:szCs w:val="18"/>
              </w:rPr>
            </w:pPr>
            <w:r>
              <w:rPr>
                <w:rFonts w:cs="Arial"/>
                <w:sz w:val="18"/>
                <w:szCs w:val="18"/>
              </w:rPr>
              <w:t> </w:t>
            </w:r>
          </w:p>
        </w:tc>
      </w:tr>
      <w:tr w:rsidR="00C32CBD" w14:paraId="49EBD27A" w14:textId="77777777" w:rsidTr="00320D09">
        <w:trPr>
          <w:trHeight w:val="255"/>
        </w:trPr>
        <w:tc>
          <w:tcPr>
            <w:tcW w:w="6216" w:type="dxa"/>
            <w:tcBorders>
              <w:top w:val="nil"/>
              <w:left w:val="nil"/>
              <w:bottom w:val="nil"/>
              <w:right w:val="nil"/>
            </w:tcBorders>
            <w:shd w:val="clear" w:color="FFFFFF" w:fill="FFFFFF"/>
            <w:vAlign w:val="bottom"/>
            <w:hideMark/>
          </w:tcPr>
          <w:p w14:paraId="31C19272" w14:textId="77777777" w:rsidR="00C32CBD" w:rsidRDefault="00C32CBD" w:rsidP="00320D09">
            <w:pPr>
              <w:ind w:firstLineChars="100" w:firstLine="180"/>
              <w:rPr>
                <w:rFonts w:cs="Arial"/>
                <w:sz w:val="18"/>
                <w:szCs w:val="18"/>
              </w:rPr>
            </w:pPr>
            <w:r>
              <w:rPr>
                <w:rFonts w:cs="Arial"/>
                <w:sz w:val="18"/>
                <w:szCs w:val="18"/>
              </w:rPr>
              <w:t>Increase/(decrease) in employee provisions</w:t>
            </w:r>
          </w:p>
        </w:tc>
        <w:tc>
          <w:tcPr>
            <w:tcW w:w="1256" w:type="dxa"/>
            <w:tcBorders>
              <w:top w:val="nil"/>
              <w:left w:val="nil"/>
              <w:bottom w:val="nil"/>
              <w:right w:val="nil"/>
            </w:tcBorders>
            <w:shd w:val="clear" w:color="FFFFFF" w:fill="FFFFFF"/>
            <w:noWrap/>
            <w:vAlign w:val="bottom"/>
            <w:hideMark/>
          </w:tcPr>
          <w:p w14:paraId="6A1BF97A" w14:textId="77777777" w:rsidR="00C32CBD" w:rsidRDefault="00C32CBD" w:rsidP="00320D09">
            <w:pPr>
              <w:jc w:val="right"/>
              <w:rPr>
                <w:rFonts w:cs="Arial"/>
                <w:b/>
                <w:bCs/>
                <w:sz w:val="18"/>
                <w:szCs w:val="18"/>
              </w:rPr>
            </w:pPr>
            <w:r>
              <w:rPr>
                <w:rFonts w:cs="Arial"/>
                <w:b/>
                <w:bCs/>
                <w:sz w:val="18"/>
                <w:szCs w:val="18"/>
              </w:rPr>
              <w:t>11,403</w:t>
            </w:r>
          </w:p>
        </w:tc>
        <w:tc>
          <w:tcPr>
            <w:tcW w:w="267" w:type="dxa"/>
            <w:tcBorders>
              <w:top w:val="nil"/>
              <w:left w:val="nil"/>
              <w:bottom w:val="nil"/>
              <w:right w:val="nil"/>
            </w:tcBorders>
            <w:shd w:val="clear" w:color="FFFFFF" w:fill="FFFFFF"/>
            <w:noWrap/>
            <w:vAlign w:val="bottom"/>
            <w:hideMark/>
          </w:tcPr>
          <w:p w14:paraId="4E3EA3E6" w14:textId="77777777" w:rsidR="00C32CBD" w:rsidRDefault="00C32CBD" w:rsidP="00320D09">
            <w:pPr>
              <w:rPr>
                <w:rFonts w:cs="Arial"/>
                <w:b/>
                <w:bCs/>
                <w:sz w:val="18"/>
                <w:szCs w:val="18"/>
              </w:rPr>
            </w:pPr>
            <w:r>
              <w:rPr>
                <w:rFonts w:cs="Arial"/>
                <w:b/>
                <w:bCs/>
                <w:sz w:val="18"/>
                <w:szCs w:val="18"/>
              </w:rPr>
              <w:t> </w:t>
            </w:r>
          </w:p>
        </w:tc>
        <w:tc>
          <w:tcPr>
            <w:tcW w:w="1196" w:type="dxa"/>
            <w:tcBorders>
              <w:top w:val="nil"/>
              <w:left w:val="nil"/>
              <w:bottom w:val="nil"/>
              <w:right w:val="nil"/>
            </w:tcBorders>
            <w:shd w:val="clear" w:color="FFFFFF" w:fill="FFFFFF"/>
            <w:noWrap/>
            <w:vAlign w:val="bottom"/>
            <w:hideMark/>
          </w:tcPr>
          <w:p w14:paraId="54227B94" w14:textId="77777777" w:rsidR="00C32CBD" w:rsidRDefault="00C32CBD" w:rsidP="00320D09">
            <w:pPr>
              <w:jc w:val="right"/>
              <w:rPr>
                <w:rFonts w:cs="Arial"/>
                <w:sz w:val="18"/>
                <w:szCs w:val="18"/>
              </w:rPr>
            </w:pPr>
            <w:r>
              <w:rPr>
                <w:rFonts w:cs="Arial"/>
                <w:sz w:val="18"/>
                <w:szCs w:val="18"/>
              </w:rPr>
              <w:t>8,648</w:t>
            </w:r>
          </w:p>
        </w:tc>
      </w:tr>
      <w:tr w:rsidR="00C32CBD" w14:paraId="01E77997" w14:textId="77777777" w:rsidTr="00320D09">
        <w:trPr>
          <w:trHeight w:val="255"/>
        </w:trPr>
        <w:tc>
          <w:tcPr>
            <w:tcW w:w="6216" w:type="dxa"/>
            <w:tcBorders>
              <w:top w:val="nil"/>
              <w:left w:val="nil"/>
              <w:bottom w:val="nil"/>
              <w:right w:val="nil"/>
            </w:tcBorders>
            <w:shd w:val="clear" w:color="FFFFFF" w:fill="FFFFFF"/>
            <w:vAlign w:val="bottom"/>
            <w:hideMark/>
          </w:tcPr>
          <w:p w14:paraId="76F679DE" w14:textId="77777777" w:rsidR="00C32CBD" w:rsidRDefault="00C32CBD" w:rsidP="00320D09">
            <w:pPr>
              <w:ind w:firstLineChars="100" w:firstLine="180"/>
              <w:rPr>
                <w:rFonts w:cs="Arial"/>
                <w:sz w:val="18"/>
                <w:szCs w:val="18"/>
              </w:rPr>
            </w:pPr>
            <w:r>
              <w:rPr>
                <w:rFonts w:cs="Arial"/>
                <w:sz w:val="18"/>
                <w:szCs w:val="18"/>
              </w:rPr>
              <w:t>Increase/(decrease) in other provisions</w:t>
            </w:r>
          </w:p>
        </w:tc>
        <w:tc>
          <w:tcPr>
            <w:tcW w:w="1256" w:type="dxa"/>
            <w:tcBorders>
              <w:top w:val="nil"/>
              <w:left w:val="nil"/>
              <w:bottom w:val="nil"/>
              <w:right w:val="nil"/>
            </w:tcBorders>
            <w:shd w:val="clear" w:color="FFFFFF" w:fill="FFFFFF"/>
            <w:noWrap/>
            <w:vAlign w:val="bottom"/>
            <w:hideMark/>
          </w:tcPr>
          <w:p w14:paraId="68AE3AE6" w14:textId="77777777" w:rsidR="00C32CBD" w:rsidRDefault="00C32CBD" w:rsidP="00320D09">
            <w:pPr>
              <w:jc w:val="right"/>
              <w:rPr>
                <w:rFonts w:cs="Arial"/>
                <w:b/>
                <w:bCs/>
                <w:sz w:val="18"/>
                <w:szCs w:val="18"/>
              </w:rPr>
            </w:pPr>
            <w:r>
              <w:rPr>
                <w:rFonts w:cs="Arial"/>
                <w:b/>
                <w:bCs/>
                <w:sz w:val="18"/>
                <w:szCs w:val="18"/>
              </w:rPr>
              <w:t>54,604</w:t>
            </w:r>
          </w:p>
        </w:tc>
        <w:tc>
          <w:tcPr>
            <w:tcW w:w="267" w:type="dxa"/>
            <w:tcBorders>
              <w:top w:val="nil"/>
              <w:left w:val="nil"/>
              <w:bottom w:val="nil"/>
              <w:right w:val="nil"/>
            </w:tcBorders>
            <w:shd w:val="clear" w:color="FFFFFF" w:fill="FFFFFF"/>
            <w:noWrap/>
            <w:vAlign w:val="bottom"/>
            <w:hideMark/>
          </w:tcPr>
          <w:p w14:paraId="7F167021" w14:textId="77777777" w:rsidR="00C32CBD" w:rsidRDefault="00C32CBD" w:rsidP="00320D09">
            <w:pPr>
              <w:rPr>
                <w:rFonts w:cs="Arial"/>
                <w:b/>
                <w:bCs/>
                <w:sz w:val="18"/>
                <w:szCs w:val="18"/>
              </w:rPr>
            </w:pPr>
            <w:r>
              <w:rPr>
                <w:rFonts w:cs="Arial"/>
                <w:b/>
                <w:bCs/>
                <w:sz w:val="18"/>
                <w:szCs w:val="18"/>
              </w:rPr>
              <w:t> </w:t>
            </w:r>
          </w:p>
        </w:tc>
        <w:tc>
          <w:tcPr>
            <w:tcW w:w="1196" w:type="dxa"/>
            <w:tcBorders>
              <w:top w:val="nil"/>
              <w:left w:val="nil"/>
              <w:bottom w:val="nil"/>
              <w:right w:val="nil"/>
            </w:tcBorders>
            <w:shd w:val="clear" w:color="FFFFFF" w:fill="FFFFFF"/>
            <w:noWrap/>
            <w:vAlign w:val="bottom"/>
            <w:hideMark/>
          </w:tcPr>
          <w:p w14:paraId="1AD89561" w14:textId="77777777" w:rsidR="00C32CBD" w:rsidRDefault="00C32CBD" w:rsidP="00320D09">
            <w:pPr>
              <w:jc w:val="right"/>
              <w:rPr>
                <w:rFonts w:cs="Arial"/>
                <w:sz w:val="18"/>
                <w:szCs w:val="18"/>
              </w:rPr>
            </w:pPr>
            <w:r>
              <w:rPr>
                <w:rFonts w:cs="Arial"/>
                <w:sz w:val="18"/>
                <w:szCs w:val="18"/>
              </w:rPr>
              <w:t>93</w:t>
            </w:r>
          </w:p>
        </w:tc>
      </w:tr>
      <w:tr w:rsidR="00C32CBD" w14:paraId="25CC510E" w14:textId="77777777" w:rsidTr="00320D09">
        <w:trPr>
          <w:trHeight w:val="255"/>
        </w:trPr>
        <w:tc>
          <w:tcPr>
            <w:tcW w:w="6216" w:type="dxa"/>
            <w:tcBorders>
              <w:top w:val="nil"/>
              <w:left w:val="nil"/>
              <w:bottom w:val="nil"/>
              <w:right w:val="nil"/>
            </w:tcBorders>
            <w:shd w:val="clear" w:color="FFFFFF" w:fill="FFFFFF"/>
            <w:vAlign w:val="bottom"/>
            <w:hideMark/>
          </w:tcPr>
          <w:p w14:paraId="2830570B" w14:textId="77777777" w:rsidR="00C32CBD" w:rsidRDefault="00C32CBD" w:rsidP="00320D09">
            <w:pPr>
              <w:ind w:firstLineChars="100" w:firstLine="180"/>
              <w:rPr>
                <w:rFonts w:cs="Arial"/>
                <w:sz w:val="18"/>
                <w:szCs w:val="18"/>
              </w:rPr>
            </w:pPr>
            <w:r>
              <w:rPr>
                <w:rFonts w:cs="Arial"/>
                <w:sz w:val="18"/>
                <w:szCs w:val="18"/>
              </w:rPr>
              <w:t>Increase/(decrease) in participant plan provisions</w:t>
            </w:r>
          </w:p>
        </w:tc>
        <w:tc>
          <w:tcPr>
            <w:tcW w:w="1256" w:type="dxa"/>
            <w:tcBorders>
              <w:top w:val="nil"/>
              <w:left w:val="nil"/>
              <w:bottom w:val="nil"/>
              <w:right w:val="nil"/>
            </w:tcBorders>
            <w:shd w:val="clear" w:color="FFFFFF" w:fill="FFFFFF"/>
            <w:noWrap/>
            <w:vAlign w:val="bottom"/>
            <w:hideMark/>
          </w:tcPr>
          <w:p w14:paraId="61881BE2" w14:textId="77777777" w:rsidR="00C32CBD" w:rsidRDefault="00C32CBD" w:rsidP="00320D09">
            <w:pPr>
              <w:jc w:val="right"/>
              <w:rPr>
                <w:rFonts w:cs="Arial"/>
                <w:b/>
                <w:bCs/>
                <w:sz w:val="18"/>
                <w:szCs w:val="18"/>
              </w:rPr>
            </w:pPr>
            <w:r>
              <w:rPr>
                <w:rFonts w:cs="Arial"/>
                <w:b/>
                <w:bCs/>
                <w:sz w:val="18"/>
                <w:szCs w:val="18"/>
              </w:rPr>
              <w:t>289,752</w:t>
            </w:r>
          </w:p>
        </w:tc>
        <w:tc>
          <w:tcPr>
            <w:tcW w:w="267" w:type="dxa"/>
            <w:tcBorders>
              <w:top w:val="nil"/>
              <w:left w:val="nil"/>
              <w:bottom w:val="nil"/>
              <w:right w:val="nil"/>
            </w:tcBorders>
            <w:shd w:val="clear" w:color="FFFFFF" w:fill="FFFFFF"/>
            <w:noWrap/>
            <w:vAlign w:val="bottom"/>
            <w:hideMark/>
          </w:tcPr>
          <w:p w14:paraId="3DA2AA9B" w14:textId="77777777" w:rsidR="00C32CBD" w:rsidRDefault="00C32CBD" w:rsidP="00320D09">
            <w:pPr>
              <w:rPr>
                <w:rFonts w:cs="Arial"/>
                <w:b/>
                <w:bCs/>
                <w:sz w:val="18"/>
                <w:szCs w:val="18"/>
              </w:rPr>
            </w:pPr>
            <w:r>
              <w:rPr>
                <w:rFonts w:cs="Arial"/>
                <w:b/>
                <w:bCs/>
                <w:sz w:val="18"/>
                <w:szCs w:val="18"/>
              </w:rPr>
              <w:t> </w:t>
            </w:r>
          </w:p>
        </w:tc>
        <w:tc>
          <w:tcPr>
            <w:tcW w:w="1196" w:type="dxa"/>
            <w:tcBorders>
              <w:top w:val="nil"/>
              <w:left w:val="nil"/>
              <w:bottom w:val="nil"/>
              <w:right w:val="nil"/>
            </w:tcBorders>
            <w:shd w:val="clear" w:color="FFFFFF" w:fill="FFFFFF"/>
            <w:noWrap/>
            <w:vAlign w:val="bottom"/>
            <w:hideMark/>
          </w:tcPr>
          <w:p w14:paraId="2477DFAA" w14:textId="77777777" w:rsidR="00C32CBD" w:rsidRDefault="00C32CBD" w:rsidP="00320D09">
            <w:pPr>
              <w:jc w:val="right"/>
              <w:rPr>
                <w:rFonts w:cs="Arial"/>
                <w:sz w:val="18"/>
                <w:szCs w:val="18"/>
              </w:rPr>
            </w:pPr>
            <w:r>
              <w:rPr>
                <w:rFonts w:cs="Arial"/>
                <w:sz w:val="18"/>
                <w:szCs w:val="18"/>
              </w:rPr>
              <w:t>52,764</w:t>
            </w:r>
          </w:p>
        </w:tc>
      </w:tr>
      <w:tr w:rsidR="00C32CBD" w14:paraId="328F2593" w14:textId="77777777" w:rsidTr="00320D09">
        <w:trPr>
          <w:trHeight w:val="255"/>
        </w:trPr>
        <w:tc>
          <w:tcPr>
            <w:tcW w:w="6216" w:type="dxa"/>
            <w:tcBorders>
              <w:top w:val="nil"/>
              <w:left w:val="nil"/>
              <w:bottom w:val="nil"/>
              <w:right w:val="nil"/>
            </w:tcBorders>
            <w:shd w:val="clear" w:color="FFFFFF" w:fill="FFFFFF"/>
            <w:vAlign w:val="bottom"/>
            <w:hideMark/>
          </w:tcPr>
          <w:p w14:paraId="2A4E46D3" w14:textId="77777777" w:rsidR="00C32CBD" w:rsidRDefault="00C32CBD" w:rsidP="00320D09">
            <w:pPr>
              <w:ind w:firstLineChars="100" w:firstLine="180"/>
              <w:rPr>
                <w:rFonts w:cs="Arial"/>
                <w:sz w:val="18"/>
                <w:szCs w:val="18"/>
              </w:rPr>
            </w:pPr>
            <w:r>
              <w:rPr>
                <w:rFonts w:cs="Arial"/>
                <w:sz w:val="18"/>
                <w:szCs w:val="18"/>
              </w:rPr>
              <w:t>Increase/(decrease) in supplier payables</w:t>
            </w:r>
          </w:p>
        </w:tc>
        <w:tc>
          <w:tcPr>
            <w:tcW w:w="1256" w:type="dxa"/>
            <w:tcBorders>
              <w:top w:val="nil"/>
              <w:left w:val="nil"/>
              <w:bottom w:val="nil"/>
              <w:right w:val="nil"/>
            </w:tcBorders>
            <w:shd w:val="clear" w:color="FFFFFF" w:fill="FFFFFF"/>
            <w:noWrap/>
            <w:vAlign w:val="bottom"/>
            <w:hideMark/>
          </w:tcPr>
          <w:p w14:paraId="17FFE419" w14:textId="77777777" w:rsidR="00C32CBD" w:rsidRDefault="00C32CBD" w:rsidP="00320D09">
            <w:pPr>
              <w:jc w:val="right"/>
              <w:rPr>
                <w:rFonts w:cs="Arial"/>
                <w:b/>
                <w:bCs/>
                <w:sz w:val="18"/>
                <w:szCs w:val="18"/>
              </w:rPr>
            </w:pPr>
            <w:r>
              <w:rPr>
                <w:rFonts w:cs="Arial"/>
                <w:b/>
                <w:bCs/>
                <w:sz w:val="18"/>
                <w:szCs w:val="18"/>
              </w:rPr>
              <w:t>81,443</w:t>
            </w:r>
          </w:p>
        </w:tc>
        <w:tc>
          <w:tcPr>
            <w:tcW w:w="267" w:type="dxa"/>
            <w:tcBorders>
              <w:top w:val="nil"/>
              <w:left w:val="nil"/>
              <w:bottom w:val="nil"/>
              <w:right w:val="nil"/>
            </w:tcBorders>
            <w:shd w:val="clear" w:color="FFFFFF" w:fill="FFFFFF"/>
            <w:noWrap/>
            <w:vAlign w:val="bottom"/>
            <w:hideMark/>
          </w:tcPr>
          <w:p w14:paraId="4EDE4595" w14:textId="77777777" w:rsidR="00C32CBD" w:rsidRDefault="00C32CBD" w:rsidP="00320D09">
            <w:pPr>
              <w:rPr>
                <w:rFonts w:cs="Arial"/>
                <w:b/>
                <w:bCs/>
                <w:sz w:val="18"/>
                <w:szCs w:val="18"/>
              </w:rPr>
            </w:pPr>
            <w:r>
              <w:rPr>
                <w:rFonts w:cs="Arial"/>
                <w:b/>
                <w:bCs/>
                <w:sz w:val="18"/>
                <w:szCs w:val="18"/>
              </w:rPr>
              <w:t> </w:t>
            </w:r>
          </w:p>
        </w:tc>
        <w:tc>
          <w:tcPr>
            <w:tcW w:w="1196" w:type="dxa"/>
            <w:tcBorders>
              <w:top w:val="nil"/>
              <w:left w:val="nil"/>
              <w:bottom w:val="nil"/>
              <w:right w:val="nil"/>
            </w:tcBorders>
            <w:shd w:val="clear" w:color="FFFFFF" w:fill="FFFFFF"/>
            <w:noWrap/>
            <w:vAlign w:val="bottom"/>
            <w:hideMark/>
          </w:tcPr>
          <w:p w14:paraId="40204F4D" w14:textId="77777777" w:rsidR="00C32CBD" w:rsidRDefault="00C32CBD" w:rsidP="00320D09">
            <w:pPr>
              <w:jc w:val="right"/>
              <w:rPr>
                <w:rFonts w:cs="Arial"/>
                <w:sz w:val="18"/>
                <w:szCs w:val="18"/>
              </w:rPr>
            </w:pPr>
            <w:r>
              <w:rPr>
                <w:rFonts w:cs="Arial"/>
                <w:sz w:val="18"/>
                <w:szCs w:val="18"/>
              </w:rPr>
              <w:t>11,327</w:t>
            </w:r>
          </w:p>
        </w:tc>
      </w:tr>
      <w:tr w:rsidR="00C32CBD" w14:paraId="48A65023" w14:textId="77777777" w:rsidTr="00320D09">
        <w:trPr>
          <w:trHeight w:val="255"/>
        </w:trPr>
        <w:tc>
          <w:tcPr>
            <w:tcW w:w="6216" w:type="dxa"/>
            <w:tcBorders>
              <w:top w:val="nil"/>
              <w:left w:val="nil"/>
              <w:bottom w:val="nil"/>
              <w:right w:val="nil"/>
            </w:tcBorders>
            <w:shd w:val="clear" w:color="FFFFFF" w:fill="FFFFFF"/>
            <w:vAlign w:val="bottom"/>
            <w:hideMark/>
          </w:tcPr>
          <w:p w14:paraId="38A141C2" w14:textId="77777777" w:rsidR="00C32CBD" w:rsidRDefault="00C32CBD" w:rsidP="00320D09">
            <w:pPr>
              <w:ind w:firstLineChars="100" w:firstLine="180"/>
              <w:rPr>
                <w:rFonts w:cs="Arial"/>
                <w:sz w:val="18"/>
                <w:szCs w:val="18"/>
              </w:rPr>
            </w:pPr>
            <w:r>
              <w:rPr>
                <w:rFonts w:cs="Arial"/>
                <w:sz w:val="18"/>
                <w:szCs w:val="18"/>
              </w:rPr>
              <w:t>(Decrease)/increase in participant plan payables</w:t>
            </w:r>
          </w:p>
        </w:tc>
        <w:tc>
          <w:tcPr>
            <w:tcW w:w="1256" w:type="dxa"/>
            <w:tcBorders>
              <w:top w:val="nil"/>
              <w:left w:val="nil"/>
              <w:bottom w:val="nil"/>
              <w:right w:val="nil"/>
            </w:tcBorders>
            <w:shd w:val="clear" w:color="FFFFFF" w:fill="FFFFFF"/>
            <w:noWrap/>
            <w:vAlign w:val="bottom"/>
            <w:hideMark/>
          </w:tcPr>
          <w:p w14:paraId="1D6482A6" w14:textId="77777777" w:rsidR="00C32CBD" w:rsidRDefault="00C32CBD" w:rsidP="00320D09">
            <w:pPr>
              <w:jc w:val="right"/>
              <w:rPr>
                <w:rFonts w:cs="Arial"/>
                <w:b/>
                <w:bCs/>
                <w:sz w:val="18"/>
                <w:szCs w:val="18"/>
              </w:rPr>
            </w:pPr>
            <w:r>
              <w:rPr>
                <w:rFonts w:cs="Arial"/>
                <w:b/>
                <w:bCs/>
                <w:sz w:val="18"/>
                <w:szCs w:val="18"/>
              </w:rPr>
              <w:t>-</w:t>
            </w:r>
          </w:p>
        </w:tc>
        <w:tc>
          <w:tcPr>
            <w:tcW w:w="267" w:type="dxa"/>
            <w:tcBorders>
              <w:top w:val="nil"/>
              <w:left w:val="nil"/>
              <w:bottom w:val="nil"/>
              <w:right w:val="nil"/>
            </w:tcBorders>
            <w:shd w:val="clear" w:color="FFFFFF" w:fill="FFFFFF"/>
            <w:noWrap/>
            <w:vAlign w:val="bottom"/>
            <w:hideMark/>
          </w:tcPr>
          <w:p w14:paraId="33F4E59C" w14:textId="77777777" w:rsidR="00C32CBD" w:rsidRDefault="00C32CBD" w:rsidP="00320D09">
            <w:pPr>
              <w:rPr>
                <w:rFonts w:cs="Arial"/>
                <w:b/>
                <w:bCs/>
                <w:sz w:val="18"/>
                <w:szCs w:val="18"/>
              </w:rPr>
            </w:pPr>
            <w:r>
              <w:rPr>
                <w:rFonts w:cs="Arial"/>
                <w:b/>
                <w:bCs/>
                <w:sz w:val="18"/>
                <w:szCs w:val="18"/>
              </w:rPr>
              <w:t> </w:t>
            </w:r>
          </w:p>
        </w:tc>
        <w:tc>
          <w:tcPr>
            <w:tcW w:w="1196" w:type="dxa"/>
            <w:tcBorders>
              <w:top w:val="nil"/>
              <w:left w:val="nil"/>
              <w:bottom w:val="nil"/>
              <w:right w:val="nil"/>
            </w:tcBorders>
            <w:shd w:val="clear" w:color="FFFFFF" w:fill="FFFFFF"/>
            <w:noWrap/>
            <w:vAlign w:val="bottom"/>
            <w:hideMark/>
          </w:tcPr>
          <w:p w14:paraId="55195A34" w14:textId="77777777" w:rsidR="00C32CBD" w:rsidRDefault="00C32CBD" w:rsidP="00320D09">
            <w:pPr>
              <w:jc w:val="right"/>
              <w:rPr>
                <w:rFonts w:cs="Arial"/>
                <w:sz w:val="18"/>
                <w:szCs w:val="18"/>
              </w:rPr>
            </w:pPr>
            <w:r>
              <w:rPr>
                <w:rFonts w:cs="Arial"/>
                <w:sz w:val="18"/>
                <w:szCs w:val="18"/>
              </w:rPr>
              <w:t>(2,632)</w:t>
            </w:r>
          </w:p>
        </w:tc>
      </w:tr>
      <w:tr w:rsidR="00C32CBD" w14:paraId="51FE945C" w14:textId="77777777" w:rsidTr="00320D09">
        <w:trPr>
          <w:trHeight w:val="255"/>
        </w:trPr>
        <w:tc>
          <w:tcPr>
            <w:tcW w:w="6216" w:type="dxa"/>
            <w:tcBorders>
              <w:top w:val="nil"/>
              <w:left w:val="nil"/>
              <w:bottom w:val="nil"/>
              <w:right w:val="nil"/>
            </w:tcBorders>
            <w:shd w:val="clear" w:color="FFFFFF" w:fill="FFFFFF"/>
            <w:vAlign w:val="bottom"/>
            <w:hideMark/>
          </w:tcPr>
          <w:p w14:paraId="2F5D20FD" w14:textId="77777777" w:rsidR="00C32CBD" w:rsidRDefault="00C32CBD" w:rsidP="00320D09">
            <w:pPr>
              <w:ind w:firstLineChars="100" w:firstLine="180"/>
              <w:rPr>
                <w:rFonts w:cs="Arial"/>
                <w:sz w:val="18"/>
                <w:szCs w:val="18"/>
              </w:rPr>
            </w:pPr>
            <w:r>
              <w:rPr>
                <w:rFonts w:cs="Arial"/>
                <w:sz w:val="18"/>
                <w:szCs w:val="18"/>
              </w:rPr>
              <w:t>(Decrease)/increase in other payables</w:t>
            </w:r>
          </w:p>
        </w:tc>
        <w:tc>
          <w:tcPr>
            <w:tcW w:w="1256" w:type="dxa"/>
            <w:tcBorders>
              <w:top w:val="nil"/>
              <w:left w:val="nil"/>
              <w:bottom w:val="nil"/>
              <w:right w:val="nil"/>
            </w:tcBorders>
            <w:shd w:val="clear" w:color="FFFFFF" w:fill="FFFFFF"/>
            <w:noWrap/>
            <w:vAlign w:val="bottom"/>
            <w:hideMark/>
          </w:tcPr>
          <w:p w14:paraId="22C74E52" w14:textId="77777777" w:rsidR="00C32CBD" w:rsidRDefault="00C32CBD" w:rsidP="00320D09">
            <w:pPr>
              <w:jc w:val="right"/>
              <w:rPr>
                <w:rFonts w:cs="Arial"/>
                <w:b/>
                <w:bCs/>
                <w:sz w:val="18"/>
                <w:szCs w:val="18"/>
              </w:rPr>
            </w:pPr>
            <w:r>
              <w:rPr>
                <w:rFonts w:cs="Arial"/>
                <w:b/>
                <w:bCs/>
                <w:sz w:val="18"/>
                <w:szCs w:val="18"/>
              </w:rPr>
              <w:t>1,622</w:t>
            </w:r>
          </w:p>
        </w:tc>
        <w:tc>
          <w:tcPr>
            <w:tcW w:w="267" w:type="dxa"/>
            <w:tcBorders>
              <w:top w:val="nil"/>
              <w:left w:val="nil"/>
              <w:bottom w:val="nil"/>
              <w:right w:val="nil"/>
            </w:tcBorders>
            <w:shd w:val="clear" w:color="FFFFFF" w:fill="FFFFFF"/>
            <w:noWrap/>
            <w:vAlign w:val="bottom"/>
            <w:hideMark/>
          </w:tcPr>
          <w:p w14:paraId="53147368" w14:textId="77777777" w:rsidR="00C32CBD" w:rsidRDefault="00C32CBD" w:rsidP="00320D09">
            <w:pPr>
              <w:rPr>
                <w:rFonts w:cs="Arial"/>
                <w:b/>
                <w:bCs/>
                <w:sz w:val="18"/>
                <w:szCs w:val="18"/>
              </w:rPr>
            </w:pPr>
            <w:r>
              <w:rPr>
                <w:rFonts w:cs="Arial"/>
                <w:b/>
                <w:bCs/>
                <w:sz w:val="18"/>
                <w:szCs w:val="18"/>
              </w:rPr>
              <w:t> </w:t>
            </w:r>
          </w:p>
        </w:tc>
        <w:tc>
          <w:tcPr>
            <w:tcW w:w="1196" w:type="dxa"/>
            <w:tcBorders>
              <w:top w:val="nil"/>
              <w:left w:val="nil"/>
              <w:bottom w:val="nil"/>
              <w:right w:val="nil"/>
            </w:tcBorders>
            <w:shd w:val="clear" w:color="FFFFFF" w:fill="FFFFFF"/>
            <w:noWrap/>
            <w:vAlign w:val="bottom"/>
            <w:hideMark/>
          </w:tcPr>
          <w:p w14:paraId="529C51E5" w14:textId="77777777" w:rsidR="00C32CBD" w:rsidRDefault="00C32CBD" w:rsidP="00320D09">
            <w:pPr>
              <w:jc w:val="right"/>
              <w:rPr>
                <w:rFonts w:cs="Arial"/>
                <w:sz w:val="18"/>
                <w:szCs w:val="18"/>
              </w:rPr>
            </w:pPr>
            <w:r>
              <w:rPr>
                <w:rFonts w:cs="Arial"/>
                <w:sz w:val="18"/>
                <w:szCs w:val="18"/>
              </w:rPr>
              <w:t>(5,350)</w:t>
            </w:r>
          </w:p>
        </w:tc>
      </w:tr>
      <w:tr w:rsidR="00C32CBD" w14:paraId="3F91C5FF" w14:textId="77777777" w:rsidTr="00320D09">
        <w:trPr>
          <w:trHeight w:val="255"/>
        </w:trPr>
        <w:tc>
          <w:tcPr>
            <w:tcW w:w="6216" w:type="dxa"/>
            <w:tcBorders>
              <w:top w:val="nil"/>
              <w:left w:val="nil"/>
              <w:bottom w:val="nil"/>
              <w:right w:val="nil"/>
            </w:tcBorders>
            <w:shd w:val="clear" w:color="FFFFFF" w:fill="FFFFFF"/>
            <w:vAlign w:val="bottom"/>
            <w:hideMark/>
          </w:tcPr>
          <w:p w14:paraId="2E8E62EB" w14:textId="77777777" w:rsidR="00C32CBD" w:rsidRDefault="00C32CBD" w:rsidP="00320D09">
            <w:pPr>
              <w:rPr>
                <w:rFonts w:cs="Arial"/>
                <w:b/>
                <w:bCs/>
                <w:sz w:val="18"/>
                <w:szCs w:val="18"/>
              </w:rPr>
            </w:pPr>
            <w:r>
              <w:rPr>
                <w:rFonts w:cs="Arial"/>
                <w:b/>
                <w:bCs/>
                <w:sz w:val="18"/>
                <w:szCs w:val="18"/>
              </w:rPr>
              <w:t>Net cash from operating activities</w:t>
            </w:r>
          </w:p>
        </w:tc>
        <w:tc>
          <w:tcPr>
            <w:tcW w:w="1256" w:type="dxa"/>
            <w:tcBorders>
              <w:top w:val="single" w:sz="4" w:space="0" w:color="auto"/>
              <w:left w:val="nil"/>
              <w:bottom w:val="single" w:sz="4" w:space="0" w:color="auto"/>
              <w:right w:val="nil"/>
            </w:tcBorders>
            <w:shd w:val="clear" w:color="FFFFFF" w:fill="FFFFFF"/>
            <w:noWrap/>
            <w:vAlign w:val="bottom"/>
            <w:hideMark/>
          </w:tcPr>
          <w:p w14:paraId="27758E84" w14:textId="77777777" w:rsidR="00C32CBD" w:rsidRDefault="00C32CBD" w:rsidP="00320D09">
            <w:pPr>
              <w:jc w:val="right"/>
              <w:rPr>
                <w:rFonts w:cs="Arial"/>
                <w:b/>
                <w:bCs/>
                <w:sz w:val="18"/>
                <w:szCs w:val="18"/>
              </w:rPr>
            </w:pPr>
            <w:r>
              <w:rPr>
                <w:rFonts w:cs="Arial"/>
                <w:b/>
                <w:bCs/>
                <w:sz w:val="18"/>
                <w:szCs w:val="18"/>
              </w:rPr>
              <w:t>888,622</w:t>
            </w:r>
          </w:p>
        </w:tc>
        <w:tc>
          <w:tcPr>
            <w:tcW w:w="267" w:type="dxa"/>
            <w:tcBorders>
              <w:top w:val="nil"/>
              <w:left w:val="nil"/>
              <w:bottom w:val="nil"/>
              <w:right w:val="nil"/>
            </w:tcBorders>
            <w:shd w:val="clear" w:color="FFFFFF" w:fill="FFFFFF"/>
            <w:noWrap/>
            <w:vAlign w:val="bottom"/>
            <w:hideMark/>
          </w:tcPr>
          <w:p w14:paraId="63E919D2" w14:textId="77777777" w:rsidR="00C32CBD" w:rsidRDefault="00C32CBD" w:rsidP="00320D09">
            <w:pPr>
              <w:rPr>
                <w:rFonts w:cs="Arial"/>
                <w:b/>
                <w:bCs/>
                <w:sz w:val="18"/>
                <w:szCs w:val="18"/>
              </w:rPr>
            </w:pPr>
            <w:r>
              <w:rPr>
                <w:rFonts w:cs="Arial"/>
                <w:b/>
                <w:bCs/>
                <w:sz w:val="18"/>
                <w:szCs w:val="18"/>
              </w:rPr>
              <w:t> </w:t>
            </w:r>
          </w:p>
        </w:tc>
        <w:tc>
          <w:tcPr>
            <w:tcW w:w="1196" w:type="dxa"/>
            <w:tcBorders>
              <w:top w:val="single" w:sz="4" w:space="0" w:color="auto"/>
              <w:left w:val="nil"/>
              <w:bottom w:val="single" w:sz="4" w:space="0" w:color="auto"/>
              <w:right w:val="nil"/>
            </w:tcBorders>
            <w:shd w:val="clear" w:color="FFFFFF" w:fill="FFFFFF"/>
            <w:noWrap/>
            <w:vAlign w:val="bottom"/>
            <w:hideMark/>
          </w:tcPr>
          <w:p w14:paraId="00906C27" w14:textId="77777777" w:rsidR="00C32CBD" w:rsidRDefault="00C32CBD" w:rsidP="00320D09">
            <w:pPr>
              <w:jc w:val="right"/>
              <w:rPr>
                <w:rFonts w:cs="Arial"/>
                <w:sz w:val="18"/>
                <w:szCs w:val="18"/>
              </w:rPr>
            </w:pPr>
            <w:r>
              <w:rPr>
                <w:rFonts w:cs="Arial"/>
                <w:sz w:val="18"/>
                <w:szCs w:val="18"/>
              </w:rPr>
              <w:t>146,347</w:t>
            </w:r>
          </w:p>
        </w:tc>
      </w:tr>
      <w:tr w:rsidR="00C32CBD" w14:paraId="12BD104C" w14:textId="77777777" w:rsidTr="00320D09">
        <w:trPr>
          <w:trHeight w:val="255"/>
        </w:trPr>
        <w:tc>
          <w:tcPr>
            <w:tcW w:w="8935" w:type="dxa"/>
            <w:gridSpan w:val="4"/>
            <w:tcBorders>
              <w:top w:val="nil"/>
              <w:left w:val="nil"/>
              <w:bottom w:val="nil"/>
              <w:right w:val="nil"/>
            </w:tcBorders>
            <w:shd w:val="clear" w:color="FFFFFF" w:fill="FFFFFF"/>
            <w:vAlign w:val="bottom"/>
            <w:hideMark/>
          </w:tcPr>
          <w:p w14:paraId="56659975" w14:textId="77777777" w:rsidR="00C32CBD" w:rsidRDefault="00C32CBD" w:rsidP="00320D09">
            <w:pPr>
              <w:rPr>
                <w:rFonts w:cs="Arial"/>
                <w:sz w:val="18"/>
                <w:szCs w:val="18"/>
              </w:rPr>
            </w:pPr>
            <w:r>
              <w:rPr>
                <w:rFonts w:cs="Arial"/>
                <w:sz w:val="18"/>
                <w:szCs w:val="18"/>
              </w:rPr>
              <w:t> </w:t>
            </w:r>
          </w:p>
        </w:tc>
      </w:tr>
    </w:tbl>
    <w:p w14:paraId="7A26F192" w14:textId="77777777" w:rsidR="00C32CBD" w:rsidRPr="005E5430" w:rsidRDefault="00C32CBD" w:rsidP="00C32CBD">
      <w:pPr>
        <w:rPr>
          <w:rFonts w:cs="Arial"/>
          <w:sz w:val="18"/>
          <w:szCs w:val="18"/>
        </w:rPr>
      </w:pPr>
    </w:p>
    <w:p w14:paraId="430E768F" w14:textId="77777777" w:rsidR="00C32CBD" w:rsidRPr="005E5430" w:rsidRDefault="00C32CBD" w:rsidP="00C32CBD">
      <w:pPr>
        <w:spacing w:line="240" w:lineRule="auto"/>
        <w:rPr>
          <w:rFonts w:cs="Arial"/>
          <w:sz w:val="18"/>
          <w:szCs w:val="18"/>
        </w:rPr>
        <w:sectPr w:rsidR="00C32CBD" w:rsidRPr="005E5430" w:rsidSect="00320D09">
          <w:pgSz w:w="11906" w:h="16838" w:code="9"/>
          <w:pgMar w:top="1134" w:right="1700" w:bottom="1134" w:left="1134" w:header="958" w:footer="737" w:gutter="0"/>
          <w:cols w:space="708"/>
          <w:docGrid w:linePitch="360"/>
        </w:sectPr>
      </w:pPr>
      <w:r w:rsidRPr="005E5430">
        <w:rPr>
          <w:rFonts w:cs="Arial"/>
          <w:sz w:val="18"/>
          <w:szCs w:val="18"/>
        </w:rPr>
        <w:br w:type="page"/>
      </w:r>
    </w:p>
    <w:p w14:paraId="1CE723FE" w14:textId="77777777" w:rsidR="00C32CBD" w:rsidRDefault="00C32CBD" w:rsidP="00C32CBD">
      <w:pPr>
        <w:pStyle w:val="SectionHeading"/>
      </w:pPr>
      <w:bookmarkStart w:id="206" w:name="_Toc443469544"/>
      <w:bookmarkStart w:id="207" w:name="_Toc444065799"/>
      <w:bookmarkStart w:id="208" w:name="_Toc444079995"/>
      <w:bookmarkStart w:id="209" w:name="_Toc447030545"/>
      <w:bookmarkStart w:id="210" w:name="_Toc447030697"/>
      <w:bookmarkStart w:id="211" w:name="_Toc447030790"/>
      <w:bookmarkStart w:id="212" w:name="_Toc456865065"/>
      <w:bookmarkStart w:id="213" w:name="_Toc496611908"/>
      <w:r>
        <w:t>Governance, Employees and Relationships</w:t>
      </w:r>
      <w:bookmarkEnd w:id="206"/>
      <w:bookmarkEnd w:id="207"/>
      <w:bookmarkEnd w:id="208"/>
      <w:bookmarkEnd w:id="209"/>
      <w:bookmarkEnd w:id="210"/>
      <w:bookmarkEnd w:id="211"/>
      <w:bookmarkEnd w:id="212"/>
      <w:bookmarkEnd w:id="213"/>
    </w:p>
    <w:p w14:paraId="6A5C8B28" w14:textId="77777777" w:rsidR="00C32CBD" w:rsidRDefault="00C32CBD" w:rsidP="00C32CBD">
      <w:pPr>
        <w:pStyle w:val="SectionHeadingDescription"/>
      </w:pPr>
      <w:r w:rsidRPr="00185212">
        <w:t>This section describes a range of employment and post-employment benefits provided to</w:t>
      </w:r>
      <w:r>
        <w:t xml:space="preserve"> o</w:t>
      </w:r>
      <w:r w:rsidRPr="00185212">
        <w:t xml:space="preserve">ur </w:t>
      </w:r>
      <w:r>
        <w:t>employees</w:t>
      </w:r>
      <w:r w:rsidRPr="00185212">
        <w:t xml:space="preserve"> and our </w:t>
      </w:r>
      <w:r w:rsidRPr="007204D0">
        <w:t>relationships</w:t>
      </w:r>
      <w:r w:rsidRPr="00185212">
        <w:t xml:space="preserve"> with other key people.</w:t>
      </w:r>
    </w:p>
    <w:p w14:paraId="7B536D19" w14:textId="77777777" w:rsidR="00C32CBD" w:rsidRPr="00714F4A" w:rsidRDefault="00C32CBD" w:rsidP="00C32CBD">
      <w:pPr>
        <w:pStyle w:val="ListParagraph"/>
        <w:numPr>
          <w:ilvl w:val="0"/>
          <w:numId w:val="28"/>
        </w:numPr>
        <w:shd w:val="clear" w:color="auto" w:fill="FEFFFF" w:themeFill="text1"/>
        <w:spacing w:before="0" w:after="0" w:line="260" w:lineRule="atLeast"/>
        <w:contextualSpacing w:val="0"/>
        <w:outlineLvl w:val="1"/>
        <w:rPr>
          <w:rFonts w:eastAsia="Times New Roman" w:cs="Arial"/>
          <w:b/>
          <w:vanish/>
          <w:szCs w:val="20"/>
        </w:rPr>
      </w:pPr>
      <w:bookmarkStart w:id="214" w:name="_Toc447116453"/>
      <w:bookmarkStart w:id="215" w:name="_Toc447542887"/>
      <w:bookmarkStart w:id="216" w:name="_Toc447787262"/>
      <w:bookmarkStart w:id="217" w:name="_Toc448415762"/>
      <w:bookmarkStart w:id="218" w:name="_Toc448500687"/>
      <w:bookmarkStart w:id="219" w:name="_Toc449452849"/>
      <w:bookmarkStart w:id="220" w:name="_Toc456185891"/>
      <w:bookmarkStart w:id="221" w:name="_Toc456185948"/>
      <w:bookmarkStart w:id="222" w:name="_Toc456256309"/>
      <w:bookmarkStart w:id="223" w:name="_Toc456865066"/>
      <w:bookmarkStart w:id="224" w:name="_Toc443469545"/>
      <w:bookmarkStart w:id="225" w:name="_Toc444065800"/>
      <w:bookmarkStart w:id="226" w:name="_Toc444079996"/>
      <w:bookmarkStart w:id="227" w:name="_Toc447030546"/>
      <w:bookmarkStart w:id="228" w:name="_Toc447030698"/>
      <w:bookmarkStart w:id="229" w:name="_Toc447030791"/>
      <w:bookmarkEnd w:id="214"/>
      <w:bookmarkEnd w:id="215"/>
      <w:bookmarkEnd w:id="216"/>
      <w:bookmarkEnd w:id="217"/>
      <w:bookmarkEnd w:id="218"/>
      <w:bookmarkEnd w:id="219"/>
      <w:bookmarkEnd w:id="220"/>
      <w:bookmarkEnd w:id="221"/>
      <w:bookmarkEnd w:id="222"/>
      <w:bookmarkEnd w:id="223"/>
    </w:p>
    <w:p w14:paraId="4A8D43AE" w14:textId="77777777" w:rsidR="00C32CBD" w:rsidRPr="007204D0" w:rsidRDefault="00C32CBD" w:rsidP="00C32CBD">
      <w:pPr>
        <w:pStyle w:val="SubHeading"/>
      </w:pPr>
      <w:bookmarkStart w:id="230" w:name="_Toc456865067"/>
      <w:bookmarkStart w:id="231" w:name="_Toc496611909"/>
      <w:r>
        <w:t>Employee Provisions</w:t>
      </w:r>
      <w:bookmarkEnd w:id="224"/>
      <w:bookmarkEnd w:id="225"/>
      <w:bookmarkEnd w:id="226"/>
      <w:bookmarkEnd w:id="227"/>
      <w:bookmarkEnd w:id="228"/>
      <w:bookmarkEnd w:id="229"/>
      <w:bookmarkEnd w:id="230"/>
      <w:bookmarkEnd w:id="231"/>
    </w:p>
    <w:tbl>
      <w:tblPr>
        <w:tblW w:w="9087" w:type="dxa"/>
        <w:tblInd w:w="80" w:type="dxa"/>
        <w:tblLayout w:type="fixed"/>
        <w:tblLook w:val="04A0" w:firstRow="1" w:lastRow="0" w:firstColumn="1" w:lastColumn="0" w:noHBand="0" w:noVBand="1"/>
      </w:tblPr>
      <w:tblGrid>
        <w:gridCol w:w="6353"/>
        <w:gridCol w:w="1249"/>
        <w:gridCol w:w="236"/>
        <w:gridCol w:w="1249"/>
      </w:tblGrid>
      <w:tr w:rsidR="00C32CBD" w14:paraId="73D06D50" w14:textId="77777777" w:rsidTr="00320D09">
        <w:trPr>
          <w:trHeight w:val="255"/>
        </w:trPr>
        <w:tc>
          <w:tcPr>
            <w:tcW w:w="6353" w:type="dxa"/>
            <w:tcBorders>
              <w:top w:val="nil"/>
              <w:left w:val="nil"/>
              <w:bottom w:val="nil"/>
              <w:right w:val="nil"/>
            </w:tcBorders>
            <w:shd w:val="clear" w:color="FFFFFF" w:fill="FFFFFF"/>
            <w:noWrap/>
            <w:vAlign w:val="bottom"/>
            <w:hideMark/>
          </w:tcPr>
          <w:p w14:paraId="286A3DC2" w14:textId="77777777" w:rsidR="00C32CBD" w:rsidRDefault="00C32CBD" w:rsidP="00320D09">
            <w:pPr>
              <w:rPr>
                <w:rFonts w:cs="Arial"/>
                <w:sz w:val="18"/>
                <w:szCs w:val="18"/>
              </w:rPr>
            </w:pPr>
            <w:bookmarkStart w:id="232" w:name="Note_PROTABLE1" w:colFirst="0" w:colLast="0"/>
            <w:r>
              <w:rPr>
                <w:rFonts w:cs="Arial"/>
                <w:sz w:val="18"/>
                <w:szCs w:val="18"/>
              </w:rPr>
              <w:t> </w:t>
            </w:r>
          </w:p>
        </w:tc>
        <w:tc>
          <w:tcPr>
            <w:tcW w:w="1249" w:type="dxa"/>
            <w:tcBorders>
              <w:top w:val="nil"/>
              <w:left w:val="nil"/>
              <w:bottom w:val="nil"/>
              <w:right w:val="nil"/>
            </w:tcBorders>
            <w:shd w:val="clear" w:color="FFFFFF" w:fill="FFFFFF"/>
            <w:vAlign w:val="bottom"/>
            <w:hideMark/>
          </w:tcPr>
          <w:p w14:paraId="0ED00343" w14:textId="77777777" w:rsidR="00C32CBD" w:rsidRDefault="00C32CBD" w:rsidP="00320D09">
            <w:pPr>
              <w:jc w:val="right"/>
              <w:rPr>
                <w:rFonts w:cs="Arial"/>
                <w:b/>
                <w:bCs/>
                <w:sz w:val="18"/>
                <w:szCs w:val="18"/>
              </w:rPr>
            </w:pPr>
            <w:r>
              <w:rPr>
                <w:rFonts w:cs="Arial"/>
                <w:b/>
                <w:bCs/>
                <w:sz w:val="18"/>
                <w:szCs w:val="18"/>
              </w:rPr>
              <w:t>2017</w:t>
            </w:r>
          </w:p>
        </w:tc>
        <w:tc>
          <w:tcPr>
            <w:tcW w:w="236" w:type="dxa"/>
            <w:tcBorders>
              <w:top w:val="nil"/>
              <w:left w:val="nil"/>
              <w:bottom w:val="nil"/>
              <w:right w:val="nil"/>
            </w:tcBorders>
            <w:shd w:val="clear" w:color="FFFFFF" w:fill="FFFFFF"/>
            <w:noWrap/>
            <w:vAlign w:val="bottom"/>
            <w:hideMark/>
          </w:tcPr>
          <w:p w14:paraId="5D19D544"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vAlign w:val="bottom"/>
            <w:hideMark/>
          </w:tcPr>
          <w:p w14:paraId="431766D2" w14:textId="77777777" w:rsidR="00C32CBD" w:rsidRDefault="00C32CBD" w:rsidP="00320D09">
            <w:pPr>
              <w:jc w:val="right"/>
              <w:rPr>
                <w:rFonts w:cs="Arial"/>
                <w:sz w:val="18"/>
                <w:szCs w:val="18"/>
              </w:rPr>
            </w:pPr>
            <w:r>
              <w:rPr>
                <w:rFonts w:cs="Arial"/>
                <w:sz w:val="18"/>
                <w:szCs w:val="18"/>
              </w:rPr>
              <w:t>2016</w:t>
            </w:r>
          </w:p>
        </w:tc>
      </w:tr>
      <w:bookmarkEnd w:id="232"/>
      <w:tr w:rsidR="00C32CBD" w14:paraId="2031CF92" w14:textId="77777777" w:rsidTr="00320D09">
        <w:trPr>
          <w:trHeight w:val="255"/>
        </w:trPr>
        <w:tc>
          <w:tcPr>
            <w:tcW w:w="6353" w:type="dxa"/>
            <w:tcBorders>
              <w:top w:val="nil"/>
              <w:left w:val="nil"/>
              <w:bottom w:val="nil"/>
              <w:right w:val="nil"/>
            </w:tcBorders>
            <w:shd w:val="clear" w:color="FFFFFF" w:fill="FFFFFF"/>
            <w:noWrap/>
            <w:vAlign w:val="bottom"/>
            <w:hideMark/>
          </w:tcPr>
          <w:p w14:paraId="1DFE8CE7"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vAlign w:val="bottom"/>
            <w:hideMark/>
          </w:tcPr>
          <w:p w14:paraId="497030B1" w14:textId="77777777" w:rsidR="00C32CBD" w:rsidRDefault="00C32CBD" w:rsidP="00320D09">
            <w:pPr>
              <w:jc w:val="right"/>
              <w:rPr>
                <w:rFonts w:cs="Arial"/>
                <w:b/>
                <w:bCs/>
                <w:sz w:val="18"/>
                <w:szCs w:val="18"/>
              </w:rPr>
            </w:pPr>
            <w:r>
              <w:rPr>
                <w:rFonts w:cs="Arial"/>
                <w:b/>
                <w:bCs/>
                <w:sz w:val="18"/>
                <w:szCs w:val="18"/>
              </w:rPr>
              <w:t>$'000</w:t>
            </w:r>
          </w:p>
        </w:tc>
        <w:tc>
          <w:tcPr>
            <w:tcW w:w="236" w:type="dxa"/>
            <w:tcBorders>
              <w:top w:val="nil"/>
              <w:left w:val="nil"/>
              <w:bottom w:val="nil"/>
              <w:right w:val="nil"/>
            </w:tcBorders>
            <w:shd w:val="clear" w:color="FFFFFF" w:fill="FFFFFF"/>
            <w:noWrap/>
            <w:vAlign w:val="bottom"/>
            <w:hideMark/>
          </w:tcPr>
          <w:p w14:paraId="7008C7AC"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vAlign w:val="bottom"/>
            <w:hideMark/>
          </w:tcPr>
          <w:p w14:paraId="1BE0F55E" w14:textId="77777777" w:rsidR="00C32CBD" w:rsidRDefault="00C32CBD" w:rsidP="00320D09">
            <w:pPr>
              <w:jc w:val="right"/>
              <w:rPr>
                <w:rFonts w:cs="Arial"/>
                <w:sz w:val="18"/>
                <w:szCs w:val="18"/>
              </w:rPr>
            </w:pPr>
            <w:r>
              <w:rPr>
                <w:rFonts w:cs="Arial"/>
                <w:sz w:val="18"/>
                <w:szCs w:val="18"/>
              </w:rPr>
              <w:t>$'000</w:t>
            </w:r>
          </w:p>
        </w:tc>
      </w:tr>
      <w:tr w:rsidR="00C32CBD" w14:paraId="3F5F4AF5" w14:textId="77777777" w:rsidTr="00320D09">
        <w:trPr>
          <w:trHeight w:val="255"/>
        </w:trPr>
        <w:tc>
          <w:tcPr>
            <w:tcW w:w="6353" w:type="dxa"/>
            <w:tcBorders>
              <w:top w:val="nil"/>
              <w:left w:val="nil"/>
              <w:bottom w:val="nil"/>
              <w:right w:val="nil"/>
            </w:tcBorders>
            <w:shd w:val="clear" w:color="FFFFFF" w:fill="FFFFFF"/>
            <w:noWrap/>
            <w:vAlign w:val="bottom"/>
            <w:hideMark/>
          </w:tcPr>
          <w:p w14:paraId="31F4E543" w14:textId="77777777" w:rsidR="00C32CBD" w:rsidRDefault="00C32CBD" w:rsidP="00320D09">
            <w:pPr>
              <w:rPr>
                <w:rFonts w:cs="Arial"/>
                <w:b/>
                <w:bCs/>
                <w:sz w:val="18"/>
                <w:szCs w:val="18"/>
                <w:u w:val="single"/>
              </w:rPr>
            </w:pPr>
            <w:r>
              <w:rPr>
                <w:rFonts w:cs="Arial"/>
                <w:b/>
                <w:bCs/>
                <w:sz w:val="18"/>
                <w:szCs w:val="18"/>
                <w:u w:val="single"/>
              </w:rPr>
              <w:t>Note 4.1A: Employee provisions</w:t>
            </w:r>
          </w:p>
        </w:tc>
        <w:tc>
          <w:tcPr>
            <w:tcW w:w="1249" w:type="dxa"/>
            <w:tcBorders>
              <w:top w:val="nil"/>
              <w:left w:val="nil"/>
              <w:bottom w:val="nil"/>
              <w:right w:val="nil"/>
            </w:tcBorders>
            <w:shd w:val="clear" w:color="FFFFFF" w:fill="FFFFFF"/>
            <w:noWrap/>
            <w:vAlign w:val="bottom"/>
            <w:hideMark/>
          </w:tcPr>
          <w:p w14:paraId="1B0C1149" w14:textId="77777777" w:rsidR="00C32CBD" w:rsidRDefault="00C32CBD" w:rsidP="00320D09">
            <w:pPr>
              <w:rPr>
                <w:rFonts w:cs="Arial"/>
                <w:b/>
                <w:bCs/>
                <w:sz w:val="18"/>
                <w:szCs w:val="18"/>
              </w:rPr>
            </w:pPr>
            <w:r>
              <w:rPr>
                <w:rFonts w:cs="Arial"/>
                <w:b/>
                <w:bCs/>
                <w:sz w:val="18"/>
                <w:szCs w:val="18"/>
              </w:rPr>
              <w:t> </w:t>
            </w:r>
          </w:p>
        </w:tc>
        <w:tc>
          <w:tcPr>
            <w:tcW w:w="236" w:type="dxa"/>
            <w:tcBorders>
              <w:top w:val="nil"/>
              <w:left w:val="nil"/>
              <w:bottom w:val="nil"/>
              <w:right w:val="nil"/>
            </w:tcBorders>
            <w:shd w:val="clear" w:color="FFFFFF" w:fill="FFFFFF"/>
            <w:noWrap/>
            <w:vAlign w:val="bottom"/>
            <w:hideMark/>
          </w:tcPr>
          <w:p w14:paraId="38FFDE1C"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4AF8A1AD" w14:textId="77777777" w:rsidR="00C32CBD" w:rsidRDefault="00C32CBD" w:rsidP="00320D09">
            <w:pPr>
              <w:rPr>
                <w:rFonts w:cs="Arial"/>
                <w:sz w:val="18"/>
                <w:szCs w:val="18"/>
              </w:rPr>
            </w:pPr>
            <w:r>
              <w:rPr>
                <w:rFonts w:cs="Arial"/>
                <w:sz w:val="18"/>
                <w:szCs w:val="18"/>
              </w:rPr>
              <w:t> </w:t>
            </w:r>
          </w:p>
        </w:tc>
      </w:tr>
      <w:tr w:rsidR="00C32CBD" w14:paraId="1EA238DF" w14:textId="77777777" w:rsidTr="00320D09">
        <w:trPr>
          <w:trHeight w:val="255"/>
        </w:trPr>
        <w:tc>
          <w:tcPr>
            <w:tcW w:w="6353" w:type="dxa"/>
            <w:tcBorders>
              <w:top w:val="nil"/>
              <w:left w:val="nil"/>
              <w:bottom w:val="nil"/>
              <w:right w:val="nil"/>
            </w:tcBorders>
            <w:shd w:val="clear" w:color="FFFFFF" w:fill="FFFFFF"/>
            <w:vAlign w:val="bottom"/>
            <w:hideMark/>
          </w:tcPr>
          <w:p w14:paraId="45CB5C11" w14:textId="77777777" w:rsidR="00C32CBD" w:rsidRDefault="00C32CBD" w:rsidP="00320D09">
            <w:pPr>
              <w:ind w:firstLineChars="100" w:firstLine="180"/>
              <w:rPr>
                <w:rFonts w:cs="Arial"/>
                <w:sz w:val="18"/>
                <w:szCs w:val="18"/>
              </w:rPr>
            </w:pPr>
            <w:r>
              <w:rPr>
                <w:rFonts w:cs="Arial"/>
                <w:sz w:val="18"/>
                <w:szCs w:val="18"/>
              </w:rPr>
              <w:t>Leave</w:t>
            </w:r>
          </w:p>
        </w:tc>
        <w:tc>
          <w:tcPr>
            <w:tcW w:w="1249" w:type="dxa"/>
            <w:tcBorders>
              <w:top w:val="nil"/>
              <w:left w:val="nil"/>
              <w:bottom w:val="nil"/>
              <w:right w:val="nil"/>
            </w:tcBorders>
            <w:shd w:val="clear" w:color="FFFFFF" w:fill="FFFFFF"/>
            <w:noWrap/>
            <w:vAlign w:val="bottom"/>
            <w:hideMark/>
          </w:tcPr>
          <w:p w14:paraId="2597C175" w14:textId="77777777" w:rsidR="00C32CBD" w:rsidRDefault="00C32CBD" w:rsidP="00320D09">
            <w:pPr>
              <w:jc w:val="right"/>
              <w:rPr>
                <w:rFonts w:cs="Arial"/>
                <w:b/>
                <w:bCs/>
                <w:sz w:val="18"/>
                <w:szCs w:val="18"/>
              </w:rPr>
            </w:pPr>
            <w:r>
              <w:rPr>
                <w:rFonts w:cs="Arial"/>
                <w:b/>
                <w:bCs/>
                <w:sz w:val="18"/>
                <w:szCs w:val="18"/>
              </w:rPr>
              <w:t>35,563</w:t>
            </w:r>
          </w:p>
        </w:tc>
        <w:tc>
          <w:tcPr>
            <w:tcW w:w="236" w:type="dxa"/>
            <w:tcBorders>
              <w:top w:val="nil"/>
              <w:left w:val="nil"/>
              <w:bottom w:val="nil"/>
              <w:right w:val="nil"/>
            </w:tcBorders>
            <w:shd w:val="clear" w:color="FFFFFF" w:fill="FFFFFF"/>
            <w:noWrap/>
            <w:vAlign w:val="bottom"/>
            <w:hideMark/>
          </w:tcPr>
          <w:p w14:paraId="49E571B5"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0247FC2F" w14:textId="77777777" w:rsidR="00C32CBD" w:rsidRDefault="00C32CBD" w:rsidP="00320D09">
            <w:pPr>
              <w:jc w:val="right"/>
              <w:rPr>
                <w:rFonts w:cs="Arial"/>
                <w:sz w:val="18"/>
                <w:szCs w:val="18"/>
              </w:rPr>
            </w:pPr>
            <w:r>
              <w:rPr>
                <w:rFonts w:cs="Arial"/>
                <w:sz w:val="18"/>
                <w:szCs w:val="18"/>
              </w:rPr>
              <w:t>24,160</w:t>
            </w:r>
          </w:p>
        </w:tc>
      </w:tr>
      <w:tr w:rsidR="00C32CBD" w14:paraId="1771E5BE" w14:textId="77777777" w:rsidTr="00320D09">
        <w:trPr>
          <w:trHeight w:val="255"/>
        </w:trPr>
        <w:tc>
          <w:tcPr>
            <w:tcW w:w="6353" w:type="dxa"/>
            <w:tcBorders>
              <w:top w:val="nil"/>
              <w:left w:val="nil"/>
              <w:bottom w:val="nil"/>
              <w:right w:val="nil"/>
            </w:tcBorders>
            <w:shd w:val="clear" w:color="FFFFFF" w:fill="FFFFFF"/>
            <w:vAlign w:val="bottom"/>
            <w:hideMark/>
          </w:tcPr>
          <w:p w14:paraId="506C736B" w14:textId="77777777" w:rsidR="00C32CBD" w:rsidRDefault="00C32CBD" w:rsidP="00320D09">
            <w:pPr>
              <w:rPr>
                <w:rFonts w:cs="Arial"/>
                <w:b/>
                <w:bCs/>
                <w:sz w:val="18"/>
                <w:szCs w:val="18"/>
              </w:rPr>
            </w:pPr>
            <w:r>
              <w:rPr>
                <w:rFonts w:cs="Arial"/>
                <w:b/>
                <w:bCs/>
                <w:sz w:val="18"/>
                <w:szCs w:val="18"/>
              </w:rPr>
              <w:t>Total employee provisions</w:t>
            </w:r>
          </w:p>
        </w:tc>
        <w:tc>
          <w:tcPr>
            <w:tcW w:w="1249" w:type="dxa"/>
            <w:tcBorders>
              <w:top w:val="single" w:sz="4" w:space="0" w:color="auto"/>
              <w:left w:val="nil"/>
              <w:bottom w:val="single" w:sz="4" w:space="0" w:color="auto"/>
              <w:right w:val="nil"/>
            </w:tcBorders>
            <w:shd w:val="clear" w:color="FFFFFF" w:fill="FFFFFF"/>
            <w:noWrap/>
            <w:vAlign w:val="bottom"/>
            <w:hideMark/>
          </w:tcPr>
          <w:p w14:paraId="6B94A763" w14:textId="77777777" w:rsidR="00C32CBD" w:rsidRDefault="00C32CBD" w:rsidP="00320D09">
            <w:pPr>
              <w:jc w:val="right"/>
              <w:rPr>
                <w:rFonts w:cs="Arial"/>
                <w:b/>
                <w:bCs/>
                <w:sz w:val="18"/>
                <w:szCs w:val="18"/>
              </w:rPr>
            </w:pPr>
            <w:r>
              <w:rPr>
                <w:rFonts w:cs="Arial"/>
                <w:b/>
                <w:bCs/>
                <w:sz w:val="18"/>
                <w:szCs w:val="18"/>
              </w:rPr>
              <w:t>35,563</w:t>
            </w:r>
          </w:p>
        </w:tc>
        <w:tc>
          <w:tcPr>
            <w:tcW w:w="236" w:type="dxa"/>
            <w:tcBorders>
              <w:top w:val="nil"/>
              <w:left w:val="nil"/>
              <w:bottom w:val="nil"/>
              <w:right w:val="nil"/>
            </w:tcBorders>
            <w:shd w:val="clear" w:color="FFFFFF" w:fill="FFFFFF"/>
            <w:noWrap/>
            <w:vAlign w:val="bottom"/>
            <w:hideMark/>
          </w:tcPr>
          <w:p w14:paraId="40E660CC" w14:textId="77777777" w:rsidR="00C32CBD" w:rsidRDefault="00C32CBD" w:rsidP="00320D09">
            <w:pPr>
              <w:rPr>
                <w:rFonts w:cs="Arial"/>
                <w:b/>
                <w:bCs/>
                <w:sz w:val="18"/>
                <w:szCs w:val="18"/>
              </w:rPr>
            </w:pPr>
            <w:r>
              <w:rPr>
                <w:rFonts w:cs="Arial"/>
                <w:b/>
                <w:bCs/>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611C583C" w14:textId="77777777" w:rsidR="00C32CBD" w:rsidRDefault="00C32CBD" w:rsidP="00320D09">
            <w:pPr>
              <w:jc w:val="right"/>
              <w:rPr>
                <w:rFonts w:cs="Arial"/>
                <w:sz w:val="18"/>
                <w:szCs w:val="18"/>
              </w:rPr>
            </w:pPr>
            <w:r>
              <w:rPr>
                <w:rFonts w:cs="Arial"/>
                <w:sz w:val="18"/>
                <w:szCs w:val="18"/>
              </w:rPr>
              <w:t>24,160</w:t>
            </w:r>
          </w:p>
        </w:tc>
      </w:tr>
      <w:tr w:rsidR="00C32CBD" w14:paraId="17D8DC2E" w14:textId="77777777" w:rsidTr="00320D09">
        <w:trPr>
          <w:trHeight w:val="255"/>
        </w:trPr>
        <w:tc>
          <w:tcPr>
            <w:tcW w:w="6353" w:type="dxa"/>
            <w:tcBorders>
              <w:top w:val="nil"/>
              <w:left w:val="nil"/>
              <w:bottom w:val="nil"/>
              <w:right w:val="nil"/>
            </w:tcBorders>
            <w:shd w:val="clear" w:color="FFFFFF" w:fill="FFFFFF"/>
            <w:noWrap/>
            <w:vAlign w:val="bottom"/>
            <w:hideMark/>
          </w:tcPr>
          <w:p w14:paraId="07876BBD" w14:textId="77777777" w:rsidR="00C32CBD" w:rsidRDefault="00C32CBD" w:rsidP="00320D09">
            <w:pPr>
              <w:rPr>
                <w:rFonts w:cs="Arial"/>
                <w:color w:val="FF0000"/>
                <w:sz w:val="18"/>
                <w:szCs w:val="18"/>
              </w:rPr>
            </w:pPr>
            <w:r>
              <w:rPr>
                <w:rFonts w:cs="Arial"/>
                <w:color w:val="FF0000"/>
                <w:sz w:val="18"/>
                <w:szCs w:val="18"/>
              </w:rPr>
              <w:t> </w:t>
            </w:r>
          </w:p>
        </w:tc>
        <w:tc>
          <w:tcPr>
            <w:tcW w:w="1249" w:type="dxa"/>
            <w:tcBorders>
              <w:top w:val="nil"/>
              <w:left w:val="nil"/>
              <w:bottom w:val="nil"/>
              <w:right w:val="nil"/>
            </w:tcBorders>
            <w:shd w:val="clear" w:color="FFFFFF" w:fill="FFFFFF"/>
            <w:noWrap/>
            <w:vAlign w:val="bottom"/>
            <w:hideMark/>
          </w:tcPr>
          <w:p w14:paraId="713CF099"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49E70D99"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400195B3" w14:textId="77777777" w:rsidR="00C32CBD" w:rsidRDefault="00C32CBD" w:rsidP="00320D09">
            <w:pPr>
              <w:rPr>
                <w:rFonts w:cs="Arial"/>
                <w:sz w:val="18"/>
                <w:szCs w:val="18"/>
              </w:rPr>
            </w:pPr>
            <w:r>
              <w:rPr>
                <w:rFonts w:cs="Arial"/>
                <w:sz w:val="18"/>
                <w:szCs w:val="18"/>
              </w:rPr>
              <w:t> </w:t>
            </w:r>
          </w:p>
        </w:tc>
      </w:tr>
      <w:tr w:rsidR="00C32CBD" w14:paraId="77717EA8" w14:textId="77777777" w:rsidTr="00320D09">
        <w:trPr>
          <w:trHeight w:val="255"/>
        </w:trPr>
        <w:tc>
          <w:tcPr>
            <w:tcW w:w="6353" w:type="dxa"/>
            <w:tcBorders>
              <w:top w:val="nil"/>
              <w:left w:val="nil"/>
              <w:bottom w:val="nil"/>
              <w:right w:val="nil"/>
            </w:tcBorders>
            <w:shd w:val="clear" w:color="FFFFFF" w:fill="FFFFFF"/>
            <w:vAlign w:val="bottom"/>
            <w:hideMark/>
          </w:tcPr>
          <w:p w14:paraId="7583969E" w14:textId="77777777" w:rsidR="00C32CBD" w:rsidRDefault="00C32CBD" w:rsidP="00320D09">
            <w:pPr>
              <w:rPr>
                <w:rFonts w:cs="Arial"/>
                <w:sz w:val="18"/>
                <w:szCs w:val="18"/>
              </w:rPr>
            </w:pPr>
            <w:r>
              <w:rPr>
                <w:rFonts w:cs="Arial"/>
                <w:sz w:val="18"/>
                <w:szCs w:val="18"/>
              </w:rPr>
              <w:t>Employee provisions expected to be settled</w:t>
            </w:r>
          </w:p>
        </w:tc>
        <w:tc>
          <w:tcPr>
            <w:tcW w:w="1249" w:type="dxa"/>
            <w:tcBorders>
              <w:top w:val="nil"/>
              <w:left w:val="nil"/>
              <w:bottom w:val="nil"/>
              <w:right w:val="nil"/>
            </w:tcBorders>
            <w:shd w:val="clear" w:color="FFFFFF" w:fill="FFFFFF"/>
            <w:noWrap/>
            <w:vAlign w:val="bottom"/>
            <w:hideMark/>
          </w:tcPr>
          <w:p w14:paraId="5436174B"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3A2887AA"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3FE9626B" w14:textId="77777777" w:rsidR="00C32CBD" w:rsidRDefault="00C32CBD" w:rsidP="00320D09">
            <w:pPr>
              <w:rPr>
                <w:rFonts w:cs="Arial"/>
                <w:sz w:val="18"/>
                <w:szCs w:val="18"/>
              </w:rPr>
            </w:pPr>
            <w:r>
              <w:rPr>
                <w:rFonts w:cs="Arial"/>
                <w:sz w:val="18"/>
                <w:szCs w:val="18"/>
              </w:rPr>
              <w:t> </w:t>
            </w:r>
          </w:p>
        </w:tc>
      </w:tr>
      <w:tr w:rsidR="00C32CBD" w14:paraId="1D18DD24" w14:textId="77777777" w:rsidTr="00320D09">
        <w:trPr>
          <w:trHeight w:val="255"/>
        </w:trPr>
        <w:tc>
          <w:tcPr>
            <w:tcW w:w="6353" w:type="dxa"/>
            <w:tcBorders>
              <w:top w:val="nil"/>
              <w:left w:val="nil"/>
              <w:bottom w:val="nil"/>
              <w:right w:val="nil"/>
            </w:tcBorders>
            <w:shd w:val="clear" w:color="FFFFFF" w:fill="FFFFFF"/>
            <w:noWrap/>
            <w:vAlign w:val="bottom"/>
            <w:hideMark/>
          </w:tcPr>
          <w:p w14:paraId="5814E06D" w14:textId="77777777" w:rsidR="00C32CBD" w:rsidRDefault="00C32CBD" w:rsidP="00320D09">
            <w:pPr>
              <w:ind w:firstLineChars="100" w:firstLine="180"/>
              <w:rPr>
                <w:rFonts w:cs="Arial"/>
                <w:sz w:val="18"/>
                <w:szCs w:val="18"/>
              </w:rPr>
            </w:pPr>
            <w:r>
              <w:rPr>
                <w:rFonts w:cs="Arial"/>
                <w:sz w:val="18"/>
                <w:szCs w:val="18"/>
              </w:rPr>
              <w:t>No more than 12 months</w:t>
            </w:r>
          </w:p>
        </w:tc>
        <w:tc>
          <w:tcPr>
            <w:tcW w:w="1249" w:type="dxa"/>
            <w:tcBorders>
              <w:top w:val="nil"/>
              <w:left w:val="nil"/>
              <w:bottom w:val="nil"/>
              <w:right w:val="nil"/>
            </w:tcBorders>
            <w:shd w:val="clear" w:color="FFFFFF" w:fill="FFFFFF"/>
            <w:noWrap/>
            <w:vAlign w:val="bottom"/>
            <w:hideMark/>
          </w:tcPr>
          <w:p w14:paraId="33F296EE" w14:textId="77777777" w:rsidR="00C32CBD" w:rsidRDefault="00C32CBD" w:rsidP="00320D09">
            <w:pPr>
              <w:jc w:val="right"/>
              <w:rPr>
                <w:rFonts w:cs="Arial"/>
                <w:b/>
                <w:bCs/>
                <w:sz w:val="18"/>
                <w:szCs w:val="18"/>
              </w:rPr>
            </w:pPr>
            <w:r>
              <w:rPr>
                <w:rFonts w:cs="Arial"/>
                <w:b/>
                <w:bCs/>
                <w:sz w:val="18"/>
                <w:szCs w:val="18"/>
              </w:rPr>
              <w:t>11,558</w:t>
            </w:r>
          </w:p>
        </w:tc>
        <w:tc>
          <w:tcPr>
            <w:tcW w:w="236" w:type="dxa"/>
            <w:tcBorders>
              <w:top w:val="nil"/>
              <w:left w:val="nil"/>
              <w:bottom w:val="nil"/>
              <w:right w:val="nil"/>
            </w:tcBorders>
            <w:shd w:val="clear" w:color="FFFFFF" w:fill="FFFFFF"/>
            <w:noWrap/>
            <w:vAlign w:val="bottom"/>
            <w:hideMark/>
          </w:tcPr>
          <w:p w14:paraId="7C95006C"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7B3E38E0" w14:textId="77777777" w:rsidR="00C32CBD" w:rsidRDefault="00C32CBD" w:rsidP="00320D09">
            <w:pPr>
              <w:jc w:val="right"/>
              <w:rPr>
                <w:rFonts w:cs="Arial"/>
                <w:sz w:val="18"/>
                <w:szCs w:val="18"/>
              </w:rPr>
            </w:pPr>
            <w:r>
              <w:rPr>
                <w:rFonts w:cs="Arial"/>
                <w:sz w:val="18"/>
                <w:szCs w:val="18"/>
              </w:rPr>
              <w:t>7,957</w:t>
            </w:r>
          </w:p>
        </w:tc>
      </w:tr>
      <w:tr w:rsidR="00C32CBD" w14:paraId="03DE57ED" w14:textId="77777777" w:rsidTr="00320D09">
        <w:trPr>
          <w:trHeight w:val="255"/>
        </w:trPr>
        <w:tc>
          <w:tcPr>
            <w:tcW w:w="6353" w:type="dxa"/>
            <w:tcBorders>
              <w:top w:val="nil"/>
              <w:left w:val="nil"/>
              <w:bottom w:val="nil"/>
              <w:right w:val="nil"/>
            </w:tcBorders>
            <w:shd w:val="clear" w:color="FFFFFF" w:fill="FFFFFF"/>
            <w:noWrap/>
            <w:vAlign w:val="bottom"/>
            <w:hideMark/>
          </w:tcPr>
          <w:p w14:paraId="5DE879FB" w14:textId="77777777" w:rsidR="00C32CBD" w:rsidRDefault="00C32CBD" w:rsidP="00320D09">
            <w:pPr>
              <w:ind w:firstLineChars="100" w:firstLine="180"/>
              <w:rPr>
                <w:rFonts w:cs="Arial"/>
                <w:sz w:val="18"/>
                <w:szCs w:val="18"/>
              </w:rPr>
            </w:pPr>
            <w:r>
              <w:rPr>
                <w:rFonts w:cs="Arial"/>
                <w:sz w:val="18"/>
                <w:szCs w:val="18"/>
              </w:rPr>
              <w:t>More than 12 months</w:t>
            </w:r>
          </w:p>
        </w:tc>
        <w:tc>
          <w:tcPr>
            <w:tcW w:w="1249" w:type="dxa"/>
            <w:tcBorders>
              <w:top w:val="nil"/>
              <w:left w:val="nil"/>
              <w:bottom w:val="nil"/>
              <w:right w:val="nil"/>
            </w:tcBorders>
            <w:shd w:val="clear" w:color="FFFFFF" w:fill="FFFFFF"/>
            <w:noWrap/>
            <w:vAlign w:val="bottom"/>
            <w:hideMark/>
          </w:tcPr>
          <w:p w14:paraId="3A9C6C19" w14:textId="77777777" w:rsidR="00C32CBD" w:rsidRDefault="00C32CBD" w:rsidP="00320D09">
            <w:pPr>
              <w:jc w:val="right"/>
              <w:rPr>
                <w:rFonts w:cs="Arial"/>
                <w:b/>
                <w:bCs/>
                <w:sz w:val="18"/>
                <w:szCs w:val="18"/>
              </w:rPr>
            </w:pPr>
            <w:r>
              <w:rPr>
                <w:rFonts w:cs="Arial"/>
                <w:b/>
                <w:bCs/>
                <w:sz w:val="18"/>
                <w:szCs w:val="18"/>
              </w:rPr>
              <w:t>24,005</w:t>
            </w:r>
          </w:p>
        </w:tc>
        <w:tc>
          <w:tcPr>
            <w:tcW w:w="236" w:type="dxa"/>
            <w:tcBorders>
              <w:top w:val="nil"/>
              <w:left w:val="nil"/>
              <w:bottom w:val="nil"/>
              <w:right w:val="nil"/>
            </w:tcBorders>
            <w:shd w:val="clear" w:color="FFFFFF" w:fill="FFFFFF"/>
            <w:noWrap/>
            <w:vAlign w:val="bottom"/>
            <w:hideMark/>
          </w:tcPr>
          <w:p w14:paraId="1DEBD3B9"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7B263579" w14:textId="77777777" w:rsidR="00C32CBD" w:rsidRDefault="00C32CBD" w:rsidP="00320D09">
            <w:pPr>
              <w:jc w:val="right"/>
              <w:rPr>
                <w:rFonts w:cs="Arial"/>
                <w:sz w:val="18"/>
                <w:szCs w:val="18"/>
              </w:rPr>
            </w:pPr>
            <w:r>
              <w:rPr>
                <w:rFonts w:cs="Arial"/>
                <w:sz w:val="18"/>
                <w:szCs w:val="18"/>
              </w:rPr>
              <w:t>16,203</w:t>
            </w:r>
          </w:p>
        </w:tc>
      </w:tr>
      <w:tr w:rsidR="00C32CBD" w14:paraId="2CA3815E" w14:textId="77777777" w:rsidTr="00320D09">
        <w:trPr>
          <w:trHeight w:val="255"/>
        </w:trPr>
        <w:tc>
          <w:tcPr>
            <w:tcW w:w="6353" w:type="dxa"/>
            <w:tcBorders>
              <w:top w:val="nil"/>
              <w:left w:val="nil"/>
              <w:bottom w:val="nil"/>
              <w:right w:val="nil"/>
            </w:tcBorders>
            <w:shd w:val="clear" w:color="FFFFFF" w:fill="FFFFFF"/>
            <w:vAlign w:val="bottom"/>
            <w:hideMark/>
          </w:tcPr>
          <w:p w14:paraId="03DFC10B" w14:textId="77777777" w:rsidR="00C32CBD" w:rsidRDefault="00C32CBD" w:rsidP="00320D09">
            <w:pPr>
              <w:rPr>
                <w:rFonts w:cs="Arial"/>
                <w:b/>
                <w:bCs/>
                <w:sz w:val="18"/>
                <w:szCs w:val="18"/>
              </w:rPr>
            </w:pPr>
            <w:r>
              <w:rPr>
                <w:rFonts w:cs="Arial"/>
                <w:b/>
                <w:bCs/>
                <w:sz w:val="18"/>
                <w:szCs w:val="18"/>
              </w:rPr>
              <w:t>Total employee provisions</w:t>
            </w:r>
          </w:p>
        </w:tc>
        <w:tc>
          <w:tcPr>
            <w:tcW w:w="1249" w:type="dxa"/>
            <w:tcBorders>
              <w:top w:val="single" w:sz="4" w:space="0" w:color="auto"/>
              <w:left w:val="nil"/>
              <w:bottom w:val="single" w:sz="4" w:space="0" w:color="auto"/>
              <w:right w:val="nil"/>
            </w:tcBorders>
            <w:shd w:val="clear" w:color="FFFFFF" w:fill="FFFFFF"/>
            <w:noWrap/>
            <w:vAlign w:val="bottom"/>
            <w:hideMark/>
          </w:tcPr>
          <w:p w14:paraId="39FD8156" w14:textId="77777777" w:rsidR="00C32CBD" w:rsidRDefault="00C32CBD" w:rsidP="00320D09">
            <w:pPr>
              <w:jc w:val="right"/>
              <w:rPr>
                <w:rFonts w:cs="Arial"/>
                <w:b/>
                <w:bCs/>
                <w:sz w:val="18"/>
                <w:szCs w:val="18"/>
              </w:rPr>
            </w:pPr>
            <w:r>
              <w:rPr>
                <w:rFonts w:cs="Arial"/>
                <w:b/>
                <w:bCs/>
                <w:sz w:val="18"/>
                <w:szCs w:val="18"/>
              </w:rPr>
              <w:t>35,563</w:t>
            </w:r>
          </w:p>
        </w:tc>
        <w:tc>
          <w:tcPr>
            <w:tcW w:w="236" w:type="dxa"/>
            <w:tcBorders>
              <w:top w:val="nil"/>
              <w:left w:val="nil"/>
              <w:bottom w:val="nil"/>
              <w:right w:val="nil"/>
            </w:tcBorders>
            <w:shd w:val="clear" w:color="FFFFFF" w:fill="FFFFFF"/>
            <w:noWrap/>
            <w:vAlign w:val="bottom"/>
            <w:hideMark/>
          </w:tcPr>
          <w:p w14:paraId="4D579EE0" w14:textId="77777777" w:rsidR="00C32CBD" w:rsidRDefault="00C32CBD" w:rsidP="00320D09">
            <w:pPr>
              <w:rPr>
                <w:rFonts w:cs="Arial"/>
                <w:b/>
                <w:bCs/>
                <w:sz w:val="18"/>
                <w:szCs w:val="18"/>
              </w:rPr>
            </w:pPr>
            <w:r>
              <w:rPr>
                <w:rFonts w:cs="Arial"/>
                <w:b/>
                <w:bCs/>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3576E106" w14:textId="77777777" w:rsidR="00C32CBD" w:rsidRDefault="00C32CBD" w:rsidP="00320D09">
            <w:pPr>
              <w:jc w:val="right"/>
              <w:rPr>
                <w:rFonts w:cs="Arial"/>
                <w:sz w:val="18"/>
                <w:szCs w:val="18"/>
              </w:rPr>
            </w:pPr>
            <w:r>
              <w:rPr>
                <w:rFonts w:cs="Arial"/>
                <w:sz w:val="18"/>
                <w:szCs w:val="18"/>
              </w:rPr>
              <w:t>24,160</w:t>
            </w:r>
          </w:p>
        </w:tc>
      </w:tr>
      <w:tr w:rsidR="00C32CBD" w14:paraId="661D4705" w14:textId="77777777" w:rsidTr="00320D09">
        <w:trPr>
          <w:trHeight w:val="255"/>
        </w:trPr>
        <w:tc>
          <w:tcPr>
            <w:tcW w:w="6353" w:type="dxa"/>
            <w:tcBorders>
              <w:top w:val="nil"/>
              <w:left w:val="nil"/>
              <w:bottom w:val="nil"/>
              <w:right w:val="nil"/>
            </w:tcBorders>
            <w:shd w:val="clear" w:color="FFFFFF" w:fill="FFFFFF"/>
            <w:vAlign w:val="bottom"/>
            <w:hideMark/>
          </w:tcPr>
          <w:p w14:paraId="17A6B2FD" w14:textId="77777777" w:rsidR="00C32CBD" w:rsidRDefault="00C32CBD" w:rsidP="00320D09">
            <w:pPr>
              <w:rPr>
                <w:rFonts w:cs="Arial"/>
                <w:b/>
                <w:bCs/>
                <w:sz w:val="18"/>
                <w:szCs w:val="18"/>
              </w:rPr>
            </w:pPr>
            <w:r>
              <w:rPr>
                <w:rFonts w:cs="Arial"/>
                <w:b/>
                <w:bCs/>
                <w:sz w:val="18"/>
                <w:szCs w:val="18"/>
              </w:rPr>
              <w:t> </w:t>
            </w:r>
          </w:p>
        </w:tc>
        <w:tc>
          <w:tcPr>
            <w:tcW w:w="1249" w:type="dxa"/>
            <w:tcBorders>
              <w:top w:val="nil"/>
              <w:left w:val="nil"/>
              <w:bottom w:val="nil"/>
              <w:right w:val="nil"/>
            </w:tcBorders>
            <w:shd w:val="clear" w:color="FFFFFF" w:fill="FFFFFF"/>
            <w:noWrap/>
            <w:vAlign w:val="bottom"/>
            <w:hideMark/>
          </w:tcPr>
          <w:p w14:paraId="712D6475" w14:textId="77777777" w:rsidR="00C32CBD" w:rsidRDefault="00C32CBD" w:rsidP="00320D09">
            <w:pPr>
              <w:jc w:val="right"/>
              <w:rPr>
                <w:rFonts w:cs="Arial"/>
                <w:b/>
                <w:bCs/>
                <w:sz w:val="18"/>
                <w:szCs w:val="18"/>
              </w:rPr>
            </w:pPr>
            <w:r>
              <w:rPr>
                <w:rFonts w:cs="Arial"/>
                <w:b/>
                <w:bCs/>
                <w:sz w:val="18"/>
                <w:szCs w:val="18"/>
              </w:rPr>
              <w:t> </w:t>
            </w:r>
          </w:p>
        </w:tc>
        <w:tc>
          <w:tcPr>
            <w:tcW w:w="236" w:type="dxa"/>
            <w:tcBorders>
              <w:top w:val="nil"/>
              <w:left w:val="nil"/>
              <w:bottom w:val="nil"/>
              <w:right w:val="nil"/>
            </w:tcBorders>
            <w:shd w:val="clear" w:color="FFFFFF" w:fill="FFFFFF"/>
            <w:noWrap/>
            <w:vAlign w:val="bottom"/>
            <w:hideMark/>
          </w:tcPr>
          <w:p w14:paraId="7573C075" w14:textId="77777777" w:rsidR="00C32CBD" w:rsidRDefault="00C32CBD" w:rsidP="00320D09">
            <w:pPr>
              <w:rPr>
                <w:rFonts w:cs="Arial"/>
                <w:b/>
                <w:bCs/>
                <w:sz w:val="18"/>
                <w:szCs w:val="18"/>
              </w:rPr>
            </w:pPr>
            <w:r>
              <w:rPr>
                <w:rFonts w:cs="Arial"/>
                <w:b/>
                <w:bCs/>
                <w:sz w:val="18"/>
                <w:szCs w:val="18"/>
              </w:rPr>
              <w:t> </w:t>
            </w:r>
          </w:p>
        </w:tc>
        <w:tc>
          <w:tcPr>
            <w:tcW w:w="1249" w:type="dxa"/>
            <w:tcBorders>
              <w:top w:val="nil"/>
              <w:left w:val="nil"/>
              <w:bottom w:val="nil"/>
              <w:right w:val="nil"/>
            </w:tcBorders>
            <w:shd w:val="clear" w:color="FFFFFF" w:fill="FFFFFF"/>
            <w:noWrap/>
            <w:vAlign w:val="bottom"/>
            <w:hideMark/>
          </w:tcPr>
          <w:p w14:paraId="74AB2E54" w14:textId="77777777" w:rsidR="00C32CBD" w:rsidRDefault="00C32CBD" w:rsidP="00320D09">
            <w:pPr>
              <w:jc w:val="right"/>
              <w:rPr>
                <w:rFonts w:cs="Arial"/>
                <w:sz w:val="18"/>
                <w:szCs w:val="18"/>
              </w:rPr>
            </w:pPr>
            <w:r>
              <w:rPr>
                <w:rFonts w:cs="Arial"/>
                <w:sz w:val="18"/>
                <w:szCs w:val="18"/>
              </w:rPr>
              <w:t> </w:t>
            </w:r>
          </w:p>
        </w:tc>
      </w:tr>
    </w:tbl>
    <w:p w14:paraId="0C3A8A6C" w14:textId="77777777" w:rsidR="00C32CBD" w:rsidRPr="00303D57" w:rsidRDefault="00C32CBD" w:rsidP="00C32CBD">
      <w:pPr>
        <w:pStyle w:val="PolicyheadingDept"/>
      </w:pPr>
      <w:bookmarkStart w:id="233" w:name="_Toc443469546"/>
      <w:bookmarkStart w:id="234" w:name="_Toc444065801"/>
      <w:bookmarkStart w:id="235" w:name="_Toc444079997"/>
      <w:r w:rsidRPr="00303D57">
        <w:t>Accounting Policy</w:t>
      </w:r>
    </w:p>
    <w:p w14:paraId="3CDD1186" w14:textId="77777777" w:rsidR="00C32CBD" w:rsidRPr="000E2388" w:rsidRDefault="00C32CBD" w:rsidP="00C32CBD">
      <w:pPr>
        <w:pStyle w:val="PolicytextDept"/>
      </w:pPr>
      <w:r w:rsidRPr="000E2388">
        <w:t>Liabilities for ‘short-term employee benefits’ (as defined in AASB 119 Employee Benefits) and termination benefits expected within twelve months of the end of the reporting period are measured at their nominal amounts. The nominal amount is calculated with regard to the rates expected to be paid on settlement of the liability.</w:t>
      </w:r>
      <w:r w:rsidRPr="000E2388">
        <w:tab/>
      </w:r>
    </w:p>
    <w:p w14:paraId="07F615AE" w14:textId="77777777" w:rsidR="00C32CBD" w:rsidRPr="000E2388" w:rsidRDefault="00C32CBD" w:rsidP="00C32CBD">
      <w:pPr>
        <w:pStyle w:val="PolicyheadingDept"/>
      </w:pPr>
      <w:r w:rsidRPr="000E2388">
        <w:t>Leave</w:t>
      </w:r>
    </w:p>
    <w:p w14:paraId="06AA5914" w14:textId="77777777" w:rsidR="00C32CBD" w:rsidRPr="000E2388" w:rsidRDefault="00C32CBD" w:rsidP="00C32CBD">
      <w:pPr>
        <w:pStyle w:val="PolicytextDept"/>
      </w:pPr>
      <w:r w:rsidRPr="000E2388">
        <w:t>The liability for employee benefits includes provision for annual leave and long service leave.  No provision has been made for sick leave as all sick leave is non-vesting and the average sick leave taken in future years by employees of the Agency is estimated to be less than the annual entitlement for sick leave.</w:t>
      </w:r>
      <w:r w:rsidRPr="000E2388">
        <w:tab/>
      </w:r>
    </w:p>
    <w:p w14:paraId="502815D4" w14:textId="77777777" w:rsidR="00C32CBD" w:rsidRPr="000E2388" w:rsidRDefault="00C32CBD" w:rsidP="00C32CBD">
      <w:pPr>
        <w:pStyle w:val="PolicytextDept"/>
      </w:pPr>
      <w:r w:rsidRPr="000E2388">
        <w:t>The leave liabilities are calculated on the basis of employees’ remuneration at the estimated salary rates that will be applied at the time the leave is taken, including the Agency’s employer superannuation contribution rates to the extent that the leave is likely to be taken during service rather than paid out on termination.</w:t>
      </w:r>
    </w:p>
    <w:p w14:paraId="2CDA3D62" w14:textId="77777777" w:rsidR="00C32CBD" w:rsidRPr="000E2388" w:rsidRDefault="00C32CBD" w:rsidP="00C32CBD">
      <w:pPr>
        <w:pStyle w:val="PolicytextDept"/>
      </w:pPr>
      <w:r w:rsidRPr="000E2388">
        <w:t>The liability for long service leave has been determined by reference to the work of an actuary as at 30 June 201</w:t>
      </w:r>
      <w:r>
        <w:t>7</w:t>
      </w:r>
      <w:r w:rsidRPr="000E2388">
        <w:t>. The estimate of the present value of the liability for long service leave takes into account attrition rates and pay increases through promotion and inflation.</w:t>
      </w:r>
      <w:r w:rsidRPr="000E2388">
        <w:tab/>
      </w:r>
    </w:p>
    <w:p w14:paraId="4B71AA7F" w14:textId="77777777" w:rsidR="00C32CBD" w:rsidRPr="000E2388" w:rsidRDefault="00C32CBD" w:rsidP="00C32CBD">
      <w:pPr>
        <w:pStyle w:val="PolicyheadingDept"/>
      </w:pPr>
      <w:r w:rsidRPr="000E2388">
        <w:t>Superannuation</w:t>
      </w:r>
    </w:p>
    <w:p w14:paraId="62A6B86E" w14:textId="77777777" w:rsidR="00C32CBD" w:rsidRPr="000E2388" w:rsidRDefault="00C32CBD" w:rsidP="00C32CBD">
      <w:pPr>
        <w:pStyle w:val="PolicytextDept"/>
      </w:pPr>
      <w:r w:rsidRPr="000E2388">
        <w:t>Agency’s staff are members of the Commonwealth Superannuation Scheme (CSS), the Public Sector Superannuation Scheme (PSS), the PSS accumulation plan (PSSap) or other superannuation funds held outside the Australian Government. The CSS and PSS are defined benefit schemes for the Australian Government.  The PSSap is a defined contribution scheme.</w:t>
      </w:r>
      <w:r w:rsidRPr="000E2388">
        <w:tab/>
      </w:r>
    </w:p>
    <w:p w14:paraId="30FE3C30" w14:textId="77777777" w:rsidR="00C32CBD" w:rsidRDefault="00C32CBD" w:rsidP="00C32CBD">
      <w:pPr>
        <w:pStyle w:val="PolicytextDept"/>
      </w:pPr>
      <w:r w:rsidRPr="000E2388">
        <w:t>The liability for defined benefits is recognised in the financial statements of the Australian Government and is settled by the Australian Government in due course. This liability is reported in the Department of Finance</w:t>
      </w:r>
      <w:r>
        <w:t>’s</w:t>
      </w:r>
      <w:r w:rsidRPr="000E2388">
        <w:t xml:space="preserve"> administered schedules and notes.</w:t>
      </w:r>
    </w:p>
    <w:p w14:paraId="2457CA51" w14:textId="77777777" w:rsidR="00C32CBD" w:rsidRPr="000E2388" w:rsidRDefault="00C32CBD" w:rsidP="00C32CBD">
      <w:pPr>
        <w:pStyle w:val="PolicytextDept"/>
      </w:pPr>
      <w:r w:rsidRPr="00D1232D">
        <w:t>The Agency makes employer contributions to employee superannuation schemes at rates determined by an actuary to be sufficient to meet the current cost to the Government of the superannuation entitlements of the Agency’s employees. The Agency accounts for these contributions as if they were contributions to defined contribution plans in accordance with AASB 119</w:t>
      </w:r>
      <w:r>
        <w:t>.</w:t>
      </w:r>
    </w:p>
    <w:p w14:paraId="56F946D6" w14:textId="77777777" w:rsidR="00C32CBD" w:rsidRPr="000E2388" w:rsidRDefault="00C32CBD" w:rsidP="00C32CBD">
      <w:pPr>
        <w:pStyle w:val="PolicytextDept"/>
      </w:pPr>
      <w:r w:rsidRPr="000E2388">
        <w:t xml:space="preserve">The liability for superannuation recognised as at the balance date represents outstanding superannuation contributions at the end of the period. </w:t>
      </w:r>
    </w:p>
    <w:p w14:paraId="341F6F89" w14:textId="77777777" w:rsidR="00C32CBD" w:rsidRDefault="00C32CBD" w:rsidP="00C32CBD">
      <w:pPr>
        <w:pStyle w:val="ContinuedNotesHeading-Level1"/>
      </w:pPr>
      <w:r>
        <w:br w:type="page"/>
      </w:r>
    </w:p>
    <w:p w14:paraId="3506B4E9" w14:textId="77777777" w:rsidR="00C32CBD" w:rsidRPr="007204D0" w:rsidRDefault="00C32CBD" w:rsidP="00C32CBD">
      <w:pPr>
        <w:pStyle w:val="SubHeading"/>
      </w:pPr>
      <w:bookmarkStart w:id="236" w:name="_Toc447030547"/>
      <w:bookmarkStart w:id="237" w:name="_Toc447030699"/>
      <w:bookmarkStart w:id="238" w:name="_Toc447030792"/>
      <w:bookmarkStart w:id="239" w:name="_Toc456865068"/>
      <w:bookmarkStart w:id="240" w:name="_Toc496611910"/>
      <w:r>
        <w:t>Key</w:t>
      </w:r>
      <w:r w:rsidRPr="007204D0">
        <w:t xml:space="preserve"> Management Personnel Remuneration</w:t>
      </w:r>
      <w:bookmarkEnd w:id="233"/>
      <w:bookmarkEnd w:id="234"/>
      <w:bookmarkEnd w:id="235"/>
      <w:bookmarkEnd w:id="236"/>
      <w:bookmarkEnd w:id="237"/>
      <w:bookmarkEnd w:id="238"/>
      <w:bookmarkEnd w:id="239"/>
      <w:bookmarkEnd w:id="240"/>
    </w:p>
    <w:tbl>
      <w:tblPr>
        <w:tblW w:w="8989" w:type="dxa"/>
        <w:tblInd w:w="80" w:type="dxa"/>
        <w:tblLayout w:type="fixed"/>
        <w:tblLook w:val="04A0" w:firstRow="1" w:lastRow="0" w:firstColumn="1" w:lastColumn="0" w:noHBand="0" w:noVBand="1"/>
      </w:tblPr>
      <w:tblGrid>
        <w:gridCol w:w="6283"/>
        <w:gridCol w:w="1235"/>
        <w:gridCol w:w="236"/>
        <w:gridCol w:w="1235"/>
      </w:tblGrid>
      <w:tr w:rsidR="00C32CBD" w14:paraId="60D4C50D" w14:textId="77777777" w:rsidTr="00320D09">
        <w:trPr>
          <w:trHeight w:val="276"/>
        </w:trPr>
        <w:tc>
          <w:tcPr>
            <w:tcW w:w="6286" w:type="dxa"/>
            <w:tcBorders>
              <w:top w:val="nil"/>
              <w:left w:val="nil"/>
              <w:bottom w:val="nil"/>
              <w:right w:val="nil"/>
            </w:tcBorders>
            <w:shd w:val="clear" w:color="FFFFFF" w:fill="FFFFFF"/>
            <w:noWrap/>
            <w:vAlign w:val="bottom"/>
            <w:hideMark/>
          </w:tcPr>
          <w:p w14:paraId="5D5715D3" w14:textId="77777777" w:rsidR="00C32CBD" w:rsidRDefault="00C32CBD" w:rsidP="00320D09">
            <w:pPr>
              <w:rPr>
                <w:rFonts w:cs="Arial"/>
                <w:b/>
                <w:bCs/>
                <w:sz w:val="18"/>
                <w:szCs w:val="18"/>
              </w:rPr>
            </w:pPr>
            <w:bookmarkStart w:id="241" w:name="Note_ERETABLE1" w:colFirst="0" w:colLast="0"/>
            <w:r>
              <w:rPr>
                <w:rFonts w:cs="Arial"/>
                <w:b/>
                <w:bCs/>
                <w:sz w:val="18"/>
                <w:szCs w:val="18"/>
              </w:rPr>
              <w:t> </w:t>
            </w:r>
          </w:p>
        </w:tc>
        <w:tc>
          <w:tcPr>
            <w:tcW w:w="1235" w:type="dxa"/>
            <w:tcBorders>
              <w:top w:val="nil"/>
              <w:left w:val="nil"/>
              <w:bottom w:val="nil"/>
              <w:right w:val="nil"/>
            </w:tcBorders>
            <w:shd w:val="clear" w:color="FFFFFF" w:fill="FFFFFF"/>
            <w:vAlign w:val="bottom"/>
            <w:hideMark/>
          </w:tcPr>
          <w:p w14:paraId="70ED2EEB" w14:textId="77777777" w:rsidR="00C32CBD" w:rsidRDefault="00C32CBD" w:rsidP="00320D09">
            <w:pPr>
              <w:jc w:val="right"/>
              <w:rPr>
                <w:rFonts w:cs="Arial"/>
                <w:b/>
                <w:bCs/>
                <w:sz w:val="18"/>
                <w:szCs w:val="18"/>
              </w:rPr>
            </w:pPr>
            <w:r>
              <w:rPr>
                <w:rFonts w:cs="Arial"/>
                <w:b/>
                <w:bCs/>
                <w:sz w:val="18"/>
                <w:szCs w:val="18"/>
              </w:rPr>
              <w:t>2017</w:t>
            </w:r>
          </w:p>
        </w:tc>
        <w:tc>
          <w:tcPr>
            <w:tcW w:w="233" w:type="dxa"/>
            <w:tcBorders>
              <w:top w:val="nil"/>
              <w:left w:val="nil"/>
              <w:bottom w:val="nil"/>
              <w:right w:val="nil"/>
            </w:tcBorders>
            <w:shd w:val="clear" w:color="FFFFFF" w:fill="FFFFFF"/>
            <w:noWrap/>
            <w:vAlign w:val="bottom"/>
            <w:hideMark/>
          </w:tcPr>
          <w:p w14:paraId="562DE375" w14:textId="77777777" w:rsidR="00C32CBD" w:rsidRDefault="00C32CBD" w:rsidP="00320D09">
            <w:pPr>
              <w:rPr>
                <w:rFonts w:cs="Arial"/>
                <w:sz w:val="18"/>
                <w:szCs w:val="18"/>
              </w:rPr>
            </w:pPr>
            <w:r>
              <w:rPr>
                <w:rFonts w:cs="Arial"/>
                <w:sz w:val="18"/>
                <w:szCs w:val="18"/>
              </w:rPr>
              <w:t> </w:t>
            </w:r>
          </w:p>
        </w:tc>
        <w:tc>
          <w:tcPr>
            <w:tcW w:w="1235" w:type="dxa"/>
            <w:tcBorders>
              <w:top w:val="nil"/>
              <w:left w:val="nil"/>
              <w:bottom w:val="nil"/>
              <w:right w:val="nil"/>
            </w:tcBorders>
            <w:shd w:val="clear" w:color="FFFFFF" w:fill="FFFFFF"/>
            <w:vAlign w:val="bottom"/>
            <w:hideMark/>
          </w:tcPr>
          <w:p w14:paraId="397BE389" w14:textId="77777777" w:rsidR="00C32CBD" w:rsidRDefault="00C32CBD" w:rsidP="00320D09">
            <w:pPr>
              <w:jc w:val="right"/>
              <w:rPr>
                <w:rFonts w:cs="Arial"/>
                <w:sz w:val="18"/>
                <w:szCs w:val="18"/>
              </w:rPr>
            </w:pPr>
            <w:r>
              <w:rPr>
                <w:rFonts w:cs="Arial"/>
                <w:sz w:val="18"/>
                <w:szCs w:val="18"/>
              </w:rPr>
              <w:t>2016</w:t>
            </w:r>
          </w:p>
        </w:tc>
      </w:tr>
      <w:bookmarkEnd w:id="241"/>
      <w:tr w:rsidR="00C32CBD" w14:paraId="5740D6FF" w14:textId="77777777" w:rsidTr="00320D09">
        <w:trPr>
          <w:trHeight w:val="276"/>
        </w:trPr>
        <w:tc>
          <w:tcPr>
            <w:tcW w:w="6286" w:type="dxa"/>
            <w:tcBorders>
              <w:top w:val="nil"/>
              <w:left w:val="nil"/>
              <w:bottom w:val="nil"/>
              <w:right w:val="nil"/>
            </w:tcBorders>
            <w:shd w:val="clear" w:color="FFFFFF" w:fill="FFFFFF"/>
            <w:noWrap/>
            <w:vAlign w:val="bottom"/>
            <w:hideMark/>
          </w:tcPr>
          <w:p w14:paraId="5D986C19" w14:textId="77777777" w:rsidR="00C32CBD" w:rsidRDefault="00C32CBD" w:rsidP="00320D09">
            <w:pPr>
              <w:rPr>
                <w:rFonts w:cs="Arial"/>
                <w:sz w:val="18"/>
                <w:szCs w:val="18"/>
              </w:rPr>
            </w:pPr>
            <w:r>
              <w:rPr>
                <w:rFonts w:cs="Arial"/>
                <w:sz w:val="18"/>
                <w:szCs w:val="18"/>
              </w:rPr>
              <w:t> </w:t>
            </w:r>
          </w:p>
        </w:tc>
        <w:tc>
          <w:tcPr>
            <w:tcW w:w="1235" w:type="dxa"/>
            <w:tcBorders>
              <w:top w:val="nil"/>
              <w:left w:val="nil"/>
              <w:bottom w:val="nil"/>
              <w:right w:val="nil"/>
            </w:tcBorders>
            <w:shd w:val="clear" w:color="FFFFFF" w:fill="FFFFFF"/>
            <w:vAlign w:val="bottom"/>
            <w:hideMark/>
          </w:tcPr>
          <w:p w14:paraId="3B77D5E5" w14:textId="77777777" w:rsidR="00C32CBD" w:rsidRDefault="00C32CBD" w:rsidP="00320D09">
            <w:pPr>
              <w:jc w:val="right"/>
              <w:rPr>
                <w:rFonts w:cs="Arial"/>
                <w:b/>
                <w:bCs/>
                <w:sz w:val="18"/>
                <w:szCs w:val="18"/>
              </w:rPr>
            </w:pPr>
            <w:r>
              <w:rPr>
                <w:rFonts w:cs="Arial"/>
                <w:b/>
                <w:bCs/>
                <w:sz w:val="18"/>
                <w:szCs w:val="18"/>
              </w:rPr>
              <w:t>$'000</w:t>
            </w:r>
          </w:p>
        </w:tc>
        <w:tc>
          <w:tcPr>
            <w:tcW w:w="233" w:type="dxa"/>
            <w:tcBorders>
              <w:top w:val="nil"/>
              <w:left w:val="nil"/>
              <w:bottom w:val="nil"/>
              <w:right w:val="nil"/>
            </w:tcBorders>
            <w:shd w:val="clear" w:color="FFFFFF" w:fill="FFFFFF"/>
            <w:noWrap/>
            <w:vAlign w:val="bottom"/>
            <w:hideMark/>
          </w:tcPr>
          <w:p w14:paraId="7F5591B9" w14:textId="77777777" w:rsidR="00C32CBD" w:rsidRDefault="00C32CBD" w:rsidP="00320D09">
            <w:pPr>
              <w:rPr>
                <w:rFonts w:cs="Arial"/>
                <w:sz w:val="18"/>
                <w:szCs w:val="18"/>
              </w:rPr>
            </w:pPr>
            <w:r>
              <w:rPr>
                <w:rFonts w:cs="Arial"/>
                <w:sz w:val="18"/>
                <w:szCs w:val="18"/>
              </w:rPr>
              <w:t> </w:t>
            </w:r>
          </w:p>
        </w:tc>
        <w:tc>
          <w:tcPr>
            <w:tcW w:w="1235" w:type="dxa"/>
            <w:tcBorders>
              <w:top w:val="nil"/>
              <w:left w:val="nil"/>
              <w:bottom w:val="nil"/>
              <w:right w:val="nil"/>
            </w:tcBorders>
            <w:shd w:val="clear" w:color="FFFFFF" w:fill="FFFFFF"/>
            <w:vAlign w:val="bottom"/>
            <w:hideMark/>
          </w:tcPr>
          <w:p w14:paraId="10C456C1" w14:textId="77777777" w:rsidR="00C32CBD" w:rsidRDefault="00C32CBD" w:rsidP="00320D09">
            <w:pPr>
              <w:jc w:val="right"/>
              <w:rPr>
                <w:rFonts w:cs="Arial"/>
                <w:sz w:val="18"/>
                <w:szCs w:val="18"/>
              </w:rPr>
            </w:pPr>
            <w:r>
              <w:rPr>
                <w:rFonts w:cs="Arial"/>
                <w:sz w:val="18"/>
                <w:szCs w:val="18"/>
              </w:rPr>
              <w:t>$'000</w:t>
            </w:r>
          </w:p>
        </w:tc>
      </w:tr>
      <w:tr w:rsidR="00C32CBD" w14:paraId="45E567EC" w14:textId="77777777" w:rsidTr="00320D09">
        <w:trPr>
          <w:trHeight w:val="276"/>
        </w:trPr>
        <w:tc>
          <w:tcPr>
            <w:tcW w:w="6286" w:type="dxa"/>
            <w:tcBorders>
              <w:top w:val="nil"/>
              <w:left w:val="nil"/>
              <w:bottom w:val="nil"/>
              <w:right w:val="nil"/>
            </w:tcBorders>
            <w:shd w:val="clear" w:color="FFFFFF" w:fill="FFFFFF"/>
            <w:vAlign w:val="bottom"/>
            <w:hideMark/>
          </w:tcPr>
          <w:p w14:paraId="6D84C6E8" w14:textId="77777777" w:rsidR="00C32CBD" w:rsidRDefault="00C32CBD" w:rsidP="00320D09">
            <w:pPr>
              <w:rPr>
                <w:rFonts w:cs="Arial"/>
                <w:b/>
                <w:bCs/>
                <w:sz w:val="18"/>
                <w:szCs w:val="18"/>
              </w:rPr>
            </w:pPr>
            <w:r>
              <w:rPr>
                <w:rFonts w:cs="Arial"/>
                <w:b/>
                <w:bCs/>
                <w:sz w:val="18"/>
                <w:szCs w:val="18"/>
              </w:rPr>
              <w:t>Short-term employee benefits</w:t>
            </w:r>
          </w:p>
        </w:tc>
        <w:tc>
          <w:tcPr>
            <w:tcW w:w="1235" w:type="dxa"/>
            <w:tcBorders>
              <w:top w:val="nil"/>
              <w:left w:val="nil"/>
              <w:bottom w:val="nil"/>
              <w:right w:val="nil"/>
            </w:tcBorders>
            <w:shd w:val="clear" w:color="FFFFFF" w:fill="FFFFFF"/>
            <w:noWrap/>
            <w:vAlign w:val="bottom"/>
            <w:hideMark/>
          </w:tcPr>
          <w:p w14:paraId="19CF9D0F" w14:textId="77777777" w:rsidR="00C32CBD" w:rsidRDefault="00C32CBD" w:rsidP="00320D09">
            <w:pPr>
              <w:rPr>
                <w:rFonts w:cs="Arial"/>
                <w:b/>
                <w:bCs/>
                <w:sz w:val="18"/>
                <w:szCs w:val="18"/>
              </w:rPr>
            </w:pPr>
            <w:r>
              <w:rPr>
                <w:rFonts w:cs="Arial"/>
                <w:b/>
                <w:bCs/>
                <w:sz w:val="18"/>
                <w:szCs w:val="18"/>
              </w:rPr>
              <w:t> </w:t>
            </w:r>
          </w:p>
        </w:tc>
        <w:tc>
          <w:tcPr>
            <w:tcW w:w="233" w:type="dxa"/>
            <w:tcBorders>
              <w:top w:val="nil"/>
              <w:left w:val="nil"/>
              <w:bottom w:val="nil"/>
              <w:right w:val="nil"/>
            </w:tcBorders>
            <w:shd w:val="clear" w:color="FFFFFF" w:fill="FFFFFF"/>
            <w:noWrap/>
            <w:vAlign w:val="bottom"/>
            <w:hideMark/>
          </w:tcPr>
          <w:p w14:paraId="4CC8F5C8" w14:textId="77777777" w:rsidR="00C32CBD" w:rsidRDefault="00C32CBD" w:rsidP="00320D09">
            <w:pPr>
              <w:rPr>
                <w:rFonts w:cs="Arial"/>
                <w:b/>
                <w:bCs/>
                <w:sz w:val="18"/>
                <w:szCs w:val="18"/>
              </w:rPr>
            </w:pPr>
            <w:r>
              <w:rPr>
                <w:rFonts w:cs="Arial"/>
                <w:b/>
                <w:bCs/>
                <w:sz w:val="18"/>
                <w:szCs w:val="18"/>
              </w:rPr>
              <w:t> </w:t>
            </w:r>
          </w:p>
        </w:tc>
        <w:tc>
          <w:tcPr>
            <w:tcW w:w="1235" w:type="dxa"/>
            <w:tcBorders>
              <w:top w:val="nil"/>
              <w:left w:val="nil"/>
              <w:bottom w:val="nil"/>
              <w:right w:val="nil"/>
            </w:tcBorders>
            <w:shd w:val="clear" w:color="FFFFFF" w:fill="FFFFFF"/>
            <w:noWrap/>
            <w:vAlign w:val="bottom"/>
            <w:hideMark/>
          </w:tcPr>
          <w:p w14:paraId="5489CF60" w14:textId="77777777" w:rsidR="00C32CBD" w:rsidRDefault="00C32CBD" w:rsidP="00320D09">
            <w:pPr>
              <w:rPr>
                <w:rFonts w:cs="Arial"/>
                <w:sz w:val="18"/>
                <w:szCs w:val="18"/>
              </w:rPr>
            </w:pPr>
            <w:r>
              <w:rPr>
                <w:rFonts w:cs="Arial"/>
                <w:sz w:val="18"/>
                <w:szCs w:val="18"/>
              </w:rPr>
              <w:t> </w:t>
            </w:r>
          </w:p>
        </w:tc>
      </w:tr>
      <w:tr w:rsidR="00C32CBD" w14:paraId="0CA59728" w14:textId="77777777" w:rsidTr="00320D09">
        <w:trPr>
          <w:trHeight w:val="276"/>
        </w:trPr>
        <w:tc>
          <w:tcPr>
            <w:tcW w:w="6286" w:type="dxa"/>
            <w:tcBorders>
              <w:top w:val="nil"/>
              <w:left w:val="nil"/>
              <w:bottom w:val="nil"/>
              <w:right w:val="nil"/>
            </w:tcBorders>
            <w:shd w:val="clear" w:color="FFFFFF" w:fill="FFFFFF"/>
            <w:noWrap/>
            <w:vAlign w:val="bottom"/>
            <w:hideMark/>
          </w:tcPr>
          <w:p w14:paraId="0CD09E9B" w14:textId="77777777" w:rsidR="00C32CBD" w:rsidRDefault="00C32CBD" w:rsidP="00320D09">
            <w:pPr>
              <w:ind w:firstLineChars="100" w:firstLine="180"/>
              <w:rPr>
                <w:rFonts w:cs="Arial"/>
                <w:sz w:val="18"/>
                <w:szCs w:val="18"/>
              </w:rPr>
            </w:pPr>
            <w:r>
              <w:rPr>
                <w:rFonts w:cs="Arial"/>
                <w:sz w:val="18"/>
                <w:szCs w:val="18"/>
              </w:rPr>
              <w:t>Salary</w:t>
            </w:r>
          </w:p>
        </w:tc>
        <w:tc>
          <w:tcPr>
            <w:tcW w:w="1235" w:type="dxa"/>
            <w:tcBorders>
              <w:top w:val="nil"/>
              <w:left w:val="nil"/>
              <w:bottom w:val="nil"/>
              <w:right w:val="nil"/>
            </w:tcBorders>
            <w:shd w:val="clear" w:color="FFFFFF" w:fill="FFFFFF"/>
            <w:noWrap/>
            <w:vAlign w:val="bottom"/>
            <w:hideMark/>
          </w:tcPr>
          <w:p w14:paraId="3A6159EE" w14:textId="77777777" w:rsidR="00C32CBD" w:rsidRDefault="00C32CBD" w:rsidP="00320D09">
            <w:pPr>
              <w:jc w:val="right"/>
              <w:rPr>
                <w:rFonts w:cs="Arial"/>
                <w:b/>
                <w:bCs/>
                <w:sz w:val="18"/>
                <w:szCs w:val="18"/>
              </w:rPr>
            </w:pPr>
            <w:r>
              <w:rPr>
                <w:rFonts w:cs="Arial"/>
                <w:b/>
                <w:bCs/>
                <w:sz w:val="18"/>
                <w:szCs w:val="18"/>
              </w:rPr>
              <w:t>6,118</w:t>
            </w:r>
          </w:p>
        </w:tc>
        <w:tc>
          <w:tcPr>
            <w:tcW w:w="233" w:type="dxa"/>
            <w:tcBorders>
              <w:top w:val="nil"/>
              <w:left w:val="nil"/>
              <w:bottom w:val="nil"/>
              <w:right w:val="nil"/>
            </w:tcBorders>
            <w:shd w:val="clear" w:color="FFFFFF" w:fill="FFFFFF"/>
            <w:noWrap/>
            <w:vAlign w:val="bottom"/>
            <w:hideMark/>
          </w:tcPr>
          <w:p w14:paraId="43C3CD16" w14:textId="77777777" w:rsidR="00C32CBD" w:rsidRDefault="00C32CBD" w:rsidP="00320D09">
            <w:pPr>
              <w:rPr>
                <w:rFonts w:cs="Arial"/>
                <w:b/>
                <w:bCs/>
                <w:color w:val="00B050"/>
                <w:sz w:val="18"/>
                <w:szCs w:val="18"/>
              </w:rPr>
            </w:pPr>
            <w:r>
              <w:rPr>
                <w:rFonts w:cs="Arial"/>
                <w:b/>
                <w:bCs/>
                <w:color w:val="00B050"/>
                <w:sz w:val="18"/>
                <w:szCs w:val="18"/>
              </w:rPr>
              <w:t> </w:t>
            </w:r>
          </w:p>
        </w:tc>
        <w:tc>
          <w:tcPr>
            <w:tcW w:w="1235" w:type="dxa"/>
            <w:tcBorders>
              <w:top w:val="nil"/>
              <w:left w:val="nil"/>
              <w:bottom w:val="nil"/>
              <w:right w:val="nil"/>
            </w:tcBorders>
            <w:shd w:val="clear" w:color="FFFFFF" w:fill="FFFFFF"/>
            <w:noWrap/>
            <w:vAlign w:val="bottom"/>
            <w:hideMark/>
          </w:tcPr>
          <w:p w14:paraId="499FA5B9" w14:textId="77777777" w:rsidR="00C32CBD" w:rsidRDefault="00C32CBD" w:rsidP="00320D09">
            <w:pPr>
              <w:jc w:val="right"/>
              <w:rPr>
                <w:rFonts w:cs="Arial"/>
                <w:sz w:val="18"/>
                <w:szCs w:val="18"/>
              </w:rPr>
            </w:pPr>
            <w:r>
              <w:rPr>
                <w:rFonts w:cs="Arial"/>
                <w:sz w:val="18"/>
                <w:szCs w:val="18"/>
              </w:rPr>
              <w:t>5,371</w:t>
            </w:r>
          </w:p>
        </w:tc>
      </w:tr>
      <w:tr w:rsidR="00C32CBD" w14:paraId="0994A943" w14:textId="77777777" w:rsidTr="00320D09">
        <w:trPr>
          <w:trHeight w:val="292"/>
        </w:trPr>
        <w:tc>
          <w:tcPr>
            <w:tcW w:w="6286" w:type="dxa"/>
            <w:tcBorders>
              <w:top w:val="nil"/>
              <w:left w:val="nil"/>
              <w:bottom w:val="nil"/>
              <w:right w:val="nil"/>
            </w:tcBorders>
            <w:shd w:val="clear" w:color="FFFFFF" w:fill="FFFFFF"/>
            <w:noWrap/>
            <w:vAlign w:val="bottom"/>
            <w:hideMark/>
          </w:tcPr>
          <w:p w14:paraId="47A4910E" w14:textId="77777777" w:rsidR="00C32CBD" w:rsidRDefault="00C32CBD" w:rsidP="00320D09">
            <w:pPr>
              <w:ind w:firstLineChars="100" w:firstLine="180"/>
              <w:rPr>
                <w:rFonts w:cs="Arial"/>
                <w:sz w:val="18"/>
                <w:szCs w:val="18"/>
              </w:rPr>
            </w:pPr>
            <w:r>
              <w:rPr>
                <w:rFonts w:cs="Arial"/>
                <w:sz w:val="18"/>
                <w:szCs w:val="18"/>
              </w:rPr>
              <w:t>Other allowances</w:t>
            </w:r>
            <w:r>
              <w:rPr>
                <w:rFonts w:cs="Arial"/>
                <w:sz w:val="18"/>
                <w:szCs w:val="18"/>
                <w:vertAlign w:val="superscript"/>
              </w:rPr>
              <w:t>1</w:t>
            </w:r>
          </w:p>
        </w:tc>
        <w:tc>
          <w:tcPr>
            <w:tcW w:w="1235" w:type="dxa"/>
            <w:tcBorders>
              <w:top w:val="nil"/>
              <w:left w:val="nil"/>
              <w:bottom w:val="nil"/>
              <w:right w:val="nil"/>
            </w:tcBorders>
            <w:shd w:val="clear" w:color="FFFFFF" w:fill="FFFFFF"/>
            <w:noWrap/>
            <w:vAlign w:val="bottom"/>
            <w:hideMark/>
          </w:tcPr>
          <w:p w14:paraId="0F5D906B" w14:textId="77777777" w:rsidR="00C32CBD" w:rsidRDefault="00C32CBD" w:rsidP="00320D09">
            <w:pPr>
              <w:jc w:val="right"/>
              <w:rPr>
                <w:rFonts w:cs="Arial"/>
                <w:b/>
                <w:bCs/>
                <w:sz w:val="18"/>
                <w:szCs w:val="18"/>
              </w:rPr>
            </w:pPr>
            <w:r>
              <w:rPr>
                <w:rFonts w:cs="Arial"/>
                <w:b/>
                <w:bCs/>
                <w:sz w:val="18"/>
                <w:szCs w:val="18"/>
              </w:rPr>
              <w:t>367</w:t>
            </w:r>
          </w:p>
        </w:tc>
        <w:tc>
          <w:tcPr>
            <w:tcW w:w="233" w:type="dxa"/>
            <w:tcBorders>
              <w:top w:val="nil"/>
              <w:left w:val="nil"/>
              <w:bottom w:val="nil"/>
              <w:right w:val="nil"/>
            </w:tcBorders>
            <w:shd w:val="clear" w:color="FFFFFF" w:fill="FFFFFF"/>
            <w:noWrap/>
            <w:vAlign w:val="bottom"/>
            <w:hideMark/>
          </w:tcPr>
          <w:p w14:paraId="137A138B" w14:textId="77777777" w:rsidR="00C32CBD" w:rsidRDefault="00C32CBD" w:rsidP="00320D09">
            <w:pPr>
              <w:rPr>
                <w:rFonts w:cs="Arial"/>
                <w:b/>
                <w:bCs/>
                <w:color w:val="00B050"/>
                <w:sz w:val="18"/>
                <w:szCs w:val="18"/>
              </w:rPr>
            </w:pPr>
            <w:r>
              <w:rPr>
                <w:rFonts w:cs="Arial"/>
                <w:b/>
                <w:bCs/>
                <w:color w:val="00B050"/>
                <w:sz w:val="18"/>
                <w:szCs w:val="18"/>
              </w:rPr>
              <w:t> </w:t>
            </w:r>
          </w:p>
        </w:tc>
        <w:tc>
          <w:tcPr>
            <w:tcW w:w="1235" w:type="dxa"/>
            <w:tcBorders>
              <w:top w:val="nil"/>
              <w:left w:val="nil"/>
              <w:bottom w:val="nil"/>
              <w:right w:val="nil"/>
            </w:tcBorders>
            <w:shd w:val="clear" w:color="FFFFFF" w:fill="FFFFFF"/>
            <w:noWrap/>
            <w:vAlign w:val="bottom"/>
            <w:hideMark/>
          </w:tcPr>
          <w:p w14:paraId="4D4C7797" w14:textId="77777777" w:rsidR="00C32CBD" w:rsidRDefault="00C32CBD" w:rsidP="00320D09">
            <w:pPr>
              <w:jc w:val="right"/>
              <w:rPr>
                <w:rFonts w:cs="Arial"/>
                <w:sz w:val="18"/>
                <w:szCs w:val="18"/>
              </w:rPr>
            </w:pPr>
            <w:r>
              <w:rPr>
                <w:rFonts w:cs="Arial"/>
                <w:sz w:val="18"/>
                <w:szCs w:val="18"/>
              </w:rPr>
              <w:t>662</w:t>
            </w:r>
          </w:p>
        </w:tc>
      </w:tr>
      <w:tr w:rsidR="00C32CBD" w14:paraId="30238053" w14:textId="77777777" w:rsidTr="00320D09">
        <w:trPr>
          <w:trHeight w:val="276"/>
        </w:trPr>
        <w:tc>
          <w:tcPr>
            <w:tcW w:w="6286" w:type="dxa"/>
            <w:tcBorders>
              <w:top w:val="nil"/>
              <w:left w:val="nil"/>
              <w:bottom w:val="nil"/>
              <w:right w:val="nil"/>
            </w:tcBorders>
            <w:shd w:val="clear" w:color="FFFFFF" w:fill="FFFFFF"/>
            <w:vAlign w:val="bottom"/>
            <w:hideMark/>
          </w:tcPr>
          <w:p w14:paraId="272E14CE" w14:textId="77777777" w:rsidR="00C32CBD" w:rsidRDefault="00C32CBD" w:rsidP="00320D09">
            <w:pPr>
              <w:rPr>
                <w:rFonts w:cs="Arial"/>
                <w:b/>
                <w:bCs/>
                <w:sz w:val="18"/>
                <w:szCs w:val="18"/>
              </w:rPr>
            </w:pPr>
            <w:r>
              <w:rPr>
                <w:rFonts w:cs="Arial"/>
                <w:b/>
                <w:bCs/>
                <w:sz w:val="18"/>
                <w:szCs w:val="18"/>
              </w:rPr>
              <w:t>Total short-term employee benefits</w:t>
            </w:r>
          </w:p>
        </w:tc>
        <w:tc>
          <w:tcPr>
            <w:tcW w:w="1235" w:type="dxa"/>
            <w:tcBorders>
              <w:top w:val="single" w:sz="4" w:space="0" w:color="auto"/>
              <w:left w:val="nil"/>
              <w:bottom w:val="single" w:sz="4" w:space="0" w:color="auto"/>
              <w:right w:val="nil"/>
            </w:tcBorders>
            <w:shd w:val="clear" w:color="FFFFFF" w:fill="FFFFFF"/>
            <w:noWrap/>
            <w:vAlign w:val="bottom"/>
            <w:hideMark/>
          </w:tcPr>
          <w:p w14:paraId="2DE0F5C8" w14:textId="77777777" w:rsidR="00C32CBD" w:rsidRDefault="00C32CBD" w:rsidP="00320D09">
            <w:pPr>
              <w:jc w:val="right"/>
              <w:rPr>
                <w:rFonts w:cs="Arial"/>
                <w:b/>
                <w:bCs/>
                <w:sz w:val="18"/>
                <w:szCs w:val="18"/>
              </w:rPr>
            </w:pPr>
            <w:r>
              <w:rPr>
                <w:rFonts w:cs="Arial"/>
                <w:b/>
                <w:bCs/>
                <w:sz w:val="18"/>
                <w:szCs w:val="18"/>
              </w:rPr>
              <w:t>6,485</w:t>
            </w:r>
          </w:p>
        </w:tc>
        <w:tc>
          <w:tcPr>
            <w:tcW w:w="233" w:type="dxa"/>
            <w:tcBorders>
              <w:top w:val="nil"/>
              <w:left w:val="nil"/>
              <w:bottom w:val="nil"/>
              <w:right w:val="nil"/>
            </w:tcBorders>
            <w:shd w:val="clear" w:color="FFFFFF" w:fill="FFFFFF"/>
            <w:noWrap/>
            <w:vAlign w:val="bottom"/>
            <w:hideMark/>
          </w:tcPr>
          <w:p w14:paraId="2A41D66B" w14:textId="77777777" w:rsidR="00C32CBD" w:rsidRDefault="00C32CBD" w:rsidP="00320D09">
            <w:pPr>
              <w:rPr>
                <w:rFonts w:cs="Arial"/>
                <w:b/>
                <w:bCs/>
                <w:sz w:val="18"/>
                <w:szCs w:val="18"/>
              </w:rPr>
            </w:pPr>
            <w:r>
              <w:rPr>
                <w:rFonts w:cs="Arial"/>
                <w:b/>
                <w:bCs/>
                <w:sz w:val="18"/>
                <w:szCs w:val="18"/>
              </w:rPr>
              <w:t> </w:t>
            </w:r>
          </w:p>
        </w:tc>
        <w:tc>
          <w:tcPr>
            <w:tcW w:w="1235" w:type="dxa"/>
            <w:tcBorders>
              <w:top w:val="single" w:sz="4" w:space="0" w:color="auto"/>
              <w:left w:val="nil"/>
              <w:bottom w:val="single" w:sz="4" w:space="0" w:color="auto"/>
              <w:right w:val="nil"/>
            </w:tcBorders>
            <w:shd w:val="clear" w:color="FFFFFF" w:fill="FFFFFF"/>
            <w:noWrap/>
            <w:vAlign w:val="bottom"/>
            <w:hideMark/>
          </w:tcPr>
          <w:p w14:paraId="3ACB9BC4" w14:textId="77777777" w:rsidR="00C32CBD" w:rsidRDefault="00C32CBD" w:rsidP="00320D09">
            <w:pPr>
              <w:jc w:val="right"/>
              <w:rPr>
                <w:rFonts w:cs="Arial"/>
                <w:sz w:val="18"/>
                <w:szCs w:val="18"/>
              </w:rPr>
            </w:pPr>
            <w:r>
              <w:rPr>
                <w:rFonts w:cs="Arial"/>
                <w:sz w:val="18"/>
                <w:szCs w:val="18"/>
              </w:rPr>
              <w:t>6,033</w:t>
            </w:r>
          </w:p>
        </w:tc>
      </w:tr>
      <w:tr w:rsidR="00C32CBD" w14:paraId="277E0FD4" w14:textId="77777777" w:rsidTr="00320D09">
        <w:trPr>
          <w:trHeight w:val="276"/>
        </w:trPr>
        <w:tc>
          <w:tcPr>
            <w:tcW w:w="6286" w:type="dxa"/>
            <w:tcBorders>
              <w:top w:val="nil"/>
              <w:left w:val="nil"/>
              <w:bottom w:val="nil"/>
              <w:right w:val="nil"/>
            </w:tcBorders>
            <w:shd w:val="clear" w:color="FFFFFF" w:fill="FFFFFF"/>
            <w:noWrap/>
            <w:vAlign w:val="bottom"/>
            <w:hideMark/>
          </w:tcPr>
          <w:p w14:paraId="5CFECCFD" w14:textId="77777777" w:rsidR="00C32CBD" w:rsidRDefault="00C32CBD" w:rsidP="00320D09">
            <w:pPr>
              <w:rPr>
                <w:rFonts w:cs="Arial"/>
                <w:sz w:val="18"/>
                <w:szCs w:val="18"/>
              </w:rPr>
            </w:pPr>
            <w:r>
              <w:rPr>
                <w:rFonts w:cs="Arial"/>
                <w:sz w:val="18"/>
                <w:szCs w:val="18"/>
              </w:rPr>
              <w:t> </w:t>
            </w:r>
          </w:p>
        </w:tc>
        <w:tc>
          <w:tcPr>
            <w:tcW w:w="1235" w:type="dxa"/>
            <w:tcBorders>
              <w:top w:val="nil"/>
              <w:left w:val="nil"/>
              <w:bottom w:val="nil"/>
              <w:right w:val="nil"/>
            </w:tcBorders>
            <w:shd w:val="clear" w:color="FFFFFF" w:fill="FFFFFF"/>
            <w:noWrap/>
            <w:vAlign w:val="bottom"/>
            <w:hideMark/>
          </w:tcPr>
          <w:p w14:paraId="360AE1C6" w14:textId="77777777" w:rsidR="00C32CBD" w:rsidRDefault="00C32CBD" w:rsidP="00320D09">
            <w:pPr>
              <w:rPr>
                <w:rFonts w:cs="Arial"/>
                <w:b/>
                <w:bCs/>
                <w:sz w:val="18"/>
                <w:szCs w:val="18"/>
              </w:rPr>
            </w:pPr>
            <w:r>
              <w:rPr>
                <w:rFonts w:cs="Arial"/>
                <w:b/>
                <w:bCs/>
                <w:sz w:val="18"/>
                <w:szCs w:val="18"/>
              </w:rPr>
              <w:t> </w:t>
            </w:r>
          </w:p>
        </w:tc>
        <w:tc>
          <w:tcPr>
            <w:tcW w:w="233" w:type="dxa"/>
            <w:tcBorders>
              <w:top w:val="nil"/>
              <w:left w:val="nil"/>
              <w:bottom w:val="nil"/>
              <w:right w:val="nil"/>
            </w:tcBorders>
            <w:shd w:val="clear" w:color="FFFFFF" w:fill="FFFFFF"/>
            <w:noWrap/>
            <w:vAlign w:val="bottom"/>
            <w:hideMark/>
          </w:tcPr>
          <w:p w14:paraId="5A8436EE" w14:textId="77777777" w:rsidR="00C32CBD" w:rsidRDefault="00C32CBD" w:rsidP="00320D09">
            <w:pPr>
              <w:rPr>
                <w:rFonts w:cs="Arial"/>
                <w:b/>
                <w:bCs/>
                <w:sz w:val="18"/>
                <w:szCs w:val="18"/>
              </w:rPr>
            </w:pPr>
            <w:r>
              <w:rPr>
                <w:rFonts w:cs="Arial"/>
                <w:b/>
                <w:bCs/>
                <w:sz w:val="18"/>
                <w:szCs w:val="18"/>
              </w:rPr>
              <w:t> </w:t>
            </w:r>
          </w:p>
        </w:tc>
        <w:tc>
          <w:tcPr>
            <w:tcW w:w="1235" w:type="dxa"/>
            <w:tcBorders>
              <w:top w:val="nil"/>
              <w:left w:val="nil"/>
              <w:bottom w:val="nil"/>
              <w:right w:val="nil"/>
            </w:tcBorders>
            <w:shd w:val="clear" w:color="FFFFFF" w:fill="FFFFFF"/>
            <w:noWrap/>
            <w:vAlign w:val="bottom"/>
            <w:hideMark/>
          </w:tcPr>
          <w:p w14:paraId="1D3C25AD" w14:textId="77777777" w:rsidR="00C32CBD" w:rsidRDefault="00C32CBD" w:rsidP="00320D09">
            <w:pPr>
              <w:rPr>
                <w:rFonts w:cs="Arial"/>
                <w:sz w:val="18"/>
                <w:szCs w:val="18"/>
              </w:rPr>
            </w:pPr>
            <w:r>
              <w:rPr>
                <w:rFonts w:cs="Arial"/>
                <w:sz w:val="18"/>
                <w:szCs w:val="18"/>
              </w:rPr>
              <w:t> </w:t>
            </w:r>
          </w:p>
        </w:tc>
      </w:tr>
      <w:tr w:rsidR="00C32CBD" w14:paraId="3337B8B8" w14:textId="77777777" w:rsidTr="00320D09">
        <w:trPr>
          <w:trHeight w:val="276"/>
        </w:trPr>
        <w:tc>
          <w:tcPr>
            <w:tcW w:w="6286" w:type="dxa"/>
            <w:tcBorders>
              <w:top w:val="nil"/>
              <w:left w:val="nil"/>
              <w:bottom w:val="nil"/>
              <w:right w:val="nil"/>
            </w:tcBorders>
            <w:shd w:val="clear" w:color="FFFFFF" w:fill="FFFFFF"/>
            <w:vAlign w:val="bottom"/>
            <w:hideMark/>
          </w:tcPr>
          <w:p w14:paraId="2A31F16A" w14:textId="77777777" w:rsidR="00C32CBD" w:rsidRDefault="00C32CBD" w:rsidP="00320D09">
            <w:pPr>
              <w:rPr>
                <w:rFonts w:cs="Arial"/>
                <w:b/>
                <w:bCs/>
                <w:sz w:val="18"/>
                <w:szCs w:val="18"/>
              </w:rPr>
            </w:pPr>
            <w:r>
              <w:rPr>
                <w:rFonts w:cs="Arial"/>
                <w:b/>
                <w:bCs/>
                <w:sz w:val="18"/>
                <w:szCs w:val="18"/>
              </w:rPr>
              <w:t>Post-employment benefits</w:t>
            </w:r>
          </w:p>
        </w:tc>
        <w:tc>
          <w:tcPr>
            <w:tcW w:w="1235" w:type="dxa"/>
            <w:tcBorders>
              <w:top w:val="nil"/>
              <w:left w:val="nil"/>
              <w:bottom w:val="nil"/>
              <w:right w:val="nil"/>
            </w:tcBorders>
            <w:shd w:val="clear" w:color="FFFFFF" w:fill="FFFFFF"/>
            <w:noWrap/>
            <w:vAlign w:val="bottom"/>
            <w:hideMark/>
          </w:tcPr>
          <w:p w14:paraId="5907283A" w14:textId="77777777" w:rsidR="00C32CBD" w:rsidRDefault="00C32CBD" w:rsidP="00320D09">
            <w:pPr>
              <w:rPr>
                <w:rFonts w:cs="Arial"/>
                <w:sz w:val="18"/>
                <w:szCs w:val="18"/>
              </w:rPr>
            </w:pPr>
            <w:r>
              <w:rPr>
                <w:rFonts w:cs="Arial"/>
                <w:sz w:val="18"/>
                <w:szCs w:val="18"/>
              </w:rPr>
              <w:t> </w:t>
            </w:r>
          </w:p>
        </w:tc>
        <w:tc>
          <w:tcPr>
            <w:tcW w:w="233" w:type="dxa"/>
            <w:tcBorders>
              <w:top w:val="nil"/>
              <w:left w:val="nil"/>
              <w:bottom w:val="nil"/>
              <w:right w:val="nil"/>
            </w:tcBorders>
            <w:shd w:val="clear" w:color="FFFFFF" w:fill="FFFFFF"/>
            <w:noWrap/>
            <w:vAlign w:val="bottom"/>
            <w:hideMark/>
          </w:tcPr>
          <w:p w14:paraId="029F262C" w14:textId="77777777" w:rsidR="00C32CBD" w:rsidRDefault="00C32CBD" w:rsidP="00320D09">
            <w:pPr>
              <w:rPr>
                <w:rFonts w:cs="Arial"/>
                <w:sz w:val="18"/>
                <w:szCs w:val="18"/>
              </w:rPr>
            </w:pPr>
            <w:r>
              <w:rPr>
                <w:rFonts w:cs="Arial"/>
                <w:sz w:val="18"/>
                <w:szCs w:val="18"/>
              </w:rPr>
              <w:t> </w:t>
            </w:r>
          </w:p>
        </w:tc>
        <w:tc>
          <w:tcPr>
            <w:tcW w:w="1235" w:type="dxa"/>
            <w:tcBorders>
              <w:top w:val="nil"/>
              <w:left w:val="nil"/>
              <w:bottom w:val="nil"/>
              <w:right w:val="nil"/>
            </w:tcBorders>
            <w:shd w:val="clear" w:color="FFFFFF" w:fill="FFFFFF"/>
            <w:noWrap/>
            <w:vAlign w:val="bottom"/>
            <w:hideMark/>
          </w:tcPr>
          <w:p w14:paraId="2E880515" w14:textId="77777777" w:rsidR="00C32CBD" w:rsidRDefault="00C32CBD" w:rsidP="00320D09">
            <w:pPr>
              <w:rPr>
                <w:rFonts w:cs="Arial"/>
                <w:sz w:val="18"/>
                <w:szCs w:val="18"/>
              </w:rPr>
            </w:pPr>
            <w:r>
              <w:rPr>
                <w:rFonts w:cs="Arial"/>
                <w:sz w:val="18"/>
                <w:szCs w:val="18"/>
              </w:rPr>
              <w:t> </w:t>
            </w:r>
          </w:p>
        </w:tc>
      </w:tr>
      <w:tr w:rsidR="00C32CBD" w14:paraId="2937EAEE" w14:textId="77777777" w:rsidTr="00320D09">
        <w:trPr>
          <w:trHeight w:val="276"/>
        </w:trPr>
        <w:tc>
          <w:tcPr>
            <w:tcW w:w="6286" w:type="dxa"/>
            <w:tcBorders>
              <w:top w:val="nil"/>
              <w:left w:val="nil"/>
              <w:bottom w:val="nil"/>
              <w:right w:val="nil"/>
            </w:tcBorders>
            <w:shd w:val="clear" w:color="FFFFFF" w:fill="FFFFFF"/>
            <w:noWrap/>
            <w:vAlign w:val="bottom"/>
            <w:hideMark/>
          </w:tcPr>
          <w:p w14:paraId="7BB63D43" w14:textId="77777777" w:rsidR="00C32CBD" w:rsidRDefault="00C32CBD" w:rsidP="00320D09">
            <w:pPr>
              <w:ind w:firstLineChars="100" w:firstLine="180"/>
              <w:rPr>
                <w:rFonts w:cs="Arial"/>
                <w:sz w:val="18"/>
                <w:szCs w:val="18"/>
              </w:rPr>
            </w:pPr>
            <w:r>
              <w:rPr>
                <w:rFonts w:cs="Arial"/>
                <w:sz w:val="18"/>
                <w:szCs w:val="18"/>
              </w:rPr>
              <w:t>Superannuation</w:t>
            </w:r>
          </w:p>
        </w:tc>
        <w:tc>
          <w:tcPr>
            <w:tcW w:w="1235" w:type="dxa"/>
            <w:tcBorders>
              <w:top w:val="nil"/>
              <w:left w:val="nil"/>
              <w:bottom w:val="nil"/>
              <w:right w:val="nil"/>
            </w:tcBorders>
            <w:shd w:val="clear" w:color="FFFFFF" w:fill="FFFFFF"/>
            <w:noWrap/>
            <w:vAlign w:val="bottom"/>
            <w:hideMark/>
          </w:tcPr>
          <w:p w14:paraId="19592C0D" w14:textId="77777777" w:rsidR="00C32CBD" w:rsidRDefault="00C32CBD" w:rsidP="00320D09">
            <w:pPr>
              <w:jc w:val="right"/>
              <w:rPr>
                <w:rFonts w:cs="Arial"/>
                <w:b/>
                <w:bCs/>
                <w:sz w:val="18"/>
                <w:szCs w:val="18"/>
              </w:rPr>
            </w:pPr>
            <w:r>
              <w:rPr>
                <w:rFonts w:cs="Arial"/>
                <w:b/>
                <w:bCs/>
                <w:sz w:val="18"/>
                <w:szCs w:val="18"/>
              </w:rPr>
              <w:t>699</w:t>
            </w:r>
          </w:p>
        </w:tc>
        <w:tc>
          <w:tcPr>
            <w:tcW w:w="233" w:type="dxa"/>
            <w:tcBorders>
              <w:top w:val="nil"/>
              <w:left w:val="nil"/>
              <w:bottom w:val="nil"/>
              <w:right w:val="nil"/>
            </w:tcBorders>
            <w:shd w:val="clear" w:color="FFFFFF" w:fill="FFFFFF"/>
            <w:noWrap/>
            <w:vAlign w:val="bottom"/>
            <w:hideMark/>
          </w:tcPr>
          <w:p w14:paraId="0CFBBA2E" w14:textId="77777777" w:rsidR="00C32CBD" w:rsidRDefault="00C32CBD" w:rsidP="00320D09">
            <w:pPr>
              <w:rPr>
                <w:rFonts w:cs="Arial"/>
                <w:b/>
                <w:bCs/>
                <w:sz w:val="18"/>
                <w:szCs w:val="18"/>
              </w:rPr>
            </w:pPr>
            <w:r>
              <w:rPr>
                <w:rFonts w:cs="Arial"/>
                <w:b/>
                <w:bCs/>
                <w:sz w:val="18"/>
                <w:szCs w:val="18"/>
              </w:rPr>
              <w:t> </w:t>
            </w:r>
          </w:p>
        </w:tc>
        <w:tc>
          <w:tcPr>
            <w:tcW w:w="1235" w:type="dxa"/>
            <w:tcBorders>
              <w:top w:val="nil"/>
              <w:left w:val="nil"/>
              <w:bottom w:val="nil"/>
              <w:right w:val="nil"/>
            </w:tcBorders>
            <w:shd w:val="clear" w:color="FFFFFF" w:fill="FFFFFF"/>
            <w:noWrap/>
            <w:vAlign w:val="bottom"/>
            <w:hideMark/>
          </w:tcPr>
          <w:p w14:paraId="302226D1" w14:textId="77777777" w:rsidR="00C32CBD" w:rsidRDefault="00C32CBD" w:rsidP="00320D09">
            <w:pPr>
              <w:jc w:val="right"/>
              <w:rPr>
                <w:rFonts w:cs="Arial"/>
                <w:sz w:val="18"/>
                <w:szCs w:val="18"/>
              </w:rPr>
            </w:pPr>
            <w:r>
              <w:rPr>
                <w:rFonts w:cs="Arial"/>
                <w:sz w:val="18"/>
                <w:szCs w:val="18"/>
              </w:rPr>
              <w:t>613</w:t>
            </w:r>
          </w:p>
        </w:tc>
      </w:tr>
      <w:tr w:rsidR="00C32CBD" w14:paraId="29BA5FFC" w14:textId="77777777" w:rsidTr="00320D09">
        <w:trPr>
          <w:trHeight w:val="276"/>
        </w:trPr>
        <w:tc>
          <w:tcPr>
            <w:tcW w:w="6286" w:type="dxa"/>
            <w:tcBorders>
              <w:top w:val="nil"/>
              <w:left w:val="nil"/>
              <w:bottom w:val="nil"/>
              <w:right w:val="nil"/>
            </w:tcBorders>
            <w:shd w:val="clear" w:color="FFFFFF" w:fill="FFFFFF"/>
            <w:vAlign w:val="bottom"/>
            <w:hideMark/>
          </w:tcPr>
          <w:p w14:paraId="613C7F7B" w14:textId="77777777" w:rsidR="00C32CBD" w:rsidRDefault="00C32CBD" w:rsidP="00320D09">
            <w:pPr>
              <w:rPr>
                <w:rFonts w:cs="Arial"/>
                <w:b/>
                <w:bCs/>
                <w:sz w:val="18"/>
                <w:szCs w:val="18"/>
              </w:rPr>
            </w:pPr>
            <w:r>
              <w:rPr>
                <w:rFonts w:cs="Arial"/>
                <w:b/>
                <w:bCs/>
                <w:sz w:val="18"/>
                <w:szCs w:val="18"/>
              </w:rPr>
              <w:t>Total post-employment benefits</w:t>
            </w:r>
          </w:p>
        </w:tc>
        <w:tc>
          <w:tcPr>
            <w:tcW w:w="1235" w:type="dxa"/>
            <w:tcBorders>
              <w:top w:val="single" w:sz="4" w:space="0" w:color="auto"/>
              <w:left w:val="nil"/>
              <w:bottom w:val="single" w:sz="4" w:space="0" w:color="auto"/>
              <w:right w:val="nil"/>
            </w:tcBorders>
            <w:shd w:val="clear" w:color="FFFFFF" w:fill="FFFFFF"/>
            <w:noWrap/>
            <w:vAlign w:val="bottom"/>
            <w:hideMark/>
          </w:tcPr>
          <w:p w14:paraId="68F37569" w14:textId="77777777" w:rsidR="00C32CBD" w:rsidRDefault="00C32CBD" w:rsidP="00320D09">
            <w:pPr>
              <w:jc w:val="right"/>
              <w:rPr>
                <w:rFonts w:cs="Arial"/>
                <w:b/>
                <w:bCs/>
                <w:sz w:val="18"/>
                <w:szCs w:val="18"/>
              </w:rPr>
            </w:pPr>
            <w:r>
              <w:rPr>
                <w:rFonts w:cs="Arial"/>
                <w:b/>
                <w:bCs/>
                <w:sz w:val="18"/>
                <w:szCs w:val="18"/>
              </w:rPr>
              <w:t>699</w:t>
            </w:r>
          </w:p>
        </w:tc>
        <w:tc>
          <w:tcPr>
            <w:tcW w:w="233" w:type="dxa"/>
            <w:tcBorders>
              <w:top w:val="nil"/>
              <w:left w:val="nil"/>
              <w:bottom w:val="nil"/>
              <w:right w:val="nil"/>
            </w:tcBorders>
            <w:shd w:val="clear" w:color="FFFFFF" w:fill="FFFFFF"/>
            <w:noWrap/>
            <w:vAlign w:val="bottom"/>
            <w:hideMark/>
          </w:tcPr>
          <w:p w14:paraId="5EEC3447" w14:textId="77777777" w:rsidR="00C32CBD" w:rsidRDefault="00C32CBD" w:rsidP="00320D09">
            <w:pPr>
              <w:rPr>
                <w:rFonts w:cs="Arial"/>
                <w:b/>
                <w:bCs/>
                <w:sz w:val="18"/>
                <w:szCs w:val="18"/>
              </w:rPr>
            </w:pPr>
            <w:r>
              <w:rPr>
                <w:rFonts w:cs="Arial"/>
                <w:b/>
                <w:bCs/>
                <w:sz w:val="18"/>
                <w:szCs w:val="18"/>
              </w:rPr>
              <w:t> </w:t>
            </w:r>
          </w:p>
        </w:tc>
        <w:tc>
          <w:tcPr>
            <w:tcW w:w="1235" w:type="dxa"/>
            <w:tcBorders>
              <w:top w:val="single" w:sz="4" w:space="0" w:color="auto"/>
              <w:left w:val="nil"/>
              <w:bottom w:val="single" w:sz="4" w:space="0" w:color="auto"/>
              <w:right w:val="nil"/>
            </w:tcBorders>
            <w:shd w:val="clear" w:color="FFFFFF" w:fill="FFFFFF"/>
            <w:noWrap/>
            <w:vAlign w:val="bottom"/>
            <w:hideMark/>
          </w:tcPr>
          <w:p w14:paraId="269E80A7" w14:textId="77777777" w:rsidR="00C32CBD" w:rsidRDefault="00C32CBD" w:rsidP="00320D09">
            <w:pPr>
              <w:jc w:val="right"/>
              <w:rPr>
                <w:rFonts w:cs="Arial"/>
                <w:sz w:val="18"/>
                <w:szCs w:val="18"/>
              </w:rPr>
            </w:pPr>
            <w:r>
              <w:rPr>
                <w:rFonts w:cs="Arial"/>
                <w:sz w:val="18"/>
                <w:szCs w:val="18"/>
              </w:rPr>
              <w:t>613</w:t>
            </w:r>
          </w:p>
        </w:tc>
      </w:tr>
      <w:tr w:rsidR="00C32CBD" w14:paraId="59E3C4CB" w14:textId="77777777" w:rsidTr="00320D09">
        <w:trPr>
          <w:trHeight w:val="276"/>
        </w:trPr>
        <w:tc>
          <w:tcPr>
            <w:tcW w:w="6286" w:type="dxa"/>
            <w:tcBorders>
              <w:top w:val="nil"/>
              <w:left w:val="nil"/>
              <w:bottom w:val="nil"/>
              <w:right w:val="nil"/>
            </w:tcBorders>
            <w:shd w:val="clear" w:color="FFFFFF" w:fill="FFFFFF"/>
            <w:noWrap/>
            <w:vAlign w:val="bottom"/>
            <w:hideMark/>
          </w:tcPr>
          <w:p w14:paraId="6E010DCD" w14:textId="77777777" w:rsidR="00C32CBD" w:rsidRDefault="00C32CBD" w:rsidP="00320D09">
            <w:pPr>
              <w:rPr>
                <w:rFonts w:cs="Arial"/>
                <w:sz w:val="18"/>
                <w:szCs w:val="18"/>
              </w:rPr>
            </w:pPr>
            <w:r>
              <w:rPr>
                <w:rFonts w:cs="Arial"/>
                <w:sz w:val="18"/>
                <w:szCs w:val="18"/>
              </w:rPr>
              <w:t> </w:t>
            </w:r>
          </w:p>
        </w:tc>
        <w:tc>
          <w:tcPr>
            <w:tcW w:w="1235" w:type="dxa"/>
            <w:tcBorders>
              <w:top w:val="nil"/>
              <w:left w:val="nil"/>
              <w:bottom w:val="nil"/>
              <w:right w:val="nil"/>
            </w:tcBorders>
            <w:shd w:val="clear" w:color="FFFFFF" w:fill="FFFFFF"/>
            <w:noWrap/>
            <w:vAlign w:val="bottom"/>
            <w:hideMark/>
          </w:tcPr>
          <w:p w14:paraId="397B67B6" w14:textId="77777777" w:rsidR="00C32CBD" w:rsidRDefault="00C32CBD" w:rsidP="00320D09">
            <w:pPr>
              <w:rPr>
                <w:rFonts w:cs="Arial"/>
                <w:b/>
                <w:bCs/>
                <w:sz w:val="18"/>
                <w:szCs w:val="18"/>
              </w:rPr>
            </w:pPr>
            <w:r>
              <w:rPr>
                <w:rFonts w:cs="Arial"/>
                <w:b/>
                <w:bCs/>
                <w:sz w:val="18"/>
                <w:szCs w:val="18"/>
              </w:rPr>
              <w:t> </w:t>
            </w:r>
          </w:p>
        </w:tc>
        <w:tc>
          <w:tcPr>
            <w:tcW w:w="233" w:type="dxa"/>
            <w:tcBorders>
              <w:top w:val="nil"/>
              <w:left w:val="nil"/>
              <w:bottom w:val="nil"/>
              <w:right w:val="nil"/>
            </w:tcBorders>
            <w:shd w:val="clear" w:color="FFFFFF" w:fill="FFFFFF"/>
            <w:noWrap/>
            <w:vAlign w:val="bottom"/>
            <w:hideMark/>
          </w:tcPr>
          <w:p w14:paraId="4E467CDF" w14:textId="77777777" w:rsidR="00C32CBD" w:rsidRDefault="00C32CBD" w:rsidP="00320D09">
            <w:pPr>
              <w:rPr>
                <w:rFonts w:cs="Arial"/>
                <w:b/>
                <w:bCs/>
                <w:sz w:val="18"/>
                <w:szCs w:val="18"/>
              </w:rPr>
            </w:pPr>
            <w:r>
              <w:rPr>
                <w:rFonts w:cs="Arial"/>
                <w:b/>
                <w:bCs/>
                <w:sz w:val="18"/>
                <w:szCs w:val="18"/>
              </w:rPr>
              <w:t> </w:t>
            </w:r>
          </w:p>
        </w:tc>
        <w:tc>
          <w:tcPr>
            <w:tcW w:w="1235" w:type="dxa"/>
            <w:tcBorders>
              <w:top w:val="nil"/>
              <w:left w:val="nil"/>
              <w:bottom w:val="nil"/>
              <w:right w:val="nil"/>
            </w:tcBorders>
            <w:shd w:val="clear" w:color="FFFFFF" w:fill="FFFFFF"/>
            <w:noWrap/>
            <w:vAlign w:val="bottom"/>
            <w:hideMark/>
          </w:tcPr>
          <w:p w14:paraId="013142FE" w14:textId="77777777" w:rsidR="00C32CBD" w:rsidRDefault="00C32CBD" w:rsidP="00320D09">
            <w:pPr>
              <w:rPr>
                <w:rFonts w:cs="Arial"/>
                <w:sz w:val="18"/>
                <w:szCs w:val="18"/>
              </w:rPr>
            </w:pPr>
            <w:r>
              <w:rPr>
                <w:rFonts w:cs="Arial"/>
                <w:sz w:val="18"/>
                <w:szCs w:val="18"/>
              </w:rPr>
              <w:t> </w:t>
            </w:r>
          </w:p>
        </w:tc>
      </w:tr>
      <w:tr w:rsidR="00C32CBD" w14:paraId="1B341FFC" w14:textId="77777777" w:rsidTr="00320D09">
        <w:trPr>
          <w:trHeight w:val="276"/>
        </w:trPr>
        <w:tc>
          <w:tcPr>
            <w:tcW w:w="6286" w:type="dxa"/>
            <w:tcBorders>
              <w:top w:val="nil"/>
              <w:left w:val="nil"/>
              <w:bottom w:val="nil"/>
              <w:right w:val="nil"/>
            </w:tcBorders>
            <w:shd w:val="clear" w:color="FFFFFF" w:fill="FFFFFF"/>
            <w:vAlign w:val="bottom"/>
            <w:hideMark/>
          </w:tcPr>
          <w:p w14:paraId="12017445" w14:textId="77777777" w:rsidR="00C32CBD" w:rsidRDefault="00C32CBD" w:rsidP="00320D09">
            <w:pPr>
              <w:rPr>
                <w:rFonts w:cs="Arial"/>
                <w:b/>
                <w:bCs/>
                <w:sz w:val="18"/>
                <w:szCs w:val="18"/>
              </w:rPr>
            </w:pPr>
            <w:r>
              <w:rPr>
                <w:rFonts w:cs="Arial"/>
                <w:b/>
                <w:bCs/>
                <w:sz w:val="18"/>
                <w:szCs w:val="18"/>
              </w:rPr>
              <w:t>Other long-term employee benefits</w:t>
            </w:r>
          </w:p>
        </w:tc>
        <w:tc>
          <w:tcPr>
            <w:tcW w:w="1235" w:type="dxa"/>
            <w:tcBorders>
              <w:top w:val="nil"/>
              <w:left w:val="nil"/>
              <w:bottom w:val="nil"/>
              <w:right w:val="nil"/>
            </w:tcBorders>
            <w:shd w:val="clear" w:color="FFFFFF" w:fill="FFFFFF"/>
            <w:noWrap/>
            <w:vAlign w:val="bottom"/>
            <w:hideMark/>
          </w:tcPr>
          <w:p w14:paraId="5CD635CF" w14:textId="77777777" w:rsidR="00C32CBD" w:rsidRDefault="00C32CBD" w:rsidP="00320D09">
            <w:pPr>
              <w:rPr>
                <w:rFonts w:cs="Arial"/>
                <w:b/>
                <w:bCs/>
                <w:sz w:val="18"/>
                <w:szCs w:val="18"/>
              </w:rPr>
            </w:pPr>
            <w:r>
              <w:rPr>
                <w:rFonts w:cs="Arial"/>
                <w:b/>
                <w:bCs/>
                <w:sz w:val="18"/>
                <w:szCs w:val="18"/>
              </w:rPr>
              <w:t> </w:t>
            </w:r>
          </w:p>
        </w:tc>
        <w:tc>
          <w:tcPr>
            <w:tcW w:w="233" w:type="dxa"/>
            <w:tcBorders>
              <w:top w:val="nil"/>
              <w:left w:val="nil"/>
              <w:bottom w:val="nil"/>
              <w:right w:val="nil"/>
            </w:tcBorders>
            <w:shd w:val="clear" w:color="FFFFFF" w:fill="FFFFFF"/>
            <w:noWrap/>
            <w:vAlign w:val="bottom"/>
            <w:hideMark/>
          </w:tcPr>
          <w:p w14:paraId="20DB2FA0" w14:textId="77777777" w:rsidR="00C32CBD" w:rsidRDefault="00C32CBD" w:rsidP="00320D09">
            <w:pPr>
              <w:rPr>
                <w:rFonts w:cs="Arial"/>
                <w:sz w:val="18"/>
                <w:szCs w:val="18"/>
              </w:rPr>
            </w:pPr>
            <w:r>
              <w:rPr>
                <w:rFonts w:cs="Arial"/>
                <w:sz w:val="18"/>
                <w:szCs w:val="18"/>
              </w:rPr>
              <w:t> </w:t>
            </w:r>
          </w:p>
        </w:tc>
        <w:tc>
          <w:tcPr>
            <w:tcW w:w="1235" w:type="dxa"/>
            <w:tcBorders>
              <w:top w:val="nil"/>
              <w:left w:val="nil"/>
              <w:bottom w:val="nil"/>
              <w:right w:val="nil"/>
            </w:tcBorders>
            <w:shd w:val="clear" w:color="FFFFFF" w:fill="FFFFFF"/>
            <w:noWrap/>
            <w:vAlign w:val="bottom"/>
            <w:hideMark/>
          </w:tcPr>
          <w:p w14:paraId="13BED668" w14:textId="77777777" w:rsidR="00C32CBD" w:rsidRDefault="00C32CBD" w:rsidP="00320D09">
            <w:pPr>
              <w:rPr>
                <w:rFonts w:cs="Arial"/>
                <w:sz w:val="18"/>
                <w:szCs w:val="18"/>
              </w:rPr>
            </w:pPr>
            <w:r>
              <w:rPr>
                <w:rFonts w:cs="Arial"/>
                <w:sz w:val="18"/>
                <w:szCs w:val="18"/>
              </w:rPr>
              <w:t> </w:t>
            </w:r>
          </w:p>
        </w:tc>
      </w:tr>
      <w:tr w:rsidR="00C32CBD" w14:paraId="468F23F9" w14:textId="77777777" w:rsidTr="00320D09">
        <w:trPr>
          <w:trHeight w:val="276"/>
        </w:trPr>
        <w:tc>
          <w:tcPr>
            <w:tcW w:w="6286" w:type="dxa"/>
            <w:tcBorders>
              <w:top w:val="nil"/>
              <w:left w:val="nil"/>
              <w:bottom w:val="nil"/>
              <w:right w:val="nil"/>
            </w:tcBorders>
            <w:shd w:val="clear" w:color="FFFFFF" w:fill="FFFFFF"/>
            <w:noWrap/>
            <w:vAlign w:val="bottom"/>
            <w:hideMark/>
          </w:tcPr>
          <w:p w14:paraId="39BBD5F9" w14:textId="77777777" w:rsidR="00C32CBD" w:rsidRDefault="00C32CBD" w:rsidP="00320D09">
            <w:pPr>
              <w:ind w:firstLineChars="100" w:firstLine="180"/>
              <w:rPr>
                <w:rFonts w:cs="Arial"/>
                <w:sz w:val="18"/>
                <w:szCs w:val="18"/>
              </w:rPr>
            </w:pPr>
            <w:r>
              <w:rPr>
                <w:rFonts w:cs="Arial"/>
                <w:sz w:val="18"/>
                <w:szCs w:val="18"/>
              </w:rPr>
              <w:t>Annual leave accrued</w:t>
            </w:r>
          </w:p>
        </w:tc>
        <w:tc>
          <w:tcPr>
            <w:tcW w:w="1235" w:type="dxa"/>
            <w:tcBorders>
              <w:top w:val="nil"/>
              <w:left w:val="nil"/>
              <w:bottom w:val="nil"/>
              <w:right w:val="nil"/>
            </w:tcBorders>
            <w:shd w:val="clear" w:color="FFFFFF" w:fill="FFFFFF"/>
            <w:noWrap/>
            <w:vAlign w:val="bottom"/>
            <w:hideMark/>
          </w:tcPr>
          <w:p w14:paraId="760C799C" w14:textId="77777777" w:rsidR="00C32CBD" w:rsidRDefault="00C32CBD" w:rsidP="00320D09">
            <w:pPr>
              <w:jc w:val="right"/>
              <w:rPr>
                <w:rFonts w:cs="Arial"/>
                <w:b/>
                <w:bCs/>
                <w:sz w:val="18"/>
                <w:szCs w:val="18"/>
              </w:rPr>
            </w:pPr>
            <w:r>
              <w:rPr>
                <w:rFonts w:cs="Arial"/>
                <w:b/>
                <w:bCs/>
                <w:sz w:val="18"/>
                <w:szCs w:val="18"/>
              </w:rPr>
              <w:t>518</w:t>
            </w:r>
          </w:p>
        </w:tc>
        <w:tc>
          <w:tcPr>
            <w:tcW w:w="233" w:type="dxa"/>
            <w:tcBorders>
              <w:top w:val="nil"/>
              <w:left w:val="nil"/>
              <w:bottom w:val="nil"/>
              <w:right w:val="nil"/>
            </w:tcBorders>
            <w:shd w:val="clear" w:color="FFFFFF" w:fill="FFFFFF"/>
            <w:noWrap/>
            <w:vAlign w:val="bottom"/>
            <w:hideMark/>
          </w:tcPr>
          <w:p w14:paraId="57A252CD" w14:textId="77777777" w:rsidR="00C32CBD" w:rsidRDefault="00C32CBD" w:rsidP="00320D09">
            <w:pPr>
              <w:rPr>
                <w:rFonts w:cs="Arial"/>
                <w:b/>
                <w:bCs/>
                <w:sz w:val="18"/>
                <w:szCs w:val="18"/>
              </w:rPr>
            </w:pPr>
            <w:r>
              <w:rPr>
                <w:rFonts w:cs="Arial"/>
                <w:b/>
                <w:bCs/>
                <w:sz w:val="18"/>
                <w:szCs w:val="18"/>
              </w:rPr>
              <w:t> </w:t>
            </w:r>
          </w:p>
        </w:tc>
        <w:tc>
          <w:tcPr>
            <w:tcW w:w="1235" w:type="dxa"/>
            <w:tcBorders>
              <w:top w:val="nil"/>
              <w:left w:val="nil"/>
              <w:bottom w:val="nil"/>
              <w:right w:val="nil"/>
            </w:tcBorders>
            <w:shd w:val="clear" w:color="FFFFFF" w:fill="FFFFFF"/>
            <w:noWrap/>
            <w:vAlign w:val="bottom"/>
            <w:hideMark/>
          </w:tcPr>
          <w:p w14:paraId="094F6981" w14:textId="77777777" w:rsidR="00C32CBD" w:rsidRDefault="00C32CBD" w:rsidP="00320D09">
            <w:pPr>
              <w:jc w:val="right"/>
              <w:rPr>
                <w:rFonts w:cs="Arial"/>
                <w:sz w:val="18"/>
                <w:szCs w:val="18"/>
              </w:rPr>
            </w:pPr>
            <w:r>
              <w:rPr>
                <w:rFonts w:cs="Arial"/>
                <w:sz w:val="18"/>
                <w:szCs w:val="18"/>
              </w:rPr>
              <w:t>302</w:t>
            </w:r>
          </w:p>
        </w:tc>
      </w:tr>
      <w:tr w:rsidR="00C32CBD" w14:paraId="6368273E" w14:textId="77777777" w:rsidTr="00320D09">
        <w:trPr>
          <w:trHeight w:val="276"/>
        </w:trPr>
        <w:tc>
          <w:tcPr>
            <w:tcW w:w="6286" w:type="dxa"/>
            <w:tcBorders>
              <w:top w:val="nil"/>
              <w:left w:val="nil"/>
              <w:bottom w:val="nil"/>
              <w:right w:val="nil"/>
            </w:tcBorders>
            <w:shd w:val="clear" w:color="FFFFFF" w:fill="FFFFFF"/>
            <w:noWrap/>
            <w:vAlign w:val="bottom"/>
            <w:hideMark/>
          </w:tcPr>
          <w:p w14:paraId="7C63E471" w14:textId="77777777" w:rsidR="00C32CBD" w:rsidRDefault="00C32CBD" w:rsidP="00320D09">
            <w:pPr>
              <w:ind w:firstLineChars="100" w:firstLine="180"/>
              <w:rPr>
                <w:rFonts w:cs="Arial"/>
                <w:sz w:val="18"/>
                <w:szCs w:val="18"/>
              </w:rPr>
            </w:pPr>
            <w:r>
              <w:rPr>
                <w:rFonts w:cs="Arial"/>
                <w:sz w:val="18"/>
                <w:szCs w:val="18"/>
              </w:rPr>
              <w:t>Long-service leave accrued</w:t>
            </w:r>
          </w:p>
        </w:tc>
        <w:tc>
          <w:tcPr>
            <w:tcW w:w="1235" w:type="dxa"/>
            <w:tcBorders>
              <w:top w:val="nil"/>
              <w:left w:val="nil"/>
              <w:bottom w:val="nil"/>
              <w:right w:val="nil"/>
            </w:tcBorders>
            <w:shd w:val="clear" w:color="FFFFFF" w:fill="FFFFFF"/>
            <w:noWrap/>
            <w:vAlign w:val="bottom"/>
            <w:hideMark/>
          </w:tcPr>
          <w:p w14:paraId="1F3FACDA" w14:textId="77777777" w:rsidR="00C32CBD" w:rsidRDefault="00C32CBD" w:rsidP="00320D09">
            <w:pPr>
              <w:jc w:val="right"/>
              <w:rPr>
                <w:rFonts w:cs="Arial"/>
                <w:b/>
                <w:bCs/>
                <w:sz w:val="18"/>
                <w:szCs w:val="18"/>
              </w:rPr>
            </w:pPr>
            <w:r>
              <w:rPr>
                <w:rFonts w:cs="Arial"/>
                <w:b/>
                <w:bCs/>
                <w:sz w:val="18"/>
                <w:szCs w:val="18"/>
              </w:rPr>
              <w:t>481</w:t>
            </w:r>
          </w:p>
        </w:tc>
        <w:tc>
          <w:tcPr>
            <w:tcW w:w="233" w:type="dxa"/>
            <w:tcBorders>
              <w:top w:val="nil"/>
              <w:left w:val="nil"/>
              <w:bottom w:val="nil"/>
              <w:right w:val="nil"/>
            </w:tcBorders>
            <w:shd w:val="clear" w:color="FFFFFF" w:fill="FFFFFF"/>
            <w:noWrap/>
            <w:vAlign w:val="bottom"/>
            <w:hideMark/>
          </w:tcPr>
          <w:p w14:paraId="68D6ECF4" w14:textId="77777777" w:rsidR="00C32CBD" w:rsidRDefault="00C32CBD" w:rsidP="00320D09">
            <w:pPr>
              <w:rPr>
                <w:rFonts w:cs="Arial"/>
                <w:b/>
                <w:bCs/>
                <w:sz w:val="18"/>
                <w:szCs w:val="18"/>
              </w:rPr>
            </w:pPr>
            <w:r>
              <w:rPr>
                <w:rFonts w:cs="Arial"/>
                <w:b/>
                <w:bCs/>
                <w:sz w:val="18"/>
                <w:szCs w:val="18"/>
              </w:rPr>
              <w:t> </w:t>
            </w:r>
          </w:p>
        </w:tc>
        <w:tc>
          <w:tcPr>
            <w:tcW w:w="1235" w:type="dxa"/>
            <w:tcBorders>
              <w:top w:val="nil"/>
              <w:left w:val="nil"/>
              <w:bottom w:val="nil"/>
              <w:right w:val="nil"/>
            </w:tcBorders>
            <w:shd w:val="clear" w:color="FFFFFF" w:fill="FFFFFF"/>
            <w:noWrap/>
            <w:vAlign w:val="bottom"/>
            <w:hideMark/>
          </w:tcPr>
          <w:p w14:paraId="184D2A9A" w14:textId="77777777" w:rsidR="00C32CBD" w:rsidRDefault="00C32CBD" w:rsidP="00320D09">
            <w:pPr>
              <w:jc w:val="right"/>
              <w:rPr>
                <w:rFonts w:cs="Arial"/>
                <w:sz w:val="18"/>
                <w:szCs w:val="18"/>
              </w:rPr>
            </w:pPr>
            <w:r>
              <w:rPr>
                <w:rFonts w:cs="Arial"/>
                <w:sz w:val="18"/>
                <w:szCs w:val="18"/>
              </w:rPr>
              <w:t>67</w:t>
            </w:r>
          </w:p>
        </w:tc>
      </w:tr>
      <w:tr w:rsidR="00C32CBD" w14:paraId="2DFC02C2" w14:textId="77777777" w:rsidTr="00320D09">
        <w:trPr>
          <w:trHeight w:val="276"/>
        </w:trPr>
        <w:tc>
          <w:tcPr>
            <w:tcW w:w="6286" w:type="dxa"/>
            <w:tcBorders>
              <w:top w:val="nil"/>
              <w:left w:val="nil"/>
              <w:bottom w:val="nil"/>
              <w:right w:val="nil"/>
            </w:tcBorders>
            <w:shd w:val="clear" w:color="FFFFFF" w:fill="FFFFFF"/>
            <w:vAlign w:val="bottom"/>
            <w:hideMark/>
          </w:tcPr>
          <w:p w14:paraId="2DB65270" w14:textId="77777777" w:rsidR="00C32CBD" w:rsidRDefault="00C32CBD" w:rsidP="00320D09">
            <w:pPr>
              <w:rPr>
                <w:rFonts w:cs="Arial"/>
                <w:b/>
                <w:bCs/>
                <w:sz w:val="18"/>
                <w:szCs w:val="18"/>
              </w:rPr>
            </w:pPr>
            <w:r>
              <w:rPr>
                <w:rFonts w:cs="Arial"/>
                <w:b/>
                <w:bCs/>
                <w:sz w:val="18"/>
                <w:szCs w:val="18"/>
              </w:rPr>
              <w:t>Total other long-term employee benefits</w:t>
            </w:r>
          </w:p>
        </w:tc>
        <w:tc>
          <w:tcPr>
            <w:tcW w:w="1235" w:type="dxa"/>
            <w:tcBorders>
              <w:top w:val="single" w:sz="4" w:space="0" w:color="auto"/>
              <w:left w:val="nil"/>
              <w:bottom w:val="single" w:sz="4" w:space="0" w:color="auto"/>
              <w:right w:val="nil"/>
            </w:tcBorders>
            <w:shd w:val="clear" w:color="FFFFFF" w:fill="FFFFFF"/>
            <w:noWrap/>
            <w:vAlign w:val="bottom"/>
            <w:hideMark/>
          </w:tcPr>
          <w:p w14:paraId="46854F28" w14:textId="77777777" w:rsidR="00C32CBD" w:rsidRDefault="00C32CBD" w:rsidP="00320D09">
            <w:pPr>
              <w:jc w:val="right"/>
              <w:rPr>
                <w:rFonts w:cs="Arial"/>
                <w:b/>
                <w:bCs/>
                <w:sz w:val="18"/>
                <w:szCs w:val="18"/>
              </w:rPr>
            </w:pPr>
            <w:r>
              <w:rPr>
                <w:rFonts w:cs="Arial"/>
                <w:b/>
                <w:bCs/>
                <w:sz w:val="18"/>
                <w:szCs w:val="18"/>
              </w:rPr>
              <w:t>999</w:t>
            </w:r>
          </w:p>
        </w:tc>
        <w:tc>
          <w:tcPr>
            <w:tcW w:w="233" w:type="dxa"/>
            <w:tcBorders>
              <w:top w:val="nil"/>
              <w:left w:val="nil"/>
              <w:bottom w:val="nil"/>
              <w:right w:val="nil"/>
            </w:tcBorders>
            <w:shd w:val="clear" w:color="FFFFFF" w:fill="FFFFFF"/>
            <w:noWrap/>
            <w:vAlign w:val="bottom"/>
            <w:hideMark/>
          </w:tcPr>
          <w:p w14:paraId="033A7B6A" w14:textId="77777777" w:rsidR="00C32CBD" w:rsidRDefault="00C32CBD" w:rsidP="00320D09">
            <w:pPr>
              <w:rPr>
                <w:rFonts w:cs="Arial"/>
                <w:b/>
                <w:bCs/>
                <w:sz w:val="18"/>
                <w:szCs w:val="18"/>
              </w:rPr>
            </w:pPr>
            <w:r>
              <w:rPr>
                <w:rFonts w:cs="Arial"/>
                <w:b/>
                <w:bCs/>
                <w:sz w:val="18"/>
                <w:szCs w:val="18"/>
              </w:rPr>
              <w:t> </w:t>
            </w:r>
          </w:p>
        </w:tc>
        <w:tc>
          <w:tcPr>
            <w:tcW w:w="1235" w:type="dxa"/>
            <w:tcBorders>
              <w:top w:val="single" w:sz="4" w:space="0" w:color="auto"/>
              <w:left w:val="nil"/>
              <w:bottom w:val="single" w:sz="4" w:space="0" w:color="auto"/>
              <w:right w:val="nil"/>
            </w:tcBorders>
            <w:shd w:val="clear" w:color="FFFFFF" w:fill="FFFFFF"/>
            <w:noWrap/>
            <w:vAlign w:val="bottom"/>
            <w:hideMark/>
          </w:tcPr>
          <w:p w14:paraId="759D48BA" w14:textId="77777777" w:rsidR="00C32CBD" w:rsidRDefault="00C32CBD" w:rsidP="00320D09">
            <w:pPr>
              <w:jc w:val="right"/>
              <w:rPr>
                <w:rFonts w:cs="Arial"/>
                <w:sz w:val="18"/>
                <w:szCs w:val="18"/>
              </w:rPr>
            </w:pPr>
            <w:r>
              <w:rPr>
                <w:rFonts w:cs="Arial"/>
                <w:sz w:val="18"/>
                <w:szCs w:val="18"/>
              </w:rPr>
              <w:t>369</w:t>
            </w:r>
          </w:p>
        </w:tc>
      </w:tr>
      <w:tr w:rsidR="00C32CBD" w14:paraId="1AB82A3B" w14:textId="77777777" w:rsidTr="00320D09">
        <w:trPr>
          <w:trHeight w:val="276"/>
        </w:trPr>
        <w:tc>
          <w:tcPr>
            <w:tcW w:w="6286" w:type="dxa"/>
            <w:tcBorders>
              <w:top w:val="nil"/>
              <w:left w:val="nil"/>
              <w:bottom w:val="nil"/>
              <w:right w:val="nil"/>
            </w:tcBorders>
            <w:shd w:val="clear" w:color="FFFFFF" w:fill="FFFFFF"/>
            <w:noWrap/>
            <w:vAlign w:val="bottom"/>
            <w:hideMark/>
          </w:tcPr>
          <w:p w14:paraId="38028858" w14:textId="77777777" w:rsidR="00C32CBD" w:rsidRDefault="00C32CBD" w:rsidP="00320D09">
            <w:pPr>
              <w:rPr>
                <w:rFonts w:cs="Arial"/>
                <w:sz w:val="18"/>
                <w:szCs w:val="18"/>
              </w:rPr>
            </w:pPr>
            <w:r>
              <w:rPr>
                <w:rFonts w:cs="Arial"/>
                <w:sz w:val="18"/>
                <w:szCs w:val="18"/>
              </w:rPr>
              <w:t> </w:t>
            </w:r>
          </w:p>
        </w:tc>
        <w:tc>
          <w:tcPr>
            <w:tcW w:w="1235" w:type="dxa"/>
            <w:tcBorders>
              <w:top w:val="nil"/>
              <w:left w:val="nil"/>
              <w:bottom w:val="nil"/>
              <w:right w:val="nil"/>
            </w:tcBorders>
            <w:shd w:val="clear" w:color="FFFFFF" w:fill="FFFFFF"/>
            <w:noWrap/>
            <w:vAlign w:val="bottom"/>
            <w:hideMark/>
          </w:tcPr>
          <w:p w14:paraId="543576D4" w14:textId="77777777" w:rsidR="00C32CBD" w:rsidRDefault="00C32CBD" w:rsidP="00320D09">
            <w:pPr>
              <w:rPr>
                <w:rFonts w:cs="Arial"/>
                <w:sz w:val="18"/>
                <w:szCs w:val="18"/>
              </w:rPr>
            </w:pPr>
            <w:r>
              <w:rPr>
                <w:rFonts w:cs="Arial"/>
                <w:sz w:val="18"/>
                <w:szCs w:val="18"/>
              </w:rPr>
              <w:t> </w:t>
            </w:r>
          </w:p>
        </w:tc>
        <w:tc>
          <w:tcPr>
            <w:tcW w:w="233" w:type="dxa"/>
            <w:tcBorders>
              <w:top w:val="nil"/>
              <w:left w:val="nil"/>
              <w:bottom w:val="nil"/>
              <w:right w:val="nil"/>
            </w:tcBorders>
            <w:shd w:val="clear" w:color="FFFFFF" w:fill="FFFFFF"/>
            <w:noWrap/>
            <w:vAlign w:val="bottom"/>
            <w:hideMark/>
          </w:tcPr>
          <w:p w14:paraId="221C7B35" w14:textId="77777777" w:rsidR="00C32CBD" w:rsidRDefault="00C32CBD" w:rsidP="00320D09">
            <w:pPr>
              <w:rPr>
                <w:rFonts w:cs="Arial"/>
                <w:sz w:val="18"/>
                <w:szCs w:val="18"/>
              </w:rPr>
            </w:pPr>
            <w:r>
              <w:rPr>
                <w:rFonts w:cs="Arial"/>
                <w:sz w:val="18"/>
                <w:szCs w:val="18"/>
              </w:rPr>
              <w:t> </w:t>
            </w:r>
          </w:p>
        </w:tc>
        <w:tc>
          <w:tcPr>
            <w:tcW w:w="1235" w:type="dxa"/>
            <w:tcBorders>
              <w:top w:val="nil"/>
              <w:left w:val="nil"/>
              <w:bottom w:val="nil"/>
              <w:right w:val="nil"/>
            </w:tcBorders>
            <w:shd w:val="clear" w:color="FFFFFF" w:fill="FFFFFF"/>
            <w:noWrap/>
            <w:vAlign w:val="bottom"/>
            <w:hideMark/>
          </w:tcPr>
          <w:p w14:paraId="39AF7214" w14:textId="77777777" w:rsidR="00C32CBD" w:rsidRDefault="00C32CBD" w:rsidP="00320D09">
            <w:pPr>
              <w:rPr>
                <w:rFonts w:cs="Arial"/>
                <w:sz w:val="18"/>
                <w:szCs w:val="18"/>
              </w:rPr>
            </w:pPr>
            <w:r>
              <w:rPr>
                <w:rFonts w:cs="Arial"/>
                <w:sz w:val="18"/>
                <w:szCs w:val="18"/>
              </w:rPr>
              <w:t> </w:t>
            </w:r>
          </w:p>
        </w:tc>
      </w:tr>
      <w:tr w:rsidR="00C32CBD" w14:paraId="7DF5240F" w14:textId="77777777" w:rsidTr="00320D09">
        <w:trPr>
          <w:trHeight w:val="276"/>
        </w:trPr>
        <w:tc>
          <w:tcPr>
            <w:tcW w:w="6286" w:type="dxa"/>
            <w:tcBorders>
              <w:top w:val="nil"/>
              <w:left w:val="nil"/>
              <w:bottom w:val="nil"/>
              <w:right w:val="nil"/>
            </w:tcBorders>
            <w:shd w:val="clear" w:color="FFFFFF" w:fill="FFFFFF"/>
            <w:vAlign w:val="bottom"/>
            <w:hideMark/>
          </w:tcPr>
          <w:p w14:paraId="2638DF6B" w14:textId="77777777" w:rsidR="00C32CBD" w:rsidRDefault="00C32CBD" w:rsidP="00320D09">
            <w:pPr>
              <w:rPr>
                <w:rFonts w:cs="Arial"/>
                <w:b/>
                <w:bCs/>
                <w:sz w:val="18"/>
                <w:szCs w:val="18"/>
              </w:rPr>
            </w:pPr>
            <w:r>
              <w:rPr>
                <w:rFonts w:cs="Arial"/>
                <w:b/>
                <w:bCs/>
                <w:sz w:val="18"/>
                <w:szCs w:val="18"/>
              </w:rPr>
              <w:t>Total</w:t>
            </w:r>
          </w:p>
        </w:tc>
        <w:tc>
          <w:tcPr>
            <w:tcW w:w="1235" w:type="dxa"/>
            <w:tcBorders>
              <w:top w:val="single" w:sz="4" w:space="0" w:color="auto"/>
              <w:left w:val="nil"/>
              <w:bottom w:val="single" w:sz="4" w:space="0" w:color="auto"/>
              <w:right w:val="nil"/>
            </w:tcBorders>
            <w:shd w:val="clear" w:color="FFFFFF" w:fill="FFFFFF"/>
            <w:noWrap/>
            <w:vAlign w:val="bottom"/>
            <w:hideMark/>
          </w:tcPr>
          <w:p w14:paraId="6EDFD85F" w14:textId="77777777" w:rsidR="00C32CBD" w:rsidRDefault="00C32CBD" w:rsidP="00320D09">
            <w:pPr>
              <w:jc w:val="right"/>
              <w:rPr>
                <w:rFonts w:cs="Arial"/>
                <w:b/>
                <w:bCs/>
                <w:sz w:val="18"/>
                <w:szCs w:val="18"/>
              </w:rPr>
            </w:pPr>
            <w:r>
              <w:rPr>
                <w:rFonts w:cs="Arial"/>
                <w:b/>
                <w:bCs/>
                <w:sz w:val="18"/>
                <w:szCs w:val="18"/>
              </w:rPr>
              <w:t>8,183</w:t>
            </w:r>
          </w:p>
        </w:tc>
        <w:tc>
          <w:tcPr>
            <w:tcW w:w="233" w:type="dxa"/>
            <w:tcBorders>
              <w:top w:val="nil"/>
              <w:left w:val="nil"/>
              <w:bottom w:val="nil"/>
              <w:right w:val="nil"/>
            </w:tcBorders>
            <w:shd w:val="clear" w:color="FFFFFF" w:fill="FFFFFF"/>
            <w:noWrap/>
            <w:vAlign w:val="bottom"/>
            <w:hideMark/>
          </w:tcPr>
          <w:p w14:paraId="1C7C9FD0" w14:textId="77777777" w:rsidR="00C32CBD" w:rsidRDefault="00C32CBD" w:rsidP="00320D09">
            <w:pPr>
              <w:rPr>
                <w:rFonts w:cs="Arial"/>
                <w:b/>
                <w:bCs/>
                <w:sz w:val="18"/>
                <w:szCs w:val="18"/>
              </w:rPr>
            </w:pPr>
            <w:r>
              <w:rPr>
                <w:rFonts w:cs="Arial"/>
                <w:b/>
                <w:bCs/>
                <w:sz w:val="18"/>
                <w:szCs w:val="18"/>
              </w:rPr>
              <w:t> </w:t>
            </w:r>
          </w:p>
        </w:tc>
        <w:tc>
          <w:tcPr>
            <w:tcW w:w="1235" w:type="dxa"/>
            <w:tcBorders>
              <w:top w:val="single" w:sz="4" w:space="0" w:color="auto"/>
              <w:left w:val="nil"/>
              <w:bottom w:val="single" w:sz="4" w:space="0" w:color="auto"/>
              <w:right w:val="nil"/>
            </w:tcBorders>
            <w:shd w:val="clear" w:color="FFFFFF" w:fill="FFFFFF"/>
            <w:noWrap/>
            <w:vAlign w:val="bottom"/>
            <w:hideMark/>
          </w:tcPr>
          <w:p w14:paraId="740BA63B" w14:textId="77777777" w:rsidR="00C32CBD" w:rsidRDefault="00C32CBD" w:rsidP="00320D09">
            <w:pPr>
              <w:jc w:val="right"/>
              <w:rPr>
                <w:rFonts w:cs="Arial"/>
                <w:sz w:val="18"/>
                <w:szCs w:val="18"/>
              </w:rPr>
            </w:pPr>
            <w:r>
              <w:rPr>
                <w:rFonts w:cs="Arial"/>
                <w:sz w:val="18"/>
                <w:szCs w:val="18"/>
              </w:rPr>
              <w:t>7,015</w:t>
            </w:r>
          </w:p>
        </w:tc>
      </w:tr>
    </w:tbl>
    <w:p w14:paraId="407552C1" w14:textId="77777777" w:rsidR="00C32CBD" w:rsidRPr="00630AF9" w:rsidRDefault="00C32CBD" w:rsidP="00C32CBD">
      <w:pPr>
        <w:rPr>
          <w:rFonts w:cs="Arial"/>
          <w:sz w:val="18"/>
          <w:szCs w:val="18"/>
        </w:rPr>
      </w:pPr>
    </w:p>
    <w:p w14:paraId="6FF480F7" w14:textId="77777777" w:rsidR="00C32CBD" w:rsidRPr="00630AF9" w:rsidRDefault="00C32CBD" w:rsidP="00C32CBD">
      <w:pPr>
        <w:rPr>
          <w:rFonts w:cs="Arial"/>
          <w:b/>
          <w:sz w:val="18"/>
          <w:szCs w:val="18"/>
        </w:rPr>
      </w:pPr>
      <w:bookmarkStart w:id="242" w:name="_Toc427244156"/>
      <w:r w:rsidRPr="00243170">
        <w:rPr>
          <w:rFonts w:cs="Arial"/>
          <w:sz w:val="18"/>
          <w:szCs w:val="18"/>
          <w:vertAlign w:val="superscript"/>
        </w:rPr>
        <w:t>1</w:t>
      </w:r>
      <w:r w:rsidRPr="00630AF9">
        <w:rPr>
          <w:rFonts w:cs="Arial"/>
          <w:sz w:val="18"/>
          <w:szCs w:val="18"/>
        </w:rPr>
        <w:t xml:space="preserve"> Other allowances include vehicle</w:t>
      </w:r>
      <w:r>
        <w:rPr>
          <w:rFonts w:cs="Arial"/>
          <w:sz w:val="18"/>
          <w:szCs w:val="18"/>
        </w:rPr>
        <w:t xml:space="preserve"> and relocation</w:t>
      </w:r>
      <w:r w:rsidRPr="00630AF9">
        <w:rPr>
          <w:rFonts w:cs="Arial"/>
          <w:sz w:val="18"/>
          <w:szCs w:val="18"/>
        </w:rPr>
        <w:t xml:space="preserve"> allowances.</w:t>
      </w:r>
      <w:bookmarkEnd w:id="242"/>
    </w:p>
    <w:p w14:paraId="12046F2E" w14:textId="77777777" w:rsidR="00C32CBD" w:rsidRDefault="00C32CBD" w:rsidP="00C32CBD">
      <w:pPr>
        <w:rPr>
          <w:rFonts w:cs="Arial"/>
          <w:sz w:val="18"/>
          <w:szCs w:val="18"/>
        </w:rPr>
      </w:pPr>
      <w:bookmarkStart w:id="243" w:name="_Toc424912686"/>
      <w:bookmarkStart w:id="244" w:name="_Toc427244157"/>
      <w:r>
        <w:rPr>
          <w:rFonts w:cs="Arial"/>
          <w:sz w:val="18"/>
          <w:szCs w:val="18"/>
        </w:rPr>
        <w:t>Note 4.2</w:t>
      </w:r>
      <w:r w:rsidRPr="00243170">
        <w:rPr>
          <w:rFonts w:cs="Arial"/>
          <w:sz w:val="18"/>
          <w:szCs w:val="18"/>
        </w:rPr>
        <w:t xml:space="preserve"> represents th</w:t>
      </w:r>
      <w:r>
        <w:rPr>
          <w:rFonts w:cs="Arial"/>
          <w:sz w:val="18"/>
          <w:szCs w:val="18"/>
        </w:rPr>
        <w:t>e Agency’s actual Board Members and</w:t>
      </w:r>
      <w:r w:rsidRPr="00243170">
        <w:rPr>
          <w:rFonts w:cs="Arial"/>
          <w:sz w:val="18"/>
          <w:szCs w:val="18"/>
        </w:rPr>
        <w:t xml:space="preserve"> senior executive remuneration expenses on an accrual basis. </w:t>
      </w:r>
      <w:bookmarkEnd w:id="243"/>
      <w:r w:rsidRPr="00243170">
        <w:rPr>
          <w:rFonts w:cs="Arial"/>
          <w:sz w:val="18"/>
          <w:szCs w:val="18"/>
        </w:rPr>
        <w:t>The total number of</w:t>
      </w:r>
      <w:r>
        <w:rPr>
          <w:rFonts w:cs="Arial"/>
          <w:sz w:val="18"/>
          <w:szCs w:val="18"/>
        </w:rPr>
        <w:t xml:space="preserve"> key</w:t>
      </w:r>
      <w:r w:rsidRPr="00243170">
        <w:rPr>
          <w:rFonts w:cs="Arial"/>
          <w:sz w:val="18"/>
          <w:szCs w:val="18"/>
        </w:rPr>
        <w:t xml:space="preserve"> management personnel that are included in the above table is </w:t>
      </w:r>
      <w:r>
        <w:rPr>
          <w:rFonts w:cs="Arial"/>
          <w:sz w:val="18"/>
          <w:szCs w:val="18"/>
        </w:rPr>
        <w:t xml:space="preserve">44 </w:t>
      </w:r>
      <w:r w:rsidRPr="00243170">
        <w:rPr>
          <w:rFonts w:cs="Arial"/>
          <w:sz w:val="18"/>
          <w:szCs w:val="18"/>
        </w:rPr>
        <w:t>(201</w:t>
      </w:r>
      <w:r>
        <w:rPr>
          <w:rFonts w:cs="Arial"/>
          <w:sz w:val="18"/>
          <w:szCs w:val="18"/>
        </w:rPr>
        <w:t>5-</w:t>
      </w:r>
      <w:r w:rsidRPr="00243170">
        <w:rPr>
          <w:rFonts w:cs="Arial"/>
          <w:sz w:val="18"/>
          <w:szCs w:val="18"/>
        </w:rPr>
        <w:t>1</w:t>
      </w:r>
      <w:r>
        <w:rPr>
          <w:rFonts w:cs="Arial"/>
          <w:sz w:val="18"/>
          <w:szCs w:val="18"/>
        </w:rPr>
        <w:t>6</w:t>
      </w:r>
      <w:r w:rsidRPr="00243170">
        <w:rPr>
          <w:rFonts w:cs="Arial"/>
          <w:sz w:val="18"/>
          <w:szCs w:val="18"/>
        </w:rPr>
        <w:t xml:space="preserve">: </w:t>
      </w:r>
      <w:r>
        <w:rPr>
          <w:rFonts w:cs="Arial"/>
          <w:sz w:val="18"/>
          <w:szCs w:val="18"/>
        </w:rPr>
        <w:t>31</w:t>
      </w:r>
      <w:r w:rsidRPr="00243170">
        <w:rPr>
          <w:rFonts w:cs="Arial"/>
          <w:sz w:val="18"/>
          <w:szCs w:val="18"/>
        </w:rPr>
        <w:t>).</w:t>
      </w:r>
      <w:bookmarkEnd w:id="244"/>
    </w:p>
    <w:p w14:paraId="4F29FD78" w14:textId="77777777" w:rsidR="00C32CBD" w:rsidRPr="00630AF9" w:rsidRDefault="00C32CBD" w:rsidP="00C32CBD">
      <w:pPr>
        <w:rPr>
          <w:rFonts w:cs="Arial"/>
          <w:b/>
          <w:sz w:val="18"/>
          <w:szCs w:val="18"/>
        </w:rPr>
      </w:pPr>
    </w:p>
    <w:p w14:paraId="18EDC28E" w14:textId="77777777" w:rsidR="00C32CBD" w:rsidRPr="007204D0" w:rsidRDefault="00C32CBD" w:rsidP="00C32CBD">
      <w:pPr>
        <w:pStyle w:val="SubHeading"/>
      </w:pPr>
      <w:bookmarkStart w:id="245" w:name="_Toc456865069"/>
      <w:bookmarkStart w:id="246" w:name="_Toc496611911"/>
      <w:r>
        <w:t>Related Party Disclosures</w:t>
      </w:r>
      <w:bookmarkEnd w:id="245"/>
      <w:bookmarkEnd w:id="246"/>
    </w:p>
    <w:p w14:paraId="744D92E1" w14:textId="77777777" w:rsidR="00C32CBD" w:rsidRDefault="00C32CBD" w:rsidP="00C32CBD">
      <w:pPr>
        <w:spacing w:line="40" w:lineRule="atLeast"/>
        <w:rPr>
          <w:b/>
          <w:sz w:val="18"/>
        </w:rPr>
      </w:pPr>
    </w:p>
    <w:p w14:paraId="5F08C503" w14:textId="77777777" w:rsidR="00C32CBD" w:rsidRPr="007372C7" w:rsidRDefault="00C32CBD" w:rsidP="00C32CBD">
      <w:pPr>
        <w:spacing w:line="40" w:lineRule="atLeast"/>
        <w:rPr>
          <w:b/>
          <w:sz w:val="18"/>
        </w:rPr>
      </w:pPr>
      <w:r w:rsidRPr="007372C7">
        <w:rPr>
          <w:b/>
          <w:sz w:val="18"/>
        </w:rPr>
        <w:t>Related party relationships:</w:t>
      </w:r>
    </w:p>
    <w:p w14:paraId="6E7AE6EB" w14:textId="77777777" w:rsidR="00C32CBD" w:rsidRDefault="00C32CBD" w:rsidP="00C32CBD">
      <w:pPr>
        <w:spacing w:line="40" w:lineRule="atLeast"/>
        <w:rPr>
          <w:sz w:val="18"/>
        </w:rPr>
      </w:pPr>
    </w:p>
    <w:p w14:paraId="7BF9B59C" w14:textId="77777777" w:rsidR="00C32CBD" w:rsidRPr="007372C7" w:rsidRDefault="00C32CBD" w:rsidP="00C32CBD">
      <w:pPr>
        <w:spacing w:line="40" w:lineRule="atLeast"/>
        <w:rPr>
          <w:sz w:val="18"/>
        </w:rPr>
      </w:pPr>
      <w:r w:rsidRPr="007372C7">
        <w:rPr>
          <w:sz w:val="18"/>
        </w:rPr>
        <w:t>The Agency is an Australian Government controlled entity and is governed by an independent Board of Directors. Related parties to the Agency are the Department of Social Services (DSS), Department of Human Services (DHS), the Board and Independent Members and key manageme</w:t>
      </w:r>
      <w:r>
        <w:rPr>
          <w:sz w:val="18"/>
        </w:rPr>
        <w:t xml:space="preserve">nt personnel which includes </w:t>
      </w:r>
      <w:r w:rsidRPr="007372C7">
        <w:rPr>
          <w:sz w:val="18"/>
        </w:rPr>
        <w:t>Senior Executive Service Band 2 personnel and above.</w:t>
      </w:r>
    </w:p>
    <w:p w14:paraId="35B925C5" w14:textId="77777777" w:rsidR="00C32CBD" w:rsidRDefault="00C32CBD" w:rsidP="00C32CBD">
      <w:pPr>
        <w:spacing w:line="40" w:lineRule="atLeast"/>
        <w:rPr>
          <w:sz w:val="18"/>
        </w:rPr>
      </w:pPr>
    </w:p>
    <w:p w14:paraId="1AEAD966" w14:textId="77777777" w:rsidR="00C32CBD" w:rsidRPr="007372C7" w:rsidRDefault="00C32CBD" w:rsidP="00C32CBD">
      <w:pPr>
        <w:spacing w:line="40" w:lineRule="atLeast"/>
        <w:rPr>
          <w:sz w:val="18"/>
        </w:rPr>
      </w:pPr>
      <w:r w:rsidRPr="007372C7">
        <w:rPr>
          <w:sz w:val="18"/>
        </w:rPr>
        <w:t>There were no loans to any key management personnel or related parties during the period (2015-16: Nil).</w:t>
      </w:r>
    </w:p>
    <w:p w14:paraId="3EA2E7EF" w14:textId="77777777" w:rsidR="00C32CBD" w:rsidRPr="007372C7" w:rsidRDefault="00C32CBD" w:rsidP="00C32CBD">
      <w:pPr>
        <w:spacing w:line="40" w:lineRule="atLeast"/>
        <w:rPr>
          <w:sz w:val="18"/>
          <w:highlight w:val="yellow"/>
        </w:rPr>
      </w:pPr>
    </w:p>
    <w:p w14:paraId="0AA8996A" w14:textId="77777777" w:rsidR="00C32CBD" w:rsidRPr="007372C7" w:rsidRDefault="00C32CBD" w:rsidP="00C32CBD">
      <w:pPr>
        <w:spacing w:line="40" w:lineRule="atLeast"/>
        <w:rPr>
          <w:b/>
          <w:sz w:val="18"/>
        </w:rPr>
      </w:pPr>
      <w:r w:rsidRPr="007372C7">
        <w:rPr>
          <w:b/>
          <w:sz w:val="18"/>
        </w:rPr>
        <w:t>Transactions with related parties:</w:t>
      </w:r>
    </w:p>
    <w:p w14:paraId="011225F8" w14:textId="77777777" w:rsidR="00C32CBD" w:rsidRDefault="00C32CBD" w:rsidP="00C32CBD">
      <w:pPr>
        <w:spacing w:line="40" w:lineRule="atLeast"/>
        <w:rPr>
          <w:sz w:val="18"/>
        </w:rPr>
      </w:pPr>
    </w:p>
    <w:p w14:paraId="30473FE3" w14:textId="77777777" w:rsidR="00C32CBD" w:rsidRPr="007372C7" w:rsidRDefault="00C32CBD" w:rsidP="00C32CBD">
      <w:pPr>
        <w:spacing w:line="40" w:lineRule="atLeast"/>
        <w:rPr>
          <w:sz w:val="18"/>
        </w:rPr>
      </w:pPr>
      <w:r w:rsidRPr="007372C7">
        <w:rPr>
          <w:sz w:val="18"/>
        </w:rPr>
        <w:t>Given the breadth of Government activities, related parties may transact with the government sector in the same capacity as ordinary citizens. These transactions have not been separately disclosed in this note. Where the Agency has had interactions with DSS and DHS, the financial impact of such interactions have been disclosed in sections 1 and 2 of the financial statements.</w:t>
      </w:r>
    </w:p>
    <w:p w14:paraId="386AA210" w14:textId="77777777" w:rsidR="00C32CBD" w:rsidRPr="007372C7" w:rsidRDefault="00C32CBD" w:rsidP="00C32CBD">
      <w:pPr>
        <w:spacing w:line="40" w:lineRule="atLeast"/>
        <w:rPr>
          <w:sz w:val="18"/>
        </w:rPr>
      </w:pPr>
    </w:p>
    <w:p w14:paraId="6DD80070" w14:textId="77777777" w:rsidR="00C32CBD" w:rsidRPr="007372C7" w:rsidRDefault="00C32CBD" w:rsidP="00C32CBD">
      <w:pPr>
        <w:spacing w:line="40" w:lineRule="atLeast"/>
        <w:rPr>
          <w:sz w:val="18"/>
          <w:highlight w:val="yellow"/>
        </w:rPr>
      </w:pPr>
      <w:r w:rsidRPr="007372C7">
        <w:rPr>
          <w:sz w:val="18"/>
        </w:rPr>
        <w:t>The following transactions with the key management personnel have occurred during the financial year:</w:t>
      </w:r>
    </w:p>
    <w:p w14:paraId="1295A8E6" w14:textId="77777777" w:rsidR="00C32CBD" w:rsidRPr="003975FB" w:rsidRDefault="00C32CBD" w:rsidP="00C32CBD">
      <w:pPr>
        <w:spacing w:line="40" w:lineRule="atLeast"/>
        <w:rPr>
          <w:sz w:val="18"/>
        </w:rPr>
      </w:pPr>
      <w:r w:rsidRPr="003975FB">
        <w:rPr>
          <w:sz w:val="18"/>
        </w:rPr>
        <w:t>Ms Sandra Birkensleigh, a member of the NDIA Board, is a Council member of the University of the Sunshine Coast (USC).  During the financial year the Agency engaged the USC for consultancy, review and co-design services valued at $174,818.</w:t>
      </w:r>
      <w:r>
        <w:rPr>
          <w:sz w:val="18"/>
        </w:rPr>
        <w:t xml:space="preserve"> This is Ms Birkensleigh’s first year as a member of the NDIA Board. </w:t>
      </w:r>
    </w:p>
    <w:p w14:paraId="127D3BBA" w14:textId="77777777" w:rsidR="00C32CBD" w:rsidRPr="007372C7" w:rsidRDefault="00C32CBD" w:rsidP="00C32CBD">
      <w:pPr>
        <w:spacing w:line="40" w:lineRule="atLeast"/>
        <w:rPr>
          <w:sz w:val="18"/>
          <w:highlight w:val="yellow"/>
        </w:rPr>
      </w:pPr>
    </w:p>
    <w:p w14:paraId="6968FC93" w14:textId="77777777" w:rsidR="00C32CBD" w:rsidRPr="003975FB" w:rsidRDefault="00C32CBD" w:rsidP="00C32CBD">
      <w:pPr>
        <w:spacing w:line="40" w:lineRule="atLeast"/>
        <w:rPr>
          <w:sz w:val="18"/>
        </w:rPr>
      </w:pPr>
      <w:r w:rsidRPr="003975FB">
        <w:rPr>
          <w:sz w:val="18"/>
        </w:rPr>
        <w:t>Ms Estelle Pearson, a member of the NDIA Board, is a Principal in Finity Consulting Pty Ltd. Payments to the value of $15,285 for operational actuarial support and home modifications model were made to Finity Consulting Pty Ltd.  The payments related to consulting services provided by Finity up to 31 August 2016, which was before Ms Pearson joined the NDIA Board.</w:t>
      </w:r>
      <w:r>
        <w:rPr>
          <w:sz w:val="18"/>
        </w:rPr>
        <w:t xml:space="preserve"> This is Ms Pearson’s first year as a member of the NDIA Board.</w:t>
      </w:r>
    </w:p>
    <w:p w14:paraId="7BAE8178" w14:textId="77777777" w:rsidR="00C32CBD" w:rsidRPr="007372C7" w:rsidRDefault="00C32CBD" w:rsidP="00C32CBD">
      <w:pPr>
        <w:spacing w:line="40" w:lineRule="atLeast"/>
        <w:rPr>
          <w:sz w:val="18"/>
          <w:highlight w:val="yellow"/>
        </w:rPr>
      </w:pPr>
    </w:p>
    <w:p w14:paraId="70A9D246" w14:textId="77777777" w:rsidR="00C32CBD" w:rsidRPr="003975FB" w:rsidRDefault="00C32CBD" w:rsidP="00C32CBD">
      <w:pPr>
        <w:spacing w:line="40" w:lineRule="atLeast"/>
        <w:rPr>
          <w:sz w:val="18"/>
        </w:rPr>
      </w:pPr>
      <w:r w:rsidRPr="003975FB">
        <w:rPr>
          <w:sz w:val="18"/>
        </w:rPr>
        <w:t xml:space="preserve">Ms Andrea Staines, a member of the NDIA Board, is a Board member of UnitingCare Queensland. The UnitingCare Community is a service group of UnitingCare Queensland and as such, the UnitingCare Queensland Board is commissioned by the Uniting Church in Australia with the governance and leadership of its health and community services. The Agency made </w:t>
      </w:r>
      <w:r>
        <w:rPr>
          <w:sz w:val="18"/>
        </w:rPr>
        <w:t xml:space="preserve">payments to the value of </w:t>
      </w:r>
      <w:r w:rsidRPr="003975FB">
        <w:rPr>
          <w:sz w:val="18"/>
        </w:rPr>
        <w:t xml:space="preserve">$500,000 from the Community Inclusion Capacity Development Program for work in relation to set up of Early Childhood Early Intervention services in Queensland and </w:t>
      </w:r>
      <w:r>
        <w:rPr>
          <w:sz w:val="18"/>
        </w:rPr>
        <w:t xml:space="preserve">payments to the value of </w:t>
      </w:r>
      <w:r w:rsidRPr="003975FB">
        <w:rPr>
          <w:sz w:val="18"/>
        </w:rPr>
        <w:t>$3,606,585 for the Early Childhood Early Intervention services in Queensland to the Uniting Church in Australia Property Trust (Q.) represented by UnitingCare Community.</w:t>
      </w:r>
      <w:r>
        <w:rPr>
          <w:sz w:val="18"/>
        </w:rPr>
        <w:t xml:space="preserve"> This is Ms Staines’ first year as a member of the NDIA Board. </w:t>
      </w:r>
      <w:r w:rsidRPr="003975FB">
        <w:rPr>
          <w:sz w:val="18"/>
        </w:rPr>
        <w:t xml:space="preserve">   </w:t>
      </w:r>
    </w:p>
    <w:p w14:paraId="3DF4C708" w14:textId="77777777" w:rsidR="00C32CBD" w:rsidRPr="007372C7" w:rsidRDefault="00C32CBD" w:rsidP="00C32CBD">
      <w:pPr>
        <w:spacing w:line="40" w:lineRule="atLeast"/>
        <w:rPr>
          <w:sz w:val="18"/>
          <w:highlight w:val="yellow"/>
        </w:rPr>
      </w:pPr>
    </w:p>
    <w:p w14:paraId="728464A1" w14:textId="77777777" w:rsidR="00C32CBD" w:rsidRPr="003975FB" w:rsidRDefault="00C32CBD" w:rsidP="00C32CBD">
      <w:pPr>
        <w:spacing w:line="40" w:lineRule="atLeast"/>
        <w:rPr>
          <w:sz w:val="18"/>
        </w:rPr>
      </w:pPr>
      <w:r w:rsidRPr="003975FB">
        <w:rPr>
          <w:sz w:val="18"/>
        </w:rPr>
        <w:t>Bruce Bonyhady AM</w:t>
      </w:r>
      <w:r>
        <w:rPr>
          <w:sz w:val="18"/>
        </w:rPr>
        <w:t xml:space="preserve"> (former Chairman of the Board) </w:t>
      </w:r>
      <w:r w:rsidRPr="003975FB">
        <w:rPr>
          <w:sz w:val="18"/>
        </w:rPr>
        <w:t>is a lifetime member of the Association for Children with a Disability. During the financial year the Agency provided grant payments of $227,500 to the Association for Children with a Disability as part of the Sector Development Fund and the Community Inclusion and Capacity Development programme (</w:t>
      </w:r>
      <w:r>
        <w:rPr>
          <w:sz w:val="18"/>
        </w:rPr>
        <w:t>Value of such payments made in 2015-16:</w:t>
      </w:r>
      <w:r w:rsidRPr="003975FB">
        <w:rPr>
          <w:sz w:val="18"/>
        </w:rPr>
        <w:t xml:space="preserve"> $46,500).</w:t>
      </w:r>
    </w:p>
    <w:p w14:paraId="5C1575D0" w14:textId="77777777" w:rsidR="00C32CBD" w:rsidRPr="007372C7" w:rsidRDefault="00C32CBD" w:rsidP="00C32CBD">
      <w:pPr>
        <w:spacing w:line="40" w:lineRule="atLeast"/>
        <w:rPr>
          <w:sz w:val="18"/>
          <w:highlight w:val="yellow"/>
        </w:rPr>
      </w:pPr>
    </w:p>
    <w:p w14:paraId="3E559A2F" w14:textId="77777777" w:rsidR="00C32CBD" w:rsidRPr="003975FB" w:rsidRDefault="00C32CBD" w:rsidP="00C32CBD">
      <w:pPr>
        <w:spacing w:line="40" w:lineRule="atLeast"/>
        <w:rPr>
          <w:sz w:val="18"/>
        </w:rPr>
      </w:pPr>
      <w:r w:rsidRPr="003975FB">
        <w:rPr>
          <w:sz w:val="18"/>
        </w:rPr>
        <w:t>Rhonda Galbally AO, a member of the NDIA Board, is an Honorary Professor at Deakin University. During the financial year the Agency provided grant payments of $1,887,588 to Deakin University as part of the Community Inclusion and Capacity Development programme and payments of $44,379 for staff learning and development. (</w:t>
      </w:r>
      <w:r>
        <w:rPr>
          <w:sz w:val="18"/>
        </w:rPr>
        <w:t>The value of payments made to Deakin University in 2015-16 was $4,686</w:t>
      </w:r>
      <w:r w:rsidRPr="003975FB">
        <w:rPr>
          <w:sz w:val="18"/>
        </w:rPr>
        <w:t>).</w:t>
      </w:r>
    </w:p>
    <w:p w14:paraId="7508CCF2" w14:textId="77777777" w:rsidR="00C32CBD" w:rsidRPr="007372C7" w:rsidRDefault="00C32CBD" w:rsidP="00C32CBD">
      <w:pPr>
        <w:spacing w:line="40" w:lineRule="atLeast"/>
        <w:rPr>
          <w:sz w:val="18"/>
          <w:highlight w:val="yellow"/>
        </w:rPr>
      </w:pPr>
    </w:p>
    <w:p w14:paraId="6DAB51E1" w14:textId="77777777" w:rsidR="00C32CBD" w:rsidRPr="001F12DF" w:rsidRDefault="00C32CBD" w:rsidP="00C32CBD">
      <w:pPr>
        <w:spacing w:line="40" w:lineRule="atLeast"/>
        <w:rPr>
          <w:sz w:val="18"/>
        </w:rPr>
      </w:pPr>
      <w:r w:rsidRPr="001F12DF">
        <w:rPr>
          <w:sz w:val="18"/>
        </w:rPr>
        <w:t xml:space="preserve">Martin Laverty, a member of the NDIA Board, is a Council Member of the National Rural Health Alliance. No payments were made to National Rural Health Alliance in the current financial year. (The value of payments </w:t>
      </w:r>
      <w:r>
        <w:rPr>
          <w:sz w:val="18"/>
        </w:rPr>
        <w:t>m</w:t>
      </w:r>
      <w:r w:rsidRPr="001F12DF">
        <w:rPr>
          <w:sz w:val="18"/>
        </w:rPr>
        <w:t>ade to National Rural Health Alliance in 2015-16 was $25,120).</w:t>
      </w:r>
    </w:p>
    <w:p w14:paraId="60710937" w14:textId="77777777" w:rsidR="00C32CBD" w:rsidRPr="007372C7" w:rsidRDefault="00C32CBD" w:rsidP="00C32CBD">
      <w:pPr>
        <w:spacing w:line="40" w:lineRule="atLeast"/>
        <w:rPr>
          <w:sz w:val="18"/>
          <w:highlight w:val="yellow"/>
        </w:rPr>
      </w:pPr>
    </w:p>
    <w:p w14:paraId="6B7B7325" w14:textId="77777777" w:rsidR="00C32CBD" w:rsidRDefault="00C32CBD" w:rsidP="00C32CBD">
      <w:pPr>
        <w:spacing w:line="40" w:lineRule="atLeast"/>
        <w:rPr>
          <w:sz w:val="18"/>
        </w:rPr>
      </w:pPr>
      <w:r w:rsidRPr="001F12DF">
        <w:rPr>
          <w:sz w:val="18"/>
        </w:rPr>
        <w:t>John Walsh</w:t>
      </w:r>
      <w:r>
        <w:rPr>
          <w:sz w:val="18"/>
        </w:rPr>
        <w:t xml:space="preserve">, </w:t>
      </w:r>
      <w:r w:rsidRPr="001F12DF">
        <w:rPr>
          <w:sz w:val="18"/>
        </w:rPr>
        <w:t>a member of the NDIA Board</w:t>
      </w:r>
      <w:r>
        <w:rPr>
          <w:sz w:val="18"/>
        </w:rPr>
        <w:t>, is</w:t>
      </w:r>
      <w:r w:rsidRPr="001F12DF">
        <w:rPr>
          <w:sz w:val="18"/>
        </w:rPr>
        <w:t xml:space="preserve"> a member of the Innovative Workforce Fund Independent Advisory Group at National Disability Services. During the financial year the Agency provided grant payments of $534,500 as part of the Community Inclusion and Capacity Development programme and payments of $120,000 for Communication and Engagement project. No such payments were made in 2015-16.</w:t>
      </w:r>
    </w:p>
    <w:p w14:paraId="79FD4F6B" w14:textId="77777777" w:rsidR="00C32CBD" w:rsidRDefault="00C32CBD" w:rsidP="00C32CBD">
      <w:pPr>
        <w:spacing w:line="40" w:lineRule="atLeast"/>
        <w:rPr>
          <w:sz w:val="18"/>
        </w:rPr>
      </w:pPr>
    </w:p>
    <w:p w14:paraId="05DCBB2E" w14:textId="77777777" w:rsidR="00C32CBD" w:rsidRPr="002533F9" w:rsidRDefault="00C32CBD" w:rsidP="00C32CBD">
      <w:pPr>
        <w:spacing w:line="40" w:lineRule="atLeast"/>
        <w:rPr>
          <w:sz w:val="18"/>
        </w:rPr>
      </w:pPr>
      <w:r w:rsidRPr="002533F9">
        <w:rPr>
          <w:sz w:val="18"/>
        </w:rPr>
        <w:t>Sarah Johnson, the Scheme Actuary of the Agency, is the</w:t>
      </w:r>
      <w:r>
        <w:rPr>
          <w:sz w:val="18"/>
        </w:rPr>
        <w:t xml:space="preserve"> proprietor</w:t>
      </w:r>
      <w:r w:rsidRPr="002533F9">
        <w:rPr>
          <w:sz w:val="18"/>
        </w:rPr>
        <w:t xml:space="preserve"> of Sarah Consulting Pty Ltd. During the financial year the Agency made payments of $346,678 to Sarah Consulting Pty Ltd </w:t>
      </w:r>
      <w:r>
        <w:rPr>
          <w:sz w:val="18"/>
        </w:rPr>
        <w:t>for</w:t>
      </w:r>
      <w:r w:rsidRPr="002533F9">
        <w:rPr>
          <w:sz w:val="18"/>
        </w:rPr>
        <w:t xml:space="preserve"> scheme actuarial work. During the 2015-16 financial year, the Agency made payments of $368,182. </w:t>
      </w:r>
    </w:p>
    <w:p w14:paraId="00057835" w14:textId="77777777" w:rsidR="00C32CBD" w:rsidRPr="002533F9" w:rsidRDefault="00C32CBD" w:rsidP="00C32CBD">
      <w:pPr>
        <w:spacing w:line="40" w:lineRule="atLeast"/>
        <w:rPr>
          <w:sz w:val="18"/>
        </w:rPr>
      </w:pPr>
    </w:p>
    <w:p w14:paraId="6CE127F9" w14:textId="77777777" w:rsidR="00C32CBD" w:rsidRDefault="00C32CBD" w:rsidP="00C32CBD">
      <w:pPr>
        <w:spacing w:line="40" w:lineRule="atLeast"/>
        <w:rPr>
          <w:sz w:val="18"/>
        </w:rPr>
      </w:pPr>
      <w:r w:rsidRPr="002533F9">
        <w:rPr>
          <w:sz w:val="18"/>
        </w:rPr>
        <w:t>Car</w:t>
      </w:r>
      <w:r>
        <w:rPr>
          <w:sz w:val="18"/>
        </w:rPr>
        <w:t xml:space="preserve">olyn Hogg, Chief Operating Officer Advisor, is </w:t>
      </w:r>
      <w:r w:rsidRPr="002533F9">
        <w:rPr>
          <w:sz w:val="18"/>
        </w:rPr>
        <w:t xml:space="preserve">the </w:t>
      </w:r>
      <w:r>
        <w:rPr>
          <w:sz w:val="18"/>
        </w:rPr>
        <w:t>proprietor</w:t>
      </w:r>
      <w:r w:rsidRPr="002533F9">
        <w:rPr>
          <w:sz w:val="18"/>
        </w:rPr>
        <w:t xml:space="preserve"> of Aquasora Pty Ltd. During the financial year the Agency made payments of </w:t>
      </w:r>
      <w:r>
        <w:rPr>
          <w:sz w:val="18"/>
        </w:rPr>
        <w:t>$</w:t>
      </w:r>
      <w:r w:rsidRPr="002533F9">
        <w:rPr>
          <w:sz w:val="18"/>
        </w:rPr>
        <w:t>641,820 to Aquasora Pty Ltd advisory work. During the 2015-16 financial year, the Agency made payments of $520,500.</w:t>
      </w:r>
    </w:p>
    <w:p w14:paraId="14C7676F" w14:textId="77777777" w:rsidR="00C32CBD" w:rsidRDefault="00C32CBD" w:rsidP="00C32CBD">
      <w:pPr>
        <w:spacing w:line="40" w:lineRule="atLeast"/>
        <w:rPr>
          <w:sz w:val="18"/>
        </w:rPr>
      </w:pPr>
    </w:p>
    <w:p w14:paraId="40D7C4D9" w14:textId="77777777" w:rsidR="00C32CBD" w:rsidRDefault="00C32CBD" w:rsidP="00C32CBD">
      <w:pPr>
        <w:spacing w:line="40" w:lineRule="atLeast"/>
        <w:rPr>
          <w:sz w:val="18"/>
        </w:rPr>
      </w:pPr>
      <w:r w:rsidRPr="00985695">
        <w:rPr>
          <w:sz w:val="18"/>
        </w:rPr>
        <w:t>Marie Johnson, Head of the NDIA Technology Authority, is the Managing Director and Chief Digital Officer of Centre for Digital Business Pty Ltd. During the financial year the Agency made payments of $1,093,950 to the Centre for Digital Business Pty Ltd for the delivery of information technology advisory services. During the 2015-16 financial year, the Ag</w:t>
      </w:r>
      <w:r>
        <w:rPr>
          <w:sz w:val="18"/>
        </w:rPr>
        <w:t>ency made payments of $993,470.</w:t>
      </w:r>
    </w:p>
    <w:p w14:paraId="30A7832A" w14:textId="77777777" w:rsidR="00C32CBD" w:rsidRDefault="00C32CBD" w:rsidP="00C32CBD">
      <w:pPr>
        <w:spacing w:line="40" w:lineRule="atLeast"/>
        <w:rPr>
          <w:sz w:val="18"/>
        </w:rPr>
      </w:pPr>
    </w:p>
    <w:p w14:paraId="255F9CEE" w14:textId="77777777" w:rsidR="00C32CBD" w:rsidRDefault="00C32CBD" w:rsidP="00C32CBD">
      <w:pPr>
        <w:spacing w:line="40" w:lineRule="atLeast"/>
        <w:rPr>
          <w:sz w:val="18"/>
        </w:rPr>
      </w:pPr>
      <w:r w:rsidRPr="00F03AF1">
        <w:rPr>
          <w:sz w:val="18"/>
        </w:rPr>
        <w:t>Paul O’Connor, the Chief Risk Officer, was a non-executive director of Australian Network on Disability until 23 November 2016. During the financial year The Agency made payments of $100,050 to the Australian Network on Disability for membership and staff training services in 2016-17. During the 2015-16 financial year, the Agency made payments of $5,000 since Paul O’Connor joined the NDIA.</w:t>
      </w:r>
    </w:p>
    <w:p w14:paraId="6014128D" w14:textId="77777777" w:rsidR="00C32CBD" w:rsidRPr="001F12DF" w:rsidRDefault="00C32CBD" w:rsidP="00C32CBD">
      <w:pPr>
        <w:spacing w:line="40" w:lineRule="atLeast"/>
        <w:rPr>
          <w:sz w:val="18"/>
        </w:rPr>
      </w:pPr>
    </w:p>
    <w:p w14:paraId="7D189EFC" w14:textId="77777777" w:rsidR="00C32CBD" w:rsidRPr="0081188A" w:rsidRDefault="00C32CBD" w:rsidP="00C32CBD">
      <w:pPr>
        <w:spacing w:line="40" w:lineRule="atLeast"/>
        <w:rPr>
          <w:sz w:val="18"/>
        </w:rPr>
      </w:pPr>
      <w:r w:rsidRPr="001F12DF">
        <w:rPr>
          <w:sz w:val="18"/>
        </w:rPr>
        <w:t>No Board members played any part in Agency decisions in relation to the transactions noted above.</w:t>
      </w:r>
    </w:p>
    <w:p w14:paraId="34981BBD" w14:textId="77777777" w:rsidR="00C32CBD" w:rsidRPr="00142D39" w:rsidRDefault="00C32CBD" w:rsidP="00C32CBD">
      <w:pPr>
        <w:spacing w:line="40" w:lineRule="atLeast"/>
        <w:rPr>
          <w:sz w:val="18"/>
        </w:rPr>
      </w:pPr>
    </w:p>
    <w:p w14:paraId="4A6CF49B" w14:textId="77777777" w:rsidR="00C32CBD" w:rsidRDefault="00C32CBD" w:rsidP="00C32CBD">
      <w:pPr>
        <w:spacing w:line="40" w:lineRule="atLeast"/>
        <w:rPr>
          <w:i/>
          <w:sz w:val="18"/>
          <w:u w:val="single"/>
        </w:rPr>
      </w:pPr>
      <w:r w:rsidRPr="00120D25">
        <w:rPr>
          <w:i/>
          <w:sz w:val="18"/>
          <w:u w:val="single"/>
        </w:rPr>
        <w:t>Registered Service Providers</w:t>
      </w:r>
    </w:p>
    <w:p w14:paraId="50F0BB12" w14:textId="77777777" w:rsidR="00C32CBD" w:rsidRPr="00120D25" w:rsidRDefault="00C32CBD" w:rsidP="00C32CBD">
      <w:pPr>
        <w:spacing w:line="40" w:lineRule="atLeast"/>
        <w:rPr>
          <w:i/>
          <w:sz w:val="18"/>
          <w:u w:val="single"/>
        </w:rPr>
      </w:pPr>
    </w:p>
    <w:p w14:paraId="3E45766F" w14:textId="77777777" w:rsidR="00C32CBD" w:rsidRDefault="00C32CBD" w:rsidP="00C32CBD">
      <w:pPr>
        <w:spacing w:line="40" w:lineRule="atLeast"/>
        <w:rPr>
          <w:sz w:val="18"/>
        </w:rPr>
      </w:pPr>
      <w:r w:rsidRPr="00120D25">
        <w:rPr>
          <w:sz w:val="18"/>
        </w:rPr>
        <w:t xml:space="preserve">Participants who elect to have their plan managed by the Agency must select a registered service provider to deliver the supports in their plan. To become a registered service provider an organisation must submit an application to the Agency which is assessed against the criteria specified in Part 3 of </w:t>
      </w:r>
      <w:r w:rsidRPr="00120D25">
        <w:rPr>
          <w:i/>
          <w:sz w:val="18"/>
        </w:rPr>
        <w:t xml:space="preserve">National Disability Insurance Scheme (Registered Providers of Supports) Rules 2013. </w:t>
      </w:r>
      <w:r w:rsidRPr="00120D25">
        <w:rPr>
          <w:sz w:val="18"/>
        </w:rPr>
        <w:t xml:space="preserve"> Directors of the Agency are not involved in decisions to accept or reject applications to regis</w:t>
      </w:r>
      <w:r>
        <w:rPr>
          <w:sz w:val="18"/>
        </w:rPr>
        <w:t xml:space="preserve">ter as a service provider. </w:t>
      </w:r>
    </w:p>
    <w:p w14:paraId="09DD5273" w14:textId="77777777" w:rsidR="00C32CBD" w:rsidRPr="00120D25" w:rsidRDefault="00C32CBD" w:rsidP="00C32CBD">
      <w:pPr>
        <w:spacing w:line="40" w:lineRule="atLeast"/>
        <w:rPr>
          <w:sz w:val="18"/>
        </w:rPr>
      </w:pPr>
      <w:r>
        <w:rPr>
          <w:sz w:val="18"/>
        </w:rPr>
        <w:br/>
      </w:r>
      <w:r w:rsidRPr="00120D25">
        <w:rPr>
          <w:sz w:val="18"/>
        </w:rPr>
        <w:t xml:space="preserve">Several </w:t>
      </w:r>
      <w:r>
        <w:rPr>
          <w:sz w:val="18"/>
        </w:rPr>
        <w:t>Board Members</w:t>
      </w:r>
      <w:r w:rsidRPr="00120D25">
        <w:rPr>
          <w:sz w:val="18"/>
        </w:rPr>
        <w:t xml:space="preserve"> of the Agency play an active role in the disability sector and may have relationships with registered and/or potential service providers. Participants exercise choice and control in selecting service providers for the funded supports in their individualised plans and consequently payments made by the Agency to service providers for participant supports are not considered to</w:t>
      </w:r>
      <w:r>
        <w:rPr>
          <w:sz w:val="18"/>
        </w:rPr>
        <w:t xml:space="preserve"> be related party transactions.</w:t>
      </w:r>
    </w:p>
    <w:p w14:paraId="0AB0BC41" w14:textId="77777777" w:rsidR="00C32CBD" w:rsidRDefault="00C32CBD" w:rsidP="00C32CBD">
      <w:pPr>
        <w:pStyle w:val="NotesHeading-Level1"/>
        <w:numPr>
          <w:ilvl w:val="0"/>
          <w:numId w:val="0"/>
        </w:numPr>
        <w:spacing w:line="40" w:lineRule="atLeast"/>
        <w:outlineLvl w:val="9"/>
        <w:rPr>
          <w:b w:val="0"/>
          <w:sz w:val="18"/>
        </w:rPr>
      </w:pPr>
    </w:p>
    <w:p w14:paraId="3932BF1D" w14:textId="77777777" w:rsidR="00C32CBD" w:rsidRDefault="00C32CBD" w:rsidP="00C32CBD">
      <w:pPr>
        <w:pStyle w:val="NotesHeading-Level1"/>
        <w:numPr>
          <w:ilvl w:val="0"/>
          <w:numId w:val="0"/>
        </w:numPr>
        <w:spacing w:line="40" w:lineRule="atLeast"/>
        <w:outlineLvl w:val="9"/>
        <w:rPr>
          <w:b w:val="0"/>
          <w:sz w:val="18"/>
        </w:rPr>
      </w:pPr>
      <w:bookmarkStart w:id="247" w:name="_Toc496611912"/>
      <w:r w:rsidRPr="004E2434">
        <w:rPr>
          <w:b w:val="0"/>
          <w:sz w:val="18"/>
        </w:rPr>
        <w:t>There were no other related party transactions during the period</w:t>
      </w:r>
      <w:r>
        <w:rPr>
          <w:b w:val="0"/>
          <w:sz w:val="18"/>
        </w:rPr>
        <w:t>.</w:t>
      </w:r>
      <w:bookmarkEnd w:id="247"/>
    </w:p>
    <w:p w14:paraId="6ADA8989" w14:textId="77777777" w:rsidR="00C32CBD" w:rsidRDefault="00C32CBD" w:rsidP="00C32CBD">
      <w:pPr>
        <w:pStyle w:val="NotesHeading-Level1"/>
        <w:numPr>
          <w:ilvl w:val="0"/>
          <w:numId w:val="0"/>
        </w:numPr>
        <w:spacing w:line="20" w:lineRule="atLeast"/>
        <w:outlineLvl w:val="9"/>
        <w:rPr>
          <w:b w:val="0"/>
          <w:sz w:val="18"/>
        </w:rPr>
      </w:pPr>
    </w:p>
    <w:p w14:paraId="5CDB29FB" w14:textId="77777777" w:rsidR="00C32CBD" w:rsidRDefault="00C32CBD" w:rsidP="00C32CBD">
      <w:pPr>
        <w:pStyle w:val="NotesHeading-Level1"/>
        <w:numPr>
          <w:ilvl w:val="0"/>
          <w:numId w:val="0"/>
        </w:numPr>
        <w:spacing w:line="20" w:lineRule="atLeast"/>
        <w:outlineLvl w:val="9"/>
        <w:rPr>
          <w:b w:val="0"/>
          <w:sz w:val="18"/>
        </w:rPr>
      </w:pPr>
    </w:p>
    <w:p w14:paraId="5EE65A86" w14:textId="77777777" w:rsidR="00C32CBD" w:rsidRDefault="00C32CBD" w:rsidP="00C32CBD">
      <w:pPr>
        <w:pStyle w:val="NotesHeading-Level1"/>
        <w:numPr>
          <w:ilvl w:val="0"/>
          <w:numId w:val="0"/>
        </w:numPr>
        <w:spacing w:line="20" w:lineRule="atLeast"/>
        <w:outlineLvl w:val="9"/>
        <w:rPr>
          <w:b w:val="0"/>
          <w:sz w:val="18"/>
        </w:rPr>
      </w:pPr>
    </w:p>
    <w:p w14:paraId="462BA670" w14:textId="77777777" w:rsidR="00C32CBD" w:rsidRDefault="00C32CBD" w:rsidP="00C32CBD">
      <w:pPr>
        <w:pStyle w:val="NotesHeading-Level1"/>
        <w:numPr>
          <w:ilvl w:val="0"/>
          <w:numId w:val="0"/>
        </w:numPr>
        <w:spacing w:line="20" w:lineRule="atLeast"/>
        <w:outlineLvl w:val="9"/>
        <w:rPr>
          <w:b w:val="0"/>
          <w:sz w:val="18"/>
        </w:rPr>
      </w:pPr>
    </w:p>
    <w:p w14:paraId="139CF5C6" w14:textId="77777777" w:rsidR="00C32CBD" w:rsidRDefault="00C32CBD" w:rsidP="00C32CBD">
      <w:pPr>
        <w:pStyle w:val="NotesHeading-Level1"/>
        <w:numPr>
          <w:ilvl w:val="0"/>
          <w:numId w:val="0"/>
        </w:numPr>
        <w:spacing w:line="20" w:lineRule="atLeast"/>
        <w:outlineLvl w:val="9"/>
        <w:rPr>
          <w:b w:val="0"/>
          <w:sz w:val="18"/>
        </w:rPr>
      </w:pPr>
    </w:p>
    <w:p w14:paraId="078D73AA" w14:textId="77777777" w:rsidR="00C32CBD" w:rsidRDefault="00C32CBD" w:rsidP="00C32CBD">
      <w:pPr>
        <w:pStyle w:val="NotesHeading-Level1"/>
        <w:numPr>
          <w:ilvl w:val="0"/>
          <w:numId w:val="0"/>
        </w:numPr>
        <w:spacing w:line="20" w:lineRule="atLeast"/>
        <w:outlineLvl w:val="9"/>
        <w:rPr>
          <w:b w:val="0"/>
          <w:sz w:val="18"/>
        </w:rPr>
      </w:pPr>
    </w:p>
    <w:p w14:paraId="589B0637" w14:textId="77777777" w:rsidR="00C32CBD" w:rsidRDefault="00C32CBD" w:rsidP="00C32CBD">
      <w:pPr>
        <w:pStyle w:val="NotesHeading-Level1"/>
        <w:numPr>
          <w:ilvl w:val="0"/>
          <w:numId w:val="0"/>
        </w:numPr>
        <w:spacing w:line="20" w:lineRule="atLeast"/>
        <w:outlineLvl w:val="9"/>
        <w:rPr>
          <w:b w:val="0"/>
          <w:sz w:val="18"/>
        </w:rPr>
      </w:pPr>
    </w:p>
    <w:p w14:paraId="4E4A546E" w14:textId="77777777" w:rsidR="00C32CBD" w:rsidRDefault="00C32CBD" w:rsidP="00C32CBD">
      <w:pPr>
        <w:pStyle w:val="NotesHeading-Level1"/>
        <w:numPr>
          <w:ilvl w:val="0"/>
          <w:numId w:val="0"/>
        </w:numPr>
        <w:spacing w:line="20" w:lineRule="atLeast"/>
        <w:outlineLvl w:val="9"/>
        <w:rPr>
          <w:b w:val="0"/>
          <w:sz w:val="18"/>
        </w:rPr>
      </w:pPr>
    </w:p>
    <w:p w14:paraId="1495E1BF" w14:textId="77777777" w:rsidR="00C32CBD" w:rsidRPr="007204D0" w:rsidRDefault="00C32CBD" w:rsidP="00C32CBD">
      <w:pPr>
        <w:pStyle w:val="SubHeading"/>
      </w:pPr>
      <w:bookmarkStart w:id="248" w:name="_Toc456865070"/>
      <w:bookmarkStart w:id="249" w:name="_Toc496611913"/>
      <w:r>
        <w:t>Remuneration of Auditors</w:t>
      </w:r>
      <w:bookmarkEnd w:id="248"/>
      <w:bookmarkEnd w:id="249"/>
    </w:p>
    <w:tbl>
      <w:tblPr>
        <w:tblW w:w="9087" w:type="dxa"/>
        <w:tblInd w:w="80" w:type="dxa"/>
        <w:tblLayout w:type="fixed"/>
        <w:tblLook w:val="04A0" w:firstRow="1" w:lastRow="0" w:firstColumn="1" w:lastColumn="0" w:noHBand="0" w:noVBand="1"/>
      </w:tblPr>
      <w:tblGrid>
        <w:gridCol w:w="6723"/>
        <w:gridCol w:w="1047"/>
        <w:gridCol w:w="270"/>
        <w:gridCol w:w="1047"/>
      </w:tblGrid>
      <w:tr w:rsidR="00C32CBD" w14:paraId="08B6D7E0" w14:textId="77777777" w:rsidTr="00320D09">
        <w:trPr>
          <w:trHeight w:val="240"/>
        </w:trPr>
        <w:tc>
          <w:tcPr>
            <w:tcW w:w="6656" w:type="dxa"/>
            <w:tcBorders>
              <w:top w:val="nil"/>
              <w:left w:val="nil"/>
              <w:bottom w:val="nil"/>
              <w:right w:val="nil"/>
            </w:tcBorders>
            <w:shd w:val="clear" w:color="FFFFFF" w:fill="FFFFFF"/>
            <w:noWrap/>
            <w:vAlign w:val="bottom"/>
            <w:hideMark/>
          </w:tcPr>
          <w:p w14:paraId="5502116F" w14:textId="77777777" w:rsidR="00C32CBD" w:rsidRDefault="00C32CBD" w:rsidP="00320D09">
            <w:pPr>
              <w:rPr>
                <w:rFonts w:cs="Arial"/>
                <w:sz w:val="18"/>
                <w:szCs w:val="18"/>
              </w:rPr>
            </w:pPr>
            <w:bookmarkStart w:id="250" w:name="Note_REMTABLE1" w:colFirst="0" w:colLast="0"/>
            <w:r>
              <w:rPr>
                <w:rFonts w:cs="Arial"/>
                <w:sz w:val="18"/>
                <w:szCs w:val="18"/>
              </w:rPr>
              <w:t> </w:t>
            </w:r>
          </w:p>
        </w:tc>
        <w:tc>
          <w:tcPr>
            <w:tcW w:w="1036" w:type="dxa"/>
            <w:tcBorders>
              <w:top w:val="nil"/>
              <w:left w:val="nil"/>
              <w:bottom w:val="nil"/>
              <w:right w:val="nil"/>
            </w:tcBorders>
            <w:shd w:val="clear" w:color="FFFFFF" w:fill="FFFFFF"/>
            <w:noWrap/>
            <w:vAlign w:val="bottom"/>
            <w:hideMark/>
          </w:tcPr>
          <w:p w14:paraId="4B63C03E" w14:textId="77777777" w:rsidR="00C32CBD" w:rsidRDefault="00C32CBD" w:rsidP="00320D09">
            <w:pPr>
              <w:jc w:val="right"/>
              <w:rPr>
                <w:rFonts w:cs="Arial"/>
                <w:b/>
                <w:bCs/>
                <w:sz w:val="18"/>
                <w:szCs w:val="18"/>
              </w:rPr>
            </w:pPr>
            <w:r>
              <w:rPr>
                <w:rFonts w:cs="Arial"/>
                <w:b/>
                <w:bCs/>
                <w:sz w:val="18"/>
                <w:szCs w:val="18"/>
              </w:rPr>
              <w:t>2017</w:t>
            </w:r>
          </w:p>
        </w:tc>
        <w:tc>
          <w:tcPr>
            <w:tcW w:w="267" w:type="dxa"/>
            <w:tcBorders>
              <w:top w:val="nil"/>
              <w:left w:val="nil"/>
              <w:bottom w:val="nil"/>
              <w:right w:val="nil"/>
            </w:tcBorders>
            <w:shd w:val="clear" w:color="FFFFFF" w:fill="FFFFFF"/>
            <w:noWrap/>
            <w:vAlign w:val="bottom"/>
            <w:hideMark/>
          </w:tcPr>
          <w:p w14:paraId="4CD2DA19" w14:textId="77777777" w:rsidR="00C32CBD" w:rsidRDefault="00C32CBD" w:rsidP="00320D09">
            <w:pPr>
              <w:rPr>
                <w:rFonts w:cs="Arial"/>
                <w:sz w:val="18"/>
                <w:szCs w:val="18"/>
              </w:rPr>
            </w:pPr>
            <w:r>
              <w:rPr>
                <w:rFonts w:cs="Arial"/>
                <w:sz w:val="18"/>
                <w:szCs w:val="18"/>
              </w:rPr>
              <w:t> </w:t>
            </w:r>
          </w:p>
        </w:tc>
        <w:tc>
          <w:tcPr>
            <w:tcW w:w="1036" w:type="dxa"/>
            <w:tcBorders>
              <w:top w:val="nil"/>
              <w:left w:val="nil"/>
              <w:bottom w:val="nil"/>
              <w:right w:val="nil"/>
            </w:tcBorders>
            <w:shd w:val="clear" w:color="FFFFFF" w:fill="FFFFFF"/>
            <w:noWrap/>
            <w:vAlign w:val="bottom"/>
            <w:hideMark/>
          </w:tcPr>
          <w:p w14:paraId="5005C72D" w14:textId="77777777" w:rsidR="00C32CBD" w:rsidRDefault="00C32CBD" w:rsidP="00320D09">
            <w:pPr>
              <w:jc w:val="right"/>
              <w:rPr>
                <w:rFonts w:cs="Arial"/>
                <w:sz w:val="18"/>
                <w:szCs w:val="18"/>
              </w:rPr>
            </w:pPr>
            <w:r>
              <w:rPr>
                <w:rFonts w:cs="Arial"/>
                <w:sz w:val="18"/>
                <w:szCs w:val="18"/>
              </w:rPr>
              <w:t>2016</w:t>
            </w:r>
          </w:p>
        </w:tc>
      </w:tr>
      <w:bookmarkEnd w:id="250"/>
      <w:tr w:rsidR="00C32CBD" w14:paraId="23D21192" w14:textId="77777777" w:rsidTr="00320D09">
        <w:trPr>
          <w:trHeight w:val="240"/>
        </w:trPr>
        <w:tc>
          <w:tcPr>
            <w:tcW w:w="6656" w:type="dxa"/>
            <w:tcBorders>
              <w:top w:val="nil"/>
              <w:left w:val="nil"/>
              <w:bottom w:val="nil"/>
              <w:right w:val="nil"/>
            </w:tcBorders>
            <w:shd w:val="clear" w:color="FFFFFF" w:fill="FFFFFF"/>
            <w:noWrap/>
            <w:vAlign w:val="bottom"/>
            <w:hideMark/>
          </w:tcPr>
          <w:p w14:paraId="69846DA3" w14:textId="77777777" w:rsidR="00C32CBD" w:rsidRDefault="00C32CBD" w:rsidP="00320D09">
            <w:pPr>
              <w:rPr>
                <w:rFonts w:cs="Arial"/>
                <w:sz w:val="18"/>
                <w:szCs w:val="18"/>
              </w:rPr>
            </w:pPr>
            <w:r>
              <w:rPr>
                <w:rFonts w:cs="Arial"/>
                <w:sz w:val="18"/>
                <w:szCs w:val="18"/>
              </w:rPr>
              <w:t> </w:t>
            </w:r>
          </w:p>
        </w:tc>
        <w:tc>
          <w:tcPr>
            <w:tcW w:w="1036" w:type="dxa"/>
            <w:tcBorders>
              <w:top w:val="nil"/>
              <w:left w:val="nil"/>
              <w:bottom w:val="nil"/>
              <w:right w:val="nil"/>
            </w:tcBorders>
            <w:shd w:val="clear" w:color="FFFFFF" w:fill="FFFFFF"/>
            <w:noWrap/>
            <w:vAlign w:val="bottom"/>
            <w:hideMark/>
          </w:tcPr>
          <w:p w14:paraId="186EE813" w14:textId="77777777" w:rsidR="00C32CBD" w:rsidRDefault="00C32CBD" w:rsidP="00320D09">
            <w:pPr>
              <w:jc w:val="right"/>
              <w:rPr>
                <w:rFonts w:cs="Arial"/>
                <w:b/>
                <w:bCs/>
                <w:sz w:val="18"/>
                <w:szCs w:val="18"/>
              </w:rPr>
            </w:pPr>
            <w:r>
              <w:rPr>
                <w:rFonts w:cs="Arial"/>
                <w:b/>
                <w:bCs/>
                <w:sz w:val="18"/>
                <w:szCs w:val="18"/>
              </w:rPr>
              <w:t>$'000</w:t>
            </w:r>
          </w:p>
        </w:tc>
        <w:tc>
          <w:tcPr>
            <w:tcW w:w="267" w:type="dxa"/>
            <w:tcBorders>
              <w:top w:val="nil"/>
              <w:left w:val="nil"/>
              <w:bottom w:val="nil"/>
              <w:right w:val="nil"/>
            </w:tcBorders>
            <w:shd w:val="clear" w:color="FFFFFF" w:fill="FFFFFF"/>
            <w:noWrap/>
            <w:vAlign w:val="bottom"/>
            <w:hideMark/>
          </w:tcPr>
          <w:p w14:paraId="71C9DCEB" w14:textId="77777777" w:rsidR="00C32CBD" w:rsidRDefault="00C32CBD" w:rsidP="00320D09">
            <w:pPr>
              <w:rPr>
                <w:rFonts w:cs="Arial"/>
                <w:sz w:val="18"/>
                <w:szCs w:val="18"/>
              </w:rPr>
            </w:pPr>
            <w:r>
              <w:rPr>
                <w:rFonts w:cs="Arial"/>
                <w:sz w:val="18"/>
                <w:szCs w:val="18"/>
              </w:rPr>
              <w:t> </w:t>
            </w:r>
          </w:p>
        </w:tc>
        <w:tc>
          <w:tcPr>
            <w:tcW w:w="1036" w:type="dxa"/>
            <w:tcBorders>
              <w:top w:val="nil"/>
              <w:left w:val="nil"/>
              <w:bottom w:val="nil"/>
              <w:right w:val="nil"/>
            </w:tcBorders>
            <w:shd w:val="clear" w:color="FFFFFF" w:fill="FFFFFF"/>
            <w:noWrap/>
            <w:vAlign w:val="bottom"/>
            <w:hideMark/>
          </w:tcPr>
          <w:p w14:paraId="682D102A" w14:textId="77777777" w:rsidR="00C32CBD" w:rsidRDefault="00C32CBD" w:rsidP="00320D09">
            <w:pPr>
              <w:jc w:val="right"/>
              <w:rPr>
                <w:rFonts w:cs="Arial"/>
                <w:sz w:val="18"/>
                <w:szCs w:val="18"/>
              </w:rPr>
            </w:pPr>
            <w:r>
              <w:rPr>
                <w:rFonts w:cs="Arial"/>
                <w:sz w:val="18"/>
                <w:szCs w:val="18"/>
              </w:rPr>
              <w:t>$'000</w:t>
            </w:r>
          </w:p>
        </w:tc>
      </w:tr>
      <w:tr w:rsidR="00C32CBD" w14:paraId="1E83A09A" w14:textId="77777777" w:rsidTr="00320D09">
        <w:trPr>
          <w:trHeight w:val="240"/>
        </w:trPr>
        <w:tc>
          <w:tcPr>
            <w:tcW w:w="6656" w:type="dxa"/>
            <w:tcBorders>
              <w:top w:val="nil"/>
              <w:left w:val="nil"/>
              <w:bottom w:val="nil"/>
              <w:right w:val="nil"/>
            </w:tcBorders>
            <w:shd w:val="clear" w:color="FFFFFF" w:fill="FFFFFF"/>
            <w:noWrap/>
            <w:vAlign w:val="bottom"/>
            <w:hideMark/>
          </w:tcPr>
          <w:p w14:paraId="4CF8E09C" w14:textId="77777777" w:rsidR="00C32CBD" w:rsidRDefault="00C32CBD" w:rsidP="00320D09">
            <w:pPr>
              <w:rPr>
                <w:rFonts w:cs="Arial"/>
                <w:b/>
                <w:bCs/>
                <w:sz w:val="18"/>
                <w:szCs w:val="18"/>
                <w:u w:val="single"/>
              </w:rPr>
            </w:pPr>
            <w:r>
              <w:rPr>
                <w:rFonts w:cs="Arial"/>
                <w:b/>
                <w:bCs/>
                <w:sz w:val="18"/>
                <w:szCs w:val="18"/>
                <w:u w:val="single"/>
              </w:rPr>
              <w:t>Note 4.4A: Remuneration of auditors</w:t>
            </w:r>
          </w:p>
        </w:tc>
        <w:tc>
          <w:tcPr>
            <w:tcW w:w="1036" w:type="dxa"/>
            <w:tcBorders>
              <w:top w:val="nil"/>
              <w:left w:val="nil"/>
              <w:bottom w:val="nil"/>
              <w:right w:val="nil"/>
            </w:tcBorders>
            <w:shd w:val="clear" w:color="FFFFFF" w:fill="FFFFFF"/>
            <w:noWrap/>
            <w:vAlign w:val="bottom"/>
            <w:hideMark/>
          </w:tcPr>
          <w:p w14:paraId="02CDA0F5" w14:textId="77777777" w:rsidR="00C32CBD" w:rsidRDefault="00C32CBD" w:rsidP="00320D09">
            <w:pPr>
              <w:rPr>
                <w:rFonts w:cs="Arial"/>
                <w:sz w:val="18"/>
                <w:szCs w:val="18"/>
              </w:rPr>
            </w:pPr>
            <w:r>
              <w:rPr>
                <w:rFonts w:cs="Arial"/>
                <w:sz w:val="18"/>
                <w:szCs w:val="18"/>
              </w:rPr>
              <w:t> </w:t>
            </w:r>
          </w:p>
        </w:tc>
        <w:tc>
          <w:tcPr>
            <w:tcW w:w="267" w:type="dxa"/>
            <w:tcBorders>
              <w:top w:val="nil"/>
              <w:left w:val="nil"/>
              <w:bottom w:val="nil"/>
              <w:right w:val="nil"/>
            </w:tcBorders>
            <w:shd w:val="clear" w:color="FFFFFF" w:fill="FFFFFF"/>
            <w:noWrap/>
            <w:vAlign w:val="bottom"/>
            <w:hideMark/>
          </w:tcPr>
          <w:p w14:paraId="25A49A24" w14:textId="77777777" w:rsidR="00C32CBD" w:rsidRDefault="00C32CBD" w:rsidP="00320D09">
            <w:pPr>
              <w:rPr>
                <w:rFonts w:cs="Arial"/>
                <w:sz w:val="18"/>
                <w:szCs w:val="18"/>
              </w:rPr>
            </w:pPr>
            <w:r>
              <w:rPr>
                <w:rFonts w:cs="Arial"/>
                <w:sz w:val="18"/>
                <w:szCs w:val="18"/>
              </w:rPr>
              <w:t> </w:t>
            </w:r>
          </w:p>
        </w:tc>
        <w:tc>
          <w:tcPr>
            <w:tcW w:w="1036" w:type="dxa"/>
            <w:tcBorders>
              <w:top w:val="nil"/>
              <w:left w:val="nil"/>
              <w:bottom w:val="nil"/>
              <w:right w:val="nil"/>
            </w:tcBorders>
            <w:shd w:val="clear" w:color="FFFFFF" w:fill="FFFFFF"/>
            <w:noWrap/>
            <w:vAlign w:val="bottom"/>
            <w:hideMark/>
          </w:tcPr>
          <w:p w14:paraId="36BA2754" w14:textId="77777777" w:rsidR="00C32CBD" w:rsidRDefault="00C32CBD" w:rsidP="00320D09">
            <w:pPr>
              <w:rPr>
                <w:rFonts w:cs="Arial"/>
                <w:sz w:val="18"/>
                <w:szCs w:val="18"/>
              </w:rPr>
            </w:pPr>
            <w:r>
              <w:rPr>
                <w:rFonts w:cs="Arial"/>
                <w:sz w:val="18"/>
                <w:szCs w:val="18"/>
              </w:rPr>
              <w:t> </w:t>
            </w:r>
          </w:p>
        </w:tc>
      </w:tr>
      <w:tr w:rsidR="00C32CBD" w14:paraId="4219E7C7" w14:textId="77777777" w:rsidTr="00320D09">
        <w:trPr>
          <w:trHeight w:val="240"/>
        </w:trPr>
        <w:tc>
          <w:tcPr>
            <w:tcW w:w="6656" w:type="dxa"/>
            <w:tcBorders>
              <w:top w:val="nil"/>
              <w:left w:val="nil"/>
              <w:bottom w:val="nil"/>
              <w:right w:val="nil"/>
            </w:tcBorders>
            <w:shd w:val="clear" w:color="FFFFFF" w:fill="FFFFFF"/>
            <w:vAlign w:val="bottom"/>
            <w:hideMark/>
          </w:tcPr>
          <w:p w14:paraId="3AB4FAAE" w14:textId="77777777" w:rsidR="00C32CBD" w:rsidRDefault="00C32CBD" w:rsidP="00320D09">
            <w:pPr>
              <w:rPr>
                <w:rFonts w:cs="Arial"/>
                <w:b/>
                <w:bCs/>
                <w:sz w:val="18"/>
                <w:szCs w:val="18"/>
              </w:rPr>
            </w:pPr>
            <w:r>
              <w:rPr>
                <w:rFonts w:cs="Arial"/>
                <w:b/>
                <w:bCs/>
                <w:sz w:val="18"/>
                <w:szCs w:val="18"/>
              </w:rPr>
              <w:t>Fair value of services received</w:t>
            </w:r>
          </w:p>
        </w:tc>
        <w:tc>
          <w:tcPr>
            <w:tcW w:w="1036" w:type="dxa"/>
            <w:tcBorders>
              <w:top w:val="nil"/>
              <w:left w:val="nil"/>
              <w:bottom w:val="nil"/>
              <w:right w:val="nil"/>
            </w:tcBorders>
            <w:shd w:val="clear" w:color="FFFFFF" w:fill="FFFFFF"/>
            <w:noWrap/>
            <w:vAlign w:val="bottom"/>
            <w:hideMark/>
          </w:tcPr>
          <w:p w14:paraId="4C01AAAB" w14:textId="77777777" w:rsidR="00C32CBD" w:rsidRDefault="00C32CBD" w:rsidP="00320D09">
            <w:pPr>
              <w:jc w:val="right"/>
              <w:rPr>
                <w:rFonts w:cs="Arial"/>
                <w:b/>
                <w:bCs/>
                <w:sz w:val="18"/>
                <w:szCs w:val="18"/>
              </w:rPr>
            </w:pPr>
            <w:r>
              <w:rPr>
                <w:rFonts w:cs="Arial"/>
                <w:b/>
                <w:bCs/>
                <w:sz w:val="18"/>
                <w:szCs w:val="18"/>
              </w:rPr>
              <w:t> </w:t>
            </w:r>
          </w:p>
        </w:tc>
        <w:tc>
          <w:tcPr>
            <w:tcW w:w="267" w:type="dxa"/>
            <w:tcBorders>
              <w:top w:val="nil"/>
              <w:left w:val="nil"/>
              <w:bottom w:val="nil"/>
              <w:right w:val="nil"/>
            </w:tcBorders>
            <w:shd w:val="clear" w:color="FFFFFF" w:fill="FFFFFF"/>
            <w:noWrap/>
            <w:vAlign w:val="bottom"/>
            <w:hideMark/>
          </w:tcPr>
          <w:p w14:paraId="76FD4A91" w14:textId="77777777" w:rsidR="00C32CBD" w:rsidRDefault="00C32CBD" w:rsidP="00320D09">
            <w:pPr>
              <w:rPr>
                <w:rFonts w:cs="Arial"/>
                <w:b/>
                <w:bCs/>
                <w:sz w:val="18"/>
                <w:szCs w:val="18"/>
              </w:rPr>
            </w:pPr>
            <w:r>
              <w:rPr>
                <w:rFonts w:cs="Arial"/>
                <w:b/>
                <w:bCs/>
                <w:sz w:val="18"/>
                <w:szCs w:val="18"/>
              </w:rPr>
              <w:t> </w:t>
            </w:r>
          </w:p>
        </w:tc>
        <w:tc>
          <w:tcPr>
            <w:tcW w:w="1036" w:type="dxa"/>
            <w:tcBorders>
              <w:top w:val="nil"/>
              <w:left w:val="nil"/>
              <w:bottom w:val="nil"/>
              <w:right w:val="nil"/>
            </w:tcBorders>
            <w:shd w:val="clear" w:color="FFFFFF" w:fill="FFFFFF"/>
            <w:noWrap/>
            <w:vAlign w:val="bottom"/>
            <w:hideMark/>
          </w:tcPr>
          <w:p w14:paraId="6E22A4D1" w14:textId="77777777" w:rsidR="00C32CBD" w:rsidRDefault="00C32CBD" w:rsidP="00320D09">
            <w:pPr>
              <w:jc w:val="right"/>
              <w:rPr>
                <w:rFonts w:cs="Arial"/>
                <w:sz w:val="18"/>
                <w:szCs w:val="18"/>
              </w:rPr>
            </w:pPr>
            <w:r>
              <w:rPr>
                <w:rFonts w:cs="Arial"/>
                <w:sz w:val="18"/>
                <w:szCs w:val="18"/>
              </w:rPr>
              <w:t> </w:t>
            </w:r>
          </w:p>
        </w:tc>
      </w:tr>
      <w:tr w:rsidR="00C32CBD" w14:paraId="1F2ED4DE" w14:textId="77777777" w:rsidTr="00320D09">
        <w:trPr>
          <w:trHeight w:val="240"/>
        </w:trPr>
        <w:tc>
          <w:tcPr>
            <w:tcW w:w="6656" w:type="dxa"/>
            <w:tcBorders>
              <w:top w:val="nil"/>
              <w:left w:val="nil"/>
              <w:bottom w:val="nil"/>
              <w:right w:val="nil"/>
            </w:tcBorders>
            <w:shd w:val="clear" w:color="FFFFFF" w:fill="FFFFFF"/>
            <w:vAlign w:val="bottom"/>
            <w:hideMark/>
          </w:tcPr>
          <w:p w14:paraId="76DD8EE3" w14:textId="77777777" w:rsidR="00C32CBD" w:rsidRDefault="00C32CBD" w:rsidP="00320D09">
            <w:pPr>
              <w:ind w:firstLineChars="100" w:firstLine="180"/>
              <w:rPr>
                <w:rFonts w:cs="Arial"/>
                <w:sz w:val="18"/>
                <w:szCs w:val="18"/>
              </w:rPr>
            </w:pPr>
            <w:r>
              <w:rPr>
                <w:rFonts w:cs="Arial"/>
                <w:sz w:val="18"/>
                <w:szCs w:val="18"/>
              </w:rPr>
              <w:t>Financial statement audit services</w:t>
            </w:r>
          </w:p>
        </w:tc>
        <w:tc>
          <w:tcPr>
            <w:tcW w:w="1036" w:type="dxa"/>
            <w:tcBorders>
              <w:top w:val="nil"/>
              <w:left w:val="nil"/>
              <w:bottom w:val="nil"/>
              <w:right w:val="nil"/>
            </w:tcBorders>
            <w:shd w:val="clear" w:color="FFFFFF" w:fill="FFFFFF"/>
            <w:noWrap/>
            <w:vAlign w:val="bottom"/>
            <w:hideMark/>
          </w:tcPr>
          <w:p w14:paraId="2CBF9340" w14:textId="77777777" w:rsidR="00C32CBD" w:rsidRDefault="00C32CBD" w:rsidP="00320D09">
            <w:pPr>
              <w:jc w:val="right"/>
              <w:rPr>
                <w:rFonts w:cs="Arial"/>
                <w:b/>
                <w:bCs/>
                <w:sz w:val="18"/>
                <w:szCs w:val="18"/>
              </w:rPr>
            </w:pPr>
            <w:r>
              <w:rPr>
                <w:rFonts w:cs="Arial"/>
                <w:b/>
                <w:bCs/>
                <w:sz w:val="18"/>
                <w:szCs w:val="18"/>
              </w:rPr>
              <w:t>755</w:t>
            </w:r>
          </w:p>
        </w:tc>
        <w:tc>
          <w:tcPr>
            <w:tcW w:w="267" w:type="dxa"/>
            <w:tcBorders>
              <w:top w:val="nil"/>
              <w:left w:val="nil"/>
              <w:bottom w:val="nil"/>
              <w:right w:val="nil"/>
            </w:tcBorders>
            <w:shd w:val="clear" w:color="FFFFFF" w:fill="FFFFFF"/>
            <w:noWrap/>
            <w:vAlign w:val="bottom"/>
            <w:hideMark/>
          </w:tcPr>
          <w:p w14:paraId="4C80D099" w14:textId="77777777" w:rsidR="00C32CBD" w:rsidRDefault="00C32CBD" w:rsidP="00320D09">
            <w:pPr>
              <w:rPr>
                <w:rFonts w:cs="Arial"/>
                <w:b/>
                <w:bCs/>
                <w:sz w:val="18"/>
                <w:szCs w:val="18"/>
              </w:rPr>
            </w:pPr>
            <w:r>
              <w:rPr>
                <w:rFonts w:cs="Arial"/>
                <w:b/>
                <w:bCs/>
                <w:sz w:val="18"/>
                <w:szCs w:val="18"/>
              </w:rPr>
              <w:t> </w:t>
            </w:r>
          </w:p>
        </w:tc>
        <w:tc>
          <w:tcPr>
            <w:tcW w:w="1036" w:type="dxa"/>
            <w:tcBorders>
              <w:top w:val="nil"/>
              <w:left w:val="nil"/>
              <w:bottom w:val="nil"/>
              <w:right w:val="nil"/>
            </w:tcBorders>
            <w:shd w:val="clear" w:color="FFFFFF" w:fill="FFFFFF"/>
            <w:noWrap/>
            <w:vAlign w:val="bottom"/>
            <w:hideMark/>
          </w:tcPr>
          <w:p w14:paraId="04CF48F7" w14:textId="77777777" w:rsidR="00C32CBD" w:rsidRDefault="00C32CBD" w:rsidP="00320D09">
            <w:pPr>
              <w:jc w:val="right"/>
              <w:rPr>
                <w:rFonts w:cs="Arial"/>
                <w:sz w:val="18"/>
                <w:szCs w:val="18"/>
              </w:rPr>
            </w:pPr>
            <w:r>
              <w:rPr>
                <w:rFonts w:cs="Arial"/>
                <w:sz w:val="18"/>
                <w:szCs w:val="18"/>
              </w:rPr>
              <w:t>737</w:t>
            </w:r>
          </w:p>
        </w:tc>
      </w:tr>
      <w:tr w:rsidR="00C32CBD" w14:paraId="4B9173FB" w14:textId="77777777" w:rsidTr="00320D09">
        <w:trPr>
          <w:trHeight w:val="240"/>
        </w:trPr>
        <w:tc>
          <w:tcPr>
            <w:tcW w:w="6656" w:type="dxa"/>
            <w:tcBorders>
              <w:top w:val="nil"/>
              <w:left w:val="nil"/>
              <w:bottom w:val="nil"/>
              <w:right w:val="nil"/>
            </w:tcBorders>
            <w:shd w:val="clear" w:color="FFFFFF" w:fill="FFFFFF"/>
            <w:vAlign w:val="bottom"/>
            <w:hideMark/>
          </w:tcPr>
          <w:p w14:paraId="62A917C5" w14:textId="77777777" w:rsidR="00C32CBD" w:rsidRDefault="00C32CBD" w:rsidP="00320D09">
            <w:pPr>
              <w:rPr>
                <w:rFonts w:cs="Arial"/>
                <w:b/>
                <w:bCs/>
                <w:sz w:val="18"/>
                <w:szCs w:val="18"/>
              </w:rPr>
            </w:pPr>
            <w:r>
              <w:rPr>
                <w:rFonts w:cs="Arial"/>
                <w:b/>
                <w:bCs/>
                <w:sz w:val="18"/>
                <w:szCs w:val="18"/>
              </w:rPr>
              <w:t>Total Remuneration of Auditors</w:t>
            </w:r>
          </w:p>
        </w:tc>
        <w:tc>
          <w:tcPr>
            <w:tcW w:w="1036" w:type="dxa"/>
            <w:tcBorders>
              <w:top w:val="single" w:sz="4" w:space="0" w:color="auto"/>
              <w:left w:val="nil"/>
              <w:bottom w:val="single" w:sz="4" w:space="0" w:color="auto"/>
              <w:right w:val="nil"/>
            </w:tcBorders>
            <w:shd w:val="clear" w:color="FFFFFF" w:fill="FFFFFF"/>
            <w:noWrap/>
            <w:vAlign w:val="bottom"/>
            <w:hideMark/>
          </w:tcPr>
          <w:p w14:paraId="0C01D994" w14:textId="77777777" w:rsidR="00C32CBD" w:rsidRDefault="00C32CBD" w:rsidP="00320D09">
            <w:pPr>
              <w:jc w:val="right"/>
              <w:rPr>
                <w:rFonts w:cs="Arial"/>
                <w:b/>
                <w:bCs/>
                <w:sz w:val="18"/>
                <w:szCs w:val="18"/>
              </w:rPr>
            </w:pPr>
            <w:r>
              <w:rPr>
                <w:rFonts w:cs="Arial"/>
                <w:b/>
                <w:bCs/>
                <w:sz w:val="18"/>
                <w:szCs w:val="18"/>
              </w:rPr>
              <w:t>755</w:t>
            </w:r>
          </w:p>
        </w:tc>
        <w:tc>
          <w:tcPr>
            <w:tcW w:w="267" w:type="dxa"/>
            <w:tcBorders>
              <w:top w:val="nil"/>
              <w:left w:val="nil"/>
              <w:bottom w:val="nil"/>
              <w:right w:val="nil"/>
            </w:tcBorders>
            <w:shd w:val="clear" w:color="FFFFFF" w:fill="FFFFFF"/>
            <w:noWrap/>
            <w:vAlign w:val="bottom"/>
            <w:hideMark/>
          </w:tcPr>
          <w:p w14:paraId="3E04C3A7" w14:textId="77777777" w:rsidR="00C32CBD" w:rsidRDefault="00C32CBD" w:rsidP="00320D09">
            <w:pPr>
              <w:rPr>
                <w:rFonts w:cs="Arial"/>
                <w:sz w:val="18"/>
                <w:szCs w:val="18"/>
              </w:rPr>
            </w:pPr>
            <w:r>
              <w:rPr>
                <w:rFonts w:cs="Arial"/>
                <w:sz w:val="18"/>
                <w:szCs w:val="18"/>
              </w:rPr>
              <w:t> </w:t>
            </w:r>
          </w:p>
        </w:tc>
        <w:tc>
          <w:tcPr>
            <w:tcW w:w="1036" w:type="dxa"/>
            <w:tcBorders>
              <w:top w:val="single" w:sz="4" w:space="0" w:color="auto"/>
              <w:left w:val="nil"/>
              <w:bottom w:val="single" w:sz="4" w:space="0" w:color="auto"/>
              <w:right w:val="nil"/>
            </w:tcBorders>
            <w:shd w:val="clear" w:color="FFFFFF" w:fill="FFFFFF"/>
            <w:noWrap/>
            <w:vAlign w:val="bottom"/>
            <w:hideMark/>
          </w:tcPr>
          <w:p w14:paraId="57D2C30B" w14:textId="77777777" w:rsidR="00C32CBD" w:rsidRDefault="00C32CBD" w:rsidP="00320D09">
            <w:pPr>
              <w:jc w:val="right"/>
              <w:rPr>
                <w:rFonts w:cs="Arial"/>
                <w:sz w:val="18"/>
                <w:szCs w:val="18"/>
              </w:rPr>
            </w:pPr>
            <w:r>
              <w:rPr>
                <w:rFonts w:cs="Arial"/>
                <w:sz w:val="18"/>
                <w:szCs w:val="18"/>
              </w:rPr>
              <w:t>737</w:t>
            </w:r>
          </w:p>
        </w:tc>
      </w:tr>
    </w:tbl>
    <w:p w14:paraId="261B4F1C" w14:textId="77777777" w:rsidR="00C32CBD" w:rsidRDefault="00C32CBD" w:rsidP="00C32CBD">
      <w:pPr>
        <w:spacing w:line="240" w:lineRule="auto"/>
      </w:pPr>
    </w:p>
    <w:p w14:paraId="00B6A05F" w14:textId="77777777" w:rsidR="00C32CBD" w:rsidRDefault="00C32CBD" w:rsidP="00C32CBD">
      <w:pPr>
        <w:spacing w:line="240" w:lineRule="auto"/>
      </w:pPr>
      <w:r>
        <w:rPr>
          <w:rFonts w:cs="Arial"/>
          <w:sz w:val="18"/>
          <w:szCs w:val="18"/>
        </w:rPr>
        <w:t>The Agency’s auditor is the Australian National Audit Office (ANAO).</w:t>
      </w:r>
    </w:p>
    <w:p w14:paraId="7932FCA7" w14:textId="77777777" w:rsidR="00C32CBD" w:rsidRDefault="00C32CBD" w:rsidP="00C32CBD">
      <w:pPr>
        <w:spacing w:line="240" w:lineRule="auto"/>
      </w:pPr>
    </w:p>
    <w:p w14:paraId="34138FF3" w14:textId="77777777" w:rsidR="00C32CBD" w:rsidRDefault="00C32CBD" w:rsidP="00C32CBD">
      <w:pPr>
        <w:spacing w:line="240" w:lineRule="auto"/>
      </w:pPr>
      <w:r>
        <w:br w:type="page"/>
      </w:r>
    </w:p>
    <w:p w14:paraId="6D863744" w14:textId="77777777" w:rsidR="00C32CBD" w:rsidRPr="005E5430" w:rsidRDefault="00C32CBD" w:rsidP="00C32CBD">
      <w:pPr>
        <w:spacing w:line="240" w:lineRule="auto"/>
      </w:pPr>
    </w:p>
    <w:p w14:paraId="51030B50" w14:textId="77777777" w:rsidR="00C32CBD" w:rsidRDefault="00C32CBD" w:rsidP="00C32CBD">
      <w:pPr>
        <w:pStyle w:val="SectionHeading"/>
      </w:pPr>
      <w:bookmarkStart w:id="251" w:name="_Toc443469547"/>
      <w:bookmarkStart w:id="252" w:name="_Toc444065802"/>
      <w:bookmarkStart w:id="253" w:name="_Toc444079999"/>
      <w:bookmarkStart w:id="254" w:name="_Toc447030548"/>
      <w:bookmarkStart w:id="255" w:name="_Toc447030700"/>
      <w:bookmarkStart w:id="256" w:name="_Toc447030793"/>
      <w:bookmarkStart w:id="257" w:name="_Toc456865071"/>
      <w:bookmarkStart w:id="258" w:name="_Toc496611914"/>
      <w:bookmarkEnd w:id="200"/>
      <w:bookmarkEnd w:id="201"/>
      <w:bookmarkEnd w:id="202"/>
      <w:r>
        <w:t>Managing Uncertainties</w:t>
      </w:r>
      <w:bookmarkEnd w:id="251"/>
      <w:bookmarkEnd w:id="252"/>
      <w:bookmarkEnd w:id="253"/>
      <w:bookmarkEnd w:id="254"/>
      <w:bookmarkEnd w:id="255"/>
      <w:bookmarkEnd w:id="256"/>
      <w:bookmarkEnd w:id="257"/>
      <w:bookmarkEnd w:id="258"/>
    </w:p>
    <w:p w14:paraId="7CD5CD35" w14:textId="77777777" w:rsidR="00C32CBD" w:rsidRDefault="00C32CBD" w:rsidP="00C32CBD">
      <w:pPr>
        <w:pStyle w:val="SectionHeadingDescription"/>
      </w:pPr>
      <w:r w:rsidRPr="00185212">
        <w:t xml:space="preserve">This section analyses </w:t>
      </w:r>
      <w:r w:rsidRPr="00F40720">
        <w:t>how</w:t>
      </w:r>
      <w:r w:rsidRPr="00185212">
        <w:t xml:space="preserve"> the </w:t>
      </w:r>
      <w:r>
        <w:t>Agency</w:t>
      </w:r>
      <w:r w:rsidRPr="00185212">
        <w:t xml:space="preserve"> manages financial risks within its operating environment.</w:t>
      </w:r>
    </w:p>
    <w:p w14:paraId="312E5F98" w14:textId="77777777" w:rsidR="00C32CBD" w:rsidRPr="00714F4A" w:rsidRDefault="00C32CBD" w:rsidP="00C32CBD">
      <w:pPr>
        <w:pStyle w:val="ListParagraph"/>
        <w:numPr>
          <w:ilvl w:val="0"/>
          <w:numId w:val="28"/>
        </w:numPr>
        <w:shd w:val="clear" w:color="auto" w:fill="FEFFFF" w:themeFill="text1"/>
        <w:spacing w:before="0" w:after="0" w:line="260" w:lineRule="atLeast"/>
        <w:contextualSpacing w:val="0"/>
        <w:outlineLvl w:val="1"/>
        <w:rPr>
          <w:rFonts w:eastAsia="Times New Roman" w:cs="Arial"/>
          <w:b/>
          <w:vanish/>
          <w:szCs w:val="20"/>
        </w:rPr>
      </w:pPr>
      <w:bookmarkStart w:id="259" w:name="_Toc447116457"/>
      <w:bookmarkStart w:id="260" w:name="_Toc447542891"/>
      <w:bookmarkStart w:id="261" w:name="_Toc447787268"/>
      <w:bookmarkStart w:id="262" w:name="_Toc448415768"/>
      <w:bookmarkStart w:id="263" w:name="_Toc448500693"/>
      <w:bookmarkStart w:id="264" w:name="_Toc449452855"/>
      <w:bookmarkStart w:id="265" w:name="_Toc456185897"/>
      <w:bookmarkStart w:id="266" w:name="_Toc456185954"/>
      <w:bookmarkStart w:id="267" w:name="_Toc456256315"/>
      <w:bookmarkStart w:id="268" w:name="_Toc456865072"/>
      <w:bookmarkStart w:id="269" w:name="_Toc443469548"/>
      <w:bookmarkStart w:id="270" w:name="_Toc444065803"/>
      <w:bookmarkStart w:id="271" w:name="_Toc444080000"/>
      <w:bookmarkStart w:id="272" w:name="_Toc447030549"/>
      <w:bookmarkStart w:id="273" w:name="_Toc447030701"/>
      <w:bookmarkStart w:id="274" w:name="_Toc447030794"/>
      <w:bookmarkEnd w:id="259"/>
      <w:bookmarkEnd w:id="260"/>
      <w:bookmarkEnd w:id="261"/>
      <w:bookmarkEnd w:id="262"/>
      <w:bookmarkEnd w:id="263"/>
      <w:bookmarkEnd w:id="264"/>
      <w:bookmarkEnd w:id="265"/>
      <w:bookmarkEnd w:id="266"/>
      <w:bookmarkEnd w:id="267"/>
      <w:bookmarkEnd w:id="268"/>
    </w:p>
    <w:p w14:paraId="5B160F14" w14:textId="77777777" w:rsidR="00C32CBD" w:rsidRPr="00F40720" w:rsidRDefault="00C32CBD" w:rsidP="00C32CBD">
      <w:pPr>
        <w:pStyle w:val="SubHeading"/>
      </w:pPr>
      <w:bookmarkStart w:id="275" w:name="_Toc456865073"/>
      <w:bookmarkStart w:id="276" w:name="_Toc496611915"/>
      <w:r w:rsidRPr="00F40720">
        <w:t>Contingent Assets and Liabilities</w:t>
      </w:r>
      <w:bookmarkEnd w:id="269"/>
      <w:bookmarkEnd w:id="270"/>
      <w:bookmarkEnd w:id="271"/>
      <w:bookmarkEnd w:id="272"/>
      <w:bookmarkEnd w:id="273"/>
      <w:bookmarkEnd w:id="274"/>
      <w:bookmarkEnd w:id="275"/>
      <w:bookmarkEnd w:id="276"/>
    </w:p>
    <w:p w14:paraId="784D4954" w14:textId="77777777" w:rsidR="00C32CBD" w:rsidRPr="005E5430" w:rsidRDefault="00C32CBD" w:rsidP="00C32CBD"/>
    <w:p w14:paraId="48031E44" w14:textId="77777777" w:rsidR="00C32CBD" w:rsidRPr="005E5430" w:rsidRDefault="00C32CBD" w:rsidP="00C32CBD">
      <w:pPr>
        <w:rPr>
          <w:rFonts w:cs="Arial"/>
          <w:b/>
          <w:sz w:val="18"/>
          <w:szCs w:val="18"/>
          <w:u w:val="single"/>
          <w:lang w:eastAsia="en-AU"/>
        </w:rPr>
      </w:pPr>
      <w:bookmarkStart w:id="277" w:name="_Ref338146507"/>
      <w:r w:rsidRPr="005E5430">
        <w:rPr>
          <w:rFonts w:cs="Arial"/>
          <w:b/>
          <w:sz w:val="18"/>
          <w:szCs w:val="18"/>
          <w:u w:val="single"/>
          <w:lang w:eastAsia="en-AU"/>
        </w:rPr>
        <w:t>Quantifiable Contingencies</w:t>
      </w:r>
    </w:p>
    <w:p w14:paraId="3AACEF32" w14:textId="1AA64F44" w:rsidR="00C32CBD" w:rsidRPr="005E5430" w:rsidRDefault="00C32CBD" w:rsidP="00C32CBD">
      <w:pPr>
        <w:rPr>
          <w:rFonts w:cs="Arial"/>
          <w:sz w:val="18"/>
          <w:szCs w:val="18"/>
          <w:lang w:eastAsia="en-AU"/>
        </w:rPr>
      </w:pPr>
      <w:r w:rsidRPr="005E5430">
        <w:rPr>
          <w:rFonts w:cs="Arial"/>
          <w:sz w:val="18"/>
          <w:szCs w:val="18"/>
          <w:lang w:eastAsia="en-AU"/>
        </w:rPr>
        <w:t xml:space="preserve">As at </w:t>
      </w:r>
      <w:r w:rsidR="004C3B44" w:rsidRPr="004C3B44">
        <w:t>30 June 2017</w:t>
      </w:r>
      <w:r w:rsidRPr="005E5430">
        <w:rPr>
          <w:rFonts w:cs="Arial"/>
          <w:sz w:val="18"/>
          <w:szCs w:val="18"/>
          <w:lang w:eastAsia="en-AU"/>
        </w:rPr>
        <w:t>, the Agency had no quantifiable contingencies</w:t>
      </w:r>
      <w:r>
        <w:rPr>
          <w:rFonts w:cs="Arial"/>
          <w:sz w:val="18"/>
          <w:szCs w:val="18"/>
          <w:lang w:eastAsia="en-AU"/>
        </w:rPr>
        <w:t xml:space="preserve"> (2016</w:t>
      </w:r>
      <w:r w:rsidRPr="005E5430">
        <w:rPr>
          <w:rFonts w:cs="Arial"/>
          <w:sz w:val="18"/>
          <w:szCs w:val="18"/>
          <w:lang w:eastAsia="en-AU"/>
        </w:rPr>
        <w:t>: $nil).</w:t>
      </w:r>
    </w:p>
    <w:p w14:paraId="17611880" w14:textId="77777777" w:rsidR="00C32CBD" w:rsidRPr="005E5430" w:rsidRDefault="00C32CBD" w:rsidP="00C32CBD">
      <w:pPr>
        <w:rPr>
          <w:rFonts w:cs="Arial"/>
          <w:sz w:val="18"/>
          <w:szCs w:val="18"/>
          <w:lang w:eastAsia="en-AU"/>
        </w:rPr>
      </w:pPr>
    </w:p>
    <w:p w14:paraId="02F596FC" w14:textId="77777777" w:rsidR="00C32CBD" w:rsidRPr="005E5430" w:rsidRDefault="00C32CBD" w:rsidP="00C32CBD">
      <w:pPr>
        <w:rPr>
          <w:rFonts w:cs="Arial"/>
          <w:b/>
          <w:sz w:val="18"/>
          <w:szCs w:val="18"/>
          <w:u w:val="single"/>
          <w:lang w:eastAsia="en-AU"/>
        </w:rPr>
      </w:pPr>
      <w:r w:rsidRPr="005E5430">
        <w:rPr>
          <w:rFonts w:cs="Arial"/>
          <w:b/>
          <w:sz w:val="18"/>
          <w:szCs w:val="18"/>
          <w:u w:val="single"/>
          <w:lang w:eastAsia="en-AU"/>
        </w:rPr>
        <w:t>Unquantifiable Contingencies</w:t>
      </w:r>
    </w:p>
    <w:p w14:paraId="22ADE2AB" w14:textId="10F77F2C" w:rsidR="00C32CBD" w:rsidRPr="005E5430" w:rsidRDefault="00C32CBD" w:rsidP="00C32CBD">
      <w:pPr>
        <w:rPr>
          <w:rFonts w:cs="Arial"/>
          <w:sz w:val="18"/>
          <w:szCs w:val="18"/>
          <w:lang w:eastAsia="en-AU"/>
        </w:rPr>
      </w:pPr>
      <w:r w:rsidRPr="005E5430">
        <w:rPr>
          <w:rFonts w:cs="Arial"/>
          <w:sz w:val="18"/>
          <w:szCs w:val="18"/>
          <w:lang w:eastAsia="en-AU"/>
        </w:rPr>
        <w:t xml:space="preserve">As at </w:t>
      </w:r>
      <w:r w:rsidR="004C3B44" w:rsidRPr="004C3B44">
        <w:t>30 June 2017</w:t>
      </w:r>
      <w:r w:rsidRPr="005E5430">
        <w:rPr>
          <w:rFonts w:cs="Arial"/>
          <w:sz w:val="18"/>
          <w:szCs w:val="18"/>
          <w:lang w:eastAsia="en-AU"/>
        </w:rPr>
        <w:t>, the Agency had no unquantifiable contingencies</w:t>
      </w:r>
      <w:r>
        <w:rPr>
          <w:rFonts w:cs="Arial"/>
          <w:sz w:val="18"/>
          <w:szCs w:val="18"/>
          <w:lang w:eastAsia="en-AU"/>
        </w:rPr>
        <w:t xml:space="preserve"> (2016</w:t>
      </w:r>
      <w:r w:rsidRPr="005E5430">
        <w:rPr>
          <w:rFonts w:cs="Arial"/>
          <w:sz w:val="18"/>
          <w:szCs w:val="18"/>
          <w:lang w:eastAsia="en-AU"/>
        </w:rPr>
        <w:t>: $nil).</w:t>
      </w:r>
    </w:p>
    <w:p w14:paraId="03DD788B" w14:textId="77777777" w:rsidR="00C32CBD" w:rsidRPr="005E5430" w:rsidRDefault="00C32CBD" w:rsidP="00C32CBD">
      <w:pPr>
        <w:rPr>
          <w:rFonts w:cs="Arial"/>
          <w:sz w:val="18"/>
          <w:szCs w:val="18"/>
          <w:lang w:eastAsia="en-AU"/>
        </w:rPr>
      </w:pPr>
    </w:p>
    <w:p w14:paraId="62661C60" w14:textId="77777777" w:rsidR="00C32CBD" w:rsidRPr="00F47522" w:rsidRDefault="00C32CBD" w:rsidP="00C32CBD">
      <w:pPr>
        <w:pStyle w:val="PolicytextDept"/>
        <w:pBdr>
          <w:top w:val="single" w:sz="4" w:space="0" w:color="009560"/>
        </w:pBdr>
        <w:rPr>
          <w:b/>
        </w:rPr>
      </w:pPr>
      <w:r w:rsidRPr="00F47522">
        <w:rPr>
          <w:b/>
        </w:rPr>
        <w:t>Accounting Policy</w:t>
      </w:r>
    </w:p>
    <w:p w14:paraId="025B6B57" w14:textId="77777777" w:rsidR="00C32CBD" w:rsidRDefault="00C32CBD" w:rsidP="00C32CBD">
      <w:pPr>
        <w:pStyle w:val="PolicytextDept"/>
        <w:pBdr>
          <w:top w:val="single" w:sz="4" w:space="0" w:color="009560"/>
        </w:pBdr>
      </w:pPr>
      <w:r w:rsidRPr="00F47522">
        <w:t>Contingent liabilities and contingent assets are not recognised in the Statement of Financial Position but are reported in the notes. They may arise from uncertainty as to the existence of a liability or asset or represent an asset or liability in respect of which the amount cannot be reliably measured. Contingent assets are disclosed when settlement is probable but not virtually certain and contingent liabilities are disclosed when settlement is greater than remote.</w:t>
      </w:r>
    </w:p>
    <w:p w14:paraId="0831A1A1" w14:textId="77777777" w:rsidR="00C32CBD" w:rsidRPr="005E5430" w:rsidRDefault="00C32CBD" w:rsidP="00C32CBD">
      <w:pPr>
        <w:rPr>
          <w:rFonts w:cs="Arial"/>
          <w:sz w:val="18"/>
          <w:szCs w:val="18"/>
          <w:lang w:eastAsia="en-AU"/>
        </w:rPr>
      </w:pPr>
    </w:p>
    <w:p w14:paraId="731259BB" w14:textId="77777777" w:rsidR="00C32CBD" w:rsidRPr="00F40720" w:rsidRDefault="00C32CBD" w:rsidP="00C32CBD">
      <w:pPr>
        <w:pStyle w:val="SubHeading"/>
      </w:pPr>
      <w:bookmarkStart w:id="278" w:name="_Toc443469549"/>
      <w:bookmarkStart w:id="279" w:name="_Toc444065804"/>
      <w:bookmarkStart w:id="280" w:name="_Toc444080001"/>
      <w:bookmarkStart w:id="281" w:name="_Toc447030550"/>
      <w:bookmarkStart w:id="282" w:name="_Toc447030702"/>
      <w:bookmarkStart w:id="283" w:name="_Toc447030795"/>
      <w:bookmarkStart w:id="284" w:name="_Toc456865074"/>
      <w:bookmarkStart w:id="285" w:name="_Toc496611916"/>
      <w:r w:rsidRPr="00F40720">
        <w:t>Financial Instruments</w:t>
      </w:r>
      <w:bookmarkEnd w:id="278"/>
      <w:bookmarkEnd w:id="279"/>
      <w:bookmarkEnd w:id="280"/>
      <w:bookmarkEnd w:id="281"/>
      <w:bookmarkEnd w:id="282"/>
      <w:bookmarkEnd w:id="283"/>
      <w:bookmarkEnd w:id="284"/>
      <w:bookmarkEnd w:id="285"/>
    </w:p>
    <w:tbl>
      <w:tblPr>
        <w:tblW w:w="9087" w:type="dxa"/>
        <w:tblInd w:w="80" w:type="dxa"/>
        <w:tblLayout w:type="fixed"/>
        <w:tblLook w:val="04A0" w:firstRow="1" w:lastRow="0" w:firstColumn="1" w:lastColumn="0" w:noHBand="0" w:noVBand="1"/>
      </w:tblPr>
      <w:tblGrid>
        <w:gridCol w:w="6353"/>
        <w:gridCol w:w="1249"/>
        <w:gridCol w:w="236"/>
        <w:gridCol w:w="1249"/>
      </w:tblGrid>
      <w:tr w:rsidR="00C32CBD" w14:paraId="55CF0F6A" w14:textId="77777777" w:rsidTr="00320D09">
        <w:trPr>
          <w:trHeight w:val="255"/>
        </w:trPr>
        <w:tc>
          <w:tcPr>
            <w:tcW w:w="6353" w:type="dxa"/>
            <w:tcBorders>
              <w:top w:val="nil"/>
              <w:left w:val="nil"/>
              <w:bottom w:val="nil"/>
              <w:right w:val="nil"/>
            </w:tcBorders>
            <w:shd w:val="clear" w:color="FFFFFF" w:fill="FFFFFF"/>
            <w:noWrap/>
            <w:vAlign w:val="bottom"/>
            <w:hideMark/>
          </w:tcPr>
          <w:p w14:paraId="22094D44" w14:textId="77777777" w:rsidR="00C32CBD" w:rsidRDefault="00C32CBD" w:rsidP="00320D09">
            <w:pPr>
              <w:rPr>
                <w:rFonts w:cs="Arial"/>
                <w:sz w:val="18"/>
                <w:szCs w:val="18"/>
              </w:rPr>
            </w:pPr>
            <w:bookmarkStart w:id="286" w:name="Note_FIATABLE1" w:colFirst="0" w:colLast="0"/>
            <w:r>
              <w:rPr>
                <w:rFonts w:cs="Arial"/>
                <w:sz w:val="18"/>
                <w:szCs w:val="18"/>
              </w:rPr>
              <w:t> </w:t>
            </w:r>
          </w:p>
        </w:tc>
        <w:tc>
          <w:tcPr>
            <w:tcW w:w="1249" w:type="dxa"/>
            <w:tcBorders>
              <w:top w:val="nil"/>
              <w:left w:val="nil"/>
              <w:bottom w:val="nil"/>
              <w:right w:val="nil"/>
            </w:tcBorders>
            <w:shd w:val="clear" w:color="FFFFFF" w:fill="FFFFFF"/>
            <w:vAlign w:val="bottom"/>
            <w:hideMark/>
          </w:tcPr>
          <w:p w14:paraId="59E5FB73" w14:textId="77777777" w:rsidR="00C32CBD" w:rsidRDefault="00C32CBD" w:rsidP="00320D09">
            <w:pPr>
              <w:jc w:val="right"/>
              <w:rPr>
                <w:rFonts w:cs="Arial"/>
                <w:b/>
                <w:bCs/>
                <w:sz w:val="18"/>
                <w:szCs w:val="18"/>
              </w:rPr>
            </w:pPr>
            <w:r>
              <w:rPr>
                <w:rFonts w:cs="Arial"/>
                <w:b/>
                <w:bCs/>
                <w:sz w:val="18"/>
                <w:szCs w:val="18"/>
              </w:rPr>
              <w:t>2017</w:t>
            </w:r>
          </w:p>
        </w:tc>
        <w:tc>
          <w:tcPr>
            <w:tcW w:w="236" w:type="dxa"/>
            <w:tcBorders>
              <w:top w:val="nil"/>
              <w:left w:val="nil"/>
              <w:bottom w:val="nil"/>
              <w:right w:val="nil"/>
            </w:tcBorders>
            <w:shd w:val="clear" w:color="FFFFFF" w:fill="FFFFFF"/>
            <w:noWrap/>
            <w:vAlign w:val="bottom"/>
            <w:hideMark/>
          </w:tcPr>
          <w:p w14:paraId="66EC4B22"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vAlign w:val="bottom"/>
            <w:hideMark/>
          </w:tcPr>
          <w:p w14:paraId="120B47D2" w14:textId="77777777" w:rsidR="00C32CBD" w:rsidRDefault="00C32CBD" w:rsidP="00320D09">
            <w:pPr>
              <w:jc w:val="right"/>
              <w:rPr>
                <w:rFonts w:cs="Arial"/>
                <w:sz w:val="18"/>
                <w:szCs w:val="18"/>
              </w:rPr>
            </w:pPr>
            <w:r>
              <w:rPr>
                <w:rFonts w:cs="Arial"/>
                <w:sz w:val="18"/>
                <w:szCs w:val="18"/>
              </w:rPr>
              <w:t>2016</w:t>
            </w:r>
          </w:p>
        </w:tc>
      </w:tr>
      <w:bookmarkEnd w:id="286"/>
      <w:tr w:rsidR="00C32CBD" w14:paraId="53D254AD" w14:textId="77777777" w:rsidTr="00320D09">
        <w:trPr>
          <w:trHeight w:val="255"/>
        </w:trPr>
        <w:tc>
          <w:tcPr>
            <w:tcW w:w="6353" w:type="dxa"/>
            <w:tcBorders>
              <w:top w:val="nil"/>
              <w:left w:val="nil"/>
              <w:bottom w:val="nil"/>
              <w:right w:val="nil"/>
            </w:tcBorders>
            <w:shd w:val="clear" w:color="FFFFFF" w:fill="FFFFFF"/>
            <w:noWrap/>
            <w:vAlign w:val="bottom"/>
            <w:hideMark/>
          </w:tcPr>
          <w:p w14:paraId="038F4455"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vAlign w:val="bottom"/>
            <w:hideMark/>
          </w:tcPr>
          <w:p w14:paraId="2A3D16CB" w14:textId="77777777" w:rsidR="00C32CBD" w:rsidRDefault="00C32CBD" w:rsidP="00320D09">
            <w:pPr>
              <w:jc w:val="right"/>
              <w:rPr>
                <w:rFonts w:cs="Arial"/>
                <w:b/>
                <w:bCs/>
                <w:sz w:val="18"/>
                <w:szCs w:val="18"/>
              </w:rPr>
            </w:pPr>
            <w:r>
              <w:rPr>
                <w:rFonts w:cs="Arial"/>
                <w:b/>
                <w:bCs/>
                <w:sz w:val="18"/>
                <w:szCs w:val="18"/>
              </w:rPr>
              <w:t>$'000</w:t>
            </w:r>
          </w:p>
        </w:tc>
        <w:tc>
          <w:tcPr>
            <w:tcW w:w="236" w:type="dxa"/>
            <w:tcBorders>
              <w:top w:val="nil"/>
              <w:left w:val="nil"/>
              <w:bottom w:val="nil"/>
              <w:right w:val="nil"/>
            </w:tcBorders>
            <w:shd w:val="clear" w:color="FFFFFF" w:fill="FFFFFF"/>
            <w:noWrap/>
            <w:vAlign w:val="bottom"/>
            <w:hideMark/>
          </w:tcPr>
          <w:p w14:paraId="04A04024"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vAlign w:val="bottom"/>
            <w:hideMark/>
          </w:tcPr>
          <w:p w14:paraId="12C9691E" w14:textId="77777777" w:rsidR="00C32CBD" w:rsidRDefault="00C32CBD" w:rsidP="00320D09">
            <w:pPr>
              <w:jc w:val="right"/>
              <w:rPr>
                <w:rFonts w:cs="Arial"/>
                <w:sz w:val="18"/>
                <w:szCs w:val="18"/>
              </w:rPr>
            </w:pPr>
            <w:r>
              <w:rPr>
                <w:rFonts w:cs="Arial"/>
                <w:sz w:val="18"/>
                <w:szCs w:val="18"/>
              </w:rPr>
              <w:t>$'000</w:t>
            </w:r>
          </w:p>
        </w:tc>
      </w:tr>
      <w:tr w:rsidR="00C32CBD" w14:paraId="041FF040" w14:textId="77777777" w:rsidTr="00320D09">
        <w:trPr>
          <w:trHeight w:val="255"/>
        </w:trPr>
        <w:tc>
          <w:tcPr>
            <w:tcW w:w="6353" w:type="dxa"/>
            <w:tcBorders>
              <w:top w:val="nil"/>
              <w:left w:val="nil"/>
              <w:bottom w:val="nil"/>
              <w:right w:val="nil"/>
            </w:tcBorders>
            <w:shd w:val="clear" w:color="FFFFFF" w:fill="FFFFFF"/>
            <w:noWrap/>
            <w:vAlign w:val="bottom"/>
            <w:hideMark/>
          </w:tcPr>
          <w:p w14:paraId="47075434" w14:textId="77777777" w:rsidR="00C32CBD" w:rsidRDefault="00C32CBD" w:rsidP="00320D09">
            <w:pPr>
              <w:rPr>
                <w:rFonts w:cs="Arial"/>
                <w:b/>
                <w:bCs/>
                <w:sz w:val="18"/>
                <w:szCs w:val="18"/>
                <w:u w:val="single"/>
              </w:rPr>
            </w:pPr>
            <w:r>
              <w:rPr>
                <w:rFonts w:cs="Arial"/>
                <w:b/>
                <w:bCs/>
                <w:sz w:val="18"/>
                <w:szCs w:val="18"/>
                <w:u w:val="single"/>
              </w:rPr>
              <w:t>Note 5.2A: Categories of financial instruments</w:t>
            </w:r>
          </w:p>
        </w:tc>
        <w:tc>
          <w:tcPr>
            <w:tcW w:w="1249" w:type="dxa"/>
            <w:tcBorders>
              <w:top w:val="nil"/>
              <w:left w:val="nil"/>
              <w:bottom w:val="nil"/>
              <w:right w:val="nil"/>
            </w:tcBorders>
            <w:shd w:val="clear" w:color="FFFFFF" w:fill="FFFFFF"/>
            <w:noWrap/>
            <w:vAlign w:val="bottom"/>
            <w:hideMark/>
          </w:tcPr>
          <w:p w14:paraId="7F36232E"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5AF0A92D"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5D96FACA" w14:textId="77777777" w:rsidR="00C32CBD" w:rsidRDefault="00C32CBD" w:rsidP="00320D09">
            <w:pPr>
              <w:rPr>
                <w:rFonts w:cs="Arial"/>
                <w:sz w:val="18"/>
                <w:szCs w:val="18"/>
              </w:rPr>
            </w:pPr>
            <w:r>
              <w:rPr>
                <w:rFonts w:cs="Arial"/>
                <w:sz w:val="18"/>
                <w:szCs w:val="18"/>
              </w:rPr>
              <w:t> </w:t>
            </w:r>
          </w:p>
        </w:tc>
      </w:tr>
      <w:tr w:rsidR="00C32CBD" w14:paraId="64A0BCFD" w14:textId="77777777" w:rsidTr="00320D09">
        <w:trPr>
          <w:trHeight w:val="255"/>
        </w:trPr>
        <w:tc>
          <w:tcPr>
            <w:tcW w:w="6353" w:type="dxa"/>
            <w:tcBorders>
              <w:top w:val="nil"/>
              <w:left w:val="nil"/>
              <w:bottom w:val="nil"/>
              <w:right w:val="nil"/>
            </w:tcBorders>
            <w:shd w:val="clear" w:color="FFFFFF" w:fill="FFFFFF"/>
            <w:vAlign w:val="bottom"/>
            <w:hideMark/>
          </w:tcPr>
          <w:p w14:paraId="58508B0F" w14:textId="77777777" w:rsidR="00C32CBD" w:rsidRDefault="00C32CBD" w:rsidP="00320D09">
            <w:pPr>
              <w:rPr>
                <w:rFonts w:cs="Arial"/>
                <w:b/>
                <w:bCs/>
                <w:sz w:val="18"/>
                <w:szCs w:val="18"/>
              </w:rPr>
            </w:pPr>
            <w:r>
              <w:rPr>
                <w:rFonts w:cs="Arial"/>
                <w:b/>
                <w:bCs/>
                <w:sz w:val="18"/>
                <w:szCs w:val="18"/>
              </w:rPr>
              <w:t>Financial assets</w:t>
            </w:r>
          </w:p>
        </w:tc>
        <w:tc>
          <w:tcPr>
            <w:tcW w:w="1249" w:type="dxa"/>
            <w:tcBorders>
              <w:top w:val="nil"/>
              <w:left w:val="nil"/>
              <w:bottom w:val="nil"/>
              <w:right w:val="nil"/>
            </w:tcBorders>
            <w:shd w:val="clear" w:color="FFFFFF" w:fill="FFFFFF"/>
            <w:noWrap/>
            <w:vAlign w:val="bottom"/>
            <w:hideMark/>
          </w:tcPr>
          <w:p w14:paraId="24F3A70D"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325C6714"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1DEB3D70" w14:textId="77777777" w:rsidR="00C32CBD" w:rsidRDefault="00C32CBD" w:rsidP="00320D09">
            <w:pPr>
              <w:rPr>
                <w:rFonts w:cs="Arial"/>
                <w:sz w:val="18"/>
                <w:szCs w:val="18"/>
              </w:rPr>
            </w:pPr>
            <w:r>
              <w:rPr>
                <w:rFonts w:cs="Arial"/>
                <w:sz w:val="18"/>
                <w:szCs w:val="18"/>
              </w:rPr>
              <w:t> </w:t>
            </w:r>
          </w:p>
        </w:tc>
      </w:tr>
      <w:tr w:rsidR="00C32CBD" w14:paraId="5AF890E0" w14:textId="77777777" w:rsidTr="00320D09">
        <w:trPr>
          <w:trHeight w:val="255"/>
        </w:trPr>
        <w:tc>
          <w:tcPr>
            <w:tcW w:w="6353" w:type="dxa"/>
            <w:tcBorders>
              <w:top w:val="nil"/>
              <w:left w:val="nil"/>
              <w:bottom w:val="nil"/>
              <w:right w:val="nil"/>
            </w:tcBorders>
            <w:shd w:val="clear" w:color="FFFFFF" w:fill="FFFFFF"/>
            <w:vAlign w:val="bottom"/>
            <w:hideMark/>
          </w:tcPr>
          <w:p w14:paraId="057F24CF" w14:textId="77777777" w:rsidR="00C32CBD" w:rsidRDefault="00C32CBD" w:rsidP="00320D09">
            <w:pPr>
              <w:rPr>
                <w:rFonts w:cs="Arial"/>
                <w:b/>
                <w:bCs/>
                <w:sz w:val="18"/>
                <w:szCs w:val="18"/>
              </w:rPr>
            </w:pPr>
            <w:r>
              <w:rPr>
                <w:rFonts w:cs="Arial"/>
                <w:b/>
                <w:bCs/>
                <w:sz w:val="18"/>
                <w:szCs w:val="18"/>
              </w:rPr>
              <w:t>Held-to-maturity investments</w:t>
            </w:r>
          </w:p>
        </w:tc>
        <w:tc>
          <w:tcPr>
            <w:tcW w:w="1249" w:type="dxa"/>
            <w:tcBorders>
              <w:top w:val="nil"/>
              <w:left w:val="nil"/>
              <w:bottom w:val="nil"/>
              <w:right w:val="nil"/>
            </w:tcBorders>
            <w:shd w:val="clear" w:color="FFFFFF" w:fill="FFFFFF"/>
            <w:noWrap/>
            <w:vAlign w:val="bottom"/>
            <w:hideMark/>
          </w:tcPr>
          <w:p w14:paraId="79B3C614" w14:textId="77777777" w:rsidR="00C32CBD" w:rsidRDefault="00C32CBD" w:rsidP="00320D09">
            <w:pPr>
              <w:rPr>
                <w:rFonts w:cs="Arial"/>
                <w:b/>
                <w:bCs/>
                <w:sz w:val="18"/>
                <w:szCs w:val="18"/>
              </w:rPr>
            </w:pPr>
            <w:r>
              <w:rPr>
                <w:rFonts w:cs="Arial"/>
                <w:b/>
                <w:bCs/>
                <w:sz w:val="18"/>
                <w:szCs w:val="18"/>
              </w:rPr>
              <w:t> </w:t>
            </w:r>
          </w:p>
        </w:tc>
        <w:tc>
          <w:tcPr>
            <w:tcW w:w="236" w:type="dxa"/>
            <w:tcBorders>
              <w:top w:val="nil"/>
              <w:left w:val="nil"/>
              <w:bottom w:val="nil"/>
              <w:right w:val="nil"/>
            </w:tcBorders>
            <w:shd w:val="clear" w:color="FFFFFF" w:fill="FFFFFF"/>
            <w:noWrap/>
            <w:vAlign w:val="bottom"/>
            <w:hideMark/>
          </w:tcPr>
          <w:p w14:paraId="00C2E5E8"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4FFA937A" w14:textId="77777777" w:rsidR="00C32CBD" w:rsidRDefault="00C32CBD" w:rsidP="00320D09">
            <w:pPr>
              <w:rPr>
                <w:rFonts w:cs="Arial"/>
                <w:sz w:val="18"/>
                <w:szCs w:val="18"/>
              </w:rPr>
            </w:pPr>
            <w:r>
              <w:rPr>
                <w:rFonts w:cs="Arial"/>
                <w:sz w:val="18"/>
                <w:szCs w:val="18"/>
              </w:rPr>
              <w:t> </w:t>
            </w:r>
          </w:p>
        </w:tc>
      </w:tr>
      <w:tr w:rsidR="00C32CBD" w14:paraId="5450AEDB" w14:textId="77777777" w:rsidTr="00320D09">
        <w:trPr>
          <w:trHeight w:val="255"/>
        </w:trPr>
        <w:tc>
          <w:tcPr>
            <w:tcW w:w="6353" w:type="dxa"/>
            <w:tcBorders>
              <w:top w:val="nil"/>
              <w:left w:val="nil"/>
              <w:bottom w:val="nil"/>
              <w:right w:val="nil"/>
            </w:tcBorders>
            <w:shd w:val="clear" w:color="FFFFFF" w:fill="FFFFFF"/>
            <w:noWrap/>
            <w:vAlign w:val="bottom"/>
            <w:hideMark/>
          </w:tcPr>
          <w:p w14:paraId="0CDAD9B7" w14:textId="77777777" w:rsidR="00C32CBD" w:rsidRDefault="00C32CBD" w:rsidP="00320D09">
            <w:pPr>
              <w:ind w:firstLineChars="100" w:firstLine="180"/>
              <w:rPr>
                <w:rFonts w:cs="Arial"/>
                <w:sz w:val="18"/>
                <w:szCs w:val="18"/>
              </w:rPr>
            </w:pPr>
            <w:r>
              <w:rPr>
                <w:rFonts w:cs="Arial"/>
                <w:sz w:val="18"/>
                <w:szCs w:val="18"/>
              </w:rPr>
              <w:t>Term deposits</w:t>
            </w:r>
          </w:p>
        </w:tc>
        <w:tc>
          <w:tcPr>
            <w:tcW w:w="1249" w:type="dxa"/>
            <w:tcBorders>
              <w:top w:val="nil"/>
              <w:left w:val="nil"/>
              <w:bottom w:val="nil"/>
              <w:right w:val="nil"/>
            </w:tcBorders>
            <w:shd w:val="clear" w:color="FFFFFF" w:fill="FFFFFF"/>
            <w:noWrap/>
            <w:vAlign w:val="bottom"/>
            <w:hideMark/>
          </w:tcPr>
          <w:p w14:paraId="42DEEA04" w14:textId="77777777" w:rsidR="00C32CBD" w:rsidRDefault="00C32CBD" w:rsidP="00320D09">
            <w:pPr>
              <w:jc w:val="right"/>
              <w:rPr>
                <w:rFonts w:cs="Arial"/>
                <w:b/>
                <w:bCs/>
                <w:sz w:val="18"/>
                <w:szCs w:val="18"/>
              </w:rPr>
            </w:pPr>
            <w:r>
              <w:rPr>
                <w:rFonts w:cs="Arial"/>
                <w:b/>
                <w:bCs/>
                <w:sz w:val="18"/>
                <w:szCs w:val="18"/>
              </w:rPr>
              <w:t>-</w:t>
            </w:r>
          </w:p>
        </w:tc>
        <w:tc>
          <w:tcPr>
            <w:tcW w:w="236" w:type="dxa"/>
            <w:tcBorders>
              <w:top w:val="nil"/>
              <w:left w:val="nil"/>
              <w:bottom w:val="nil"/>
              <w:right w:val="nil"/>
            </w:tcBorders>
            <w:shd w:val="clear" w:color="FFFFFF" w:fill="FFFFFF"/>
            <w:noWrap/>
            <w:vAlign w:val="bottom"/>
            <w:hideMark/>
          </w:tcPr>
          <w:p w14:paraId="7CC47F8E"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195E5E34" w14:textId="77777777" w:rsidR="00C32CBD" w:rsidRDefault="00C32CBD" w:rsidP="00320D09">
            <w:pPr>
              <w:jc w:val="right"/>
              <w:rPr>
                <w:rFonts w:cs="Arial"/>
                <w:sz w:val="18"/>
                <w:szCs w:val="18"/>
              </w:rPr>
            </w:pPr>
            <w:r>
              <w:rPr>
                <w:rFonts w:cs="Arial"/>
                <w:sz w:val="18"/>
                <w:szCs w:val="18"/>
              </w:rPr>
              <w:t>33,194</w:t>
            </w:r>
          </w:p>
        </w:tc>
      </w:tr>
      <w:tr w:rsidR="00C32CBD" w14:paraId="5289BEEE" w14:textId="77777777" w:rsidTr="00320D09">
        <w:trPr>
          <w:trHeight w:val="255"/>
        </w:trPr>
        <w:tc>
          <w:tcPr>
            <w:tcW w:w="6353" w:type="dxa"/>
            <w:tcBorders>
              <w:top w:val="nil"/>
              <w:left w:val="nil"/>
              <w:bottom w:val="nil"/>
              <w:right w:val="nil"/>
            </w:tcBorders>
            <w:shd w:val="clear" w:color="FFFFFF" w:fill="FFFFFF"/>
            <w:vAlign w:val="bottom"/>
            <w:hideMark/>
          </w:tcPr>
          <w:p w14:paraId="3650E9B7" w14:textId="77777777" w:rsidR="00C32CBD" w:rsidRDefault="00C32CBD" w:rsidP="00320D09">
            <w:pPr>
              <w:rPr>
                <w:rFonts w:cs="Arial"/>
                <w:b/>
                <w:bCs/>
                <w:sz w:val="18"/>
                <w:szCs w:val="18"/>
              </w:rPr>
            </w:pPr>
            <w:r>
              <w:rPr>
                <w:rFonts w:cs="Arial"/>
                <w:b/>
                <w:bCs/>
                <w:sz w:val="18"/>
                <w:szCs w:val="18"/>
              </w:rPr>
              <w:t>Total held-to-maturity investments</w:t>
            </w:r>
          </w:p>
        </w:tc>
        <w:tc>
          <w:tcPr>
            <w:tcW w:w="1249" w:type="dxa"/>
            <w:tcBorders>
              <w:top w:val="single" w:sz="4" w:space="0" w:color="auto"/>
              <w:left w:val="nil"/>
              <w:bottom w:val="single" w:sz="4" w:space="0" w:color="auto"/>
              <w:right w:val="nil"/>
            </w:tcBorders>
            <w:shd w:val="clear" w:color="FFFFFF" w:fill="FFFFFF"/>
            <w:noWrap/>
            <w:vAlign w:val="bottom"/>
            <w:hideMark/>
          </w:tcPr>
          <w:p w14:paraId="5922E95F" w14:textId="77777777" w:rsidR="00C32CBD" w:rsidRDefault="00C32CBD" w:rsidP="00320D09">
            <w:pPr>
              <w:jc w:val="right"/>
              <w:rPr>
                <w:rFonts w:cs="Arial"/>
                <w:b/>
                <w:bCs/>
                <w:sz w:val="18"/>
                <w:szCs w:val="18"/>
              </w:rPr>
            </w:pPr>
            <w:r>
              <w:rPr>
                <w:rFonts w:cs="Arial"/>
                <w:b/>
                <w:bCs/>
                <w:sz w:val="18"/>
                <w:szCs w:val="18"/>
              </w:rPr>
              <w:t>-</w:t>
            </w:r>
          </w:p>
        </w:tc>
        <w:tc>
          <w:tcPr>
            <w:tcW w:w="236" w:type="dxa"/>
            <w:tcBorders>
              <w:top w:val="nil"/>
              <w:left w:val="nil"/>
              <w:bottom w:val="nil"/>
              <w:right w:val="nil"/>
            </w:tcBorders>
            <w:shd w:val="clear" w:color="FFFFFF" w:fill="FFFFFF"/>
            <w:noWrap/>
            <w:vAlign w:val="bottom"/>
            <w:hideMark/>
          </w:tcPr>
          <w:p w14:paraId="2B5FBDD3" w14:textId="77777777" w:rsidR="00C32CBD" w:rsidRDefault="00C32CBD" w:rsidP="00320D09">
            <w:pPr>
              <w:rPr>
                <w:rFonts w:cs="Arial"/>
                <w:sz w:val="18"/>
                <w:szCs w:val="18"/>
              </w:rPr>
            </w:pPr>
            <w:r>
              <w:rPr>
                <w:rFonts w:cs="Arial"/>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1302191A" w14:textId="77777777" w:rsidR="00C32CBD" w:rsidRDefault="00C32CBD" w:rsidP="00320D09">
            <w:pPr>
              <w:jc w:val="right"/>
              <w:rPr>
                <w:rFonts w:cs="Arial"/>
                <w:sz w:val="18"/>
                <w:szCs w:val="18"/>
              </w:rPr>
            </w:pPr>
            <w:r>
              <w:rPr>
                <w:rFonts w:cs="Arial"/>
                <w:sz w:val="18"/>
                <w:szCs w:val="18"/>
              </w:rPr>
              <w:t>33,194</w:t>
            </w:r>
          </w:p>
        </w:tc>
      </w:tr>
      <w:tr w:rsidR="00C32CBD" w14:paraId="37A37C1F" w14:textId="77777777" w:rsidTr="00320D09">
        <w:trPr>
          <w:trHeight w:val="255"/>
        </w:trPr>
        <w:tc>
          <w:tcPr>
            <w:tcW w:w="6353" w:type="dxa"/>
            <w:tcBorders>
              <w:top w:val="nil"/>
              <w:left w:val="nil"/>
              <w:bottom w:val="nil"/>
              <w:right w:val="nil"/>
            </w:tcBorders>
            <w:shd w:val="clear" w:color="FFFFFF" w:fill="FFFFFF"/>
            <w:noWrap/>
            <w:vAlign w:val="bottom"/>
            <w:hideMark/>
          </w:tcPr>
          <w:p w14:paraId="096E8B0E"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70D93C59"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58ED1F3C"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1BD43936" w14:textId="77777777" w:rsidR="00C32CBD" w:rsidRDefault="00C32CBD" w:rsidP="00320D09">
            <w:pPr>
              <w:rPr>
                <w:rFonts w:cs="Arial"/>
                <w:sz w:val="18"/>
                <w:szCs w:val="18"/>
              </w:rPr>
            </w:pPr>
            <w:r>
              <w:rPr>
                <w:rFonts w:cs="Arial"/>
                <w:sz w:val="18"/>
                <w:szCs w:val="18"/>
              </w:rPr>
              <w:t> </w:t>
            </w:r>
          </w:p>
        </w:tc>
      </w:tr>
      <w:tr w:rsidR="00C32CBD" w14:paraId="1CF2310E" w14:textId="77777777" w:rsidTr="00320D09">
        <w:trPr>
          <w:trHeight w:val="255"/>
        </w:trPr>
        <w:tc>
          <w:tcPr>
            <w:tcW w:w="6353" w:type="dxa"/>
            <w:tcBorders>
              <w:top w:val="nil"/>
              <w:left w:val="nil"/>
              <w:bottom w:val="nil"/>
              <w:right w:val="nil"/>
            </w:tcBorders>
            <w:shd w:val="clear" w:color="FFFFFF" w:fill="FFFFFF"/>
            <w:vAlign w:val="bottom"/>
            <w:hideMark/>
          </w:tcPr>
          <w:p w14:paraId="15DD913F" w14:textId="77777777" w:rsidR="00C32CBD" w:rsidRDefault="00C32CBD" w:rsidP="00320D09">
            <w:pPr>
              <w:rPr>
                <w:rFonts w:cs="Arial"/>
                <w:b/>
                <w:bCs/>
                <w:sz w:val="18"/>
                <w:szCs w:val="18"/>
              </w:rPr>
            </w:pPr>
            <w:r>
              <w:rPr>
                <w:rFonts w:cs="Arial"/>
                <w:b/>
                <w:bCs/>
                <w:sz w:val="18"/>
                <w:szCs w:val="18"/>
              </w:rPr>
              <w:t>Loans and receivables</w:t>
            </w:r>
          </w:p>
        </w:tc>
        <w:tc>
          <w:tcPr>
            <w:tcW w:w="1249" w:type="dxa"/>
            <w:tcBorders>
              <w:top w:val="nil"/>
              <w:left w:val="nil"/>
              <w:bottom w:val="nil"/>
              <w:right w:val="nil"/>
            </w:tcBorders>
            <w:shd w:val="clear" w:color="FFFFFF" w:fill="FFFFFF"/>
            <w:noWrap/>
            <w:vAlign w:val="bottom"/>
            <w:hideMark/>
          </w:tcPr>
          <w:p w14:paraId="7019EB83"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2D6CE153"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450CF3CF" w14:textId="77777777" w:rsidR="00C32CBD" w:rsidRDefault="00C32CBD" w:rsidP="00320D09">
            <w:pPr>
              <w:rPr>
                <w:rFonts w:cs="Arial"/>
                <w:sz w:val="18"/>
                <w:szCs w:val="18"/>
              </w:rPr>
            </w:pPr>
            <w:r>
              <w:rPr>
                <w:rFonts w:cs="Arial"/>
                <w:sz w:val="18"/>
                <w:szCs w:val="18"/>
              </w:rPr>
              <w:t> </w:t>
            </w:r>
          </w:p>
        </w:tc>
      </w:tr>
      <w:tr w:rsidR="00C32CBD" w14:paraId="74FCEF82" w14:textId="77777777" w:rsidTr="00320D09">
        <w:trPr>
          <w:trHeight w:val="255"/>
        </w:trPr>
        <w:tc>
          <w:tcPr>
            <w:tcW w:w="6353" w:type="dxa"/>
            <w:tcBorders>
              <w:top w:val="nil"/>
              <w:left w:val="nil"/>
              <w:bottom w:val="nil"/>
              <w:right w:val="nil"/>
            </w:tcBorders>
            <w:shd w:val="clear" w:color="FFFFFF" w:fill="FFFFFF"/>
            <w:noWrap/>
            <w:vAlign w:val="bottom"/>
            <w:hideMark/>
          </w:tcPr>
          <w:p w14:paraId="1250AC4C" w14:textId="77777777" w:rsidR="00C32CBD" w:rsidRDefault="00C32CBD" w:rsidP="00320D09">
            <w:pPr>
              <w:ind w:firstLineChars="100" w:firstLine="180"/>
              <w:rPr>
                <w:rFonts w:cs="Arial"/>
                <w:sz w:val="18"/>
                <w:szCs w:val="18"/>
              </w:rPr>
            </w:pPr>
            <w:r>
              <w:rPr>
                <w:rFonts w:cs="Arial"/>
                <w:sz w:val="18"/>
                <w:szCs w:val="18"/>
              </w:rPr>
              <w:t>Cash and cash equivalents</w:t>
            </w:r>
          </w:p>
        </w:tc>
        <w:tc>
          <w:tcPr>
            <w:tcW w:w="1249" w:type="dxa"/>
            <w:tcBorders>
              <w:top w:val="nil"/>
              <w:left w:val="nil"/>
              <w:bottom w:val="nil"/>
              <w:right w:val="nil"/>
            </w:tcBorders>
            <w:shd w:val="clear" w:color="FFFFFF" w:fill="FFFFFF"/>
            <w:noWrap/>
            <w:vAlign w:val="bottom"/>
            <w:hideMark/>
          </w:tcPr>
          <w:p w14:paraId="3BEE9AA7" w14:textId="77777777" w:rsidR="00C32CBD" w:rsidRDefault="00C32CBD" w:rsidP="00320D09">
            <w:pPr>
              <w:jc w:val="right"/>
              <w:rPr>
                <w:rFonts w:cs="Arial"/>
                <w:b/>
                <w:bCs/>
                <w:sz w:val="18"/>
                <w:szCs w:val="18"/>
              </w:rPr>
            </w:pPr>
            <w:r>
              <w:rPr>
                <w:rFonts w:cs="Arial"/>
                <w:b/>
                <w:bCs/>
                <w:sz w:val="18"/>
                <w:szCs w:val="18"/>
              </w:rPr>
              <w:t>1,328,287</w:t>
            </w:r>
          </w:p>
        </w:tc>
        <w:tc>
          <w:tcPr>
            <w:tcW w:w="236" w:type="dxa"/>
            <w:tcBorders>
              <w:top w:val="nil"/>
              <w:left w:val="nil"/>
              <w:bottom w:val="nil"/>
              <w:right w:val="nil"/>
            </w:tcBorders>
            <w:shd w:val="clear" w:color="FFFFFF" w:fill="FFFFFF"/>
            <w:noWrap/>
            <w:vAlign w:val="bottom"/>
            <w:hideMark/>
          </w:tcPr>
          <w:p w14:paraId="4BAFD79A"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33EF0E1B" w14:textId="77777777" w:rsidR="00C32CBD" w:rsidRDefault="00C32CBD" w:rsidP="00320D09">
            <w:pPr>
              <w:jc w:val="right"/>
              <w:rPr>
                <w:rFonts w:cs="Arial"/>
                <w:sz w:val="18"/>
                <w:szCs w:val="18"/>
              </w:rPr>
            </w:pPr>
            <w:r>
              <w:rPr>
                <w:rFonts w:cs="Arial"/>
                <w:sz w:val="18"/>
                <w:szCs w:val="18"/>
              </w:rPr>
              <w:t>306,430</w:t>
            </w:r>
          </w:p>
        </w:tc>
      </w:tr>
      <w:tr w:rsidR="00C32CBD" w14:paraId="547C7ED7" w14:textId="77777777" w:rsidTr="00320D09">
        <w:trPr>
          <w:trHeight w:val="255"/>
        </w:trPr>
        <w:tc>
          <w:tcPr>
            <w:tcW w:w="6353" w:type="dxa"/>
            <w:tcBorders>
              <w:top w:val="nil"/>
              <w:left w:val="nil"/>
              <w:bottom w:val="nil"/>
              <w:right w:val="nil"/>
            </w:tcBorders>
            <w:shd w:val="clear" w:color="FFFFFF" w:fill="FFFFFF"/>
            <w:noWrap/>
            <w:vAlign w:val="bottom"/>
            <w:hideMark/>
          </w:tcPr>
          <w:p w14:paraId="267D35EE" w14:textId="77777777" w:rsidR="00C32CBD" w:rsidRDefault="00C32CBD" w:rsidP="00320D09">
            <w:pPr>
              <w:ind w:firstLineChars="100" w:firstLine="180"/>
              <w:rPr>
                <w:rFonts w:cs="Arial"/>
                <w:sz w:val="18"/>
                <w:szCs w:val="18"/>
              </w:rPr>
            </w:pPr>
            <w:r>
              <w:rPr>
                <w:rFonts w:cs="Arial"/>
                <w:sz w:val="18"/>
                <w:szCs w:val="18"/>
              </w:rPr>
              <w:t>Other receivables</w:t>
            </w:r>
          </w:p>
        </w:tc>
        <w:tc>
          <w:tcPr>
            <w:tcW w:w="1249" w:type="dxa"/>
            <w:tcBorders>
              <w:top w:val="nil"/>
              <w:left w:val="nil"/>
              <w:bottom w:val="nil"/>
              <w:right w:val="nil"/>
            </w:tcBorders>
            <w:shd w:val="clear" w:color="FFFFFF" w:fill="FFFFFF"/>
            <w:noWrap/>
            <w:vAlign w:val="bottom"/>
            <w:hideMark/>
          </w:tcPr>
          <w:p w14:paraId="2C8AADED" w14:textId="77777777" w:rsidR="00C32CBD" w:rsidRDefault="00C32CBD" w:rsidP="00320D09">
            <w:pPr>
              <w:jc w:val="right"/>
              <w:rPr>
                <w:rFonts w:cs="Arial"/>
                <w:b/>
                <w:bCs/>
                <w:sz w:val="18"/>
                <w:szCs w:val="18"/>
              </w:rPr>
            </w:pPr>
            <w:r>
              <w:rPr>
                <w:rFonts w:cs="Arial"/>
                <w:b/>
                <w:bCs/>
                <w:sz w:val="18"/>
                <w:szCs w:val="18"/>
              </w:rPr>
              <w:t>5,292</w:t>
            </w:r>
          </w:p>
        </w:tc>
        <w:tc>
          <w:tcPr>
            <w:tcW w:w="236" w:type="dxa"/>
            <w:tcBorders>
              <w:top w:val="nil"/>
              <w:left w:val="nil"/>
              <w:bottom w:val="nil"/>
              <w:right w:val="nil"/>
            </w:tcBorders>
            <w:shd w:val="clear" w:color="FFFFFF" w:fill="FFFFFF"/>
            <w:noWrap/>
            <w:vAlign w:val="bottom"/>
            <w:hideMark/>
          </w:tcPr>
          <w:p w14:paraId="5F3F14FE"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12154172" w14:textId="77777777" w:rsidR="00C32CBD" w:rsidRDefault="00C32CBD" w:rsidP="00320D09">
            <w:pPr>
              <w:jc w:val="right"/>
              <w:rPr>
                <w:rFonts w:cs="Arial"/>
                <w:sz w:val="18"/>
                <w:szCs w:val="18"/>
              </w:rPr>
            </w:pPr>
            <w:r>
              <w:rPr>
                <w:rFonts w:cs="Arial"/>
                <w:sz w:val="18"/>
                <w:szCs w:val="18"/>
              </w:rPr>
              <w:t>1,415</w:t>
            </w:r>
          </w:p>
        </w:tc>
      </w:tr>
      <w:tr w:rsidR="00C32CBD" w14:paraId="4159A0CC" w14:textId="77777777" w:rsidTr="00320D09">
        <w:trPr>
          <w:trHeight w:val="255"/>
        </w:trPr>
        <w:tc>
          <w:tcPr>
            <w:tcW w:w="6353" w:type="dxa"/>
            <w:tcBorders>
              <w:top w:val="nil"/>
              <w:left w:val="nil"/>
              <w:bottom w:val="nil"/>
              <w:right w:val="nil"/>
            </w:tcBorders>
            <w:shd w:val="clear" w:color="FFFFFF" w:fill="FFFFFF"/>
            <w:noWrap/>
            <w:vAlign w:val="bottom"/>
            <w:hideMark/>
          </w:tcPr>
          <w:p w14:paraId="471AE26F" w14:textId="77777777" w:rsidR="00C32CBD" w:rsidRDefault="00C32CBD" w:rsidP="00320D09">
            <w:pPr>
              <w:ind w:firstLineChars="100" w:firstLine="180"/>
              <w:rPr>
                <w:rFonts w:cs="Arial"/>
                <w:b/>
                <w:bCs/>
                <w:sz w:val="18"/>
                <w:szCs w:val="18"/>
              </w:rPr>
            </w:pPr>
            <w:r>
              <w:rPr>
                <w:rFonts w:cs="Arial"/>
                <w:b/>
                <w:bCs/>
                <w:sz w:val="18"/>
                <w:szCs w:val="18"/>
              </w:rPr>
              <w:t>Total loans and receivables</w:t>
            </w:r>
          </w:p>
        </w:tc>
        <w:tc>
          <w:tcPr>
            <w:tcW w:w="1249" w:type="dxa"/>
            <w:tcBorders>
              <w:top w:val="single" w:sz="4" w:space="0" w:color="auto"/>
              <w:left w:val="nil"/>
              <w:bottom w:val="single" w:sz="4" w:space="0" w:color="auto"/>
              <w:right w:val="nil"/>
            </w:tcBorders>
            <w:shd w:val="clear" w:color="FFFFFF" w:fill="FFFFFF"/>
            <w:noWrap/>
            <w:vAlign w:val="bottom"/>
            <w:hideMark/>
          </w:tcPr>
          <w:p w14:paraId="6D6D9E7A" w14:textId="77777777" w:rsidR="00C32CBD" w:rsidRDefault="00C32CBD" w:rsidP="00320D09">
            <w:pPr>
              <w:jc w:val="right"/>
              <w:rPr>
                <w:rFonts w:cs="Arial"/>
                <w:b/>
                <w:bCs/>
                <w:sz w:val="18"/>
                <w:szCs w:val="18"/>
              </w:rPr>
            </w:pPr>
            <w:r>
              <w:rPr>
                <w:rFonts w:cs="Arial"/>
                <w:b/>
                <w:bCs/>
                <w:sz w:val="18"/>
                <w:szCs w:val="18"/>
              </w:rPr>
              <w:t>1,333,579</w:t>
            </w:r>
          </w:p>
        </w:tc>
        <w:tc>
          <w:tcPr>
            <w:tcW w:w="236" w:type="dxa"/>
            <w:tcBorders>
              <w:top w:val="nil"/>
              <w:left w:val="nil"/>
              <w:bottom w:val="nil"/>
              <w:right w:val="nil"/>
            </w:tcBorders>
            <w:shd w:val="clear" w:color="FFFFFF" w:fill="FFFFFF"/>
            <w:noWrap/>
            <w:vAlign w:val="bottom"/>
            <w:hideMark/>
          </w:tcPr>
          <w:p w14:paraId="2165AC94" w14:textId="77777777" w:rsidR="00C32CBD" w:rsidRDefault="00C32CBD" w:rsidP="00320D09">
            <w:pPr>
              <w:rPr>
                <w:rFonts w:cs="Arial"/>
                <w:sz w:val="18"/>
                <w:szCs w:val="18"/>
              </w:rPr>
            </w:pPr>
            <w:r>
              <w:rPr>
                <w:rFonts w:cs="Arial"/>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549A5FCA" w14:textId="77777777" w:rsidR="00C32CBD" w:rsidRDefault="00C32CBD" w:rsidP="00320D09">
            <w:pPr>
              <w:jc w:val="right"/>
              <w:rPr>
                <w:rFonts w:cs="Arial"/>
                <w:sz w:val="18"/>
                <w:szCs w:val="18"/>
              </w:rPr>
            </w:pPr>
            <w:r>
              <w:rPr>
                <w:rFonts w:cs="Arial"/>
                <w:sz w:val="18"/>
                <w:szCs w:val="18"/>
              </w:rPr>
              <w:t>307,845</w:t>
            </w:r>
          </w:p>
        </w:tc>
      </w:tr>
      <w:tr w:rsidR="00C32CBD" w14:paraId="0CA0088E" w14:textId="77777777" w:rsidTr="00320D09">
        <w:trPr>
          <w:trHeight w:val="255"/>
        </w:trPr>
        <w:tc>
          <w:tcPr>
            <w:tcW w:w="6353" w:type="dxa"/>
            <w:tcBorders>
              <w:top w:val="nil"/>
              <w:left w:val="nil"/>
              <w:bottom w:val="nil"/>
              <w:right w:val="nil"/>
            </w:tcBorders>
            <w:shd w:val="clear" w:color="FFFFFF" w:fill="FFFFFF"/>
            <w:vAlign w:val="bottom"/>
            <w:hideMark/>
          </w:tcPr>
          <w:p w14:paraId="267A98D7" w14:textId="77777777" w:rsidR="00C32CBD" w:rsidRDefault="00C32CBD" w:rsidP="00320D09">
            <w:pPr>
              <w:rPr>
                <w:rFonts w:cs="Arial"/>
                <w:b/>
                <w:bCs/>
                <w:sz w:val="18"/>
                <w:szCs w:val="18"/>
              </w:rPr>
            </w:pPr>
            <w:r>
              <w:rPr>
                <w:rFonts w:cs="Arial"/>
                <w:b/>
                <w:bCs/>
                <w:sz w:val="18"/>
                <w:szCs w:val="18"/>
              </w:rPr>
              <w:t>Total financial assets</w:t>
            </w:r>
          </w:p>
        </w:tc>
        <w:tc>
          <w:tcPr>
            <w:tcW w:w="1249" w:type="dxa"/>
            <w:tcBorders>
              <w:top w:val="single" w:sz="4" w:space="0" w:color="auto"/>
              <w:left w:val="nil"/>
              <w:bottom w:val="single" w:sz="4" w:space="0" w:color="auto"/>
              <w:right w:val="nil"/>
            </w:tcBorders>
            <w:shd w:val="clear" w:color="FFFFFF" w:fill="FFFFFF"/>
            <w:noWrap/>
            <w:vAlign w:val="bottom"/>
            <w:hideMark/>
          </w:tcPr>
          <w:p w14:paraId="484624B4" w14:textId="77777777" w:rsidR="00C32CBD" w:rsidRDefault="00C32CBD" w:rsidP="00320D09">
            <w:pPr>
              <w:jc w:val="right"/>
              <w:rPr>
                <w:rFonts w:cs="Arial"/>
                <w:b/>
                <w:bCs/>
                <w:sz w:val="18"/>
                <w:szCs w:val="18"/>
              </w:rPr>
            </w:pPr>
            <w:r>
              <w:rPr>
                <w:rFonts w:cs="Arial"/>
                <w:b/>
                <w:bCs/>
                <w:sz w:val="18"/>
                <w:szCs w:val="18"/>
              </w:rPr>
              <w:t>1,333,579</w:t>
            </w:r>
          </w:p>
        </w:tc>
        <w:tc>
          <w:tcPr>
            <w:tcW w:w="236" w:type="dxa"/>
            <w:tcBorders>
              <w:top w:val="nil"/>
              <w:left w:val="nil"/>
              <w:bottom w:val="nil"/>
              <w:right w:val="nil"/>
            </w:tcBorders>
            <w:shd w:val="clear" w:color="FFFFFF" w:fill="FFFFFF"/>
            <w:noWrap/>
            <w:vAlign w:val="bottom"/>
            <w:hideMark/>
          </w:tcPr>
          <w:p w14:paraId="45FAFADC" w14:textId="77777777" w:rsidR="00C32CBD" w:rsidRDefault="00C32CBD" w:rsidP="00320D09">
            <w:pPr>
              <w:rPr>
                <w:rFonts w:cs="Arial"/>
                <w:sz w:val="18"/>
                <w:szCs w:val="18"/>
              </w:rPr>
            </w:pPr>
            <w:r>
              <w:rPr>
                <w:rFonts w:cs="Arial"/>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4876B239" w14:textId="77777777" w:rsidR="00C32CBD" w:rsidRDefault="00C32CBD" w:rsidP="00320D09">
            <w:pPr>
              <w:jc w:val="right"/>
              <w:rPr>
                <w:rFonts w:cs="Arial"/>
                <w:sz w:val="18"/>
                <w:szCs w:val="18"/>
              </w:rPr>
            </w:pPr>
            <w:r>
              <w:rPr>
                <w:rFonts w:cs="Arial"/>
                <w:sz w:val="18"/>
                <w:szCs w:val="18"/>
              </w:rPr>
              <w:t>341,039</w:t>
            </w:r>
          </w:p>
        </w:tc>
      </w:tr>
      <w:tr w:rsidR="00C32CBD" w14:paraId="55B1BDFD" w14:textId="77777777" w:rsidTr="00320D09">
        <w:trPr>
          <w:trHeight w:val="255"/>
        </w:trPr>
        <w:tc>
          <w:tcPr>
            <w:tcW w:w="6353" w:type="dxa"/>
            <w:tcBorders>
              <w:top w:val="nil"/>
              <w:left w:val="nil"/>
              <w:bottom w:val="nil"/>
              <w:right w:val="nil"/>
            </w:tcBorders>
            <w:shd w:val="clear" w:color="FFFFFF" w:fill="FFFFFF"/>
            <w:noWrap/>
            <w:vAlign w:val="bottom"/>
            <w:hideMark/>
          </w:tcPr>
          <w:p w14:paraId="7274ECE0"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0AB03D8C" w14:textId="77777777" w:rsidR="00C32CBD" w:rsidRDefault="00C32CBD" w:rsidP="00320D09">
            <w:pPr>
              <w:rPr>
                <w:rFonts w:cs="Arial"/>
                <w:b/>
                <w:bCs/>
                <w:sz w:val="18"/>
                <w:szCs w:val="18"/>
              </w:rPr>
            </w:pPr>
            <w:r>
              <w:rPr>
                <w:rFonts w:cs="Arial"/>
                <w:b/>
                <w:bCs/>
                <w:sz w:val="18"/>
                <w:szCs w:val="18"/>
              </w:rPr>
              <w:t> </w:t>
            </w:r>
          </w:p>
        </w:tc>
        <w:tc>
          <w:tcPr>
            <w:tcW w:w="236" w:type="dxa"/>
            <w:tcBorders>
              <w:top w:val="nil"/>
              <w:left w:val="nil"/>
              <w:bottom w:val="nil"/>
              <w:right w:val="nil"/>
            </w:tcBorders>
            <w:shd w:val="clear" w:color="FFFFFF" w:fill="FFFFFF"/>
            <w:noWrap/>
            <w:vAlign w:val="bottom"/>
            <w:hideMark/>
          </w:tcPr>
          <w:p w14:paraId="2635D431"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7A1A1558" w14:textId="77777777" w:rsidR="00C32CBD" w:rsidRDefault="00C32CBD" w:rsidP="00320D09">
            <w:pPr>
              <w:rPr>
                <w:rFonts w:cs="Arial"/>
                <w:sz w:val="18"/>
                <w:szCs w:val="18"/>
              </w:rPr>
            </w:pPr>
            <w:r>
              <w:rPr>
                <w:rFonts w:cs="Arial"/>
                <w:sz w:val="18"/>
                <w:szCs w:val="18"/>
              </w:rPr>
              <w:t> </w:t>
            </w:r>
          </w:p>
        </w:tc>
      </w:tr>
      <w:tr w:rsidR="00C32CBD" w14:paraId="40DCDA0F" w14:textId="77777777" w:rsidTr="00320D09">
        <w:trPr>
          <w:trHeight w:val="255"/>
        </w:trPr>
        <w:tc>
          <w:tcPr>
            <w:tcW w:w="6353" w:type="dxa"/>
            <w:tcBorders>
              <w:top w:val="nil"/>
              <w:left w:val="nil"/>
              <w:bottom w:val="nil"/>
              <w:right w:val="nil"/>
            </w:tcBorders>
            <w:shd w:val="clear" w:color="FFFFFF" w:fill="FFFFFF"/>
            <w:vAlign w:val="bottom"/>
            <w:hideMark/>
          </w:tcPr>
          <w:p w14:paraId="1ED277D7" w14:textId="77777777" w:rsidR="00C32CBD" w:rsidRDefault="00C32CBD" w:rsidP="00320D09">
            <w:pPr>
              <w:rPr>
                <w:rFonts w:cs="Arial"/>
                <w:b/>
                <w:bCs/>
                <w:sz w:val="18"/>
                <w:szCs w:val="18"/>
              </w:rPr>
            </w:pPr>
            <w:r>
              <w:rPr>
                <w:rFonts w:cs="Arial"/>
                <w:b/>
                <w:bCs/>
                <w:sz w:val="18"/>
                <w:szCs w:val="18"/>
              </w:rPr>
              <w:t>Financial liabilities</w:t>
            </w:r>
          </w:p>
        </w:tc>
        <w:tc>
          <w:tcPr>
            <w:tcW w:w="1249" w:type="dxa"/>
            <w:tcBorders>
              <w:top w:val="nil"/>
              <w:left w:val="nil"/>
              <w:bottom w:val="nil"/>
              <w:right w:val="nil"/>
            </w:tcBorders>
            <w:shd w:val="clear" w:color="FFFFFF" w:fill="FFFFFF"/>
            <w:noWrap/>
            <w:vAlign w:val="bottom"/>
            <w:hideMark/>
          </w:tcPr>
          <w:p w14:paraId="0B4C4049" w14:textId="77777777" w:rsidR="00C32CBD" w:rsidRDefault="00C32CBD" w:rsidP="00320D09">
            <w:pPr>
              <w:rPr>
                <w:rFonts w:cs="Arial"/>
                <w:b/>
                <w:bCs/>
                <w:sz w:val="18"/>
                <w:szCs w:val="18"/>
              </w:rPr>
            </w:pPr>
            <w:r>
              <w:rPr>
                <w:rFonts w:cs="Arial"/>
                <w:b/>
                <w:bCs/>
                <w:sz w:val="18"/>
                <w:szCs w:val="18"/>
              </w:rPr>
              <w:t> </w:t>
            </w:r>
          </w:p>
        </w:tc>
        <w:tc>
          <w:tcPr>
            <w:tcW w:w="236" w:type="dxa"/>
            <w:tcBorders>
              <w:top w:val="nil"/>
              <w:left w:val="nil"/>
              <w:bottom w:val="nil"/>
              <w:right w:val="nil"/>
            </w:tcBorders>
            <w:shd w:val="clear" w:color="FFFFFF" w:fill="FFFFFF"/>
            <w:noWrap/>
            <w:vAlign w:val="bottom"/>
            <w:hideMark/>
          </w:tcPr>
          <w:p w14:paraId="074AE772"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5F9DB95C" w14:textId="77777777" w:rsidR="00C32CBD" w:rsidRDefault="00C32CBD" w:rsidP="00320D09">
            <w:pPr>
              <w:rPr>
                <w:rFonts w:cs="Arial"/>
                <w:sz w:val="18"/>
                <w:szCs w:val="18"/>
              </w:rPr>
            </w:pPr>
            <w:r>
              <w:rPr>
                <w:rFonts w:cs="Arial"/>
                <w:sz w:val="18"/>
                <w:szCs w:val="18"/>
              </w:rPr>
              <w:t> </w:t>
            </w:r>
          </w:p>
        </w:tc>
      </w:tr>
      <w:tr w:rsidR="00C32CBD" w14:paraId="51080EAD" w14:textId="77777777" w:rsidTr="00320D09">
        <w:trPr>
          <w:trHeight w:val="255"/>
        </w:trPr>
        <w:tc>
          <w:tcPr>
            <w:tcW w:w="6353" w:type="dxa"/>
            <w:tcBorders>
              <w:top w:val="nil"/>
              <w:left w:val="nil"/>
              <w:bottom w:val="nil"/>
              <w:right w:val="nil"/>
            </w:tcBorders>
            <w:shd w:val="clear" w:color="FFFFFF" w:fill="FFFFFF"/>
            <w:vAlign w:val="bottom"/>
            <w:hideMark/>
          </w:tcPr>
          <w:p w14:paraId="73A650E8" w14:textId="77777777" w:rsidR="00C32CBD" w:rsidRDefault="00C32CBD" w:rsidP="00320D09">
            <w:pPr>
              <w:rPr>
                <w:rFonts w:cs="Arial"/>
                <w:b/>
                <w:bCs/>
                <w:sz w:val="18"/>
                <w:szCs w:val="18"/>
              </w:rPr>
            </w:pPr>
            <w:r>
              <w:rPr>
                <w:rFonts w:cs="Arial"/>
                <w:b/>
                <w:bCs/>
                <w:sz w:val="18"/>
                <w:szCs w:val="18"/>
              </w:rPr>
              <w:t>At amortised cost</w:t>
            </w:r>
          </w:p>
        </w:tc>
        <w:tc>
          <w:tcPr>
            <w:tcW w:w="1249" w:type="dxa"/>
            <w:tcBorders>
              <w:top w:val="nil"/>
              <w:left w:val="nil"/>
              <w:bottom w:val="nil"/>
              <w:right w:val="nil"/>
            </w:tcBorders>
            <w:shd w:val="clear" w:color="FFFFFF" w:fill="FFFFFF"/>
            <w:noWrap/>
            <w:vAlign w:val="bottom"/>
            <w:hideMark/>
          </w:tcPr>
          <w:p w14:paraId="4E7ABDDB" w14:textId="77777777" w:rsidR="00C32CBD" w:rsidRDefault="00C32CBD" w:rsidP="00320D09">
            <w:pPr>
              <w:rPr>
                <w:rFonts w:cs="Arial"/>
                <w:b/>
                <w:bCs/>
                <w:sz w:val="18"/>
                <w:szCs w:val="18"/>
              </w:rPr>
            </w:pPr>
            <w:r>
              <w:rPr>
                <w:rFonts w:cs="Arial"/>
                <w:b/>
                <w:bCs/>
                <w:sz w:val="18"/>
                <w:szCs w:val="18"/>
              </w:rPr>
              <w:t> </w:t>
            </w:r>
          </w:p>
        </w:tc>
        <w:tc>
          <w:tcPr>
            <w:tcW w:w="236" w:type="dxa"/>
            <w:tcBorders>
              <w:top w:val="nil"/>
              <w:left w:val="nil"/>
              <w:bottom w:val="nil"/>
              <w:right w:val="nil"/>
            </w:tcBorders>
            <w:shd w:val="clear" w:color="FFFFFF" w:fill="FFFFFF"/>
            <w:noWrap/>
            <w:vAlign w:val="bottom"/>
            <w:hideMark/>
          </w:tcPr>
          <w:p w14:paraId="55D251D9"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009AE321" w14:textId="77777777" w:rsidR="00C32CBD" w:rsidRDefault="00C32CBD" w:rsidP="00320D09">
            <w:pPr>
              <w:rPr>
                <w:rFonts w:cs="Arial"/>
                <w:sz w:val="18"/>
                <w:szCs w:val="18"/>
              </w:rPr>
            </w:pPr>
            <w:r>
              <w:rPr>
                <w:rFonts w:cs="Arial"/>
                <w:sz w:val="18"/>
                <w:szCs w:val="18"/>
              </w:rPr>
              <w:t> </w:t>
            </w:r>
          </w:p>
        </w:tc>
      </w:tr>
      <w:tr w:rsidR="00C32CBD" w14:paraId="55C38B69" w14:textId="77777777" w:rsidTr="00320D09">
        <w:trPr>
          <w:trHeight w:val="255"/>
        </w:trPr>
        <w:tc>
          <w:tcPr>
            <w:tcW w:w="6353" w:type="dxa"/>
            <w:tcBorders>
              <w:top w:val="nil"/>
              <w:left w:val="nil"/>
              <w:bottom w:val="nil"/>
              <w:right w:val="nil"/>
            </w:tcBorders>
            <w:shd w:val="clear" w:color="FFFFFF" w:fill="FFFFFF"/>
            <w:noWrap/>
            <w:vAlign w:val="bottom"/>
            <w:hideMark/>
          </w:tcPr>
          <w:p w14:paraId="3D27EAB3" w14:textId="77777777" w:rsidR="00C32CBD" w:rsidRDefault="00C32CBD" w:rsidP="00320D09">
            <w:pPr>
              <w:ind w:firstLineChars="100" w:firstLine="180"/>
              <w:rPr>
                <w:rFonts w:cs="Arial"/>
                <w:sz w:val="18"/>
                <w:szCs w:val="18"/>
              </w:rPr>
            </w:pPr>
            <w:r>
              <w:rPr>
                <w:rFonts w:cs="Arial"/>
                <w:sz w:val="18"/>
                <w:szCs w:val="18"/>
              </w:rPr>
              <w:t>Supplier payables</w:t>
            </w:r>
          </w:p>
        </w:tc>
        <w:tc>
          <w:tcPr>
            <w:tcW w:w="1249" w:type="dxa"/>
            <w:tcBorders>
              <w:top w:val="nil"/>
              <w:left w:val="nil"/>
              <w:bottom w:val="nil"/>
              <w:right w:val="nil"/>
            </w:tcBorders>
            <w:shd w:val="clear" w:color="FFFFFF" w:fill="FFFFFF"/>
            <w:noWrap/>
            <w:vAlign w:val="bottom"/>
            <w:hideMark/>
          </w:tcPr>
          <w:p w14:paraId="3F63B0E4" w14:textId="77777777" w:rsidR="00C32CBD" w:rsidRDefault="00C32CBD" w:rsidP="00320D09">
            <w:pPr>
              <w:jc w:val="right"/>
              <w:rPr>
                <w:rFonts w:cs="Arial"/>
                <w:b/>
                <w:bCs/>
                <w:sz w:val="18"/>
                <w:szCs w:val="18"/>
              </w:rPr>
            </w:pPr>
            <w:r>
              <w:rPr>
                <w:rFonts w:cs="Arial"/>
                <w:b/>
                <w:bCs/>
                <w:sz w:val="18"/>
                <w:szCs w:val="18"/>
              </w:rPr>
              <w:t>106,792</w:t>
            </w:r>
          </w:p>
        </w:tc>
        <w:tc>
          <w:tcPr>
            <w:tcW w:w="236" w:type="dxa"/>
            <w:tcBorders>
              <w:top w:val="nil"/>
              <w:left w:val="nil"/>
              <w:bottom w:val="nil"/>
              <w:right w:val="nil"/>
            </w:tcBorders>
            <w:shd w:val="clear" w:color="FFFFFF" w:fill="FFFFFF"/>
            <w:noWrap/>
            <w:vAlign w:val="bottom"/>
            <w:hideMark/>
          </w:tcPr>
          <w:p w14:paraId="6E85E8D3"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2241EA3B" w14:textId="77777777" w:rsidR="00C32CBD" w:rsidRDefault="00C32CBD" w:rsidP="00320D09">
            <w:pPr>
              <w:jc w:val="right"/>
              <w:rPr>
                <w:rFonts w:cs="Arial"/>
                <w:sz w:val="18"/>
                <w:szCs w:val="18"/>
              </w:rPr>
            </w:pPr>
            <w:r>
              <w:rPr>
                <w:rFonts w:cs="Arial"/>
                <w:sz w:val="18"/>
                <w:szCs w:val="18"/>
              </w:rPr>
              <w:t>25,349</w:t>
            </w:r>
          </w:p>
        </w:tc>
      </w:tr>
      <w:tr w:rsidR="00C32CBD" w14:paraId="26414A96" w14:textId="77777777" w:rsidTr="00320D09">
        <w:trPr>
          <w:trHeight w:val="255"/>
        </w:trPr>
        <w:tc>
          <w:tcPr>
            <w:tcW w:w="6353" w:type="dxa"/>
            <w:tcBorders>
              <w:top w:val="nil"/>
              <w:left w:val="nil"/>
              <w:bottom w:val="nil"/>
              <w:right w:val="nil"/>
            </w:tcBorders>
            <w:shd w:val="clear" w:color="FFFFFF" w:fill="FFFFFF"/>
            <w:noWrap/>
            <w:vAlign w:val="bottom"/>
            <w:hideMark/>
          </w:tcPr>
          <w:p w14:paraId="49C81AE7" w14:textId="77777777" w:rsidR="00C32CBD" w:rsidRDefault="00C32CBD" w:rsidP="00320D09">
            <w:pPr>
              <w:ind w:firstLineChars="100" w:firstLine="180"/>
              <w:rPr>
                <w:rFonts w:cs="Arial"/>
                <w:sz w:val="18"/>
                <w:szCs w:val="18"/>
              </w:rPr>
            </w:pPr>
            <w:r>
              <w:rPr>
                <w:rFonts w:cs="Arial"/>
                <w:sz w:val="18"/>
                <w:szCs w:val="18"/>
              </w:rPr>
              <w:t>Other payables</w:t>
            </w:r>
          </w:p>
        </w:tc>
        <w:tc>
          <w:tcPr>
            <w:tcW w:w="1249" w:type="dxa"/>
            <w:tcBorders>
              <w:top w:val="nil"/>
              <w:left w:val="nil"/>
              <w:bottom w:val="nil"/>
              <w:right w:val="nil"/>
            </w:tcBorders>
            <w:shd w:val="clear" w:color="FFFFFF" w:fill="FFFFFF"/>
            <w:noWrap/>
            <w:vAlign w:val="bottom"/>
            <w:hideMark/>
          </w:tcPr>
          <w:p w14:paraId="1CBCEF01" w14:textId="77777777" w:rsidR="00C32CBD" w:rsidRDefault="00C32CBD" w:rsidP="00320D09">
            <w:pPr>
              <w:jc w:val="right"/>
              <w:rPr>
                <w:rFonts w:cs="Arial"/>
                <w:b/>
                <w:bCs/>
                <w:sz w:val="18"/>
                <w:szCs w:val="18"/>
              </w:rPr>
            </w:pPr>
            <w:r>
              <w:rPr>
                <w:rFonts w:cs="Arial"/>
                <w:b/>
                <w:bCs/>
                <w:sz w:val="18"/>
                <w:szCs w:val="18"/>
              </w:rPr>
              <w:t>4,233</w:t>
            </w:r>
          </w:p>
        </w:tc>
        <w:tc>
          <w:tcPr>
            <w:tcW w:w="236" w:type="dxa"/>
            <w:tcBorders>
              <w:top w:val="nil"/>
              <w:left w:val="nil"/>
              <w:bottom w:val="nil"/>
              <w:right w:val="nil"/>
            </w:tcBorders>
            <w:shd w:val="clear" w:color="FFFFFF" w:fill="FFFFFF"/>
            <w:noWrap/>
            <w:vAlign w:val="bottom"/>
            <w:hideMark/>
          </w:tcPr>
          <w:p w14:paraId="1729C019"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37BB448B" w14:textId="77777777" w:rsidR="00C32CBD" w:rsidRDefault="00C32CBD" w:rsidP="00320D09">
            <w:pPr>
              <w:jc w:val="right"/>
              <w:rPr>
                <w:rFonts w:cs="Arial"/>
                <w:sz w:val="18"/>
                <w:szCs w:val="18"/>
              </w:rPr>
            </w:pPr>
            <w:r>
              <w:rPr>
                <w:rFonts w:cs="Arial"/>
                <w:sz w:val="18"/>
                <w:szCs w:val="18"/>
              </w:rPr>
              <w:t>2,611</w:t>
            </w:r>
          </w:p>
        </w:tc>
      </w:tr>
      <w:tr w:rsidR="00C32CBD" w14:paraId="51EE4D48" w14:textId="77777777" w:rsidTr="00320D09">
        <w:trPr>
          <w:trHeight w:val="255"/>
        </w:trPr>
        <w:tc>
          <w:tcPr>
            <w:tcW w:w="6353" w:type="dxa"/>
            <w:tcBorders>
              <w:top w:val="nil"/>
              <w:left w:val="nil"/>
              <w:bottom w:val="nil"/>
              <w:right w:val="nil"/>
            </w:tcBorders>
            <w:shd w:val="clear" w:color="FFFFFF" w:fill="FFFFFF"/>
            <w:vAlign w:val="bottom"/>
            <w:hideMark/>
          </w:tcPr>
          <w:p w14:paraId="31D717E9" w14:textId="77777777" w:rsidR="00C32CBD" w:rsidRDefault="00C32CBD" w:rsidP="00320D09">
            <w:pPr>
              <w:rPr>
                <w:rFonts w:cs="Arial"/>
                <w:b/>
                <w:bCs/>
                <w:sz w:val="18"/>
                <w:szCs w:val="18"/>
              </w:rPr>
            </w:pPr>
            <w:r>
              <w:rPr>
                <w:rFonts w:cs="Arial"/>
                <w:b/>
                <w:bCs/>
                <w:sz w:val="18"/>
                <w:szCs w:val="18"/>
              </w:rPr>
              <w:t>Total financial liabilities</w:t>
            </w:r>
          </w:p>
        </w:tc>
        <w:tc>
          <w:tcPr>
            <w:tcW w:w="1249" w:type="dxa"/>
            <w:tcBorders>
              <w:top w:val="single" w:sz="4" w:space="0" w:color="auto"/>
              <w:left w:val="nil"/>
              <w:bottom w:val="single" w:sz="4" w:space="0" w:color="auto"/>
              <w:right w:val="nil"/>
            </w:tcBorders>
            <w:shd w:val="clear" w:color="FFFFFF" w:fill="FFFFFF"/>
            <w:noWrap/>
            <w:vAlign w:val="bottom"/>
            <w:hideMark/>
          </w:tcPr>
          <w:p w14:paraId="23BD210F" w14:textId="77777777" w:rsidR="00C32CBD" w:rsidRDefault="00C32CBD" w:rsidP="00320D09">
            <w:pPr>
              <w:jc w:val="right"/>
              <w:rPr>
                <w:rFonts w:cs="Arial"/>
                <w:b/>
                <w:bCs/>
                <w:sz w:val="18"/>
                <w:szCs w:val="18"/>
              </w:rPr>
            </w:pPr>
            <w:r>
              <w:rPr>
                <w:rFonts w:cs="Arial"/>
                <w:b/>
                <w:bCs/>
                <w:sz w:val="18"/>
                <w:szCs w:val="18"/>
              </w:rPr>
              <w:t>111,025</w:t>
            </w:r>
          </w:p>
        </w:tc>
        <w:tc>
          <w:tcPr>
            <w:tcW w:w="236" w:type="dxa"/>
            <w:tcBorders>
              <w:top w:val="nil"/>
              <w:left w:val="nil"/>
              <w:bottom w:val="nil"/>
              <w:right w:val="nil"/>
            </w:tcBorders>
            <w:shd w:val="clear" w:color="FFFFFF" w:fill="FFFFFF"/>
            <w:noWrap/>
            <w:vAlign w:val="bottom"/>
            <w:hideMark/>
          </w:tcPr>
          <w:p w14:paraId="29AA0701" w14:textId="77777777" w:rsidR="00C32CBD" w:rsidRDefault="00C32CBD" w:rsidP="00320D09">
            <w:pPr>
              <w:rPr>
                <w:rFonts w:cs="Arial"/>
                <w:sz w:val="18"/>
                <w:szCs w:val="18"/>
              </w:rPr>
            </w:pPr>
            <w:r>
              <w:rPr>
                <w:rFonts w:cs="Arial"/>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7ADB80EF" w14:textId="77777777" w:rsidR="00C32CBD" w:rsidRDefault="00C32CBD" w:rsidP="00320D09">
            <w:pPr>
              <w:jc w:val="right"/>
              <w:rPr>
                <w:rFonts w:cs="Arial"/>
                <w:sz w:val="18"/>
                <w:szCs w:val="18"/>
              </w:rPr>
            </w:pPr>
            <w:r>
              <w:rPr>
                <w:rFonts w:cs="Arial"/>
                <w:sz w:val="18"/>
                <w:szCs w:val="18"/>
              </w:rPr>
              <w:t>27,960</w:t>
            </w:r>
          </w:p>
        </w:tc>
      </w:tr>
    </w:tbl>
    <w:p w14:paraId="3E1791C2" w14:textId="77777777" w:rsidR="00C32CBD" w:rsidRDefault="00C32CBD" w:rsidP="00C32CBD">
      <w:pPr>
        <w:spacing w:line="240" w:lineRule="auto"/>
      </w:pPr>
      <w:bookmarkStart w:id="287" w:name="_Toc443469551"/>
      <w:bookmarkStart w:id="288" w:name="_Toc444065806"/>
      <w:bookmarkStart w:id="289" w:name="_Toc444080003"/>
    </w:p>
    <w:p w14:paraId="293F87B6" w14:textId="77777777" w:rsidR="00C32CBD" w:rsidRPr="005E5430" w:rsidRDefault="00C32CBD" w:rsidP="00C32CBD">
      <w:pPr>
        <w:spacing w:line="240" w:lineRule="auto"/>
        <w:rPr>
          <w:rFonts w:cs="Arial"/>
          <w:sz w:val="18"/>
          <w:szCs w:val="18"/>
        </w:rPr>
      </w:pPr>
      <w:r w:rsidRPr="005E5430">
        <w:rPr>
          <w:rFonts w:cs="Arial"/>
          <w:sz w:val="18"/>
          <w:szCs w:val="18"/>
        </w:rPr>
        <w:t xml:space="preserve">No financial instruments have transferred between categories during the period. </w:t>
      </w:r>
    </w:p>
    <w:p w14:paraId="0546087E" w14:textId="77777777" w:rsidR="00C32CBD" w:rsidRDefault="00C32CBD" w:rsidP="00C32CBD">
      <w:pPr>
        <w:spacing w:line="240" w:lineRule="auto"/>
        <w:rPr>
          <w:rFonts w:cs="Arial"/>
          <w:sz w:val="18"/>
          <w:szCs w:val="18"/>
        </w:rPr>
      </w:pPr>
    </w:p>
    <w:p w14:paraId="6AC0862A" w14:textId="77777777" w:rsidR="00C32CBD" w:rsidRPr="005E5430" w:rsidRDefault="00C32CBD" w:rsidP="00C32CBD">
      <w:pPr>
        <w:spacing w:line="240" w:lineRule="auto"/>
      </w:pPr>
      <w:r w:rsidRPr="005E5430">
        <w:rPr>
          <w:rFonts w:cs="Arial"/>
          <w:sz w:val="18"/>
          <w:szCs w:val="18"/>
        </w:rPr>
        <w:t xml:space="preserve">The carrying amount of the Agency’s financial instruments shown above </w:t>
      </w:r>
      <w:r>
        <w:rPr>
          <w:rFonts w:cs="Arial"/>
          <w:sz w:val="18"/>
          <w:szCs w:val="18"/>
        </w:rPr>
        <w:t xml:space="preserve">represents </w:t>
      </w:r>
      <w:r w:rsidRPr="005E5430">
        <w:rPr>
          <w:rFonts w:cs="Arial"/>
          <w:sz w:val="18"/>
          <w:szCs w:val="18"/>
        </w:rPr>
        <w:t>their fair value.</w:t>
      </w:r>
    </w:p>
    <w:p w14:paraId="76E7E287" w14:textId="77777777" w:rsidR="00C32CBD" w:rsidRDefault="00C32CBD" w:rsidP="00C32CBD">
      <w:pPr>
        <w:spacing w:line="240" w:lineRule="auto"/>
      </w:pPr>
      <w:r>
        <w:br w:type="page"/>
      </w:r>
    </w:p>
    <w:p w14:paraId="38EA5D1D" w14:textId="77777777" w:rsidR="00C32CBD" w:rsidRDefault="00C32CBD" w:rsidP="00C32CBD">
      <w:pPr>
        <w:spacing w:line="240" w:lineRule="auto"/>
      </w:pPr>
    </w:p>
    <w:p w14:paraId="1202F5FC" w14:textId="77777777" w:rsidR="00C32CBD" w:rsidRPr="0051679A" w:rsidRDefault="00C32CBD" w:rsidP="00C32CBD">
      <w:pPr>
        <w:pStyle w:val="PolicyheadingDept"/>
        <w:rPr>
          <w:sz w:val="24"/>
          <w:szCs w:val="24"/>
        </w:rPr>
      </w:pPr>
      <w:r w:rsidRPr="0051679A">
        <w:t>Accounting Policy</w:t>
      </w:r>
    </w:p>
    <w:p w14:paraId="16A36CDC" w14:textId="77777777" w:rsidR="00C32CBD" w:rsidRPr="0051679A" w:rsidRDefault="00C32CBD" w:rsidP="00C32CBD">
      <w:pPr>
        <w:pStyle w:val="PolicytextDept"/>
        <w:rPr>
          <w:i/>
          <w:iCs/>
          <w:u w:val="single"/>
        </w:rPr>
      </w:pPr>
      <w:r w:rsidRPr="0051679A">
        <w:rPr>
          <w:i/>
          <w:iCs/>
          <w:u w:val="single"/>
        </w:rPr>
        <w:t>Financial liabilities</w:t>
      </w:r>
    </w:p>
    <w:p w14:paraId="16940320" w14:textId="77777777" w:rsidR="00C32CBD" w:rsidRPr="0051679A" w:rsidRDefault="00C32CBD" w:rsidP="00C32CBD">
      <w:pPr>
        <w:pStyle w:val="PolicytextDept"/>
      </w:pPr>
      <w:r w:rsidRPr="0051679A">
        <w:t>Financial liabilities, including supplier and other payables, are initially measured at fair value, net of transaction costs.  These liabilities are subsequently measured at amortised cost using the effective interest method, with interest expense recognised on an ef</w:t>
      </w:r>
      <w:r>
        <w:t xml:space="preserve">fective yield basis.  </w:t>
      </w:r>
    </w:p>
    <w:p w14:paraId="474895E0" w14:textId="77777777" w:rsidR="00C32CBD" w:rsidRPr="005E5430" w:rsidRDefault="00C32CBD" w:rsidP="00C32CBD">
      <w:pPr>
        <w:pStyle w:val="PolicytextDept"/>
      </w:pPr>
      <w:r w:rsidRPr="0051679A">
        <w:t>Liabilities are recognised to the extent that the goods or services have been received (and irrespective of having been invoiced).</w:t>
      </w:r>
    </w:p>
    <w:p w14:paraId="46AA9581" w14:textId="77777777" w:rsidR="00C32CBD" w:rsidRDefault="00C32CBD" w:rsidP="00C32CBD">
      <w:pPr>
        <w:spacing w:line="240" w:lineRule="auto"/>
      </w:pPr>
    </w:p>
    <w:tbl>
      <w:tblPr>
        <w:tblW w:w="9087" w:type="dxa"/>
        <w:tblInd w:w="80" w:type="dxa"/>
        <w:tblLayout w:type="fixed"/>
        <w:tblLook w:val="04A0" w:firstRow="1" w:lastRow="0" w:firstColumn="1" w:lastColumn="0" w:noHBand="0" w:noVBand="1"/>
      </w:tblPr>
      <w:tblGrid>
        <w:gridCol w:w="6353"/>
        <w:gridCol w:w="1249"/>
        <w:gridCol w:w="236"/>
        <w:gridCol w:w="1249"/>
      </w:tblGrid>
      <w:tr w:rsidR="00C32CBD" w14:paraId="5E229052" w14:textId="77777777" w:rsidTr="00320D09">
        <w:trPr>
          <w:trHeight w:val="255"/>
        </w:trPr>
        <w:tc>
          <w:tcPr>
            <w:tcW w:w="6353" w:type="dxa"/>
            <w:tcBorders>
              <w:top w:val="nil"/>
              <w:left w:val="nil"/>
              <w:bottom w:val="nil"/>
              <w:right w:val="nil"/>
            </w:tcBorders>
            <w:shd w:val="clear" w:color="FFFFFF" w:fill="FFFFFF"/>
            <w:noWrap/>
            <w:vAlign w:val="bottom"/>
            <w:hideMark/>
          </w:tcPr>
          <w:p w14:paraId="19365B9E" w14:textId="77777777" w:rsidR="00C32CBD" w:rsidRDefault="00C32CBD" w:rsidP="00320D09">
            <w:pPr>
              <w:rPr>
                <w:rFonts w:cs="Arial"/>
                <w:sz w:val="18"/>
                <w:szCs w:val="18"/>
              </w:rPr>
            </w:pPr>
            <w:bookmarkStart w:id="290" w:name="Note_FIBTABLE1" w:colFirst="0" w:colLast="0"/>
            <w:r>
              <w:rPr>
                <w:rFonts w:cs="Arial"/>
                <w:sz w:val="18"/>
                <w:szCs w:val="18"/>
              </w:rPr>
              <w:t> </w:t>
            </w:r>
          </w:p>
        </w:tc>
        <w:tc>
          <w:tcPr>
            <w:tcW w:w="1249" w:type="dxa"/>
            <w:tcBorders>
              <w:top w:val="nil"/>
              <w:left w:val="nil"/>
              <w:bottom w:val="nil"/>
              <w:right w:val="nil"/>
            </w:tcBorders>
            <w:shd w:val="clear" w:color="FFFFFF" w:fill="FFFFFF"/>
            <w:vAlign w:val="bottom"/>
            <w:hideMark/>
          </w:tcPr>
          <w:p w14:paraId="55658980" w14:textId="77777777" w:rsidR="00C32CBD" w:rsidRDefault="00C32CBD" w:rsidP="00320D09">
            <w:pPr>
              <w:jc w:val="right"/>
              <w:rPr>
                <w:rFonts w:cs="Arial"/>
                <w:b/>
                <w:bCs/>
                <w:sz w:val="18"/>
                <w:szCs w:val="18"/>
              </w:rPr>
            </w:pPr>
            <w:r>
              <w:rPr>
                <w:rFonts w:cs="Arial"/>
                <w:b/>
                <w:bCs/>
                <w:sz w:val="18"/>
                <w:szCs w:val="18"/>
              </w:rPr>
              <w:t>2017</w:t>
            </w:r>
          </w:p>
        </w:tc>
        <w:tc>
          <w:tcPr>
            <w:tcW w:w="236" w:type="dxa"/>
            <w:tcBorders>
              <w:top w:val="nil"/>
              <w:left w:val="nil"/>
              <w:bottom w:val="nil"/>
              <w:right w:val="nil"/>
            </w:tcBorders>
            <w:shd w:val="clear" w:color="FFFFFF" w:fill="FFFFFF"/>
            <w:noWrap/>
            <w:vAlign w:val="bottom"/>
            <w:hideMark/>
          </w:tcPr>
          <w:p w14:paraId="3358C9D2"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vAlign w:val="bottom"/>
            <w:hideMark/>
          </w:tcPr>
          <w:p w14:paraId="70433A5A" w14:textId="77777777" w:rsidR="00C32CBD" w:rsidRDefault="00C32CBD" w:rsidP="00320D09">
            <w:pPr>
              <w:jc w:val="right"/>
              <w:rPr>
                <w:rFonts w:cs="Arial"/>
                <w:sz w:val="18"/>
                <w:szCs w:val="18"/>
              </w:rPr>
            </w:pPr>
            <w:r>
              <w:rPr>
                <w:rFonts w:cs="Arial"/>
                <w:sz w:val="18"/>
                <w:szCs w:val="18"/>
              </w:rPr>
              <w:t>2016</w:t>
            </w:r>
          </w:p>
        </w:tc>
      </w:tr>
      <w:bookmarkEnd w:id="290"/>
      <w:tr w:rsidR="00C32CBD" w14:paraId="3404A1AD" w14:textId="77777777" w:rsidTr="00320D09">
        <w:trPr>
          <w:trHeight w:val="255"/>
        </w:trPr>
        <w:tc>
          <w:tcPr>
            <w:tcW w:w="6353" w:type="dxa"/>
            <w:tcBorders>
              <w:top w:val="nil"/>
              <w:left w:val="nil"/>
              <w:bottom w:val="nil"/>
              <w:right w:val="nil"/>
            </w:tcBorders>
            <w:shd w:val="clear" w:color="FFFFFF" w:fill="FFFFFF"/>
            <w:noWrap/>
            <w:vAlign w:val="bottom"/>
            <w:hideMark/>
          </w:tcPr>
          <w:p w14:paraId="6F077CEB"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vAlign w:val="bottom"/>
            <w:hideMark/>
          </w:tcPr>
          <w:p w14:paraId="0D502921" w14:textId="77777777" w:rsidR="00C32CBD" w:rsidRDefault="00C32CBD" w:rsidP="00320D09">
            <w:pPr>
              <w:jc w:val="right"/>
              <w:rPr>
                <w:rFonts w:cs="Arial"/>
                <w:b/>
                <w:bCs/>
                <w:sz w:val="18"/>
                <w:szCs w:val="18"/>
              </w:rPr>
            </w:pPr>
            <w:r>
              <w:rPr>
                <w:rFonts w:cs="Arial"/>
                <w:b/>
                <w:bCs/>
                <w:sz w:val="18"/>
                <w:szCs w:val="18"/>
              </w:rPr>
              <w:t>$'000</w:t>
            </w:r>
          </w:p>
        </w:tc>
        <w:tc>
          <w:tcPr>
            <w:tcW w:w="236" w:type="dxa"/>
            <w:tcBorders>
              <w:top w:val="nil"/>
              <w:left w:val="nil"/>
              <w:bottom w:val="nil"/>
              <w:right w:val="nil"/>
            </w:tcBorders>
            <w:shd w:val="clear" w:color="FFFFFF" w:fill="FFFFFF"/>
            <w:noWrap/>
            <w:vAlign w:val="bottom"/>
            <w:hideMark/>
          </w:tcPr>
          <w:p w14:paraId="57467DE0"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vAlign w:val="bottom"/>
            <w:hideMark/>
          </w:tcPr>
          <w:p w14:paraId="4657DEA1" w14:textId="77777777" w:rsidR="00C32CBD" w:rsidRDefault="00C32CBD" w:rsidP="00320D09">
            <w:pPr>
              <w:jc w:val="right"/>
              <w:rPr>
                <w:rFonts w:cs="Arial"/>
                <w:sz w:val="18"/>
                <w:szCs w:val="18"/>
              </w:rPr>
            </w:pPr>
            <w:r>
              <w:rPr>
                <w:rFonts w:cs="Arial"/>
                <w:sz w:val="18"/>
                <w:szCs w:val="18"/>
              </w:rPr>
              <w:t>$'000</w:t>
            </w:r>
          </w:p>
        </w:tc>
      </w:tr>
      <w:tr w:rsidR="00C32CBD" w14:paraId="4FAAC716" w14:textId="77777777" w:rsidTr="00320D09">
        <w:trPr>
          <w:trHeight w:val="255"/>
        </w:trPr>
        <w:tc>
          <w:tcPr>
            <w:tcW w:w="6353" w:type="dxa"/>
            <w:tcBorders>
              <w:top w:val="nil"/>
              <w:left w:val="nil"/>
              <w:bottom w:val="nil"/>
              <w:right w:val="nil"/>
            </w:tcBorders>
            <w:shd w:val="clear" w:color="FFFFFF" w:fill="FFFFFF"/>
            <w:noWrap/>
            <w:vAlign w:val="bottom"/>
            <w:hideMark/>
          </w:tcPr>
          <w:p w14:paraId="30BB45DC" w14:textId="77777777" w:rsidR="00C32CBD" w:rsidRDefault="00C32CBD" w:rsidP="00320D09">
            <w:pPr>
              <w:rPr>
                <w:rFonts w:cs="Arial"/>
                <w:b/>
                <w:bCs/>
                <w:sz w:val="18"/>
                <w:szCs w:val="18"/>
                <w:u w:val="single"/>
              </w:rPr>
            </w:pPr>
            <w:r>
              <w:rPr>
                <w:rFonts w:cs="Arial"/>
                <w:b/>
                <w:bCs/>
                <w:sz w:val="18"/>
                <w:szCs w:val="18"/>
                <w:u w:val="single"/>
              </w:rPr>
              <w:t>Note 5.2B: Net gains or losses on financial assets</w:t>
            </w:r>
          </w:p>
        </w:tc>
        <w:tc>
          <w:tcPr>
            <w:tcW w:w="1249" w:type="dxa"/>
            <w:tcBorders>
              <w:top w:val="nil"/>
              <w:left w:val="nil"/>
              <w:bottom w:val="nil"/>
              <w:right w:val="nil"/>
            </w:tcBorders>
            <w:shd w:val="clear" w:color="FFFFFF" w:fill="FFFFFF"/>
            <w:noWrap/>
            <w:vAlign w:val="bottom"/>
            <w:hideMark/>
          </w:tcPr>
          <w:p w14:paraId="1B73E4DD"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481FA0E4"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006C23EC" w14:textId="77777777" w:rsidR="00C32CBD" w:rsidRDefault="00C32CBD" w:rsidP="00320D09">
            <w:pPr>
              <w:rPr>
                <w:rFonts w:cs="Arial"/>
                <w:sz w:val="18"/>
                <w:szCs w:val="18"/>
              </w:rPr>
            </w:pPr>
            <w:r>
              <w:rPr>
                <w:rFonts w:cs="Arial"/>
                <w:sz w:val="18"/>
                <w:szCs w:val="18"/>
              </w:rPr>
              <w:t> </w:t>
            </w:r>
          </w:p>
        </w:tc>
      </w:tr>
      <w:tr w:rsidR="00C32CBD" w14:paraId="0ED6BA2B" w14:textId="77777777" w:rsidTr="00320D09">
        <w:trPr>
          <w:trHeight w:val="255"/>
        </w:trPr>
        <w:tc>
          <w:tcPr>
            <w:tcW w:w="6353" w:type="dxa"/>
            <w:tcBorders>
              <w:top w:val="nil"/>
              <w:left w:val="nil"/>
              <w:bottom w:val="nil"/>
              <w:right w:val="nil"/>
            </w:tcBorders>
            <w:shd w:val="clear" w:color="FFFFFF" w:fill="FFFFFF"/>
            <w:vAlign w:val="bottom"/>
            <w:hideMark/>
          </w:tcPr>
          <w:p w14:paraId="65A4733A" w14:textId="77777777" w:rsidR="00C32CBD" w:rsidRDefault="00C32CBD" w:rsidP="00320D09">
            <w:pPr>
              <w:rPr>
                <w:rFonts w:cs="Arial"/>
                <w:b/>
                <w:bCs/>
                <w:sz w:val="18"/>
                <w:szCs w:val="18"/>
              </w:rPr>
            </w:pPr>
            <w:r>
              <w:rPr>
                <w:rFonts w:cs="Arial"/>
                <w:b/>
                <w:bCs/>
                <w:sz w:val="18"/>
                <w:szCs w:val="18"/>
              </w:rPr>
              <w:t>Held-to-maturity investments</w:t>
            </w:r>
          </w:p>
        </w:tc>
        <w:tc>
          <w:tcPr>
            <w:tcW w:w="1249" w:type="dxa"/>
            <w:tcBorders>
              <w:top w:val="nil"/>
              <w:left w:val="nil"/>
              <w:bottom w:val="nil"/>
              <w:right w:val="nil"/>
            </w:tcBorders>
            <w:shd w:val="clear" w:color="FFFFFF" w:fill="FFFFFF"/>
            <w:noWrap/>
            <w:vAlign w:val="bottom"/>
            <w:hideMark/>
          </w:tcPr>
          <w:p w14:paraId="70E57460"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2DAE6DD4"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17B827AC" w14:textId="77777777" w:rsidR="00C32CBD" w:rsidRDefault="00C32CBD" w:rsidP="00320D09">
            <w:pPr>
              <w:rPr>
                <w:rFonts w:cs="Arial"/>
                <w:sz w:val="18"/>
                <w:szCs w:val="18"/>
              </w:rPr>
            </w:pPr>
            <w:r>
              <w:rPr>
                <w:rFonts w:cs="Arial"/>
                <w:sz w:val="18"/>
                <w:szCs w:val="18"/>
              </w:rPr>
              <w:t> </w:t>
            </w:r>
          </w:p>
        </w:tc>
      </w:tr>
      <w:tr w:rsidR="00C32CBD" w14:paraId="59774B6B" w14:textId="77777777" w:rsidTr="00320D09">
        <w:trPr>
          <w:trHeight w:val="255"/>
        </w:trPr>
        <w:tc>
          <w:tcPr>
            <w:tcW w:w="6353" w:type="dxa"/>
            <w:tcBorders>
              <w:top w:val="nil"/>
              <w:left w:val="nil"/>
              <w:bottom w:val="nil"/>
              <w:right w:val="nil"/>
            </w:tcBorders>
            <w:shd w:val="clear" w:color="FFFFFF" w:fill="FFFFFF"/>
            <w:vAlign w:val="bottom"/>
            <w:hideMark/>
          </w:tcPr>
          <w:p w14:paraId="5EB0BE70" w14:textId="77777777" w:rsidR="00C32CBD" w:rsidRDefault="00C32CBD" w:rsidP="00320D09">
            <w:pPr>
              <w:ind w:firstLineChars="100" w:firstLine="180"/>
              <w:rPr>
                <w:rFonts w:cs="Arial"/>
                <w:sz w:val="18"/>
                <w:szCs w:val="18"/>
              </w:rPr>
            </w:pPr>
            <w:r>
              <w:rPr>
                <w:rFonts w:cs="Arial"/>
                <w:sz w:val="18"/>
                <w:szCs w:val="18"/>
              </w:rPr>
              <w:t>Interest revenue</w:t>
            </w:r>
          </w:p>
        </w:tc>
        <w:tc>
          <w:tcPr>
            <w:tcW w:w="1249" w:type="dxa"/>
            <w:tcBorders>
              <w:top w:val="nil"/>
              <w:left w:val="nil"/>
              <w:bottom w:val="nil"/>
              <w:right w:val="nil"/>
            </w:tcBorders>
            <w:shd w:val="clear" w:color="FFFFFF" w:fill="FFFFFF"/>
            <w:noWrap/>
            <w:vAlign w:val="bottom"/>
            <w:hideMark/>
          </w:tcPr>
          <w:p w14:paraId="3D86BF15" w14:textId="77777777" w:rsidR="00C32CBD" w:rsidRDefault="00C32CBD" w:rsidP="00320D09">
            <w:pPr>
              <w:jc w:val="right"/>
              <w:rPr>
                <w:rFonts w:cs="Arial"/>
                <w:b/>
                <w:bCs/>
                <w:sz w:val="18"/>
                <w:szCs w:val="18"/>
              </w:rPr>
            </w:pPr>
            <w:r>
              <w:rPr>
                <w:rFonts w:cs="Arial"/>
                <w:b/>
                <w:bCs/>
                <w:sz w:val="18"/>
                <w:szCs w:val="18"/>
              </w:rPr>
              <w:t>78</w:t>
            </w:r>
          </w:p>
        </w:tc>
        <w:tc>
          <w:tcPr>
            <w:tcW w:w="236" w:type="dxa"/>
            <w:tcBorders>
              <w:top w:val="nil"/>
              <w:left w:val="nil"/>
              <w:bottom w:val="nil"/>
              <w:right w:val="nil"/>
            </w:tcBorders>
            <w:shd w:val="clear" w:color="FFFFFF" w:fill="FFFFFF"/>
            <w:noWrap/>
            <w:vAlign w:val="bottom"/>
            <w:hideMark/>
          </w:tcPr>
          <w:p w14:paraId="755D4DC9"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177E0AF6" w14:textId="77777777" w:rsidR="00C32CBD" w:rsidRDefault="00C32CBD" w:rsidP="00320D09">
            <w:pPr>
              <w:jc w:val="right"/>
              <w:rPr>
                <w:rFonts w:cs="Arial"/>
                <w:sz w:val="18"/>
                <w:szCs w:val="18"/>
              </w:rPr>
            </w:pPr>
            <w:r>
              <w:rPr>
                <w:rFonts w:cs="Arial"/>
                <w:sz w:val="18"/>
                <w:szCs w:val="18"/>
              </w:rPr>
              <w:t>2,169</w:t>
            </w:r>
          </w:p>
        </w:tc>
      </w:tr>
      <w:tr w:rsidR="00C32CBD" w14:paraId="63E2605C" w14:textId="77777777" w:rsidTr="00320D09">
        <w:trPr>
          <w:trHeight w:val="255"/>
        </w:trPr>
        <w:tc>
          <w:tcPr>
            <w:tcW w:w="6353" w:type="dxa"/>
            <w:tcBorders>
              <w:top w:val="nil"/>
              <w:left w:val="nil"/>
              <w:bottom w:val="nil"/>
              <w:right w:val="nil"/>
            </w:tcBorders>
            <w:shd w:val="clear" w:color="FFFFFF" w:fill="FFFFFF"/>
            <w:vAlign w:val="bottom"/>
            <w:hideMark/>
          </w:tcPr>
          <w:p w14:paraId="50952FB9" w14:textId="77777777" w:rsidR="00C32CBD" w:rsidRDefault="00C32CBD" w:rsidP="00320D09">
            <w:pPr>
              <w:rPr>
                <w:rFonts w:cs="Arial"/>
                <w:b/>
                <w:bCs/>
                <w:sz w:val="18"/>
                <w:szCs w:val="18"/>
              </w:rPr>
            </w:pPr>
            <w:r>
              <w:rPr>
                <w:rFonts w:cs="Arial"/>
                <w:b/>
                <w:bCs/>
                <w:sz w:val="18"/>
                <w:szCs w:val="18"/>
              </w:rPr>
              <w:t>Net gain on held-to-maturity investments</w:t>
            </w:r>
          </w:p>
        </w:tc>
        <w:tc>
          <w:tcPr>
            <w:tcW w:w="1249" w:type="dxa"/>
            <w:tcBorders>
              <w:top w:val="single" w:sz="4" w:space="0" w:color="auto"/>
              <w:left w:val="nil"/>
              <w:bottom w:val="single" w:sz="4" w:space="0" w:color="auto"/>
              <w:right w:val="nil"/>
            </w:tcBorders>
            <w:shd w:val="clear" w:color="FFFFFF" w:fill="FFFFFF"/>
            <w:noWrap/>
            <w:vAlign w:val="bottom"/>
            <w:hideMark/>
          </w:tcPr>
          <w:p w14:paraId="06549C9C" w14:textId="77777777" w:rsidR="00C32CBD" w:rsidRDefault="00C32CBD" w:rsidP="00320D09">
            <w:pPr>
              <w:jc w:val="right"/>
              <w:rPr>
                <w:rFonts w:cs="Arial"/>
                <w:b/>
                <w:bCs/>
                <w:sz w:val="18"/>
                <w:szCs w:val="18"/>
              </w:rPr>
            </w:pPr>
            <w:r>
              <w:rPr>
                <w:rFonts w:cs="Arial"/>
                <w:b/>
                <w:bCs/>
                <w:sz w:val="18"/>
                <w:szCs w:val="18"/>
              </w:rPr>
              <w:t>78</w:t>
            </w:r>
          </w:p>
        </w:tc>
        <w:tc>
          <w:tcPr>
            <w:tcW w:w="236" w:type="dxa"/>
            <w:tcBorders>
              <w:top w:val="nil"/>
              <w:left w:val="nil"/>
              <w:bottom w:val="nil"/>
              <w:right w:val="nil"/>
            </w:tcBorders>
            <w:shd w:val="clear" w:color="FFFFFF" w:fill="FFFFFF"/>
            <w:noWrap/>
            <w:vAlign w:val="bottom"/>
            <w:hideMark/>
          </w:tcPr>
          <w:p w14:paraId="7708BC53" w14:textId="77777777" w:rsidR="00C32CBD" w:rsidRDefault="00C32CBD" w:rsidP="00320D09">
            <w:pPr>
              <w:rPr>
                <w:rFonts w:cs="Arial"/>
                <w:sz w:val="18"/>
                <w:szCs w:val="18"/>
              </w:rPr>
            </w:pPr>
            <w:r>
              <w:rPr>
                <w:rFonts w:cs="Arial"/>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252DAA13" w14:textId="77777777" w:rsidR="00C32CBD" w:rsidRDefault="00C32CBD" w:rsidP="00320D09">
            <w:pPr>
              <w:jc w:val="right"/>
              <w:rPr>
                <w:rFonts w:cs="Arial"/>
                <w:sz w:val="18"/>
                <w:szCs w:val="18"/>
              </w:rPr>
            </w:pPr>
            <w:r>
              <w:rPr>
                <w:rFonts w:cs="Arial"/>
                <w:sz w:val="18"/>
                <w:szCs w:val="18"/>
              </w:rPr>
              <w:t>2,169</w:t>
            </w:r>
          </w:p>
        </w:tc>
      </w:tr>
      <w:tr w:rsidR="00C32CBD" w14:paraId="3C80E43E" w14:textId="77777777" w:rsidTr="00320D09">
        <w:trPr>
          <w:trHeight w:val="255"/>
        </w:trPr>
        <w:tc>
          <w:tcPr>
            <w:tcW w:w="6353" w:type="dxa"/>
            <w:tcBorders>
              <w:top w:val="nil"/>
              <w:left w:val="nil"/>
              <w:bottom w:val="nil"/>
              <w:right w:val="nil"/>
            </w:tcBorders>
            <w:shd w:val="clear" w:color="FFFFFF" w:fill="FFFFFF"/>
            <w:noWrap/>
            <w:vAlign w:val="bottom"/>
            <w:hideMark/>
          </w:tcPr>
          <w:p w14:paraId="7E9791DE"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17C3F9CC" w14:textId="77777777" w:rsidR="00C32CBD" w:rsidRDefault="00C32CBD" w:rsidP="00320D09">
            <w:pPr>
              <w:rPr>
                <w:rFonts w:cs="Arial"/>
                <w:b/>
                <w:bCs/>
                <w:sz w:val="18"/>
                <w:szCs w:val="18"/>
              </w:rPr>
            </w:pPr>
            <w:r>
              <w:rPr>
                <w:rFonts w:cs="Arial"/>
                <w:b/>
                <w:bCs/>
                <w:sz w:val="18"/>
                <w:szCs w:val="18"/>
              </w:rPr>
              <w:t> </w:t>
            </w:r>
          </w:p>
        </w:tc>
        <w:tc>
          <w:tcPr>
            <w:tcW w:w="236" w:type="dxa"/>
            <w:tcBorders>
              <w:top w:val="nil"/>
              <w:left w:val="nil"/>
              <w:bottom w:val="nil"/>
              <w:right w:val="nil"/>
            </w:tcBorders>
            <w:shd w:val="clear" w:color="FFFFFF" w:fill="FFFFFF"/>
            <w:noWrap/>
            <w:vAlign w:val="bottom"/>
            <w:hideMark/>
          </w:tcPr>
          <w:p w14:paraId="5452BC3C"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050C1B53" w14:textId="77777777" w:rsidR="00C32CBD" w:rsidRDefault="00C32CBD" w:rsidP="00320D09">
            <w:pPr>
              <w:rPr>
                <w:rFonts w:cs="Arial"/>
                <w:sz w:val="18"/>
                <w:szCs w:val="18"/>
              </w:rPr>
            </w:pPr>
            <w:r>
              <w:rPr>
                <w:rFonts w:cs="Arial"/>
                <w:sz w:val="18"/>
                <w:szCs w:val="18"/>
              </w:rPr>
              <w:t> </w:t>
            </w:r>
          </w:p>
        </w:tc>
      </w:tr>
      <w:tr w:rsidR="00C32CBD" w14:paraId="10A6AD7C" w14:textId="77777777" w:rsidTr="00320D09">
        <w:trPr>
          <w:trHeight w:val="255"/>
        </w:trPr>
        <w:tc>
          <w:tcPr>
            <w:tcW w:w="6353" w:type="dxa"/>
            <w:tcBorders>
              <w:top w:val="nil"/>
              <w:left w:val="nil"/>
              <w:bottom w:val="nil"/>
              <w:right w:val="nil"/>
            </w:tcBorders>
            <w:shd w:val="clear" w:color="FFFFFF" w:fill="FFFFFF"/>
            <w:vAlign w:val="bottom"/>
            <w:hideMark/>
          </w:tcPr>
          <w:p w14:paraId="37C0F4FE" w14:textId="77777777" w:rsidR="00C32CBD" w:rsidRDefault="00C32CBD" w:rsidP="00320D09">
            <w:pPr>
              <w:rPr>
                <w:rFonts w:cs="Arial"/>
                <w:b/>
                <w:bCs/>
                <w:sz w:val="18"/>
                <w:szCs w:val="18"/>
              </w:rPr>
            </w:pPr>
            <w:r>
              <w:rPr>
                <w:rFonts w:cs="Arial"/>
                <w:b/>
                <w:bCs/>
                <w:sz w:val="18"/>
                <w:szCs w:val="18"/>
              </w:rPr>
              <w:t>Loans and receivables</w:t>
            </w:r>
          </w:p>
        </w:tc>
        <w:tc>
          <w:tcPr>
            <w:tcW w:w="1249" w:type="dxa"/>
            <w:tcBorders>
              <w:top w:val="nil"/>
              <w:left w:val="nil"/>
              <w:bottom w:val="nil"/>
              <w:right w:val="nil"/>
            </w:tcBorders>
            <w:shd w:val="clear" w:color="FFFFFF" w:fill="FFFFFF"/>
            <w:noWrap/>
            <w:vAlign w:val="bottom"/>
            <w:hideMark/>
          </w:tcPr>
          <w:p w14:paraId="00837F48" w14:textId="77777777" w:rsidR="00C32CBD" w:rsidRDefault="00C32CBD" w:rsidP="00320D09">
            <w:pPr>
              <w:rPr>
                <w:rFonts w:cs="Arial"/>
                <w:b/>
                <w:bCs/>
                <w:sz w:val="18"/>
                <w:szCs w:val="18"/>
              </w:rPr>
            </w:pPr>
            <w:r>
              <w:rPr>
                <w:rFonts w:cs="Arial"/>
                <w:b/>
                <w:bCs/>
                <w:sz w:val="18"/>
                <w:szCs w:val="18"/>
              </w:rPr>
              <w:t> </w:t>
            </w:r>
          </w:p>
        </w:tc>
        <w:tc>
          <w:tcPr>
            <w:tcW w:w="236" w:type="dxa"/>
            <w:tcBorders>
              <w:top w:val="nil"/>
              <w:left w:val="nil"/>
              <w:bottom w:val="nil"/>
              <w:right w:val="nil"/>
            </w:tcBorders>
            <w:shd w:val="clear" w:color="FFFFFF" w:fill="FFFFFF"/>
            <w:noWrap/>
            <w:vAlign w:val="bottom"/>
            <w:hideMark/>
          </w:tcPr>
          <w:p w14:paraId="4FB699D0"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2B37A44B" w14:textId="77777777" w:rsidR="00C32CBD" w:rsidRDefault="00C32CBD" w:rsidP="00320D09">
            <w:pPr>
              <w:rPr>
                <w:rFonts w:cs="Arial"/>
                <w:sz w:val="18"/>
                <w:szCs w:val="18"/>
              </w:rPr>
            </w:pPr>
            <w:r>
              <w:rPr>
                <w:rFonts w:cs="Arial"/>
                <w:sz w:val="18"/>
                <w:szCs w:val="18"/>
              </w:rPr>
              <w:t> </w:t>
            </w:r>
          </w:p>
        </w:tc>
      </w:tr>
      <w:tr w:rsidR="00C32CBD" w14:paraId="1908DD61" w14:textId="77777777" w:rsidTr="00320D09">
        <w:trPr>
          <w:trHeight w:val="255"/>
        </w:trPr>
        <w:tc>
          <w:tcPr>
            <w:tcW w:w="6353" w:type="dxa"/>
            <w:tcBorders>
              <w:top w:val="nil"/>
              <w:left w:val="nil"/>
              <w:bottom w:val="nil"/>
              <w:right w:val="nil"/>
            </w:tcBorders>
            <w:shd w:val="clear" w:color="FFFFFF" w:fill="FFFFFF"/>
            <w:vAlign w:val="bottom"/>
            <w:hideMark/>
          </w:tcPr>
          <w:p w14:paraId="655A3886" w14:textId="77777777" w:rsidR="00C32CBD" w:rsidRDefault="00C32CBD" w:rsidP="00320D09">
            <w:pPr>
              <w:rPr>
                <w:rFonts w:cs="Arial"/>
                <w:sz w:val="18"/>
                <w:szCs w:val="18"/>
              </w:rPr>
            </w:pPr>
            <w:r>
              <w:rPr>
                <w:rFonts w:cs="Arial"/>
                <w:sz w:val="18"/>
                <w:szCs w:val="18"/>
              </w:rPr>
              <w:t>Interest revenue</w:t>
            </w:r>
          </w:p>
        </w:tc>
        <w:tc>
          <w:tcPr>
            <w:tcW w:w="1249" w:type="dxa"/>
            <w:tcBorders>
              <w:top w:val="nil"/>
              <w:left w:val="nil"/>
              <w:bottom w:val="nil"/>
              <w:right w:val="nil"/>
            </w:tcBorders>
            <w:shd w:val="clear" w:color="FFFFFF" w:fill="FFFFFF"/>
            <w:noWrap/>
            <w:vAlign w:val="bottom"/>
            <w:hideMark/>
          </w:tcPr>
          <w:p w14:paraId="51375BA6" w14:textId="77777777" w:rsidR="00C32CBD" w:rsidRDefault="00C32CBD" w:rsidP="00320D09">
            <w:pPr>
              <w:jc w:val="right"/>
              <w:rPr>
                <w:rFonts w:cs="Arial"/>
                <w:b/>
                <w:bCs/>
                <w:sz w:val="18"/>
                <w:szCs w:val="18"/>
              </w:rPr>
            </w:pPr>
            <w:r>
              <w:rPr>
                <w:rFonts w:cs="Arial"/>
                <w:b/>
                <w:bCs/>
                <w:sz w:val="18"/>
                <w:szCs w:val="18"/>
              </w:rPr>
              <w:t>13,724</w:t>
            </w:r>
          </w:p>
        </w:tc>
        <w:tc>
          <w:tcPr>
            <w:tcW w:w="236" w:type="dxa"/>
            <w:tcBorders>
              <w:top w:val="nil"/>
              <w:left w:val="nil"/>
              <w:bottom w:val="nil"/>
              <w:right w:val="nil"/>
            </w:tcBorders>
            <w:shd w:val="clear" w:color="FFFFFF" w:fill="FFFFFF"/>
            <w:noWrap/>
            <w:vAlign w:val="bottom"/>
            <w:hideMark/>
          </w:tcPr>
          <w:p w14:paraId="53C3C984"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1916C178" w14:textId="77777777" w:rsidR="00C32CBD" w:rsidRDefault="00C32CBD" w:rsidP="00320D09">
            <w:pPr>
              <w:jc w:val="right"/>
              <w:rPr>
                <w:rFonts w:cs="Arial"/>
                <w:sz w:val="18"/>
                <w:szCs w:val="18"/>
              </w:rPr>
            </w:pPr>
            <w:r>
              <w:rPr>
                <w:rFonts w:cs="Arial"/>
                <w:sz w:val="18"/>
                <w:szCs w:val="18"/>
              </w:rPr>
              <w:t>4,050</w:t>
            </w:r>
          </w:p>
        </w:tc>
      </w:tr>
      <w:tr w:rsidR="00C32CBD" w14:paraId="1AE0790F" w14:textId="77777777" w:rsidTr="00320D09">
        <w:trPr>
          <w:trHeight w:val="255"/>
        </w:trPr>
        <w:tc>
          <w:tcPr>
            <w:tcW w:w="6353" w:type="dxa"/>
            <w:tcBorders>
              <w:top w:val="nil"/>
              <w:left w:val="nil"/>
              <w:bottom w:val="nil"/>
              <w:right w:val="nil"/>
            </w:tcBorders>
            <w:shd w:val="clear" w:color="FFFFFF" w:fill="FFFFFF"/>
            <w:vAlign w:val="bottom"/>
            <w:hideMark/>
          </w:tcPr>
          <w:p w14:paraId="0421A257" w14:textId="77777777" w:rsidR="00C32CBD" w:rsidRDefault="00C32CBD" w:rsidP="00320D09">
            <w:pPr>
              <w:rPr>
                <w:rFonts w:cs="Arial"/>
                <w:b/>
                <w:bCs/>
                <w:sz w:val="18"/>
                <w:szCs w:val="18"/>
              </w:rPr>
            </w:pPr>
            <w:r>
              <w:rPr>
                <w:rFonts w:cs="Arial"/>
                <w:b/>
                <w:bCs/>
                <w:sz w:val="18"/>
                <w:szCs w:val="18"/>
              </w:rPr>
              <w:t>Net gain on loans and receivables</w:t>
            </w:r>
          </w:p>
        </w:tc>
        <w:tc>
          <w:tcPr>
            <w:tcW w:w="1249" w:type="dxa"/>
            <w:tcBorders>
              <w:top w:val="single" w:sz="4" w:space="0" w:color="auto"/>
              <w:left w:val="nil"/>
              <w:bottom w:val="single" w:sz="4" w:space="0" w:color="auto"/>
              <w:right w:val="nil"/>
            </w:tcBorders>
            <w:shd w:val="clear" w:color="FFFFFF" w:fill="FFFFFF"/>
            <w:noWrap/>
            <w:vAlign w:val="bottom"/>
            <w:hideMark/>
          </w:tcPr>
          <w:p w14:paraId="195D9DC1" w14:textId="77777777" w:rsidR="00C32CBD" w:rsidRDefault="00C32CBD" w:rsidP="00320D09">
            <w:pPr>
              <w:jc w:val="right"/>
              <w:rPr>
                <w:rFonts w:cs="Arial"/>
                <w:b/>
                <w:bCs/>
                <w:sz w:val="18"/>
                <w:szCs w:val="18"/>
              </w:rPr>
            </w:pPr>
            <w:r>
              <w:rPr>
                <w:rFonts w:cs="Arial"/>
                <w:b/>
                <w:bCs/>
                <w:sz w:val="18"/>
                <w:szCs w:val="18"/>
              </w:rPr>
              <w:t>13,724</w:t>
            </w:r>
          </w:p>
        </w:tc>
        <w:tc>
          <w:tcPr>
            <w:tcW w:w="236" w:type="dxa"/>
            <w:tcBorders>
              <w:top w:val="nil"/>
              <w:left w:val="nil"/>
              <w:bottom w:val="nil"/>
              <w:right w:val="nil"/>
            </w:tcBorders>
            <w:shd w:val="clear" w:color="FFFFFF" w:fill="FFFFFF"/>
            <w:noWrap/>
            <w:vAlign w:val="bottom"/>
            <w:hideMark/>
          </w:tcPr>
          <w:p w14:paraId="3779A6CB" w14:textId="77777777" w:rsidR="00C32CBD" w:rsidRDefault="00C32CBD" w:rsidP="00320D09">
            <w:pPr>
              <w:rPr>
                <w:rFonts w:cs="Arial"/>
                <w:sz w:val="18"/>
                <w:szCs w:val="18"/>
              </w:rPr>
            </w:pPr>
            <w:r>
              <w:rPr>
                <w:rFonts w:cs="Arial"/>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51007DA1" w14:textId="77777777" w:rsidR="00C32CBD" w:rsidRDefault="00C32CBD" w:rsidP="00320D09">
            <w:pPr>
              <w:jc w:val="right"/>
              <w:rPr>
                <w:rFonts w:cs="Arial"/>
                <w:sz w:val="18"/>
                <w:szCs w:val="18"/>
              </w:rPr>
            </w:pPr>
            <w:r>
              <w:rPr>
                <w:rFonts w:cs="Arial"/>
                <w:sz w:val="18"/>
                <w:szCs w:val="18"/>
              </w:rPr>
              <w:t>4,050</w:t>
            </w:r>
          </w:p>
        </w:tc>
      </w:tr>
      <w:tr w:rsidR="00C32CBD" w14:paraId="62F964A3" w14:textId="77777777" w:rsidTr="00320D09">
        <w:trPr>
          <w:trHeight w:val="255"/>
        </w:trPr>
        <w:tc>
          <w:tcPr>
            <w:tcW w:w="6353" w:type="dxa"/>
            <w:tcBorders>
              <w:top w:val="nil"/>
              <w:left w:val="nil"/>
              <w:bottom w:val="nil"/>
              <w:right w:val="nil"/>
            </w:tcBorders>
            <w:shd w:val="clear" w:color="FFFFFF" w:fill="FFFFFF"/>
            <w:noWrap/>
            <w:vAlign w:val="bottom"/>
            <w:hideMark/>
          </w:tcPr>
          <w:p w14:paraId="3090F9AF"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44C7821F" w14:textId="77777777" w:rsidR="00C32CBD" w:rsidRDefault="00C32CBD" w:rsidP="00320D09">
            <w:pPr>
              <w:rPr>
                <w:rFonts w:cs="Arial"/>
                <w:b/>
                <w:bCs/>
                <w:sz w:val="18"/>
                <w:szCs w:val="18"/>
              </w:rPr>
            </w:pPr>
            <w:r>
              <w:rPr>
                <w:rFonts w:cs="Arial"/>
                <w:b/>
                <w:bCs/>
                <w:sz w:val="18"/>
                <w:szCs w:val="18"/>
              </w:rPr>
              <w:t> </w:t>
            </w:r>
          </w:p>
        </w:tc>
        <w:tc>
          <w:tcPr>
            <w:tcW w:w="236" w:type="dxa"/>
            <w:tcBorders>
              <w:top w:val="nil"/>
              <w:left w:val="nil"/>
              <w:bottom w:val="nil"/>
              <w:right w:val="nil"/>
            </w:tcBorders>
            <w:shd w:val="clear" w:color="FFFFFF" w:fill="FFFFFF"/>
            <w:noWrap/>
            <w:vAlign w:val="bottom"/>
            <w:hideMark/>
          </w:tcPr>
          <w:p w14:paraId="34D7A70B" w14:textId="77777777" w:rsidR="00C32CBD" w:rsidRDefault="00C32CBD" w:rsidP="00320D09">
            <w:pPr>
              <w:rPr>
                <w:rFonts w:cs="Arial"/>
                <w:sz w:val="18"/>
                <w:szCs w:val="18"/>
              </w:rPr>
            </w:pPr>
            <w:r>
              <w:rPr>
                <w:rFonts w:cs="Arial"/>
                <w:sz w:val="18"/>
                <w:szCs w:val="18"/>
              </w:rPr>
              <w:t> </w:t>
            </w:r>
          </w:p>
        </w:tc>
        <w:tc>
          <w:tcPr>
            <w:tcW w:w="1249" w:type="dxa"/>
            <w:tcBorders>
              <w:top w:val="nil"/>
              <w:left w:val="nil"/>
              <w:bottom w:val="nil"/>
              <w:right w:val="nil"/>
            </w:tcBorders>
            <w:shd w:val="clear" w:color="FFFFFF" w:fill="FFFFFF"/>
            <w:noWrap/>
            <w:vAlign w:val="bottom"/>
            <w:hideMark/>
          </w:tcPr>
          <w:p w14:paraId="50302B49" w14:textId="77777777" w:rsidR="00C32CBD" w:rsidRDefault="00C32CBD" w:rsidP="00320D09">
            <w:pPr>
              <w:rPr>
                <w:rFonts w:cs="Arial"/>
                <w:sz w:val="18"/>
                <w:szCs w:val="18"/>
              </w:rPr>
            </w:pPr>
            <w:r>
              <w:rPr>
                <w:rFonts w:cs="Arial"/>
                <w:sz w:val="18"/>
                <w:szCs w:val="18"/>
              </w:rPr>
              <w:t> </w:t>
            </w:r>
          </w:p>
        </w:tc>
      </w:tr>
      <w:tr w:rsidR="00C32CBD" w14:paraId="4F027804" w14:textId="77777777" w:rsidTr="00320D09">
        <w:trPr>
          <w:trHeight w:val="255"/>
        </w:trPr>
        <w:tc>
          <w:tcPr>
            <w:tcW w:w="6353" w:type="dxa"/>
            <w:tcBorders>
              <w:top w:val="nil"/>
              <w:left w:val="nil"/>
              <w:bottom w:val="nil"/>
              <w:right w:val="nil"/>
            </w:tcBorders>
            <w:shd w:val="clear" w:color="FFFFFF" w:fill="FFFFFF"/>
            <w:vAlign w:val="bottom"/>
            <w:hideMark/>
          </w:tcPr>
          <w:p w14:paraId="1496A83F" w14:textId="77777777" w:rsidR="00C32CBD" w:rsidRDefault="00C32CBD" w:rsidP="00320D09">
            <w:pPr>
              <w:rPr>
                <w:rFonts w:cs="Arial"/>
                <w:b/>
                <w:bCs/>
                <w:sz w:val="18"/>
                <w:szCs w:val="18"/>
              </w:rPr>
            </w:pPr>
            <w:r>
              <w:rPr>
                <w:rFonts w:cs="Arial"/>
                <w:b/>
                <w:bCs/>
                <w:sz w:val="18"/>
                <w:szCs w:val="18"/>
              </w:rPr>
              <w:t>Net gain from financial assets</w:t>
            </w:r>
          </w:p>
        </w:tc>
        <w:tc>
          <w:tcPr>
            <w:tcW w:w="1249" w:type="dxa"/>
            <w:tcBorders>
              <w:top w:val="single" w:sz="4" w:space="0" w:color="auto"/>
              <w:left w:val="nil"/>
              <w:bottom w:val="single" w:sz="4" w:space="0" w:color="auto"/>
              <w:right w:val="nil"/>
            </w:tcBorders>
            <w:shd w:val="clear" w:color="FFFFFF" w:fill="FFFFFF"/>
            <w:noWrap/>
            <w:vAlign w:val="bottom"/>
            <w:hideMark/>
          </w:tcPr>
          <w:p w14:paraId="72C122FE" w14:textId="77777777" w:rsidR="00C32CBD" w:rsidRDefault="00C32CBD" w:rsidP="00320D09">
            <w:pPr>
              <w:jc w:val="right"/>
              <w:rPr>
                <w:rFonts w:cs="Arial"/>
                <w:b/>
                <w:bCs/>
                <w:sz w:val="18"/>
                <w:szCs w:val="18"/>
              </w:rPr>
            </w:pPr>
            <w:r>
              <w:rPr>
                <w:rFonts w:cs="Arial"/>
                <w:b/>
                <w:bCs/>
                <w:sz w:val="18"/>
                <w:szCs w:val="18"/>
              </w:rPr>
              <w:t>13,802</w:t>
            </w:r>
          </w:p>
        </w:tc>
        <w:tc>
          <w:tcPr>
            <w:tcW w:w="236" w:type="dxa"/>
            <w:tcBorders>
              <w:top w:val="nil"/>
              <w:left w:val="nil"/>
              <w:bottom w:val="nil"/>
              <w:right w:val="nil"/>
            </w:tcBorders>
            <w:shd w:val="clear" w:color="FFFFFF" w:fill="FFFFFF"/>
            <w:noWrap/>
            <w:vAlign w:val="bottom"/>
            <w:hideMark/>
          </w:tcPr>
          <w:p w14:paraId="76686D9F" w14:textId="77777777" w:rsidR="00C32CBD" w:rsidRDefault="00C32CBD" w:rsidP="00320D09">
            <w:pPr>
              <w:rPr>
                <w:rFonts w:cs="Arial"/>
                <w:sz w:val="18"/>
                <w:szCs w:val="18"/>
              </w:rPr>
            </w:pPr>
            <w:r>
              <w:rPr>
                <w:rFonts w:cs="Arial"/>
                <w:sz w:val="18"/>
                <w:szCs w:val="18"/>
              </w:rPr>
              <w:t> </w:t>
            </w:r>
          </w:p>
        </w:tc>
        <w:tc>
          <w:tcPr>
            <w:tcW w:w="1249" w:type="dxa"/>
            <w:tcBorders>
              <w:top w:val="single" w:sz="4" w:space="0" w:color="auto"/>
              <w:left w:val="nil"/>
              <w:bottom w:val="single" w:sz="4" w:space="0" w:color="auto"/>
              <w:right w:val="nil"/>
            </w:tcBorders>
            <w:shd w:val="clear" w:color="FFFFFF" w:fill="FFFFFF"/>
            <w:noWrap/>
            <w:vAlign w:val="bottom"/>
            <w:hideMark/>
          </w:tcPr>
          <w:p w14:paraId="1F4256A3" w14:textId="77777777" w:rsidR="00C32CBD" w:rsidRDefault="00C32CBD" w:rsidP="00320D09">
            <w:pPr>
              <w:jc w:val="right"/>
              <w:rPr>
                <w:rFonts w:cs="Arial"/>
                <w:sz w:val="18"/>
                <w:szCs w:val="18"/>
              </w:rPr>
            </w:pPr>
            <w:r>
              <w:rPr>
                <w:rFonts w:cs="Arial"/>
                <w:sz w:val="18"/>
                <w:szCs w:val="18"/>
              </w:rPr>
              <w:t>6,219</w:t>
            </w:r>
          </w:p>
        </w:tc>
      </w:tr>
    </w:tbl>
    <w:p w14:paraId="2CC31243" w14:textId="77777777" w:rsidR="00C32CBD" w:rsidRPr="005E5430" w:rsidRDefault="00C32CBD" w:rsidP="00C32CBD"/>
    <w:p w14:paraId="52A061E4" w14:textId="77777777" w:rsidR="00C32CBD" w:rsidRPr="005E5430" w:rsidRDefault="00C32CBD" w:rsidP="00C32CBD">
      <w:pPr>
        <w:ind w:left="284" w:hanging="142"/>
        <w:rPr>
          <w:rFonts w:cs="Arial"/>
          <w:sz w:val="18"/>
          <w:szCs w:val="18"/>
        </w:rPr>
      </w:pPr>
      <w:r w:rsidRPr="005E5430">
        <w:rPr>
          <w:rFonts w:cs="Arial"/>
          <w:sz w:val="18"/>
          <w:szCs w:val="18"/>
        </w:rPr>
        <w:t>There were no</w:t>
      </w:r>
      <w:r>
        <w:rPr>
          <w:rFonts w:cs="Arial"/>
          <w:sz w:val="18"/>
          <w:szCs w:val="18"/>
        </w:rPr>
        <w:t xml:space="preserve"> other</w:t>
      </w:r>
      <w:r w:rsidRPr="005E5430">
        <w:rPr>
          <w:rFonts w:cs="Arial"/>
          <w:sz w:val="18"/>
          <w:szCs w:val="18"/>
        </w:rPr>
        <w:t xml:space="preserve"> gains or losses on financial liabilities</w:t>
      </w:r>
      <w:r>
        <w:rPr>
          <w:rFonts w:cs="Arial"/>
          <w:sz w:val="18"/>
          <w:szCs w:val="18"/>
        </w:rPr>
        <w:t xml:space="preserve"> or assets</w:t>
      </w:r>
      <w:r w:rsidRPr="005E5430">
        <w:rPr>
          <w:rFonts w:cs="Arial"/>
          <w:sz w:val="18"/>
          <w:szCs w:val="18"/>
        </w:rPr>
        <w:t xml:space="preserve"> during the period. </w:t>
      </w:r>
    </w:p>
    <w:p w14:paraId="6DD84197" w14:textId="77777777" w:rsidR="00C32CBD" w:rsidRPr="005E5430" w:rsidRDefault="00C32CBD" w:rsidP="00C32CBD">
      <w:pPr>
        <w:spacing w:line="240" w:lineRule="auto"/>
      </w:pPr>
    </w:p>
    <w:tbl>
      <w:tblPr>
        <w:tblW w:w="9087" w:type="dxa"/>
        <w:tblInd w:w="80" w:type="dxa"/>
        <w:tblLayout w:type="fixed"/>
        <w:tblLook w:val="04A0" w:firstRow="1" w:lastRow="0" w:firstColumn="1" w:lastColumn="0" w:noHBand="0" w:noVBand="1"/>
      </w:tblPr>
      <w:tblGrid>
        <w:gridCol w:w="2773"/>
        <w:gridCol w:w="1224"/>
        <w:gridCol w:w="1321"/>
        <w:gridCol w:w="1321"/>
        <w:gridCol w:w="1224"/>
        <w:gridCol w:w="1224"/>
      </w:tblGrid>
      <w:tr w:rsidR="00C32CBD" w14:paraId="4EC7EB6A" w14:textId="77777777" w:rsidTr="00320D09">
        <w:trPr>
          <w:trHeight w:val="255"/>
        </w:trPr>
        <w:tc>
          <w:tcPr>
            <w:tcW w:w="2773" w:type="dxa"/>
            <w:tcBorders>
              <w:top w:val="nil"/>
              <w:left w:val="nil"/>
              <w:bottom w:val="nil"/>
              <w:right w:val="nil"/>
            </w:tcBorders>
            <w:shd w:val="clear" w:color="FFFFFF" w:fill="FFFFFF"/>
            <w:noWrap/>
            <w:vAlign w:val="bottom"/>
            <w:hideMark/>
          </w:tcPr>
          <w:p w14:paraId="1C592EED" w14:textId="77777777" w:rsidR="00C32CBD" w:rsidRDefault="00C32CBD" w:rsidP="00320D09">
            <w:pPr>
              <w:rPr>
                <w:rFonts w:cs="Arial"/>
                <w:b/>
                <w:bCs/>
                <w:sz w:val="18"/>
                <w:szCs w:val="18"/>
                <w:u w:val="single"/>
              </w:rPr>
            </w:pPr>
            <w:bookmarkStart w:id="291" w:name="Note_FIHTABLE1" w:colFirst="0" w:colLast="0"/>
            <w:r>
              <w:rPr>
                <w:rFonts w:cs="Arial"/>
                <w:b/>
                <w:bCs/>
                <w:sz w:val="18"/>
                <w:szCs w:val="18"/>
                <w:u w:val="single"/>
              </w:rPr>
              <w:t>Note 5.2C: Credit risk</w:t>
            </w:r>
          </w:p>
        </w:tc>
        <w:tc>
          <w:tcPr>
            <w:tcW w:w="1224" w:type="dxa"/>
            <w:tcBorders>
              <w:top w:val="nil"/>
              <w:left w:val="nil"/>
              <w:bottom w:val="nil"/>
              <w:right w:val="nil"/>
            </w:tcBorders>
            <w:shd w:val="clear" w:color="FFFFFF" w:fill="FFFFFF"/>
            <w:noWrap/>
            <w:vAlign w:val="bottom"/>
            <w:hideMark/>
          </w:tcPr>
          <w:p w14:paraId="2469F152" w14:textId="77777777" w:rsidR="00C32CBD" w:rsidRDefault="00C32CBD" w:rsidP="00320D09">
            <w:pPr>
              <w:rPr>
                <w:rFonts w:cs="Arial"/>
                <w:sz w:val="18"/>
                <w:szCs w:val="18"/>
              </w:rPr>
            </w:pPr>
            <w:r>
              <w:rPr>
                <w:rFonts w:cs="Arial"/>
                <w:sz w:val="18"/>
                <w:szCs w:val="18"/>
              </w:rPr>
              <w:t> </w:t>
            </w:r>
          </w:p>
        </w:tc>
        <w:tc>
          <w:tcPr>
            <w:tcW w:w="1321" w:type="dxa"/>
            <w:tcBorders>
              <w:top w:val="nil"/>
              <w:left w:val="nil"/>
              <w:bottom w:val="nil"/>
              <w:right w:val="nil"/>
            </w:tcBorders>
            <w:shd w:val="clear" w:color="FFFFFF" w:fill="FFFFFF"/>
            <w:noWrap/>
            <w:vAlign w:val="bottom"/>
            <w:hideMark/>
          </w:tcPr>
          <w:p w14:paraId="0F5BAB9C" w14:textId="77777777" w:rsidR="00C32CBD" w:rsidRDefault="00C32CBD" w:rsidP="00320D09">
            <w:pPr>
              <w:rPr>
                <w:rFonts w:cs="Arial"/>
                <w:sz w:val="18"/>
                <w:szCs w:val="18"/>
              </w:rPr>
            </w:pPr>
            <w:r>
              <w:rPr>
                <w:rFonts w:cs="Arial"/>
                <w:sz w:val="18"/>
                <w:szCs w:val="18"/>
              </w:rPr>
              <w:t> </w:t>
            </w:r>
          </w:p>
        </w:tc>
        <w:tc>
          <w:tcPr>
            <w:tcW w:w="1321" w:type="dxa"/>
            <w:tcBorders>
              <w:top w:val="nil"/>
              <w:left w:val="nil"/>
              <w:bottom w:val="nil"/>
              <w:right w:val="nil"/>
            </w:tcBorders>
            <w:shd w:val="clear" w:color="FFFFFF" w:fill="FFFFFF"/>
            <w:noWrap/>
            <w:vAlign w:val="bottom"/>
            <w:hideMark/>
          </w:tcPr>
          <w:p w14:paraId="4AD34AD3" w14:textId="77777777" w:rsidR="00C32CBD" w:rsidRDefault="00C32CBD" w:rsidP="00320D09">
            <w:pPr>
              <w:rPr>
                <w:rFonts w:cs="Arial"/>
                <w:sz w:val="18"/>
                <w:szCs w:val="18"/>
              </w:rPr>
            </w:pPr>
            <w:r>
              <w:rPr>
                <w:rFonts w:cs="Arial"/>
                <w:sz w:val="18"/>
                <w:szCs w:val="18"/>
              </w:rPr>
              <w:t> </w:t>
            </w:r>
          </w:p>
        </w:tc>
        <w:tc>
          <w:tcPr>
            <w:tcW w:w="1224" w:type="dxa"/>
            <w:tcBorders>
              <w:top w:val="nil"/>
              <w:left w:val="nil"/>
              <w:bottom w:val="nil"/>
              <w:right w:val="nil"/>
            </w:tcBorders>
            <w:shd w:val="clear" w:color="FFFFFF" w:fill="FFFFFF"/>
            <w:noWrap/>
            <w:vAlign w:val="bottom"/>
            <w:hideMark/>
          </w:tcPr>
          <w:p w14:paraId="26EA619D" w14:textId="77777777" w:rsidR="00C32CBD" w:rsidRDefault="00C32CBD" w:rsidP="00320D09">
            <w:pPr>
              <w:rPr>
                <w:rFonts w:cs="Arial"/>
                <w:sz w:val="18"/>
                <w:szCs w:val="18"/>
              </w:rPr>
            </w:pPr>
            <w:r>
              <w:rPr>
                <w:rFonts w:cs="Arial"/>
                <w:sz w:val="18"/>
                <w:szCs w:val="18"/>
              </w:rPr>
              <w:t> </w:t>
            </w:r>
          </w:p>
        </w:tc>
        <w:tc>
          <w:tcPr>
            <w:tcW w:w="1224" w:type="dxa"/>
            <w:tcBorders>
              <w:top w:val="nil"/>
              <w:left w:val="nil"/>
              <w:bottom w:val="nil"/>
              <w:right w:val="nil"/>
            </w:tcBorders>
            <w:shd w:val="clear" w:color="FFFFFF" w:fill="FFFFFF"/>
            <w:noWrap/>
            <w:vAlign w:val="bottom"/>
            <w:hideMark/>
          </w:tcPr>
          <w:p w14:paraId="08AF792A" w14:textId="77777777" w:rsidR="00C32CBD" w:rsidRDefault="00C32CBD" w:rsidP="00320D09">
            <w:pPr>
              <w:rPr>
                <w:rFonts w:cs="Arial"/>
                <w:sz w:val="18"/>
                <w:szCs w:val="18"/>
              </w:rPr>
            </w:pPr>
            <w:r>
              <w:rPr>
                <w:rFonts w:cs="Arial"/>
                <w:sz w:val="18"/>
                <w:szCs w:val="18"/>
              </w:rPr>
              <w:t> </w:t>
            </w:r>
          </w:p>
        </w:tc>
      </w:tr>
      <w:bookmarkEnd w:id="291"/>
      <w:tr w:rsidR="00C32CBD" w14:paraId="0480CDA0" w14:textId="77777777" w:rsidTr="00320D09">
        <w:trPr>
          <w:trHeight w:val="1500"/>
        </w:trPr>
        <w:tc>
          <w:tcPr>
            <w:tcW w:w="9087" w:type="dxa"/>
            <w:gridSpan w:val="6"/>
            <w:tcBorders>
              <w:top w:val="nil"/>
              <w:left w:val="nil"/>
              <w:bottom w:val="nil"/>
              <w:right w:val="nil"/>
            </w:tcBorders>
            <w:shd w:val="clear" w:color="FFFFFF" w:fill="FFFFFF"/>
            <w:hideMark/>
          </w:tcPr>
          <w:p w14:paraId="669F3352" w14:textId="77777777" w:rsidR="00C32CBD" w:rsidRDefault="00C32CBD" w:rsidP="00320D09">
            <w:pPr>
              <w:rPr>
                <w:rFonts w:cs="Arial"/>
                <w:sz w:val="18"/>
                <w:szCs w:val="18"/>
              </w:rPr>
            </w:pPr>
            <w:r>
              <w:rPr>
                <w:rFonts w:cs="Arial"/>
                <w:sz w:val="18"/>
                <w:szCs w:val="18"/>
              </w:rPr>
              <w:t>The Agency's primary credit risk exposure arises from the Agency's business interactions on credit with other receivables. The credit quality of receivables is risk assessed by management taking into account their financial position, past experience, other factors and compliance with the Agency's credit terms.</w:t>
            </w:r>
            <w:r>
              <w:rPr>
                <w:rFonts w:cs="Arial"/>
                <w:sz w:val="18"/>
                <w:szCs w:val="18"/>
              </w:rPr>
              <w:br/>
            </w:r>
            <w:r>
              <w:rPr>
                <w:rFonts w:cs="Arial"/>
                <w:sz w:val="18"/>
                <w:szCs w:val="18"/>
              </w:rPr>
              <w:br/>
              <w:t>The Agency assessed the risk of the default on payment and has not created an impairment allowance on receivables considered financial instruments as all amounts are regarded as recoverable.</w:t>
            </w:r>
          </w:p>
        </w:tc>
      </w:tr>
      <w:tr w:rsidR="00C32CBD" w14:paraId="778A9EFA" w14:textId="77777777" w:rsidTr="00320D09">
        <w:trPr>
          <w:trHeight w:val="255"/>
        </w:trPr>
        <w:tc>
          <w:tcPr>
            <w:tcW w:w="2773" w:type="dxa"/>
            <w:tcBorders>
              <w:top w:val="nil"/>
              <w:left w:val="nil"/>
              <w:bottom w:val="nil"/>
              <w:right w:val="nil"/>
            </w:tcBorders>
            <w:shd w:val="clear" w:color="FFFFFF" w:fill="FFFFFF"/>
            <w:vAlign w:val="bottom"/>
            <w:hideMark/>
          </w:tcPr>
          <w:p w14:paraId="5C5D17C3" w14:textId="77777777" w:rsidR="00C32CBD" w:rsidRDefault="00C32CBD" w:rsidP="00320D09">
            <w:pPr>
              <w:rPr>
                <w:rFonts w:cs="Arial"/>
                <w:sz w:val="18"/>
                <w:szCs w:val="18"/>
              </w:rPr>
            </w:pPr>
            <w:r>
              <w:rPr>
                <w:rFonts w:cs="Arial"/>
                <w:sz w:val="18"/>
                <w:szCs w:val="18"/>
              </w:rPr>
              <w:t> </w:t>
            </w:r>
          </w:p>
        </w:tc>
        <w:tc>
          <w:tcPr>
            <w:tcW w:w="1224" w:type="dxa"/>
            <w:tcBorders>
              <w:top w:val="nil"/>
              <w:left w:val="nil"/>
              <w:bottom w:val="nil"/>
              <w:right w:val="nil"/>
            </w:tcBorders>
            <w:shd w:val="clear" w:color="FFFFFF" w:fill="FFFFFF"/>
            <w:vAlign w:val="bottom"/>
            <w:hideMark/>
          </w:tcPr>
          <w:p w14:paraId="7A658D38" w14:textId="77777777" w:rsidR="00C32CBD" w:rsidRDefault="00C32CBD" w:rsidP="00320D09">
            <w:pPr>
              <w:rPr>
                <w:rFonts w:cs="Arial"/>
                <w:sz w:val="18"/>
                <w:szCs w:val="18"/>
              </w:rPr>
            </w:pPr>
            <w:r>
              <w:rPr>
                <w:rFonts w:cs="Arial"/>
                <w:sz w:val="18"/>
                <w:szCs w:val="18"/>
              </w:rPr>
              <w:t> </w:t>
            </w:r>
          </w:p>
        </w:tc>
        <w:tc>
          <w:tcPr>
            <w:tcW w:w="1321" w:type="dxa"/>
            <w:tcBorders>
              <w:top w:val="nil"/>
              <w:left w:val="nil"/>
              <w:bottom w:val="nil"/>
              <w:right w:val="nil"/>
            </w:tcBorders>
            <w:shd w:val="clear" w:color="FFFFFF" w:fill="FFFFFF"/>
            <w:vAlign w:val="bottom"/>
            <w:hideMark/>
          </w:tcPr>
          <w:p w14:paraId="24E7A770" w14:textId="77777777" w:rsidR="00C32CBD" w:rsidRDefault="00C32CBD" w:rsidP="00320D09">
            <w:pPr>
              <w:rPr>
                <w:rFonts w:cs="Arial"/>
                <w:sz w:val="18"/>
                <w:szCs w:val="18"/>
              </w:rPr>
            </w:pPr>
            <w:r>
              <w:rPr>
                <w:rFonts w:cs="Arial"/>
                <w:sz w:val="18"/>
                <w:szCs w:val="18"/>
              </w:rPr>
              <w:t> </w:t>
            </w:r>
          </w:p>
        </w:tc>
        <w:tc>
          <w:tcPr>
            <w:tcW w:w="1321" w:type="dxa"/>
            <w:tcBorders>
              <w:top w:val="nil"/>
              <w:left w:val="nil"/>
              <w:bottom w:val="nil"/>
              <w:right w:val="nil"/>
            </w:tcBorders>
            <w:shd w:val="clear" w:color="FFFFFF" w:fill="FFFFFF"/>
            <w:vAlign w:val="bottom"/>
            <w:hideMark/>
          </w:tcPr>
          <w:p w14:paraId="660F4488" w14:textId="77777777" w:rsidR="00C32CBD" w:rsidRDefault="00C32CBD" w:rsidP="00320D09">
            <w:pPr>
              <w:rPr>
                <w:rFonts w:cs="Arial"/>
                <w:sz w:val="18"/>
                <w:szCs w:val="18"/>
              </w:rPr>
            </w:pPr>
            <w:r>
              <w:rPr>
                <w:rFonts w:cs="Arial"/>
                <w:sz w:val="18"/>
                <w:szCs w:val="18"/>
              </w:rPr>
              <w:t> </w:t>
            </w:r>
          </w:p>
        </w:tc>
        <w:tc>
          <w:tcPr>
            <w:tcW w:w="1224" w:type="dxa"/>
            <w:tcBorders>
              <w:top w:val="nil"/>
              <w:left w:val="nil"/>
              <w:bottom w:val="nil"/>
              <w:right w:val="nil"/>
            </w:tcBorders>
            <w:shd w:val="clear" w:color="FFFFFF" w:fill="FFFFFF"/>
            <w:vAlign w:val="bottom"/>
            <w:hideMark/>
          </w:tcPr>
          <w:p w14:paraId="72C5153B" w14:textId="77777777" w:rsidR="00C32CBD" w:rsidRDefault="00C32CBD" w:rsidP="00320D09">
            <w:pPr>
              <w:rPr>
                <w:rFonts w:cs="Arial"/>
                <w:sz w:val="18"/>
                <w:szCs w:val="18"/>
              </w:rPr>
            </w:pPr>
            <w:r>
              <w:rPr>
                <w:rFonts w:cs="Arial"/>
                <w:sz w:val="18"/>
                <w:szCs w:val="18"/>
              </w:rPr>
              <w:t> </w:t>
            </w:r>
          </w:p>
        </w:tc>
        <w:tc>
          <w:tcPr>
            <w:tcW w:w="1224" w:type="dxa"/>
            <w:tcBorders>
              <w:top w:val="nil"/>
              <w:left w:val="nil"/>
              <w:bottom w:val="nil"/>
              <w:right w:val="nil"/>
            </w:tcBorders>
            <w:shd w:val="clear" w:color="FFFFFF" w:fill="FFFFFF"/>
            <w:vAlign w:val="bottom"/>
            <w:hideMark/>
          </w:tcPr>
          <w:p w14:paraId="0DCC73FE" w14:textId="77777777" w:rsidR="00C32CBD" w:rsidRDefault="00C32CBD" w:rsidP="00320D09">
            <w:pPr>
              <w:rPr>
                <w:rFonts w:cs="Arial"/>
                <w:sz w:val="18"/>
                <w:szCs w:val="18"/>
              </w:rPr>
            </w:pPr>
            <w:r>
              <w:rPr>
                <w:rFonts w:cs="Arial"/>
                <w:sz w:val="18"/>
                <w:szCs w:val="18"/>
              </w:rPr>
              <w:t> </w:t>
            </w:r>
          </w:p>
        </w:tc>
      </w:tr>
      <w:tr w:rsidR="00C32CBD" w14:paraId="0D8EEC1B" w14:textId="77777777" w:rsidTr="00320D09">
        <w:trPr>
          <w:trHeight w:val="495"/>
        </w:trPr>
        <w:tc>
          <w:tcPr>
            <w:tcW w:w="9087" w:type="dxa"/>
            <w:gridSpan w:val="6"/>
            <w:tcBorders>
              <w:top w:val="nil"/>
              <w:left w:val="nil"/>
              <w:bottom w:val="nil"/>
              <w:right w:val="nil"/>
            </w:tcBorders>
            <w:shd w:val="clear" w:color="FFFFFF" w:fill="FFFFFF"/>
            <w:vAlign w:val="bottom"/>
            <w:hideMark/>
          </w:tcPr>
          <w:p w14:paraId="1C01D682" w14:textId="77777777" w:rsidR="00C32CBD" w:rsidRDefault="00C32CBD" w:rsidP="00320D09">
            <w:pPr>
              <w:rPr>
                <w:rFonts w:cs="Arial"/>
                <w:sz w:val="18"/>
                <w:szCs w:val="18"/>
              </w:rPr>
            </w:pPr>
            <w:r>
              <w:rPr>
                <w:rFonts w:cs="Arial"/>
                <w:sz w:val="18"/>
                <w:szCs w:val="18"/>
              </w:rPr>
              <w:t>The following table illustrates the Agency's maximum exposure to credit risk, excluding any collateral or credit enhancements.</w:t>
            </w:r>
          </w:p>
        </w:tc>
      </w:tr>
      <w:tr w:rsidR="00C32CBD" w14:paraId="6737BCC9" w14:textId="77777777" w:rsidTr="00320D09">
        <w:trPr>
          <w:trHeight w:val="255"/>
        </w:trPr>
        <w:tc>
          <w:tcPr>
            <w:tcW w:w="2773" w:type="dxa"/>
            <w:tcBorders>
              <w:top w:val="nil"/>
              <w:left w:val="nil"/>
              <w:bottom w:val="nil"/>
              <w:right w:val="nil"/>
            </w:tcBorders>
            <w:shd w:val="clear" w:color="FFFFFF" w:fill="FFFFFF"/>
            <w:noWrap/>
            <w:vAlign w:val="bottom"/>
            <w:hideMark/>
          </w:tcPr>
          <w:p w14:paraId="3F048819" w14:textId="77777777" w:rsidR="00C32CBD" w:rsidRDefault="00C32CBD" w:rsidP="00320D09">
            <w:pPr>
              <w:rPr>
                <w:rFonts w:cs="Arial"/>
                <w:sz w:val="18"/>
                <w:szCs w:val="18"/>
              </w:rPr>
            </w:pPr>
            <w:r>
              <w:rPr>
                <w:rFonts w:cs="Arial"/>
                <w:sz w:val="18"/>
                <w:szCs w:val="18"/>
              </w:rPr>
              <w:t> </w:t>
            </w:r>
          </w:p>
        </w:tc>
        <w:tc>
          <w:tcPr>
            <w:tcW w:w="1224" w:type="dxa"/>
            <w:tcBorders>
              <w:top w:val="nil"/>
              <w:left w:val="nil"/>
              <w:bottom w:val="nil"/>
              <w:right w:val="nil"/>
            </w:tcBorders>
            <w:shd w:val="clear" w:color="FFFFFF" w:fill="FFFFFF"/>
            <w:noWrap/>
            <w:vAlign w:val="bottom"/>
            <w:hideMark/>
          </w:tcPr>
          <w:p w14:paraId="2BE5FB14" w14:textId="77777777" w:rsidR="00C32CBD" w:rsidRDefault="00C32CBD" w:rsidP="00320D09">
            <w:pPr>
              <w:rPr>
                <w:rFonts w:cs="Arial"/>
                <w:sz w:val="18"/>
                <w:szCs w:val="18"/>
              </w:rPr>
            </w:pPr>
            <w:r>
              <w:rPr>
                <w:rFonts w:cs="Arial"/>
                <w:sz w:val="18"/>
                <w:szCs w:val="18"/>
              </w:rPr>
              <w:t> </w:t>
            </w:r>
          </w:p>
        </w:tc>
        <w:tc>
          <w:tcPr>
            <w:tcW w:w="1321" w:type="dxa"/>
            <w:tcBorders>
              <w:top w:val="nil"/>
              <w:left w:val="nil"/>
              <w:bottom w:val="nil"/>
              <w:right w:val="nil"/>
            </w:tcBorders>
            <w:shd w:val="clear" w:color="FFFFFF" w:fill="FFFFFF"/>
            <w:noWrap/>
            <w:vAlign w:val="bottom"/>
            <w:hideMark/>
          </w:tcPr>
          <w:p w14:paraId="30DDF97F" w14:textId="77777777" w:rsidR="00C32CBD" w:rsidRDefault="00C32CBD" w:rsidP="00320D09">
            <w:pPr>
              <w:rPr>
                <w:rFonts w:cs="Arial"/>
                <w:sz w:val="18"/>
                <w:szCs w:val="18"/>
              </w:rPr>
            </w:pPr>
            <w:r>
              <w:rPr>
                <w:rFonts w:cs="Arial"/>
                <w:sz w:val="18"/>
                <w:szCs w:val="18"/>
              </w:rPr>
              <w:t> </w:t>
            </w:r>
          </w:p>
        </w:tc>
        <w:tc>
          <w:tcPr>
            <w:tcW w:w="1321" w:type="dxa"/>
            <w:tcBorders>
              <w:top w:val="nil"/>
              <w:left w:val="nil"/>
              <w:bottom w:val="nil"/>
              <w:right w:val="nil"/>
            </w:tcBorders>
            <w:shd w:val="clear" w:color="FFFFFF" w:fill="FFFFFF"/>
            <w:noWrap/>
            <w:vAlign w:val="bottom"/>
            <w:hideMark/>
          </w:tcPr>
          <w:p w14:paraId="4EB93EB3" w14:textId="77777777" w:rsidR="00C32CBD" w:rsidRDefault="00C32CBD" w:rsidP="00320D09">
            <w:pPr>
              <w:rPr>
                <w:rFonts w:cs="Arial"/>
                <w:sz w:val="18"/>
                <w:szCs w:val="18"/>
              </w:rPr>
            </w:pPr>
            <w:r>
              <w:rPr>
                <w:rFonts w:cs="Arial"/>
                <w:sz w:val="18"/>
                <w:szCs w:val="18"/>
              </w:rPr>
              <w:t> </w:t>
            </w:r>
          </w:p>
        </w:tc>
        <w:tc>
          <w:tcPr>
            <w:tcW w:w="1224" w:type="dxa"/>
            <w:tcBorders>
              <w:top w:val="nil"/>
              <w:left w:val="nil"/>
              <w:bottom w:val="nil"/>
              <w:right w:val="nil"/>
            </w:tcBorders>
            <w:shd w:val="clear" w:color="FFFFFF" w:fill="FFFFFF"/>
            <w:noWrap/>
            <w:vAlign w:val="bottom"/>
            <w:hideMark/>
          </w:tcPr>
          <w:p w14:paraId="33A73065" w14:textId="77777777" w:rsidR="00C32CBD" w:rsidRDefault="00C32CBD" w:rsidP="00320D09">
            <w:pPr>
              <w:rPr>
                <w:rFonts w:cs="Arial"/>
                <w:sz w:val="18"/>
                <w:szCs w:val="18"/>
              </w:rPr>
            </w:pPr>
            <w:r>
              <w:rPr>
                <w:rFonts w:cs="Arial"/>
                <w:sz w:val="18"/>
                <w:szCs w:val="18"/>
              </w:rPr>
              <w:t> </w:t>
            </w:r>
          </w:p>
        </w:tc>
        <w:tc>
          <w:tcPr>
            <w:tcW w:w="1224" w:type="dxa"/>
            <w:tcBorders>
              <w:top w:val="nil"/>
              <w:left w:val="nil"/>
              <w:bottom w:val="nil"/>
              <w:right w:val="nil"/>
            </w:tcBorders>
            <w:shd w:val="clear" w:color="FFFFFF" w:fill="FFFFFF"/>
            <w:noWrap/>
            <w:vAlign w:val="bottom"/>
            <w:hideMark/>
          </w:tcPr>
          <w:p w14:paraId="2FF86497" w14:textId="77777777" w:rsidR="00C32CBD" w:rsidRDefault="00C32CBD" w:rsidP="00320D09">
            <w:pPr>
              <w:rPr>
                <w:rFonts w:cs="Arial"/>
                <w:sz w:val="18"/>
                <w:szCs w:val="18"/>
              </w:rPr>
            </w:pPr>
            <w:r>
              <w:rPr>
                <w:rFonts w:cs="Arial"/>
                <w:sz w:val="18"/>
                <w:szCs w:val="18"/>
              </w:rPr>
              <w:t> </w:t>
            </w:r>
          </w:p>
        </w:tc>
      </w:tr>
      <w:tr w:rsidR="00C32CBD" w14:paraId="51AA9F89" w14:textId="77777777" w:rsidTr="00320D09">
        <w:trPr>
          <w:trHeight w:val="255"/>
        </w:trPr>
        <w:tc>
          <w:tcPr>
            <w:tcW w:w="2773" w:type="dxa"/>
            <w:tcBorders>
              <w:top w:val="single" w:sz="4" w:space="0" w:color="auto"/>
              <w:left w:val="nil"/>
              <w:bottom w:val="nil"/>
              <w:right w:val="nil"/>
            </w:tcBorders>
            <w:shd w:val="clear" w:color="FFFFFF" w:fill="FFFFFF"/>
            <w:noWrap/>
            <w:vAlign w:val="bottom"/>
            <w:hideMark/>
          </w:tcPr>
          <w:p w14:paraId="6052533E" w14:textId="77777777" w:rsidR="00C32CBD" w:rsidRDefault="00C32CBD" w:rsidP="00320D09">
            <w:pPr>
              <w:rPr>
                <w:rFonts w:cs="Arial"/>
                <w:sz w:val="18"/>
                <w:szCs w:val="18"/>
              </w:rPr>
            </w:pPr>
            <w:r>
              <w:rPr>
                <w:rFonts w:cs="Arial"/>
                <w:sz w:val="18"/>
                <w:szCs w:val="18"/>
              </w:rPr>
              <w:t> </w:t>
            </w:r>
          </w:p>
        </w:tc>
        <w:tc>
          <w:tcPr>
            <w:tcW w:w="1224" w:type="dxa"/>
            <w:tcBorders>
              <w:top w:val="single" w:sz="4" w:space="0" w:color="auto"/>
              <w:left w:val="nil"/>
              <w:bottom w:val="nil"/>
              <w:right w:val="nil"/>
            </w:tcBorders>
            <w:shd w:val="clear" w:color="FFFFFF" w:fill="FFFFFF"/>
            <w:noWrap/>
            <w:vAlign w:val="bottom"/>
            <w:hideMark/>
          </w:tcPr>
          <w:p w14:paraId="515064C3" w14:textId="77777777" w:rsidR="00C32CBD" w:rsidRDefault="00C32CBD" w:rsidP="00320D09">
            <w:pPr>
              <w:rPr>
                <w:rFonts w:cs="Arial"/>
                <w:b/>
                <w:bCs/>
                <w:sz w:val="18"/>
                <w:szCs w:val="18"/>
              </w:rPr>
            </w:pPr>
            <w:r>
              <w:rPr>
                <w:rFonts w:cs="Arial"/>
                <w:b/>
                <w:bCs/>
                <w:sz w:val="18"/>
                <w:szCs w:val="18"/>
              </w:rPr>
              <w:t> </w:t>
            </w:r>
          </w:p>
        </w:tc>
        <w:tc>
          <w:tcPr>
            <w:tcW w:w="1321" w:type="dxa"/>
            <w:tcBorders>
              <w:top w:val="single" w:sz="4" w:space="0" w:color="auto"/>
              <w:left w:val="nil"/>
              <w:bottom w:val="nil"/>
              <w:right w:val="nil"/>
            </w:tcBorders>
            <w:shd w:val="clear" w:color="FFFFFF" w:fill="FFFFFF"/>
            <w:noWrap/>
            <w:vAlign w:val="bottom"/>
            <w:hideMark/>
          </w:tcPr>
          <w:p w14:paraId="1436749E" w14:textId="77777777" w:rsidR="00C32CBD" w:rsidRDefault="00C32CBD" w:rsidP="00320D09">
            <w:pPr>
              <w:rPr>
                <w:rFonts w:cs="Arial"/>
                <w:b/>
                <w:bCs/>
                <w:sz w:val="18"/>
                <w:szCs w:val="18"/>
              </w:rPr>
            </w:pPr>
            <w:r>
              <w:rPr>
                <w:rFonts w:cs="Arial"/>
                <w:b/>
                <w:bCs/>
                <w:sz w:val="18"/>
                <w:szCs w:val="18"/>
              </w:rPr>
              <w:t> </w:t>
            </w:r>
          </w:p>
        </w:tc>
        <w:tc>
          <w:tcPr>
            <w:tcW w:w="1321" w:type="dxa"/>
            <w:tcBorders>
              <w:top w:val="single" w:sz="4" w:space="0" w:color="auto"/>
              <w:left w:val="nil"/>
              <w:bottom w:val="nil"/>
              <w:right w:val="nil"/>
            </w:tcBorders>
            <w:shd w:val="clear" w:color="FFFFFF" w:fill="FFFFFF"/>
            <w:noWrap/>
            <w:vAlign w:val="bottom"/>
            <w:hideMark/>
          </w:tcPr>
          <w:p w14:paraId="08249AD5" w14:textId="77777777" w:rsidR="00C32CBD" w:rsidRDefault="00C32CBD" w:rsidP="00320D09">
            <w:pPr>
              <w:rPr>
                <w:rFonts w:cs="Arial"/>
                <w:b/>
                <w:bCs/>
                <w:sz w:val="18"/>
                <w:szCs w:val="18"/>
              </w:rPr>
            </w:pPr>
            <w:r>
              <w:rPr>
                <w:rFonts w:cs="Arial"/>
                <w:b/>
                <w:bCs/>
                <w:sz w:val="18"/>
                <w:szCs w:val="18"/>
              </w:rPr>
              <w:t> </w:t>
            </w:r>
          </w:p>
        </w:tc>
        <w:tc>
          <w:tcPr>
            <w:tcW w:w="1224" w:type="dxa"/>
            <w:tcBorders>
              <w:top w:val="single" w:sz="4" w:space="0" w:color="auto"/>
              <w:left w:val="nil"/>
              <w:bottom w:val="nil"/>
              <w:right w:val="nil"/>
            </w:tcBorders>
            <w:shd w:val="clear" w:color="FFFFFF" w:fill="FFFFFF"/>
            <w:vAlign w:val="bottom"/>
            <w:hideMark/>
          </w:tcPr>
          <w:p w14:paraId="7F549127" w14:textId="77777777" w:rsidR="00C32CBD" w:rsidRDefault="00C32CBD" w:rsidP="00320D09">
            <w:pPr>
              <w:jc w:val="right"/>
              <w:rPr>
                <w:rFonts w:cs="Arial"/>
                <w:b/>
                <w:bCs/>
                <w:sz w:val="18"/>
                <w:szCs w:val="18"/>
              </w:rPr>
            </w:pPr>
            <w:r>
              <w:rPr>
                <w:rFonts w:cs="Arial"/>
                <w:b/>
                <w:bCs/>
                <w:sz w:val="18"/>
                <w:szCs w:val="18"/>
              </w:rPr>
              <w:t>2017</w:t>
            </w:r>
          </w:p>
        </w:tc>
        <w:tc>
          <w:tcPr>
            <w:tcW w:w="1224" w:type="dxa"/>
            <w:tcBorders>
              <w:top w:val="single" w:sz="4" w:space="0" w:color="auto"/>
              <w:left w:val="nil"/>
              <w:bottom w:val="nil"/>
              <w:right w:val="nil"/>
            </w:tcBorders>
            <w:shd w:val="clear" w:color="FFFFFF" w:fill="FFFFFF"/>
            <w:vAlign w:val="bottom"/>
            <w:hideMark/>
          </w:tcPr>
          <w:p w14:paraId="6A5172B6" w14:textId="77777777" w:rsidR="00C32CBD" w:rsidRDefault="00C32CBD" w:rsidP="00320D09">
            <w:pPr>
              <w:jc w:val="right"/>
              <w:rPr>
                <w:rFonts w:cs="Arial"/>
                <w:sz w:val="18"/>
                <w:szCs w:val="18"/>
              </w:rPr>
            </w:pPr>
            <w:r>
              <w:rPr>
                <w:rFonts w:cs="Arial"/>
                <w:sz w:val="18"/>
                <w:szCs w:val="18"/>
              </w:rPr>
              <w:t>2016</w:t>
            </w:r>
          </w:p>
        </w:tc>
      </w:tr>
      <w:tr w:rsidR="00C32CBD" w14:paraId="56A2A35B" w14:textId="77777777" w:rsidTr="00320D09">
        <w:trPr>
          <w:trHeight w:val="255"/>
        </w:trPr>
        <w:tc>
          <w:tcPr>
            <w:tcW w:w="2773" w:type="dxa"/>
            <w:tcBorders>
              <w:top w:val="nil"/>
              <w:left w:val="nil"/>
              <w:bottom w:val="single" w:sz="4" w:space="0" w:color="auto"/>
              <w:right w:val="nil"/>
            </w:tcBorders>
            <w:shd w:val="clear" w:color="FFFFFF" w:fill="FFFFFF"/>
            <w:noWrap/>
            <w:vAlign w:val="bottom"/>
            <w:hideMark/>
          </w:tcPr>
          <w:p w14:paraId="19B7286F" w14:textId="77777777" w:rsidR="00C32CBD" w:rsidRDefault="00C32CBD" w:rsidP="00320D09">
            <w:pPr>
              <w:rPr>
                <w:rFonts w:cs="Arial"/>
                <w:sz w:val="18"/>
                <w:szCs w:val="18"/>
              </w:rPr>
            </w:pPr>
            <w:r>
              <w:rPr>
                <w:rFonts w:cs="Arial"/>
                <w:sz w:val="18"/>
                <w:szCs w:val="18"/>
              </w:rPr>
              <w:t> </w:t>
            </w:r>
          </w:p>
        </w:tc>
        <w:tc>
          <w:tcPr>
            <w:tcW w:w="1224" w:type="dxa"/>
            <w:tcBorders>
              <w:top w:val="nil"/>
              <w:left w:val="nil"/>
              <w:bottom w:val="single" w:sz="4" w:space="0" w:color="auto"/>
              <w:right w:val="nil"/>
            </w:tcBorders>
            <w:shd w:val="clear" w:color="FFFFFF" w:fill="FFFFFF"/>
            <w:noWrap/>
            <w:vAlign w:val="bottom"/>
            <w:hideMark/>
          </w:tcPr>
          <w:p w14:paraId="2296DFC0" w14:textId="77777777" w:rsidR="00C32CBD" w:rsidRDefault="00C32CBD" w:rsidP="00320D09">
            <w:pPr>
              <w:rPr>
                <w:rFonts w:cs="Arial"/>
                <w:b/>
                <w:bCs/>
                <w:sz w:val="18"/>
                <w:szCs w:val="18"/>
              </w:rPr>
            </w:pPr>
            <w:r>
              <w:rPr>
                <w:rFonts w:cs="Arial"/>
                <w:b/>
                <w:bCs/>
                <w:sz w:val="18"/>
                <w:szCs w:val="18"/>
              </w:rPr>
              <w:t> </w:t>
            </w:r>
          </w:p>
        </w:tc>
        <w:tc>
          <w:tcPr>
            <w:tcW w:w="1321" w:type="dxa"/>
            <w:tcBorders>
              <w:top w:val="nil"/>
              <w:left w:val="nil"/>
              <w:bottom w:val="single" w:sz="4" w:space="0" w:color="auto"/>
              <w:right w:val="nil"/>
            </w:tcBorders>
            <w:shd w:val="clear" w:color="FFFFFF" w:fill="FFFFFF"/>
            <w:noWrap/>
            <w:vAlign w:val="bottom"/>
            <w:hideMark/>
          </w:tcPr>
          <w:p w14:paraId="11128FC9" w14:textId="77777777" w:rsidR="00C32CBD" w:rsidRDefault="00C32CBD" w:rsidP="00320D09">
            <w:pPr>
              <w:rPr>
                <w:rFonts w:cs="Arial"/>
                <w:b/>
                <w:bCs/>
                <w:sz w:val="18"/>
                <w:szCs w:val="18"/>
              </w:rPr>
            </w:pPr>
            <w:r>
              <w:rPr>
                <w:rFonts w:cs="Arial"/>
                <w:b/>
                <w:bCs/>
                <w:sz w:val="18"/>
                <w:szCs w:val="18"/>
              </w:rPr>
              <w:t> </w:t>
            </w:r>
          </w:p>
        </w:tc>
        <w:tc>
          <w:tcPr>
            <w:tcW w:w="1321" w:type="dxa"/>
            <w:tcBorders>
              <w:top w:val="nil"/>
              <w:left w:val="nil"/>
              <w:bottom w:val="single" w:sz="4" w:space="0" w:color="auto"/>
              <w:right w:val="nil"/>
            </w:tcBorders>
            <w:shd w:val="clear" w:color="FFFFFF" w:fill="FFFFFF"/>
            <w:noWrap/>
            <w:vAlign w:val="bottom"/>
            <w:hideMark/>
          </w:tcPr>
          <w:p w14:paraId="1022CCFE" w14:textId="77777777" w:rsidR="00C32CBD" w:rsidRDefault="00C32CBD" w:rsidP="00320D09">
            <w:pPr>
              <w:rPr>
                <w:rFonts w:cs="Arial"/>
                <w:b/>
                <w:bCs/>
                <w:sz w:val="18"/>
                <w:szCs w:val="18"/>
              </w:rPr>
            </w:pPr>
            <w:r>
              <w:rPr>
                <w:rFonts w:cs="Arial"/>
                <w:b/>
                <w:bCs/>
                <w:sz w:val="18"/>
                <w:szCs w:val="18"/>
              </w:rPr>
              <w:t> </w:t>
            </w:r>
          </w:p>
        </w:tc>
        <w:tc>
          <w:tcPr>
            <w:tcW w:w="1224" w:type="dxa"/>
            <w:tcBorders>
              <w:top w:val="nil"/>
              <w:left w:val="nil"/>
              <w:bottom w:val="single" w:sz="4" w:space="0" w:color="auto"/>
              <w:right w:val="nil"/>
            </w:tcBorders>
            <w:shd w:val="clear" w:color="FFFFFF" w:fill="FFFFFF"/>
            <w:vAlign w:val="bottom"/>
            <w:hideMark/>
          </w:tcPr>
          <w:p w14:paraId="221EDDE1" w14:textId="77777777" w:rsidR="00C32CBD" w:rsidRDefault="00C32CBD" w:rsidP="00320D09">
            <w:pPr>
              <w:jc w:val="right"/>
              <w:rPr>
                <w:rFonts w:cs="Arial"/>
                <w:b/>
                <w:bCs/>
                <w:sz w:val="18"/>
                <w:szCs w:val="18"/>
              </w:rPr>
            </w:pPr>
            <w:r>
              <w:rPr>
                <w:rFonts w:cs="Arial"/>
                <w:b/>
                <w:bCs/>
                <w:sz w:val="18"/>
                <w:szCs w:val="18"/>
              </w:rPr>
              <w:t>$'000</w:t>
            </w:r>
          </w:p>
        </w:tc>
        <w:tc>
          <w:tcPr>
            <w:tcW w:w="1224" w:type="dxa"/>
            <w:tcBorders>
              <w:top w:val="nil"/>
              <w:left w:val="nil"/>
              <w:bottom w:val="single" w:sz="4" w:space="0" w:color="auto"/>
              <w:right w:val="nil"/>
            </w:tcBorders>
            <w:shd w:val="clear" w:color="FFFFFF" w:fill="FFFFFF"/>
            <w:vAlign w:val="bottom"/>
            <w:hideMark/>
          </w:tcPr>
          <w:p w14:paraId="1532BDA8" w14:textId="77777777" w:rsidR="00C32CBD" w:rsidRDefault="00C32CBD" w:rsidP="00320D09">
            <w:pPr>
              <w:jc w:val="right"/>
              <w:rPr>
                <w:rFonts w:cs="Arial"/>
                <w:sz w:val="18"/>
                <w:szCs w:val="18"/>
              </w:rPr>
            </w:pPr>
            <w:r>
              <w:rPr>
                <w:rFonts w:cs="Arial"/>
                <w:sz w:val="18"/>
                <w:szCs w:val="18"/>
              </w:rPr>
              <w:t>$'000</w:t>
            </w:r>
          </w:p>
        </w:tc>
      </w:tr>
      <w:tr w:rsidR="00C32CBD" w14:paraId="58D49DB0" w14:textId="77777777" w:rsidTr="00320D09">
        <w:trPr>
          <w:trHeight w:val="255"/>
        </w:trPr>
        <w:tc>
          <w:tcPr>
            <w:tcW w:w="2773" w:type="dxa"/>
            <w:tcBorders>
              <w:top w:val="nil"/>
              <w:left w:val="nil"/>
              <w:bottom w:val="nil"/>
              <w:right w:val="nil"/>
            </w:tcBorders>
            <w:shd w:val="clear" w:color="FFFFFF" w:fill="FFFFFF"/>
            <w:noWrap/>
            <w:vAlign w:val="bottom"/>
            <w:hideMark/>
          </w:tcPr>
          <w:p w14:paraId="3861C548" w14:textId="77777777" w:rsidR="00C32CBD" w:rsidRDefault="00C32CBD" w:rsidP="00320D09">
            <w:pPr>
              <w:ind w:firstLineChars="100" w:firstLine="180"/>
              <w:rPr>
                <w:rFonts w:cs="Arial"/>
                <w:sz w:val="18"/>
                <w:szCs w:val="18"/>
              </w:rPr>
            </w:pPr>
            <w:r>
              <w:rPr>
                <w:rFonts w:cs="Arial"/>
                <w:sz w:val="18"/>
                <w:szCs w:val="18"/>
              </w:rPr>
              <w:t>Other receivables</w:t>
            </w:r>
          </w:p>
        </w:tc>
        <w:tc>
          <w:tcPr>
            <w:tcW w:w="1224" w:type="dxa"/>
            <w:tcBorders>
              <w:top w:val="nil"/>
              <w:left w:val="nil"/>
              <w:bottom w:val="nil"/>
              <w:right w:val="nil"/>
            </w:tcBorders>
            <w:shd w:val="clear" w:color="FFFFFF" w:fill="FFFFFF"/>
            <w:noWrap/>
            <w:vAlign w:val="bottom"/>
            <w:hideMark/>
          </w:tcPr>
          <w:p w14:paraId="19DA323A" w14:textId="77777777" w:rsidR="00C32CBD" w:rsidRDefault="00C32CBD" w:rsidP="00320D09">
            <w:pPr>
              <w:rPr>
                <w:rFonts w:cs="Arial"/>
                <w:b/>
                <w:bCs/>
                <w:sz w:val="18"/>
                <w:szCs w:val="18"/>
              </w:rPr>
            </w:pPr>
            <w:r>
              <w:rPr>
                <w:rFonts w:cs="Arial"/>
                <w:b/>
                <w:bCs/>
                <w:sz w:val="18"/>
                <w:szCs w:val="18"/>
              </w:rPr>
              <w:t> </w:t>
            </w:r>
          </w:p>
        </w:tc>
        <w:tc>
          <w:tcPr>
            <w:tcW w:w="1321" w:type="dxa"/>
            <w:tcBorders>
              <w:top w:val="nil"/>
              <w:left w:val="nil"/>
              <w:bottom w:val="nil"/>
              <w:right w:val="nil"/>
            </w:tcBorders>
            <w:shd w:val="clear" w:color="FFFFFF" w:fill="FFFFFF"/>
            <w:noWrap/>
            <w:vAlign w:val="bottom"/>
            <w:hideMark/>
          </w:tcPr>
          <w:p w14:paraId="62C59118" w14:textId="77777777" w:rsidR="00C32CBD" w:rsidRDefault="00C32CBD" w:rsidP="00320D09">
            <w:pPr>
              <w:rPr>
                <w:rFonts w:cs="Arial"/>
                <w:b/>
                <w:bCs/>
                <w:sz w:val="18"/>
                <w:szCs w:val="18"/>
              </w:rPr>
            </w:pPr>
            <w:r>
              <w:rPr>
                <w:rFonts w:cs="Arial"/>
                <w:b/>
                <w:bCs/>
                <w:sz w:val="18"/>
                <w:szCs w:val="18"/>
              </w:rPr>
              <w:t> </w:t>
            </w:r>
          </w:p>
        </w:tc>
        <w:tc>
          <w:tcPr>
            <w:tcW w:w="1321" w:type="dxa"/>
            <w:tcBorders>
              <w:top w:val="nil"/>
              <w:left w:val="nil"/>
              <w:bottom w:val="nil"/>
              <w:right w:val="nil"/>
            </w:tcBorders>
            <w:shd w:val="clear" w:color="FFFFFF" w:fill="FFFFFF"/>
            <w:noWrap/>
            <w:vAlign w:val="bottom"/>
            <w:hideMark/>
          </w:tcPr>
          <w:p w14:paraId="505C1E22" w14:textId="77777777" w:rsidR="00C32CBD" w:rsidRDefault="00C32CBD" w:rsidP="00320D09">
            <w:pPr>
              <w:rPr>
                <w:rFonts w:cs="Arial"/>
                <w:b/>
                <w:bCs/>
                <w:sz w:val="18"/>
                <w:szCs w:val="18"/>
              </w:rPr>
            </w:pPr>
            <w:r>
              <w:rPr>
                <w:rFonts w:cs="Arial"/>
                <w:b/>
                <w:bCs/>
                <w:sz w:val="18"/>
                <w:szCs w:val="18"/>
              </w:rPr>
              <w:t> </w:t>
            </w:r>
          </w:p>
        </w:tc>
        <w:tc>
          <w:tcPr>
            <w:tcW w:w="1224" w:type="dxa"/>
            <w:tcBorders>
              <w:top w:val="nil"/>
              <w:left w:val="nil"/>
              <w:bottom w:val="nil"/>
              <w:right w:val="nil"/>
            </w:tcBorders>
            <w:shd w:val="clear" w:color="FFFFFF" w:fill="FFFFFF"/>
            <w:noWrap/>
            <w:vAlign w:val="bottom"/>
            <w:hideMark/>
          </w:tcPr>
          <w:p w14:paraId="78FCE513" w14:textId="77777777" w:rsidR="00C32CBD" w:rsidRDefault="00C32CBD" w:rsidP="00320D09">
            <w:pPr>
              <w:jc w:val="right"/>
              <w:rPr>
                <w:rFonts w:cs="Arial"/>
                <w:b/>
                <w:bCs/>
                <w:sz w:val="18"/>
                <w:szCs w:val="18"/>
              </w:rPr>
            </w:pPr>
            <w:r>
              <w:rPr>
                <w:rFonts w:cs="Arial"/>
                <w:b/>
                <w:bCs/>
                <w:sz w:val="18"/>
                <w:szCs w:val="18"/>
              </w:rPr>
              <w:t>5,292</w:t>
            </w:r>
          </w:p>
        </w:tc>
        <w:tc>
          <w:tcPr>
            <w:tcW w:w="1224" w:type="dxa"/>
            <w:tcBorders>
              <w:top w:val="nil"/>
              <w:left w:val="nil"/>
              <w:bottom w:val="nil"/>
              <w:right w:val="nil"/>
            </w:tcBorders>
            <w:shd w:val="clear" w:color="FFFFFF" w:fill="FFFFFF"/>
            <w:noWrap/>
            <w:vAlign w:val="bottom"/>
            <w:hideMark/>
          </w:tcPr>
          <w:p w14:paraId="18ED0B3B" w14:textId="77777777" w:rsidR="00C32CBD" w:rsidRDefault="00C32CBD" w:rsidP="00320D09">
            <w:pPr>
              <w:jc w:val="right"/>
              <w:rPr>
                <w:rFonts w:cs="Arial"/>
                <w:sz w:val="18"/>
                <w:szCs w:val="18"/>
              </w:rPr>
            </w:pPr>
            <w:r>
              <w:rPr>
                <w:rFonts w:cs="Arial"/>
                <w:sz w:val="18"/>
                <w:szCs w:val="18"/>
              </w:rPr>
              <w:t>1,415</w:t>
            </w:r>
          </w:p>
        </w:tc>
      </w:tr>
      <w:tr w:rsidR="00C32CBD" w14:paraId="6E398F96" w14:textId="77777777" w:rsidTr="00320D09">
        <w:trPr>
          <w:trHeight w:val="255"/>
        </w:trPr>
        <w:tc>
          <w:tcPr>
            <w:tcW w:w="2773" w:type="dxa"/>
            <w:tcBorders>
              <w:top w:val="single" w:sz="4" w:space="0" w:color="auto"/>
              <w:left w:val="nil"/>
              <w:bottom w:val="single" w:sz="4" w:space="0" w:color="auto"/>
              <w:right w:val="nil"/>
            </w:tcBorders>
            <w:shd w:val="clear" w:color="FFFFFF" w:fill="FFFFFF"/>
            <w:vAlign w:val="bottom"/>
            <w:hideMark/>
          </w:tcPr>
          <w:p w14:paraId="6FB25F2C" w14:textId="77777777" w:rsidR="00C32CBD" w:rsidRDefault="00C32CBD" w:rsidP="00320D09">
            <w:pPr>
              <w:rPr>
                <w:rFonts w:cs="Arial"/>
                <w:b/>
                <w:bCs/>
                <w:sz w:val="18"/>
                <w:szCs w:val="18"/>
              </w:rPr>
            </w:pPr>
            <w:r>
              <w:rPr>
                <w:rFonts w:cs="Arial"/>
                <w:b/>
                <w:bCs/>
                <w:sz w:val="18"/>
                <w:szCs w:val="18"/>
              </w:rPr>
              <w:t>Total</w:t>
            </w:r>
          </w:p>
        </w:tc>
        <w:tc>
          <w:tcPr>
            <w:tcW w:w="1224" w:type="dxa"/>
            <w:tcBorders>
              <w:top w:val="single" w:sz="4" w:space="0" w:color="auto"/>
              <w:left w:val="nil"/>
              <w:bottom w:val="single" w:sz="4" w:space="0" w:color="auto"/>
              <w:right w:val="nil"/>
            </w:tcBorders>
            <w:shd w:val="clear" w:color="FFFFFF" w:fill="FFFFFF"/>
            <w:vAlign w:val="bottom"/>
            <w:hideMark/>
          </w:tcPr>
          <w:p w14:paraId="28FA0CF4" w14:textId="77777777" w:rsidR="00C32CBD" w:rsidRDefault="00C32CBD" w:rsidP="00320D09">
            <w:pPr>
              <w:rPr>
                <w:rFonts w:cs="Arial"/>
                <w:b/>
                <w:bCs/>
                <w:sz w:val="18"/>
                <w:szCs w:val="18"/>
              </w:rPr>
            </w:pPr>
            <w:r>
              <w:rPr>
                <w:rFonts w:cs="Arial"/>
                <w:b/>
                <w:bCs/>
                <w:sz w:val="18"/>
                <w:szCs w:val="18"/>
              </w:rPr>
              <w:t> </w:t>
            </w:r>
          </w:p>
        </w:tc>
        <w:tc>
          <w:tcPr>
            <w:tcW w:w="1321" w:type="dxa"/>
            <w:tcBorders>
              <w:top w:val="single" w:sz="4" w:space="0" w:color="auto"/>
              <w:left w:val="nil"/>
              <w:bottom w:val="single" w:sz="4" w:space="0" w:color="auto"/>
              <w:right w:val="nil"/>
            </w:tcBorders>
            <w:shd w:val="clear" w:color="FFFFFF" w:fill="FFFFFF"/>
            <w:vAlign w:val="bottom"/>
            <w:hideMark/>
          </w:tcPr>
          <w:p w14:paraId="1BCFAAC2" w14:textId="77777777" w:rsidR="00C32CBD" w:rsidRDefault="00C32CBD" w:rsidP="00320D09">
            <w:pPr>
              <w:rPr>
                <w:rFonts w:cs="Arial"/>
                <w:b/>
                <w:bCs/>
                <w:sz w:val="18"/>
                <w:szCs w:val="18"/>
              </w:rPr>
            </w:pPr>
            <w:r>
              <w:rPr>
                <w:rFonts w:cs="Arial"/>
                <w:b/>
                <w:bCs/>
                <w:sz w:val="18"/>
                <w:szCs w:val="18"/>
              </w:rPr>
              <w:t> </w:t>
            </w:r>
          </w:p>
        </w:tc>
        <w:tc>
          <w:tcPr>
            <w:tcW w:w="1321" w:type="dxa"/>
            <w:tcBorders>
              <w:top w:val="single" w:sz="4" w:space="0" w:color="auto"/>
              <w:left w:val="nil"/>
              <w:bottom w:val="single" w:sz="4" w:space="0" w:color="auto"/>
              <w:right w:val="nil"/>
            </w:tcBorders>
            <w:shd w:val="clear" w:color="FFFFFF" w:fill="FFFFFF"/>
            <w:vAlign w:val="bottom"/>
            <w:hideMark/>
          </w:tcPr>
          <w:p w14:paraId="08D69E36" w14:textId="77777777" w:rsidR="00C32CBD" w:rsidRDefault="00C32CBD" w:rsidP="00320D09">
            <w:pPr>
              <w:rPr>
                <w:rFonts w:cs="Arial"/>
                <w:b/>
                <w:bCs/>
                <w:sz w:val="18"/>
                <w:szCs w:val="18"/>
              </w:rPr>
            </w:pPr>
            <w:r>
              <w:rPr>
                <w:rFonts w:cs="Arial"/>
                <w:b/>
                <w:bCs/>
                <w:sz w:val="18"/>
                <w:szCs w:val="18"/>
              </w:rPr>
              <w:t> </w:t>
            </w:r>
          </w:p>
        </w:tc>
        <w:tc>
          <w:tcPr>
            <w:tcW w:w="1224" w:type="dxa"/>
            <w:tcBorders>
              <w:top w:val="single" w:sz="4" w:space="0" w:color="auto"/>
              <w:left w:val="nil"/>
              <w:bottom w:val="single" w:sz="4" w:space="0" w:color="auto"/>
              <w:right w:val="nil"/>
            </w:tcBorders>
            <w:shd w:val="clear" w:color="FFFFFF" w:fill="FFFFFF"/>
            <w:noWrap/>
            <w:vAlign w:val="bottom"/>
            <w:hideMark/>
          </w:tcPr>
          <w:p w14:paraId="2C8026E7" w14:textId="77777777" w:rsidR="00C32CBD" w:rsidRDefault="00C32CBD" w:rsidP="00320D09">
            <w:pPr>
              <w:jc w:val="right"/>
              <w:rPr>
                <w:rFonts w:cs="Arial"/>
                <w:b/>
                <w:bCs/>
                <w:sz w:val="18"/>
                <w:szCs w:val="18"/>
              </w:rPr>
            </w:pPr>
            <w:r>
              <w:rPr>
                <w:rFonts w:cs="Arial"/>
                <w:b/>
                <w:bCs/>
                <w:sz w:val="18"/>
                <w:szCs w:val="18"/>
              </w:rPr>
              <w:t>5,292</w:t>
            </w:r>
          </w:p>
        </w:tc>
        <w:tc>
          <w:tcPr>
            <w:tcW w:w="1224" w:type="dxa"/>
            <w:tcBorders>
              <w:top w:val="single" w:sz="4" w:space="0" w:color="auto"/>
              <w:left w:val="nil"/>
              <w:bottom w:val="single" w:sz="4" w:space="0" w:color="auto"/>
              <w:right w:val="nil"/>
            </w:tcBorders>
            <w:shd w:val="clear" w:color="FFFFFF" w:fill="FFFFFF"/>
            <w:noWrap/>
            <w:vAlign w:val="bottom"/>
            <w:hideMark/>
          </w:tcPr>
          <w:p w14:paraId="4B6148FB" w14:textId="77777777" w:rsidR="00C32CBD" w:rsidRDefault="00C32CBD" w:rsidP="00320D09">
            <w:pPr>
              <w:jc w:val="right"/>
              <w:rPr>
                <w:rFonts w:cs="Arial"/>
                <w:sz w:val="18"/>
                <w:szCs w:val="18"/>
              </w:rPr>
            </w:pPr>
            <w:r>
              <w:rPr>
                <w:rFonts w:cs="Arial"/>
                <w:sz w:val="18"/>
                <w:szCs w:val="18"/>
              </w:rPr>
              <w:t>1,415</w:t>
            </w:r>
          </w:p>
        </w:tc>
      </w:tr>
      <w:tr w:rsidR="00C32CBD" w14:paraId="45B88D25" w14:textId="77777777" w:rsidTr="00320D09">
        <w:trPr>
          <w:trHeight w:val="255"/>
        </w:trPr>
        <w:tc>
          <w:tcPr>
            <w:tcW w:w="2773" w:type="dxa"/>
            <w:tcBorders>
              <w:top w:val="nil"/>
              <w:left w:val="nil"/>
              <w:bottom w:val="nil"/>
              <w:right w:val="nil"/>
            </w:tcBorders>
            <w:shd w:val="clear" w:color="FFFFFF" w:fill="FFFFFF"/>
            <w:noWrap/>
            <w:vAlign w:val="bottom"/>
            <w:hideMark/>
          </w:tcPr>
          <w:p w14:paraId="3146557E" w14:textId="77777777" w:rsidR="00C32CBD" w:rsidRDefault="00C32CBD" w:rsidP="00320D09">
            <w:pPr>
              <w:rPr>
                <w:rFonts w:cs="Arial"/>
                <w:sz w:val="18"/>
                <w:szCs w:val="18"/>
              </w:rPr>
            </w:pPr>
            <w:r>
              <w:rPr>
                <w:rFonts w:cs="Arial"/>
                <w:sz w:val="18"/>
                <w:szCs w:val="18"/>
              </w:rPr>
              <w:t> </w:t>
            </w:r>
          </w:p>
        </w:tc>
        <w:tc>
          <w:tcPr>
            <w:tcW w:w="1224" w:type="dxa"/>
            <w:tcBorders>
              <w:top w:val="nil"/>
              <w:left w:val="nil"/>
              <w:bottom w:val="nil"/>
              <w:right w:val="nil"/>
            </w:tcBorders>
            <w:shd w:val="clear" w:color="FFFFFF" w:fill="FFFFFF"/>
            <w:noWrap/>
            <w:vAlign w:val="bottom"/>
            <w:hideMark/>
          </w:tcPr>
          <w:p w14:paraId="724AA11B" w14:textId="77777777" w:rsidR="00C32CBD" w:rsidRDefault="00C32CBD" w:rsidP="00320D09">
            <w:pPr>
              <w:rPr>
                <w:rFonts w:cs="Arial"/>
                <w:sz w:val="18"/>
                <w:szCs w:val="18"/>
              </w:rPr>
            </w:pPr>
            <w:r>
              <w:rPr>
                <w:rFonts w:cs="Arial"/>
                <w:sz w:val="18"/>
                <w:szCs w:val="18"/>
              </w:rPr>
              <w:t> </w:t>
            </w:r>
          </w:p>
        </w:tc>
        <w:tc>
          <w:tcPr>
            <w:tcW w:w="1321" w:type="dxa"/>
            <w:tcBorders>
              <w:top w:val="nil"/>
              <w:left w:val="nil"/>
              <w:bottom w:val="nil"/>
              <w:right w:val="nil"/>
            </w:tcBorders>
            <w:shd w:val="clear" w:color="FFFFFF" w:fill="FFFFFF"/>
            <w:noWrap/>
            <w:vAlign w:val="bottom"/>
            <w:hideMark/>
          </w:tcPr>
          <w:p w14:paraId="34137CF3" w14:textId="77777777" w:rsidR="00C32CBD" w:rsidRDefault="00C32CBD" w:rsidP="00320D09">
            <w:pPr>
              <w:rPr>
                <w:rFonts w:cs="Arial"/>
                <w:sz w:val="18"/>
                <w:szCs w:val="18"/>
              </w:rPr>
            </w:pPr>
            <w:r>
              <w:rPr>
                <w:rFonts w:cs="Arial"/>
                <w:sz w:val="18"/>
                <w:szCs w:val="18"/>
              </w:rPr>
              <w:t> </w:t>
            </w:r>
          </w:p>
        </w:tc>
        <w:tc>
          <w:tcPr>
            <w:tcW w:w="1321" w:type="dxa"/>
            <w:tcBorders>
              <w:top w:val="nil"/>
              <w:left w:val="nil"/>
              <w:bottom w:val="nil"/>
              <w:right w:val="nil"/>
            </w:tcBorders>
            <w:shd w:val="clear" w:color="FFFFFF" w:fill="FFFFFF"/>
            <w:noWrap/>
            <w:vAlign w:val="bottom"/>
            <w:hideMark/>
          </w:tcPr>
          <w:p w14:paraId="6AAD3EBB" w14:textId="77777777" w:rsidR="00C32CBD" w:rsidRDefault="00C32CBD" w:rsidP="00320D09">
            <w:pPr>
              <w:rPr>
                <w:rFonts w:cs="Arial"/>
                <w:sz w:val="18"/>
                <w:szCs w:val="18"/>
              </w:rPr>
            </w:pPr>
            <w:r>
              <w:rPr>
                <w:rFonts w:cs="Arial"/>
                <w:sz w:val="18"/>
                <w:szCs w:val="18"/>
              </w:rPr>
              <w:t> </w:t>
            </w:r>
          </w:p>
        </w:tc>
        <w:tc>
          <w:tcPr>
            <w:tcW w:w="1224" w:type="dxa"/>
            <w:tcBorders>
              <w:top w:val="nil"/>
              <w:left w:val="nil"/>
              <w:bottom w:val="nil"/>
              <w:right w:val="nil"/>
            </w:tcBorders>
            <w:shd w:val="clear" w:color="auto" w:fill="auto"/>
            <w:noWrap/>
            <w:vAlign w:val="bottom"/>
            <w:hideMark/>
          </w:tcPr>
          <w:p w14:paraId="134C7E94" w14:textId="77777777" w:rsidR="00C32CBD" w:rsidRDefault="00C32CBD" w:rsidP="00320D09">
            <w:pPr>
              <w:rPr>
                <w:rFonts w:cs="Arial"/>
                <w:sz w:val="18"/>
                <w:szCs w:val="18"/>
              </w:rPr>
            </w:pPr>
          </w:p>
        </w:tc>
        <w:tc>
          <w:tcPr>
            <w:tcW w:w="1224" w:type="dxa"/>
            <w:tcBorders>
              <w:top w:val="nil"/>
              <w:left w:val="nil"/>
              <w:bottom w:val="nil"/>
              <w:right w:val="nil"/>
            </w:tcBorders>
            <w:shd w:val="clear" w:color="auto" w:fill="auto"/>
            <w:noWrap/>
            <w:vAlign w:val="bottom"/>
            <w:hideMark/>
          </w:tcPr>
          <w:p w14:paraId="78A0A3CB" w14:textId="77777777" w:rsidR="00C32CBD" w:rsidRDefault="00C32CBD" w:rsidP="00320D09"/>
        </w:tc>
      </w:tr>
      <w:tr w:rsidR="00C32CBD" w14:paraId="5C5C867B" w14:textId="77777777" w:rsidTr="00320D09">
        <w:trPr>
          <w:trHeight w:val="255"/>
        </w:trPr>
        <w:tc>
          <w:tcPr>
            <w:tcW w:w="9087" w:type="dxa"/>
            <w:gridSpan w:val="6"/>
            <w:tcBorders>
              <w:top w:val="nil"/>
              <w:left w:val="nil"/>
              <w:bottom w:val="nil"/>
              <w:right w:val="nil"/>
            </w:tcBorders>
            <w:shd w:val="clear" w:color="FFFFFF" w:fill="FFFFFF"/>
            <w:noWrap/>
            <w:vAlign w:val="bottom"/>
            <w:hideMark/>
          </w:tcPr>
          <w:p w14:paraId="540B9B95" w14:textId="77777777" w:rsidR="00C32CBD" w:rsidRDefault="00C32CBD" w:rsidP="00320D09">
            <w:pPr>
              <w:rPr>
                <w:rFonts w:cs="Arial"/>
                <w:b/>
                <w:bCs/>
                <w:sz w:val="18"/>
                <w:szCs w:val="18"/>
              </w:rPr>
            </w:pPr>
            <w:r>
              <w:rPr>
                <w:rFonts w:cs="Arial"/>
                <w:b/>
                <w:bCs/>
                <w:sz w:val="18"/>
                <w:szCs w:val="18"/>
              </w:rPr>
              <w:t>Credit quality of financial instruments not past due or individually determined as impaired</w:t>
            </w:r>
          </w:p>
        </w:tc>
      </w:tr>
      <w:tr w:rsidR="00C32CBD" w14:paraId="6C2A0F2F" w14:textId="77777777" w:rsidTr="00320D09">
        <w:trPr>
          <w:trHeight w:val="585"/>
        </w:trPr>
        <w:tc>
          <w:tcPr>
            <w:tcW w:w="2773" w:type="dxa"/>
            <w:tcBorders>
              <w:top w:val="single" w:sz="4" w:space="0" w:color="auto"/>
              <w:left w:val="nil"/>
              <w:bottom w:val="nil"/>
              <w:right w:val="nil"/>
            </w:tcBorders>
            <w:shd w:val="clear" w:color="FFFFFF" w:fill="FFFFFF"/>
            <w:noWrap/>
            <w:vAlign w:val="bottom"/>
            <w:hideMark/>
          </w:tcPr>
          <w:p w14:paraId="64A01757" w14:textId="77777777" w:rsidR="00C32CBD" w:rsidRDefault="00C32CBD" w:rsidP="00320D09">
            <w:pPr>
              <w:rPr>
                <w:rFonts w:cs="Arial"/>
                <w:sz w:val="18"/>
                <w:szCs w:val="18"/>
              </w:rPr>
            </w:pPr>
            <w:r>
              <w:rPr>
                <w:rFonts w:cs="Arial"/>
                <w:sz w:val="18"/>
                <w:szCs w:val="18"/>
              </w:rPr>
              <w:t> </w:t>
            </w:r>
          </w:p>
        </w:tc>
        <w:tc>
          <w:tcPr>
            <w:tcW w:w="1224" w:type="dxa"/>
            <w:tcBorders>
              <w:top w:val="single" w:sz="4" w:space="0" w:color="auto"/>
              <w:left w:val="nil"/>
              <w:bottom w:val="nil"/>
              <w:right w:val="nil"/>
            </w:tcBorders>
            <w:shd w:val="clear" w:color="FFFFFF" w:fill="FFFFFF"/>
            <w:noWrap/>
            <w:vAlign w:val="bottom"/>
            <w:hideMark/>
          </w:tcPr>
          <w:p w14:paraId="6CAC4BB4" w14:textId="77777777" w:rsidR="00C32CBD" w:rsidRDefault="00C32CBD" w:rsidP="00320D09">
            <w:pPr>
              <w:rPr>
                <w:rFonts w:cs="Arial"/>
              </w:rPr>
            </w:pPr>
            <w:r>
              <w:rPr>
                <w:rFonts w:cs="Arial"/>
              </w:rPr>
              <w:t> </w:t>
            </w:r>
          </w:p>
        </w:tc>
        <w:tc>
          <w:tcPr>
            <w:tcW w:w="1321" w:type="dxa"/>
            <w:tcBorders>
              <w:top w:val="single" w:sz="4" w:space="0" w:color="auto"/>
              <w:left w:val="nil"/>
              <w:bottom w:val="nil"/>
              <w:right w:val="nil"/>
            </w:tcBorders>
            <w:shd w:val="clear" w:color="FFFFFF" w:fill="FFFFFF"/>
            <w:vAlign w:val="center"/>
            <w:hideMark/>
          </w:tcPr>
          <w:p w14:paraId="28E13632" w14:textId="77777777" w:rsidR="00C32CBD" w:rsidRDefault="00C32CBD" w:rsidP="00320D09">
            <w:pPr>
              <w:jc w:val="right"/>
              <w:rPr>
                <w:rFonts w:cs="Arial"/>
                <w:b/>
                <w:bCs/>
                <w:sz w:val="18"/>
                <w:szCs w:val="18"/>
              </w:rPr>
            </w:pPr>
            <w:r>
              <w:rPr>
                <w:rFonts w:cs="Arial"/>
                <w:b/>
                <w:bCs/>
                <w:sz w:val="18"/>
                <w:szCs w:val="18"/>
              </w:rPr>
              <w:t>Not past due nor impaired</w:t>
            </w:r>
          </w:p>
        </w:tc>
        <w:tc>
          <w:tcPr>
            <w:tcW w:w="1321" w:type="dxa"/>
            <w:tcBorders>
              <w:top w:val="single" w:sz="4" w:space="0" w:color="auto"/>
              <w:left w:val="nil"/>
              <w:bottom w:val="nil"/>
              <w:right w:val="nil"/>
            </w:tcBorders>
            <w:shd w:val="clear" w:color="FFFFFF" w:fill="FFFFFF"/>
            <w:vAlign w:val="center"/>
            <w:hideMark/>
          </w:tcPr>
          <w:p w14:paraId="62E8F51A" w14:textId="77777777" w:rsidR="00C32CBD" w:rsidRDefault="00C32CBD" w:rsidP="00320D09">
            <w:pPr>
              <w:jc w:val="right"/>
              <w:rPr>
                <w:rFonts w:cs="Arial"/>
                <w:sz w:val="18"/>
                <w:szCs w:val="18"/>
              </w:rPr>
            </w:pPr>
            <w:r>
              <w:rPr>
                <w:rFonts w:cs="Arial"/>
                <w:sz w:val="18"/>
                <w:szCs w:val="18"/>
              </w:rPr>
              <w:t>Not past due nor impaired</w:t>
            </w:r>
          </w:p>
        </w:tc>
        <w:tc>
          <w:tcPr>
            <w:tcW w:w="1224" w:type="dxa"/>
            <w:tcBorders>
              <w:top w:val="single" w:sz="4" w:space="0" w:color="auto"/>
              <w:left w:val="nil"/>
              <w:bottom w:val="nil"/>
              <w:right w:val="nil"/>
            </w:tcBorders>
            <w:shd w:val="clear" w:color="FFFFFF" w:fill="FFFFFF"/>
            <w:vAlign w:val="center"/>
            <w:hideMark/>
          </w:tcPr>
          <w:p w14:paraId="1E0FD797" w14:textId="77777777" w:rsidR="00C32CBD" w:rsidRDefault="00C32CBD" w:rsidP="00320D09">
            <w:pPr>
              <w:jc w:val="right"/>
              <w:rPr>
                <w:rFonts w:cs="Arial"/>
                <w:b/>
                <w:bCs/>
                <w:sz w:val="18"/>
                <w:szCs w:val="18"/>
              </w:rPr>
            </w:pPr>
            <w:r>
              <w:rPr>
                <w:rFonts w:cs="Arial"/>
                <w:b/>
                <w:bCs/>
                <w:sz w:val="18"/>
                <w:szCs w:val="18"/>
              </w:rPr>
              <w:t>Past due</w:t>
            </w:r>
          </w:p>
        </w:tc>
        <w:tc>
          <w:tcPr>
            <w:tcW w:w="1224" w:type="dxa"/>
            <w:tcBorders>
              <w:top w:val="single" w:sz="4" w:space="0" w:color="auto"/>
              <w:left w:val="nil"/>
              <w:bottom w:val="nil"/>
              <w:right w:val="nil"/>
            </w:tcBorders>
            <w:shd w:val="clear" w:color="FFFFFF" w:fill="FFFFFF"/>
            <w:vAlign w:val="center"/>
            <w:hideMark/>
          </w:tcPr>
          <w:p w14:paraId="60CE79F8" w14:textId="77777777" w:rsidR="00C32CBD" w:rsidRDefault="00C32CBD" w:rsidP="00320D09">
            <w:pPr>
              <w:jc w:val="right"/>
              <w:rPr>
                <w:rFonts w:cs="Arial"/>
                <w:sz w:val="18"/>
                <w:szCs w:val="18"/>
              </w:rPr>
            </w:pPr>
            <w:r>
              <w:rPr>
                <w:rFonts w:cs="Arial"/>
                <w:sz w:val="18"/>
                <w:szCs w:val="18"/>
              </w:rPr>
              <w:t>Past due</w:t>
            </w:r>
          </w:p>
        </w:tc>
      </w:tr>
      <w:tr w:rsidR="00C32CBD" w14:paraId="379284D7" w14:textId="77777777" w:rsidTr="00320D09">
        <w:trPr>
          <w:trHeight w:val="255"/>
        </w:trPr>
        <w:tc>
          <w:tcPr>
            <w:tcW w:w="2773" w:type="dxa"/>
            <w:tcBorders>
              <w:top w:val="nil"/>
              <w:left w:val="nil"/>
              <w:bottom w:val="nil"/>
              <w:right w:val="nil"/>
            </w:tcBorders>
            <w:shd w:val="clear" w:color="FFFFFF" w:fill="FFFFFF"/>
            <w:noWrap/>
            <w:vAlign w:val="bottom"/>
            <w:hideMark/>
          </w:tcPr>
          <w:p w14:paraId="24957417" w14:textId="77777777" w:rsidR="00C32CBD" w:rsidRDefault="00C32CBD" w:rsidP="00320D09">
            <w:pPr>
              <w:rPr>
                <w:rFonts w:cs="Arial"/>
                <w:sz w:val="18"/>
                <w:szCs w:val="18"/>
              </w:rPr>
            </w:pPr>
            <w:r>
              <w:rPr>
                <w:rFonts w:cs="Arial"/>
                <w:sz w:val="18"/>
                <w:szCs w:val="18"/>
              </w:rPr>
              <w:t> </w:t>
            </w:r>
          </w:p>
        </w:tc>
        <w:tc>
          <w:tcPr>
            <w:tcW w:w="1224" w:type="dxa"/>
            <w:tcBorders>
              <w:top w:val="nil"/>
              <w:left w:val="nil"/>
              <w:bottom w:val="nil"/>
              <w:right w:val="nil"/>
            </w:tcBorders>
            <w:shd w:val="clear" w:color="FFFFFF" w:fill="FFFFFF"/>
            <w:noWrap/>
            <w:vAlign w:val="bottom"/>
            <w:hideMark/>
          </w:tcPr>
          <w:p w14:paraId="14934D22" w14:textId="77777777" w:rsidR="00C32CBD" w:rsidRDefault="00C32CBD" w:rsidP="00320D09">
            <w:pPr>
              <w:rPr>
                <w:rFonts w:cs="Arial"/>
              </w:rPr>
            </w:pPr>
            <w:r>
              <w:rPr>
                <w:rFonts w:cs="Arial"/>
              </w:rPr>
              <w:t> </w:t>
            </w:r>
          </w:p>
        </w:tc>
        <w:tc>
          <w:tcPr>
            <w:tcW w:w="1321" w:type="dxa"/>
            <w:tcBorders>
              <w:top w:val="nil"/>
              <w:left w:val="nil"/>
              <w:bottom w:val="nil"/>
              <w:right w:val="nil"/>
            </w:tcBorders>
            <w:shd w:val="clear" w:color="FFFFFF" w:fill="FFFFFF"/>
            <w:vAlign w:val="bottom"/>
            <w:hideMark/>
          </w:tcPr>
          <w:p w14:paraId="7202BC5C" w14:textId="77777777" w:rsidR="00C32CBD" w:rsidRDefault="00C32CBD" w:rsidP="00320D09">
            <w:pPr>
              <w:jc w:val="right"/>
              <w:rPr>
                <w:rFonts w:cs="Arial"/>
                <w:b/>
                <w:bCs/>
                <w:sz w:val="18"/>
                <w:szCs w:val="18"/>
              </w:rPr>
            </w:pPr>
            <w:r>
              <w:rPr>
                <w:rFonts w:cs="Arial"/>
                <w:b/>
                <w:bCs/>
                <w:sz w:val="18"/>
                <w:szCs w:val="18"/>
              </w:rPr>
              <w:t>2017</w:t>
            </w:r>
          </w:p>
        </w:tc>
        <w:tc>
          <w:tcPr>
            <w:tcW w:w="1321" w:type="dxa"/>
            <w:tcBorders>
              <w:top w:val="nil"/>
              <w:left w:val="nil"/>
              <w:bottom w:val="nil"/>
              <w:right w:val="nil"/>
            </w:tcBorders>
            <w:shd w:val="clear" w:color="FFFFFF" w:fill="FFFFFF"/>
            <w:vAlign w:val="bottom"/>
            <w:hideMark/>
          </w:tcPr>
          <w:p w14:paraId="6E00F94C" w14:textId="77777777" w:rsidR="00C32CBD" w:rsidRDefault="00C32CBD" w:rsidP="00320D09">
            <w:pPr>
              <w:jc w:val="right"/>
              <w:rPr>
                <w:rFonts w:cs="Arial"/>
                <w:sz w:val="18"/>
                <w:szCs w:val="18"/>
              </w:rPr>
            </w:pPr>
            <w:r>
              <w:rPr>
                <w:rFonts w:cs="Arial"/>
                <w:sz w:val="18"/>
                <w:szCs w:val="18"/>
              </w:rPr>
              <w:t>2016</w:t>
            </w:r>
          </w:p>
        </w:tc>
        <w:tc>
          <w:tcPr>
            <w:tcW w:w="1224" w:type="dxa"/>
            <w:tcBorders>
              <w:top w:val="nil"/>
              <w:left w:val="nil"/>
              <w:bottom w:val="nil"/>
              <w:right w:val="nil"/>
            </w:tcBorders>
            <w:shd w:val="clear" w:color="FFFFFF" w:fill="FFFFFF"/>
            <w:vAlign w:val="bottom"/>
            <w:hideMark/>
          </w:tcPr>
          <w:p w14:paraId="3668DDC2" w14:textId="77777777" w:rsidR="00C32CBD" w:rsidRDefault="00C32CBD" w:rsidP="00320D09">
            <w:pPr>
              <w:jc w:val="right"/>
              <w:rPr>
                <w:rFonts w:cs="Arial"/>
                <w:b/>
                <w:bCs/>
                <w:sz w:val="18"/>
                <w:szCs w:val="18"/>
              </w:rPr>
            </w:pPr>
            <w:r>
              <w:rPr>
                <w:rFonts w:cs="Arial"/>
                <w:b/>
                <w:bCs/>
                <w:sz w:val="18"/>
                <w:szCs w:val="18"/>
              </w:rPr>
              <w:t>2017</w:t>
            </w:r>
          </w:p>
        </w:tc>
        <w:tc>
          <w:tcPr>
            <w:tcW w:w="1224" w:type="dxa"/>
            <w:tcBorders>
              <w:top w:val="nil"/>
              <w:left w:val="nil"/>
              <w:bottom w:val="nil"/>
              <w:right w:val="nil"/>
            </w:tcBorders>
            <w:shd w:val="clear" w:color="FFFFFF" w:fill="FFFFFF"/>
            <w:vAlign w:val="bottom"/>
            <w:hideMark/>
          </w:tcPr>
          <w:p w14:paraId="70102CC5" w14:textId="77777777" w:rsidR="00C32CBD" w:rsidRDefault="00C32CBD" w:rsidP="00320D09">
            <w:pPr>
              <w:jc w:val="right"/>
              <w:rPr>
                <w:rFonts w:cs="Arial"/>
                <w:sz w:val="18"/>
                <w:szCs w:val="18"/>
              </w:rPr>
            </w:pPr>
            <w:r>
              <w:rPr>
                <w:rFonts w:cs="Arial"/>
                <w:sz w:val="18"/>
                <w:szCs w:val="18"/>
              </w:rPr>
              <w:t>2016</w:t>
            </w:r>
          </w:p>
        </w:tc>
      </w:tr>
      <w:tr w:rsidR="00C32CBD" w14:paraId="174F9F9E" w14:textId="77777777" w:rsidTr="00320D09">
        <w:trPr>
          <w:trHeight w:val="255"/>
        </w:trPr>
        <w:tc>
          <w:tcPr>
            <w:tcW w:w="2773" w:type="dxa"/>
            <w:tcBorders>
              <w:top w:val="nil"/>
              <w:left w:val="nil"/>
              <w:bottom w:val="single" w:sz="4" w:space="0" w:color="auto"/>
              <w:right w:val="nil"/>
            </w:tcBorders>
            <w:shd w:val="clear" w:color="FFFFFF" w:fill="FFFFFF"/>
            <w:noWrap/>
            <w:vAlign w:val="bottom"/>
            <w:hideMark/>
          </w:tcPr>
          <w:p w14:paraId="0AFF0EF0" w14:textId="77777777" w:rsidR="00C32CBD" w:rsidRDefault="00C32CBD" w:rsidP="00320D09">
            <w:pPr>
              <w:rPr>
                <w:rFonts w:cs="Arial"/>
                <w:sz w:val="18"/>
                <w:szCs w:val="18"/>
              </w:rPr>
            </w:pPr>
            <w:r>
              <w:rPr>
                <w:rFonts w:cs="Arial"/>
                <w:sz w:val="18"/>
                <w:szCs w:val="18"/>
              </w:rPr>
              <w:t> </w:t>
            </w:r>
          </w:p>
        </w:tc>
        <w:tc>
          <w:tcPr>
            <w:tcW w:w="1224" w:type="dxa"/>
            <w:tcBorders>
              <w:top w:val="nil"/>
              <w:left w:val="nil"/>
              <w:bottom w:val="single" w:sz="4" w:space="0" w:color="auto"/>
              <w:right w:val="nil"/>
            </w:tcBorders>
            <w:shd w:val="clear" w:color="FFFFFF" w:fill="FFFFFF"/>
            <w:noWrap/>
            <w:vAlign w:val="bottom"/>
            <w:hideMark/>
          </w:tcPr>
          <w:p w14:paraId="75ECD710" w14:textId="77777777" w:rsidR="00C32CBD" w:rsidRDefault="00C32CBD" w:rsidP="00320D09">
            <w:pPr>
              <w:rPr>
                <w:rFonts w:cs="Arial"/>
              </w:rPr>
            </w:pPr>
            <w:r>
              <w:rPr>
                <w:rFonts w:cs="Arial"/>
              </w:rPr>
              <w:t> </w:t>
            </w:r>
          </w:p>
        </w:tc>
        <w:tc>
          <w:tcPr>
            <w:tcW w:w="1321" w:type="dxa"/>
            <w:tcBorders>
              <w:top w:val="nil"/>
              <w:left w:val="nil"/>
              <w:bottom w:val="single" w:sz="4" w:space="0" w:color="auto"/>
              <w:right w:val="nil"/>
            </w:tcBorders>
            <w:shd w:val="clear" w:color="FFFFFF" w:fill="FFFFFF"/>
            <w:vAlign w:val="bottom"/>
            <w:hideMark/>
          </w:tcPr>
          <w:p w14:paraId="1A0384C4" w14:textId="77777777" w:rsidR="00C32CBD" w:rsidRDefault="00C32CBD" w:rsidP="00320D09">
            <w:pPr>
              <w:jc w:val="right"/>
              <w:rPr>
                <w:rFonts w:cs="Arial"/>
                <w:b/>
                <w:bCs/>
                <w:sz w:val="18"/>
                <w:szCs w:val="18"/>
              </w:rPr>
            </w:pPr>
            <w:r>
              <w:rPr>
                <w:rFonts w:cs="Arial"/>
                <w:b/>
                <w:bCs/>
                <w:sz w:val="18"/>
                <w:szCs w:val="18"/>
              </w:rPr>
              <w:t>$'000</w:t>
            </w:r>
          </w:p>
        </w:tc>
        <w:tc>
          <w:tcPr>
            <w:tcW w:w="1321" w:type="dxa"/>
            <w:tcBorders>
              <w:top w:val="nil"/>
              <w:left w:val="nil"/>
              <w:bottom w:val="single" w:sz="4" w:space="0" w:color="auto"/>
              <w:right w:val="nil"/>
            </w:tcBorders>
            <w:shd w:val="clear" w:color="FFFFFF" w:fill="FFFFFF"/>
            <w:vAlign w:val="bottom"/>
            <w:hideMark/>
          </w:tcPr>
          <w:p w14:paraId="140901BD" w14:textId="77777777" w:rsidR="00C32CBD" w:rsidRDefault="00C32CBD" w:rsidP="00320D09">
            <w:pPr>
              <w:jc w:val="right"/>
              <w:rPr>
                <w:rFonts w:cs="Arial"/>
                <w:sz w:val="18"/>
                <w:szCs w:val="18"/>
              </w:rPr>
            </w:pPr>
            <w:r>
              <w:rPr>
                <w:rFonts w:cs="Arial"/>
                <w:sz w:val="18"/>
                <w:szCs w:val="18"/>
              </w:rPr>
              <w:t>$'000</w:t>
            </w:r>
          </w:p>
        </w:tc>
        <w:tc>
          <w:tcPr>
            <w:tcW w:w="1224" w:type="dxa"/>
            <w:tcBorders>
              <w:top w:val="nil"/>
              <w:left w:val="nil"/>
              <w:bottom w:val="single" w:sz="4" w:space="0" w:color="auto"/>
              <w:right w:val="nil"/>
            </w:tcBorders>
            <w:shd w:val="clear" w:color="FFFFFF" w:fill="FFFFFF"/>
            <w:vAlign w:val="bottom"/>
            <w:hideMark/>
          </w:tcPr>
          <w:p w14:paraId="38945B6B" w14:textId="77777777" w:rsidR="00C32CBD" w:rsidRDefault="00C32CBD" w:rsidP="00320D09">
            <w:pPr>
              <w:jc w:val="right"/>
              <w:rPr>
                <w:rFonts w:cs="Arial"/>
                <w:b/>
                <w:bCs/>
                <w:sz w:val="18"/>
                <w:szCs w:val="18"/>
              </w:rPr>
            </w:pPr>
            <w:r>
              <w:rPr>
                <w:rFonts w:cs="Arial"/>
                <w:b/>
                <w:bCs/>
                <w:sz w:val="18"/>
                <w:szCs w:val="18"/>
              </w:rPr>
              <w:t>$'000</w:t>
            </w:r>
          </w:p>
        </w:tc>
        <w:tc>
          <w:tcPr>
            <w:tcW w:w="1224" w:type="dxa"/>
            <w:tcBorders>
              <w:top w:val="nil"/>
              <w:left w:val="nil"/>
              <w:bottom w:val="single" w:sz="4" w:space="0" w:color="auto"/>
              <w:right w:val="nil"/>
            </w:tcBorders>
            <w:shd w:val="clear" w:color="FFFFFF" w:fill="FFFFFF"/>
            <w:vAlign w:val="bottom"/>
            <w:hideMark/>
          </w:tcPr>
          <w:p w14:paraId="2E83F4B5" w14:textId="77777777" w:rsidR="00C32CBD" w:rsidRDefault="00C32CBD" w:rsidP="00320D09">
            <w:pPr>
              <w:jc w:val="right"/>
              <w:rPr>
                <w:rFonts w:cs="Arial"/>
                <w:sz w:val="18"/>
                <w:szCs w:val="18"/>
              </w:rPr>
            </w:pPr>
            <w:r>
              <w:rPr>
                <w:rFonts w:cs="Arial"/>
                <w:sz w:val="18"/>
                <w:szCs w:val="18"/>
              </w:rPr>
              <w:t>$'000</w:t>
            </w:r>
          </w:p>
        </w:tc>
      </w:tr>
      <w:tr w:rsidR="00C32CBD" w14:paraId="63C13FCC" w14:textId="77777777" w:rsidTr="00320D09">
        <w:trPr>
          <w:trHeight w:val="255"/>
        </w:trPr>
        <w:tc>
          <w:tcPr>
            <w:tcW w:w="2773" w:type="dxa"/>
            <w:tcBorders>
              <w:top w:val="nil"/>
              <w:left w:val="nil"/>
              <w:bottom w:val="nil"/>
              <w:right w:val="nil"/>
            </w:tcBorders>
            <w:shd w:val="clear" w:color="FFFFFF" w:fill="FFFFFF"/>
            <w:noWrap/>
            <w:vAlign w:val="bottom"/>
            <w:hideMark/>
          </w:tcPr>
          <w:p w14:paraId="64AB3E66" w14:textId="77777777" w:rsidR="00C32CBD" w:rsidRDefault="00C32CBD" w:rsidP="00320D09">
            <w:pPr>
              <w:ind w:firstLineChars="100" w:firstLine="180"/>
              <w:rPr>
                <w:rFonts w:cs="Arial"/>
                <w:sz w:val="18"/>
                <w:szCs w:val="18"/>
              </w:rPr>
            </w:pPr>
            <w:r>
              <w:rPr>
                <w:rFonts w:cs="Arial"/>
                <w:sz w:val="18"/>
                <w:szCs w:val="18"/>
              </w:rPr>
              <w:t>Other receivables</w:t>
            </w:r>
          </w:p>
        </w:tc>
        <w:tc>
          <w:tcPr>
            <w:tcW w:w="1224" w:type="dxa"/>
            <w:tcBorders>
              <w:top w:val="nil"/>
              <w:left w:val="nil"/>
              <w:bottom w:val="nil"/>
              <w:right w:val="nil"/>
            </w:tcBorders>
            <w:shd w:val="clear" w:color="FFFFFF" w:fill="FFFFFF"/>
            <w:noWrap/>
            <w:vAlign w:val="bottom"/>
            <w:hideMark/>
          </w:tcPr>
          <w:p w14:paraId="1885AC45" w14:textId="77777777" w:rsidR="00C32CBD" w:rsidRDefault="00C32CBD" w:rsidP="00320D09">
            <w:pPr>
              <w:rPr>
                <w:rFonts w:cs="Arial"/>
                <w:b/>
                <w:bCs/>
                <w:sz w:val="18"/>
                <w:szCs w:val="18"/>
              </w:rPr>
            </w:pPr>
            <w:r>
              <w:rPr>
                <w:rFonts w:cs="Arial"/>
                <w:b/>
                <w:bCs/>
                <w:sz w:val="18"/>
                <w:szCs w:val="18"/>
              </w:rPr>
              <w:t> </w:t>
            </w:r>
          </w:p>
        </w:tc>
        <w:tc>
          <w:tcPr>
            <w:tcW w:w="1321" w:type="dxa"/>
            <w:tcBorders>
              <w:top w:val="nil"/>
              <w:left w:val="nil"/>
              <w:bottom w:val="nil"/>
              <w:right w:val="nil"/>
            </w:tcBorders>
            <w:shd w:val="clear" w:color="FFFFFF" w:fill="FFFFFF"/>
            <w:noWrap/>
            <w:vAlign w:val="bottom"/>
            <w:hideMark/>
          </w:tcPr>
          <w:p w14:paraId="5B2E850B" w14:textId="77777777" w:rsidR="00C32CBD" w:rsidRDefault="00C32CBD" w:rsidP="00320D09">
            <w:pPr>
              <w:jc w:val="right"/>
              <w:rPr>
                <w:rFonts w:cs="Arial"/>
                <w:b/>
                <w:bCs/>
                <w:sz w:val="18"/>
                <w:szCs w:val="18"/>
              </w:rPr>
            </w:pPr>
            <w:r>
              <w:rPr>
                <w:rFonts w:cs="Arial"/>
                <w:b/>
                <w:bCs/>
                <w:sz w:val="18"/>
                <w:szCs w:val="18"/>
              </w:rPr>
              <w:t>5,080</w:t>
            </w:r>
          </w:p>
        </w:tc>
        <w:tc>
          <w:tcPr>
            <w:tcW w:w="1321" w:type="dxa"/>
            <w:tcBorders>
              <w:top w:val="nil"/>
              <w:left w:val="nil"/>
              <w:bottom w:val="nil"/>
              <w:right w:val="nil"/>
            </w:tcBorders>
            <w:shd w:val="clear" w:color="FFFFFF" w:fill="FFFFFF"/>
            <w:noWrap/>
            <w:vAlign w:val="bottom"/>
            <w:hideMark/>
          </w:tcPr>
          <w:p w14:paraId="22B2D6C2" w14:textId="77777777" w:rsidR="00C32CBD" w:rsidRDefault="00C32CBD" w:rsidP="00320D09">
            <w:pPr>
              <w:jc w:val="right"/>
              <w:rPr>
                <w:rFonts w:cs="Arial"/>
                <w:sz w:val="18"/>
                <w:szCs w:val="18"/>
              </w:rPr>
            </w:pPr>
            <w:r>
              <w:rPr>
                <w:rFonts w:cs="Arial"/>
                <w:sz w:val="18"/>
                <w:szCs w:val="18"/>
              </w:rPr>
              <w:t>1,415</w:t>
            </w:r>
          </w:p>
        </w:tc>
        <w:tc>
          <w:tcPr>
            <w:tcW w:w="1224" w:type="dxa"/>
            <w:tcBorders>
              <w:top w:val="nil"/>
              <w:left w:val="nil"/>
              <w:bottom w:val="nil"/>
              <w:right w:val="nil"/>
            </w:tcBorders>
            <w:shd w:val="clear" w:color="FFFFFF" w:fill="FFFFFF"/>
            <w:noWrap/>
            <w:vAlign w:val="bottom"/>
            <w:hideMark/>
          </w:tcPr>
          <w:p w14:paraId="41E58933" w14:textId="77777777" w:rsidR="00C32CBD" w:rsidRDefault="00C32CBD" w:rsidP="00320D09">
            <w:pPr>
              <w:jc w:val="right"/>
              <w:rPr>
                <w:rFonts w:cs="Arial"/>
                <w:b/>
                <w:bCs/>
                <w:sz w:val="18"/>
                <w:szCs w:val="18"/>
              </w:rPr>
            </w:pPr>
            <w:r>
              <w:rPr>
                <w:rFonts w:cs="Arial"/>
                <w:b/>
                <w:bCs/>
                <w:sz w:val="18"/>
                <w:szCs w:val="18"/>
              </w:rPr>
              <w:t>212</w:t>
            </w:r>
          </w:p>
        </w:tc>
        <w:tc>
          <w:tcPr>
            <w:tcW w:w="1224" w:type="dxa"/>
            <w:tcBorders>
              <w:top w:val="nil"/>
              <w:left w:val="nil"/>
              <w:bottom w:val="nil"/>
              <w:right w:val="nil"/>
            </w:tcBorders>
            <w:shd w:val="clear" w:color="FFFFFF" w:fill="FFFFFF"/>
            <w:noWrap/>
            <w:vAlign w:val="bottom"/>
            <w:hideMark/>
          </w:tcPr>
          <w:p w14:paraId="1DCD3043" w14:textId="77777777" w:rsidR="00C32CBD" w:rsidRDefault="00C32CBD" w:rsidP="00320D09">
            <w:pPr>
              <w:jc w:val="right"/>
              <w:rPr>
                <w:rFonts w:cs="Arial"/>
                <w:sz w:val="18"/>
                <w:szCs w:val="18"/>
              </w:rPr>
            </w:pPr>
            <w:r>
              <w:rPr>
                <w:rFonts w:cs="Arial"/>
                <w:sz w:val="18"/>
                <w:szCs w:val="18"/>
              </w:rPr>
              <w:t>-</w:t>
            </w:r>
          </w:p>
        </w:tc>
      </w:tr>
      <w:tr w:rsidR="00C32CBD" w14:paraId="661E8C18" w14:textId="77777777" w:rsidTr="00320D09">
        <w:trPr>
          <w:trHeight w:val="255"/>
        </w:trPr>
        <w:tc>
          <w:tcPr>
            <w:tcW w:w="2773" w:type="dxa"/>
            <w:tcBorders>
              <w:top w:val="single" w:sz="4" w:space="0" w:color="auto"/>
              <w:left w:val="nil"/>
              <w:bottom w:val="single" w:sz="4" w:space="0" w:color="auto"/>
              <w:right w:val="nil"/>
            </w:tcBorders>
            <w:shd w:val="clear" w:color="FFFFFF" w:fill="FFFFFF"/>
            <w:vAlign w:val="bottom"/>
            <w:hideMark/>
          </w:tcPr>
          <w:p w14:paraId="07B95D90" w14:textId="77777777" w:rsidR="00C32CBD" w:rsidRDefault="00C32CBD" w:rsidP="00320D09">
            <w:pPr>
              <w:rPr>
                <w:rFonts w:cs="Arial"/>
                <w:b/>
                <w:bCs/>
                <w:sz w:val="18"/>
                <w:szCs w:val="18"/>
              </w:rPr>
            </w:pPr>
            <w:r>
              <w:rPr>
                <w:rFonts w:cs="Arial"/>
                <w:b/>
                <w:bCs/>
                <w:sz w:val="18"/>
                <w:szCs w:val="18"/>
              </w:rPr>
              <w:t>Total</w:t>
            </w:r>
          </w:p>
        </w:tc>
        <w:tc>
          <w:tcPr>
            <w:tcW w:w="1224" w:type="dxa"/>
            <w:tcBorders>
              <w:top w:val="single" w:sz="4" w:space="0" w:color="auto"/>
              <w:left w:val="nil"/>
              <w:bottom w:val="single" w:sz="4" w:space="0" w:color="auto"/>
              <w:right w:val="nil"/>
            </w:tcBorders>
            <w:shd w:val="clear" w:color="FFFFFF" w:fill="FFFFFF"/>
            <w:vAlign w:val="bottom"/>
            <w:hideMark/>
          </w:tcPr>
          <w:p w14:paraId="6D4718BA" w14:textId="77777777" w:rsidR="00C32CBD" w:rsidRDefault="00C32CBD" w:rsidP="00320D09">
            <w:pPr>
              <w:rPr>
                <w:rFonts w:cs="Arial"/>
                <w:b/>
                <w:bCs/>
                <w:sz w:val="18"/>
                <w:szCs w:val="18"/>
              </w:rPr>
            </w:pPr>
            <w:r>
              <w:rPr>
                <w:rFonts w:cs="Arial"/>
                <w:b/>
                <w:bCs/>
                <w:sz w:val="18"/>
                <w:szCs w:val="18"/>
              </w:rPr>
              <w:t> </w:t>
            </w:r>
          </w:p>
        </w:tc>
        <w:tc>
          <w:tcPr>
            <w:tcW w:w="1321" w:type="dxa"/>
            <w:tcBorders>
              <w:top w:val="single" w:sz="4" w:space="0" w:color="auto"/>
              <w:left w:val="nil"/>
              <w:bottom w:val="single" w:sz="4" w:space="0" w:color="auto"/>
              <w:right w:val="nil"/>
            </w:tcBorders>
            <w:shd w:val="clear" w:color="FFFFFF" w:fill="FFFFFF"/>
            <w:noWrap/>
            <w:vAlign w:val="bottom"/>
            <w:hideMark/>
          </w:tcPr>
          <w:p w14:paraId="5B8C9958" w14:textId="77777777" w:rsidR="00C32CBD" w:rsidRDefault="00C32CBD" w:rsidP="00320D09">
            <w:pPr>
              <w:jc w:val="right"/>
              <w:rPr>
                <w:rFonts w:cs="Arial"/>
                <w:b/>
                <w:bCs/>
                <w:sz w:val="18"/>
                <w:szCs w:val="18"/>
              </w:rPr>
            </w:pPr>
            <w:r>
              <w:rPr>
                <w:rFonts w:cs="Arial"/>
                <w:b/>
                <w:bCs/>
                <w:sz w:val="18"/>
                <w:szCs w:val="18"/>
              </w:rPr>
              <w:t>5,080</w:t>
            </w:r>
          </w:p>
        </w:tc>
        <w:tc>
          <w:tcPr>
            <w:tcW w:w="1321" w:type="dxa"/>
            <w:tcBorders>
              <w:top w:val="single" w:sz="4" w:space="0" w:color="auto"/>
              <w:left w:val="nil"/>
              <w:bottom w:val="single" w:sz="4" w:space="0" w:color="auto"/>
              <w:right w:val="nil"/>
            </w:tcBorders>
            <w:shd w:val="clear" w:color="FFFFFF" w:fill="FFFFFF"/>
            <w:noWrap/>
            <w:vAlign w:val="bottom"/>
            <w:hideMark/>
          </w:tcPr>
          <w:p w14:paraId="3BE3B5E3" w14:textId="77777777" w:rsidR="00C32CBD" w:rsidRDefault="00C32CBD" w:rsidP="00320D09">
            <w:pPr>
              <w:jc w:val="right"/>
              <w:rPr>
                <w:rFonts w:cs="Arial"/>
                <w:sz w:val="18"/>
                <w:szCs w:val="18"/>
              </w:rPr>
            </w:pPr>
            <w:r>
              <w:rPr>
                <w:rFonts w:cs="Arial"/>
                <w:sz w:val="18"/>
                <w:szCs w:val="18"/>
              </w:rPr>
              <w:t>1,415</w:t>
            </w:r>
          </w:p>
        </w:tc>
        <w:tc>
          <w:tcPr>
            <w:tcW w:w="1224" w:type="dxa"/>
            <w:tcBorders>
              <w:top w:val="single" w:sz="4" w:space="0" w:color="auto"/>
              <w:left w:val="nil"/>
              <w:bottom w:val="single" w:sz="4" w:space="0" w:color="auto"/>
              <w:right w:val="nil"/>
            </w:tcBorders>
            <w:shd w:val="clear" w:color="FFFFFF" w:fill="FFFFFF"/>
            <w:noWrap/>
            <w:vAlign w:val="bottom"/>
            <w:hideMark/>
          </w:tcPr>
          <w:p w14:paraId="29C5950A" w14:textId="77777777" w:rsidR="00C32CBD" w:rsidRDefault="00C32CBD" w:rsidP="00320D09">
            <w:pPr>
              <w:jc w:val="right"/>
              <w:rPr>
                <w:rFonts w:cs="Arial"/>
                <w:b/>
                <w:bCs/>
                <w:sz w:val="18"/>
                <w:szCs w:val="18"/>
              </w:rPr>
            </w:pPr>
            <w:r>
              <w:rPr>
                <w:rFonts w:cs="Arial"/>
                <w:b/>
                <w:bCs/>
                <w:sz w:val="18"/>
                <w:szCs w:val="18"/>
              </w:rPr>
              <w:t>212</w:t>
            </w:r>
          </w:p>
        </w:tc>
        <w:tc>
          <w:tcPr>
            <w:tcW w:w="1224" w:type="dxa"/>
            <w:tcBorders>
              <w:top w:val="single" w:sz="4" w:space="0" w:color="auto"/>
              <w:left w:val="nil"/>
              <w:bottom w:val="single" w:sz="4" w:space="0" w:color="auto"/>
              <w:right w:val="nil"/>
            </w:tcBorders>
            <w:shd w:val="clear" w:color="FFFFFF" w:fill="FFFFFF"/>
            <w:noWrap/>
            <w:vAlign w:val="bottom"/>
            <w:hideMark/>
          </w:tcPr>
          <w:p w14:paraId="1BF376BA" w14:textId="77777777" w:rsidR="00C32CBD" w:rsidRDefault="00C32CBD" w:rsidP="00320D09">
            <w:pPr>
              <w:jc w:val="right"/>
              <w:rPr>
                <w:rFonts w:cs="Arial"/>
                <w:sz w:val="18"/>
                <w:szCs w:val="18"/>
              </w:rPr>
            </w:pPr>
            <w:r>
              <w:rPr>
                <w:rFonts w:cs="Arial"/>
                <w:sz w:val="18"/>
                <w:szCs w:val="18"/>
              </w:rPr>
              <w:t>-</w:t>
            </w:r>
          </w:p>
        </w:tc>
      </w:tr>
    </w:tbl>
    <w:p w14:paraId="3CF15C58" w14:textId="77777777" w:rsidR="00C32CBD" w:rsidRDefault="00C32CBD" w:rsidP="00C32CBD">
      <w:pPr>
        <w:spacing w:line="240" w:lineRule="auto"/>
      </w:pPr>
    </w:p>
    <w:p w14:paraId="12707DD4" w14:textId="77777777" w:rsidR="00C32CBD" w:rsidRDefault="00C32CBD" w:rsidP="00C32CBD">
      <w:pPr>
        <w:spacing w:line="240" w:lineRule="auto"/>
      </w:pPr>
    </w:p>
    <w:p w14:paraId="0097EA0A" w14:textId="77777777" w:rsidR="00C32CBD" w:rsidRDefault="00C32CBD" w:rsidP="00C32CBD">
      <w:pPr>
        <w:spacing w:line="240" w:lineRule="auto"/>
      </w:pPr>
    </w:p>
    <w:p w14:paraId="5EFA21B3" w14:textId="77777777" w:rsidR="00C32CBD" w:rsidRPr="005E5430" w:rsidRDefault="00C32CBD" w:rsidP="00C32CBD">
      <w:pPr>
        <w:spacing w:line="240" w:lineRule="auto"/>
      </w:pPr>
    </w:p>
    <w:tbl>
      <w:tblPr>
        <w:tblW w:w="9087" w:type="dxa"/>
        <w:tblInd w:w="80" w:type="dxa"/>
        <w:tblLayout w:type="fixed"/>
        <w:tblLook w:val="04A0" w:firstRow="1" w:lastRow="0" w:firstColumn="1" w:lastColumn="0" w:noHBand="0" w:noVBand="1"/>
      </w:tblPr>
      <w:tblGrid>
        <w:gridCol w:w="2850"/>
        <w:gridCol w:w="1247"/>
        <w:gridCol w:w="1247"/>
        <w:gridCol w:w="1247"/>
        <w:gridCol w:w="1248"/>
        <w:gridCol w:w="1248"/>
      </w:tblGrid>
      <w:tr w:rsidR="00C32CBD" w14:paraId="2762A032" w14:textId="77777777" w:rsidTr="00320D09">
        <w:trPr>
          <w:trHeight w:val="255"/>
        </w:trPr>
        <w:tc>
          <w:tcPr>
            <w:tcW w:w="2850" w:type="dxa"/>
            <w:tcBorders>
              <w:top w:val="nil"/>
              <w:left w:val="nil"/>
              <w:bottom w:val="nil"/>
              <w:right w:val="nil"/>
            </w:tcBorders>
            <w:shd w:val="clear" w:color="FFFFFF" w:fill="FFFFFF"/>
            <w:noWrap/>
            <w:vAlign w:val="bottom"/>
            <w:hideMark/>
          </w:tcPr>
          <w:p w14:paraId="3CEBC657" w14:textId="77777777" w:rsidR="00C32CBD" w:rsidRDefault="00C32CBD" w:rsidP="00320D09">
            <w:pPr>
              <w:rPr>
                <w:rFonts w:cs="Arial"/>
                <w:b/>
                <w:bCs/>
                <w:sz w:val="18"/>
                <w:szCs w:val="18"/>
                <w:u w:val="single"/>
              </w:rPr>
            </w:pPr>
            <w:bookmarkStart w:id="292" w:name="Note_FIITABLE1" w:colFirst="0" w:colLast="0"/>
            <w:r>
              <w:rPr>
                <w:rFonts w:cs="Arial"/>
                <w:b/>
                <w:bCs/>
                <w:sz w:val="18"/>
                <w:szCs w:val="18"/>
                <w:u w:val="single"/>
              </w:rPr>
              <w:t>Note 5.2D: Liquidity risk</w:t>
            </w:r>
          </w:p>
        </w:tc>
        <w:tc>
          <w:tcPr>
            <w:tcW w:w="1247" w:type="dxa"/>
            <w:tcBorders>
              <w:top w:val="nil"/>
              <w:left w:val="nil"/>
              <w:bottom w:val="nil"/>
              <w:right w:val="nil"/>
            </w:tcBorders>
            <w:shd w:val="clear" w:color="FFFFFF" w:fill="FFFFFF"/>
            <w:noWrap/>
            <w:vAlign w:val="bottom"/>
            <w:hideMark/>
          </w:tcPr>
          <w:p w14:paraId="3C24D5A4" w14:textId="77777777" w:rsidR="00C32CBD" w:rsidRDefault="00C32CBD" w:rsidP="00320D09">
            <w:pPr>
              <w:rPr>
                <w:rFonts w:cs="Arial"/>
                <w:sz w:val="18"/>
                <w:szCs w:val="18"/>
              </w:rPr>
            </w:pPr>
            <w:r>
              <w:rPr>
                <w:rFonts w:cs="Arial"/>
                <w:sz w:val="18"/>
                <w:szCs w:val="18"/>
              </w:rPr>
              <w:t> </w:t>
            </w:r>
          </w:p>
        </w:tc>
        <w:tc>
          <w:tcPr>
            <w:tcW w:w="1247" w:type="dxa"/>
            <w:tcBorders>
              <w:top w:val="nil"/>
              <w:left w:val="nil"/>
              <w:bottom w:val="nil"/>
              <w:right w:val="nil"/>
            </w:tcBorders>
            <w:shd w:val="clear" w:color="FFFFFF" w:fill="FFFFFF"/>
            <w:noWrap/>
            <w:vAlign w:val="bottom"/>
            <w:hideMark/>
          </w:tcPr>
          <w:p w14:paraId="6C24CCD7" w14:textId="77777777" w:rsidR="00C32CBD" w:rsidRDefault="00C32CBD" w:rsidP="00320D09">
            <w:pPr>
              <w:rPr>
                <w:rFonts w:cs="Arial"/>
                <w:sz w:val="18"/>
                <w:szCs w:val="18"/>
              </w:rPr>
            </w:pPr>
            <w:r>
              <w:rPr>
                <w:rFonts w:cs="Arial"/>
                <w:sz w:val="18"/>
                <w:szCs w:val="18"/>
              </w:rPr>
              <w:t> </w:t>
            </w:r>
          </w:p>
        </w:tc>
        <w:tc>
          <w:tcPr>
            <w:tcW w:w="1247" w:type="dxa"/>
            <w:tcBorders>
              <w:top w:val="nil"/>
              <w:left w:val="nil"/>
              <w:bottom w:val="nil"/>
              <w:right w:val="nil"/>
            </w:tcBorders>
            <w:shd w:val="clear" w:color="FFFFFF" w:fill="FFFFFF"/>
            <w:noWrap/>
            <w:vAlign w:val="bottom"/>
            <w:hideMark/>
          </w:tcPr>
          <w:p w14:paraId="5AD35342" w14:textId="77777777" w:rsidR="00C32CBD" w:rsidRDefault="00C32CBD" w:rsidP="00320D09">
            <w:pPr>
              <w:rPr>
                <w:rFonts w:cs="Arial"/>
                <w:sz w:val="18"/>
                <w:szCs w:val="18"/>
              </w:rPr>
            </w:pPr>
            <w:r>
              <w:rPr>
                <w:rFonts w:cs="Arial"/>
                <w:sz w:val="18"/>
                <w:szCs w:val="18"/>
              </w:rPr>
              <w:t> </w:t>
            </w:r>
          </w:p>
        </w:tc>
        <w:tc>
          <w:tcPr>
            <w:tcW w:w="1248" w:type="dxa"/>
            <w:tcBorders>
              <w:top w:val="nil"/>
              <w:left w:val="nil"/>
              <w:bottom w:val="nil"/>
              <w:right w:val="nil"/>
            </w:tcBorders>
            <w:shd w:val="clear" w:color="FFFFFF" w:fill="FFFFFF"/>
            <w:noWrap/>
            <w:vAlign w:val="bottom"/>
            <w:hideMark/>
          </w:tcPr>
          <w:p w14:paraId="782DEE41" w14:textId="77777777" w:rsidR="00C32CBD" w:rsidRDefault="00C32CBD" w:rsidP="00320D09">
            <w:pPr>
              <w:rPr>
                <w:rFonts w:cs="Arial"/>
                <w:sz w:val="18"/>
                <w:szCs w:val="18"/>
              </w:rPr>
            </w:pPr>
            <w:r>
              <w:rPr>
                <w:rFonts w:cs="Arial"/>
                <w:sz w:val="18"/>
                <w:szCs w:val="18"/>
              </w:rPr>
              <w:t> </w:t>
            </w:r>
          </w:p>
        </w:tc>
        <w:tc>
          <w:tcPr>
            <w:tcW w:w="1248" w:type="dxa"/>
            <w:tcBorders>
              <w:top w:val="nil"/>
              <w:left w:val="nil"/>
              <w:bottom w:val="nil"/>
              <w:right w:val="nil"/>
            </w:tcBorders>
            <w:shd w:val="clear" w:color="FFFFFF" w:fill="FFFFFF"/>
            <w:noWrap/>
            <w:vAlign w:val="bottom"/>
            <w:hideMark/>
          </w:tcPr>
          <w:p w14:paraId="151A274E" w14:textId="77777777" w:rsidR="00C32CBD" w:rsidRDefault="00C32CBD" w:rsidP="00320D09">
            <w:pPr>
              <w:rPr>
                <w:rFonts w:cs="Arial"/>
                <w:sz w:val="18"/>
                <w:szCs w:val="18"/>
              </w:rPr>
            </w:pPr>
            <w:r>
              <w:rPr>
                <w:rFonts w:cs="Arial"/>
                <w:sz w:val="18"/>
                <w:szCs w:val="18"/>
              </w:rPr>
              <w:t> </w:t>
            </w:r>
          </w:p>
        </w:tc>
      </w:tr>
      <w:bookmarkEnd w:id="292"/>
      <w:tr w:rsidR="00C32CBD" w14:paraId="12A634D3" w14:textId="77777777" w:rsidTr="00320D09">
        <w:trPr>
          <w:trHeight w:val="795"/>
        </w:trPr>
        <w:tc>
          <w:tcPr>
            <w:tcW w:w="9087" w:type="dxa"/>
            <w:gridSpan w:val="6"/>
            <w:tcBorders>
              <w:top w:val="nil"/>
              <w:left w:val="nil"/>
              <w:bottom w:val="nil"/>
              <w:right w:val="nil"/>
            </w:tcBorders>
            <w:shd w:val="clear" w:color="FFFFFF" w:fill="FFFFFF"/>
            <w:vAlign w:val="bottom"/>
            <w:hideMark/>
          </w:tcPr>
          <w:p w14:paraId="0DA8753C" w14:textId="77777777" w:rsidR="00C32CBD" w:rsidRDefault="00C32CBD" w:rsidP="00320D09">
            <w:pPr>
              <w:rPr>
                <w:rFonts w:cs="Arial"/>
                <w:sz w:val="18"/>
                <w:szCs w:val="18"/>
              </w:rPr>
            </w:pPr>
            <w:r>
              <w:rPr>
                <w:rFonts w:cs="Arial"/>
                <w:sz w:val="18"/>
                <w:szCs w:val="18"/>
              </w:rPr>
              <w:t>The Agency manages liquidity risk by continuously monitoring the forecast and actual cashflows associated with financial assets and financial liabilities. All financial liabilities shown in the Statement of Financial Position as at 30 June 2017 are expected to fall due within 12 months.</w:t>
            </w:r>
          </w:p>
        </w:tc>
      </w:tr>
    </w:tbl>
    <w:p w14:paraId="0D4534B5" w14:textId="77777777" w:rsidR="00C32CBD" w:rsidRDefault="00C32CBD" w:rsidP="00C32CBD"/>
    <w:tbl>
      <w:tblPr>
        <w:tblW w:w="9087" w:type="dxa"/>
        <w:tblInd w:w="80" w:type="dxa"/>
        <w:tblLayout w:type="fixed"/>
        <w:tblLook w:val="04A0" w:firstRow="1" w:lastRow="0" w:firstColumn="1" w:lastColumn="0" w:noHBand="0" w:noVBand="1"/>
      </w:tblPr>
      <w:tblGrid>
        <w:gridCol w:w="4609"/>
        <w:gridCol w:w="1328"/>
        <w:gridCol w:w="1118"/>
        <w:gridCol w:w="1111"/>
        <w:gridCol w:w="921"/>
      </w:tblGrid>
      <w:tr w:rsidR="00C32CBD" w14:paraId="7C2ADE88" w14:textId="77777777" w:rsidTr="00320D09">
        <w:trPr>
          <w:trHeight w:val="255"/>
        </w:trPr>
        <w:tc>
          <w:tcPr>
            <w:tcW w:w="4609" w:type="dxa"/>
            <w:tcBorders>
              <w:top w:val="nil"/>
              <w:left w:val="nil"/>
              <w:bottom w:val="nil"/>
              <w:right w:val="nil"/>
            </w:tcBorders>
            <w:shd w:val="clear" w:color="FFFFFF" w:fill="FFFFFF"/>
            <w:noWrap/>
            <w:vAlign w:val="bottom"/>
            <w:hideMark/>
          </w:tcPr>
          <w:p w14:paraId="3303C41E" w14:textId="77777777" w:rsidR="00C32CBD" w:rsidRDefault="00C32CBD" w:rsidP="00320D09">
            <w:pPr>
              <w:rPr>
                <w:rFonts w:cs="Arial"/>
                <w:b/>
                <w:bCs/>
                <w:sz w:val="18"/>
                <w:szCs w:val="18"/>
                <w:u w:val="single"/>
              </w:rPr>
            </w:pPr>
            <w:bookmarkStart w:id="293" w:name="Note_FIJTABLE1" w:colFirst="0" w:colLast="0"/>
            <w:r>
              <w:rPr>
                <w:rFonts w:cs="Arial"/>
                <w:b/>
                <w:bCs/>
                <w:sz w:val="18"/>
                <w:szCs w:val="18"/>
                <w:u w:val="single"/>
              </w:rPr>
              <w:t>Note 5.2E: Market risk</w:t>
            </w:r>
          </w:p>
        </w:tc>
        <w:tc>
          <w:tcPr>
            <w:tcW w:w="1328" w:type="dxa"/>
            <w:tcBorders>
              <w:top w:val="nil"/>
              <w:left w:val="nil"/>
              <w:bottom w:val="nil"/>
              <w:right w:val="nil"/>
            </w:tcBorders>
            <w:shd w:val="clear" w:color="FFFFFF" w:fill="FFFFFF"/>
            <w:noWrap/>
            <w:vAlign w:val="bottom"/>
            <w:hideMark/>
          </w:tcPr>
          <w:p w14:paraId="32878DDD" w14:textId="77777777" w:rsidR="00C32CBD" w:rsidRDefault="00C32CBD" w:rsidP="00320D09">
            <w:pPr>
              <w:rPr>
                <w:rFonts w:cs="Arial"/>
                <w:sz w:val="18"/>
                <w:szCs w:val="18"/>
              </w:rPr>
            </w:pPr>
            <w:r>
              <w:rPr>
                <w:rFonts w:cs="Arial"/>
                <w:sz w:val="18"/>
                <w:szCs w:val="18"/>
              </w:rPr>
              <w:t> </w:t>
            </w:r>
          </w:p>
        </w:tc>
        <w:tc>
          <w:tcPr>
            <w:tcW w:w="1118" w:type="dxa"/>
            <w:tcBorders>
              <w:top w:val="nil"/>
              <w:left w:val="nil"/>
              <w:bottom w:val="nil"/>
              <w:right w:val="nil"/>
            </w:tcBorders>
            <w:shd w:val="clear" w:color="FFFFFF" w:fill="FFFFFF"/>
            <w:noWrap/>
            <w:vAlign w:val="bottom"/>
            <w:hideMark/>
          </w:tcPr>
          <w:p w14:paraId="155A1E65" w14:textId="77777777" w:rsidR="00C32CBD" w:rsidRDefault="00C32CBD" w:rsidP="00320D09">
            <w:pPr>
              <w:rPr>
                <w:rFonts w:cs="Arial"/>
                <w:sz w:val="18"/>
                <w:szCs w:val="18"/>
              </w:rPr>
            </w:pPr>
            <w:r>
              <w:rPr>
                <w:rFonts w:cs="Arial"/>
                <w:sz w:val="18"/>
                <w:szCs w:val="18"/>
              </w:rPr>
              <w:t> </w:t>
            </w:r>
          </w:p>
        </w:tc>
        <w:tc>
          <w:tcPr>
            <w:tcW w:w="1111" w:type="dxa"/>
            <w:tcBorders>
              <w:top w:val="nil"/>
              <w:left w:val="nil"/>
              <w:bottom w:val="nil"/>
              <w:right w:val="nil"/>
            </w:tcBorders>
            <w:shd w:val="clear" w:color="FFFFFF" w:fill="FFFFFF"/>
            <w:noWrap/>
            <w:vAlign w:val="bottom"/>
            <w:hideMark/>
          </w:tcPr>
          <w:p w14:paraId="3D4CCAA1" w14:textId="77777777" w:rsidR="00C32CBD" w:rsidRDefault="00C32CBD" w:rsidP="00320D09">
            <w:pPr>
              <w:rPr>
                <w:rFonts w:cs="Arial"/>
                <w:sz w:val="18"/>
                <w:szCs w:val="18"/>
              </w:rPr>
            </w:pPr>
            <w:r>
              <w:rPr>
                <w:rFonts w:cs="Arial"/>
                <w:sz w:val="18"/>
                <w:szCs w:val="18"/>
              </w:rPr>
              <w:t> </w:t>
            </w:r>
          </w:p>
        </w:tc>
        <w:tc>
          <w:tcPr>
            <w:tcW w:w="921" w:type="dxa"/>
            <w:tcBorders>
              <w:top w:val="nil"/>
              <w:left w:val="nil"/>
              <w:bottom w:val="nil"/>
              <w:right w:val="nil"/>
            </w:tcBorders>
            <w:shd w:val="clear" w:color="FFFFFF" w:fill="FFFFFF"/>
            <w:noWrap/>
            <w:vAlign w:val="bottom"/>
            <w:hideMark/>
          </w:tcPr>
          <w:p w14:paraId="46065655" w14:textId="77777777" w:rsidR="00C32CBD" w:rsidRDefault="00C32CBD" w:rsidP="00320D09">
            <w:pPr>
              <w:rPr>
                <w:rFonts w:cs="Arial"/>
                <w:sz w:val="18"/>
                <w:szCs w:val="18"/>
              </w:rPr>
            </w:pPr>
            <w:r>
              <w:rPr>
                <w:rFonts w:cs="Arial"/>
                <w:sz w:val="18"/>
                <w:szCs w:val="18"/>
              </w:rPr>
              <w:t> </w:t>
            </w:r>
          </w:p>
        </w:tc>
      </w:tr>
      <w:bookmarkEnd w:id="293"/>
      <w:tr w:rsidR="00C32CBD" w14:paraId="2DD19919" w14:textId="77777777" w:rsidTr="00320D09">
        <w:trPr>
          <w:trHeight w:val="1245"/>
        </w:trPr>
        <w:tc>
          <w:tcPr>
            <w:tcW w:w="9087" w:type="dxa"/>
            <w:gridSpan w:val="5"/>
            <w:tcBorders>
              <w:top w:val="nil"/>
              <w:left w:val="nil"/>
              <w:bottom w:val="nil"/>
              <w:right w:val="nil"/>
            </w:tcBorders>
            <w:shd w:val="clear" w:color="FFFFFF" w:fill="FFFFFF"/>
            <w:hideMark/>
          </w:tcPr>
          <w:p w14:paraId="13A7F794" w14:textId="77777777" w:rsidR="00C32CBD" w:rsidRDefault="00C32CBD" w:rsidP="00320D09">
            <w:pPr>
              <w:rPr>
                <w:rFonts w:cs="Arial"/>
                <w:sz w:val="18"/>
                <w:szCs w:val="18"/>
              </w:rPr>
            </w:pPr>
            <w:r>
              <w:rPr>
                <w:rFonts w:cs="Arial"/>
                <w:sz w:val="18"/>
                <w:szCs w:val="18"/>
              </w:rPr>
              <w:t>The Agency holds basic financial instruments that do not expose the Agency to certain market risks. The Agency is not exposed to 'currency risk' or 'other price risk'.</w:t>
            </w:r>
            <w:r>
              <w:rPr>
                <w:rFonts w:cs="Arial"/>
                <w:sz w:val="18"/>
                <w:szCs w:val="18"/>
              </w:rPr>
              <w:br/>
            </w:r>
            <w:r>
              <w:rPr>
                <w:rFonts w:cs="Arial"/>
                <w:sz w:val="18"/>
                <w:szCs w:val="18"/>
              </w:rPr>
              <w:br/>
              <w:t>The only interest-bearing items on the balance sheet are certificates of deposit. All certificates bear interest at a fixed interest rate and will not fluctuate due to changes in the market interest rate.</w:t>
            </w:r>
          </w:p>
        </w:tc>
      </w:tr>
    </w:tbl>
    <w:p w14:paraId="5CEB0DA0" w14:textId="77777777" w:rsidR="00C32CBD" w:rsidRPr="009F204C" w:rsidRDefault="00C32CBD" w:rsidP="00C32CBD"/>
    <w:tbl>
      <w:tblPr>
        <w:tblW w:w="9087" w:type="dxa"/>
        <w:tblInd w:w="80" w:type="dxa"/>
        <w:tblLayout w:type="fixed"/>
        <w:tblLook w:val="04A0" w:firstRow="1" w:lastRow="0" w:firstColumn="1" w:lastColumn="0" w:noHBand="0" w:noVBand="1"/>
      </w:tblPr>
      <w:tblGrid>
        <w:gridCol w:w="5110"/>
        <w:gridCol w:w="1247"/>
        <w:gridCol w:w="1247"/>
        <w:gridCol w:w="236"/>
        <w:gridCol w:w="1247"/>
      </w:tblGrid>
      <w:tr w:rsidR="00C32CBD" w14:paraId="07C6C1BA" w14:textId="77777777" w:rsidTr="00320D09">
        <w:trPr>
          <w:trHeight w:val="240"/>
        </w:trPr>
        <w:tc>
          <w:tcPr>
            <w:tcW w:w="5110" w:type="dxa"/>
            <w:tcBorders>
              <w:top w:val="nil"/>
              <w:left w:val="nil"/>
              <w:bottom w:val="nil"/>
              <w:right w:val="nil"/>
            </w:tcBorders>
            <w:shd w:val="clear" w:color="FFFFFF" w:fill="FFFFFF"/>
            <w:noWrap/>
            <w:vAlign w:val="bottom"/>
            <w:hideMark/>
          </w:tcPr>
          <w:p w14:paraId="4076A025" w14:textId="77777777" w:rsidR="00C32CBD" w:rsidRDefault="00C32CBD" w:rsidP="00320D09">
            <w:pPr>
              <w:rPr>
                <w:rFonts w:cs="Arial"/>
                <w:sz w:val="18"/>
                <w:szCs w:val="18"/>
              </w:rPr>
            </w:pPr>
            <w:bookmarkStart w:id="294" w:name="Note_FARTABLE1" w:colFirst="0" w:colLast="0"/>
            <w:r>
              <w:rPr>
                <w:rFonts w:cs="Arial"/>
                <w:sz w:val="18"/>
                <w:szCs w:val="18"/>
              </w:rPr>
              <w:t> </w:t>
            </w:r>
          </w:p>
        </w:tc>
        <w:tc>
          <w:tcPr>
            <w:tcW w:w="1247" w:type="dxa"/>
            <w:tcBorders>
              <w:top w:val="nil"/>
              <w:left w:val="nil"/>
              <w:bottom w:val="nil"/>
              <w:right w:val="nil"/>
            </w:tcBorders>
            <w:shd w:val="clear" w:color="FFFFFF" w:fill="FFFFFF"/>
            <w:noWrap/>
            <w:vAlign w:val="bottom"/>
            <w:hideMark/>
          </w:tcPr>
          <w:p w14:paraId="21EA904C" w14:textId="77777777" w:rsidR="00C32CBD" w:rsidRDefault="00C32CBD" w:rsidP="00320D09">
            <w:pPr>
              <w:rPr>
                <w:rFonts w:cs="Arial"/>
                <w:sz w:val="18"/>
                <w:szCs w:val="18"/>
              </w:rPr>
            </w:pPr>
            <w:r>
              <w:rPr>
                <w:rFonts w:cs="Arial"/>
                <w:sz w:val="18"/>
                <w:szCs w:val="18"/>
              </w:rPr>
              <w:t> </w:t>
            </w:r>
          </w:p>
        </w:tc>
        <w:tc>
          <w:tcPr>
            <w:tcW w:w="1247" w:type="dxa"/>
            <w:tcBorders>
              <w:top w:val="nil"/>
              <w:left w:val="nil"/>
              <w:bottom w:val="nil"/>
              <w:right w:val="nil"/>
            </w:tcBorders>
            <w:shd w:val="clear" w:color="FFFFFF" w:fill="FFFFFF"/>
            <w:vAlign w:val="bottom"/>
            <w:hideMark/>
          </w:tcPr>
          <w:p w14:paraId="3EAE79D1" w14:textId="77777777" w:rsidR="00C32CBD" w:rsidRDefault="00C32CBD" w:rsidP="00320D09">
            <w:pPr>
              <w:jc w:val="right"/>
              <w:rPr>
                <w:rFonts w:cs="Arial"/>
                <w:b/>
                <w:bCs/>
                <w:sz w:val="18"/>
                <w:szCs w:val="18"/>
              </w:rPr>
            </w:pPr>
            <w:r>
              <w:rPr>
                <w:rFonts w:cs="Arial"/>
                <w:b/>
                <w:bCs/>
                <w:sz w:val="18"/>
                <w:szCs w:val="18"/>
              </w:rPr>
              <w:t>2017</w:t>
            </w:r>
          </w:p>
        </w:tc>
        <w:tc>
          <w:tcPr>
            <w:tcW w:w="236" w:type="dxa"/>
            <w:tcBorders>
              <w:top w:val="nil"/>
              <w:left w:val="nil"/>
              <w:bottom w:val="nil"/>
              <w:right w:val="nil"/>
            </w:tcBorders>
            <w:shd w:val="clear" w:color="FFFFFF" w:fill="FFFFFF"/>
            <w:noWrap/>
            <w:vAlign w:val="bottom"/>
            <w:hideMark/>
          </w:tcPr>
          <w:p w14:paraId="46842855" w14:textId="77777777" w:rsidR="00C32CBD" w:rsidRDefault="00C32CBD" w:rsidP="00320D09">
            <w:pPr>
              <w:rPr>
                <w:rFonts w:cs="Arial"/>
                <w:sz w:val="18"/>
                <w:szCs w:val="18"/>
              </w:rPr>
            </w:pPr>
            <w:r>
              <w:rPr>
                <w:rFonts w:cs="Arial"/>
                <w:sz w:val="18"/>
                <w:szCs w:val="18"/>
              </w:rPr>
              <w:t> </w:t>
            </w:r>
          </w:p>
        </w:tc>
        <w:tc>
          <w:tcPr>
            <w:tcW w:w="1247" w:type="dxa"/>
            <w:tcBorders>
              <w:top w:val="nil"/>
              <w:left w:val="nil"/>
              <w:bottom w:val="nil"/>
              <w:right w:val="nil"/>
            </w:tcBorders>
            <w:shd w:val="clear" w:color="auto" w:fill="auto"/>
            <w:noWrap/>
            <w:vAlign w:val="bottom"/>
            <w:hideMark/>
          </w:tcPr>
          <w:p w14:paraId="570C23D0" w14:textId="77777777" w:rsidR="00C32CBD" w:rsidRDefault="00C32CBD" w:rsidP="00320D09">
            <w:pPr>
              <w:jc w:val="right"/>
              <w:rPr>
                <w:rFonts w:cs="Arial"/>
                <w:sz w:val="18"/>
                <w:szCs w:val="18"/>
              </w:rPr>
            </w:pPr>
            <w:r>
              <w:rPr>
                <w:rFonts w:cs="Arial"/>
                <w:sz w:val="18"/>
                <w:szCs w:val="18"/>
              </w:rPr>
              <w:t>2016</w:t>
            </w:r>
          </w:p>
        </w:tc>
      </w:tr>
      <w:bookmarkEnd w:id="294"/>
      <w:tr w:rsidR="00C32CBD" w14:paraId="7F936944" w14:textId="77777777" w:rsidTr="00320D09">
        <w:trPr>
          <w:trHeight w:val="240"/>
        </w:trPr>
        <w:tc>
          <w:tcPr>
            <w:tcW w:w="5110" w:type="dxa"/>
            <w:tcBorders>
              <w:top w:val="nil"/>
              <w:left w:val="nil"/>
              <w:bottom w:val="nil"/>
              <w:right w:val="nil"/>
            </w:tcBorders>
            <w:shd w:val="clear" w:color="FFFFFF" w:fill="FFFFFF"/>
            <w:noWrap/>
            <w:vAlign w:val="bottom"/>
            <w:hideMark/>
          </w:tcPr>
          <w:p w14:paraId="6F02A3E8" w14:textId="77777777" w:rsidR="00C32CBD" w:rsidRDefault="00C32CBD" w:rsidP="00320D09">
            <w:pPr>
              <w:rPr>
                <w:rFonts w:cs="Arial"/>
                <w:sz w:val="18"/>
                <w:szCs w:val="18"/>
              </w:rPr>
            </w:pPr>
            <w:r>
              <w:rPr>
                <w:rFonts w:cs="Arial"/>
                <w:sz w:val="18"/>
                <w:szCs w:val="18"/>
              </w:rPr>
              <w:t> </w:t>
            </w:r>
          </w:p>
        </w:tc>
        <w:tc>
          <w:tcPr>
            <w:tcW w:w="1247" w:type="dxa"/>
            <w:tcBorders>
              <w:top w:val="nil"/>
              <w:left w:val="nil"/>
              <w:bottom w:val="nil"/>
              <w:right w:val="nil"/>
            </w:tcBorders>
            <w:shd w:val="clear" w:color="FFFFFF" w:fill="FFFFFF"/>
            <w:noWrap/>
            <w:vAlign w:val="bottom"/>
            <w:hideMark/>
          </w:tcPr>
          <w:p w14:paraId="5356E2FB" w14:textId="77777777" w:rsidR="00C32CBD" w:rsidRDefault="00C32CBD" w:rsidP="00320D09">
            <w:pPr>
              <w:rPr>
                <w:rFonts w:cs="Arial"/>
                <w:sz w:val="18"/>
                <w:szCs w:val="18"/>
              </w:rPr>
            </w:pPr>
            <w:r>
              <w:rPr>
                <w:rFonts w:cs="Arial"/>
                <w:sz w:val="18"/>
                <w:szCs w:val="18"/>
              </w:rPr>
              <w:t> </w:t>
            </w:r>
          </w:p>
        </w:tc>
        <w:tc>
          <w:tcPr>
            <w:tcW w:w="1247" w:type="dxa"/>
            <w:tcBorders>
              <w:top w:val="nil"/>
              <w:left w:val="nil"/>
              <w:bottom w:val="nil"/>
              <w:right w:val="nil"/>
            </w:tcBorders>
            <w:shd w:val="clear" w:color="FFFFFF" w:fill="FFFFFF"/>
            <w:vAlign w:val="bottom"/>
            <w:hideMark/>
          </w:tcPr>
          <w:p w14:paraId="474EA002" w14:textId="77777777" w:rsidR="00C32CBD" w:rsidRDefault="00C32CBD" w:rsidP="00320D09">
            <w:pPr>
              <w:jc w:val="right"/>
              <w:rPr>
                <w:rFonts w:cs="Arial"/>
                <w:b/>
                <w:bCs/>
                <w:sz w:val="18"/>
                <w:szCs w:val="18"/>
              </w:rPr>
            </w:pPr>
            <w:r>
              <w:rPr>
                <w:rFonts w:cs="Arial"/>
                <w:b/>
                <w:bCs/>
                <w:sz w:val="18"/>
                <w:szCs w:val="18"/>
              </w:rPr>
              <w:t>$'000</w:t>
            </w:r>
          </w:p>
        </w:tc>
        <w:tc>
          <w:tcPr>
            <w:tcW w:w="236" w:type="dxa"/>
            <w:tcBorders>
              <w:top w:val="nil"/>
              <w:left w:val="nil"/>
              <w:bottom w:val="nil"/>
              <w:right w:val="nil"/>
            </w:tcBorders>
            <w:shd w:val="clear" w:color="FFFFFF" w:fill="FFFFFF"/>
            <w:noWrap/>
            <w:vAlign w:val="bottom"/>
            <w:hideMark/>
          </w:tcPr>
          <w:p w14:paraId="2E5D4AFD" w14:textId="77777777" w:rsidR="00C32CBD" w:rsidRDefault="00C32CBD" w:rsidP="00320D09">
            <w:pPr>
              <w:rPr>
                <w:rFonts w:cs="Arial"/>
                <w:sz w:val="18"/>
                <w:szCs w:val="18"/>
              </w:rPr>
            </w:pPr>
            <w:r>
              <w:rPr>
                <w:rFonts w:cs="Arial"/>
                <w:sz w:val="18"/>
                <w:szCs w:val="18"/>
              </w:rPr>
              <w:t> </w:t>
            </w:r>
          </w:p>
        </w:tc>
        <w:tc>
          <w:tcPr>
            <w:tcW w:w="1247" w:type="dxa"/>
            <w:tcBorders>
              <w:top w:val="nil"/>
              <w:left w:val="nil"/>
              <w:bottom w:val="nil"/>
              <w:right w:val="nil"/>
            </w:tcBorders>
            <w:shd w:val="clear" w:color="FFFFFF" w:fill="FFFFFF"/>
            <w:vAlign w:val="bottom"/>
            <w:hideMark/>
          </w:tcPr>
          <w:p w14:paraId="4C1292B8" w14:textId="77777777" w:rsidR="00C32CBD" w:rsidRDefault="00C32CBD" w:rsidP="00320D09">
            <w:pPr>
              <w:jc w:val="right"/>
              <w:rPr>
                <w:rFonts w:cs="Arial"/>
                <w:sz w:val="18"/>
                <w:szCs w:val="18"/>
              </w:rPr>
            </w:pPr>
            <w:r>
              <w:rPr>
                <w:rFonts w:cs="Arial"/>
                <w:sz w:val="18"/>
                <w:szCs w:val="18"/>
              </w:rPr>
              <w:t>$'000</w:t>
            </w:r>
          </w:p>
        </w:tc>
      </w:tr>
      <w:tr w:rsidR="00C32CBD" w14:paraId="05B14B0F" w14:textId="77777777" w:rsidTr="00320D09">
        <w:trPr>
          <w:trHeight w:val="240"/>
        </w:trPr>
        <w:tc>
          <w:tcPr>
            <w:tcW w:w="5110" w:type="dxa"/>
            <w:tcBorders>
              <w:top w:val="nil"/>
              <w:left w:val="nil"/>
              <w:bottom w:val="nil"/>
              <w:right w:val="nil"/>
            </w:tcBorders>
            <w:shd w:val="clear" w:color="FFFFFF" w:fill="FFFFFF"/>
            <w:noWrap/>
            <w:vAlign w:val="bottom"/>
            <w:hideMark/>
          </w:tcPr>
          <w:p w14:paraId="553A6065" w14:textId="77777777" w:rsidR="00C32CBD" w:rsidRDefault="00C32CBD" w:rsidP="00320D09">
            <w:pPr>
              <w:rPr>
                <w:rFonts w:cs="Arial"/>
                <w:b/>
                <w:bCs/>
                <w:sz w:val="18"/>
                <w:szCs w:val="18"/>
                <w:u w:val="single"/>
              </w:rPr>
            </w:pPr>
            <w:r>
              <w:rPr>
                <w:rFonts w:cs="Arial"/>
                <w:b/>
                <w:bCs/>
                <w:sz w:val="18"/>
                <w:szCs w:val="18"/>
                <w:u w:val="single"/>
              </w:rPr>
              <w:t>Note 5.2F: Financial assets reconciliation</w:t>
            </w:r>
          </w:p>
        </w:tc>
        <w:tc>
          <w:tcPr>
            <w:tcW w:w="1247" w:type="dxa"/>
            <w:tcBorders>
              <w:top w:val="nil"/>
              <w:left w:val="nil"/>
              <w:bottom w:val="nil"/>
              <w:right w:val="nil"/>
            </w:tcBorders>
            <w:shd w:val="clear" w:color="FFFFFF" w:fill="FFFFFF"/>
            <w:noWrap/>
            <w:vAlign w:val="bottom"/>
            <w:hideMark/>
          </w:tcPr>
          <w:p w14:paraId="3B90E4EC" w14:textId="77777777" w:rsidR="00C32CBD" w:rsidRDefault="00C32CBD" w:rsidP="00320D09">
            <w:pPr>
              <w:rPr>
                <w:rFonts w:cs="Arial"/>
                <w:sz w:val="18"/>
                <w:szCs w:val="18"/>
              </w:rPr>
            </w:pPr>
            <w:r>
              <w:rPr>
                <w:rFonts w:cs="Arial"/>
                <w:sz w:val="18"/>
                <w:szCs w:val="18"/>
              </w:rPr>
              <w:t> </w:t>
            </w:r>
          </w:p>
        </w:tc>
        <w:tc>
          <w:tcPr>
            <w:tcW w:w="1247" w:type="dxa"/>
            <w:tcBorders>
              <w:top w:val="nil"/>
              <w:left w:val="nil"/>
              <w:bottom w:val="nil"/>
              <w:right w:val="nil"/>
            </w:tcBorders>
            <w:shd w:val="clear" w:color="FFFFFF" w:fill="FFFFFF"/>
            <w:noWrap/>
            <w:vAlign w:val="bottom"/>
            <w:hideMark/>
          </w:tcPr>
          <w:p w14:paraId="40AB1098"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7DA86F68" w14:textId="77777777" w:rsidR="00C32CBD" w:rsidRDefault="00C32CBD" w:rsidP="00320D09">
            <w:pPr>
              <w:rPr>
                <w:rFonts w:cs="Arial"/>
                <w:sz w:val="18"/>
                <w:szCs w:val="18"/>
              </w:rPr>
            </w:pPr>
            <w:r>
              <w:rPr>
                <w:rFonts w:cs="Arial"/>
                <w:sz w:val="18"/>
                <w:szCs w:val="18"/>
              </w:rPr>
              <w:t> </w:t>
            </w:r>
          </w:p>
        </w:tc>
        <w:tc>
          <w:tcPr>
            <w:tcW w:w="1247" w:type="dxa"/>
            <w:tcBorders>
              <w:top w:val="nil"/>
              <w:left w:val="nil"/>
              <w:bottom w:val="nil"/>
              <w:right w:val="nil"/>
            </w:tcBorders>
            <w:shd w:val="clear" w:color="FFFFFF" w:fill="FFFFFF"/>
            <w:vAlign w:val="bottom"/>
            <w:hideMark/>
          </w:tcPr>
          <w:p w14:paraId="41C6E0F7" w14:textId="77777777" w:rsidR="00C32CBD" w:rsidRDefault="00C32CBD" w:rsidP="00320D09">
            <w:pPr>
              <w:jc w:val="right"/>
              <w:rPr>
                <w:rFonts w:cs="Arial"/>
                <w:sz w:val="18"/>
                <w:szCs w:val="18"/>
              </w:rPr>
            </w:pPr>
            <w:r>
              <w:rPr>
                <w:rFonts w:cs="Arial"/>
                <w:sz w:val="18"/>
                <w:szCs w:val="18"/>
              </w:rPr>
              <w:t> </w:t>
            </w:r>
          </w:p>
        </w:tc>
      </w:tr>
      <w:tr w:rsidR="00C32CBD" w14:paraId="0D2C8167" w14:textId="77777777" w:rsidTr="00320D09">
        <w:trPr>
          <w:trHeight w:val="240"/>
        </w:trPr>
        <w:tc>
          <w:tcPr>
            <w:tcW w:w="5110" w:type="dxa"/>
            <w:tcBorders>
              <w:top w:val="nil"/>
              <w:left w:val="nil"/>
              <w:bottom w:val="nil"/>
              <w:right w:val="nil"/>
            </w:tcBorders>
            <w:shd w:val="clear" w:color="FFFFFF" w:fill="FFFFFF"/>
            <w:noWrap/>
            <w:vAlign w:val="bottom"/>
            <w:hideMark/>
          </w:tcPr>
          <w:p w14:paraId="7D99446E" w14:textId="77777777" w:rsidR="00C32CBD" w:rsidRDefault="00C32CBD" w:rsidP="00320D09">
            <w:pPr>
              <w:rPr>
                <w:rFonts w:cs="Arial"/>
                <w:sz w:val="18"/>
                <w:szCs w:val="18"/>
              </w:rPr>
            </w:pPr>
            <w:r>
              <w:rPr>
                <w:rFonts w:cs="Arial"/>
                <w:sz w:val="18"/>
                <w:szCs w:val="18"/>
              </w:rPr>
              <w:t> </w:t>
            </w:r>
          </w:p>
        </w:tc>
        <w:tc>
          <w:tcPr>
            <w:tcW w:w="1247" w:type="dxa"/>
            <w:tcBorders>
              <w:top w:val="nil"/>
              <w:left w:val="nil"/>
              <w:bottom w:val="nil"/>
              <w:right w:val="nil"/>
            </w:tcBorders>
            <w:shd w:val="clear" w:color="FFFFFF" w:fill="FFFFFF"/>
            <w:vAlign w:val="bottom"/>
            <w:hideMark/>
          </w:tcPr>
          <w:p w14:paraId="7BE322D3" w14:textId="77777777" w:rsidR="00C32CBD" w:rsidRDefault="00C32CBD" w:rsidP="00320D09">
            <w:pPr>
              <w:jc w:val="center"/>
              <w:rPr>
                <w:rFonts w:cs="Arial"/>
                <w:b/>
                <w:bCs/>
                <w:sz w:val="18"/>
                <w:szCs w:val="18"/>
              </w:rPr>
            </w:pPr>
            <w:r>
              <w:rPr>
                <w:rFonts w:cs="Arial"/>
                <w:b/>
                <w:bCs/>
                <w:sz w:val="18"/>
                <w:szCs w:val="18"/>
              </w:rPr>
              <w:t>Notes</w:t>
            </w:r>
          </w:p>
        </w:tc>
        <w:tc>
          <w:tcPr>
            <w:tcW w:w="1247" w:type="dxa"/>
            <w:tcBorders>
              <w:top w:val="nil"/>
              <w:left w:val="nil"/>
              <w:bottom w:val="nil"/>
              <w:right w:val="nil"/>
            </w:tcBorders>
            <w:shd w:val="clear" w:color="FFFFFF" w:fill="FFFFFF"/>
            <w:noWrap/>
            <w:vAlign w:val="bottom"/>
            <w:hideMark/>
          </w:tcPr>
          <w:p w14:paraId="53BBE406"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6A279F41" w14:textId="77777777" w:rsidR="00C32CBD" w:rsidRDefault="00C32CBD" w:rsidP="00320D09">
            <w:pPr>
              <w:rPr>
                <w:rFonts w:cs="Arial"/>
                <w:sz w:val="18"/>
                <w:szCs w:val="18"/>
              </w:rPr>
            </w:pPr>
            <w:r>
              <w:rPr>
                <w:rFonts w:cs="Arial"/>
                <w:sz w:val="18"/>
                <w:szCs w:val="18"/>
              </w:rPr>
              <w:t> </w:t>
            </w:r>
          </w:p>
        </w:tc>
        <w:tc>
          <w:tcPr>
            <w:tcW w:w="1247" w:type="dxa"/>
            <w:tcBorders>
              <w:top w:val="nil"/>
              <w:left w:val="nil"/>
              <w:bottom w:val="nil"/>
              <w:right w:val="nil"/>
            </w:tcBorders>
            <w:shd w:val="clear" w:color="FFFFFF" w:fill="FFFFFF"/>
            <w:noWrap/>
            <w:vAlign w:val="bottom"/>
            <w:hideMark/>
          </w:tcPr>
          <w:p w14:paraId="0D158218" w14:textId="77777777" w:rsidR="00C32CBD" w:rsidRDefault="00C32CBD" w:rsidP="00320D09">
            <w:pPr>
              <w:rPr>
                <w:rFonts w:cs="Arial"/>
                <w:sz w:val="18"/>
                <w:szCs w:val="18"/>
              </w:rPr>
            </w:pPr>
            <w:r>
              <w:rPr>
                <w:rFonts w:cs="Arial"/>
                <w:sz w:val="18"/>
                <w:szCs w:val="18"/>
              </w:rPr>
              <w:t> </w:t>
            </w:r>
          </w:p>
        </w:tc>
      </w:tr>
      <w:tr w:rsidR="00C32CBD" w14:paraId="704B14F2" w14:textId="77777777" w:rsidTr="00320D09">
        <w:trPr>
          <w:trHeight w:val="240"/>
        </w:trPr>
        <w:tc>
          <w:tcPr>
            <w:tcW w:w="5110" w:type="dxa"/>
            <w:tcBorders>
              <w:top w:val="nil"/>
              <w:left w:val="nil"/>
              <w:bottom w:val="nil"/>
              <w:right w:val="nil"/>
            </w:tcBorders>
            <w:shd w:val="clear" w:color="FFFFFF" w:fill="FFFFFF"/>
            <w:noWrap/>
            <w:vAlign w:val="bottom"/>
            <w:hideMark/>
          </w:tcPr>
          <w:p w14:paraId="7F6D061C" w14:textId="77777777" w:rsidR="00C32CBD" w:rsidRDefault="00C32CBD" w:rsidP="00320D09">
            <w:pPr>
              <w:rPr>
                <w:rFonts w:cs="Arial"/>
                <w:sz w:val="18"/>
                <w:szCs w:val="18"/>
              </w:rPr>
            </w:pPr>
            <w:r>
              <w:rPr>
                <w:rFonts w:cs="Arial"/>
                <w:sz w:val="18"/>
                <w:szCs w:val="18"/>
              </w:rPr>
              <w:t> </w:t>
            </w:r>
          </w:p>
        </w:tc>
        <w:tc>
          <w:tcPr>
            <w:tcW w:w="1247" w:type="dxa"/>
            <w:tcBorders>
              <w:top w:val="nil"/>
              <w:left w:val="nil"/>
              <w:bottom w:val="nil"/>
              <w:right w:val="nil"/>
            </w:tcBorders>
            <w:shd w:val="clear" w:color="FFFFFF" w:fill="FFFFFF"/>
            <w:noWrap/>
            <w:vAlign w:val="bottom"/>
            <w:hideMark/>
          </w:tcPr>
          <w:p w14:paraId="14905B22" w14:textId="77777777" w:rsidR="00C32CBD" w:rsidRDefault="00C32CBD" w:rsidP="00320D09">
            <w:pPr>
              <w:rPr>
                <w:rFonts w:cs="Arial"/>
                <w:sz w:val="18"/>
                <w:szCs w:val="18"/>
              </w:rPr>
            </w:pPr>
            <w:r>
              <w:rPr>
                <w:rFonts w:cs="Arial"/>
                <w:sz w:val="18"/>
                <w:szCs w:val="18"/>
              </w:rPr>
              <w:t> </w:t>
            </w:r>
          </w:p>
        </w:tc>
        <w:tc>
          <w:tcPr>
            <w:tcW w:w="1247" w:type="dxa"/>
            <w:tcBorders>
              <w:top w:val="nil"/>
              <w:left w:val="nil"/>
              <w:bottom w:val="nil"/>
              <w:right w:val="nil"/>
            </w:tcBorders>
            <w:shd w:val="clear" w:color="FFFFFF" w:fill="FFFFFF"/>
            <w:noWrap/>
            <w:vAlign w:val="bottom"/>
            <w:hideMark/>
          </w:tcPr>
          <w:p w14:paraId="0104DDAE" w14:textId="77777777" w:rsidR="00C32CBD" w:rsidRDefault="00C32CBD" w:rsidP="00320D09">
            <w:pPr>
              <w:rPr>
                <w:rFonts w:cs="Arial"/>
                <w:sz w:val="18"/>
                <w:szCs w:val="18"/>
              </w:rPr>
            </w:pPr>
            <w:r>
              <w:rPr>
                <w:rFonts w:cs="Arial"/>
                <w:sz w:val="18"/>
                <w:szCs w:val="18"/>
              </w:rPr>
              <w:t> </w:t>
            </w:r>
          </w:p>
        </w:tc>
        <w:tc>
          <w:tcPr>
            <w:tcW w:w="236" w:type="dxa"/>
            <w:tcBorders>
              <w:top w:val="nil"/>
              <w:left w:val="nil"/>
              <w:bottom w:val="nil"/>
              <w:right w:val="nil"/>
            </w:tcBorders>
            <w:shd w:val="clear" w:color="FFFFFF" w:fill="FFFFFF"/>
            <w:noWrap/>
            <w:vAlign w:val="bottom"/>
            <w:hideMark/>
          </w:tcPr>
          <w:p w14:paraId="32B903C6" w14:textId="77777777" w:rsidR="00C32CBD" w:rsidRDefault="00C32CBD" w:rsidP="00320D09">
            <w:pPr>
              <w:rPr>
                <w:rFonts w:cs="Arial"/>
                <w:sz w:val="18"/>
                <w:szCs w:val="18"/>
              </w:rPr>
            </w:pPr>
            <w:r>
              <w:rPr>
                <w:rFonts w:cs="Arial"/>
                <w:sz w:val="18"/>
                <w:szCs w:val="18"/>
              </w:rPr>
              <w:t> </w:t>
            </w:r>
          </w:p>
        </w:tc>
        <w:tc>
          <w:tcPr>
            <w:tcW w:w="1247" w:type="dxa"/>
            <w:tcBorders>
              <w:top w:val="nil"/>
              <w:left w:val="nil"/>
              <w:bottom w:val="nil"/>
              <w:right w:val="nil"/>
            </w:tcBorders>
            <w:shd w:val="clear" w:color="FFFFFF" w:fill="FFFFFF"/>
            <w:noWrap/>
            <w:vAlign w:val="bottom"/>
            <w:hideMark/>
          </w:tcPr>
          <w:p w14:paraId="7ED2992B" w14:textId="77777777" w:rsidR="00C32CBD" w:rsidRDefault="00C32CBD" w:rsidP="00320D09">
            <w:pPr>
              <w:rPr>
                <w:rFonts w:cs="Arial"/>
                <w:sz w:val="18"/>
                <w:szCs w:val="18"/>
              </w:rPr>
            </w:pPr>
            <w:r>
              <w:rPr>
                <w:rFonts w:cs="Arial"/>
                <w:sz w:val="18"/>
                <w:szCs w:val="18"/>
              </w:rPr>
              <w:t> </w:t>
            </w:r>
          </w:p>
        </w:tc>
      </w:tr>
      <w:tr w:rsidR="00C32CBD" w14:paraId="13EC98CB" w14:textId="77777777" w:rsidTr="00320D09">
        <w:trPr>
          <w:trHeight w:val="240"/>
        </w:trPr>
        <w:tc>
          <w:tcPr>
            <w:tcW w:w="5110" w:type="dxa"/>
            <w:tcBorders>
              <w:top w:val="nil"/>
              <w:left w:val="nil"/>
              <w:bottom w:val="nil"/>
              <w:right w:val="nil"/>
            </w:tcBorders>
            <w:shd w:val="clear" w:color="FFFFFF" w:fill="FFFFFF"/>
            <w:vAlign w:val="bottom"/>
            <w:hideMark/>
          </w:tcPr>
          <w:p w14:paraId="0B6F75FD" w14:textId="77777777" w:rsidR="00C32CBD" w:rsidRDefault="00C32CBD" w:rsidP="00320D09">
            <w:pPr>
              <w:rPr>
                <w:rFonts w:cs="Arial"/>
                <w:b/>
                <w:bCs/>
                <w:sz w:val="18"/>
                <w:szCs w:val="18"/>
              </w:rPr>
            </w:pPr>
            <w:r>
              <w:rPr>
                <w:rFonts w:cs="Arial"/>
                <w:b/>
                <w:bCs/>
                <w:sz w:val="18"/>
                <w:szCs w:val="18"/>
              </w:rPr>
              <w:t>Total financial assets as per Statement of Financial Position</w:t>
            </w:r>
          </w:p>
        </w:tc>
        <w:tc>
          <w:tcPr>
            <w:tcW w:w="1247" w:type="dxa"/>
            <w:tcBorders>
              <w:top w:val="nil"/>
              <w:left w:val="nil"/>
              <w:bottom w:val="nil"/>
              <w:right w:val="nil"/>
            </w:tcBorders>
            <w:shd w:val="clear" w:color="FFFFFF" w:fill="FFFFFF"/>
            <w:noWrap/>
            <w:vAlign w:val="bottom"/>
            <w:hideMark/>
          </w:tcPr>
          <w:p w14:paraId="4E0E17F1" w14:textId="77777777" w:rsidR="00C32CBD" w:rsidRDefault="00C32CBD" w:rsidP="00320D09">
            <w:pPr>
              <w:jc w:val="center"/>
              <w:rPr>
                <w:rFonts w:cs="Arial"/>
                <w:sz w:val="18"/>
                <w:szCs w:val="18"/>
              </w:rPr>
            </w:pPr>
            <w:r>
              <w:rPr>
                <w:rFonts w:cs="Arial"/>
                <w:sz w:val="18"/>
                <w:szCs w:val="18"/>
              </w:rPr>
              <w:t> </w:t>
            </w:r>
          </w:p>
        </w:tc>
        <w:tc>
          <w:tcPr>
            <w:tcW w:w="1247" w:type="dxa"/>
            <w:tcBorders>
              <w:top w:val="nil"/>
              <w:left w:val="nil"/>
              <w:bottom w:val="nil"/>
              <w:right w:val="nil"/>
            </w:tcBorders>
            <w:shd w:val="clear" w:color="FFFFFF" w:fill="FFFFFF"/>
            <w:noWrap/>
            <w:vAlign w:val="bottom"/>
            <w:hideMark/>
          </w:tcPr>
          <w:p w14:paraId="0DB958C3" w14:textId="77777777" w:rsidR="00C32CBD" w:rsidRDefault="00C32CBD" w:rsidP="00320D09">
            <w:pPr>
              <w:jc w:val="right"/>
              <w:rPr>
                <w:rFonts w:cs="Arial"/>
                <w:b/>
                <w:bCs/>
                <w:sz w:val="18"/>
                <w:szCs w:val="18"/>
              </w:rPr>
            </w:pPr>
            <w:r>
              <w:rPr>
                <w:rFonts w:cs="Arial"/>
                <w:b/>
                <w:bCs/>
                <w:sz w:val="18"/>
                <w:szCs w:val="18"/>
              </w:rPr>
              <w:t>1,533,149</w:t>
            </w:r>
          </w:p>
        </w:tc>
        <w:tc>
          <w:tcPr>
            <w:tcW w:w="236" w:type="dxa"/>
            <w:tcBorders>
              <w:top w:val="nil"/>
              <w:left w:val="nil"/>
              <w:bottom w:val="nil"/>
              <w:right w:val="nil"/>
            </w:tcBorders>
            <w:shd w:val="clear" w:color="FFFFFF" w:fill="FFFFFF"/>
            <w:noWrap/>
            <w:vAlign w:val="bottom"/>
            <w:hideMark/>
          </w:tcPr>
          <w:p w14:paraId="1A8EED03" w14:textId="77777777" w:rsidR="00C32CBD" w:rsidRDefault="00C32CBD" w:rsidP="00320D09">
            <w:pPr>
              <w:rPr>
                <w:rFonts w:cs="Arial"/>
                <w:b/>
                <w:bCs/>
                <w:sz w:val="18"/>
                <w:szCs w:val="18"/>
              </w:rPr>
            </w:pPr>
            <w:r>
              <w:rPr>
                <w:rFonts w:cs="Arial"/>
                <w:b/>
                <w:bCs/>
                <w:sz w:val="18"/>
                <w:szCs w:val="18"/>
              </w:rPr>
              <w:t> </w:t>
            </w:r>
          </w:p>
        </w:tc>
        <w:tc>
          <w:tcPr>
            <w:tcW w:w="1247" w:type="dxa"/>
            <w:tcBorders>
              <w:top w:val="nil"/>
              <w:left w:val="nil"/>
              <w:bottom w:val="nil"/>
              <w:right w:val="nil"/>
            </w:tcBorders>
            <w:shd w:val="clear" w:color="FFFFFF" w:fill="FFFFFF"/>
            <w:noWrap/>
            <w:vAlign w:val="bottom"/>
            <w:hideMark/>
          </w:tcPr>
          <w:p w14:paraId="78273A18" w14:textId="77777777" w:rsidR="00C32CBD" w:rsidRDefault="00C32CBD" w:rsidP="00320D09">
            <w:pPr>
              <w:jc w:val="right"/>
              <w:rPr>
                <w:rFonts w:cs="Arial"/>
                <w:sz w:val="18"/>
                <w:szCs w:val="18"/>
              </w:rPr>
            </w:pPr>
            <w:r>
              <w:rPr>
                <w:rFonts w:cs="Arial"/>
                <w:sz w:val="18"/>
                <w:szCs w:val="18"/>
              </w:rPr>
              <w:t>360,508</w:t>
            </w:r>
          </w:p>
        </w:tc>
      </w:tr>
      <w:tr w:rsidR="00C32CBD" w14:paraId="343416D2" w14:textId="77777777" w:rsidTr="00320D09">
        <w:trPr>
          <w:trHeight w:val="240"/>
        </w:trPr>
        <w:tc>
          <w:tcPr>
            <w:tcW w:w="5110" w:type="dxa"/>
            <w:tcBorders>
              <w:top w:val="nil"/>
              <w:left w:val="nil"/>
              <w:bottom w:val="nil"/>
              <w:right w:val="nil"/>
            </w:tcBorders>
            <w:shd w:val="clear" w:color="FFFFFF" w:fill="FFFFFF"/>
            <w:vAlign w:val="bottom"/>
            <w:hideMark/>
          </w:tcPr>
          <w:p w14:paraId="76AE50C6" w14:textId="77777777" w:rsidR="00C32CBD" w:rsidRDefault="00C32CBD" w:rsidP="00320D09">
            <w:pPr>
              <w:rPr>
                <w:rFonts w:cs="Arial"/>
                <w:b/>
                <w:bCs/>
                <w:sz w:val="18"/>
                <w:szCs w:val="18"/>
              </w:rPr>
            </w:pPr>
            <w:r>
              <w:rPr>
                <w:rFonts w:cs="Arial"/>
                <w:b/>
                <w:bCs/>
                <w:sz w:val="18"/>
                <w:szCs w:val="18"/>
              </w:rPr>
              <w:t>Less: non-financial instrument components</w:t>
            </w:r>
          </w:p>
        </w:tc>
        <w:tc>
          <w:tcPr>
            <w:tcW w:w="1247" w:type="dxa"/>
            <w:tcBorders>
              <w:top w:val="nil"/>
              <w:left w:val="nil"/>
              <w:bottom w:val="nil"/>
              <w:right w:val="nil"/>
            </w:tcBorders>
            <w:shd w:val="clear" w:color="FFFFFF" w:fill="FFFFFF"/>
            <w:noWrap/>
            <w:vAlign w:val="bottom"/>
            <w:hideMark/>
          </w:tcPr>
          <w:p w14:paraId="185DC281" w14:textId="77777777" w:rsidR="00C32CBD" w:rsidRDefault="00C32CBD" w:rsidP="00320D09">
            <w:pPr>
              <w:jc w:val="center"/>
              <w:rPr>
                <w:rFonts w:cs="Arial"/>
                <w:sz w:val="18"/>
                <w:szCs w:val="18"/>
              </w:rPr>
            </w:pPr>
            <w:r>
              <w:rPr>
                <w:rFonts w:cs="Arial"/>
                <w:sz w:val="18"/>
                <w:szCs w:val="18"/>
              </w:rPr>
              <w:t> </w:t>
            </w:r>
          </w:p>
        </w:tc>
        <w:tc>
          <w:tcPr>
            <w:tcW w:w="1247" w:type="dxa"/>
            <w:tcBorders>
              <w:top w:val="nil"/>
              <w:left w:val="nil"/>
              <w:bottom w:val="nil"/>
              <w:right w:val="nil"/>
            </w:tcBorders>
            <w:shd w:val="clear" w:color="FFFFFF" w:fill="FFFFFF"/>
            <w:noWrap/>
            <w:vAlign w:val="bottom"/>
            <w:hideMark/>
          </w:tcPr>
          <w:p w14:paraId="5FFB8B07" w14:textId="77777777" w:rsidR="00C32CBD" w:rsidRDefault="00C32CBD" w:rsidP="00320D09">
            <w:pPr>
              <w:jc w:val="right"/>
              <w:rPr>
                <w:rFonts w:cs="Arial"/>
                <w:b/>
                <w:bCs/>
                <w:sz w:val="18"/>
                <w:szCs w:val="18"/>
              </w:rPr>
            </w:pPr>
            <w:r>
              <w:rPr>
                <w:rFonts w:cs="Arial"/>
                <w:b/>
                <w:bCs/>
                <w:sz w:val="18"/>
                <w:szCs w:val="18"/>
              </w:rPr>
              <w:t> </w:t>
            </w:r>
          </w:p>
        </w:tc>
        <w:tc>
          <w:tcPr>
            <w:tcW w:w="236" w:type="dxa"/>
            <w:tcBorders>
              <w:top w:val="nil"/>
              <w:left w:val="nil"/>
              <w:bottom w:val="nil"/>
              <w:right w:val="nil"/>
            </w:tcBorders>
            <w:shd w:val="clear" w:color="FFFFFF" w:fill="FFFFFF"/>
            <w:noWrap/>
            <w:vAlign w:val="bottom"/>
            <w:hideMark/>
          </w:tcPr>
          <w:p w14:paraId="50118646" w14:textId="77777777" w:rsidR="00C32CBD" w:rsidRDefault="00C32CBD" w:rsidP="00320D09">
            <w:pPr>
              <w:rPr>
                <w:rFonts w:cs="Arial"/>
                <w:b/>
                <w:bCs/>
                <w:sz w:val="18"/>
                <w:szCs w:val="18"/>
              </w:rPr>
            </w:pPr>
            <w:r>
              <w:rPr>
                <w:rFonts w:cs="Arial"/>
                <w:b/>
                <w:bCs/>
                <w:sz w:val="18"/>
                <w:szCs w:val="18"/>
              </w:rPr>
              <w:t> </w:t>
            </w:r>
          </w:p>
        </w:tc>
        <w:tc>
          <w:tcPr>
            <w:tcW w:w="1247" w:type="dxa"/>
            <w:tcBorders>
              <w:top w:val="nil"/>
              <w:left w:val="nil"/>
              <w:bottom w:val="nil"/>
              <w:right w:val="nil"/>
            </w:tcBorders>
            <w:shd w:val="clear" w:color="FFFFFF" w:fill="FFFFFF"/>
            <w:noWrap/>
            <w:vAlign w:val="bottom"/>
            <w:hideMark/>
          </w:tcPr>
          <w:p w14:paraId="4B591980" w14:textId="77777777" w:rsidR="00C32CBD" w:rsidRDefault="00C32CBD" w:rsidP="00320D09">
            <w:pPr>
              <w:jc w:val="right"/>
              <w:rPr>
                <w:rFonts w:cs="Arial"/>
                <w:b/>
                <w:bCs/>
                <w:sz w:val="18"/>
                <w:szCs w:val="18"/>
              </w:rPr>
            </w:pPr>
            <w:r>
              <w:rPr>
                <w:rFonts w:cs="Arial"/>
                <w:b/>
                <w:bCs/>
                <w:sz w:val="18"/>
                <w:szCs w:val="18"/>
              </w:rPr>
              <w:t> </w:t>
            </w:r>
          </w:p>
        </w:tc>
      </w:tr>
      <w:tr w:rsidR="00C32CBD" w14:paraId="5AE64861" w14:textId="77777777" w:rsidTr="00320D09">
        <w:trPr>
          <w:trHeight w:val="240"/>
        </w:trPr>
        <w:tc>
          <w:tcPr>
            <w:tcW w:w="5110" w:type="dxa"/>
            <w:tcBorders>
              <w:top w:val="nil"/>
              <w:left w:val="nil"/>
              <w:bottom w:val="nil"/>
              <w:right w:val="nil"/>
            </w:tcBorders>
            <w:shd w:val="clear" w:color="FFFFFF" w:fill="FFFFFF"/>
            <w:noWrap/>
            <w:vAlign w:val="bottom"/>
            <w:hideMark/>
          </w:tcPr>
          <w:p w14:paraId="4D5C4F87" w14:textId="77777777" w:rsidR="00C32CBD" w:rsidRDefault="00C32CBD" w:rsidP="00320D09">
            <w:pPr>
              <w:ind w:firstLineChars="100" w:firstLine="180"/>
              <w:rPr>
                <w:rFonts w:cs="Arial"/>
                <w:sz w:val="18"/>
                <w:szCs w:val="18"/>
              </w:rPr>
            </w:pPr>
            <w:r>
              <w:rPr>
                <w:rFonts w:cs="Arial"/>
                <w:sz w:val="18"/>
                <w:szCs w:val="18"/>
              </w:rPr>
              <w:t>Receivables from Commonwealth, states and territories</w:t>
            </w:r>
          </w:p>
        </w:tc>
        <w:tc>
          <w:tcPr>
            <w:tcW w:w="1247" w:type="dxa"/>
            <w:tcBorders>
              <w:top w:val="nil"/>
              <w:left w:val="nil"/>
              <w:bottom w:val="nil"/>
              <w:right w:val="nil"/>
            </w:tcBorders>
            <w:shd w:val="clear" w:color="FFFFFF" w:fill="FFFFFF"/>
            <w:noWrap/>
            <w:vAlign w:val="bottom"/>
            <w:hideMark/>
          </w:tcPr>
          <w:p w14:paraId="6963D4B1" w14:textId="77777777" w:rsidR="00C32CBD" w:rsidRDefault="00C32CBD" w:rsidP="00320D09">
            <w:pPr>
              <w:jc w:val="center"/>
              <w:rPr>
                <w:rFonts w:cs="Arial"/>
                <w:sz w:val="18"/>
                <w:szCs w:val="18"/>
              </w:rPr>
            </w:pPr>
            <w:r>
              <w:rPr>
                <w:rFonts w:cs="Arial"/>
                <w:sz w:val="18"/>
                <w:szCs w:val="18"/>
              </w:rPr>
              <w:t> </w:t>
            </w:r>
          </w:p>
        </w:tc>
        <w:tc>
          <w:tcPr>
            <w:tcW w:w="1247" w:type="dxa"/>
            <w:tcBorders>
              <w:top w:val="nil"/>
              <w:left w:val="nil"/>
              <w:bottom w:val="nil"/>
              <w:right w:val="nil"/>
            </w:tcBorders>
            <w:shd w:val="clear" w:color="FFFFFF" w:fill="FFFFFF"/>
            <w:noWrap/>
            <w:vAlign w:val="bottom"/>
            <w:hideMark/>
          </w:tcPr>
          <w:p w14:paraId="35E384A9" w14:textId="77777777" w:rsidR="00C32CBD" w:rsidRDefault="00C32CBD" w:rsidP="00320D09">
            <w:pPr>
              <w:jc w:val="right"/>
              <w:rPr>
                <w:rFonts w:cs="Arial"/>
                <w:b/>
                <w:bCs/>
                <w:sz w:val="18"/>
                <w:szCs w:val="18"/>
              </w:rPr>
            </w:pPr>
            <w:r>
              <w:rPr>
                <w:rFonts w:cs="Arial"/>
                <w:b/>
                <w:bCs/>
                <w:sz w:val="18"/>
                <w:szCs w:val="18"/>
              </w:rPr>
              <w:t>(194,941)</w:t>
            </w:r>
          </w:p>
        </w:tc>
        <w:tc>
          <w:tcPr>
            <w:tcW w:w="236" w:type="dxa"/>
            <w:tcBorders>
              <w:top w:val="nil"/>
              <w:left w:val="nil"/>
              <w:bottom w:val="nil"/>
              <w:right w:val="nil"/>
            </w:tcBorders>
            <w:shd w:val="clear" w:color="FFFFFF" w:fill="FFFFFF"/>
            <w:noWrap/>
            <w:vAlign w:val="bottom"/>
            <w:hideMark/>
          </w:tcPr>
          <w:p w14:paraId="7465129F" w14:textId="77777777" w:rsidR="00C32CBD" w:rsidRDefault="00C32CBD" w:rsidP="00320D09">
            <w:pPr>
              <w:rPr>
                <w:rFonts w:cs="Arial"/>
                <w:b/>
                <w:bCs/>
                <w:sz w:val="18"/>
                <w:szCs w:val="18"/>
              </w:rPr>
            </w:pPr>
            <w:r>
              <w:rPr>
                <w:rFonts w:cs="Arial"/>
                <w:b/>
                <w:bCs/>
                <w:sz w:val="18"/>
                <w:szCs w:val="18"/>
              </w:rPr>
              <w:t> </w:t>
            </w:r>
          </w:p>
        </w:tc>
        <w:tc>
          <w:tcPr>
            <w:tcW w:w="1247" w:type="dxa"/>
            <w:tcBorders>
              <w:top w:val="nil"/>
              <w:left w:val="nil"/>
              <w:bottom w:val="nil"/>
              <w:right w:val="nil"/>
            </w:tcBorders>
            <w:shd w:val="clear" w:color="FFFFFF" w:fill="FFFFFF"/>
            <w:noWrap/>
            <w:vAlign w:val="bottom"/>
            <w:hideMark/>
          </w:tcPr>
          <w:p w14:paraId="648845AF" w14:textId="77777777" w:rsidR="00C32CBD" w:rsidRDefault="00C32CBD" w:rsidP="00320D09">
            <w:pPr>
              <w:jc w:val="right"/>
              <w:rPr>
                <w:rFonts w:cs="Arial"/>
                <w:sz w:val="18"/>
                <w:szCs w:val="18"/>
              </w:rPr>
            </w:pPr>
            <w:r>
              <w:rPr>
                <w:rFonts w:cs="Arial"/>
                <w:sz w:val="18"/>
                <w:szCs w:val="18"/>
              </w:rPr>
              <w:t>(35,783)</w:t>
            </w:r>
          </w:p>
        </w:tc>
      </w:tr>
      <w:tr w:rsidR="00C32CBD" w14:paraId="33DD00BD" w14:textId="77777777" w:rsidTr="00320D09">
        <w:trPr>
          <w:trHeight w:val="240"/>
        </w:trPr>
        <w:tc>
          <w:tcPr>
            <w:tcW w:w="5110" w:type="dxa"/>
            <w:tcBorders>
              <w:top w:val="nil"/>
              <w:left w:val="nil"/>
              <w:bottom w:val="nil"/>
              <w:right w:val="nil"/>
            </w:tcBorders>
            <w:shd w:val="clear" w:color="FFFFFF" w:fill="FFFFFF"/>
            <w:noWrap/>
            <w:vAlign w:val="bottom"/>
            <w:hideMark/>
          </w:tcPr>
          <w:p w14:paraId="4F738A1A" w14:textId="77777777" w:rsidR="00C32CBD" w:rsidRDefault="00C32CBD" w:rsidP="00320D09">
            <w:pPr>
              <w:ind w:firstLineChars="100" w:firstLine="180"/>
              <w:rPr>
                <w:rFonts w:cs="Arial"/>
                <w:sz w:val="18"/>
                <w:szCs w:val="18"/>
              </w:rPr>
            </w:pPr>
            <w:r>
              <w:rPr>
                <w:rFonts w:cs="Arial"/>
                <w:sz w:val="18"/>
                <w:szCs w:val="18"/>
              </w:rPr>
              <w:t>Additional Scheme Contributions</w:t>
            </w:r>
          </w:p>
        </w:tc>
        <w:tc>
          <w:tcPr>
            <w:tcW w:w="1247" w:type="dxa"/>
            <w:tcBorders>
              <w:top w:val="nil"/>
              <w:left w:val="nil"/>
              <w:bottom w:val="nil"/>
              <w:right w:val="nil"/>
            </w:tcBorders>
            <w:shd w:val="clear" w:color="FFFFFF" w:fill="FFFFFF"/>
            <w:noWrap/>
            <w:vAlign w:val="bottom"/>
            <w:hideMark/>
          </w:tcPr>
          <w:p w14:paraId="1E85F19F" w14:textId="77777777" w:rsidR="00C32CBD" w:rsidRDefault="00C32CBD" w:rsidP="00320D09">
            <w:pPr>
              <w:jc w:val="center"/>
              <w:rPr>
                <w:rFonts w:cs="Arial"/>
                <w:sz w:val="18"/>
                <w:szCs w:val="18"/>
              </w:rPr>
            </w:pPr>
            <w:r>
              <w:rPr>
                <w:rFonts w:cs="Arial"/>
                <w:sz w:val="18"/>
                <w:szCs w:val="18"/>
              </w:rPr>
              <w:t> </w:t>
            </w:r>
          </w:p>
        </w:tc>
        <w:tc>
          <w:tcPr>
            <w:tcW w:w="1247" w:type="dxa"/>
            <w:tcBorders>
              <w:top w:val="nil"/>
              <w:left w:val="nil"/>
              <w:bottom w:val="nil"/>
              <w:right w:val="nil"/>
            </w:tcBorders>
            <w:shd w:val="clear" w:color="FFFFFF" w:fill="FFFFFF"/>
            <w:noWrap/>
            <w:vAlign w:val="bottom"/>
            <w:hideMark/>
          </w:tcPr>
          <w:p w14:paraId="13932300" w14:textId="77777777" w:rsidR="00C32CBD" w:rsidRDefault="00C32CBD" w:rsidP="00320D09">
            <w:pPr>
              <w:jc w:val="right"/>
              <w:rPr>
                <w:rFonts w:cs="Arial"/>
                <w:b/>
                <w:bCs/>
                <w:sz w:val="18"/>
                <w:szCs w:val="18"/>
              </w:rPr>
            </w:pPr>
            <w:r>
              <w:rPr>
                <w:rFonts w:cs="Arial"/>
                <w:b/>
                <w:bCs/>
                <w:sz w:val="18"/>
                <w:szCs w:val="18"/>
              </w:rPr>
              <w:t>-</w:t>
            </w:r>
          </w:p>
        </w:tc>
        <w:tc>
          <w:tcPr>
            <w:tcW w:w="236" w:type="dxa"/>
            <w:tcBorders>
              <w:top w:val="nil"/>
              <w:left w:val="nil"/>
              <w:bottom w:val="nil"/>
              <w:right w:val="nil"/>
            </w:tcBorders>
            <w:shd w:val="clear" w:color="FFFFFF" w:fill="FFFFFF"/>
            <w:noWrap/>
            <w:vAlign w:val="bottom"/>
            <w:hideMark/>
          </w:tcPr>
          <w:p w14:paraId="0EB2805C" w14:textId="77777777" w:rsidR="00C32CBD" w:rsidRDefault="00C32CBD" w:rsidP="00320D09">
            <w:pPr>
              <w:rPr>
                <w:rFonts w:cs="Arial"/>
                <w:b/>
                <w:bCs/>
                <w:sz w:val="18"/>
                <w:szCs w:val="18"/>
              </w:rPr>
            </w:pPr>
            <w:r>
              <w:rPr>
                <w:rFonts w:cs="Arial"/>
                <w:b/>
                <w:bCs/>
                <w:sz w:val="18"/>
                <w:szCs w:val="18"/>
              </w:rPr>
              <w:t> </w:t>
            </w:r>
          </w:p>
        </w:tc>
        <w:tc>
          <w:tcPr>
            <w:tcW w:w="1247" w:type="dxa"/>
            <w:tcBorders>
              <w:top w:val="nil"/>
              <w:left w:val="nil"/>
              <w:bottom w:val="nil"/>
              <w:right w:val="nil"/>
            </w:tcBorders>
            <w:shd w:val="clear" w:color="FFFFFF" w:fill="FFFFFF"/>
            <w:noWrap/>
            <w:vAlign w:val="bottom"/>
            <w:hideMark/>
          </w:tcPr>
          <w:p w14:paraId="70F2F63A" w14:textId="77777777" w:rsidR="00C32CBD" w:rsidRDefault="00C32CBD" w:rsidP="00320D09">
            <w:pPr>
              <w:jc w:val="right"/>
              <w:rPr>
                <w:rFonts w:cs="Arial"/>
                <w:sz w:val="18"/>
                <w:szCs w:val="18"/>
              </w:rPr>
            </w:pPr>
            <w:r>
              <w:rPr>
                <w:rFonts w:cs="Arial"/>
                <w:sz w:val="18"/>
                <w:szCs w:val="18"/>
              </w:rPr>
              <w:t>(47,327)</w:t>
            </w:r>
          </w:p>
        </w:tc>
      </w:tr>
      <w:tr w:rsidR="00C32CBD" w14:paraId="012374EC" w14:textId="77777777" w:rsidTr="00320D09">
        <w:trPr>
          <w:trHeight w:val="240"/>
        </w:trPr>
        <w:tc>
          <w:tcPr>
            <w:tcW w:w="5110" w:type="dxa"/>
            <w:tcBorders>
              <w:top w:val="nil"/>
              <w:left w:val="nil"/>
              <w:bottom w:val="nil"/>
              <w:right w:val="nil"/>
            </w:tcBorders>
            <w:shd w:val="clear" w:color="FFFFFF" w:fill="FFFFFF"/>
            <w:noWrap/>
            <w:vAlign w:val="bottom"/>
            <w:hideMark/>
          </w:tcPr>
          <w:p w14:paraId="40721B44" w14:textId="77777777" w:rsidR="00C32CBD" w:rsidRDefault="00C32CBD" w:rsidP="00320D09">
            <w:pPr>
              <w:ind w:firstLineChars="100" w:firstLine="180"/>
              <w:rPr>
                <w:rFonts w:cs="Arial"/>
                <w:sz w:val="18"/>
                <w:szCs w:val="18"/>
              </w:rPr>
            </w:pPr>
            <w:r>
              <w:rPr>
                <w:rFonts w:cs="Arial"/>
                <w:sz w:val="18"/>
                <w:szCs w:val="18"/>
              </w:rPr>
              <w:t>Statutory receivables</w:t>
            </w:r>
          </w:p>
        </w:tc>
        <w:tc>
          <w:tcPr>
            <w:tcW w:w="1247" w:type="dxa"/>
            <w:tcBorders>
              <w:top w:val="nil"/>
              <w:left w:val="nil"/>
              <w:bottom w:val="nil"/>
              <w:right w:val="nil"/>
            </w:tcBorders>
            <w:shd w:val="clear" w:color="FFFFFF" w:fill="FFFFFF"/>
            <w:noWrap/>
            <w:vAlign w:val="bottom"/>
            <w:hideMark/>
          </w:tcPr>
          <w:p w14:paraId="748CD9EA" w14:textId="77777777" w:rsidR="00C32CBD" w:rsidRDefault="00C32CBD" w:rsidP="00320D09">
            <w:pPr>
              <w:jc w:val="center"/>
              <w:rPr>
                <w:rFonts w:cs="Arial"/>
                <w:sz w:val="18"/>
                <w:szCs w:val="18"/>
              </w:rPr>
            </w:pPr>
            <w:r>
              <w:rPr>
                <w:rFonts w:cs="Arial"/>
                <w:sz w:val="18"/>
                <w:szCs w:val="18"/>
              </w:rPr>
              <w:t> </w:t>
            </w:r>
          </w:p>
        </w:tc>
        <w:tc>
          <w:tcPr>
            <w:tcW w:w="1247" w:type="dxa"/>
            <w:tcBorders>
              <w:top w:val="nil"/>
              <w:left w:val="nil"/>
              <w:bottom w:val="nil"/>
              <w:right w:val="nil"/>
            </w:tcBorders>
            <w:shd w:val="clear" w:color="FFFFFF" w:fill="FFFFFF"/>
            <w:noWrap/>
            <w:vAlign w:val="bottom"/>
            <w:hideMark/>
          </w:tcPr>
          <w:p w14:paraId="5A90DA85" w14:textId="77777777" w:rsidR="00C32CBD" w:rsidRDefault="00C32CBD" w:rsidP="00320D09">
            <w:pPr>
              <w:jc w:val="right"/>
              <w:rPr>
                <w:rFonts w:cs="Arial"/>
                <w:b/>
                <w:bCs/>
                <w:sz w:val="18"/>
                <w:szCs w:val="18"/>
              </w:rPr>
            </w:pPr>
            <w:r>
              <w:rPr>
                <w:rFonts w:cs="Arial"/>
                <w:b/>
                <w:bCs/>
                <w:sz w:val="18"/>
                <w:szCs w:val="18"/>
              </w:rPr>
              <w:t>(5,056)</w:t>
            </w:r>
          </w:p>
        </w:tc>
        <w:tc>
          <w:tcPr>
            <w:tcW w:w="236" w:type="dxa"/>
            <w:tcBorders>
              <w:top w:val="nil"/>
              <w:left w:val="nil"/>
              <w:bottom w:val="nil"/>
              <w:right w:val="nil"/>
            </w:tcBorders>
            <w:shd w:val="clear" w:color="FFFFFF" w:fill="FFFFFF"/>
            <w:noWrap/>
            <w:vAlign w:val="bottom"/>
            <w:hideMark/>
          </w:tcPr>
          <w:p w14:paraId="021C0B8B" w14:textId="77777777" w:rsidR="00C32CBD" w:rsidRDefault="00C32CBD" w:rsidP="00320D09">
            <w:pPr>
              <w:rPr>
                <w:rFonts w:cs="Arial"/>
                <w:b/>
                <w:bCs/>
                <w:sz w:val="18"/>
                <w:szCs w:val="18"/>
              </w:rPr>
            </w:pPr>
            <w:r>
              <w:rPr>
                <w:rFonts w:cs="Arial"/>
                <w:b/>
                <w:bCs/>
                <w:sz w:val="18"/>
                <w:szCs w:val="18"/>
              </w:rPr>
              <w:t> </w:t>
            </w:r>
          </w:p>
        </w:tc>
        <w:tc>
          <w:tcPr>
            <w:tcW w:w="1247" w:type="dxa"/>
            <w:tcBorders>
              <w:top w:val="nil"/>
              <w:left w:val="nil"/>
              <w:bottom w:val="nil"/>
              <w:right w:val="nil"/>
            </w:tcBorders>
            <w:shd w:val="clear" w:color="FFFFFF" w:fill="FFFFFF"/>
            <w:noWrap/>
            <w:vAlign w:val="bottom"/>
            <w:hideMark/>
          </w:tcPr>
          <w:p w14:paraId="08F38434" w14:textId="77777777" w:rsidR="00C32CBD" w:rsidRDefault="00C32CBD" w:rsidP="00320D09">
            <w:pPr>
              <w:jc w:val="right"/>
              <w:rPr>
                <w:rFonts w:cs="Arial"/>
                <w:sz w:val="18"/>
                <w:szCs w:val="18"/>
              </w:rPr>
            </w:pPr>
            <w:r>
              <w:rPr>
                <w:rFonts w:cs="Arial"/>
                <w:sz w:val="18"/>
                <w:szCs w:val="18"/>
              </w:rPr>
              <w:t>(1,317)</w:t>
            </w:r>
          </w:p>
        </w:tc>
      </w:tr>
      <w:tr w:rsidR="00C32CBD" w14:paraId="336805A4" w14:textId="77777777" w:rsidTr="00320D09">
        <w:trPr>
          <w:trHeight w:val="240"/>
        </w:trPr>
        <w:tc>
          <w:tcPr>
            <w:tcW w:w="5110" w:type="dxa"/>
            <w:tcBorders>
              <w:top w:val="nil"/>
              <w:left w:val="nil"/>
              <w:bottom w:val="nil"/>
              <w:right w:val="nil"/>
            </w:tcBorders>
            <w:shd w:val="clear" w:color="FFFFFF" w:fill="FFFFFF"/>
            <w:noWrap/>
            <w:vAlign w:val="bottom"/>
            <w:hideMark/>
          </w:tcPr>
          <w:p w14:paraId="4849246B" w14:textId="77777777" w:rsidR="00C32CBD" w:rsidRDefault="00C32CBD" w:rsidP="00320D09">
            <w:pPr>
              <w:ind w:firstLineChars="100" w:firstLine="180"/>
              <w:rPr>
                <w:rFonts w:cs="Arial"/>
                <w:sz w:val="18"/>
                <w:szCs w:val="18"/>
              </w:rPr>
            </w:pPr>
            <w:r>
              <w:rPr>
                <w:rFonts w:cs="Arial"/>
                <w:sz w:val="18"/>
                <w:szCs w:val="18"/>
              </w:rPr>
              <w:t>Other receivables</w:t>
            </w:r>
          </w:p>
        </w:tc>
        <w:tc>
          <w:tcPr>
            <w:tcW w:w="1247" w:type="dxa"/>
            <w:tcBorders>
              <w:top w:val="nil"/>
              <w:left w:val="nil"/>
              <w:bottom w:val="nil"/>
              <w:right w:val="nil"/>
            </w:tcBorders>
            <w:shd w:val="clear" w:color="FFFFFF" w:fill="FFFFFF"/>
            <w:noWrap/>
            <w:vAlign w:val="bottom"/>
            <w:hideMark/>
          </w:tcPr>
          <w:p w14:paraId="3906EB47" w14:textId="77777777" w:rsidR="00C32CBD" w:rsidRDefault="00C32CBD" w:rsidP="00320D09">
            <w:pPr>
              <w:jc w:val="center"/>
              <w:rPr>
                <w:rFonts w:cs="Arial"/>
                <w:sz w:val="18"/>
                <w:szCs w:val="18"/>
              </w:rPr>
            </w:pPr>
            <w:r>
              <w:rPr>
                <w:rFonts w:cs="Arial"/>
                <w:sz w:val="18"/>
                <w:szCs w:val="18"/>
              </w:rPr>
              <w:t> </w:t>
            </w:r>
          </w:p>
        </w:tc>
        <w:tc>
          <w:tcPr>
            <w:tcW w:w="1247" w:type="dxa"/>
            <w:tcBorders>
              <w:top w:val="nil"/>
              <w:left w:val="nil"/>
              <w:bottom w:val="nil"/>
              <w:right w:val="nil"/>
            </w:tcBorders>
            <w:shd w:val="clear" w:color="FFFFFF" w:fill="FFFFFF"/>
            <w:noWrap/>
            <w:vAlign w:val="bottom"/>
            <w:hideMark/>
          </w:tcPr>
          <w:p w14:paraId="597CC900" w14:textId="77777777" w:rsidR="00C32CBD" w:rsidRDefault="00C32CBD" w:rsidP="00320D09">
            <w:pPr>
              <w:jc w:val="right"/>
              <w:rPr>
                <w:rFonts w:cs="Arial"/>
                <w:b/>
                <w:bCs/>
                <w:sz w:val="18"/>
                <w:szCs w:val="18"/>
              </w:rPr>
            </w:pPr>
            <w:r>
              <w:rPr>
                <w:rFonts w:cs="Arial"/>
                <w:b/>
                <w:bCs/>
                <w:sz w:val="18"/>
                <w:szCs w:val="18"/>
              </w:rPr>
              <w:t>(452)</w:t>
            </w:r>
          </w:p>
        </w:tc>
        <w:tc>
          <w:tcPr>
            <w:tcW w:w="236" w:type="dxa"/>
            <w:tcBorders>
              <w:top w:val="nil"/>
              <w:left w:val="nil"/>
              <w:bottom w:val="nil"/>
              <w:right w:val="nil"/>
            </w:tcBorders>
            <w:shd w:val="clear" w:color="FFFFFF" w:fill="FFFFFF"/>
            <w:noWrap/>
            <w:vAlign w:val="bottom"/>
            <w:hideMark/>
          </w:tcPr>
          <w:p w14:paraId="2337E669" w14:textId="77777777" w:rsidR="00C32CBD" w:rsidRDefault="00C32CBD" w:rsidP="00320D09">
            <w:pPr>
              <w:rPr>
                <w:rFonts w:cs="Arial"/>
                <w:b/>
                <w:bCs/>
                <w:sz w:val="18"/>
                <w:szCs w:val="18"/>
              </w:rPr>
            </w:pPr>
            <w:r>
              <w:rPr>
                <w:rFonts w:cs="Arial"/>
                <w:b/>
                <w:bCs/>
                <w:sz w:val="18"/>
                <w:szCs w:val="18"/>
              </w:rPr>
              <w:t> </w:t>
            </w:r>
          </w:p>
        </w:tc>
        <w:tc>
          <w:tcPr>
            <w:tcW w:w="1247" w:type="dxa"/>
            <w:tcBorders>
              <w:top w:val="nil"/>
              <w:left w:val="nil"/>
              <w:bottom w:val="nil"/>
              <w:right w:val="nil"/>
            </w:tcBorders>
            <w:shd w:val="clear" w:color="FFFFFF" w:fill="FFFFFF"/>
            <w:noWrap/>
            <w:vAlign w:val="bottom"/>
            <w:hideMark/>
          </w:tcPr>
          <w:p w14:paraId="328F02B7" w14:textId="77777777" w:rsidR="00C32CBD" w:rsidRDefault="00C32CBD" w:rsidP="00320D09">
            <w:pPr>
              <w:jc w:val="right"/>
              <w:rPr>
                <w:rFonts w:cs="Arial"/>
                <w:sz w:val="18"/>
                <w:szCs w:val="18"/>
              </w:rPr>
            </w:pPr>
            <w:r>
              <w:rPr>
                <w:rFonts w:cs="Arial"/>
                <w:sz w:val="18"/>
                <w:szCs w:val="18"/>
              </w:rPr>
              <w:t>(40)</w:t>
            </w:r>
          </w:p>
        </w:tc>
      </w:tr>
      <w:tr w:rsidR="00C32CBD" w14:paraId="5698FB38" w14:textId="77777777" w:rsidTr="00320D09">
        <w:trPr>
          <w:trHeight w:val="240"/>
        </w:trPr>
        <w:tc>
          <w:tcPr>
            <w:tcW w:w="5110" w:type="dxa"/>
            <w:tcBorders>
              <w:top w:val="nil"/>
              <w:left w:val="nil"/>
              <w:bottom w:val="nil"/>
              <w:right w:val="nil"/>
            </w:tcBorders>
            <w:shd w:val="clear" w:color="FFFFFF" w:fill="FFFFFF"/>
            <w:vAlign w:val="bottom"/>
            <w:hideMark/>
          </w:tcPr>
          <w:p w14:paraId="38AD3248" w14:textId="77777777" w:rsidR="00C32CBD" w:rsidRDefault="00C32CBD" w:rsidP="00320D09">
            <w:pPr>
              <w:ind w:firstLineChars="100" w:firstLine="180"/>
              <w:rPr>
                <w:rFonts w:cs="Arial"/>
                <w:sz w:val="18"/>
                <w:szCs w:val="18"/>
              </w:rPr>
            </w:pPr>
            <w:r>
              <w:rPr>
                <w:rFonts w:cs="Arial"/>
                <w:sz w:val="18"/>
                <w:szCs w:val="18"/>
              </w:rPr>
              <w:t>Receivables impairment allowance</w:t>
            </w:r>
          </w:p>
        </w:tc>
        <w:tc>
          <w:tcPr>
            <w:tcW w:w="1247" w:type="dxa"/>
            <w:tcBorders>
              <w:top w:val="nil"/>
              <w:left w:val="nil"/>
              <w:bottom w:val="nil"/>
              <w:right w:val="nil"/>
            </w:tcBorders>
            <w:shd w:val="clear" w:color="FFFFFF" w:fill="FFFFFF"/>
            <w:noWrap/>
            <w:vAlign w:val="bottom"/>
            <w:hideMark/>
          </w:tcPr>
          <w:p w14:paraId="676EB57E" w14:textId="77777777" w:rsidR="00C32CBD" w:rsidRDefault="00C32CBD" w:rsidP="00320D09">
            <w:pPr>
              <w:jc w:val="center"/>
              <w:rPr>
                <w:rFonts w:cs="Arial"/>
                <w:sz w:val="18"/>
                <w:szCs w:val="18"/>
              </w:rPr>
            </w:pPr>
            <w:r>
              <w:rPr>
                <w:rFonts w:cs="Arial"/>
                <w:sz w:val="18"/>
                <w:szCs w:val="18"/>
              </w:rPr>
              <w:t> </w:t>
            </w:r>
          </w:p>
        </w:tc>
        <w:tc>
          <w:tcPr>
            <w:tcW w:w="1247" w:type="dxa"/>
            <w:tcBorders>
              <w:top w:val="nil"/>
              <w:left w:val="nil"/>
              <w:bottom w:val="nil"/>
              <w:right w:val="nil"/>
            </w:tcBorders>
            <w:shd w:val="clear" w:color="FFFFFF" w:fill="FFFFFF"/>
            <w:noWrap/>
            <w:vAlign w:val="bottom"/>
            <w:hideMark/>
          </w:tcPr>
          <w:p w14:paraId="1D358B9A" w14:textId="77777777" w:rsidR="00C32CBD" w:rsidRDefault="00C32CBD" w:rsidP="00320D09">
            <w:pPr>
              <w:jc w:val="right"/>
              <w:rPr>
                <w:rFonts w:cs="Arial"/>
                <w:b/>
                <w:bCs/>
                <w:sz w:val="18"/>
                <w:szCs w:val="18"/>
              </w:rPr>
            </w:pPr>
            <w:r>
              <w:rPr>
                <w:rFonts w:cs="Arial"/>
                <w:b/>
                <w:bCs/>
                <w:sz w:val="18"/>
                <w:szCs w:val="18"/>
              </w:rPr>
              <w:t>879</w:t>
            </w:r>
          </w:p>
        </w:tc>
        <w:tc>
          <w:tcPr>
            <w:tcW w:w="236" w:type="dxa"/>
            <w:tcBorders>
              <w:top w:val="nil"/>
              <w:left w:val="nil"/>
              <w:bottom w:val="nil"/>
              <w:right w:val="nil"/>
            </w:tcBorders>
            <w:shd w:val="clear" w:color="FFFFFF" w:fill="FFFFFF"/>
            <w:noWrap/>
            <w:vAlign w:val="bottom"/>
            <w:hideMark/>
          </w:tcPr>
          <w:p w14:paraId="2A394AD8" w14:textId="77777777" w:rsidR="00C32CBD" w:rsidRDefault="00C32CBD" w:rsidP="00320D09">
            <w:pPr>
              <w:rPr>
                <w:rFonts w:cs="Arial"/>
                <w:b/>
                <w:bCs/>
                <w:sz w:val="18"/>
                <w:szCs w:val="18"/>
              </w:rPr>
            </w:pPr>
            <w:r>
              <w:rPr>
                <w:rFonts w:cs="Arial"/>
                <w:b/>
                <w:bCs/>
                <w:sz w:val="18"/>
                <w:szCs w:val="18"/>
              </w:rPr>
              <w:t> </w:t>
            </w:r>
          </w:p>
        </w:tc>
        <w:tc>
          <w:tcPr>
            <w:tcW w:w="1247" w:type="dxa"/>
            <w:tcBorders>
              <w:top w:val="nil"/>
              <w:left w:val="nil"/>
              <w:bottom w:val="nil"/>
              <w:right w:val="nil"/>
            </w:tcBorders>
            <w:shd w:val="clear" w:color="FFFFFF" w:fill="FFFFFF"/>
            <w:noWrap/>
            <w:vAlign w:val="bottom"/>
            <w:hideMark/>
          </w:tcPr>
          <w:p w14:paraId="72F90746" w14:textId="77777777" w:rsidR="00C32CBD" w:rsidRDefault="00C32CBD" w:rsidP="00320D09">
            <w:pPr>
              <w:jc w:val="right"/>
              <w:rPr>
                <w:rFonts w:cs="Arial"/>
                <w:sz w:val="18"/>
                <w:szCs w:val="18"/>
              </w:rPr>
            </w:pPr>
            <w:r>
              <w:rPr>
                <w:rFonts w:cs="Arial"/>
                <w:sz w:val="18"/>
                <w:szCs w:val="18"/>
              </w:rPr>
              <w:t>64,998</w:t>
            </w:r>
          </w:p>
        </w:tc>
      </w:tr>
      <w:tr w:rsidR="00C32CBD" w14:paraId="7C70246A" w14:textId="77777777" w:rsidTr="00320D09">
        <w:trPr>
          <w:trHeight w:val="240"/>
        </w:trPr>
        <w:tc>
          <w:tcPr>
            <w:tcW w:w="5110" w:type="dxa"/>
            <w:tcBorders>
              <w:top w:val="nil"/>
              <w:left w:val="nil"/>
              <w:bottom w:val="nil"/>
              <w:right w:val="nil"/>
            </w:tcBorders>
            <w:shd w:val="clear" w:color="FFFFFF" w:fill="FFFFFF"/>
            <w:vAlign w:val="bottom"/>
            <w:hideMark/>
          </w:tcPr>
          <w:p w14:paraId="45EA77AC" w14:textId="77777777" w:rsidR="00C32CBD" w:rsidRDefault="00C32CBD" w:rsidP="00320D09">
            <w:pPr>
              <w:rPr>
                <w:rFonts w:cs="Arial"/>
                <w:b/>
                <w:bCs/>
                <w:sz w:val="18"/>
                <w:szCs w:val="18"/>
              </w:rPr>
            </w:pPr>
            <w:r>
              <w:rPr>
                <w:rFonts w:cs="Arial"/>
                <w:b/>
                <w:bCs/>
                <w:sz w:val="18"/>
                <w:szCs w:val="18"/>
              </w:rPr>
              <w:t>Total non-financial instrument components</w:t>
            </w:r>
          </w:p>
        </w:tc>
        <w:tc>
          <w:tcPr>
            <w:tcW w:w="1247" w:type="dxa"/>
            <w:tcBorders>
              <w:top w:val="nil"/>
              <w:left w:val="nil"/>
              <w:bottom w:val="nil"/>
              <w:right w:val="nil"/>
            </w:tcBorders>
            <w:shd w:val="clear" w:color="FFFFFF" w:fill="FFFFFF"/>
            <w:noWrap/>
            <w:vAlign w:val="bottom"/>
            <w:hideMark/>
          </w:tcPr>
          <w:p w14:paraId="4EFDE3A4" w14:textId="77777777" w:rsidR="00C32CBD" w:rsidRDefault="00C32CBD" w:rsidP="00320D09">
            <w:pPr>
              <w:jc w:val="center"/>
              <w:rPr>
                <w:rFonts w:cs="Arial"/>
                <w:sz w:val="18"/>
                <w:szCs w:val="18"/>
              </w:rPr>
            </w:pPr>
            <w:r>
              <w:rPr>
                <w:rFonts w:cs="Arial"/>
                <w:sz w:val="18"/>
                <w:szCs w:val="18"/>
              </w:rPr>
              <w:t> </w:t>
            </w:r>
          </w:p>
        </w:tc>
        <w:tc>
          <w:tcPr>
            <w:tcW w:w="1247" w:type="dxa"/>
            <w:tcBorders>
              <w:top w:val="single" w:sz="4" w:space="0" w:color="auto"/>
              <w:left w:val="nil"/>
              <w:bottom w:val="single" w:sz="4" w:space="0" w:color="auto"/>
              <w:right w:val="nil"/>
            </w:tcBorders>
            <w:shd w:val="clear" w:color="FFFFFF" w:fill="FFFFFF"/>
            <w:noWrap/>
            <w:vAlign w:val="bottom"/>
            <w:hideMark/>
          </w:tcPr>
          <w:p w14:paraId="7D12E277" w14:textId="77777777" w:rsidR="00C32CBD" w:rsidRDefault="00C32CBD" w:rsidP="00320D09">
            <w:pPr>
              <w:jc w:val="right"/>
              <w:rPr>
                <w:rFonts w:cs="Arial"/>
                <w:b/>
                <w:bCs/>
                <w:sz w:val="18"/>
                <w:szCs w:val="18"/>
              </w:rPr>
            </w:pPr>
            <w:r>
              <w:rPr>
                <w:rFonts w:cs="Arial"/>
                <w:b/>
                <w:bCs/>
                <w:sz w:val="18"/>
                <w:szCs w:val="18"/>
              </w:rPr>
              <w:t>(199,570)</w:t>
            </w:r>
          </w:p>
        </w:tc>
        <w:tc>
          <w:tcPr>
            <w:tcW w:w="236" w:type="dxa"/>
            <w:tcBorders>
              <w:top w:val="nil"/>
              <w:left w:val="nil"/>
              <w:bottom w:val="nil"/>
              <w:right w:val="nil"/>
            </w:tcBorders>
            <w:shd w:val="clear" w:color="FFFFFF" w:fill="FFFFFF"/>
            <w:noWrap/>
            <w:vAlign w:val="bottom"/>
            <w:hideMark/>
          </w:tcPr>
          <w:p w14:paraId="5886F1E7" w14:textId="77777777" w:rsidR="00C32CBD" w:rsidRDefault="00C32CBD" w:rsidP="00320D09">
            <w:pPr>
              <w:rPr>
                <w:rFonts w:cs="Arial"/>
                <w:sz w:val="18"/>
                <w:szCs w:val="18"/>
              </w:rPr>
            </w:pPr>
            <w:r>
              <w:rPr>
                <w:rFonts w:cs="Arial"/>
                <w:sz w:val="18"/>
                <w:szCs w:val="18"/>
              </w:rPr>
              <w:t> </w:t>
            </w:r>
          </w:p>
        </w:tc>
        <w:tc>
          <w:tcPr>
            <w:tcW w:w="1247" w:type="dxa"/>
            <w:tcBorders>
              <w:top w:val="single" w:sz="4" w:space="0" w:color="auto"/>
              <w:left w:val="nil"/>
              <w:bottom w:val="single" w:sz="4" w:space="0" w:color="auto"/>
              <w:right w:val="nil"/>
            </w:tcBorders>
            <w:shd w:val="clear" w:color="FFFFFF" w:fill="FFFFFF"/>
            <w:noWrap/>
            <w:vAlign w:val="bottom"/>
            <w:hideMark/>
          </w:tcPr>
          <w:p w14:paraId="4BFB22BA" w14:textId="77777777" w:rsidR="00C32CBD" w:rsidRDefault="00C32CBD" w:rsidP="00320D09">
            <w:pPr>
              <w:jc w:val="right"/>
              <w:rPr>
                <w:rFonts w:cs="Arial"/>
                <w:sz w:val="18"/>
                <w:szCs w:val="18"/>
              </w:rPr>
            </w:pPr>
            <w:r>
              <w:rPr>
                <w:rFonts w:cs="Arial"/>
                <w:sz w:val="18"/>
                <w:szCs w:val="18"/>
              </w:rPr>
              <w:t>(19,469)</w:t>
            </w:r>
          </w:p>
        </w:tc>
      </w:tr>
      <w:tr w:rsidR="00C32CBD" w14:paraId="516AC822" w14:textId="77777777" w:rsidTr="00320D09">
        <w:trPr>
          <w:trHeight w:val="240"/>
        </w:trPr>
        <w:tc>
          <w:tcPr>
            <w:tcW w:w="5110" w:type="dxa"/>
            <w:tcBorders>
              <w:top w:val="nil"/>
              <w:left w:val="nil"/>
              <w:bottom w:val="nil"/>
              <w:right w:val="nil"/>
            </w:tcBorders>
            <w:shd w:val="clear" w:color="FFFFFF" w:fill="FFFFFF"/>
            <w:vAlign w:val="bottom"/>
            <w:hideMark/>
          </w:tcPr>
          <w:p w14:paraId="7531F775" w14:textId="77777777" w:rsidR="00C32CBD" w:rsidRDefault="00C32CBD" w:rsidP="00320D09">
            <w:pPr>
              <w:rPr>
                <w:rFonts w:cs="Arial"/>
                <w:b/>
                <w:bCs/>
                <w:sz w:val="18"/>
                <w:szCs w:val="18"/>
              </w:rPr>
            </w:pPr>
            <w:r>
              <w:rPr>
                <w:rFonts w:cs="Arial"/>
                <w:b/>
                <w:bCs/>
                <w:sz w:val="18"/>
                <w:szCs w:val="18"/>
              </w:rPr>
              <w:t>Total financial assets as per financial instruments</w:t>
            </w:r>
          </w:p>
        </w:tc>
        <w:tc>
          <w:tcPr>
            <w:tcW w:w="1247" w:type="dxa"/>
            <w:tcBorders>
              <w:top w:val="nil"/>
              <w:left w:val="nil"/>
              <w:bottom w:val="nil"/>
              <w:right w:val="nil"/>
            </w:tcBorders>
            <w:shd w:val="clear" w:color="FFFFFF" w:fill="FFFFFF"/>
            <w:noWrap/>
            <w:vAlign w:val="bottom"/>
            <w:hideMark/>
          </w:tcPr>
          <w:p w14:paraId="18EF3493" w14:textId="77777777" w:rsidR="00C32CBD" w:rsidRDefault="00C32CBD" w:rsidP="00320D09">
            <w:pPr>
              <w:jc w:val="center"/>
              <w:rPr>
                <w:rFonts w:cs="Arial"/>
                <w:sz w:val="18"/>
                <w:szCs w:val="18"/>
              </w:rPr>
            </w:pPr>
            <w:r>
              <w:rPr>
                <w:rFonts w:cs="Arial"/>
                <w:sz w:val="18"/>
                <w:szCs w:val="18"/>
              </w:rPr>
              <w:t>5.2A</w:t>
            </w:r>
          </w:p>
        </w:tc>
        <w:tc>
          <w:tcPr>
            <w:tcW w:w="1247" w:type="dxa"/>
            <w:tcBorders>
              <w:top w:val="nil"/>
              <w:left w:val="nil"/>
              <w:bottom w:val="single" w:sz="4" w:space="0" w:color="auto"/>
              <w:right w:val="nil"/>
            </w:tcBorders>
            <w:shd w:val="clear" w:color="FFFFFF" w:fill="FFFFFF"/>
            <w:noWrap/>
            <w:vAlign w:val="bottom"/>
            <w:hideMark/>
          </w:tcPr>
          <w:p w14:paraId="2BC0A2A0" w14:textId="77777777" w:rsidR="00C32CBD" w:rsidRDefault="00C32CBD" w:rsidP="00320D09">
            <w:pPr>
              <w:jc w:val="right"/>
              <w:rPr>
                <w:rFonts w:cs="Arial"/>
                <w:b/>
                <w:bCs/>
                <w:sz w:val="18"/>
                <w:szCs w:val="18"/>
              </w:rPr>
            </w:pPr>
            <w:r>
              <w:rPr>
                <w:rFonts w:cs="Arial"/>
                <w:b/>
                <w:bCs/>
                <w:sz w:val="18"/>
                <w:szCs w:val="18"/>
              </w:rPr>
              <w:t>1,333,579</w:t>
            </w:r>
          </w:p>
        </w:tc>
        <w:tc>
          <w:tcPr>
            <w:tcW w:w="236" w:type="dxa"/>
            <w:tcBorders>
              <w:top w:val="nil"/>
              <w:left w:val="nil"/>
              <w:bottom w:val="nil"/>
              <w:right w:val="nil"/>
            </w:tcBorders>
            <w:shd w:val="clear" w:color="FFFFFF" w:fill="FFFFFF"/>
            <w:noWrap/>
            <w:vAlign w:val="bottom"/>
            <w:hideMark/>
          </w:tcPr>
          <w:p w14:paraId="182BA8F2" w14:textId="77777777" w:rsidR="00C32CBD" w:rsidRDefault="00C32CBD" w:rsidP="00320D09">
            <w:pPr>
              <w:rPr>
                <w:rFonts w:cs="Arial"/>
                <w:sz w:val="18"/>
                <w:szCs w:val="18"/>
              </w:rPr>
            </w:pPr>
            <w:r>
              <w:rPr>
                <w:rFonts w:cs="Arial"/>
                <w:sz w:val="18"/>
                <w:szCs w:val="18"/>
              </w:rPr>
              <w:t> </w:t>
            </w:r>
          </w:p>
        </w:tc>
        <w:tc>
          <w:tcPr>
            <w:tcW w:w="1247" w:type="dxa"/>
            <w:tcBorders>
              <w:top w:val="nil"/>
              <w:left w:val="nil"/>
              <w:bottom w:val="single" w:sz="4" w:space="0" w:color="auto"/>
              <w:right w:val="nil"/>
            </w:tcBorders>
            <w:shd w:val="clear" w:color="FFFFFF" w:fill="FFFFFF"/>
            <w:noWrap/>
            <w:vAlign w:val="bottom"/>
            <w:hideMark/>
          </w:tcPr>
          <w:p w14:paraId="5DFD1711" w14:textId="77777777" w:rsidR="00C32CBD" w:rsidRDefault="00C32CBD" w:rsidP="00320D09">
            <w:pPr>
              <w:jc w:val="right"/>
              <w:rPr>
                <w:rFonts w:cs="Arial"/>
                <w:sz w:val="18"/>
                <w:szCs w:val="18"/>
              </w:rPr>
            </w:pPr>
            <w:r>
              <w:rPr>
                <w:rFonts w:cs="Arial"/>
                <w:sz w:val="18"/>
                <w:szCs w:val="18"/>
              </w:rPr>
              <w:t>341,039</w:t>
            </w:r>
          </w:p>
        </w:tc>
      </w:tr>
    </w:tbl>
    <w:p w14:paraId="088C9BD8" w14:textId="77777777" w:rsidR="00C32CBD" w:rsidRPr="009F204C" w:rsidRDefault="00C32CBD" w:rsidP="00C32CBD"/>
    <w:p w14:paraId="154358A1" w14:textId="77777777" w:rsidR="00C32CBD" w:rsidRPr="009F204C" w:rsidRDefault="00C32CBD" w:rsidP="00C32CBD"/>
    <w:p w14:paraId="53ABE3F1" w14:textId="77777777" w:rsidR="00C32CBD" w:rsidRPr="009F204C" w:rsidRDefault="00C32CBD" w:rsidP="00C32CBD"/>
    <w:p w14:paraId="04546B06" w14:textId="77777777" w:rsidR="00C32CBD" w:rsidRDefault="00C32CBD" w:rsidP="00C32CBD"/>
    <w:p w14:paraId="359A69D2" w14:textId="77777777" w:rsidR="00C32CBD" w:rsidRDefault="00C32CBD" w:rsidP="00C32CBD"/>
    <w:p w14:paraId="7FDA704E" w14:textId="77777777" w:rsidR="00C32CBD" w:rsidRDefault="00C32CBD" w:rsidP="00C32CBD"/>
    <w:p w14:paraId="7A136A6D" w14:textId="77777777" w:rsidR="00C32CBD" w:rsidRPr="009F204C" w:rsidRDefault="00C32CBD" w:rsidP="00C32CBD">
      <w:pPr>
        <w:sectPr w:rsidR="00C32CBD" w:rsidRPr="009F204C" w:rsidSect="00320D09">
          <w:pgSz w:w="11906" w:h="16838" w:code="9"/>
          <w:pgMar w:top="1134" w:right="1701" w:bottom="1134" w:left="1134" w:header="958" w:footer="737" w:gutter="0"/>
          <w:cols w:space="708"/>
          <w:docGrid w:linePitch="360"/>
        </w:sectPr>
      </w:pPr>
    </w:p>
    <w:p w14:paraId="55E6CECF" w14:textId="77777777" w:rsidR="00C32CBD" w:rsidRPr="00F40720" w:rsidRDefault="00C32CBD" w:rsidP="00C32CBD">
      <w:pPr>
        <w:pStyle w:val="SubHeading"/>
      </w:pPr>
      <w:bookmarkStart w:id="295" w:name="_Toc447030551"/>
      <w:bookmarkStart w:id="296" w:name="_Toc447030703"/>
      <w:bookmarkStart w:id="297" w:name="_Toc447030796"/>
      <w:bookmarkStart w:id="298" w:name="_Toc456865075"/>
      <w:bookmarkStart w:id="299" w:name="_Toc496611917"/>
      <w:r w:rsidRPr="00F40720">
        <w:t>Fair Value Measurement</w:t>
      </w:r>
      <w:bookmarkEnd w:id="287"/>
      <w:bookmarkEnd w:id="288"/>
      <w:bookmarkEnd w:id="289"/>
      <w:bookmarkEnd w:id="295"/>
      <w:bookmarkEnd w:id="296"/>
      <w:bookmarkEnd w:id="297"/>
      <w:bookmarkEnd w:id="298"/>
      <w:bookmarkEnd w:id="299"/>
    </w:p>
    <w:tbl>
      <w:tblPr>
        <w:tblW w:w="13991" w:type="dxa"/>
        <w:tblInd w:w="80" w:type="dxa"/>
        <w:tblLayout w:type="fixed"/>
        <w:tblLook w:val="04A0" w:firstRow="1" w:lastRow="0" w:firstColumn="1" w:lastColumn="0" w:noHBand="0" w:noVBand="1"/>
      </w:tblPr>
      <w:tblGrid>
        <w:gridCol w:w="4324"/>
        <w:gridCol w:w="1296"/>
        <w:gridCol w:w="1293"/>
        <w:gridCol w:w="1907"/>
        <w:gridCol w:w="2637"/>
        <w:gridCol w:w="2534"/>
      </w:tblGrid>
      <w:tr w:rsidR="00C32CBD" w14:paraId="075A92D3" w14:textId="77777777" w:rsidTr="00320D09">
        <w:trPr>
          <w:trHeight w:val="1703"/>
        </w:trPr>
        <w:tc>
          <w:tcPr>
            <w:tcW w:w="11120" w:type="dxa"/>
            <w:gridSpan w:val="6"/>
            <w:tcBorders>
              <w:top w:val="nil"/>
              <w:left w:val="nil"/>
              <w:bottom w:val="nil"/>
              <w:right w:val="nil"/>
            </w:tcBorders>
            <w:shd w:val="clear" w:color="FFFFFF" w:fill="FFFFFF"/>
            <w:vAlign w:val="bottom"/>
            <w:hideMark/>
          </w:tcPr>
          <w:p w14:paraId="1298B4BE" w14:textId="77777777" w:rsidR="00C32CBD" w:rsidRDefault="00C32CBD" w:rsidP="00320D09">
            <w:pPr>
              <w:rPr>
                <w:rFonts w:cs="Arial"/>
                <w:sz w:val="18"/>
                <w:szCs w:val="18"/>
              </w:rPr>
            </w:pPr>
            <w:bookmarkStart w:id="300" w:name="Note_FIMTABLE1" w:colFirst="0" w:colLast="0"/>
            <w:r>
              <w:rPr>
                <w:rFonts w:cs="Arial"/>
                <w:sz w:val="18"/>
                <w:szCs w:val="18"/>
              </w:rPr>
              <w:t>The following tables provide an analysis of assets and liabilities that are measured at fair value.</w:t>
            </w:r>
            <w:r>
              <w:rPr>
                <w:rFonts w:cs="Arial"/>
                <w:sz w:val="18"/>
                <w:szCs w:val="18"/>
              </w:rPr>
              <w:br/>
            </w:r>
            <w:r>
              <w:rPr>
                <w:rFonts w:cs="Arial"/>
                <w:sz w:val="18"/>
                <w:szCs w:val="18"/>
              </w:rPr>
              <w:br/>
              <w:t>The fair value hierarchy has the following levels:</w:t>
            </w:r>
            <w:r>
              <w:rPr>
                <w:rFonts w:cs="Arial"/>
                <w:sz w:val="18"/>
                <w:szCs w:val="18"/>
              </w:rPr>
              <w:br/>
              <w:t>Level 1:  Quoted prices (unadjusted) in active markets for identical assets or liabilities that the entity can access at measurement date;</w:t>
            </w:r>
            <w:r>
              <w:rPr>
                <w:rFonts w:cs="Arial"/>
                <w:sz w:val="18"/>
                <w:szCs w:val="18"/>
              </w:rPr>
              <w:br/>
              <w:t xml:space="preserve">Level 2:  Inputs other than quoted prices included within Level 1 that are observable for the asset or liability,          </w:t>
            </w:r>
            <w:r>
              <w:rPr>
                <w:rFonts w:cs="Arial"/>
                <w:sz w:val="18"/>
                <w:szCs w:val="18"/>
              </w:rPr>
              <w:br/>
              <w:t xml:space="preserve">               either directly (i.e. as prices) or indirectly (i.e. derived from prices); and</w:t>
            </w:r>
            <w:r>
              <w:rPr>
                <w:rFonts w:cs="Arial"/>
                <w:sz w:val="18"/>
                <w:szCs w:val="18"/>
              </w:rPr>
              <w:br/>
              <w:t>Level 3:  Inputs for the asset or liability that are not based on observable market data (unobservable inputs).</w:t>
            </w:r>
          </w:p>
        </w:tc>
      </w:tr>
      <w:bookmarkEnd w:id="300"/>
      <w:tr w:rsidR="00C32CBD" w14:paraId="3DDB7886" w14:textId="77777777" w:rsidTr="00320D09">
        <w:trPr>
          <w:trHeight w:val="255"/>
        </w:trPr>
        <w:tc>
          <w:tcPr>
            <w:tcW w:w="3436" w:type="dxa"/>
            <w:tcBorders>
              <w:top w:val="nil"/>
              <w:left w:val="nil"/>
              <w:bottom w:val="nil"/>
              <w:right w:val="nil"/>
            </w:tcBorders>
            <w:shd w:val="clear" w:color="FFFFFF" w:fill="FFFFFF"/>
            <w:noWrap/>
            <w:vAlign w:val="bottom"/>
            <w:hideMark/>
          </w:tcPr>
          <w:p w14:paraId="38BF6C2A" w14:textId="77777777" w:rsidR="00C32CBD" w:rsidRDefault="00C32CBD" w:rsidP="00320D09">
            <w:pPr>
              <w:rPr>
                <w:rFonts w:cs="Arial"/>
                <w:sz w:val="18"/>
                <w:szCs w:val="18"/>
              </w:rPr>
            </w:pPr>
            <w:r>
              <w:rPr>
                <w:rFonts w:cs="Arial"/>
                <w:sz w:val="18"/>
                <w:szCs w:val="18"/>
              </w:rPr>
              <w:t> </w:t>
            </w:r>
          </w:p>
        </w:tc>
        <w:tc>
          <w:tcPr>
            <w:tcW w:w="1030" w:type="dxa"/>
            <w:tcBorders>
              <w:top w:val="nil"/>
              <w:left w:val="nil"/>
              <w:bottom w:val="nil"/>
              <w:right w:val="nil"/>
            </w:tcBorders>
            <w:shd w:val="clear" w:color="FFFFFF" w:fill="FFFFFF"/>
            <w:vAlign w:val="bottom"/>
            <w:hideMark/>
          </w:tcPr>
          <w:p w14:paraId="22A553FD" w14:textId="77777777" w:rsidR="00C32CBD" w:rsidRDefault="00C32CBD" w:rsidP="00320D09">
            <w:pPr>
              <w:jc w:val="right"/>
              <w:rPr>
                <w:rFonts w:cs="Arial"/>
                <w:b/>
                <w:bCs/>
                <w:sz w:val="18"/>
                <w:szCs w:val="18"/>
              </w:rPr>
            </w:pPr>
            <w:r>
              <w:rPr>
                <w:rFonts w:cs="Arial"/>
                <w:b/>
                <w:bCs/>
                <w:sz w:val="18"/>
                <w:szCs w:val="18"/>
              </w:rPr>
              <w:t> </w:t>
            </w:r>
          </w:p>
        </w:tc>
        <w:tc>
          <w:tcPr>
            <w:tcW w:w="1028" w:type="dxa"/>
            <w:tcBorders>
              <w:top w:val="nil"/>
              <w:left w:val="nil"/>
              <w:bottom w:val="nil"/>
              <w:right w:val="nil"/>
            </w:tcBorders>
            <w:shd w:val="clear" w:color="FFFFFF" w:fill="FFFFFF"/>
            <w:vAlign w:val="bottom"/>
            <w:hideMark/>
          </w:tcPr>
          <w:p w14:paraId="3B93C463" w14:textId="77777777" w:rsidR="00C32CBD" w:rsidRDefault="00C32CBD" w:rsidP="00320D09">
            <w:pPr>
              <w:jc w:val="right"/>
              <w:rPr>
                <w:rFonts w:cs="Arial"/>
                <w:b/>
                <w:bCs/>
                <w:sz w:val="18"/>
                <w:szCs w:val="18"/>
              </w:rPr>
            </w:pPr>
            <w:r>
              <w:rPr>
                <w:rFonts w:cs="Arial"/>
                <w:b/>
                <w:bCs/>
                <w:sz w:val="18"/>
                <w:szCs w:val="18"/>
              </w:rPr>
              <w:t> </w:t>
            </w:r>
          </w:p>
        </w:tc>
        <w:tc>
          <w:tcPr>
            <w:tcW w:w="1516" w:type="dxa"/>
            <w:tcBorders>
              <w:top w:val="nil"/>
              <w:left w:val="nil"/>
              <w:bottom w:val="nil"/>
              <w:right w:val="nil"/>
            </w:tcBorders>
            <w:shd w:val="clear" w:color="FFFFFF" w:fill="FFFFFF"/>
            <w:noWrap/>
            <w:vAlign w:val="bottom"/>
            <w:hideMark/>
          </w:tcPr>
          <w:p w14:paraId="2EE1DBA3" w14:textId="77777777" w:rsidR="00C32CBD" w:rsidRDefault="00C32CBD" w:rsidP="00320D09">
            <w:pPr>
              <w:rPr>
                <w:rFonts w:cs="Arial"/>
                <w:sz w:val="18"/>
                <w:szCs w:val="18"/>
              </w:rPr>
            </w:pPr>
            <w:r>
              <w:rPr>
                <w:rFonts w:cs="Arial"/>
                <w:sz w:val="18"/>
                <w:szCs w:val="18"/>
              </w:rPr>
              <w:t> </w:t>
            </w:r>
          </w:p>
        </w:tc>
        <w:tc>
          <w:tcPr>
            <w:tcW w:w="2096" w:type="dxa"/>
            <w:tcBorders>
              <w:top w:val="nil"/>
              <w:left w:val="nil"/>
              <w:bottom w:val="nil"/>
              <w:right w:val="nil"/>
            </w:tcBorders>
            <w:shd w:val="clear" w:color="FFFFFF" w:fill="FFFFFF"/>
            <w:noWrap/>
            <w:vAlign w:val="bottom"/>
            <w:hideMark/>
          </w:tcPr>
          <w:p w14:paraId="29B3D59B" w14:textId="77777777" w:rsidR="00C32CBD" w:rsidRDefault="00C32CBD" w:rsidP="00320D09">
            <w:pPr>
              <w:rPr>
                <w:rFonts w:cs="Arial"/>
                <w:sz w:val="18"/>
                <w:szCs w:val="18"/>
              </w:rPr>
            </w:pPr>
            <w:r>
              <w:rPr>
                <w:rFonts w:cs="Arial"/>
                <w:sz w:val="18"/>
                <w:szCs w:val="18"/>
              </w:rPr>
              <w:t> </w:t>
            </w:r>
          </w:p>
        </w:tc>
        <w:tc>
          <w:tcPr>
            <w:tcW w:w="2014" w:type="dxa"/>
            <w:tcBorders>
              <w:top w:val="nil"/>
              <w:left w:val="nil"/>
              <w:bottom w:val="nil"/>
              <w:right w:val="nil"/>
            </w:tcBorders>
            <w:shd w:val="clear" w:color="FFFFFF" w:fill="FFFFFF"/>
            <w:vAlign w:val="bottom"/>
            <w:hideMark/>
          </w:tcPr>
          <w:p w14:paraId="73166988" w14:textId="77777777" w:rsidR="00C32CBD" w:rsidRDefault="00C32CBD" w:rsidP="00320D09">
            <w:pPr>
              <w:jc w:val="right"/>
              <w:rPr>
                <w:rFonts w:cs="Arial"/>
                <w:sz w:val="18"/>
                <w:szCs w:val="18"/>
              </w:rPr>
            </w:pPr>
            <w:r>
              <w:rPr>
                <w:rFonts w:cs="Arial"/>
                <w:sz w:val="18"/>
                <w:szCs w:val="18"/>
              </w:rPr>
              <w:t> </w:t>
            </w:r>
          </w:p>
        </w:tc>
      </w:tr>
      <w:tr w:rsidR="00C32CBD" w14:paraId="784385C8" w14:textId="77777777" w:rsidTr="00320D09">
        <w:trPr>
          <w:trHeight w:val="255"/>
        </w:trPr>
        <w:tc>
          <w:tcPr>
            <w:tcW w:w="11120" w:type="dxa"/>
            <w:gridSpan w:val="6"/>
            <w:tcBorders>
              <w:top w:val="nil"/>
              <w:left w:val="nil"/>
              <w:bottom w:val="nil"/>
              <w:right w:val="nil"/>
            </w:tcBorders>
            <w:shd w:val="clear" w:color="FFFFFF" w:fill="FFFFFF"/>
            <w:noWrap/>
            <w:vAlign w:val="bottom"/>
            <w:hideMark/>
          </w:tcPr>
          <w:p w14:paraId="27AB78BC" w14:textId="77777777" w:rsidR="00C32CBD" w:rsidRDefault="00C32CBD" w:rsidP="00320D09">
            <w:pPr>
              <w:rPr>
                <w:rFonts w:cs="Arial"/>
                <w:b/>
                <w:bCs/>
                <w:sz w:val="18"/>
                <w:szCs w:val="18"/>
              </w:rPr>
            </w:pPr>
            <w:r>
              <w:rPr>
                <w:rFonts w:cs="Arial"/>
                <w:b/>
                <w:bCs/>
                <w:sz w:val="18"/>
                <w:szCs w:val="18"/>
              </w:rPr>
              <w:t>Note 5.3A: Fair value measurements for recurring fair value measurement assets</w:t>
            </w:r>
          </w:p>
        </w:tc>
      </w:tr>
      <w:tr w:rsidR="00C32CBD" w14:paraId="3F48AE2D" w14:textId="77777777" w:rsidTr="00320D09">
        <w:trPr>
          <w:trHeight w:val="255"/>
        </w:trPr>
        <w:tc>
          <w:tcPr>
            <w:tcW w:w="3436" w:type="dxa"/>
            <w:tcBorders>
              <w:top w:val="nil"/>
              <w:left w:val="nil"/>
              <w:bottom w:val="nil"/>
              <w:right w:val="nil"/>
            </w:tcBorders>
            <w:shd w:val="clear" w:color="FFFFFF" w:fill="FFFFFF"/>
            <w:noWrap/>
            <w:vAlign w:val="bottom"/>
            <w:hideMark/>
          </w:tcPr>
          <w:p w14:paraId="5170406B" w14:textId="77777777" w:rsidR="00C32CBD" w:rsidRDefault="00C32CBD" w:rsidP="00320D09">
            <w:pPr>
              <w:rPr>
                <w:rFonts w:cs="Arial"/>
                <w:b/>
                <w:bCs/>
                <w:sz w:val="18"/>
                <w:szCs w:val="18"/>
              </w:rPr>
            </w:pPr>
            <w:r>
              <w:rPr>
                <w:rFonts w:cs="Arial"/>
                <w:b/>
                <w:bCs/>
                <w:sz w:val="18"/>
                <w:szCs w:val="18"/>
              </w:rPr>
              <w:t> </w:t>
            </w:r>
          </w:p>
        </w:tc>
        <w:tc>
          <w:tcPr>
            <w:tcW w:w="1030" w:type="dxa"/>
            <w:tcBorders>
              <w:top w:val="nil"/>
              <w:left w:val="nil"/>
              <w:bottom w:val="nil"/>
              <w:right w:val="nil"/>
            </w:tcBorders>
            <w:shd w:val="clear" w:color="FFFFFF" w:fill="FFFFFF"/>
            <w:noWrap/>
            <w:vAlign w:val="bottom"/>
            <w:hideMark/>
          </w:tcPr>
          <w:p w14:paraId="5A641EF6" w14:textId="77777777" w:rsidR="00C32CBD" w:rsidRDefault="00C32CBD" w:rsidP="00320D09">
            <w:pPr>
              <w:rPr>
                <w:rFonts w:cs="Arial"/>
                <w:b/>
                <w:bCs/>
                <w:sz w:val="18"/>
                <w:szCs w:val="18"/>
              </w:rPr>
            </w:pPr>
            <w:r>
              <w:rPr>
                <w:rFonts w:cs="Arial"/>
                <w:b/>
                <w:bCs/>
                <w:sz w:val="18"/>
                <w:szCs w:val="18"/>
              </w:rPr>
              <w:t> </w:t>
            </w:r>
          </w:p>
        </w:tc>
        <w:tc>
          <w:tcPr>
            <w:tcW w:w="1028" w:type="dxa"/>
            <w:tcBorders>
              <w:top w:val="nil"/>
              <w:left w:val="nil"/>
              <w:bottom w:val="nil"/>
              <w:right w:val="nil"/>
            </w:tcBorders>
            <w:shd w:val="clear" w:color="FFFFFF" w:fill="FFFFFF"/>
            <w:noWrap/>
            <w:vAlign w:val="bottom"/>
            <w:hideMark/>
          </w:tcPr>
          <w:p w14:paraId="4E04B841" w14:textId="77777777" w:rsidR="00C32CBD" w:rsidRDefault="00C32CBD" w:rsidP="00320D09">
            <w:pPr>
              <w:rPr>
                <w:rFonts w:cs="Arial"/>
                <w:b/>
                <w:bCs/>
                <w:sz w:val="18"/>
                <w:szCs w:val="18"/>
              </w:rPr>
            </w:pPr>
            <w:r>
              <w:rPr>
                <w:rFonts w:cs="Arial"/>
                <w:b/>
                <w:bCs/>
                <w:sz w:val="18"/>
                <w:szCs w:val="18"/>
              </w:rPr>
              <w:t> </w:t>
            </w:r>
          </w:p>
        </w:tc>
        <w:tc>
          <w:tcPr>
            <w:tcW w:w="1516" w:type="dxa"/>
            <w:tcBorders>
              <w:top w:val="nil"/>
              <w:left w:val="nil"/>
              <w:bottom w:val="nil"/>
              <w:right w:val="nil"/>
            </w:tcBorders>
            <w:shd w:val="clear" w:color="FFFFFF" w:fill="FFFFFF"/>
            <w:noWrap/>
            <w:vAlign w:val="bottom"/>
            <w:hideMark/>
          </w:tcPr>
          <w:p w14:paraId="261D7D3E" w14:textId="77777777" w:rsidR="00C32CBD" w:rsidRDefault="00C32CBD" w:rsidP="00320D09">
            <w:pPr>
              <w:rPr>
                <w:rFonts w:cs="Arial"/>
                <w:b/>
                <w:bCs/>
                <w:sz w:val="18"/>
                <w:szCs w:val="18"/>
              </w:rPr>
            </w:pPr>
            <w:r>
              <w:rPr>
                <w:rFonts w:cs="Arial"/>
                <w:b/>
                <w:bCs/>
                <w:sz w:val="18"/>
                <w:szCs w:val="18"/>
              </w:rPr>
              <w:t> </w:t>
            </w:r>
          </w:p>
        </w:tc>
        <w:tc>
          <w:tcPr>
            <w:tcW w:w="2096" w:type="dxa"/>
            <w:tcBorders>
              <w:top w:val="nil"/>
              <w:left w:val="nil"/>
              <w:bottom w:val="nil"/>
              <w:right w:val="nil"/>
            </w:tcBorders>
            <w:shd w:val="clear" w:color="FFFFFF" w:fill="FFFFFF"/>
            <w:noWrap/>
            <w:vAlign w:val="bottom"/>
            <w:hideMark/>
          </w:tcPr>
          <w:p w14:paraId="545A6F04" w14:textId="77777777" w:rsidR="00C32CBD" w:rsidRDefault="00C32CBD" w:rsidP="00320D09">
            <w:pPr>
              <w:rPr>
                <w:rFonts w:cs="Arial"/>
                <w:b/>
                <w:bCs/>
                <w:sz w:val="18"/>
                <w:szCs w:val="18"/>
              </w:rPr>
            </w:pPr>
            <w:r>
              <w:rPr>
                <w:rFonts w:cs="Arial"/>
                <w:b/>
                <w:bCs/>
                <w:sz w:val="18"/>
                <w:szCs w:val="18"/>
              </w:rPr>
              <w:t> </w:t>
            </w:r>
          </w:p>
        </w:tc>
        <w:tc>
          <w:tcPr>
            <w:tcW w:w="2014" w:type="dxa"/>
            <w:tcBorders>
              <w:top w:val="nil"/>
              <w:left w:val="nil"/>
              <w:bottom w:val="nil"/>
              <w:right w:val="nil"/>
            </w:tcBorders>
            <w:shd w:val="clear" w:color="FFFFFF" w:fill="FFFFFF"/>
            <w:noWrap/>
            <w:vAlign w:val="bottom"/>
            <w:hideMark/>
          </w:tcPr>
          <w:p w14:paraId="2C61CED6" w14:textId="77777777" w:rsidR="00C32CBD" w:rsidRDefault="00C32CBD" w:rsidP="00320D09">
            <w:pPr>
              <w:rPr>
                <w:rFonts w:cs="Arial"/>
                <w:b/>
                <w:bCs/>
                <w:sz w:val="18"/>
                <w:szCs w:val="18"/>
              </w:rPr>
            </w:pPr>
            <w:r>
              <w:rPr>
                <w:rFonts w:cs="Arial"/>
                <w:b/>
                <w:bCs/>
                <w:sz w:val="18"/>
                <w:szCs w:val="18"/>
              </w:rPr>
              <w:t> </w:t>
            </w:r>
          </w:p>
        </w:tc>
      </w:tr>
      <w:tr w:rsidR="00C32CBD" w14:paraId="02CD6A2F" w14:textId="77777777" w:rsidTr="00320D09">
        <w:trPr>
          <w:trHeight w:val="338"/>
        </w:trPr>
        <w:tc>
          <w:tcPr>
            <w:tcW w:w="11120" w:type="dxa"/>
            <w:gridSpan w:val="6"/>
            <w:tcBorders>
              <w:top w:val="nil"/>
              <w:left w:val="nil"/>
              <w:bottom w:val="single" w:sz="4" w:space="0" w:color="auto"/>
              <w:right w:val="nil"/>
            </w:tcBorders>
            <w:shd w:val="clear" w:color="auto" w:fill="auto"/>
            <w:noWrap/>
            <w:vAlign w:val="bottom"/>
            <w:hideMark/>
          </w:tcPr>
          <w:p w14:paraId="624EC44B" w14:textId="77777777" w:rsidR="00C32CBD" w:rsidRDefault="00C32CBD" w:rsidP="00320D09">
            <w:pPr>
              <w:rPr>
                <w:rFonts w:cs="Arial"/>
                <w:b/>
                <w:bCs/>
                <w:sz w:val="18"/>
                <w:szCs w:val="18"/>
              </w:rPr>
            </w:pPr>
            <w:r>
              <w:rPr>
                <w:rFonts w:cs="Arial"/>
                <w:b/>
                <w:bCs/>
                <w:sz w:val="18"/>
                <w:szCs w:val="18"/>
              </w:rPr>
              <w:t>Level 2 and Level 3 fair value measurements - valuation technique and the inputs used for assets and liabilities 2016</w:t>
            </w:r>
          </w:p>
        </w:tc>
      </w:tr>
      <w:tr w:rsidR="00C32CBD" w14:paraId="43141017" w14:textId="77777777" w:rsidTr="00320D09">
        <w:trPr>
          <w:trHeight w:val="525"/>
        </w:trPr>
        <w:tc>
          <w:tcPr>
            <w:tcW w:w="3436" w:type="dxa"/>
            <w:tcBorders>
              <w:top w:val="nil"/>
              <w:left w:val="nil"/>
              <w:bottom w:val="nil"/>
              <w:right w:val="nil"/>
            </w:tcBorders>
            <w:shd w:val="clear" w:color="FFFFFF" w:fill="FFFFFF"/>
            <w:noWrap/>
            <w:vAlign w:val="bottom"/>
            <w:hideMark/>
          </w:tcPr>
          <w:p w14:paraId="1D6F46FF" w14:textId="77777777" w:rsidR="00C32CBD" w:rsidRDefault="00C32CBD" w:rsidP="00320D09">
            <w:pPr>
              <w:rPr>
                <w:rFonts w:cs="Arial"/>
                <w:sz w:val="18"/>
                <w:szCs w:val="18"/>
              </w:rPr>
            </w:pPr>
            <w:r>
              <w:rPr>
                <w:rFonts w:cs="Arial"/>
                <w:sz w:val="18"/>
                <w:szCs w:val="18"/>
              </w:rPr>
              <w:t> </w:t>
            </w:r>
          </w:p>
        </w:tc>
        <w:tc>
          <w:tcPr>
            <w:tcW w:w="3574" w:type="dxa"/>
            <w:gridSpan w:val="3"/>
            <w:tcBorders>
              <w:top w:val="single" w:sz="4" w:space="0" w:color="auto"/>
              <w:left w:val="nil"/>
              <w:bottom w:val="single" w:sz="4" w:space="0" w:color="auto"/>
              <w:right w:val="single" w:sz="4" w:space="0" w:color="000000"/>
            </w:tcBorders>
            <w:shd w:val="clear" w:color="FFFFFF" w:fill="FFFFFF"/>
            <w:vAlign w:val="bottom"/>
            <w:hideMark/>
          </w:tcPr>
          <w:p w14:paraId="510367C6" w14:textId="77777777" w:rsidR="00C32CBD" w:rsidRDefault="00C32CBD" w:rsidP="00320D09">
            <w:pPr>
              <w:jc w:val="center"/>
              <w:rPr>
                <w:rFonts w:cs="Arial"/>
                <w:b/>
                <w:bCs/>
                <w:sz w:val="18"/>
                <w:szCs w:val="18"/>
              </w:rPr>
            </w:pPr>
            <w:r>
              <w:rPr>
                <w:rFonts w:cs="Arial"/>
                <w:b/>
                <w:bCs/>
                <w:sz w:val="18"/>
                <w:szCs w:val="18"/>
              </w:rPr>
              <w:t>Fair value measurements at the end of the reporting period</w:t>
            </w:r>
          </w:p>
        </w:tc>
        <w:tc>
          <w:tcPr>
            <w:tcW w:w="4110" w:type="dxa"/>
            <w:gridSpan w:val="2"/>
            <w:tcBorders>
              <w:top w:val="single" w:sz="4" w:space="0" w:color="auto"/>
              <w:left w:val="nil"/>
              <w:bottom w:val="single" w:sz="4" w:space="0" w:color="auto"/>
              <w:right w:val="nil"/>
            </w:tcBorders>
            <w:shd w:val="clear" w:color="FFFFFF" w:fill="FFFFFF"/>
            <w:noWrap/>
            <w:vAlign w:val="center"/>
            <w:hideMark/>
          </w:tcPr>
          <w:p w14:paraId="0AB0FE2F" w14:textId="77777777" w:rsidR="00C32CBD" w:rsidRDefault="00C32CBD" w:rsidP="00320D09">
            <w:pPr>
              <w:jc w:val="center"/>
              <w:rPr>
                <w:rFonts w:cs="Arial"/>
                <w:b/>
                <w:bCs/>
                <w:sz w:val="18"/>
                <w:szCs w:val="18"/>
              </w:rPr>
            </w:pPr>
            <w:r>
              <w:rPr>
                <w:rFonts w:cs="Arial"/>
                <w:b/>
                <w:bCs/>
                <w:sz w:val="18"/>
                <w:szCs w:val="18"/>
              </w:rPr>
              <w:t>For level 2 and 3 fair value measurements</w:t>
            </w:r>
          </w:p>
        </w:tc>
      </w:tr>
      <w:tr w:rsidR="00C32CBD" w14:paraId="118DCD5F" w14:textId="77777777" w:rsidTr="00320D09">
        <w:trPr>
          <w:trHeight w:val="300"/>
        </w:trPr>
        <w:tc>
          <w:tcPr>
            <w:tcW w:w="3436" w:type="dxa"/>
            <w:tcBorders>
              <w:top w:val="nil"/>
              <w:left w:val="nil"/>
              <w:bottom w:val="nil"/>
              <w:right w:val="nil"/>
            </w:tcBorders>
            <w:shd w:val="clear" w:color="FFFFFF" w:fill="FFFFFF"/>
            <w:noWrap/>
            <w:vAlign w:val="bottom"/>
            <w:hideMark/>
          </w:tcPr>
          <w:p w14:paraId="73BA12FA" w14:textId="77777777" w:rsidR="00C32CBD" w:rsidRDefault="00C32CBD" w:rsidP="00320D09">
            <w:pPr>
              <w:rPr>
                <w:rFonts w:cs="Arial"/>
                <w:sz w:val="18"/>
                <w:szCs w:val="18"/>
              </w:rPr>
            </w:pPr>
            <w:r>
              <w:rPr>
                <w:rFonts w:cs="Arial"/>
                <w:sz w:val="18"/>
                <w:szCs w:val="18"/>
              </w:rPr>
              <w:t> </w:t>
            </w:r>
          </w:p>
        </w:tc>
        <w:tc>
          <w:tcPr>
            <w:tcW w:w="1030" w:type="dxa"/>
            <w:tcBorders>
              <w:top w:val="nil"/>
              <w:left w:val="nil"/>
              <w:bottom w:val="nil"/>
              <w:right w:val="nil"/>
            </w:tcBorders>
            <w:shd w:val="clear" w:color="FFFFFF" w:fill="FFFFFF"/>
            <w:vAlign w:val="bottom"/>
            <w:hideMark/>
          </w:tcPr>
          <w:p w14:paraId="4476EBBE" w14:textId="77777777" w:rsidR="00C32CBD" w:rsidRDefault="00C32CBD" w:rsidP="00320D09">
            <w:pPr>
              <w:jc w:val="right"/>
              <w:rPr>
                <w:rFonts w:cs="Arial"/>
                <w:b/>
                <w:bCs/>
                <w:sz w:val="18"/>
                <w:szCs w:val="18"/>
              </w:rPr>
            </w:pPr>
            <w:r>
              <w:rPr>
                <w:rFonts w:cs="Arial"/>
                <w:b/>
                <w:bCs/>
                <w:sz w:val="18"/>
                <w:szCs w:val="18"/>
              </w:rPr>
              <w:t>2017</w:t>
            </w:r>
          </w:p>
        </w:tc>
        <w:tc>
          <w:tcPr>
            <w:tcW w:w="1028" w:type="dxa"/>
            <w:tcBorders>
              <w:top w:val="nil"/>
              <w:left w:val="nil"/>
              <w:bottom w:val="nil"/>
              <w:right w:val="nil"/>
            </w:tcBorders>
            <w:shd w:val="clear" w:color="FFFFFF" w:fill="FFFFFF"/>
            <w:vAlign w:val="bottom"/>
            <w:hideMark/>
          </w:tcPr>
          <w:p w14:paraId="213EB9A8" w14:textId="77777777" w:rsidR="00C32CBD" w:rsidRDefault="00C32CBD" w:rsidP="00320D09">
            <w:pPr>
              <w:jc w:val="right"/>
              <w:rPr>
                <w:rFonts w:cs="Arial"/>
                <w:sz w:val="18"/>
                <w:szCs w:val="18"/>
              </w:rPr>
            </w:pPr>
            <w:r>
              <w:rPr>
                <w:rFonts w:cs="Arial"/>
                <w:sz w:val="18"/>
                <w:szCs w:val="18"/>
              </w:rPr>
              <w:t>2016</w:t>
            </w:r>
          </w:p>
        </w:tc>
        <w:tc>
          <w:tcPr>
            <w:tcW w:w="1516" w:type="dxa"/>
            <w:vMerge w:val="restart"/>
            <w:tcBorders>
              <w:top w:val="nil"/>
              <w:left w:val="nil"/>
              <w:bottom w:val="single" w:sz="4" w:space="0" w:color="000000"/>
              <w:right w:val="single" w:sz="4" w:space="0" w:color="auto"/>
            </w:tcBorders>
            <w:shd w:val="clear" w:color="FFFFFF" w:fill="FFFFFF"/>
            <w:vAlign w:val="bottom"/>
            <w:hideMark/>
          </w:tcPr>
          <w:p w14:paraId="7E652F81" w14:textId="77777777" w:rsidR="00C32CBD" w:rsidRDefault="00C32CBD" w:rsidP="00320D09">
            <w:pPr>
              <w:jc w:val="center"/>
              <w:rPr>
                <w:rFonts w:cs="Arial"/>
                <w:b/>
                <w:bCs/>
                <w:sz w:val="18"/>
                <w:szCs w:val="18"/>
              </w:rPr>
            </w:pPr>
            <w:r>
              <w:rPr>
                <w:rFonts w:cs="Arial"/>
                <w:b/>
                <w:bCs/>
                <w:sz w:val="18"/>
                <w:szCs w:val="18"/>
              </w:rPr>
              <w:t>Category (Level 1, 2 or 3)</w:t>
            </w:r>
          </w:p>
        </w:tc>
        <w:tc>
          <w:tcPr>
            <w:tcW w:w="2096" w:type="dxa"/>
            <w:vMerge w:val="restart"/>
            <w:tcBorders>
              <w:top w:val="nil"/>
              <w:left w:val="single" w:sz="4" w:space="0" w:color="auto"/>
              <w:bottom w:val="single" w:sz="4" w:space="0" w:color="000000"/>
              <w:right w:val="nil"/>
            </w:tcBorders>
            <w:shd w:val="clear" w:color="FFFFFF" w:fill="FFFFFF"/>
            <w:vAlign w:val="center"/>
            <w:hideMark/>
          </w:tcPr>
          <w:p w14:paraId="0ADC6107" w14:textId="77777777" w:rsidR="00C32CBD" w:rsidRDefault="00C32CBD" w:rsidP="00320D09">
            <w:pPr>
              <w:jc w:val="center"/>
              <w:rPr>
                <w:rFonts w:cs="Arial"/>
                <w:b/>
                <w:bCs/>
                <w:sz w:val="18"/>
                <w:szCs w:val="18"/>
              </w:rPr>
            </w:pPr>
            <w:r>
              <w:rPr>
                <w:rFonts w:cs="Arial"/>
                <w:b/>
                <w:bCs/>
                <w:sz w:val="18"/>
                <w:szCs w:val="18"/>
              </w:rPr>
              <w:t>Valuation Technique</w:t>
            </w:r>
            <w:r>
              <w:rPr>
                <w:rFonts w:cs="Arial"/>
                <w:b/>
                <w:bCs/>
                <w:sz w:val="18"/>
                <w:szCs w:val="18"/>
                <w:vertAlign w:val="superscript"/>
              </w:rPr>
              <w:t>1</w:t>
            </w:r>
          </w:p>
        </w:tc>
        <w:tc>
          <w:tcPr>
            <w:tcW w:w="2014" w:type="dxa"/>
            <w:vMerge w:val="restart"/>
            <w:tcBorders>
              <w:top w:val="nil"/>
              <w:left w:val="nil"/>
              <w:bottom w:val="single" w:sz="4" w:space="0" w:color="000000"/>
              <w:right w:val="nil"/>
            </w:tcBorders>
            <w:shd w:val="clear" w:color="FFFFFF" w:fill="FFFFFF"/>
            <w:vAlign w:val="center"/>
            <w:hideMark/>
          </w:tcPr>
          <w:p w14:paraId="4382F214" w14:textId="77777777" w:rsidR="00C32CBD" w:rsidRDefault="00C32CBD" w:rsidP="00320D09">
            <w:pPr>
              <w:jc w:val="center"/>
              <w:rPr>
                <w:rFonts w:cs="Arial"/>
                <w:b/>
                <w:bCs/>
                <w:sz w:val="18"/>
                <w:szCs w:val="18"/>
              </w:rPr>
            </w:pPr>
            <w:r>
              <w:rPr>
                <w:rFonts w:cs="Arial"/>
                <w:b/>
                <w:bCs/>
                <w:sz w:val="18"/>
                <w:szCs w:val="18"/>
              </w:rPr>
              <w:t>Inputs used</w:t>
            </w:r>
          </w:p>
        </w:tc>
      </w:tr>
      <w:tr w:rsidR="00C32CBD" w14:paraId="15AA0E3D" w14:textId="77777777" w:rsidTr="00320D09">
        <w:trPr>
          <w:trHeight w:val="255"/>
        </w:trPr>
        <w:tc>
          <w:tcPr>
            <w:tcW w:w="3436" w:type="dxa"/>
            <w:tcBorders>
              <w:top w:val="nil"/>
              <w:left w:val="nil"/>
              <w:bottom w:val="single" w:sz="4" w:space="0" w:color="auto"/>
              <w:right w:val="nil"/>
            </w:tcBorders>
            <w:shd w:val="clear" w:color="FFFFFF" w:fill="FFFFFF"/>
            <w:noWrap/>
            <w:vAlign w:val="bottom"/>
            <w:hideMark/>
          </w:tcPr>
          <w:p w14:paraId="080C82C4" w14:textId="77777777" w:rsidR="00C32CBD" w:rsidRDefault="00C32CBD" w:rsidP="00320D09">
            <w:pPr>
              <w:rPr>
                <w:rFonts w:cs="Arial"/>
                <w:sz w:val="18"/>
                <w:szCs w:val="18"/>
              </w:rPr>
            </w:pPr>
            <w:r>
              <w:rPr>
                <w:rFonts w:cs="Arial"/>
                <w:sz w:val="18"/>
                <w:szCs w:val="18"/>
              </w:rPr>
              <w:t> </w:t>
            </w:r>
          </w:p>
        </w:tc>
        <w:tc>
          <w:tcPr>
            <w:tcW w:w="1030" w:type="dxa"/>
            <w:tcBorders>
              <w:top w:val="nil"/>
              <w:left w:val="nil"/>
              <w:bottom w:val="single" w:sz="4" w:space="0" w:color="auto"/>
              <w:right w:val="nil"/>
            </w:tcBorders>
            <w:shd w:val="clear" w:color="FFFFFF" w:fill="FFFFFF"/>
            <w:vAlign w:val="bottom"/>
            <w:hideMark/>
          </w:tcPr>
          <w:p w14:paraId="63015718" w14:textId="77777777" w:rsidR="00C32CBD" w:rsidRDefault="00C32CBD" w:rsidP="00320D09">
            <w:pPr>
              <w:jc w:val="right"/>
              <w:rPr>
                <w:rFonts w:cs="Arial"/>
                <w:b/>
                <w:bCs/>
                <w:sz w:val="18"/>
                <w:szCs w:val="18"/>
              </w:rPr>
            </w:pPr>
            <w:r>
              <w:rPr>
                <w:rFonts w:cs="Arial"/>
                <w:b/>
                <w:bCs/>
                <w:sz w:val="18"/>
                <w:szCs w:val="18"/>
              </w:rPr>
              <w:t>$'000</w:t>
            </w:r>
          </w:p>
        </w:tc>
        <w:tc>
          <w:tcPr>
            <w:tcW w:w="1028" w:type="dxa"/>
            <w:tcBorders>
              <w:top w:val="nil"/>
              <w:left w:val="nil"/>
              <w:bottom w:val="single" w:sz="4" w:space="0" w:color="auto"/>
              <w:right w:val="nil"/>
            </w:tcBorders>
            <w:shd w:val="clear" w:color="FFFFFF" w:fill="FFFFFF"/>
            <w:vAlign w:val="bottom"/>
            <w:hideMark/>
          </w:tcPr>
          <w:p w14:paraId="45770EE8" w14:textId="77777777" w:rsidR="00C32CBD" w:rsidRDefault="00C32CBD" w:rsidP="00320D09">
            <w:pPr>
              <w:jc w:val="right"/>
              <w:rPr>
                <w:rFonts w:cs="Arial"/>
                <w:sz w:val="18"/>
                <w:szCs w:val="18"/>
              </w:rPr>
            </w:pPr>
            <w:r>
              <w:rPr>
                <w:rFonts w:cs="Arial"/>
                <w:sz w:val="18"/>
                <w:szCs w:val="18"/>
              </w:rPr>
              <w:t>$'000</w:t>
            </w:r>
          </w:p>
        </w:tc>
        <w:tc>
          <w:tcPr>
            <w:tcW w:w="1516" w:type="dxa"/>
            <w:vMerge/>
            <w:tcBorders>
              <w:top w:val="nil"/>
              <w:left w:val="nil"/>
              <w:bottom w:val="single" w:sz="4" w:space="0" w:color="000000"/>
              <w:right w:val="single" w:sz="4" w:space="0" w:color="auto"/>
            </w:tcBorders>
            <w:vAlign w:val="center"/>
            <w:hideMark/>
          </w:tcPr>
          <w:p w14:paraId="0383B64C" w14:textId="77777777" w:rsidR="00C32CBD" w:rsidRDefault="00C32CBD" w:rsidP="00320D09">
            <w:pPr>
              <w:rPr>
                <w:rFonts w:cs="Arial"/>
                <w:b/>
                <w:bCs/>
                <w:sz w:val="18"/>
                <w:szCs w:val="18"/>
              </w:rPr>
            </w:pPr>
          </w:p>
        </w:tc>
        <w:tc>
          <w:tcPr>
            <w:tcW w:w="2096" w:type="dxa"/>
            <w:vMerge/>
            <w:tcBorders>
              <w:top w:val="nil"/>
              <w:left w:val="single" w:sz="4" w:space="0" w:color="auto"/>
              <w:bottom w:val="single" w:sz="4" w:space="0" w:color="000000"/>
              <w:right w:val="nil"/>
            </w:tcBorders>
            <w:vAlign w:val="center"/>
            <w:hideMark/>
          </w:tcPr>
          <w:p w14:paraId="6EF5372E" w14:textId="77777777" w:rsidR="00C32CBD" w:rsidRDefault="00C32CBD" w:rsidP="00320D09">
            <w:pPr>
              <w:rPr>
                <w:rFonts w:cs="Arial"/>
                <w:b/>
                <w:bCs/>
                <w:sz w:val="18"/>
                <w:szCs w:val="18"/>
              </w:rPr>
            </w:pPr>
          </w:p>
        </w:tc>
        <w:tc>
          <w:tcPr>
            <w:tcW w:w="2014" w:type="dxa"/>
            <w:vMerge/>
            <w:tcBorders>
              <w:top w:val="nil"/>
              <w:left w:val="nil"/>
              <w:bottom w:val="single" w:sz="4" w:space="0" w:color="000000"/>
              <w:right w:val="nil"/>
            </w:tcBorders>
            <w:vAlign w:val="center"/>
            <w:hideMark/>
          </w:tcPr>
          <w:p w14:paraId="5052DB0B" w14:textId="77777777" w:rsidR="00C32CBD" w:rsidRDefault="00C32CBD" w:rsidP="00320D09">
            <w:pPr>
              <w:rPr>
                <w:rFonts w:cs="Arial"/>
                <w:b/>
                <w:bCs/>
                <w:sz w:val="18"/>
                <w:szCs w:val="18"/>
              </w:rPr>
            </w:pPr>
          </w:p>
        </w:tc>
      </w:tr>
      <w:tr w:rsidR="00C32CBD" w14:paraId="73FA07A6" w14:textId="77777777" w:rsidTr="00320D09">
        <w:trPr>
          <w:trHeight w:val="255"/>
        </w:trPr>
        <w:tc>
          <w:tcPr>
            <w:tcW w:w="3436" w:type="dxa"/>
            <w:tcBorders>
              <w:top w:val="nil"/>
              <w:left w:val="nil"/>
              <w:bottom w:val="nil"/>
              <w:right w:val="nil"/>
            </w:tcBorders>
            <w:shd w:val="clear" w:color="FFFFFF" w:fill="FFFFFF"/>
            <w:noWrap/>
            <w:vAlign w:val="bottom"/>
            <w:hideMark/>
          </w:tcPr>
          <w:p w14:paraId="37F0FA73" w14:textId="77777777" w:rsidR="00C32CBD" w:rsidRDefault="00C32CBD" w:rsidP="00320D09">
            <w:pPr>
              <w:rPr>
                <w:rFonts w:cs="Arial"/>
                <w:b/>
                <w:bCs/>
                <w:sz w:val="18"/>
                <w:szCs w:val="18"/>
              </w:rPr>
            </w:pPr>
            <w:r>
              <w:rPr>
                <w:rFonts w:cs="Arial"/>
                <w:b/>
                <w:bCs/>
                <w:sz w:val="18"/>
                <w:szCs w:val="18"/>
              </w:rPr>
              <w:t>Non-financial assets</w:t>
            </w:r>
          </w:p>
        </w:tc>
        <w:tc>
          <w:tcPr>
            <w:tcW w:w="1030" w:type="dxa"/>
            <w:tcBorders>
              <w:top w:val="nil"/>
              <w:left w:val="nil"/>
              <w:bottom w:val="nil"/>
              <w:right w:val="nil"/>
            </w:tcBorders>
            <w:shd w:val="clear" w:color="FFFFFF" w:fill="FFFFFF"/>
            <w:vAlign w:val="bottom"/>
            <w:hideMark/>
          </w:tcPr>
          <w:p w14:paraId="32C4E1C6" w14:textId="77777777" w:rsidR="00C32CBD" w:rsidRDefault="00C32CBD" w:rsidP="00320D09">
            <w:pPr>
              <w:jc w:val="right"/>
              <w:rPr>
                <w:rFonts w:cs="Arial"/>
                <w:b/>
                <w:bCs/>
                <w:sz w:val="18"/>
                <w:szCs w:val="18"/>
              </w:rPr>
            </w:pPr>
            <w:r>
              <w:rPr>
                <w:rFonts w:cs="Arial"/>
                <w:b/>
                <w:bCs/>
                <w:sz w:val="18"/>
                <w:szCs w:val="18"/>
              </w:rPr>
              <w:t> </w:t>
            </w:r>
          </w:p>
        </w:tc>
        <w:tc>
          <w:tcPr>
            <w:tcW w:w="1028" w:type="dxa"/>
            <w:tcBorders>
              <w:top w:val="nil"/>
              <w:left w:val="nil"/>
              <w:bottom w:val="nil"/>
              <w:right w:val="nil"/>
            </w:tcBorders>
            <w:shd w:val="clear" w:color="FFFFFF" w:fill="FFFFFF"/>
            <w:vAlign w:val="bottom"/>
            <w:hideMark/>
          </w:tcPr>
          <w:p w14:paraId="46163428" w14:textId="77777777" w:rsidR="00C32CBD" w:rsidRDefault="00C32CBD" w:rsidP="00320D09">
            <w:pPr>
              <w:jc w:val="right"/>
              <w:rPr>
                <w:rFonts w:cs="Arial"/>
                <w:sz w:val="18"/>
                <w:szCs w:val="18"/>
              </w:rPr>
            </w:pPr>
            <w:r>
              <w:rPr>
                <w:rFonts w:cs="Arial"/>
                <w:sz w:val="18"/>
                <w:szCs w:val="18"/>
              </w:rPr>
              <w:t> </w:t>
            </w:r>
          </w:p>
        </w:tc>
        <w:tc>
          <w:tcPr>
            <w:tcW w:w="1516" w:type="dxa"/>
            <w:tcBorders>
              <w:top w:val="nil"/>
              <w:left w:val="nil"/>
              <w:bottom w:val="nil"/>
              <w:right w:val="nil"/>
            </w:tcBorders>
            <w:shd w:val="clear" w:color="FFFFFF" w:fill="FFFFFF"/>
            <w:noWrap/>
            <w:vAlign w:val="bottom"/>
            <w:hideMark/>
          </w:tcPr>
          <w:p w14:paraId="5CDBCA75" w14:textId="77777777" w:rsidR="00C32CBD" w:rsidRDefault="00C32CBD" w:rsidP="00320D09">
            <w:pPr>
              <w:rPr>
                <w:rFonts w:cs="Arial"/>
                <w:sz w:val="18"/>
                <w:szCs w:val="18"/>
              </w:rPr>
            </w:pPr>
            <w:r>
              <w:rPr>
                <w:rFonts w:cs="Arial"/>
                <w:sz w:val="18"/>
                <w:szCs w:val="18"/>
              </w:rPr>
              <w:t> </w:t>
            </w:r>
          </w:p>
        </w:tc>
        <w:tc>
          <w:tcPr>
            <w:tcW w:w="2096" w:type="dxa"/>
            <w:tcBorders>
              <w:top w:val="nil"/>
              <w:left w:val="nil"/>
              <w:bottom w:val="nil"/>
              <w:right w:val="nil"/>
            </w:tcBorders>
            <w:shd w:val="clear" w:color="FFFFFF" w:fill="FFFFFF"/>
            <w:noWrap/>
            <w:vAlign w:val="bottom"/>
            <w:hideMark/>
          </w:tcPr>
          <w:p w14:paraId="76F2C1DE" w14:textId="77777777" w:rsidR="00C32CBD" w:rsidRDefault="00C32CBD" w:rsidP="00320D09">
            <w:pPr>
              <w:rPr>
                <w:rFonts w:cs="Arial"/>
                <w:sz w:val="18"/>
                <w:szCs w:val="18"/>
              </w:rPr>
            </w:pPr>
            <w:r>
              <w:rPr>
                <w:rFonts w:cs="Arial"/>
                <w:sz w:val="18"/>
                <w:szCs w:val="18"/>
              </w:rPr>
              <w:t> </w:t>
            </w:r>
          </w:p>
        </w:tc>
        <w:tc>
          <w:tcPr>
            <w:tcW w:w="2014" w:type="dxa"/>
            <w:tcBorders>
              <w:top w:val="nil"/>
              <w:left w:val="nil"/>
              <w:bottom w:val="nil"/>
              <w:right w:val="nil"/>
            </w:tcBorders>
            <w:shd w:val="clear" w:color="FFFFFF" w:fill="FFFFFF"/>
            <w:vAlign w:val="bottom"/>
            <w:hideMark/>
          </w:tcPr>
          <w:p w14:paraId="5A0459E8" w14:textId="77777777" w:rsidR="00C32CBD" w:rsidRDefault="00C32CBD" w:rsidP="00320D09">
            <w:pPr>
              <w:jc w:val="right"/>
              <w:rPr>
                <w:rFonts w:cs="Arial"/>
                <w:sz w:val="18"/>
                <w:szCs w:val="18"/>
              </w:rPr>
            </w:pPr>
            <w:r>
              <w:rPr>
                <w:rFonts w:cs="Arial"/>
                <w:sz w:val="18"/>
                <w:szCs w:val="18"/>
              </w:rPr>
              <w:t> </w:t>
            </w:r>
          </w:p>
        </w:tc>
      </w:tr>
      <w:tr w:rsidR="00C32CBD" w14:paraId="63576548" w14:textId="77777777" w:rsidTr="00320D09">
        <w:trPr>
          <w:trHeight w:val="480"/>
        </w:trPr>
        <w:tc>
          <w:tcPr>
            <w:tcW w:w="3436" w:type="dxa"/>
            <w:tcBorders>
              <w:top w:val="nil"/>
              <w:left w:val="nil"/>
              <w:bottom w:val="nil"/>
              <w:right w:val="nil"/>
            </w:tcBorders>
            <w:shd w:val="clear" w:color="FFFFFF" w:fill="FFFFFF"/>
            <w:noWrap/>
            <w:vAlign w:val="bottom"/>
            <w:hideMark/>
          </w:tcPr>
          <w:p w14:paraId="5A045A7F" w14:textId="77777777" w:rsidR="00C32CBD" w:rsidRDefault="00C32CBD" w:rsidP="00320D09">
            <w:pPr>
              <w:ind w:firstLineChars="100" w:firstLine="180"/>
              <w:rPr>
                <w:rFonts w:cs="Arial"/>
                <w:sz w:val="18"/>
                <w:szCs w:val="18"/>
              </w:rPr>
            </w:pPr>
            <w:r>
              <w:rPr>
                <w:rFonts w:cs="Arial"/>
                <w:sz w:val="18"/>
                <w:szCs w:val="18"/>
              </w:rPr>
              <w:t>Buildings (leasehold improvements)</w:t>
            </w:r>
          </w:p>
        </w:tc>
        <w:tc>
          <w:tcPr>
            <w:tcW w:w="1030" w:type="dxa"/>
            <w:tcBorders>
              <w:top w:val="nil"/>
              <w:left w:val="nil"/>
              <w:bottom w:val="nil"/>
              <w:right w:val="nil"/>
            </w:tcBorders>
            <w:shd w:val="clear" w:color="FFFFFF" w:fill="FFFFFF"/>
            <w:noWrap/>
            <w:vAlign w:val="bottom"/>
            <w:hideMark/>
          </w:tcPr>
          <w:p w14:paraId="7410A941" w14:textId="77777777" w:rsidR="00C32CBD" w:rsidRDefault="00C32CBD" w:rsidP="00320D09">
            <w:pPr>
              <w:jc w:val="right"/>
              <w:rPr>
                <w:rFonts w:cs="Arial"/>
                <w:b/>
                <w:bCs/>
                <w:sz w:val="18"/>
                <w:szCs w:val="18"/>
              </w:rPr>
            </w:pPr>
            <w:r>
              <w:rPr>
                <w:rFonts w:cs="Arial"/>
                <w:b/>
                <w:bCs/>
                <w:sz w:val="18"/>
                <w:szCs w:val="18"/>
              </w:rPr>
              <w:t>33,900</w:t>
            </w:r>
          </w:p>
        </w:tc>
        <w:tc>
          <w:tcPr>
            <w:tcW w:w="1028" w:type="dxa"/>
            <w:tcBorders>
              <w:top w:val="nil"/>
              <w:left w:val="nil"/>
              <w:bottom w:val="nil"/>
              <w:right w:val="nil"/>
            </w:tcBorders>
            <w:shd w:val="clear" w:color="FFFFFF" w:fill="FFFFFF"/>
            <w:noWrap/>
            <w:vAlign w:val="bottom"/>
            <w:hideMark/>
          </w:tcPr>
          <w:p w14:paraId="3E3A0AC4" w14:textId="77777777" w:rsidR="00C32CBD" w:rsidRDefault="00C32CBD" w:rsidP="00320D09">
            <w:pPr>
              <w:jc w:val="right"/>
              <w:rPr>
                <w:rFonts w:cs="Arial"/>
                <w:sz w:val="18"/>
                <w:szCs w:val="18"/>
              </w:rPr>
            </w:pPr>
            <w:r>
              <w:rPr>
                <w:rFonts w:cs="Arial"/>
                <w:sz w:val="18"/>
                <w:szCs w:val="18"/>
              </w:rPr>
              <w:t>24,301</w:t>
            </w:r>
          </w:p>
        </w:tc>
        <w:tc>
          <w:tcPr>
            <w:tcW w:w="1516" w:type="dxa"/>
            <w:tcBorders>
              <w:top w:val="nil"/>
              <w:left w:val="nil"/>
              <w:bottom w:val="nil"/>
              <w:right w:val="nil"/>
            </w:tcBorders>
            <w:shd w:val="clear" w:color="FFFFFF" w:fill="FFFFFF"/>
            <w:noWrap/>
            <w:vAlign w:val="bottom"/>
            <w:hideMark/>
          </w:tcPr>
          <w:p w14:paraId="53BBC743" w14:textId="77777777" w:rsidR="00C32CBD" w:rsidRDefault="00C32CBD" w:rsidP="00320D09">
            <w:pPr>
              <w:jc w:val="center"/>
              <w:rPr>
                <w:rFonts w:cs="Arial"/>
                <w:sz w:val="18"/>
                <w:szCs w:val="18"/>
              </w:rPr>
            </w:pPr>
            <w:r>
              <w:rPr>
                <w:rFonts w:cs="Arial"/>
                <w:sz w:val="18"/>
                <w:szCs w:val="18"/>
              </w:rPr>
              <w:t>3</w:t>
            </w:r>
          </w:p>
        </w:tc>
        <w:tc>
          <w:tcPr>
            <w:tcW w:w="2096" w:type="dxa"/>
            <w:vMerge w:val="restart"/>
            <w:tcBorders>
              <w:top w:val="nil"/>
              <w:left w:val="nil"/>
              <w:bottom w:val="single" w:sz="4" w:space="0" w:color="000000"/>
              <w:right w:val="nil"/>
            </w:tcBorders>
            <w:shd w:val="clear" w:color="FFFFFF" w:fill="FFFFFF"/>
            <w:vAlign w:val="center"/>
            <w:hideMark/>
          </w:tcPr>
          <w:p w14:paraId="65D828CF" w14:textId="77777777" w:rsidR="00C32CBD" w:rsidRDefault="00C32CBD" w:rsidP="00320D09">
            <w:pPr>
              <w:jc w:val="center"/>
              <w:rPr>
                <w:rFonts w:cs="Arial"/>
                <w:sz w:val="18"/>
                <w:szCs w:val="18"/>
              </w:rPr>
            </w:pPr>
            <w:r>
              <w:rPr>
                <w:rFonts w:cs="Arial"/>
                <w:sz w:val="18"/>
                <w:szCs w:val="18"/>
              </w:rPr>
              <w:t>Depreciated replacement cost</w:t>
            </w:r>
          </w:p>
        </w:tc>
        <w:tc>
          <w:tcPr>
            <w:tcW w:w="2014" w:type="dxa"/>
            <w:vMerge w:val="restart"/>
            <w:tcBorders>
              <w:top w:val="nil"/>
              <w:left w:val="nil"/>
              <w:bottom w:val="single" w:sz="4" w:space="0" w:color="000000"/>
              <w:right w:val="nil"/>
            </w:tcBorders>
            <w:shd w:val="clear" w:color="FFFFFF" w:fill="FFFFFF"/>
            <w:vAlign w:val="center"/>
            <w:hideMark/>
          </w:tcPr>
          <w:p w14:paraId="30A27460" w14:textId="77777777" w:rsidR="00C32CBD" w:rsidRDefault="00C32CBD" w:rsidP="00320D09">
            <w:pPr>
              <w:jc w:val="center"/>
              <w:rPr>
                <w:rFonts w:cs="Arial"/>
                <w:sz w:val="18"/>
                <w:szCs w:val="18"/>
              </w:rPr>
            </w:pPr>
            <w:r>
              <w:rPr>
                <w:rFonts w:cs="Arial"/>
                <w:sz w:val="18"/>
                <w:szCs w:val="18"/>
              </w:rPr>
              <w:t>Cost prices, depreciation rates</w:t>
            </w:r>
          </w:p>
        </w:tc>
      </w:tr>
      <w:tr w:rsidR="00C32CBD" w14:paraId="042FC9E1" w14:textId="77777777" w:rsidTr="00320D09">
        <w:trPr>
          <w:trHeight w:val="480"/>
        </w:trPr>
        <w:tc>
          <w:tcPr>
            <w:tcW w:w="3436" w:type="dxa"/>
            <w:tcBorders>
              <w:top w:val="nil"/>
              <w:left w:val="nil"/>
              <w:bottom w:val="nil"/>
              <w:right w:val="nil"/>
            </w:tcBorders>
            <w:shd w:val="clear" w:color="FFFFFF" w:fill="FFFFFF"/>
            <w:noWrap/>
            <w:vAlign w:val="bottom"/>
            <w:hideMark/>
          </w:tcPr>
          <w:p w14:paraId="2AD57644" w14:textId="77777777" w:rsidR="00C32CBD" w:rsidRDefault="00C32CBD" w:rsidP="00320D09">
            <w:pPr>
              <w:ind w:firstLineChars="100" w:firstLine="180"/>
              <w:rPr>
                <w:rFonts w:cs="Arial"/>
                <w:sz w:val="18"/>
                <w:szCs w:val="18"/>
              </w:rPr>
            </w:pPr>
            <w:r>
              <w:rPr>
                <w:rFonts w:cs="Arial"/>
                <w:sz w:val="18"/>
                <w:szCs w:val="18"/>
              </w:rPr>
              <w:t>Property, plant and equipment</w:t>
            </w:r>
          </w:p>
        </w:tc>
        <w:tc>
          <w:tcPr>
            <w:tcW w:w="1030" w:type="dxa"/>
            <w:tcBorders>
              <w:top w:val="nil"/>
              <w:left w:val="nil"/>
              <w:bottom w:val="nil"/>
              <w:right w:val="nil"/>
            </w:tcBorders>
            <w:shd w:val="clear" w:color="FFFFFF" w:fill="FFFFFF"/>
            <w:noWrap/>
            <w:vAlign w:val="bottom"/>
            <w:hideMark/>
          </w:tcPr>
          <w:p w14:paraId="5A26D2E3" w14:textId="77777777" w:rsidR="00C32CBD" w:rsidRDefault="00C32CBD" w:rsidP="00320D09">
            <w:pPr>
              <w:jc w:val="right"/>
              <w:rPr>
                <w:rFonts w:cs="Arial"/>
                <w:b/>
                <w:bCs/>
                <w:sz w:val="18"/>
                <w:szCs w:val="18"/>
              </w:rPr>
            </w:pPr>
            <w:r>
              <w:rPr>
                <w:rFonts w:cs="Arial"/>
                <w:b/>
                <w:bCs/>
                <w:sz w:val="18"/>
                <w:szCs w:val="18"/>
              </w:rPr>
              <w:t>391</w:t>
            </w:r>
          </w:p>
        </w:tc>
        <w:tc>
          <w:tcPr>
            <w:tcW w:w="1028" w:type="dxa"/>
            <w:tcBorders>
              <w:top w:val="nil"/>
              <w:left w:val="nil"/>
              <w:bottom w:val="nil"/>
              <w:right w:val="nil"/>
            </w:tcBorders>
            <w:shd w:val="clear" w:color="FFFFFF" w:fill="FFFFFF"/>
            <w:noWrap/>
            <w:vAlign w:val="bottom"/>
            <w:hideMark/>
          </w:tcPr>
          <w:p w14:paraId="1E75338C" w14:textId="77777777" w:rsidR="00C32CBD" w:rsidRDefault="00C32CBD" w:rsidP="00320D09">
            <w:pPr>
              <w:jc w:val="right"/>
              <w:rPr>
                <w:rFonts w:cs="Arial"/>
                <w:sz w:val="18"/>
                <w:szCs w:val="18"/>
              </w:rPr>
            </w:pPr>
            <w:r>
              <w:rPr>
                <w:rFonts w:cs="Arial"/>
                <w:sz w:val="18"/>
                <w:szCs w:val="18"/>
              </w:rPr>
              <w:t>1,012</w:t>
            </w:r>
          </w:p>
        </w:tc>
        <w:tc>
          <w:tcPr>
            <w:tcW w:w="1516" w:type="dxa"/>
            <w:tcBorders>
              <w:top w:val="nil"/>
              <w:left w:val="nil"/>
              <w:bottom w:val="nil"/>
              <w:right w:val="nil"/>
            </w:tcBorders>
            <w:shd w:val="clear" w:color="FFFFFF" w:fill="FFFFFF"/>
            <w:noWrap/>
            <w:vAlign w:val="bottom"/>
            <w:hideMark/>
          </w:tcPr>
          <w:p w14:paraId="1147369D" w14:textId="77777777" w:rsidR="00C32CBD" w:rsidRDefault="00C32CBD" w:rsidP="00320D09">
            <w:pPr>
              <w:jc w:val="center"/>
              <w:rPr>
                <w:rFonts w:cs="Arial"/>
                <w:sz w:val="18"/>
                <w:szCs w:val="18"/>
              </w:rPr>
            </w:pPr>
            <w:r>
              <w:rPr>
                <w:rFonts w:cs="Arial"/>
                <w:sz w:val="18"/>
                <w:szCs w:val="18"/>
              </w:rPr>
              <w:t>3</w:t>
            </w:r>
          </w:p>
        </w:tc>
        <w:tc>
          <w:tcPr>
            <w:tcW w:w="2096" w:type="dxa"/>
            <w:vMerge/>
            <w:tcBorders>
              <w:top w:val="nil"/>
              <w:left w:val="nil"/>
              <w:bottom w:val="single" w:sz="4" w:space="0" w:color="000000"/>
              <w:right w:val="nil"/>
            </w:tcBorders>
            <w:vAlign w:val="center"/>
            <w:hideMark/>
          </w:tcPr>
          <w:p w14:paraId="7406D3B6" w14:textId="77777777" w:rsidR="00C32CBD" w:rsidRDefault="00C32CBD" w:rsidP="00320D09">
            <w:pPr>
              <w:rPr>
                <w:rFonts w:cs="Arial"/>
                <w:sz w:val="18"/>
                <w:szCs w:val="18"/>
              </w:rPr>
            </w:pPr>
          </w:p>
        </w:tc>
        <w:tc>
          <w:tcPr>
            <w:tcW w:w="2014" w:type="dxa"/>
            <w:vMerge/>
            <w:tcBorders>
              <w:top w:val="nil"/>
              <w:left w:val="nil"/>
              <w:bottom w:val="single" w:sz="4" w:space="0" w:color="000000"/>
              <w:right w:val="nil"/>
            </w:tcBorders>
            <w:vAlign w:val="center"/>
            <w:hideMark/>
          </w:tcPr>
          <w:p w14:paraId="44F4F38A" w14:textId="77777777" w:rsidR="00C32CBD" w:rsidRDefault="00C32CBD" w:rsidP="00320D09">
            <w:pPr>
              <w:rPr>
                <w:rFonts w:cs="Arial"/>
                <w:sz w:val="18"/>
                <w:szCs w:val="18"/>
              </w:rPr>
            </w:pPr>
          </w:p>
        </w:tc>
      </w:tr>
      <w:tr w:rsidR="00C32CBD" w14:paraId="6011100F" w14:textId="77777777" w:rsidTr="00320D09">
        <w:trPr>
          <w:trHeight w:val="255"/>
        </w:trPr>
        <w:tc>
          <w:tcPr>
            <w:tcW w:w="3436" w:type="dxa"/>
            <w:tcBorders>
              <w:top w:val="nil"/>
              <w:left w:val="nil"/>
              <w:bottom w:val="nil"/>
              <w:right w:val="nil"/>
            </w:tcBorders>
            <w:shd w:val="clear" w:color="FFFFFF" w:fill="FFFFFF"/>
            <w:noWrap/>
            <w:vAlign w:val="bottom"/>
            <w:hideMark/>
          </w:tcPr>
          <w:p w14:paraId="386080EC" w14:textId="77777777" w:rsidR="00C32CBD" w:rsidRDefault="00C32CBD" w:rsidP="00320D09">
            <w:pPr>
              <w:rPr>
                <w:rFonts w:cs="Arial"/>
                <w:b/>
                <w:bCs/>
                <w:sz w:val="18"/>
                <w:szCs w:val="18"/>
              </w:rPr>
            </w:pPr>
            <w:r>
              <w:rPr>
                <w:rFonts w:cs="Arial"/>
                <w:b/>
                <w:bCs/>
                <w:sz w:val="18"/>
                <w:szCs w:val="18"/>
              </w:rPr>
              <w:t>Total non-financial assets</w:t>
            </w:r>
          </w:p>
        </w:tc>
        <w:tc>
          <w:tcPr>
            <w:tcW w:w="1030" w:type="dxa"/>
            <w:tcBorders>
              <w:top w:val="single" w:sz="4" w:space="0" w:color="auto"/>
              <w:left w:val="nil"/>
              <w:bottom w:val="single" w:sz="4" w:space="0" w:color="auto"/>
              <w:right w:val="nil"/>
            </w:tcBorders>
            <w:shd w:val="clear" w:color="FFFFFF" w:fill="FFFFFF"/>
            <w:noWrap/>
            <w:vAlign w:val="bottom"/>
            <w:hideMark/>
          </w:tcPr>
          <w:p w14:paraId="693EC2CF" w14:textId="77777777" w:rsidR="00C32CBD" w:rsidRDefault="00C32CBD" w:rsidP="00320D09">
            <w:pPr>
              <w:jc w:val="right"/>
              <w:rPr>
                <w:rFonts w:cs="Arial"/>
                <w:b/>
                <w:bCs/>
                <w:sz w:val="18"/>
                <w:szCs w:val="18"/>
              </w:rPr>
            </w:pPr>
            <w:r>
              <w:rPr>
                <w:rFonts w:cs="Arial"/>
                <w:b/>
                <w:bCs/>
                <w:sz w:val="18"/>
                <w:szCs w:val="18"/>
              </w:rPr>
              <w:t>34,291</w:t>
            </w:r>
          </w:p>
        </w:tc>
        <w:tc>
          <w:tcPr>
            <w:tcW w:w="1028" w:type="dxa"/>
            <w:tcBorders>
              <w:top w:val="single" w:sz="4" w:space="0" w:color="auto"/>
              <w:left w:val="nil"/>
              <w:bottom w:val="single" w:sz="4" w:space="0" w:color="auto"/>
              <w:right w:val="nil"/>
            </w:tcBorders>
            <w:shd w:val="clear" w:color="FFFFFF" w:fill="FFFFFF"/>
            <w:noWrap/>
            <w:vAlign w:val="bottom"/>
            <w:hideMark/>
          </w:tcPr>
          <w:p w14:paraId="27C480AD" w14:textId="77777777" w:rsidR="00C32CBD" w:rsidRDefault="00C32CBD" w:rsidP="00320D09">
            <w:pPr>
              <w:jc w:val="right"/>
              <w:rPr>
                <w:rFonts w:cs="Arial"/>
                <w:sz w:val="18"/>
                <w:szCs w:val="18"/>
              </w:rPr>
            </w:pPr>
            <w:r>
              <w:rPr>
                <w:rFonts w:cs="Arial"/>
                <w:sz w:val="18"/>
                <w:szCs w:val="18"/>
              </w:rPr>
              <w:t>25,313</w:t>
            </w:r>
          </w:p>
        </w:tc>
        <w:tc>
          <w:tcPr>
            <w:tcW w:w="1516" w:type="dxa"/>
            <w:tcBorders>
              <w:top w:val="single" w:sz="4" w:space="0" w:color="auto"/>
              <w:left w:val="nil"/>
              <w:bottom w:val="nil"/>
              <w:right w:val="nil"/>
            </w:tcBorders>
            <w:shd w:val="clear" w:color="FFFFFF" w:fill="FFFFFF"/>
            <w:noWrap/>
            <w:vAlign w:val="bottom"/>
            <w:hideMark/>
          </w:tcPr>
          <w:p w14:paraId="388941E4" w14:textId="77777777" w:rsidR="00C32CBD" w:rsidRDefault="00C32CBD" w:rsidP="00320D09">
            <w:pPr>
              <w:jc w:val="right"/>
              <w:rPr>
                <w:rFonts w:cs="Arial"/>
                <w:sz w:val="18"/>
                <w:szCs w:val="18"/>
              </w:rPr>
            </w:pPr>
            <w:r>
              <w:rPr>
                <w:rFonts w:cs="Arial"/>
                <w:sz w:val="18"/>
                <w:szCs w:val="18"/>
              </w:rPr>
              <w:t> </w:t>
            </w:r>
          </w:p>
        </w:tc>
        <w:tc>
          <w:tcPr>
            <w:tcW w:w="2096" w:type="dxa"/>
            <w:tcBorders>
              <w:top w:val="nil"/>
              <w:left w:val="nil"/>
              <w:bottom w:val="nil"/>
              <w:right w:val="nil"/>
            </w:tcBorders>
            <w:shd w:val="clear" w:color="FFFFFF" w:fill="FFFFFF"/>
            <w:noWrap/>
            <w:vAlign w:val="bottom"/>
            <w:hideMark/>
          </w:tcPr>
          <w:p w14:paraId="04B1A7E4" w14:textId="77777777" w:rsidR="00C32CBD" w:rsidRDefault="00C32CBD" w:rsidP="00320D09">
            <w:pPr>
              <w:jc w:val="right"/>
              <w:rPr>
                <w:rFonts w:cs="Arial"/>
                <w:sz w:val="18"/>
                <w:szCs w:val="18"/>
              </w:rPr>
            </w:pPr>
            <w:r>
              <w:rPr>
                <w:rFonts w:cs="Arial"/>
                <w:sz w:val="18"/>
                <w:szCs w:val="18"/>
              </w:rPr>
              <w:t> </w:t>
            </w:r>
          </w:p>
        </w:tc>
        <w:tc>
          <w:tcPr>
            <w:tcW w:w="2014" w:type="dxa"/>
            <w:tcBorders>
              <w:top w:val="nil"/>
              <w:left w:val="nil"/>
              <w:bottom w:val="nil"/>
              <w:right w:val="nil"/>
            </w:tcBorders>
            <w:shd w:val="clear" w:color="FFFFFF" w:fill="FFFFFF"/>
            <w:noWrap/>
            <w:vAlign w:val="bottom"/>
            <w:hideMark/>
          </w:tcPr>
          <w:p w14:paraId="2E82840F" w14:textId="77777777" w:rsidR="00C32CBD" w:rsidRDefault="00C32CBD" w:rsidP="00320D09">
            <w:pPr>
              <w:jc w:val="right"/>
              <w:rPr>
                <w:rFonts w:cs="Arial"/>
                <w:sz w:val="18"/>
                <w:szCs w:val="18"/>
              </w:rPr>
            </w:pPr>
            <w:r>
              <w:rPr>
                <w:rFonts w:cs="Arial"/>
                <w:sz w:val="18"/>
                <w:szCs w:val="18"/>
              </w:rPr>
              <w:t> </w:t>
            </w:r>
          </w:p>
        </w:tc>
      </w:tr>
    </w:tbl>
    <w:p w14:paraId="09A1FCC6" w14:textId="77777777" w:rsidR="00C32CBD" w:rsidRPr="00C42BD6" w:rsidRDefault="00C32CBD" w:rsidP="00C32CBD">
      <w:pPr>
        <w:rPr>
          <w:rFonts w:cs="Arial"/>
          <w:b/>
          <w:sz w:val="18"/>
          <w:szCs w:val="18"/>
          <w:lang w:eastAsia="en-AU"/>
        </w:rPr>
      </w:pPr>
    </w:p>
    <w:p w14:paraId="266AEBEF" w14:textId="77777777" w:rsidR="00C32CBD" w:rsidRDefault="00C32CBD" w:rsidP="00C32CBD">
      <w:pPr>
        <w:rPr>
          <w:rFonts w:cs="Arial"/>
          <w:sz w:val="18"/>
          <w:szCs w:val="18"/>
          <w:lang w:eastAsia="en-AU"/>
        </w:rPr>
      </w:pPr>
    </w:p>
    <w:p w14:paraId="6EE9E58C" w14:textId="77777777" w:rsidR="00C32CBD" w:rsidRPr="00E13991" w:rsidRDefault="00C32CBD" w:rsidP="00C32CBD">
      <w:pPr>
        <w:pStyle w:val="PolicyheadingDept"/>
        <w:rPr>
          <w:rFonts w:eastAsiaTheme="minorEastAsia"/>
          <w:sz w:val="24"/>
          <w:szCs w:val="24"/>
          <w:lang w:eastAsia="en-AU"/>
        </w:rPr>
      </w:pPr>
      <w:r w:rsidRPr="00E13991">
        <w:rPr>
          <w:rFonts w:eastAsiaTheme="minorEastAsia"/>
          <w:lang w:eastAsia="en-AU"/>
        </w:rPr>
        <w:t>Accounting Policy</w:t>
      </w:r>
    </w:p>
    <w:p w14:paraId="1E180EC4" w14:textId="77777777" w:rsidR="00C32CBD" w:rsidRDefault="00C32CBD" w:rsidP="00C32CBD">
      <w:pPr>
        <w:pStyle w:val="PolicytextDept"/>
        <w:rPr>
          <w:lang w:eastAsia="en-AU"/>
        </w:rPr>
      </w:pPr>
      <w:r w:rsidRPr="00E13991">
        <w:rPr>
          <w:lang w:eastAsia="en-AU"/>
        </w:rPr>
        <w:t xml:space="preserve">The Agency deems transfers between levels of the fair value hierarchy to have occurred at the end of the reporting period. </w:t>
      </w:r>
    </w:p>
    <w:p w14:paraId="1BFB460E" w14:textId="77777777" w:rsidR="00C32CBD" w:rsidRPr="00A43A22" w:rsidRDefault="00C32CBD" w:rsidP="00C32CBD">
      <w:pPr>
        <w:pStyle w:val="PolicytextDept"/>
        <w:rPr>
          <w:b/>
          <w:lang w:eastAsia="en-AU"/>
        </w:rPr>
      </w:pPr>
      <w:r w:rsidRPr="00A43A22">
        <w:rPr>
          <w:b/>
          <w:lang w:eastAsia="en-AU"/>
        </w:rPr>
        <w:t>Key jud</w:t>
      </w:r>
      <w:r w:rsidRPr="00F36D6B">
        <w:rPr>
          <w:rFonts w:eastAsiaTheme="minorEastAsia"/>
          <w:b/>
          <w:lang w:eastAsia="en-AU"/>
        </w:rPr>
        <w:t xml:space="preserve">gements </w:t>
      </w:r>
      <w:r w:rsidRPr="00A43A22">
        <w:rPr>
          <w:b/>
          <w:lang w:eastAsia="en-AU"/>
        </w:rPr>
        <w:t>and estimates</w:t>
      </w:r>
    </w:p>
    <w:p w14:paraId="11BB3A31" w14:textId="77777777" w:rsidR="00C32CBD" w:rsidRPr="00C42BD6" w:rsidRDefault="00C32CBD" w:rsidP="00C32CBD">
      <w:pPr>
        <w:pStyle w:val="PolicytextDept"/>
        <w:rPr>
          <w:lang w:eastAsia="en-AU"/>
        </w:rPr>
        <w:sectPr w:rsidR="00C32CBD" w:rsidRPr="00C42BD6" w:rsidSect="00320D09">
          <w:pgSz w:w="16838" w:h="11906" w:orient="landscape" w:code="9"/>
          <w:pgMar w:top="1134" w:right="1670" w:bottom="1134" w:left="1134" w:header="958" w:footer="737" w:gutter="0"/>
          <w:cols w:space="708"/>
          <w:docGrid w:linePitch="360"/>
        </w:sectPr>
      </w:pPr>
      <w:r w:rsidRPr="00A43A22">
        <w:rPr>
          <w:lang w:eastAsia="en-AU"/>
        </w:rPr>
        <w:t>Buildings (leasehold improvements), property, plant and equipment are measured at their estimated fair value in the financial statements.</w:t>
      </w:r>
    </w:p>
    <w:tbl>
      <w:tblPr>
        <w:tblW w:w="13991" w:type="dxa"/>
        <w:tblInd w:w="80" w:type="dxa"/>
        <w:tblLayout w:type="fixed"/>
        <w:tblLook w:val="04A0" w:firstRow="1" w:lastRow="0" w:firstColumn="1" w:lastColumn="0" w:noHBand="0" w:noVBand="1"/>
      </w:tblPr>
      <w:tblGrid>
        <w:gridCol w:w="4464"/>
        <w:gridCol w:w="1587"/>
        <w:gridCol w:w="1588"/>
        <w:gridCol w:w="1588"/>
        <w:gridCol w:w="1588"/>
        <w:gridCol w:w="1588"/>
        <w:gridCol w:w="1588"/>
      </w:tblGrid>
      <w:tr w:rsidR="00C32CBD" w14:paraId="4C18FF89" w14:textId="77777777" w:rsidTr="00320D09">
        <w:trPr>
          <w:trHeight w:val="255"/>
        </w:trPr>
        <w:tc>
          <w:tcPr>
            <w:tcW w:w="7488" w:type="dxa"/>
            <w:gridSpan w:val="3"/>
            <w:tcBorders>
              <w:top w:val="nil"/>
              <w:left w:val="nil"/>
              <w:bottom w:val="nil"/>
              <w:right w:val="nil"/>
            </w:tcBorders>
            <w:shd w:val="clear" w:color="FFFFFF" w:fill="FFFFFF"/>
            <w:noWrap/>
            <w:vAlign w:val="bottom"/>
            <w:hideMark/>
          </w:tcPr>
          <w:p w14:paraId="56B418A1" w14:textId="77777777" w:rsidR="00C32CBD" w:rsidRDefault="00C32CBD" w:rsidP="00320D09">
            <w:pPr>
              <w:rPr>
                <w:rFonts w:cs="Arial"/>
                <w:b/>
                <w:bCs/>
                <w:sz w:val="18"/>
                <w:szCs w:val="18"/>
                <w:u w:val="single"/>
              </w:rPr>
            </w:pPr>
            <w:bookmarkStart w:id="301" w:name="Note_FIPTABLE1" w:colFirst="0" w:colLast="0"/>
            <w:r>
              <w:rPr>
                <w:rFonts w:cs="Arial"/>
                <w:b/>
                <w:bCs/>
                <w:sz w:val="18"/>
                <w:szCs w:val="18"/>
                <w:u w:val="single"/>
              </w:rPr>
              <w:t>Note 5.3B: Reconciliation for recurring level 3 fair value measurements</w:t>
            </w:r>
          </w:p>
        </w:tc>
        <w:tc>
          <w:tcPr>
            <w:tcW w:w="1556" w:type="dxa"/>
            <w:tcBorders>
              <w:top w:val="nil"/>
              <w:left w:val="nil"/>
              <w:bottom w:val="nil"/>
              <w:right w:val="nil"/>
            </w:tcBorders>
            <w:shd w:val="clear" w:color="FFFFFF" w:fill="FFFFFF"/>
            <w:noWrap/>
            <w:vAlign w:val="bottom"/>
            <w:hideMark/>
          </w:tcPr>
          <w:p w14:paraId="5621C67B" w14:textId="77777777" w:rsidR="00C32CBD" w:rsidRDefault="00C32CBD" w:rsidP="00320D09">
            <w:pPr>
              <w:rPr>
                <w:rFonts w:cs="Arial"/>
                <w:sz w:val="18"/>
                <w:szCs w:val="18"/>
              </w:rPr>
            </w:pPr>
            <w:r>
              <w:rPr>
                <w:rFonts w:cs="Arial"/>
                <w:sz w:val="18"/>
                <w:szCs w:val="18"/>
              </w:rPr>
              <w:t> </w:t>
            </w:r>
          </w:p>
        </w:tc>
        <w:tc>
          <w:tcPr>
            <w:tcW w:w="1556" w:type="dxa"/>
            <w:tcBorders>
              <w:top w:val="nil"/>
              <w:left w:val="nil"/>
              <w:bottom w:val="nil"/>
              <w:right w:val="nil"/>
            </w:tcBorders>
            <w:shd w:val="clear" w:color="FFFFFF" w:fill="FFFFFF"/>
            <w:noWrap/>
            <w:vAlign w:val="bottom"/>
            <w:hideMark/>
          </w:tcPr>
          <w:p w14:paraId="68C84F66" w14:textId="77777777" w:rsidR="00C32CBD" w:rsidRDefault="00C32CBD" w:rsidP="00320D09">
            <w:pPr>
              <w:rPr>
                <w:rFonts w:cs="Arial"/>
                <w:sz w:val="18"/>
                <w:szCs w:val="18"/>
              </w:rPr>
            </w:pPr>
            <w:r>
              <w:rPr>
                <w:rFonts w:cs="Arial"/>
                <w:sz w:val="18"/>
                <w:szCs w:val="18"/>
              </w:rPr>
              <w:t> </w:t>
            </w:r>
          </w:p>
        </w:tc>
        <w:tc>
          <w:tcPr>
            <w:tcW w:w="1556" w:type="dxa"/>
            <w:tcBorders>
              <w:top w:val="nil"/>
              <w:left w:val="nil"/>
              <w:bottom w:val="nil"/>
              <w:right w:val="nil"/>
            </w:tcBorders>
            <w:shd w:val="clear" w:color="FFFFFF" w:fill="FFFFFF"/>
            <w:noWrap/>
            <w:vAlign w:val="bottom"/>
            <w:hideMark/>
          </w:tcPr>
          <w:p w14:paraId="679AD96A" w14:textId="77777777" w:rsidR="00C32CBD" w:rsidRDefault="00C32CBD" w:rsidP="00320D09">
            <w:pPr>
              <w:rPr>
                <w:rFonts w:cs="Arial"/>
                <w:sz w:val="18"/>
                <w:szCs w:val="18"/>
              </w:rPr>
            </w:pPr>
            <w:r>
              <w:rPr>
                <w:rFonts w:cs="Arial"/>
                <w:sz w:val="18"/>
                <w:szCs w:val="18"/>
              </w:rPr>
              <w:t> </w:t>
            </w:r>
          </w:p>
        </w:tc>
        <w:tc>
          <w:tcPr>
            <w:tcW w:w="1556" w:type="dxa"/>
            <w:tcBorders>
              <w:top w:val="nil"/>
              <w:left w:val="nil"/>
              <w:bottom w:val="nil"/>
              <w:right w:val="nil"/>
            </w:tcBorders>
            <w:shd w:val="clear" w:color="FFFFFF" w:fill="FFFFFF"/>
            <w:noWrap/>
            <w:vAlign w:val="bottom"/>
            <w:hideMark/>
          </w:tcPr>
          <w:p w14:paraId="3A939DC9" w14:textId="77777777" w:rsidR="00C32CBD" w:rsidRDefault="00C32CBD" w:rsidP="00320D09">
            <w:pPr>
              <w:rPr>
                <w:rFonts w:cs="Arial"/>
                <w:sz w:val="18"/>
                <w:szCs w:val="18"/>
              </w:rPr>
            </w:pPr>
            <w:r>
              <w:rPr>
                <w:rFonts w:cs="Arial"/>
                <w:sz w:val="18"/>
                <w:szCs w:val="18"/>
              </w:rPr>
              <w:t> </w:t>
            </w:r>
          </w:p>
        </w:tc>
      </w:tr>
      <w:bookmarkEnd w:id="301"/>
      <w:tr w:rsidR="00C32CBD" w14:paraId="52285259" w14:textId="77777777" w:rsidTr="00320D09">
        <w:trPr>
          <w:trHeight w:val="255"/>
        </w:trPr>
        <w:tc>
          <w:tcPr>
            <w:tcW w:w="7488" w:type="dxa"/>
            <w:gridSpan w:val="3"/>
            <w:tcBorders>
              <w:top w:val="nil"/>
              <w:left w:val="nil"/>
              <w:bottom w:val="nil"/>
              <w:right w:val="nil"/>
            </w:tcBorders>
            <w:shd w:val="clear" w:color="FFFFFF" w:fill="FFFFFF"/>
            <w:noWrap/>
            <w:vAlign w:val="bottom"/>
            <w:hideMark/>
          </w:tcPr>
          <w:p w14:paraId="76100A9A" w14:textId="77777777" w:rsidR="00C32CBD" w:rsidRDefault="00C32CBD" w:rsidP="00320D09">
            <w:pPr>
              <w:rPr>
                <w:rFonts w:cs="Arial"/>
                <w:b/>
                <w:bCs/>
                <w:sz w:val="18"/>
                <w:szCs w:val="18"/>
              </w:rPr>
            </w:pPr>
            <w:r>
              <w:rPr>
                <w:rFonts w:cs="Arial"/>
                <w:b/>
                <w:bCs/>
                <w:sz w:val="18"/>
                <w:szCs w:val="18"/>
              </w:rPr>
              <w:t>Recurring Level 3 fair value measurements - reconciliation for assets</w:t>
            </w:r>
          </w:p>
        </w:tc>
        <w:tc>
          <w:tcPr>
            <w:tcW w:w="1556" w:type="dxa"/>
            <w:tcBorders>
              <w:top w:val="nil"/>
              <w:left w:val="nil"/>
              <w:bottom w:val="nil"/>
              <w:right w:val="nil"/>
            </w:tcBorders>
            <w:shd w:val="clear" w:color="FFFFFF" w:fill="FFFFFF"/>
            <w:noWrap/>
            <w:vAlign w:val="bottom"/>
            <w:hideMark/>
          </w:tcPr>
          <w:p w14:paraId="60739BFF" w14:textId="77777777" w:rsidR="00C32CBD" w:rsidRDefault="00C32CBD" w:rsidP="00320D09">
            <w:pPr>
              <w:rPr>
                <w:rFonts w:cs="Arial"/>
                <w:b/>
                <w:bCs/>
                <w:sz w:val="18"/>
                <w:szCs w:val="18"/>
              </w:rPr>
            </w:pPr>
            <w:r>
              <w:rPr>
                <w:rFonts w:cs="Arial"/>
                <w:b/>
                <w:bCs/>
                <w:sz w:val="18"/>
                <w:szCs w:val="18"/>
              </w:rPr>
              <w:t> </w:t>
            </w:r>
          </w:p>
        </w:tc>
        <w:tc>
          <w:tcPr>
            <w:tcW w:w="1556" w:type="dxa"/>
            <w:tcBorders>
              <w:top w:val="nil"/>
              <w:left w:val="nil"/>
              <w:bottom w:val="nil"/>
              <w:right w:val="nil"/>
            </w:tcBorders>
            <w:shd w:val="clear" w:color="FFFFFF" w:fill="FFFFFF"/>
            <w:noWrap/>
            <w:vAlign w:val="bottom"/>
            <w:hideMark/>
          </w:tcPr>
          <w:p w14:paraId="4E346EC3" w14:textId="77777777" w:rsidR="00C32CBD" w:rsidRDefault="00C32CBD" w:rsidP="00320D09">
            <w:pPr>
              <w:rPr>
                <w:rFonts w:cs="Arial"/>
                <w:b/>
                <w:bCs/>
                <w:sz w:val="18"/>
                <w:szCs w:val="18"/>
              </w:rPr>
            </w:pPr>
            <w:r>
              <w:rPr>
                <w:rFonts w:cs="Arial"/>
                <w:b/>
                <w:bCs/>
                <w:sz w:val="18"/>
                <w:szCs w:val="18"/>
              </w:rPr>
              <w:t> </w:t>
            </w:r>
          </w:p>
        </w:tc>
        <w:tc>
          <w:tcPr>
            <w:tcW w:w="1556" w:type="dxa"/>
            <w:tcBorders>
              <w:top w:val="nil"/>
              <w:left w:val="nil"/>
              <w:bottom w:val="nil"/>
              <w:right w:val="nil"/>
            </w:tcBorders>
            <w:shd w:val="clear" w:color="FFFFFF" w:fill="FFFFFF"/>
            <w:noWrap/>
            <w:vAlign w:val="bottom"/>
            <w:hideMark/>
          </w:tcPr>
          <w:p w14:paraId="4C8A029C" w14:textId="77777777" w:rsidR="00C32CBD" w:rsidRDefault="00C32CBD" w:rsidP="00320D09">
            <w:pPr>
              <w:rPr>
                <w:rFonts w:cs="Arial"/>
                <w:b/>
                <w:bCs/>
                <w:sz w:val="18"/>
                <w:szCs w:val="18"/>
              </w:rPr>
            </w:pPr>
            <w:r>
              <w:rPr>
                <w:rFonts w:cs="Arial"/>
                <w:b/>
                <w:bCs/>
                <w:sz w:val="18"/>
                <w:szCs w:val="18"/>
              </w:rPr>
              <w:t> </w:t>
            </w:r>
          </w:p>
        </w:tc>
        <w:tc>
          <w:tcPr>
            <w:tcW w:w="1556" w:type="dxa"/>
            <w:tcBorders>
              <w:top w:val="nil"/>
              <w:left w:val="nil"/>
              <w:bottom w:val="nil"/>
              <w:right w:val="nil"/>
            </w:tcBorders>
            <w:shd w:val="clear" w:color="FFFFFF" w:fill="FFFFFF"/>
            <w:noWrap/>
            <w:vAlign w:val="bottom"/>
            <w:hideMark/>
          </w:tcPr>
          <w:p w14:paraId="6592F75B" w14:textId="77777777" w:rsidR="00C32CBD" w:rsidRDefault="00C32CBD" w:rsidP="00320D09">
            <w:pPr>
              <w:rPr>
                <w:rFonts w:cs="Arial"/>
                <w:b/>
                <w:bCs/>
                <w:sz w:val="18"/>
                <w:szCs w:val="18"/>
              </w:rPr>
            </w:pPr>
            <w:r>
              <w:rPr>
                <w:rFonts w:cs="Arial"/>
                <w:b/>
                <w:bCs/>
                <w:sz w:val="18"/>
                <w:szCs w:val="18"/>
              </w:rPr>
              <w:t> </w:t>
            </w:r>
          </w:p>
        </w:tc>
      </w:tr>
      <w:tr w:rsidR="00C32CBD" w14:paraId="7A5B6097" w14:textId="77777777" w:rsidTr="00320D09">
        <w:trPr>
          <w:trHeight w:val="255"/>
        </w:trPr>
        <w:tc>
          <w:tcPr>
            <w:tcW w:w="4376" w:type="dxa"/>
            <w:tcBorders>
              <w:top w:val="nil"/>
              <w:left w:val="nil"/>
              <w:bottom w:val="nil"/>
              <w:right w:val="nil"/>
            </w:tcBorders>
            <w:shd w:val="clear" w:color="FFFFFF" w:fill="FFFFFF"/>
            <w:noWrap/>
            <w:vAlign w:val="bottom"/>
            <w:hideMark/>
          </w:tcPr>
          <w:p w14:paraId="6FEBF692" w14:textId="77777777" w:rsidR="00C32CBD" w:rsidRDefault="00C32CBD" w:rsidP="00320D09">
            <w:pPr>
              <w:rPr>
                <w:rFonts w:cs="Arial"/>
                <w:b/>
                <w:bCs/>
                <w:sz w:val="18"/>
                <w:szCs w:val="18"/>
              </w:rPr>
            </w:pPr>
            <w:r>
              <w:rPr>
                <w:rFonts w:cs="Arial"/>
                <w:b/>
                <w:bCs/>
                <w:sz w:val="18"/>
                <w:szCs w:val="18"/>
              </w:rPr>
              <w:t> </w:t>
            </w:r>
          </w:p>
        </w:tc>
        <w:tc>
          <w:tcPr>
            <w:tcW w:w="1556" w:type="dxa"/>
            <w:tcBorders>
              <w:top w:val="nil"/>
              <w:left w:val="nil"/>
              <w:bottom w:val="single" w:sz="4" w:space="0" w:color="auto"/>
              <w:right w:val="nil"/>
            </w:tcBorders>
            <w:shd w:val="clear" w:color="FFFFFF" w:fill="FFFFFF"/>
            <w:noWrap/>
            <w:vAlign w:val="bottom"/>
            <w:hideMark/>
          </w:tcPr>
          <w:p w14:paraId="4A5F41DD" w14:textId="77777777" w:rsidR="00C32CBD" w:rsidRDefault="00C32CBD" w:rsidP="00320D09">
            <w:pPr>
              <w:rPr>
                <w:rFonts w:cs="Arial"/>
                <w:b/>
                <w:bCs/>
                <w:sz w:val="18"/>
                <w:szCs w:val="18"/>
              </w:rPr>
            </w:pPr>
            <w:r>
              <w:rPr>
                <w:rFonts w:cs="Arial"/>
                <w:b/>
                <w:bCs/>
                <w:sz w:val="18"/>
                <w:szCs w:val="18"/>
              </w:rPr>
              <w:t> </w:t>
            </w:r>
          </w:p>
        </w:tc>
        <w:tc>
          <w:tcPr>
            <w:tcW w:w="1556" w:type="dxa"/>
            <w:tcBorders>
              <w:top w:val="nil"/>
              <w:left w:val="nil"/>
              <w:bottom w:val="single" w:sz="4" w:space="0" w:color="auto"/>
              <w:right w:val="nil"/>
            </w:tcBorders>
            <w:shd w:val="clear" w:color="FFFFFF" w:fill="FFFFFF"/>
            <w:noWrap/>
            <w:vAlign w:val="bottom"/>
            <w:hideMark/>
          </w:tcPr>
          <w:p w14:paraId="436E9AD2" w14:textId="77777777" w:rsidR="00C32CBD" w:rsidRDefault="00C32CBD" w:rsidP="00320D09">
            <w:pPr>
              <w:rPr>
                <w:rFonts w:cs="Arial"/>
                <w:b/>
                <w:bCs/>
                <w:sz w:val="18"/>
                <w:szCs w:val="18"/>
              </w:rPr>
            </w:pPr>
            <w:r>
              <w:rPr>
                <w:rFonts w:cs="Arial"/>
                <w:b/>
                <w:bCs/>
                <w:sz w:val="18"/>
                <w:szCs w:val="18"/>
              </w:rPr>
              <w:t> </w:t>
            </w:r>
          </w:p>
        </w:tc>
        <w:tc>
          <w:tcPr>
            <w:tcW w:w="1556" w:type="dxa"/>
            <w:tcBorders>
              <w:top w:val="nil"/>
              <w:left w:val="nil"/>
              <w:bottom w:val="single" w:sz="4" w:space="0" w:color="auto"/>
              <w:right w:val="nil"/>
            </w:tcBorders>
            <w:shd w:val="clear" w:color="FFFFFF" w:fill="FFFFFF"/>
            <w:noWrap/>
            <w:vAlign w:val="bottom"/>
            <w:hideMark/>
          </w:tcPr>
          <w:p w14:paraId="05363479" w14:textId="77777777" w:rsidR="00C32CBD" w:rsidRDefault="00C32CBD" w:rsidP="00320D09">
            <w:pPr>
              <w:rPr>
                <w:rFonts w:cs="Arial"/>
                <w:b/>
                <w:bCs/>
                <w:sz w:val="18"/>
                <w:szCs w:val="18"/>
              </w:rPr>
            </w:pPr>
            <w:r>
              <w:rPr>
                <w:rFonts w:cs="Arial"/>
                <w:b/>
                <w:bCs/>
                <w:sz w:val="18"/>
                <w:szCs w:val="18"/>
              </w:rPr>
              <w:t> </w:t>
            </w:r>
          </w:p>
        </w:tc>
        <w:tc>
          <w:tcPr>
            <w:tcW w:w="1556" w:type="dxa"/>
            <w:tcBorders>
              <w:top w:val="nil"/>
              <w:left w:val="nil"/>
              <w:bottom w:val="single" w:sz="4" w:space="0" w:color="auto"/>
              <w:right w:val="nil"/>
            </w:tcBorders>
            <w:shd w:val="clear" w:color="FFFFFF" w:fill="FFFFFF"/>
            <w:noWrap/>
            <w:vAlign w:val="bottom"/>
            <w:hideMark/>
          </w:tcPr>
          <w:p w14:paraId="0B87B2B1" w14:textId="77777777" w:rsidR="00C32CBD" w:rsidRDefault="00C32CBD" w:rsidP="00320D09">
            <w:pPr>
              <w:rPr>
                <w:rFonts w:cs="Arial"/>
                <w:b/>
                <w:bCs/>
                <w:sz w:val="18"/>
                <w:szCs w:val="18"/>
              </w:rPr>
            </w:pPr>
            <w:r>
              <w:rPr>
                <w:rFonts w:cs="Arial"/>
                <w:b/>
                <w:bCs/>
                <w:sz w:val="18"/>
                <w:szCs w:val="18"/>
              </w:rPr>
              <w:t> </w:t>
            </w:r>
          </w:p>
        </w:tc>
        <w:tc>
          <w:tcPr>
            <w:tcW w:w="1556" w:type="dxa"/>
            <w:tcBorders>
              <w:top w:val="nil"/>
              <w:left w:val="nil"/>
              <w:bottom w:val="single" w:sz="4" w:space="0" w:color="auto"/>
              <w:right w:val="nil"/>
            </w:tcBorders>
            <w:shd w:val="clear" w:color="FFFFFF" w:fill="FFFFFF"/>
            <w:noWrap/>
            <w:vAlign w:val="bottom"/>
            <w:hideMark/>
          </w:tcPr>
          <w:p w14:paraId="6FDEF4A2" w14:textId="77777777" w:rsidR="00C32CBD" w:rsidRDefault="00C32CBD" w:rsidP="00320D09">
            <w:pPr>
              <w:rPr>
                <w:rFonts w:cs="Arial"/>
                <w:b/>
                <w:bCs/>
                <w:sz w:val="18"/>
                <w:szCs w:val="18"/>
              </w:rPr>
            </w:pPr>
            <w:r>
              <w:rPr>
                <w:rFonts w:cs="Arial"/>
                <w:b/>
                <w:bCs/>
                <w:sz w:val="18"/>
                <w:szCs w:val="18"/>
              </w:rPr>
              <w:t> </w:t>
            </w:r>
          </w:p>
        </w:tc>
        <w:tc>
          <w:tcPr>
            <w:tcW w:w="1556" w:type="dxa"/>
            <w:tcBorders>
              <w:top w:val="nil"/>
              <w:left w:val="nil"/>
              <w:bottom w:val="single" w:sz="4" w:space="0" w:color="auto"/>
              <w:right w:val="nil"/>
            </w:tcBorders>
            <w:shd w:val="clear" w:color="FFFFFF" w:fill="FFFFFF"/>
            <w:noWrap/>
            <w:vAlign w:val="bottom"/>
            <w:hideMark/>
          </w:tcPr>
          <w:p w14:paraId="575BDDDE" w14:textId="77777777" w:rsidR="00C32CBD" w:rsidRDefault="00C32CBD" w:rsidP="00320D09">
            <w:pPr>
              <w:rPr>
                <w:rFonts w:cs="Arial"/>
                <w:b/>
                <w:bCs/>
                <w:sz w:val="18"/>
                <w:szCs w:val="18"/>
              </w:rPr>
            </w:pPr>
            <w:r>
              <w:rPr>
                <w:rFonts w:cs="Arial"/>
                <w:b/>
                <w:bCs/>
                <w:sz w:val="18"/>
                <w:szCs w:val="18"/>
              </w:rPr>
              <w:t> </w:t>
            </w:r>
          </w:p>
        </w:tc>
      </w:tr>
      <w:tr w:rsidR="00C32CBD" w14:paraId="1B6FD622" w14:textId="77777777" w:rsidTr="00320D09">
        <w:trPr>
          <w:trHeight w:val="255"/>
        </w:trPr>
        <w:tc>
          <w:tcPr>
            <w:tcW w:w="4376" w:type="dxa"/>
            <w:tcBorders>
              <w:top w:val="nil"/>
              <w:left w:val="nil"/>
              <w:bottom w:val="nil"/>
              <w:right w:val="nil"/>
            </w:tcBorders>
            <w:shd w:val="clear" w:color="FFFFFF" w:fill="FFFFFF"/>
            <w:noWrap/>
            <w:vAlign w:val="bottom"/>
            <w:hideMark/>
          </w:tcPr>
          <w:p w14:paraId="1E9583FB" w14:textId="77777777" w:rsidR="00C32CBD" w:rsidRDefault="00C32CBD" w:rsidP="00320D09">
            <w:pPr>
              <w:rPr>
                <w:rFonts w:cs="Arial"/>
                <w:b/>
                <w:bCs/>
                <w:sz w:val="18"/>
                <w:szCs w:val="18"/>
              </w:rPr>
            </w:pPr>
            <w:r>
              <w:rPr>
                <w:rFonts w:cs="Arial"/>
                <w:b/>
                <w:bCs/>
                <w:sz w:val="18"/>
                <w:szCs w:val="18"/>
              </w:rPr>
              <w:t> </w:t>
            </w:r>
          </w:p>
        </w:tc>
        <w:tc>
          <w:tcPr>
            <w:tcW w:w="9336" w:type="dxa"/>
            <w:gridSpan w:val="6"/>
            <w:tcBorders>
              <w:top w:val="nil"/>
              <w:left w:val="nil"/>
              <w:bottom w:val="single" w:sz="4" w:space="0" w:color="auto"/>
              <w:right w:val="nil"/>
            </w:tcBorders>
            <w:shd w:val="clear" w:color="FFFFFF" w:fill="FFFFFF"/>
            <w:noWrap/>
            <w:vAlign w:val="bottom"/>
            <w:hideMark/>
          </w:tcPr>
          <w:p w14:paraId="68F5093A" w14:textId="77777777" w:rsidR="00C32CBD" w:rsidRDefault="00C32CBD" w:rsidP="00320D09">
            <w:pPr>
              <w:jc w:val="center"/>
              <w:rPr>
                <w:rFonts w:cs="Arial"/>
                <w:b/>
                <w:bCs/>
                <w:sz w:val="18"/>
                <w:szCs w:val="18"/>
              </w:rPr>
            </w:pPr>
            <w:r>
              <w:rPr>
                <w:rFonts w:cs="Arial"/>
                <w:b/>
                <w:bCs/>
                <w:sz w:val="18"/>
                <w:szCs w:val="18"/>
              </w:rPr>
              <w:t>Non-financial assets</w:t>
            </w:r>
          </w:p>
        </w:tc>
      </w:tr>
      <w:tr w:rsidR="00C32CBD" w14:paraId="53143CF2" w14:textId="77777777" w:rsidTr="00320D09">
        <w:trPr>
          <w:trHeight w:val="480"/>
        </w:trPr>
        <w:tc>
          <w:tcPr>
            <w:tcW w:w="4376" w:type="dxa"/>
            <w:tcBorders>
              <w:top w:val="nil"/>
              <w:left w:val="nil"/>
              <w:bottom w:val="nil"/>
              <w:right w:val="nil"/>
            </w:tcBorders>
            <w:shd w:val="clear" w:color="FFFFFF" w:fill="FFFFFF"/>
            <w:noWrap/>
            <w:vAlign w:val="bottom"/>
            <w:hideMark/>
          </w:tcPr>
          <w:p w14:paraId="2C768495" w14:textId="77777777" w:rsidR="00C32CBD" w:rsidRDefault="00C32CBD" w:rsidP="00320D09">
            <w:pPr>
              <w:rPr>
                <w:rFonts w:cs="Arial"/>
                <w:b/>
                <w:bCs/>
                <w:sz w:val="18"/>
                <w:szCs w:val="18"/>
              </w:rPr>
            </w:pPr>
            <w:r>
              <w:rPr>
                <w:rFonts w:cs="Arial"/>
                <w:b/>
                <w:bCs/>
                <w:sz w:val="18"/>
                <w:szCs w:val="18"/>
              </w:rPr>
              <w:t> </w:t>
            </w:r>
          </w:p>
        </w:tc>
        <w:tc>
          <w:tcPr>
            <w:tcW w:w="3112" w:type="dxa"/>
            <w:gridSpan w:val="2"/>
            <w:tcBorders>
              <w:top w:val="single" w:sz="4" w:space="0" w:color="auto"/>
              <w:left w:val="nil"/>
              <w:bottom w:val="nil"/>
              <w:right w:val="nil"/>
            </w:tcBorders>
            <w:shd w:val="clear" w:color="FFFFFF" w:fill="FFFFFF"/>
            <w:vAlign w:val="bottom"/>
            <w:hideMark/>
          </w:tcPr>
          <w:p w14:paraId="59C924BD" w14:textId="77777777" w:rsidR="00C32CBD" w:rsidRDefault="00C32CBD" w:rsidP="00320D09">
            <w:pPr>
              <w:jc w:val="center"/>
              <w:rPr>
                <w:rFonts w:cs="Arial"/>
                <w:b/>
                <w:bCs/>
                <w:sz w:val="18"/>
                <w:szCs w:val="18"/>
              </w:rPr>
            </w:pPr>
            <w:r>
              <w:rPr>
                <w:rFonts w:cs="Arial"/>
                <w:b/>
                <w:bCs/>
                <w:sz w:val="18"/>
                <w:szCs w:val="18"/>
              </w:rPr>
              <w:t>Leasehold improvements</w:t>
            </w:r>
          </w:p>
        </w:tc>
        <w:tc>
          <w:tcPr>
            <w:tcW w:w="3112" w:type="dxa"/>
            <w:gridSpan w:val="2"/>
            <w:tcBorders>
              <w:top w:val="single" w:sz="4" w:space="0" w:color="auto"/>
              <w:left w:val="nil"/>
              <w:bottom w:val="nil"/>
              <w:right w:val="nil"/>
            </w:tcBorders>
            <w:shd w:val="clear" w:color="FFFFFF" w:fill="FFFFFF"/>
            <w:vAlign w:val="bottom"/>
            <w:hideMark/>
          </w:tcPr>
          <w:p w14:paraId="149353FC" w14:textId="77777777" w:rsidR="00C32CBD" w:rsidRDefault="00C32CBD" w:rsidP="00320D09">
            <w:pPr>
              <w:jc w:val="center"/>
              <w:rPr>
                <w:rFonts w:cs="Arial"/>
                <w:b/>
                <w:bCs/>
                <w:sz w:val="18"/>
                <w:szCs w:val="18"/>
              </w:rPr>
            </w:pPr>
            <w:r>
              <w:rPr>
                <w:rFonts w:cs="Arial"/>
                <w:b/>
                <w:bCs/>
                <w:sz w:val="18"/>
                <w:szCs w:val="18"/>
              </w:rPr>
              <w:t>Property, plant and equipment</w:t>
            </w:r>
          </w:p>
        </w:tc>
        <w:tc>
          <w:tcPr>
            <w:tcW w:w="3112" w:type="dxa"/>
            <w:gridSpan w:val="2"/>
            <w:tcBorders>
              <w:top w:val="single" w:sz="4" w:space="0" w:color="auto"/>
              <w:left w:val="nil"/>
              <w:bottom w:val="nil"/>
              <w:right w:val="nil"/>
            </w:tcBorders>
            <w:shd w:val="clear" w:color="FFFFFF" w:fill="FFFFFF"/>
            <w:vAlign w:val="bottom"/>
            <w:hideMark/>
          </w:tcPr>
          <w:p w14:paraId="73099E8B" w14:textId="77777777" w:rsidR="00C32CBD" w:rsidRDefault="00C32CBD" w:rsidP="00320D09">
            <w:pPr>
              <w:jc w:val="center"/>
              <w:rPr>
                <w:rFonts w:cs="Arial"/>
                <w:b/>
                <w:bCs/>
                <w:sz w:val="18"/>
                <w:szCs w:val="18"/>
              </w:rPr>
            </w:pPr>
            <w:r>
              <w:rPr>
                <w:rFonts w:cs="Arial"/>
                <w:b/>
                <w:bCs/>
                <w:sz w:val="18"/>
                <w:szCs w:val="18"/>
              </w:rPr>
              <w:t>Total</w:t>
            </w:r>
          </w:p>
        </w:tc>
      </w:tr>
      <w:tr w:rsidR="00C32CBD" w14:paraId="7A7851DA" w14:textId="77777777" w:rsidTr="00320D09">
        <w:trPr>
          <w:trHeight w:val="255"/>
        </w:trPr>
        <w:tc>
          <w:tcPr>
            <w:tcW w:w="4376" w:type="dxa"/>
            <w:tcBorders>
              <w:top w:val="nil"/>
              <w:left w:val="nil"/>
              <w:bottom w:val="nil"/>
              <w:right w:val="nil"/>
            </w:tcBorders>
            <w:shd w:val="clear" w:color="FFFFFF" w:fill="FFFFFF"/>
            <w:noWrap/>
            <w:vAlign w:val="bottom"/>
            <w:hideMark/>
          </w:tcPr>
          <w:p w14:paraId="4A72F2E5" w14:textId="77777777" w:rsidR="00C32CBD" w:rsidRDefault="00C32CBD" w:rsidP="00320D09">
            <w:pPr>
              <w:rPr>
                <w:rFonts w:cs="Arial"/>
                <w:b/>
                <w:bCs/>
                <w:sz w:val="18"/>
                <w:szCs w:val="18"/>
              </w:rPr>
            </w:pPr>
            <w:r>
              <w:rPr>
                <w:rFonts w:cs="Arial"/>
                <w:b/>
                <w:bCs/>
                <w:sz w:val="18"/>
                <w:szCs w:val="18"/>
              </w:rPr>
              <w:t> </w:t>
            </w:r>
          </w:p>
        </w:tc>
        <w:tc>
          <w:tcPr>
            <w:tcW w:w="1556" w:type="dxa"/>
            <w:tcBorders>
              <w:top w:val="nil"/>
              <w:left w:val="nil"/>
              <w:bottom w:val="nil"/>
              <w:right w:val="nil"/>
            </w:tcBorders>
            <w:shd w:val="clear" w:color="FFFFFF" w:fill="FFFFFF"/>
            <w:noWrap/>
            <w:vAlign w:val="bottom"/>
            <w:hideMark/>
          </w:tcPr>
          <w:p w14:paraId="36DD1302" w14:textId="77777777" w:rsidR="00C32CBD" w:rsidRDefault="00C32CBD" w:rsidP="00320D09">
            <w:pPr>
              <w:jc w:val="right"/>
              <w:rPr>
                <w:rFonts w:cs="Arial"/>
                <w:b/>
                <w:bCs/>
                <w:sz w:val="18"/>
                <w:szCs w:val="18"/>
              </w:rPr>
            </w:pPr>
            <w:r>
              <w:rPr>
                <w:rFonts w:cs="Arial"/>
                <w:b/>
                <w:bCs/>
                <w:sz w:val="18"/>
                <w:szCs w:val="18"/>
              </w:rPr>
              <w:t>2017</w:t>
            </w:r>
          </w:p>
        </w:tc>
        <w:tc>
          <w:tcPr>
            <w:tcW w:w="1556" w:type="dxa"/>
            <w:tcBorders>
              <w:top w:val="nil"/>
              <w:left w:val="nil"/>
              <w:bottom w:val="nil"/>
              <w:right w:val="nil"/>
            </w:tcBorders>
            <w:shd w:val="clear" w:color="FFFFFF" w:fill="FFFFFF"/>
            <w:noWrap/>
            <w:vAlign w:val="bottom"/>
            <w:hideMark/>
          </w:tcPr>
          <w:p w14:paraId="5A2F0912" w14:textId="77777777" w:rsidR="00C32CBD" w:rsidRDefault="00C32CBD" w:rsidP="00320D09">
            <w:pPr>
              <w:jc w:val="right"/>
              <w:rPr>
                <w:rFonts w:cs="Arial"/>
                <w:sz w:val="18"/>
                <w:szCs w:val="18"/>
              </w:rPr>
            </w:pPr>
            <w:r>
              <w:rPr>
                <w:rFonts w:cs="Arial"/>
                <w:sz w:val="18"/>
                <w:szCs w:val="18"/>
              </w:rPr>
              <w:t>2016</w:t>
            </w:r>
          </w:p>
        </w:tc>
        <w:tc>
          <w:tcPr>
            <w:tcW w:w="1556" w:type="dxa"/>
            <w:tcBorders>
              <w:top w:val="nil"/>
              <w:left w:val="nil"/>
              <w:bottom w:val="nil"/>
              <w:right w:val="nil"/>
            </w:tcBorders>
            <w:shd w:val="clear" w:color="FFFFFF" w:fill="FFFFFF"/>
            <w:noWrap/>
            <w:vAlign w:val="bottom"/>
            <w:hideMark/>
          </w:tcPr>
          <w:p w14:paraId="597BCD1B" w14:textId="77777777" w:rsidR="00C32CBD" w:rsidRDefault="00C32CBD" w:rsidP="00320D09">
            <w:pPr>
              <w:jc w:val="right"/>
              <w:rPr>
                <w:rFonts w:cs="Arial"/>
                <w:b/>
                <w:bCs/>
                <w:sz w:val="18"/>
                <w:szCs w:val="18"/>
              </w:rPr>
            </w:pPr>
            <w:r>
              <w:rPr>
                <w:rFonts w:cs="Arial"/>
                <w:b/>
                <w:bCs/>
                <w:sz w:val="18"/>
                <w:szCs w:val="18"/>
              </w:rPr>
              <w:t>2017</w:t>
            </w:r>
          </w:p>
        </w:tc>
        <w:tc>
          <w:tcPr>
            <w:tcW w:w="1556" w:type="dxa"/>
            <w:tcBorders>
              <w:top w:val="nil"/>
              <w:left w:val="nil"/>
              <w:bottom w:val="nil"/>
              <w:right w:val="nil"/>
            </w:tcBorders>
            <w:shd w:val="clear" w:color="FFFFFF" w:fill="FFFFFF"/>
            <w:noWrap/>
            <w:vAlign w:val="bottom"/>
            <w:hideMark/>
          </w:tcPr>
          <w:p w14:paraId="7D786F47" w14:textId="77777777" w:rsidR="00C32CBD" w:rsidRDefault="00C32CBD" w:rsidP="00320D09">
            <w:pPr>
              <w:jc w:val="right"/>
              <w:rPr>
                <w:rFonts w:cs="Arial"/>
                <w:sz w:val="18"/>
                <w:szCs w:val="18"/>
              </w:rPr>
            </w:pPr>
            <w:r>
              <w:rPr>
                <w:rFonts w:cs="Arial"/>
                <w:sz w:val="18"/>
                <w:szCs w:val="18"/>
              </w:rPr>
              <w:t>2016</w:t>
            </w:r>
          </w:p>
        </w:tc>
        <w:tc>
          <w:tcPr>
            <w:tcW w:w="1556" w:type="dxa"/>
            <w:tcBorders>
              <w:top w:val="nil"/>
              <w:left w:val="nil"/>
              <w:bottom w:val="nil"/>
              <w:right w:val="nil"/>
            </w:tcBorders>
            <w:shd w:val="clear" w:color="FFFFFF" w:fill="FFFFFF"/>
            <w:noWrap/>
            <w:vAlign w:val="bottom"/>
            <w:hideMark/>
          </w:tcPr>
          <w:p w14:paraId="1051FB45" w14:textId="77777777" w:rsidR="00C32CBD" w:rsidRDefault="00C32CBD" w:rsidP="00320D09">
            <w:pPr>
              <w:jc w:val="right"/>
              <w:rPr>
                <w:rFonts w:cs="Arial"/>
                <w:b/>
                <w:bCs/>
                <w:sz w:val="18"/>
                <w:szCs w:val="18"/>
              </w:rPr>
            </w:pPr>
            <w:r>
              <w:rPr>
                <w:rFonts w:cs="Arial"/>
                <w:b/>
                <w:bCs/>
                <w:sz w:val="18"/>
                <w:szCs w:val="18"/>
              </w:rPr>
              <w:t>2017</w:t>
            </w:r>
          </w:p>
        </w:tc>
        <w:tc>
          <w:tcPr>
            <w:tcW w:w="1556" w:type="dxa"/>
            <w:tcBorders>
              <w:top w:val="nil"/>
              <w:left w:val="nil"/>
              <w:bottom w:val="nil"/>
              <w:right w:val="nil"/>
            </w:tcBorders>
            <w:shd w:val="clear" w:color="FFFFFF" w:fill="FFFFFF"/>
            <w:noWrap/>
            <w:vAlign w:val="bottom"/>
            <w:hideMark/>
          </w:tcPr>
          <w:p w14:paraId="34213EF0" w14:textId="77777777" w:rsidR="00C32CBD" w:rsidRDefault="00C32CBD" w:rsidP="00320D09">
            <w:pPr>
              <w:jc w:val="right"/>
              <w:rPr>
                <w:rFonts w:cs="Arial"/>
                <w:sz w:val="18"/>
                <w:szCs w:val="18"/>
              </w:rPr>
            </w:pPr>
            <w:r>
              <w:rPr>
                <w:rFonts w:cs="Arial"/>
                <w:sz w:val="18"/>
                <w:szCs w:val="18"/>
              </w:rPr>
              <w:t>2016</w:t>
            </w:r>
          </w:p>
        </w:tc>
      </w:tr>
      <w:tr w:rsidR="00C32CBD" w14:paraId="4A0D3A94" w14:textId="77777777" w:rsidTr="00320D09">
        <w:trPr>
          <w:trHeight w:val="255"/>
        </w:trPr>
        <w:tc>
          <w:tcPr>
            <w:tcW w:w="4376" w:type="dxa"/>
            <w:tcBorders>
              <w:top w:val="nil"/>
              <w:left w:val="nil"/>
              <w:bottom w:val="single" w:sz="4" w:space="0" w:color="auto"/>
              <w:right w:val="nil"/>
            </w:tcBorders>
            <w:shd w:val="clear" w:color="FFFFFF" w:fill="FFFFFF"/>
            <w:noWrap/>
            <w:vAlign w:val="bottom"/>
            <w:hideMark/>
          </w:tcPr>
          <w:p w14:paraId="74E92223" w14:textId="77777777" w:rsidR="00C32CBD" w:rsidRDefault="00C32CBD" w:rsidP="00320D09">
            <w:pPr>
              <w:rPr>
                <w:rFonts w:cs="Arial"/>
                <w:b/>
                <w:bCs/>
                <w:sz w:val="18"/>
                <w:szCs w:val="18"/>
              </w:rPr>
            </w:pPr>
            <w:r>
              <w:rPr>
                <w:rFonts w:cs="Arial"/>
                <w:b/>
                <w:bCs/>
                <w:sz w:val="18"/>
                <w:szCs w:val="18"/>
              </w:rPr>
              <w:t> </w:t>
            </w:r>
          </w:p>
        </w:tc>
        <w:tc>
          <w:tcPr>
            <w:tcW w:w="1556" w:type="dxa"/>
            <w:tcBorders>
              <w:top w:val="nil"/>
              <w:left w:val="nil"/>
              <w:bottom w:val="single" w:sz="4" w:space="0" w:color="auto"/>
              <w:right w:val="nil"/>
            </w:tcBorders>
            <w:shd w:val="clear" w:color="FFFFFF" w:fill="FFFFFF"/>
            <w:noWrap/>
            <w:vAlign w:val="bottom"/>
            <w:hideMark/>
          </w:tcPr>
          <w:p w14:paraId="2ECF81FE" w14:textId="77777777" w:rsidR="00C32CBD" w:rsidRDefault="00C32CBD" w:rsidP="00320D09">
            <w:pPr>
              <w:jc w:val="right"/>
              <w:rPr>
                <w:rFonts w:cs="Arial"/>
                <w:b/>
                <w:bCs/>
                <w:sz w:val="18"/>
                <w:szCs w:val="18"/>
              </w:rPr>
            </w:pPr>
            <w:r>
              <w:rPr>
                <w:rFonts w:cs="Arial"/>
                <w:b/>
                <w:bCs/>
                <w:sz w:val="18"/>
                <w:szCs w:val="18"/>
              </w:rPr>
              <w:t>$'000</w:t>
            </w:r>
          </w:p>
        </w:tc>
        <w:tc>
          <w:tcPr>
            <w:tcW w:w="1556" w:type="dxa"/>
            <w:tcBorders>
              <w:top w:val="nil"/>
              <w:left w:val="nil"/>
              <w:bottom w:val="single" w:sz="4" w:space="0" w:color="auto"/>
              <w:right w:val="nil"/>
            </w:tcBorders>
            <w:shd w:val="clear" w:color="FFFFFF" w:fill="FFFFFF"/>
            <w:noWrap/>
            <w:vAlign w:val="bottom"/>
            <w:hideMark/>
          </w:tcPr>
          <w:p w14:paraId="69BAA8B0" w14:textId="77777777" w:rsidR="00C32CBD" w:rsidRDefault="00C32CBD" w:rsidP="00320D09">
            <w:pPr>
              <w:jc w:val="right"/>
              <w:rPr>
                <w:rFonts w:cs="Arial"/>
                <w:sz w:val="18"/>
                <w:szCs w:val="18"/>
              </w:rPr>
            </w:pPr>
            <w:r>
              <w:rPr>
                <w:rFonts w:cs="Arial"/>
                <w:sz w:val="18"/>
                <w:szCs w:val="18"/>
              </w:rPr>
              <w:t>$'000</w:t>
            </w:r>
          </w:p>
        </w:tc>
        <w:tc>
          <w:tcPr>
            <w:tcW w:w="1556" w:type="dxa"/>
            <w:tcBorders>
              <w:top w:val="nil"/>
              <w:left w:val="nil"/>
              <w:bottom w:val="single" w:sz="4" w:space="0" w:color="auto"/>
              <w:right w:val="nil"/>
            </w:tcBorders>
            <w:shd w:val="clear" w:color="FFFFFF" w:fill="FFFFFF"/>
            <w:noWrap/>
            <w:vAlign w:val="bottom"/>
            <w:hideMark/>
          </w:tcPr>
          <w:p w14:paraId="38E669B7" w14:textId="77777777" w:rsidR="00C32CBD" w:rsidRDefault="00C32CBD" w:rsidP="00320D09">
            <w:pPr>
              <w:jc w:val="right"/>
              <w:rPr>
                <w:rFonts w:cs="Arial"/>
                <w:b/>
                <w:bCs/>
                <w:sz w:val="18"/>
                <w:szCs w:val="18"/>
              </w:rPr>
            </w:pPr>
            <w:r>
              <w:rPr>
                <w:rFonts w:cs="Arial"/>
                <w:b/>
                <w:bCs/>
                <w:sz w:val="18"/>
                <w:szCs w:val="18"/>
              </w:rPr>
              <w:t>$'000</w:t>
            </w:r>
          </w:p>
        </w:tc>
        <w:tc>
          <w:tcPr>
            <w:tcW w:w="1556" w:type="dxa"/>
            <w:tcBorders>
              <w:top w:val="nil"/>
              <w:left w:val="nil"/>
              <w:bottom w:val="single" w:sz="4" w:space="0" w:color="auto"/>
              <w:right w:val="nil"/>
            </w:tcBorders>
            <w:shd w:val="clear" w:color="FFFFFF" w:fill="FFFFFF"/>
            <w:noWrap/>
            <w:vAlign w:val="bottom"/>
            <w:hideMark/>
          </w:tcPr>
          <w:p w14:paraId="7A725C08" w14:textId="77777777" w:rsidR="00C32CBD" w:rsidRDefault="00C32CBD" w:rsidP="00320D09">
            <w:pPr>
              <w:jc w:val="right"/>
              <w:rPr>
                <w:rFonts w:cs="Arial"/>
                <w:sz w:val="18"/>
                <w:szCs w:val="18"/>
              </w:rPr>
            </w:pPr>
            <w:r>
              <w:rPr>
                <w:rFonts w:cs="Arial"/>
                <w:sz w:val="18"/>
                <w:szCs w:val="18"/>
              </w:rPr>
              <w:t>$'000</w:t>
            </w:r>
          </w:p>
        </w:tc>
        <w:tc>
          <w:tcPr>
            <w:tcW w:w="1556" w:type="dxa"/>
            <w:tcBorders>
              <w:top w:val="nil"/>
              <w:left w:val="nil"/>
              <w:bottom w:val="single" w:sz="4" w:space="0" w:color="auto"/>
              <w:right w:val="nil"/>
            </w:tcBorders>
            <w:shd w:val="clear" w:color="FFFFFF" w:fill="FFFFFF"/>
            <w:noWrap/>
            <w:vAlign w:val="bottom"/>
            <w:hideMark/>
          </w:tcPr>
          <w:p w14:paraId="104194D9" w14:textId="77777777" w:rsidR="00C32CBD" w:rsidRDefault="00C32CBD" w:rsidP="00320D09">
            <w:pPr>
              <w:jc w:val="right"/>
              <w:rPr>
                <w:rFonts w:cs="Arial"/>
                <w:b/>
                <w:bCs/>
                <w:sz w:val="18"/>
                <w:szCs w:val="18"/>
              </w:rPr>
            </w:pPr>
            <w:r>
              <w:rPr>
                <w:rFonts w:cs="Arial"/>
                <w:b/>
                <w:bCs/>
                <w:sz w:val="18"/>
                <w:szCs w:val="18"/>
              </w:rPr>
              <w:t>$'000</w:t>
            </w:r>
          </w:p>
        </w:tc>
        <w:tc>
          <w:tcPr>
            <w:tcW w:w="1556" w:type="dxa"/>
            <w:tcBorders>
              <w:top w:val="nil"/>
              <w:left w:val="nil"/>
              <w:bottom w:val="single" w:sz="4" w:space="0" w:color="auto"/>
              <w:right w:val="nil"/>
            </w:tcBorders>
            <w:shd w:val="clear" w:color="FFFFFF" w:fill="FFFFFF"/>
            <w:noWrap/>
            <w:vAlign w:val="bottom"/>
            <w:hideMark/>
          </w:tcPr>
          <w:p w14:paraId="3EF7F8B6" w14:textId="77777777" w:rsidR="00C32CBD" w:rsidRDefault="00C32CBD" w:rsidP="00320D09">
            <w:pPr>
              <w:jc w:val="right"/>
              <w:rPr>
                <w:rFonts w:cs="Arial"/>
                <w:sz w:val="18"/>
                <w:szCs w:val="18"/>
              </w:rPr>
            </w:pPr>
            <w:r>
              <w:rPr>
                <w:rFonts w:cs="Arial"/>
                <w:sz w:val="18"/>
                <w:szCs w:val="18"/>
              </w:rPr>
              <w:t>$'000</w:t>
            </w:r>
          </w:p>
        </w:tc>
      </w:tr>
      <w:tr w:rsidR="00C32CBD" w14:paraId="1B72186F" w14:textId="77777777" w:rsidTr="00320D09">
        <w:trPr>
          <w:trHeight w:val="255"/>
        </w:trPr>
        <w:tc>
          <w:tcPr>
            <w:tcW w:w="4376" w:type="dxa"/>
            <w:tcBorders>
              <w:top w:val="nil"/>
              <w:left w:val="nil"/>
              <w:bottom w:val="nil"/>
              <w:right w:val="nil"/>
            </w:tcBorders>
            <w:shd w:val="clear" w:color="FFFFFF" w:fill="FFFFFF"/>
            <w:noWrap/>
            <w:vAlign w:val="bottom"/>
            <w:hideMark/>
          </w:tcPr>
          <w:p w14:paraId="788D1F25" w14:textId="77777777" w:rsidR="00C32CBD" w:rsidRDefault="00C32CBD" w:rsidP="00320D09">
            <w:pPr>
              <w:rPr>
                <w:rFonts w:cs="Arial"/>
                <w:b/>
                <w:bCs/>
                <w:sz w:val="18"/>
                <w:szCs w:val="18"/>
              </w:rPr>
            </w:pPr>
            <w:r>
              <w:rPr>
                <w:rFonts w:cs="Arial"/>
                <w:b/>
                <w:bCs/>
                <w:sz w:val="18"/>
                <w:szCs w:val="18"/>
              </w:rPr>
              <w:t>Opening balance</w:t>
            </w:r>
          </w:p>
        </w:tc>
        <w:tc>
          <w:tcPr>
            <w:tcW w:w="1556" w:type="dxa"/>
            <w:tcBorders>
              <w:top w:val="nil"/>
              <w:left w:val="nil"/>
              <w:bottom w:val="nil"/>
              <w:right w:val="nil"/>
            </w:tcBorders>
            <w:shd w:val="clear" w:color="FFFFFF" w:fill="FFFFFF"/>
            <w:noWrap/>
            <w:vAlign w:val="bottom"/>
            <w:hideMark/>
          </w:tcPr>
          <w:p w14:paraId="58F0D769" w14:textId="77777777" w:rsidR="00C32CBD" w:rsidRDefault="00C32CBD" w:rsidP="00320D09">
            <w:pPr>
              <w:jc w:val="right"/>
              <w:rPr>
                <w:rFonts w:cs="Arial"/>
                <w:b/>
                <w:bCs/>
                <w:sz w:val="18"/>
                <w:szCs w:val="18"/>
              </w:rPr>
            </w:pPr>
            <w:r>
              <w:rPr>
                <w:rFonts w:cs="Arial"/>
                <w:b/>
                <w:bCs/>
                <w:sz w:val="18"/>
                <w:szCs w:val="18"/>
              </w:rPr>
              <w:t>24,301</w:t>
            </w:r>
          </w:p>
        </w:tc>
        <w:tc>
          <w:tcPr>
            <w:tcW w:w="1556" w:type="dxa"/>
            <w:tcBorders>
              <w:top w:val="nil"/>
              <w:left w:val="nil"/>
              <w:bottom w:val="nil"/>
              <w:right w:val="nil"/>
            </w:tcBorders>
            <w:shd w:val="clear" w:color="FFFFFF" w:fill="FFFFFF"/>
            <w:noWrap/>
            <w:vAlign w:val="bottom"/>
            <w:hideMark/>
          </w:tcPr>
          <w:p w14:paraId="2A84B27C" w14:textId="77777777" w:rsidR="00C32CBD" w:rsidRDefault="00C32CBD" w:rsidP="00320D09">
            <w:pPr>
              <w:jc w:val="right"/>
              <w:rPr>
                <w:rFonts w:cs="Arial"/>
                <w:sz w:val="18"/>
                <w:szCs w:val="18"/>
              </w:rPr>
            </w:pPr>
            <w:r>
              <w:rPr>
                <w:rFonts w:cs="Arial"/>
                <w:sz w:val="18"/>
                <w:szCs w:val="18"/>
              </w:rPr>
              <w:t>26,463</w:t>
            </w:r>
          </w:p>
        </w:tc>
        <w:tc>
          <w:tcPr>
            <w:tcW w:w="1556" w:type="dxa"/>
            <w:tcBorders>
              <w:top w:val="nil"/>
              <w:left w:val="nil"/>
              <w:bottom w:val="nil"/>
              <w:right w:val="nil"/>
            </w:tcBorders>
            <w:shd w:val="clear" w:color="FFFFFF" w:fill="FFFFFF"/>
            <w:noWrap/>
            <w:vAlign w:val="bottom"/>
            <w:hideMark/>
          </w:tcPr>
          <w:p w14:paraId="3FC002A2" w14:textId="77777777" w:rsidR="00C32CBD" w:rsidRDefault="00C32CBD" w:rsidP="00320D09">
            <w:pPr>
              <w:jc w:val="right"/>
              <w:rPr>
                <w:rFonts w:cs="Arial"/>
                <w:b/>
                <w:bCs/>
                <w:sz w:val="18"/>
                <w:szCs w:val="18"/>
              </w:rPr>
            </w:pPr>
            <w:r>
              <w:rPr>
                <w:rFonts w:cs="Arial"/>
                <w:b/>
                <w:bCs/>
                <w:sz w:val="18"/>
                <w:szCs w:val="18"/>
              </w:rPr>
              <w:t>1,012</w:t>
            </w:r>
          </w:p>
        </w:tc>
        <w:tc>
          <w:tcPr>
            <w:tcW w:w="1556" w:type="dxa"/>
            <w:tcBorders>
              <w:top w:val="nil"/>
              <w:left w:val="nil"/>
              <w:bottom w:val="nil"/>
              <w:right w:val="nil"/>
            </w:tcBorders>
            <w:shd w:val="clear" w:color="FFFFFF" w:fill="FFFFFF"/>
            <w:noWrap/>
            <w:vAlign w:val="bottom"/>
            <w:hideMark/>
          </w:tcPr>
          <w:p w14:paraId="4431D48C" w14:textId="77777777" w:rsidR="00C32CBD" w:rsidRDefault="00C32CBD" w:rsidP="00320D09">
            <w:pPr>
              <w:jc w:val="right"/>
              <w:rPr>
                <w:rFonts w:cs="Arial"/>
                <w:sz w:val="18"/>
                <w:szCs w:val="18"/>
              </w:rPr>
            </w:pPr>
            <w:r>
              <w:rPr>
                <w:rFonts w:cs="Arial"/>
                <w:sz w:val="18"/>
                <w:szCs w:val="18"/>
              </w:rPr>
              <w:t>1,456</w:t>
            </w:r>
          </w:p>
        </w:tc>
        <w:tc>
          <w:tcPr>
            <w:tcW w:w="1556" w:type="dxa"/>
            <w:tcBorders>
              <w:top w:val="nil"/>
              <w:left w:val="nil"/>
              <w:bottom w:val="nil"/>
              <w:right w:val="nil"/>
            </w:tcBorders>
            <w:shd w:val="clear" w:color="FFFFFF" w:fill="FFFFFF"/>
            <w:noWrap/>
            <w:vAlign w:val="bottom"/>
            <w:hideMark/>
          </w:tcPr>
          <w:p w14:paraId="46B3D494" w14:textId="77777777" w:rsidR="00C32CBD" w:rsidRDefault="00C32CBD" w:rsidP="00320D09">
            <w:pPr>
              <w:jc w:val="right"/>
              <w:rPr>
                <w:rFonts w:cs="Arial"/>
                <w:b/>
                <w:bCs/>
                <w:sz w:val="18"/>
                <w:szCs w:val="18"/>
              </w:rPr>
            </w:pPr>
            <w:r>
              <w:rPr>
                <w:rFonts w:cs="Arial"/>
                <w:b/>
                <w:bCs/>
                <w:sz w:val="18"/>
                <w:szCs w:val="18"/>
              </w:rPr>
              <w:t>25,313</w:t>
            </w:r>
          </w:p>
        </w:tc>
        <w:tc>
          <w:tcPr>
            <w:tcW w:w="1556" w:type="dxa"/>
            <w:tcBorders>
              <w:top w:val="nil"/>
              <w:left w:val="nil"/>
              <w:bottom w:val="nil"/>
              <w:right w:val="nil"/>
            </w:tcBorders>
            <w:shd w:val="clear" w:color="FFFFFF" w:fill="FFFFFF"/>
            <w:noWrap/>
            <w:vAlign w:val="bottom"/>
            <w:hideMark/>
          </w:tcPr>
          <w:p w14:paraId="7BEF03CF" w14:textId="77777777" w:rsidR="00C32CBD" w:rsidRDefault="00C32CBD" w:rsidP="00320D09">
            <w:pPr>
              <w:jc w:val="right"/>
              <w:rPr>
                <w:rFonts w:cs="Arial"/>
                <w:sz w:val="18"/>
                <w:szCs w:val="18"/>
              </w:rPr>
            </w:pPr>
            <w:r>
              <w:rPr>
                <w:rFonts w:cs="Arial"/>
                <w:sz w:val="18"/>
                <w:szCs w:val="18"/>
              </w:rPr>
              <w:t>27,919</w:t>
            </w:r>
          </w:p>
        </w:tc>
      </w:tr>
      <w:tr w:rsidR="00C32CBD" w14:paraId="6F6F86AB" w14:textId="77777777" w:rsidTr="00320D09">
        <w:trPr>
          <w:trHeight w:val="255"/>
        </w:trPr>
        <w:tc>
          <w:tcPr>
            <w:tcW w:w="4376" w:type="dxa"/>
            <w:tcBorders>
              <w:top w:val="nil"/>
              <w:left w:val="nil"/>
              <w:bottom w:val="nil"/>
              <w:right w:val="nil"/>
            </w:tcBorders>
            <w:shd w:val="clear" w:color="FFFFFF" w:fill="FFFFFF"/>
            <w:vAlign w:val="bottom"/>
            <w:hideMark/>
          </w:tcPr>
          <w:p w14:paraId="03201419" w14:textId="77777777" w:rsidR="00C32CBD" w:rsidRDefault="00C32CBD" w:rsidP="00320D09">
            <w:pPr>
              <w:rPr>
                <w:rFonts w:cs="Arial"/>
                <w:sz w:val="18"/>
                <w:szCs w:val="18"/>
              </w:rPr>
            </w:pPr>
            <w:r>
              <w:rPr>
                <w:rFonts w:cs="Arial"/>
                <w:sz w:val="18"/>
                <w:szCs w:val="18"/>
              </w:rPr>
              <w:t>Purchases</w:t>
            </w:r>
          </w:p>
        </w:tc>
        <w:tc>
          <w:tcPr>
            <w:tcW w:w="1556" w:type="dxa"/>
            <w:tcBorders>
              <w:top w:val="nil"/>
              <w:left w:val="nil"/>
              <w:bottom w:val="nil"/>
              <w:right w:val="nil"/>
            </w:tcBorders>
            <w:shd w:val="clear" w:color="FFFFFF" w:fill="FFFFFF"/>
            <w:noWrap/>
            <w:vAlign w:val="bottom"/>
            <w:hideMark/>
          </w:tcPr>
          <w:p w14:paraId="00AFB849" w14:textId="77777777" w:rsidR="00C32CBD" w:rsidRDefault="00C32CBD" w:rsidP="00320D09">
            <w:pPr>
              <w:jc w:val="right"/>
              <w:rPr>
                <w:rFonts w:cs="Arial"/>
                <w:b/>
                <w:bCs/>
                <w:sz w:val="18"/>
                <w:szCs w:val="18"/>
              </w:rPr>
            </w:pPr>
            <w:r>
              <w:rPr>
                <w:rFonts w:cs="Arial"/>
                <w:b/>
                <w:bCs/>
                <w:sz w:val="18"/>
                <w:szCs w:val="18"/>
              </w:rPr>
              <w:t>15,371</w:t>
            </w:r>
          </w:p>
        </w:tc>
        <w:tc>
          <w:tcPr>
            <w:tcW w:w="1556" w:type="dxa"/>
            <w:tcBorders>
              <w:top w:val="nil"/>
              <w:left w:val="nil"/>
              <w:bottom w:val="nil"/>
              <w:right w:val="nil"/>
            </w:tcBorders>
            <w:shd w:val="clear" w:color="FFFFFF" w:fill="FFFFFF"/>
            <w:noWrap/>
            <w:vAlign w:val="bottom"/>
            <w:hideMark/>
          </w:tcPr>
          <w:p w14:paraId="703D7AA5" w14:textId="77777777" w:rsidR="00C32CBD" w:rsidRDefault="00C32CBD" w:rsidP="00320D09">
            <w:pPr>
              <w:jc w:val="right"/>
              <w:rPr>
                <w:rFonts w:cs="Arial"/>
                <w:sz w:val="18"/>
                <w:szCs w:val="18"/>
              </w:rPr>
            </w:pPr>
            <w:r>
              <w:rPr>
                <w:rFonts w:cs="Arial"/>
                <w:sz w:val="18"/>
                <w:szCs w:val="18"/>
              </w:rPr>
              <w:t>3,829</w:t>
            </w:r>
          </w:p>
        </w:tc>
        <w:tc>
          <w:tcPr>
            <w:tcW w:w="1556" w:type="dxa"/>
            <w:tcBorders>
              <w:top w:val="nil"/>
              <w:left w:val="nil"/>
              <w:bottom w:val="nil"/>
              <w:right w:val="nil"/>
            </w:tcBorders>
            <w:shd w:val="clear" w:color="FFFFFF" w:fill="FFFFFF"/>
            <w:noWrap/>
            <w:vAlign w:val="bottom"/>
            <w:hideMark/>
          </w:tcPr>
          <w:p w14:paraId="019710A3" w14:textId="77777777" w:rsidR="00C32CBD" w:rsidRDefault="00C32CBD" w:rsidP="00320D09">
            <w:pPr>
              <w:jc w:val="right"/>
              <w:rPr>
                <w:rFonts w:cs="Arial"/>
                <w:b/>
                <w:bCs/>
                <w:sz w:val="18"/>
                <w:szCs w:val="18"/>
              </w:rPr>
            </w:pPr>
            <w:r>
              <w:rPr>
                <w:rFonts w:cs="Arial"/>
                <w:b/>
                <w:bCs/>
                <w:sz w:val="18"/>
                <w:szCs w:val="18"/>
              </w:rPr>
              <w:t>-</w:t>
            </w:r>
          </w:p>
        </w:tc>
        <w:tc>
          <w:tcPr>
            <w:tcW w:w="1556" w:type="dxa"/>
            <w:tcBorders>
              <w:top w:val="nil"/>
              <w:left w:val="nil"/>
              <w:bottom w:val="nil"/>
              <w:right w:val="nil"/>
            </w:tcBorders>
            <w:shd w:val="clear" w:color="FFFFFF" w:fill="FFFFFF"/>
            <w:noWrap/>
            <w:vAlign w:val="bottom"/>
            <w:hideMark/>
          </w:tcPr>
          <w:p w14:paraId="1B65F7E3" w14:textId="77777777" w:rsidR="00C32CBD" w:rsidRDefault="00C32CBD" w:rsidP="00320D09">
            <w:pPr>
              <w:jc w:val="right"/>
              <w:rPr>
                <w:rFonts w:cs="Arial"/>
                <w:sz w:val="18"/>
                <w:szCs w:val="18"/>
              </w:rPr>
            </w:pPr>
            <w:r>
              <w:rPr>
                <w:rFonts w:cs="Arial"/>
                <w:sz w:val="18"/>
                <w:szCs w:val="18"/>
              </w:rPr>
              <w:t>396</w:t>
            </w:r>
          </w:p>
        </w:tc>
        <w:tc>
          <w:tcPr>
            <w:tcW w:w="1556" w:type="dxa"/>
            <w:tcBorders>
              <w:top w:val="nil"/>
              <w:left w:val="nil"/>
              <w:bottom w:val="nil"/>
              <w:right w:val="nil"/>
            </w:tcBorders>
            <w:shd w:val="clear" w:color="FFFFFF" w:fill="FFFFFF"/>
            <w:noWrap/>
            <w:vAlign w:val="bottom"/>
            <w:hideMark/>
          </w:tcPr>
          <w:p w14:paraId="31E37B8F" w14:textId="77777777" w:rsidR="00C32CBD" w:rsidRDefault="00C32CBD" w:rsidP="00320D09">
            <w:pPr>
              <w:jc w:val="right"/>
              <w:rPr>
                <w:rFonts w:cs="Arial"/>
                <w:b/>
                <w:bCs/>
                <w:sz w:val="18"/>
                <w:szCs w:val="18"/>
              </w:rPr>
            </w:pPr>
            <w:r>
              <w:rPr>
                <w:rFonts w:cs="Arial"/>
                <w:b/>
                <w:bCs/>
                <w:sz w:val="18"/>
                <w:szCs w:val="18"/>
              </w:rPr>
              <w:t>15,371</w:t>
            </w:r>
          </w:p>
        </w:tc>
        <w:tc>
          <w:tcPr>
            <w:tcW w:w="1556" w:type="dxa"/>
            <w:tcBorders>
              <w:top w:val="nil"/>
              <w:left w:val="nil"/>
              <w:bottom w:val="nil"/>
              <w:right w:val="nil"/>
            </w:tcBorders>
            <w:shd w:val="clear" w:color="FFFFFF" w:fill="FFFFFF"/>
            <w:noWrap/>
            <w:vAlign w:val="bottom"/>
            <w:hideMark/>
          </w:tcPr>
          <w:p w14:paraId="7F07F5D9" w14:textId="77777777" w:rsidR="00C32CBD" w:rsidRDefault="00C32CBD" w:rsidP="00320D09">
            <w:pPr>
              <w:jc w:val="right"/>
              <w:rPr>
                <w:rFonts w:cs="Arial"/>
                <w:sz w:val="18"/>
                <w:szCs w:val="18"/>
              </w:rPr>
            </w:pPr>
            <w:r>
              <w:rPr>
                <w:rFonts w:cs="Arial"/>
                <w:sz w:val="18"/>
                <w:szCs w:val="18"/>
              </w:rPr>
              <w:t>4,225</w:t>
            </w:r>
          </w:p>
        </w:tc>
      </w:tr>
      <w:tr w:rsidR="00C32CBD" w14:paraId="6D7E2C0D" w14:textId="77777777" w:rsidTr="00320D09">
        <w:trPr>
          <w:trHeight w:val="255"/>
        </w:trPr>
        <w:tc>
          <w:tcPr>
            <w:tcW w:w="4376" w:type="dxa"/>
            <w:tcBorders>
              <w:top w:val="nil"/>
              <w:left w:val="nil"/>
              <w:bottom w:val="nil"/>
              <w:right w:val="nil"/>
            </w:tcBorders>
            <w:shd w:val="clear" w:color="FFFFFF" w:fill="FFFFFF"/>
            <w:noWrap/>
            <w:vAlign w:val="bottom"/>
            <w:hideMark/>
          </w:tcPr>
          <w:p w14:paraId="248E47E2" w14:textId="77777777" w:rsidR="00C32CBD" w:rsidRDefault="00C32CBD" w:rsidP="00320D09">
            <w:pPr>
              <w:rPr>
                <w:rFonts w:cs="Arial"/>
                <w:sz w:val="18"/>
                <w:szCs w:val="18"/>
              </w:rPr>
            </w:pPr>
            <w:r>
              <w:rPr>
                <w:rFonts w:cs="Arial"/>
                <w:sz w:val="18"/>
                <w:szCs w:val="18"/>
              </w:rPr>
              <w:t>Revaluations in other comprehensive income</w:t>
            </w:r>
          </w:p>
        </w:tc>
        <w:tc>
          <w:tcPr>
            <w:tcW w:w="1556" w:type="dxa"/>
            <w:tcBorders>
              <w:top w:val="nil"/>
              <w:left w:val="nil"/>
              <w:bottom w:val="nil"/>
              <w:right w:val="nil"/>
            </w:tcBorders>
            <w:shd w:val="clear" w:color="FFFFFF" w:fill="FFFFFF"/>
            <w:noWrap/>
            <w:vAlign w:val="bottom"/>
            <w:hideMark/>
          </w:tcPr>
          <w:p w14:paraId="01686306" w14:textId="77777777" w:rsidR="00C32CBD" w:rsidRDefault="00C32CBD" w:rsidP="00320D09">
            <w:pPr>
              <w:jc w:val="right"/>
              <w:rPr>
                <w:rFonts w:cs="Arial"/>
                <w:b/>
                <w:bCs/>
                <w:sz w:val="18"/>
                <w:szCs w:val="18"/>
              </w:rPr>
            </w:pPr>
            <w:r>
              <w:rPr>
                <w:rFonts w:cs="Arial"/>
                <w:b/>
                <w:bCs/>
                <w:sz w:val="18"/>
                <w:szCs w:val="18"/>
              </w:rPr>
              <w:t>3,675</w:t>
            </w:r>
          </w:p>
        </w:tc>
        <w:tc>
          <w:tcPr>
            <w:tcW w:w="1556" w:type="dxa"/>
            <w:tcBorders>
              <w:top w:val="nil"/>
              <w:left w:val="nil"/>
              <w:bottom w:val="nil"/>
              <w:right w:val="nil"/>
            </w:tcBorders>
            <w:shd w:val="clear" w:color="FFFFFF" w:fill="FFFFFF"/>
            <w:noWrap/>
            <w:vAlign w:val="bottom"/>
            <w:hideMark/>
          </w:tcPr>
          <w:p w14:paraId="1CABA051" w14:textId="77777777" w:rsidR="00C32CBD" w:rsidRDefault="00C32CBD" w:rsidP="00320D09">
            <w:pPr>
              <w:jc w:val="right"/>
              <w:rPr>
                <w:rFonts w:cs="Arial"/>
                <w:sz w:val="18"/>
                <w:szCs w:val="18"/>
              </w:rPr>
            </w:pPr>
            <w:r>
              <w:rPr>
                <w:rFonts w:cs="Arial"/>
                <w:sz w:val="18"/>
                <w:szCs w:val="18"/>
              </w:rPr>
              <w:t>1,881</w:t>
            </w:r>
          </w:p>
        </w:tc>
        <w:tc>
          <w:tcPr>
            <w:tcW w:w="1556" w:type="dxa"/>
            <w:tcBorders>
              <w:top w:val="nil"/>
              <w:left w:val="nil"/>
              <w:bottom w:val="nil"/>
              <w:right w:val="nil"/>
            </w:tcBorders>
            <w:shd w:val="clear" w:color="FFFFFF" w:fill="FFFFFF"/>
            <w:noWrap/>
            <w:vAlign w:val="bottom"/>
            <w:hideMark/>
          </w:tcPr>
          <w:p w14:paraId="7F3213AC" w14:textId="77777777" w:rsidR="00C32CBD" w:rsidRDefault="00C32CBD" w:rsidP="00320D09">
            <w:pPr>
              <w:jc w:val="right"/>
              <w:rPr>
                <w:rFonts w:cs="Arial"/>
                <w:b/>
                <w:bCs/>
                <w:sz w:val="18"/>
                <w:szCs w:val="18"/>
              </w:rPr>
            </w:pPr>
            <w:r>
              <w:rPr>
                <w:rFonts w:cs="Arial"/>
                <w:b/>
                <w:bCs/>
                <w:sz w:val="18"/>
                <w:szCs w:val="18"/>
              </w:rPr>
              <w:t>-</w:t>
            </w:r>
          </w:p>
        </w:tc>
        <w:tc>
          <w:tcPr>
            <w:tcW w:w="1556" w:type="dxa"/>
            <w:tcBorders>
              <w:top w:val="nil"/>
              <w:left w:val="nil"/>
              <w:bottom w:val="nil"/>
              <w:right w:val="nil"/>
            </w:tcBorders>
            <w:shd w:val="clear" w:color="FFFFFF" w:fill="FFFFFF"/>
            <w:noWrap/>
            <w:vAlign w:val="bottom"/>
            <w:hideMark/>
          </w:tcPr>
          <w:p w14:paraId="3F29A76E" w14:textId="77777777" w:rsidR="00C32CBD" w:rsidRDefault="00C32CBD" w:rsidP="00320D09">
            <w:pPr>
              <w:jc w:val="right"/>
              <w:rPr>
                <w:rFonts w:cs="Arial"/>
                <w:sz w:val="18"/>
                <w:szCs w:val="18"/>
              </w:rPr>
            </w:pPr>
            <w:r>
              <w:rPr>
                <w:rFonts w:cs="Arial"/>
                <w:sz w:val="18"/>
                <w:szCs w:val="18"/>
              </w:rPr>
              <w:t>-</w:t>
            </w:r>
          </w:p>
        </w:tc>
        <w:tc>
          <w:tcPr>
            <w:tcW w:w="1556" w:type="dxa"/>
            <w:tcBorders>
              <w:top w:val="nil"/>
              <w:left w:val="nil"/>
              <w:bottom w:val="nil"/>
              <w:right w:val="nil"/>
            </w:tcBorders>
            <w:shd w:val="clear" w:color="FFFFFF" w:fill="FFFFFF"/>
            <w:noWrap/>
            <w:vAlign w:val="bottom"/>
            <w:hideMark/>
          </w:tcPr>
          <w:p w14:paraId="3C090572" w14:textId="77777777" w:rsidR="00C32CBD" w:rsidRDefault="00C32CBD" w:rsidP="00320D09">
            <w:pPr>
              <w:jc w:val="right"/>
              <w:rPr>
                <w:rFonts w:cs="Arial"/>
                <w:b/>
                <w:bCs/>
                <w:sz w:val="18"/>
                <w:szCs w:val="18"/>
              </w:rPr>
            </w:pPr>
            <w:r>
              <w:rPr>
                <w:rFonts w:cs="Arial"/>
                <w:b/>
                <w:bCs/>
                <w:sz w:val="18"/>
                <w:szCs w:val="18"/>
              </w:rPr>
              <w:t>3,675</w:t>
            </w:r>
          </w:p>
        </w:tc>
        <w:tc>
          <w:tcPr>
            <w:tcW w:w="1556" w:type="dxa"/>
            <w:tcBorders>
              <w:top w:val="nil"/>
              <w:left w:val="nil"/>
              <w:bottom w:val="nil"/>
              <w:right w:val="nil"/>
            </w:tcBorders>
            <w:shd w:val="clear" w:color="FFFFFF" w:fill="FFFFFF"/>
            <w:noWrap/>
            <w:vAlign w:val="bottom"/>
            <w:hideMark/>
          </w:tcPr>
          <w:p w14:paraId="4122C220" w14:textId="77777777" w:rsidR="00C32CBD" w:rsidRDefault="00C32CBD" w:rsidP="00320D09">
            <w:pPr>
              <w:jc w:val="right"/>
              <w:rPr>
                <w:rFonts w:cs="Arial"/>
                <w:sz w:val="18"/>
                <w:szCs w:val="18"/>
              </w:rPr>
            </w:pPr>
            <w:r>
              <w:rPr>
                <w:rFonts w:cs="Arial"/>
                <w:sz w:val="18"/>
                <w:szCs w:val="18"/>
              </w:rPr>
              <w:t>1,881</w:t>
            </w:r>
          </w:p>
        </w:tc>
      </w:tr>
      <w:tr w:rsidR="00C32CBD" w14:paraId="016B247C" w14:textId="77777777" w:rsidTr="00320D09">
        <w:trPr>
          <w:trHeight w:val="255"/>
        </w:trPr>
        <w:tc>
          <w:tcPr>
            <w:tcW w:w="4376" w:type="dxa"/>
            <w:tcBorders>
              <w:top w:val="nil"/>
              <w:left w:val="nil"/>
              <w:bottom w:val="nil"/>
              <w:right w:val="nil"/>
            </w:tcBorders>
            <w:shd w:val="clear" w:color="FFFFFF" w:fill="FFFFFF"/>
            <w:vAlign w:val="bottom"/>
            <w:hideMark/>
          </w:tcPr>
          <w:p w14:paraId="1C6CD42E" w14:textId="77777777" w:rsidR="00C32CBD" w:rsidRDefault="00C32CBD" w:rsidP="00320D09">
            <w:pPr>
              <w:rPr>
                <w:rFonts w:cs="Arial"/>
                <w:sz w:val="18"/>
                <w:szCs w:val="18"/>
              </w:rPr>
            </w:pPr>
            <w:r>
              <w:rPr>
                <w:rFonts w:cs="Arial"/>
                <w:sz w:val="18"/>
                <w:szCs w:val="18"/>
              </w:rPr>
              <w:t>Assets first found recognised</w:t>
            </w:r>
          </w:p>
        </w:tc>
        <w:tc>
          <w:tcPr>
            <w:tcW w:w="1556" w:type="dxa"/>
            <w:tcBorders>
              <w:top w:val="nil"/>
              <w:left w:val="nil"/>
              <w:bottom w:val="nil"/>
              <w:right w:val="nil"/>
            </w:tcBorders>
            <w:shd w:val="clear" w:color="FFFFFF" w:fill="FFFFFF"/>
            <w:noWrap/>
            <w:vAlign w:val="bottom"/>
            <w:hideMark/>
          </w:tcPr>
          <w:p w14:paraId="16149A17" w14:textId="77777777" w:rsidR="00C32CBD" w:rsidRDefault="00C32CBD" w:rsidP="00320D09">
            <w:pPr>
              <w:jc w:val="right"/>
              <w:rPr>
                <w:rFonts w:cs="Arial"/>
                <w:b/>
                <w:bCs/>
                <w:sz w:val="18"/>
                <w:szCs w:val="18"/>
              </w:rPr>
            </w:pPr>
            <w:r>
              <w:rPr>
                <w:rFonts w:cs="Arial"/>
                <w:b/>
                <w:bCs/>
                <w:sz w:val="18"/>
                <w:szCs w:val="18"/>
              </w:rPr>
              <w:t>-</w:t>
            </w:r>
          </w:p>
        </w:tc>
        <w:tc>
          <w:tcPr>
            <w:tcW w:w="1556" w:type="dxa"/>
            <w:tcBorders>
              <w:top w:val="nil"/>
              <w:left w:val="nil"/>
              <w:bottom w:val="nil"/>
              <w:right w:val="nil"/>
            </w:tcBorders>
            <w:shd w:val="clear" w:color="FFFFFF" w:fill="FFFFFF"/>
            <w:noWrap/>
            <w:vAlign w:val="bottom"/>
            <w:hideMark/>
          </w:tcPr>
          <w:p w14:paraId="2F6832BB" w14:textId="77777777" w:rsidR="00C32CBD" w:rsidRDefault="00C32CBD" w:rsidP="00320D09">
            <w:pPr>
              <w:jc w:val="right"/>
              <w:rPr>
                <w:rFonts w:cs="Arial"/>
                <w:sz w:val="18"/>
                <w:szCs w:val="18"/>
              </w:rPr>
            </w:pPr>
            <w:r>
              <w:rPr>
                <w:rFonts w:cs="Arial"/>
                <w:sz w:val="18"/>
                <w:szCs w:val="18"/>
              </w:rPr>
              <w:t>-</w:t>
            </w:r>
          </w:p>
        </w:tc>
        <w:tc>
          <w:tcPr>
            <w:tcW w:w="1556" w:type="dxa"/>
            <w:tcBorders>
              <w:top w:val="nil"/>
              <w:left w:val="nil"/>
              <w:bottom w:val="nil"/>
              <w:right w:val="nil"/>
            </w:tcBorders>
            <w:shd w:val="clear" w:color="FFFFFF" w:fill="FFFFFF"/>
            <w:noWrap/>
            <w:vAlign w:val="bottom"/>
            <w:hideMark/>
          </w:tcPr>
          <w:p w14:paraId="4B6F099F" w14:textId="77777777" w:rsidR="00C32CBD" w:rsidRDefault="00C32CBD" w:rsidP="00320D09">
            <w:pPr>
              <w:jc w:val="right"/>
              <w:rPr>
                <w:rFonts w:cs="Arial"/>
                <w:b/>
                <w:bCs/>
                <w:sz w:val="18"/>
                <w:szCs w:val="18"/>
              </w:rPr>
            </w:pPr>
            <w:r>
              <w:rPr>
                <w:rFonts w:cs="Arial"/>
                <w:b/>
                <w:bCs/>
                <w:sz w:val="18"/>
                <w:szCs w:val="18"/>
              </w:rPr>
              <w:t>23</w:t>
            </w:r>
          </w:p>
        </w:tc>
        <w:tc>
          <w:tcPr>
            <w:tcW w:w="1556" w:type="dxa"/>
            <w:tcBorders>
              <w:top w:val="nil"/>
              <w:left w:val="nil"/>
              <w:bottom w:val="nil"/>
              <w:right w:val="nil"/>
            </w:tcBorders>
            <w:shd w:val="clear" w:color="FFFFFF" w:fill="FFFFFF"/>
            <w:noWrap/>
            <w:vAlign w:val="bottom"/>
            <w:hideMark/>
          </w:tcPr>
          <w:p w14:paraId="7DD102DB" w14:textId="77777777" w:rsidR="00C32CBD" w:rsidRDefault="00C32CBD" w:rsidP="00320D09">
            <w:pPr>
              <w:jc w:val="right"/>
              <w:rPr>
                <w:rFonts w:cs="Arial"/>
                <w:sz w:val="18"/>
                <w:szCs w:val="18"/>
              </w:rPr>
            </w:pPr>
            <w:r>
              <w:rPr>
                <w:rFonts w:cs="Arial"/>
                <w:sz w:val="18"/>
                <w:szCs w:val="18"/>
              </w:rPr>
              <w:t>143</w:t>
            </w:r>
          </w:p>
        </w:tc>
        <w:tc>
          <w:tcPr>
            <w:tcW w:w="1556" w:type="dxa"/>
            <w:tcBorders>
              <w:top w:val="nil"/>
              <w:left w:val="nil"/>
              <w:bottom w:val="nil"/>
              <w:right w:val="nil"/>
            </w:tcBorders>
            <w:shd w:val="clear" w:color="FFFFFF" w:fill="FFFFFF"/>
            <w:noWrap/>
            <w:vAlign w:val="bottom"/>
            <w:hideMark/>
          </w:tcPr>
          <w:p w14:paraId="5667938D" w14:textId="77777777" w:rsidR="00C32CBD" w:rsidRDefault="00C32CBD" w:rsidP="00320D09">
            <w:pPr>
              <w:jc w:val="right"/>
              <w:rPr>
                <w:rFonts w:cs="Arial"/>
                <w:b/>
                <w:bCs/>
                <w:sz w:val="18"/>
                <w:szCs w:val="18"/>
              </w:rPr>
            </w:pPr>
            <w:r>
              <w:rPr>
                <w:rFonts w:cs="Arial"/>
                <w:b/>
                <w:bCs/>
                <w:sz w:val="18"/>
                <w:szCs w:val="18"/>
              </w:rPr>
              <w:t>23</w:t>
            </w:r>
          </w:p>
        </w:tc>
        <w:tc>
          <w:tcPr>
            <w:tcW w:w="1556" w:type="dxa"/>
            <w:tcBorders>
              <w:top w:val="nil"/>
              <w:left w:val="nil"/>
              <w:bottom w:val="nil"/>
              <w:right w:val="nil"/>
            </w:tcBorders>
            <w:shd w:val="clear" w:color="FFFFFF" w:fill="FFFFFF"/>
            <w:noWrap/>
            <w:vAlign w:val="bottom"/>
            <w:hideMark/>
          </w:tcPr>
          <w:p w14:paraId="5E947C23" w14:textId="77777777" w:rsidR="00C32CBD" w:rsidRDefault="00C32CBD" w:rsidP="00320D09">
            <w:pPr>
              <w:jc w:val="right"/>
              <w:rPr>
                <w:rFonts w:cs="Arial"/>
                <w:sz w:val="18"/>
                <w:szCs w:val="18"/>
              </w:rPr>
            </w:pPr>
            <w:r>
              <w:rPr>
                <w:rFonts w:cs="Arial"/>
                <w:sz w:val="18"/>
                <w:szCs w:val="18"/>
              </w:rPr>
              <w:t>143</w:t>
            </w:r>
          </w:p>
        </w:tc>
      </w:tr>
      <w:tr w:rsidR="00C32CBD" w14:paraId="4A2C1568" w14:textId="77777777" w:rsidTr="00320D09">
        <w:trPr>
          <w:trHeight w:val="255"/>
        </w:trPr>
        <w:tc>
          <w:tcPr>
            <w:tcW w:w="4376" w:type="dxa"/>
            <w:tcBorders>
              <w:top w:val="nil"/>
              <w:left w:val="nil"/>
              <w:bottom w:val="nil"/>
              <w:right w:val="nil"/>
            </w:tcBorders>
            <w:shd w:val="clear" w:color="FFFFFF" w:fill="FFFFFF"/>
            <w:vAlign w:val="bottom"/>
            <w:hideMark/>
          </w:tcPr>
          <w:p w14:paraId="06634D64" w14:textId="77777777" w:rsidR="00C32CBD" w:rsidRDefault="00C32CBD" w:rsidP="00320D09">
            <w:pPr>
              <w:rPr>
                <w:rFonts w:cs="Arial"/>
                <w:sz w:val="18"/>
                <w:szCs w:val="18"/>
              </w:rPr>
            </w:pPr>
            <w:r>
              <w:rPr>
                <w:rFonts w:cs="Arial"/>
                <w:sz w:val="18"/>
                <w:szCs w:val="18"/>
              </w:rPr>
              <w:t>Write offs</w:t>
            </w:r>
          </w:p>
        </w:tc>
        <w:tc>
          <w:tcPr>
            <w:tcW w:w="1556" w:type="dxa"/>
            <w:tcBorders>
              <w:top w:val="nil"/>
              <w:left w:val="nil"/>
              <w:bottom w:val="nil"/>
              <w:right w:val="nil"/>
            </w:tcBorders>
            <w:shd w:val="clear" w:color="FFFFFF" w:fill="FFFFFF"/>
            <w:noWrap/>
            <w:vAlign w:val="bottom"/>
            <w:hideMark/>
          </w:tcPr>
          <w:p w14:paraId="2A9CAC7A" w14:textId="77777777" w:rsidR="00C32CBD" w:rsidRDefault="00C32CBD" w:rsidP="00320D09">
            <w:pPr>
              <w:jc w:val="right"/>
              <w:rPr>
                <w:rFonts w:cs="Arial"/>
                <w:b/>
                <w:bCs/>
                <w:sz w:val="18"/>
                <w:szCs w:val="18"/>
              </w:rPr>
            </w:pPr>
            <w:r>
              <w:rPr>
                <w:rFonts w:cs="Arial"/>
                <w:b/>
                <w:bCs/>
                <w:sz w:val="18"/>
                <w:szCs w:val="18"/>
              </w:rPr>
              <w:t>(1,368)</w:t>
            </w:r>
          </w:p>
        </w:tc>
        <w:tc>
          <w:tcPr>
            <w:tcW w:w="1556" w:type="dxa"/>
            <w:tcBorders>
              <w:top w:val="nil"/>
              <w:left w:val="nil"/>
              <w:bottom w:val="nil"/>
              <w:right w:val="nil"/>
            </w:tcBorders>
            <w:shd w:val="clear" w:color="FFFFFF" w:fill="FFFFFF"/>
            <w:noWrap/>
            <w:vAlign w:val="bottom"/>
            <w:hideMark/>
          </w:tcPr>
          <w:p w14:paraId="57919DAB" w14:textId="77777777" w:rsidR="00C32CBD" w:rsidRDefault="00C32CBD" w:rsidP="00320D09">
            <w:pPr>
              <w:jc w:val="right"/>
              <w:rPr>
                <w:rFonts w:cs="Arial"/>
                <w:sz w:val="18"/>
                <w:szCs w:val="18"/>
              </w:rPr>
            </w:pPr>
            <w:r>
              <w:rPr>
                <w:rFonts w:cs="Arial"/>
                <w:sz w:val="18"/>
                <w:szCs w:val="18"/>
              </w:rPr>
              <w:t>(106)</w:t>
            </w:r>
          </w:p>
        </w:tc>
        <w:tc>
          <w:tcPr>
            <w:tcW w:w="1556" w:type="dxa"/>
            <w:tcBorders>
              <w:top w:val="nil"/>
              <w:left w:val="nil"/>
              <w:bottom w:val="nil"/>
              <w:right w:val="nil"/>
            </w:tcBorders>
            <w:shd w:val="clear" w:color="FFFFFF" w:fill="FFFFFF"/>
            <w:noWrap/>
            <w:vAlign w:val="bottom"/>
            <w:hideMark/>
          </w:tcPr>
          <w:p w14:paraId="085A7F68" w14:textId="77777777" w:rsidR="00C32CBD" w:rsidRDefault="00C32CBD" w:rsidP="00320D09">
            <w:pPr>
              <w:jc w:val="right"/>
              <w:rPr>
                <w:rFonts w:cs="Arial"/>
                <w:b/>
                <w:bCs/>
                <w:sz w:val="18"/>
                <w:szCs w:val="18"/>
              </w:rPr>
            </w:pPr>
            <w:r>
              <w:rPr>
                <w:rFonts w:cs="Arial"/>
                <w:b/>
                <w:bCs/>
                <w:sz w:val="18"/>
                <w:szCs w:val="18"/>
              </w:rPr>
              <w:t>(5)</w:t>
            </w:r>
          </w:p>
        </w:tc>
        <w:tc>
          <w:tcPr>
            <w:tcW w:w="1556" w:type="dxa"/>
            <w:tcBorders>
              <w:top w:val="nil"/>
              <w:left w:val="nil"/>
              <w:bottom w:val="nil"/>
              <w:right w:val="nil"/>
            </w:tcBorders>
            <w:shd w:val="clear" w:color="FFFFFF" w:fill="FFFFFF"/>
            <w:noWrap/>
            <w:vAlign w:val="bottom"/>
            <w:hideMark/>
          </w:tcPr>
          <w:p w14:paraId="12D65F26" w14:textId="77777777" w:rsidR="00C32CBD" w:rsidRDefault="00C32CBD" w:rsidP="00320D09">
            <w:pPr>
              <w:jc w:val="right"/>
              <w:rPr>
                <w:rFonts w:cs="Arial"/>
                <w:sz w:val="18"/>
                <w:szCs w:val="18"/>
              </w:rPr>
            </w:pPr>
            <w:r>
              <w:rPr>
                <w:rFonts w:cs="Arial"/>
                <w:sz w:val="18"/>
                <w:szCs w:val="18"/>
              </w:rPr>
              <w:t>(178)</w:t>
            </w:r>
          </w:p>
        </w:tc>
        <w:tc>
          <w:tcPr>
            <w:tcW w:w="1556" w:type="dxa"/>
            <w:tcBorders>
              <w:top w:val="nil"/>
              <w:left w:val="nil"/>
              <w:bottom w:val="nil"/>
              <w:right w:val="nil"/>
            </w:tcBorders>
            <w:shd w:val="clear" w:color="FFFFFF" w:fill="FFFFFF"/>
            <w:noWrap/>
            <w:vAlign w:val="bottom"/>
            <w:hideMark/>
          </w:tcPr>
          <w:p w14:paraId="450CE848" w14:textId="77777777" w:rsidR="00C32CBD" w:rsidRDefault="00C32CBD" w:rsidP="00320D09">
            <w:pPr>
              <w:jc w:val="right"/>
              <w:rPr>
                <w:rFonts w:cs="Arial"/>
                <w:b/>
                <w:bCs/>
                <w:sz w:val="18"/>
                <w:szCs w:val="18"/>
              </w:rPr>
            </w:pPr>
            <w:r>
              <w:rPr>
                <w:rFonts w:cs="Arial"/>
                <w:b/>
                <w:bCs/>
                <w:sz w:val="18"/>
                <w:szCs w:val="18"/>
              </w:rPr>
              <w:t>(1,373)</w:t>
            </w:r>
          </w:p>
        </w:tc>
        <w:tc>
          <w:tcPr>
            <w:tcW w:w="1556" w:type="dxa"/>
            <w:tcBorders>
              <w:top w:val="nil"/>
              <w:left w:val="nil"/>
              <w:bottom w:val="nil"/>
              <w:right w:val="nil"/>
            </w:tcBorders>
            <w:shd w:val="clear" w:color="FFFFFF" w:fill="FFFFFF"/>
            <w:noWrap/>
            <w:vAlign w:val="bottom"/>
            <w:hideMark/>
          </w:tcPr>
          <w:p w14:paraId="1B37E3D5" w14:textId="77777777" w:rsidR="00C32CBD" w:rsidRDefault="00C32CBD" w:rsidP="00320D09">
            <w:pPr>
              <w:jc w:val="right"/>
              <w:rPr>
                <w:rFonts w:cs="Arial"/>
                <w:sz w:val="18"/>
                <w:szCs w:val="18"/>
              </w:rPr>
            </w:pPr>
            <w:r>
              <w:rPr>
                <w:rFonts w:cs="Arial"/>
                <w:sz w:val="18"/>
                <w:szCs w:val="18"/>
              </w:rPr>
              <w:t>(284)</w:t>
            </w:r>
          </w:p>
        </w:tc>
      </w:tr>
      <w:tr w:rsidR="00C32CBD" w14:paraId="43BDA276" w14:textId="77777777" w:rsidTr="00320D09">
        <w:trPr>
          <w:trHeight w:val="255"/>
        </w:trPr>
        <w:tc>
          <w:tcPr>
            <w:tcW w:w="4376" w:type="dxa"/>
            <w:tcBorders>
              <w:top w:val="nil"/>
              <w:left w:val="nil"/>
              <w:bottom w:val="nil"/>
              <w:right w:val="nil"/>
            </w:tcBorders>
            <w:shd w:val="clear" w:color="FFFFFF" w:fill="FFFFFF"/>
            <w:vAlign w:val="bottom"/>
            <w:hideMark/>
          </w:tcPr>
          <w:p w14:paraId="183E0502" w14:textId="77777777" w:rsidR="00C32CBD" w:rsidRDefault="00C32CBD" w:rsidP="00320D09">
            <w:pPr>
              <w:rPr>
                <w:rFonts w:cs="Arial"/>
                <w:sz w:val="18"/>
                <w:szCs w:val="18"/>
              </w:rPr>
            </w:pPr>
            <w:r>
              <w:rPr>
                <w:rFonts w:cs="Arial"/>
                <w:sz w:val="18"/>
                <w:szCs w:val="18"/>
              </w:rPr>
              <w:t>Depreciation</w:t>
            </w:r>
          </w:p>
        </w:tc>
        <w:tc>
          <w:tcPr>
            <w:tcW w:w="1556" w:type="dxa"/>
            <w:tcBorders>
              <w:top w:val="nil"/>
              <w:left w:val="nil"/>
              <w:bottom w:val="nil"/>
              <w:right w:val="nil"/>
            </w:tcBorders>
            <w:shd w:val="clear" w:color="FFFFFF" w:fill="FFFFFF"/>
            <w:noWrap/>
            <w:vAlign w:val="bottom"/>
            <w:hideMark/>
          </w:tcPr>
          <w:p w14:paraId="1E52E97B" w14:textId="77777777" w:rsidR="00C32CBD" w:rsidRDefault="00C32CBD" w:rsidP="00320D09">
            <w:pPr>
              <w:jc w:val="right"/>
              <w:rPr>
                <w:rFonts w:cs="Arial"/>
                <w:b/>
                <w:bCs/>
                <w:sz w:val="18"/>
                <w:szCs w:val="18"/>
              </w:rPr>
            </w:pPr>
            <w:r>
              <w:rPr>
                <w:rFonts w:cs="Arial"/>
                <w:b/>
                <w:bCs/>
                <w:sz w:val="18"/>
                <w:szCs w:val="18"/>
              </w:rPr>
              <w:t>(8,079)</w:t>
            </w:r>
          </w:p>
        </w:tc>
        <w:tc>
          <w:tcPr>
            <w:tcW w:w="1556" w:type="dxa"/>
            <w:tcBorders>
              <w:top w:val="nil"/>
              <w:left w:val="nil"/>
              <w:bottom w:val="nil"/>
              <w:right w:val="nil"/>
            </w:tcBorders>
            <w:shd w:val="clear" w:color="FFFFFF" w:fill="FFFFFF"/>
            <w:noWrap/>
            <w:vAlign w:val="bottom"/>
            <w:hideMark/>
          </w:tcPr>
          <w:p w14:paraId="6DD3DFA9" w14:textId="77777777" w:rsidR="00C32CBD" w:rsidRDefault="00C32CBD" w:rsidP="00320D09">
            <w:pPr>
              <w:jc w:val="right"/>
              <w:rPr>
                <w:rFonts w:cs="Arial"/>
                <w:sz w:val="18"/>
                <w:szCs w:val="18"/>
              </w:rPr>
            </w:pPr>
            <w:r>
              <w:rPr>
                <w:rFonts w:cs="Arial"/>
                <w:sz w:val="18"/>
                <w:szCs w:val="18"/>
              </w:rPr>
              <w:t>(7,766)</w:t>
            </w:r>
          </w:p>
        </w:tc>
        <w:tc>
          <w:tcPr>
            <w:tcW w:w="1556" w:type="dxa"/>
            <w:tcBorders>
              <w:top w:val="nil"/>
              <w:left w:val="nil"/>
              <w:bottom w:val="nil"/>
              <w:right w:val="nil"/>
            </w:tcBorders>
            <w:shd w:val="clear" w:color="FFFFFF" w:fill="FFFFFF"/>
            <w:noWrap/>
            <w:vAlign w:val="bottom"/>
            <w:hideMark/>
          </w:tcPr>
          <w:p w14:paraId="74383746" w14:textId="77777777" w:rsidR="00C32CBD" w:rsidRDefault="00C32CBD" w:rsidP="00320D09">
            <w:pPr>
              <w:jc w:val="right"/>
              <w:rPr>
                <w:rFonts w:cs="Arial"/>
                <w:b/>
                <w:bCs/>
                <w:sz w:val="18"/>
                <w:szCs w:val="18"/>
              </w:rPr>
            </w:pPr>
            <w:r>
              <w:rPr>
                <w:rFonts w:cs="Arial"/>
                <w:b/>
                <w:bCs/>
                <w:sz w:val="18"/>
                <w:szCs w:val="18"/>
              </w:rPr>
              <w:t>(639)</w:t>
            </w:r>
          </w:p>
        </w:tc>
        <w:tc>
          <w:tcPr>
            <w:tcW w:w="1556" w:type="dxa"/>
            <w:tcBorders>
              <w:top w:val="nil"/>
              <w:left w:val="nil"/>
              <w:bottom w:val="nil"/>
              <w:right w:val="nil"/>
            </w:tcBorders>
            <w:shd w:val="clear" w:color="FFFFFF" w:fill="FFFFFF"/>
            <w:noWrap/>
            <w:vAlign w:val="bottom"/>
            <w:hideMark/>
          </w:tcPr>
          <w:p w14:paraId="2BAD7363" w14:textId="77777777" w:rsidR="00C32CBD" w:rsidRDefault="00C32CBD" w:rsidP="00320D09">
            <w:pPr>
              <w:jc w:val="right"/>
              <w:rPr>
                <w:rFonts w:cs="Arial"/>
                <w:sz w:val="18"/>
                <w:szCs w:val="18"/>
              </w:rPr>
            </w:pPr>
            <w:r>
              <w:rPr>
                <w:rFonts w:cs="Arial"/>
                <w:sz w:val="18"/>
                <w:szCs w:val="18"/>
              </w:rPr>
              <w:t>(805)</w:t>
            </w:r>
          </w:p>
        </w:tc>
        <w:tc>
          <w:tcPr>
            <w:tcW w:w="1556" w:type="dxa"/>
            <w:tcBorders>
              <w:top w:val="nil"/>
              <w:left w:val="nil"/>
              <w:bottom w:val="nil"/>
              <w:right w:val="nil"/>
            </w:tcBorders>
            <w:shd w:val="clear" w:color="FFFFFF" w:fill="FFFFFF"/>
            <w:noWrap/>
            <w:vAlign w:val="bottom"/>
            <w:hideMark/>
          </w:tcPr>
          <w:p w14:paraId="383079A7" w14:textId="77777777" w:rsidR="00C32CBD" w:rsidRDefault="00C32CBD" w:rsidP="00320D09">
            <w:pPr>
              <w:jc w:val="right"/>
              <w:rPr>
                <w:rFonts w:cs="Arial"/>
                <w:b/>
                <w:bCs/>
                <w:sz w:val="18"/>
                <w:szCs w:val="18"/>
              </w:rPr>
            </w:pPr>
            <w:r>
              <w:rPr>
                <w:rFonts w:cs="Arial"/>
                <w:b/>
                <w:bCs/>
                <w:sz w:val="18"/>
                <w:szCs w:val="18"/>
              </w:rPr>
              <w:t>(8,718)</w:t>
            </w:r>
          </w:p>
        </w:tc>
        <w:tc>
          <w:tcPr>
            <w:tcW w:w="1556" w:type="dxa"/>
            <w:tcBorders>
              <w:top w:val="nil"/>
              <w:left w:val="nil"/>
              <w:bottom w:val="nil"/>
              <w:right w:val="nil"/>
            </w:tcBorders>
            <w:shd w:val="clear" w:color="FFFFFF" w:fill="FFFFFF"/>
            <w:noWrap/>
            <w:vAlign w:val="bottom"/>
            <w:hideMark/>
          </w:tcPr>
          <w:p w14:paraId="36B7C998" w14:textId="77777777" w:rsidR="00C32CBD" w:rsidRDefault="00C32CBD" w:rsidP="00320D09">
            <w:pPr>
              <w:jc w:val="right"/>
              <w:rPr>
                <w:rFonts w:cs="Arial"/>
                <w:sz w:val="18"/>
                <w:szCs w:val="18"/>
              </w:rPr>
            </w:pPr>
            <w:r>
              <w:rPr>
                <w:rFonts w:cs="Arial"/>
                <w:sz w:val="18"/>
                <w:szCs w:val="18"/>
              </w:rPr>
              <w:t>(8,571)</w:t>
            </w:r>
          </w:p>
        </w:tc>
      </w:tr>
      <w:tr w:rsidR="00C32CBD" w14:paraId="073BA570" w14:textId="77777777" w:rsidTr="00320D09">
        <w:trPr>
          <w:trHeight w:val="255"/>
        </w:trPr>
        <w:tc>
          <w:tcPr>
            <w:tcW w:w="4376" w:type="dxa"/>
            <w:tcBorders>
              <w:top w:val="nil"/>
              <w:left w:val="nil"/>
              <w:bottom w:val="nil"/>
              <w:right w:val="nil"/>
            </w:tcBorders>
            <w:shd w:val="clear" w:color="FFFFFF" w:fill="FFFFFF"/>
            <w:noWrap/>
            <w:vAlign w:val="bottom"/>
            <w:hideMark/>
          </w:tcPr>
          <w:p w14:paraId="5D0E6554" w14:textId="77777777" w:rsidR="00C32CBD" w:rsidRDefault="00C32CBD" w:rsidP="00320D09">
            <w:pPr>
              <w:rPr>
                <w:rFonts w:cs="Arial"/>
                <w:b/>
                <w:bCs/>
                <w:sz w:val="18"/>
                <w:szCs w:val="18"/>
              </w:rPr>
            </w:pPr>
            <w:r>
              <w:rPr>
                <w:rFonts w:cs="Arial"/>
                <w:b/>
                <w:bCs/>
                <w:sz w:val="18"/>
                <w:szCs w:val="18"/>
              </w:rPr>
              <w:t>Closing balance</w:t>
            </w:r>
          </w:p>
        </w:tc>
        <w:tc>
          <w:tcPr>
            <w:tcW w:w="1556" w:type="dxa"/>
            <w:tcBorders>
              <w:top w:val="single" w:sz="4" w:space="0" w:color="auto"/>
              <w:left w:val="nil"/>
              <w:bottom w:val="single" w:sz="4" w:space="0" w:color="auto"/>
              <w:right w:val="nil"/>
            </w:tcBorders>
            <w:shd w:val="clear" w:color="FFFFFF" w:fill="FFFFFF"/>
            <w:noWrap/>
            <w:vAlign w:val="bottom"/>
            <w:hideMark/>
          </w:tcPr>
          <w:p w14:paraId="0C5226E7" w14:textId="77777777" w:rsidR="00C32CBD" w:rsidRDefault="00C32CBD" w:rsidP="00320D09">
            <w:pPr>
              <w:jc w:val="right"/>
              <w:rPr>
                <w:rFonts w:cs="Arial"/>
                <w:b/>
                <w:bCs/>
                <w:sz w:val="18"/>
                <w:szCs w:val="18"/>
              </w:rPr>
            </w:pPr>
            <w:r>
              <w:rPr>
                <w:rFonts w:cs="Arial"/>
                <w:b/>
                <w:bCs/>
                <w:sz w:val="18"/>
                <w:szCs w:val="18"/>
              </w:rPr>
              <w:t>33,900</w:t>
            </w:r>
          </w:p>
        </w:tc>
        <w:tc>
          <w:tcPr>
            <w:tcW w:w="1556" w:type="dxa"/>
            <w:tcBorders>
              <w:top w:val="single" w:sz="4" w:space="0" w:color="auto"/>
              <w:left w:val="nil"/>
              <w:bottom w:val="single" w:sz="4" w:space="0" w:color="auto"/>
              <w:right w:val="nil"/>
            </w:tcBorders>
            <w:shd w:val="clear" w:color="FFFFFF" w:fill="FFFFFF"/>
            <w:noWrap/>
            <w:vAlign w:val="bottom"/>
            <w:hideMark/>
          </w:tcPr>
          <w:p w14:paraId="46AB2829" w14:textId="77777777" w:rsidR="00C32CBD" w:rsidRDefault="00C32CBD" w:rsidP="00320D09">
            <w:pPr>
              <w:jc w:val="right"/>
              <w:rPr>
                <w:rFonts w:cs="Arial"/>
                <w:sz w:val="18"/>
                <w:szCs w:val="18"/>
              </w:rPr>
            </w:pPr>
            <w:r>
              <w:rPr>
                <w:rFonts w:cs="Arial"/>
                <w:sz w:val="18"/>
                <w:szCs w:val="18"/>
              </w:rPr>
              <w:t>24,301</w:t>
            </w:r>
          </w:p>
        </w:tc>
        <w:tc>
          <w:tcPr>
            <w:tcW w:w="1556" w:type="dxa"/>
            <w:tcBorders>
              <w:top w:val="single" w:sz="4" w:space="0" w:color="auto"/>
              <w:left w:val="nil"/>
              <w:bottom w:val="single" w:sz="4" w:space="0" w:color="auto"/>
              <w:right w:val="nil"/>
            </w:tcBorders>
            <w:shd w:val="clear" w:color="FFFFFF" w:fill="FFFFFF"/>
            <w:noWrap/>
            <w:vAlign w:val="bottom"/>
            <w:hideMark/>
          </w:tcPr>
          <w:p w14:paraId="2F30883C" w14:textId="77777777" w:rsidR="00C32CBD" w:rsidRDefault="00C32CBD" w:rsidP="00320D09">
            <w:pPr>
              <w:jc w:val="right"/>
              <w:rPr>
                <w:rFonts w:cs="Arial"/>
                <w:b/>
                <w:bCs/>
                <w:sz w:val="18"/>
                <w:szCs w:val="18"/>
              </w:rPr>
            </w:pPr>
            <w:r>
              <w:rPr>
                <w:rFonts w:cs="Arial"/>
                <w:b/>
                <w:bCs/>
                <w:sz w:val="18"/>
                <w:szCs w:val="18"/>
              </w:rPr>
              <w:t>391</w:t>
            </w:r>
          </w:p>
        </w:tc>
        <w:tc>
          <w:tcPr>
            <w:tcW w:w="1556" w:type="dxa"/>
            <w:tcBorders>
              <w:top w:val="single" w:sz="4" w:space="0" w:color="auto"/>
              <w:left w:val="nil"/>
              <w:bottom w:val="single" w:sz="4" w:space="0" w:color="auto"/>
              <w:right w:val="nil"/>
            </w:tcBorders>
            <w:shd w:val="clear" w:color="FFFFFF" w:fill="FFFFFF"/>
            <w:noWrap/>
            <w:vAlign w:val="bottom"/>
            <w:hideMark/>
          </w:tcPr>
          <w:p w14:paraId="73E72961" w14:textId="77777777" w:rsidR="00C32CBD" w:rsidRDefault="00C32CBD" w:rsidP="00320D09">
            <w:pPr>
              <w:jc w:val="right"/>
              <w:rPr>
                <w:rFonts w:cs="Arial"/>
                <w:sz w:val="18"/>
                <w:szCs w:val="18"/>
              </w:rPr>
            </w:pPr>
            <w:r>
              <w:rPr>
                <w:rFonts w:cs="Arial"/>
                <w:sz w:val="18"/>
                <w:szCs w:val="18"/>
              </w:rPr>
              <w:t>1,012</w:t>
            </w:r>
          </w:p>
        </w:tc>
        <w:tc>
          <w:tcPr>
            <w:tcW w:w="1556" w:type="dxa"/>
            <w:tcBorders>
              <w:top w:val="single" w:sz="4" w:space="0" w:color="auto"/>
              <w:left w:val="nil"/>
              <w:bottom w:val="single" w:sz="4" w:space="0" w:color="auto"/>
              <w:right w:val="nil"/>
            </w:tcBorders>
            <w:shd w:val="clear" w:color="FFFFFF" w:fill="FFFFFF"/>
            <w:noWrap/>
            <w:vAlign w:val="bottom"/>
            <w:hideMark/>
          </w:tcPr>
          <w:p w14:paraId="062B684D" w14:textId="77777777" w:rsidR="00C32CBD" w:rsidRDefault="00C32CBD" w:rsidP="00320D09">
            <w:pPr>
              <w:jc w:val="right"/>
              <w:rPr>
                <w:rFonts w:cs="Arial"/>
                <w:b/>
                <w:bCs/>
                <w:sz w:val="18"/>
                <w:szCs w:val="18"/>
              </w:rPr>
            </w:pPr>
            <w:r>
              <w:rPr>
                <w:rFonts w:cs="Arial"/>
                <w:b/>
                <w:bCs/>
                <w:sz w:val="18"/>
                <w:szCs w:val="18"/>
              </w:rPr>
              <w:t>34,291</w:t>
            </w:r>
          </w:p>
        </w:tc>
        <w:tc>
          <w:tcPr>
            <w:tcW w:w="1556" w:type="dxa"/>
            <w:tcBorders>
              <w:top w:val="single" w:sz="4" w:space="0" w:color="auto"/>
              <w:left w:val="nil"/>
              <w:bottom w:val="single" w:sz="4" w:space="0" w:color="auto"/>
              <w:right w:val="nil"/>
            </w:tcBorders>
            <w:shd w:val="clear" w:color="FFFFFF" w:fill="FFFFFF"/>
            <w:noWrap/>
            <w:vAlign w:val="bottom"/>
            <w:hideMark/>
          </w:tcPr>
          <w:p w14:paraId="4A4D0167" w14:textId="77777777" w:rsidR="00C32CBD" w:rsidRDefault="00C32CBD" w:rsidP="00320D09">
            <w:pPr>
              <w:jc w:val="right"/>
              <w:rPr>
                <w:rFonts w:cs="Arial"/>
                <w:sz w:val="18"/>
                <w:szCs w:val="18"/>
              </w:rPr>
            </w:pPr>
            <w:r>
              <w:rPr>
                <w:rFonts w:cs="Arial"/>
                <w:sz w:val="18"/>
                <w:szCs w:val="18"/>
              </w:rPr>
              <w:t>25,313</w:t>
            </w:r>
          </w:p>
        </w:tc>
      </w:tr>
    </w:tbl>
    <w:p w14:paraId="16466513" w14:textId="77777777" w:rsidR="00C32CBD" w:rsidRDefault="00C32CBD" w:rsidP="00C32CBD">
      <w:pPr>
        <w:pStyle w:val="PolicyheadingDept"/>
        <w:pBdr>
          <w:top w:val="none" w:sz="0" w:space="0" w:color="auto"/>
          <w:left w:val="none" w:sz="0" w:space="0" w:color="auto"/>
          <w:bottom w:val="none" w:sz="0" w:space="0" w:color="auto"/>
          <w:right w:val="none" w:sz="0" w:space="0" w:color="auto"/>
        </w:pBdr>
      </w:pPr>
    </w:p>
    <w:p w14:paraId="25A043E6" w14:textId="77777777" w:rsidR="00C32CBD" w:rsidRPr="00AB05BC" w:rsidRDefault="00C32CBD" w:rsidP="00C32CBD">
      <w:pPr>
        <w:pStyle w:val="PolicyheadingDept"/>
        <w:pBdr>
          <w:left w:val="single" w:sz="4" w:space="4" w:color="009560"/>
          <w:right w:val="single" w:sz="4" w:space="4" w:color="009560"/>
        </w:pBdr>
      </w:pPr>
      <w:r w:rsidRPr="00AB05BC">
        <w:t>Accounting Policy</w:t>
      </w:r>
    </w:p>
    <w:p w14:paraId="105998A9" w14:textId="77777777" w:rsidR="00C32CBD" w:rsidRPr="00C26EC1" w:rsidRDefault="00C32CBD" w:rsidP="00C32CBD">
      <w:pPr>
        <w:pStyle w:val="PolicytextDept"/>
        <w:pBdr>
          <w:left w:val="single" w:sz="4" w:space="4" w:color="009560"/>
          <w:right w:val="single" w:sz="4" w:space="4" w:color="009560"/>
        </w:pBdr>
      </w:pPr>
      <w:r w:rsidRPr="00C26EC1">
        <w:t>Assets are recorded at cost on acquisition except as stated below.  The cost of acquisition includes the fair value of assets transferred in exchange and liabilities undertaken.  Financial assets are initially measured at their fair value plus transaction costs where appropriate.</w:t>
      </w:r>
    </w:p>
    <w:p w14:paraId="58425785" w14:textId="77777777" w:rsidR="00C32CBD" w:rsidRDefault="00C32CBD" w:rsidP="00C32CBD">
      <w:pPr>
        <w:pStyle w:val="PolicytextDept"/>
        <w:pBdr>
          <w:left w:val="single" w:sz="4" w:space="4" w:color="009560"/>
          <w:right w:val="single" w:sz="4" w:space="4" w:color="009560"/>
        </w:pBdr>
      </w:pPr>
      <w:r w:rsidRPr="00C26EC1">
        <w:t xml:space="preserve">Assets acquired at no cost, or for nominal consideration, are initially recognised as assets and income at their fair value at the date of acquisition, unless acquired as a consequence of restructuring of administrative arrangements.  In the latter case, assets are initially recognised as contributions by owners at the amounts at which they were recognised in the transferor’s accounts immediately prior to the restructuring.   </w:t>
      </w:r>
    </w:p>
    <w:p w14:paraId="04247824" w14:textId="77777777" w:rsidR="00C32CBD" w:rsidRPr="005E5430" w:rsidRDefault="00C32CBD" w:rsidP="00C32CBD">
      <w:pPr>
        <w:pStyle w:val="PolicytextDept"/>
        <w:pBdr>
          <w:left w:val="single" w:sz="4" w:space="4" w:color="009560"/>
          <w:right w:val="single" w:sz="4" w:space="4" w:color="009560"/>
        </w:pBdr>
      </w:pPr>
      <w:r>
        <w:t>Refer to Note 2.2A for information on the Agency’s revaluation policy.</w:t>
      </w:r>
    </w:p>
    <w:p w14:paraId="0621A2FF" w14:textId="77777777" w:rsidR="00C32CBD" w:rsidRPr="005E5430" w:rsidRDefault="00C32CBD" w:rsidP="00C32CBD">
      <w:pPr>
        <w:rPr>
          <w:rFonts w:cs="Arial"/>
          <w:sz w:val="18"/>
          <w:szCs w:val="18"/>
          <w:lang w:eastAsia="en-AU"/>
        </w:rPr>
      </w:pPr>
    </w:p>
    <w:p w14:paraId="5376C0AA" w14:textId="77777777" w:rsidR="00C32CBD" w:rsidRDefault="00C32CBD" w:rsidP="00C32CBD">
      <w:pPr>
        <w:rPr>
          <w:rFonts w:cs="Arial"/>
          <w:sz w:val="18"/>
          <w:szCs w:val="18"/>
          <w:lang w:eastAsia="en-AU"/>
        </w:rPr>
      </w:pPr>
    </w:p>
    <w:p w14:paraId="0DCA2429" w14:textId="77777777" w:rsidR="00C32CBD" w:rsidRDefault="00C32CBD" w:rsidP="00C32CBD">
      <w:pPr>
        <w:rPr>
          <w:rFonts w:cs="Arial"/>
          <w:sz w:val="18"/>
          <w:szCs w:val="18"/>
          <w:lang w:eastAsia="en-AU"/>
        </w:rPr>
        <w:sectPr w:rsidR="00C32CBD" w:rsidSect="00320D09">
          <w:pgSz w:w="16838" w:h="11906" w:orient="landscape" w:code="9"/>
          <w:pgMar w:top="1134" w:right="1670" w:bottom="1134" w:left="1134" w:header="958" w:footer="737" w:gutter="0"/>
          <w:cols w:space="708"/>
          <w:docGrid w:linePitch="360"/>
        </w:sectPr>
      </w:pPr>
    </w:p>
    <w:bookmarkEnd w:id="277"/>
    <w:p w14:paraId="1ED9E9AD" w14:textId="77777777" w:rsidR="00C32CBD" w:rsidRDefault="00C32CBD" w:rsidP="00C32CBD">
      <w:pPr>
        <w:spacing w:line="240" w:lineRule="auto"/>
      </w:pPr>
    </w:p>
    <w:p w14:paraId="28E64ED7" w14:textId="77777777" w:rsidR="00C32CBD" w:rsidRDefault="00C32CBD" w:rsidP="00C32CBD">
      <w:pPr>
        <w:spacing w:line="240" w:lineRule="auto"/>
      </w:pPr>
    </w:p>
    <w:p w14:paraId="34102311" w14:textId="77777777" w:rsidR="00C32CBD" w:rsidRPr="00C32CBD" w:rsidRDefault="00C32CBD" w:rsidP="00C32CBD"/>
    <w:p w14:paraId="3ADD3AF9" w14:textId="77777777" w:rsidR="002E2AA5" w:rsidRDefault="002E2AA5" w:rsidP="002E2AA5">
      <w:pPr>
        <w:pStyle w:val="Heading2"/>
      </w:pPr>
      <w:bookmarkStart w:id="302" w:name="_Toc496611918"/>
      <w:r>
        <w:t>Acronyms</w:t>
      </w:r>
      <w:bookmarkEnd w:id="302"/>
    </w:p>
    <w:p w14:paraId="542C35B4" w14:textId="77777777" w:rsidR="002E2AA5" w:rsidRDefault="002E2AA5" w:rsidP="002E2AA5">
      <w:r>
        <w:t>AAs – Assistance Animals</w:t>
      </w:r>
    </w:p>
    <w:p w14:paraId="3F150CAA" w14:textId="77777777" w:rsidR="002E2AA5" w:rsidRDefault="002E2AA5" w:rsidP="002E2AA5">
      <w:r>
        <w:t>AAT – Administrative Appeals Tribunal</w:t>
      </w:r>
    </w:p>
    <w:p w14:paraId="25939A2B" w14:textId="77777777" w:rsidR="002E2AA5" w:rsidRDefault="002E2AA5" w:rsidP="002E2AA5">
      <w:r>
        <w:t>ABI – Acquired Brain Injury</w:t>
      </w:r>
    </w:p>
    <w:p w14:paraId="2A8E373E" w14:textId="77777777" w:rsidR="002E2AA5" w:rsidRDefault="002E2AA5" w:rsidP="002E2AA5">
      <w:r>
        <w:t>ACT – Australian Capital Territory</w:t>
      </w:r>
    </w:p>
    <w:p w14:paraId="2CEA1446" w14:textId="77777777" w:rsidR="002E2AA5" w:rsidRDefault="002E2AA5" w:rsidP="002E2AA5">
      <w:r>
        <w:t>AHRC – Australian Human Rights Commission</w:t>
      </w:r>
    </w:p>
    <w:p w14:paraId="2B189799" w14:textId="77777777" w:rsidR="002E2AA5" w:rsidRDefault="002E2AA5" w:rsidP="002E2AA5">
      <w:r>
        <w:t>AHRI - Australian Human Resources Institute</w:t>
      </w:r>
    </w:p>
    <w:p w14:paraId="697C9E13" w14:textId="77777777" w:rsidR="002E2AA5" w:rsidRDefault="002E2AA5" w:rsidP="002E2AA5">
      <w:r>
        <w:t>AM - Member of the Order of Australia</w:t>
      </w:r>
    </w:p>
    <w:p w14:paraId="6CC92268" w14:textId="77777777" w:rsidR="002E2AA5" w:rsidRDefault="002E2AA5" w:rsidP="002E2AA5">
      <w:r>
        <w:t>ANAO – Australian National Audit Office</w:t>
      </w:r>
    </w:p>
    <w:p w14:paraId="7B39D202" w14:textId="77777777" w:rsidR="002E2AA5" w:rsidRDefault="002E2AA5" w:rsidP="002E2AA5">
      <w:r>
        <w:t xml:space="preserve">ANZSOG - Australian and New Zealand School of Government </w:t>
      </w:r>
    </w:p>
    <w:p w14:paraId="743A9C05" w14:textId="77777777" w:rsidR="002E2AA5" w:rsidRDefault="002E2AA5" w:rsidP="002E2AA5">
      <w:r>
        <w:t>AO - Officer in the General division</w:t>
      </w:r>
    </w:p>
    <w:p w14:paraId="0780716B" w14:textId="77777777" w:rsidR="002E2AA5" w:rsidRDefault="002E2AA5" w:rsidP="002E2AA5">
      <w:r>
        <w:t>APS – Australian Public Service</w:t>
      </w:r>
    </w:p>
    <w:p w14:paraId="658BC440" w14:textId="77777777" w:rsidR="002E2AA5" w:rsidRDefault="002E2AA5" w:rsidP="002E2AA5">
      <w:r>
        <w:t>APSC – Australian Public Service Commission</w:t>
      </w:r>
    </w:p>
    <w:p w14:paraId="3DF4B5CC" w14:textId="77777777" w:rsidR="002E2AA5" w:rsidRDefault="002E2AA5" w:rsidP="002E2AA5">
      <w:r>
        <w:t>APY (Lands) – Anangu Pitjantjatjara Yankunytjatjara</w:t>
      </w:r>
    </w:p>
    <w:p w14:paraId="6FEF382F" w14:textId="77777777" w:rsidR="002E2AA5" w:rsidRDefault="002E2AA5" w:rsidP="002E2AA5">
      <w:r>
        <w:t>AFRC – Audit and Financial Risk Committee</w:t>
      </w:r>
    </w:p>
    <w:p w14:paraId="474B648D" w14:textId="77777777" w:rsidR="002E2AA5" w:rsidRDefault="002E2AA5" w:rsidP="002E2AA5">
      <w:r>
        <w:t>AT – Assistive Technology</w:t>
      </w:r>
    </w:p>
    <w:p w14:paraId="325D4A44" w14:textId="77777777" w:rsidR="002E2AA5" w:rsidRDefault="002E2AA5" w:rsidP="002E2AA5">
      <w:r>
        <w:t>Autism CRC – Cooperative Research Centre for Living with Autism</w:t>
      </w:r>
    </w:p>
    <w:p w14:paraId="3FF6F2C3" w14:textId="77777777" w:rsidR="002E2AA5" w:rsidRDefault="002E2AA5" w:rsidP="002E2AA5">
      <w:r>
        <w:t>CALD – Culturally and Linguistically Diverse</w:t>
      </w:r>
    </w:p>
    <w:p w14:paraId="7FCBF76E" w14:textId="77777777" w:rsidR="002E2AA5" w:rsidRDefault="002E2AA5" w:rsidP="002E2AA5">
      <w:r>
        <w:t xml:space="preserve">CDAH – Community Disability Alliance Hunter  </w:t>
      </w:r>
    </w:p>
    <w:p w14:paraId="4EE039EF" w14:textId="77777777" w:rsidR="002E2AA5" w:rsidRDefault="002E2AA5" w:rsidP="002E2AA5">
      <w:r>
        <w:t>CEO – Chief Executive Officer</w:t>
      </w:r>
    </w:p>
    <w:p w14:paraId="371D2CCE" w14:textId="373E0F54" w:rsidR="002E2AA5" w:rsidRDefault="002E2AA5" w:rsidP="002E2AA5">
      <w:r>
        <w:t>COO – Chief Operating Officer</w:t>
      </w:r>
    </w:p>
    <w:p w14:paraId="754CB6EB" w14:textId="77777777" w:rsidR="002E2AA5" w:rsidRDefault="002E2AA5" w:rsidP="002E2AA5">
      <w:r>
        <w:t>CICD – Community Inclusion and Capacity Development</w:t>
      </w:r>
    </w:p>
    <w:p w14:paraId="1B125EA4" w14:textId="77777777" w:rsidR="002E2AA5" w:rsidRDefault="002E2AA5" w:rsidP="002E2AA5">
      <w:r>
        <w:t>COAG – Council of Australian Governments</w:t>
      </w:r>
    </w:p>
    <w:p w14:paraId="2AC58A6D" w14:textId="77777777" w:rsidR="002E2AA5" w:rsidRDefault="002E2AA5" w:rsidP="002E2AA5">
      <w:r>
        <w:t>CPI – Consumer Price Index</w:t>
      </w:r>
    </w:p>
    <w:p w14:paraId="775C510F" w14:textId="77777777" w:rsidR="002E2AA5" w:rsidRDefault="002E2AA5" w:rsidP="002E2AA5">
      <w:r>
        <w:t>DHS – Department of Human Services</w:t>
      </w:r>
    </w:p>
    <w:p w14:paraId="2B9EA802" w14:textId="77777777" w:rsidR="002E2AA5" w:rsidRDefault="002E2AA5" w:rsidP="002E2AA5">
      <w:r>
        <w:t>DRC – (COAG) Disability Reform Council</w:t>
      </w:r>
    </w:p>
    <w:p w14:paraId="00A01C70" w14:textId="77777777" w:rsidR="002E2AA5" w:rsidRDefault="002E2AA5" w:rsidP="002E2AA5">
      <w:r>
        <w:t>DSS – Department of Social Services</w:t>
      </w:r>
    </w:p>
    <w:p w14:paraId="196FA1A6" w14:textId="77777777" w:rsidR="002E2AA5" w:rsidRDefault="002E2AA5" w:rsidP="002E2AA5">
      <w:r>
        <w:t>EA – Enterprise Agreement</w:t>
      </w:r>
    </w:p>
    <w:p w14:paraId="6A99102E" w14:textId="77777777" w:rsidR="002E2AA5" w:rsidRDefault="002E2AA5" w:rsidP="002E2AA5">
      <w:r>
        <w:t>ECEI – Early Childhood Early Intervention</w:t>
      </w:r>
    </w:p>
    <w:p w14:paraId="0D0EA6DE" w14:textId="77777777" w:rsidR="002E2AA5" w:rsidRDefault="002E2AA5" w:rsidP="002E2AA5">
      <w:r>
        <w:t>EMG – Executive Management Group</w:t>
      </w:r>
    </w:p>
    <w:p w14:paraId="06244EE5" w14:textId="77777777" w:rsidR="002E2AA5" w:rsidRDefault="002E2AA5" w:rsidP="002E2AA5">
      <w:r>
        <w:t>FaHCSIA – Department of Families, Housing, Community Services and Indigenous Affairs</w:t>
      </w:r>
    </w:p>
    <w:p w14:paraId="39F35C2B" w14:textId="77777777" w:rsidR="002E2AA5" w:rsidRDefault="002E2AA5" w:rsidP="002E2AA5">
      <w:r>
        <w:t>FOI – Freedom of Information</w:t>
      </w:r>
    </w:p>
    <w:p w14:paraId="4823A135" w14:textId="77777777" w:rsidR="002E2AA5" w:rsidRDefault="002E2AA5" w:rsidP="002E2AA5">
      <w:r>
        <w:t>HR – Human Resources</w:t>
      </w:r>
    </w:p>
    <w:p w14:paraId="19EC41F4" w14:textId="77777777" w:rsidR="002E2AA5" w:rsidRDefault="002E2AA5" w:rsidP="002E2AA5">
      <w:r>
        <w:t>IAC – Independent Advisory Council</w:t>
      </w:r>
    </w:p>
    <w:p w14:paraId="17AADD00" w14:textId="77777777" w:rsidR="002E2AA5" w:rsidRDefault="002E2AA5" w:rsidP="002E2AA5">
      <w:r>
        <w:t>IAGDP – Indigenous Australian Government Development Program</w:t>
      </w:r>
    </w:p>
    <w:p w14:paraId="10ECF4B0" w14:textId="77777777" w:rsidR="002E2AA5" w:rsidRDefault="002E2AA5" w:rsidP="002E2AA5">
      <w:r>
        <w:t>ICT – Information and Communications Technology</w:t>
      </w:r>
    </w:p>
    <w:p w14:paraId="6D73B371" w14:textId="77777777" w:rsidR="002E2AA5" w:rsidRDefault="002E2AA5" w:rsidP="002E2AA5">
      <w:r>
        <w:t>ILC – Information, Linkages and Capacity Building</w:t>
      </w:r>
    </w:p>
    <w:p w14:paraId="0AB7D60A" w14:textId="77777777" w:rsidR="002E2AA5" w:rsidRDefault="002E2AA5" w:rsidP="002E2AA5">
      <w:r>
        <w:t>IFA – Individual Flexibility Arrangements</w:t>
      </w:r>
    </w:p>
    <w:p w14:paraId="499AE4F8" w14:textId="77777777" w:rsidR="002E2AA5" w:rsidRDefault="002E2AA5" w:rsidP="002E2AA5">
      <w:r>
        <w:t>IPAA - Institute of Public Administration Australia</w:t>
      </w:r>
    </w:p>
    <w:p w14:paraId="564EE5CB" w14:textId="77777777" w:rsidR="002E2AA5" w:rsidRDefault="002E2AA5" w:rsidP="002E2AA5">
      <w:r>
        <w:t>JSC – Joint Standing Committee on the NDIS</w:t>
      </w:r>
    </w:p>
    <w:p w14:paraId="2BD28593" w14:textId="77777777" w:rsidR="002E2AA5" w:rsidRDefault="002E2AA5" w:rsidP="002E2AA5">
      <w:r>
        <w:t>KPI – Key performance indicator</w:t>
      </w:r>
    </w:p>
    <w:p w14:paraId="465B104C" w14:textId="77777777" w:rsidR="002E2AA5" w:rsidRDefault="002E2AA5" w:rsidP="002E2AA5">
      <w:r>
        <w:t>LAC – Local Area Coordinator</w:t>
      </w:r>
    </w:p>
    <w:p w14:paraId="2E8D20C8" w14:textId="77777777" w:rsidR="002E2AA5" w:rsidRDefault="002E2AA5" w:rsidP="002E2AA5">
      <w:r>
        <w:t>LGBTIQA+ - Lesbian, gay, bisexual, transgender, intersex, queer, asexual and other sexualities</w:t>
      </w:r>
    </w:p>
    <w:p w14:paraId="772F6514" w14:textId="77777777" w:rsidR="002E2AA5" w:rsidRDefault="002E2AA5" w:rsidP="002E2AA5">
      <w:r>
        <w:t>MoU – Memorandum of Understanding</w:t>
      </w:r>
    </w:p>
    <w:p w14:paraId="7045BAF5" w14:textId="77777777" w:rsidR="002E2AA5" w:rsidRDefault="002E2AA5" w:rsidP="002E2AA5">
      <w:r>
        <w:t>NDIA – National Disability Insurance Agency</w:t>
      </w:r>
    </w:p>
    <w:p w14:paraId="3E222B3C" w14:textId="77777777" w:rsidR="002E2AA5" w:rsidRDefault="002E2AA5" w:rsidP="002E2AA5">
      <w:r>
        <w:t>NDIS – National Disability Insurance Scheme</w:t>
      </w:r>
    </w:p>
    <w:p w14:paraId="3FE17BBB" w14:textId="77777777" w:rsidR="002E2AA5" w:rsidRDefault="002E2AA5" w:rsidP="002E2AA5">
      <w:r>
        <w:t>NSW – New South Wales</w:t>
      </w:r>
    </w:p>
    <w:p w14:paraId="48549418" w14:textId="77777777" w:rsidR="002E2AA5" w:rsidRDefault="002E2AA5" w:rsidP="002E2AA5">
      <w:r>
        <w:t>NPN - National Partner Network</w:t>
      </w:r>
    </w:p>
    <w:p w14:paraId="6FC22A6B" w14:textId="77777777" w:rsidR="002E2AA5" w:rsidRDefault="002E2AA5" w:rsidP="002E2AA5">
      <w:r>
        <w:t>NT – Northern Territory</w:t>
      </w:r>
    </w:p>
    <w:p w14:paraId="06E23293" w14:textId="77777777" w:rsidR="002E2AA5" w:rsidRDefault="002E2AA5" w:rsidP="002E2AA5">
      <w:r>
        <w:t>OAIC – Office of Australian Information Commissioner</w:t>
      </w:r>
    </w:p>
    <w:p w14:paraId="2EBAF3DD" w14:textId="77777777" w:rsidR="002E2AA5" w:rsidRDefault="002E2AA5" w:rsidP="002E2AA5">
      <w:r>
        <w:t>OAM - Medal of the Order of Australia</w:t>
      </w:r>
    </w:p>
    <w:p w14:paraId="552A438B" w14:textId="77777777" w:rsidR="002E2AA5" w:rsidRDefault="002E2AA5" w:rsidP="002E2AA5">
      <w:r>
        <w:t>OT – Occupational Therapy</w:t>
      </w:r>
    </w:p>
    <w:p w14:paraId="516E18AA" w14:textId="77777777" w:rsidR="002E2AA5" w:rsidRDefault="002E2AA5" w:rsidP="002E2AA5">
      <w:r>
        <w:t>PITC – Partner in the Community</w:t>
      </w:r>
    </w:p>
    <w:p w14:paraId="07B5248D" w14:textId="77777777" w:rsidR="002E2AA5" w:rsidRDefault="002E2AA5" w:rsidP="002E2AA5">
      <w:r>
        <w:t>PBS – Portfolio Budget Statement</w:t>
      </w:r>
    </w:p>
    <w:p w14:paraId="4B47F330" w14:textId="77777777" w:rsidR="002E2AA5" w:rsidRDefault="002E2AA5" w:rsidP="002E2AA5">
      <w:r>
        <w:t>PDF - Performance Development Framework</w:t>
      </w:r>
    </w:p>
    <w:p w14:paraId="22495A98" w14:textId="77777777" w:rsidR="002E2AA5" w:rsidRDefault="002E2AA5" w:rsidP="002E2AA5">
      <w:r>
        <w:t>PGPA – Public Governance Performance and Accountability</w:t>
      </w:r>
    </w:p>
    <w:p w14:paraId="7325511B" w14:textId="77777777" w:rsidR="002E2AA5" w:rsidRDefault="002E2AA5" w:rsidP="002E2AA5">
      <w:r>
        <w:t>PS Act – Public Service Act 1999</w:t>
      </w:r>
    </w:p>
    <w:p w14:paraId="79A57B7B" w14:textId="77777777" w:rsidR="002E2AA5" w:rsidRDefault="002E2AA5" w:rsidP="002E2AA5">
      <w:r>
        <w:t>PwC - PricewaterhouseCoopers Australia</w:t>
      </w:r>
    </w:p>
    <w:p w14:paraId="5C7F157E" w14:textId="77777777" w:rsidR="002E2AA5" w:rsidRDefault="002E2AA5" w:rsidP="002E2AA5">
      <w:r>
        <w:t>PWDA - People With Disability Australia</w:t>
      </w:r>
    </w:p>
    <w:p w14:paraId="12686DB3" w14:textId="77777777" w:rsidR="002E2AA5" w:rsidRDefault="002E2AA5" w:rsidP="002E2AA5">
      <w:r>
        <w:t>QLD – Queensland</w:t>
      </w:r>
    </w:p>
    <w:p w14:paraId="4B452738" w14:textId="77777777" w:rsidR="002E2AA5" w:rsidRDefault="002E2AA5" w:rsidP="002E2AA5">
      <w:r>
        <w:t>RAP - Reconciliation Action Plan</w:t>
      </w:r>
    </w:p>
    <w:p w14:paraId="36FE7C37" w14:textId="77777777" w:rsidR="002E2AA5" w:rsidRDefault="002E2AA5" w:rsidP="002E2AA5">
      <w:r>
        <w:t xml:space="preserve">RMS – Rehabilitation Management System </w:t>
      </w:r>
    </w:p>
    <w:p w14:paraId="5BF020E5" w14:textId="77777777" w:rsidR="002E2AA5" w:rsidRDefault="002E2AA5" w:rsidP="002E2AA5">
      <w:r>
        <w:t>SA – South Australia</w:t>
      </w:r>
    </w:p>
    <w:p w14:paraId="262AE602" w14:textId="77777777" w:rsidR="002E2AA5" w:rsidRDefault="002E2AA5" w:rsidP="002E2AA5">
      <w:r>
        <w:t>SDA – Specialist Disability Accommodation</w:t>
      </w:r>
    </w:p>
    <w:p w14:paraId="56C69505" w14:textId="77777777" w:rsidR="002E2AA5" w:rsidRDefault="002E2AA5" w:rsidP="002E2AA5">
      <w:r>
        <w:t>SES – Senior Executive Service</w:t>
      </w:r>
    </w:p>
    <w:p w14:paraId="1B4FC6CC" w14:textId="77777777" w:rsidR="002E2AA5" w:rsidRDefault="002E2AA5" w:rsidP="002E2AA5">
      <w:r>
        <w:t>SLES – School Leaver Employment Supports</w:t>
      </w:r>
    </w:p>
    <w:p w14:paraId="5E8A3BC0" w14:textId="77777777" w:rsidR="002E2AA5" w:rsidRDefault="002E2AA5" w:rsidP="002E2AA5">
      <w:r>
        <w:t>SPN – Staff Participant Network</w:t>
      </w:r>
    </w:p>
    <w:p w14:paraId="78232510" w14:textId="77777777" w:rsidR="002E2AA5" w:rsidRDefault="002E2AA5" w:rsidP="002E2AA5">
      <w:r>
        <w:t>UN – United Nations</w:t>
      </w:r>
    </w:p>
    <w:p w14:paraId="7751E1BA" w14:textId="77777777" w:rsidR="002E2AA5" w:rsidRDefault="002E2AA5" w:rsidP="002E2AA5">
      <w:r>
        <w:t>VALID – Victorian Advocacy League for Adults with Intellectual Disabilities</w:t>
      </w:r>
    </w:p>
    <w:p w14:paraId="1B4D93C9" w14:textId="77777777" w:rsidR="002E2AA5" w:rsidRDefault="002E2AA5" w:rsidP="002E2AA5">
      <w:r>
        <w:t>WA – Western Australia</w:t>
      </w:r>
    </w:p>
    <w:p w14:paraId="0A2B3933" w14:textId="77777777" w:rsidR="002E2AA5" w:rsidRDefault="002E2AA5" w:rsidP="002E2AA5">
      <w:r>
        <w:t>WHS – Work health and safety</w:t>
      </w:r>
    </w:p>
    <w:p w14:paraId="543E64BD" w14:textId="77777777" w:rsidR="00FC3720" w:rsidRDefault="00FC3720" w:rsidP="00FC3720">
      <w:pPr>
        <w:pStyle w:val="Heading2"/>
      </w:pPr>
      <w:bookmarkStart w:id="303" w:name="_Toc496611919"/>
      <w:r>
        <w:t>Glossary</w:t>
      </w:r>
      <w:bookmarkEnd w:id="303"/>
      <w:r>
        <w:t xml:space="preserve"> </w:t>
      </w:r>
    </w:p>
    <w:p w14:paraId="78AB97A6" w14:textId="77777777" w:rsidR="00FC3720" w:rsidRDefault="00FC3720" w:rsidP="00FC3720">
      <w:r>
        <w:t>Access requirements: the criteria someone must meet to become a participant in the NDIS. The access requirements are: age (under 65 years); residency (live in Australia and be an Australian citizen or have paperwork letting you live here permanently); disability: your disability is permanent (will not go away) and significant or you need early intervention (you require support early to help reduce the future needs for supports).</w:t>
      </w:r>
    </w:p>
    <w:p w14:paraId="69E5B835" w14:textId="77777777" w:rsidR="00FC3720" w:rsidRDefault="00FC3720" w:rsidP="00FC3720">
      <w:r>
        <w:t>Affirmative measures: allow a particular job in the Australian Public Service (APS) to be open only to people who have a disability, or a particular type of disability, or to an Aboriginal or Torres Strait Islander person. The measure is designed to address the under-representation of people with disability and Aboriginal or Torres Strait Islander people in APS agencies.</w:t>
      </w:r>
    </w:p>
    <w:p w14:paraId="2CD8C1AA" w14:textId="77777777" w:rsidR="00FC3720" w:rsidRDefault="00FC3720" w:rsidP="00FC3720">
      <w:r>
        <w:t xml:space="preserve">Agency: refers to the National Disability Insurance Agency (NDIA). The NDIA is an independent statutory agency whose role it is to implement the NDIS. </w:t>
      </w:r>
    </w:p>
    <w:p w14:paraId="128A6CA1" w14:textId="77777777" w:rsidR="00FC3720" w:rsidRDefault="00FC3720" w:rsidP="00FC3720">
      <w:r>
        <w:t>Approved plan: see ‘Plan’.</w:t>
      </w:r>
    </w:p>
    <w:p w14:paraId="6376161B" w14:textId="77777777" w:rsidR="00FC3720" w:rsidRDefault="00FC3720" w:rsidP="00FC3720">
      <w:r>
        <w:t xml:space="preserve">Assistive Technology (AT): the full range of technological solutions that allow people with disability to be more independent and more connected. The primary purpose of AT is to maintain or improve an individual’s functioning and independence to make possible participation (at home, school, workplace and/or community) and to enhance overall well-being. </w:t>
      </w:r>
    </w:p>
    <w:p w14:paraId="443AFDCC" w14:textId="77777777" w:rsidR="00FC3720" w:rsidRDefault="00FC3720" w:rsidP="00FC3720">
      <w:r>
        <w:t>Beyond the traditional “aids and equipment” used by people with disability, including home and vehicle modifications, prosthetics and hearing aids, AT includes some mainstream devices (for example, smartphones, tablets and apps) that are adapted with special features (or software) to assist a person with disability to do tasks others take for granted.</w:t>
      </w:r>
    </w:p>
    <w:p w14:paraId="26275BD8" w14:textId="77777777" w:rsidR="00FC3720" w:rsidRDefault="00FC3720" w:rsidP="00FC3720">
      <w:r>
        <w:t>Attendant care: refers to any paid care or support services delivered at a person’s home or in their community to enable them to remain living in the community.</w:t>
      </w:r>
    </w:p>
    <w:p w14:paraId="4EFB340D" w14:textId="77777777" w:rsidR="00FC3720" w:rsidRDefault="00FC3720" w:rsidP="00FC3720">
      <w:r>
        <w:t>Bilateral Agreement: an agreement between the Commonwealth Government and jurisdictional governments regarding roles and responsibilities for the transition to full coverage of the NDIS.</w:t>
      </w:r>
    </w:p>
    <w:p w14:paraId="1608B49C" w14:textId="77777777" w:rsidR="00FC3720" w:rsidRDefault="00FC3720" w:rsidP="00FC3720">
      <w:r>
        <w:t>Bilateral estimates: estimates for the number of people expected to enter the NDIS, by quarter, in each state and territory over the next three years. These figures are estimates only.</w:t>
      </w:r>
    </w:p>
    <w:p w14:paraId="4DCACA29" w14:textId="77777777" w:rsidR="00B7526F" w:rsidRDefault="00FC3720" w:rsidP="00FC3720">
      <w:r>
        <w:t xml:space="preserve">Carer: someone who provides personal care, support and assistance to a person with disability and who is not contracted as a paid </w:t>
      </w:r>
      <w:r w:rsidR="00B7526F">
        <w:t>or voluntary worker.</w:t>
      </w:r>
    </w:p>
    <w:p w14:paraId="75275D81" w14:textId="77777777" w:rsidR="00B7526F" w:rsidRDefault="00FC3720" w:rsidP="00FC3720">
      <w:r>
        <w:t>Choice and control: the NDIA principle which outlines a participant’s right to determine, how and when and by whom their supports are delivered.</w:t>
      </w:r>
    </w:p>
    <w:p w14:paraId="5351CEA6" w14:textId="3A6802D6" w:rsidR="00FC3720" w:rsidRDefault="00FC3720" w:rsidP="00FC3720">
      <w:r>
        <w:t>Committed supports: funds included for reasonable and necessary supports for participants in approved plans.</w:t>
      </w:r>
    </w:p>
    <w:p w14:paraId="04719325" w14:textId="77777777" w:rsidR="00FC3720" w:rsidRDefault="00FC3720" w:rsidP="00FC3720">
      <w:r>
        <w:t>Community engagement: describes the range of ways people are involved in the wider community.</w:t>
      </w:r>
    </w:p>
    <w:p w14:paraId="1426A7F1" w14:textId="77777777" w:rsidR="00FC3720" w:rsidRDefault="00FC3720" w:rsidP="00FC3720">
      <w:r>
        <w:t>Community services: activities and services such as social, study, sporting or other interests, available from local non-government groups and government entities.</w:t>
      </w:r>
    </w:p>
    <w:p w14:paraId="2A05968E" w14:textId="77777777" w:rsidR="00FC3720" w:rsidRDefault="00FC3720" w:rsidP="00FC3720">
      <w:r>
        <w:t>Culturally and Linguistically Diverse (CALD): for the purpose of Scheme estimates, ‘culturally and linguistically diverse’ is defined as: country of birth is not Australia, New Zealand, the United Kingdom, the United States of America, Canada or South Africa; or primary language spoken at home is not English.</w:t>
      </w:r>
    </w:p>
    <w:p w14:paraId="336D7C6F" w14:textId="77777777" w:rsidR="00FC3720" w:rsidRDefault="00FC3720" w:rsidP="00FC3720">
      <w:r>
        <w:t>Disability: total or partial loss of the person’s bodily or mental functions (the Disability Discrimination Act 1992). Describes a person’s impairment of body or function, a limitation in activities or a restriction in participation when interacting with their environment.</w:t>
      </w:r>
    </w:p>
    <w:p w14:paraId="0A4B86AB" w14:textId="77777777" w:rsidR="00FC3720" w:rsidRDefault="00FC3720" w:rsidP="00FC3720">
      <w:r>
        <w:t>Early Childhood Early Intervention: providing support early in life to reduce the effects of disability and to improve the person’s functional capacity.</w:t>
      </w:r>
    </w:p>
    <w:p w14:paraId="0E7A0785" w14:textId="77777777" w:rsidR="00FC3720" w:rsidRDefault="00FC3720" w:rsidP="00FC3720">
      <w:r>
        <w:t>eMarket platform: an online marketplace to assist people with disability, their families and carers to exercise choice about support options, and to assist service agencies and other suppliers to communicate their offerings and access information that will inform their commercial decisions.</w:t>
      </w:r>
    </w:p>
    <w:p w14:paraId="7A7F3209" w14:textId="77777777" w:rsidR="00FC3720" w:rsidRDefault="00FC3720" w:rsidP="00FC3720">
      <w:r>
        <w:t xml:space="preserve">Full Scheme: the dates when the NDIS will be available to all eligible residents. In the Australian Capital Territory this is July 2016. In New South Wales and South Australia this will be July 2018. In Tasmania, Victoria, Queensland, and the Northern Territory, this is July 2019. In Western Australia, this is July 2020. </w:t>
      </w:r>
    </w:p>
    <w:p w14:paraId="7CAF705D" w14:textId="77777777" w:rsidR="00FC3720" w:rsidRDefault="00FC3720" w:rsidP="00FC3720">
      <w:r>
        <w:t>Functional impact: a description of the nature and extent of a person’s disability and how it affects the things they need to do and the way they do them.</w:t>
      </w:r>
    </w:p>
    <w:p w14:paraId="71768B9B" w14:textId="77777777" w:rsidR="00FC3720" w:rsidRDefault="00FC3720" w:rsidP="00FC3720">
      <w:r>
        <w:t>Funded supports: see reasonable and necessary supports.</w:t>
      </w:r>
    </w:p>
    <w:p w14:paraId="6BD6A1D5" w14:textId="77777777" w:rsidR="00FC3720" w:rsidRDefault="00FC3720" w:rsidP="00FC3720">
      <w:r>
        <w:t>Goals: The aspirational outcome which a participant has set for themselves.</w:t>
      </w:r>
    </w:p>
    <w:p w14:paraId="240B5135" w14:textId="77777777" w:rsidR="00FC3720" w:rsidRDefault="00FC3720" w:rsidP="00FC3720">
      <w:r>
        <w:t>Informal supports: the supports participants get from the people around them, for example family, friends and neighbours.</w:t>
      </w:r>
    </w:p>
    <w:p w14:paraId="3C3BA4D4" w14:textId="77777777" w:rsidR="004623D0" w:rsidRDefault="00FC3720" w:rsidP="00FC3720">
      <w:r>
        <w:t>Information, Linkages and Capacity building (ILC): the activities that will be supported by the NDIS to promote the social and economic inclusion of people with a disability, including people not receiving individualised funded support from the NDIS. The activities include providing information and making linkages and referral to community or mainstream services, building the capacity of people with a disability, families and carers, building community capacity, building mainstream service provider capacity, and local area coordination.</w:t>
      </w:r>
    </w:p>
    <w:p w14:paraId="0C2E5924" w14:textId="48267416" w:rsidR="00FC3720" w:rsidRDefault="00FC3720" w:rsidP="00FC3720">
      <w:r>
        <w:t>Insurance approach: sharing the costs of disability services and supports across the community.</w:t>
      </w:r>
    </w:p>
    <w:p w14:paraId="691E786B" w14:textId="77777777" w:rsidR="00FC3720" w:rsidRDefault="00FC3720" w:rsidP="00FC3720">
      <w:r>
        <w:t>Insurance principles: placing emphasis on making up-front investments that reduce participants’ calls on the Scheme into the future, including investments in measuring lifetime costs, research and innovation, and community capability development.</w:t>
      </w:r>
    </w:p>
    <w:p w14:paraId="50FE7F81" w14:textId="77777777" w:rsidR="00FC3720" w:rsidRDefault="00FC3720" w:rsidP="00FC3720">
      <w:r>
        <w:t xml:space="preserve">Local Area Coordinators / Coordination (LACs/ LAC): local organisations working in partnership with the NDIA, to help participants, their families and carers access the NDIS. LACs will help participants write and manage their plans and also connect participants to mainstream services and local and community-based supports. </w:t>
      </w:r>
    </w:p>
    <w:p w14:paraId="4E6E6183" w14:textId="77777777" w:rsidR="00FC3720" w:rsidRDefault="00FC3720" w:rsidP="00FC3720">
      <w:r>
        <w:t>Lived experience of disability: either personally living with disability or having a close relationship with a person with disability (for example, a family member or partner).</w:t>
      </w:r>
    </w:p>
    <w:p w14:paraId="7B9FBCC5" w14:textId="77777777" w:rsidR="00FC3720" w:rsidRDefault="00FC3720" w:rsidP="00FC3720">
      <w:r>
        <w:t>Mainstream services: the government systems providing services to the Australian public e.g. health, mental health, education, justice, housing, child protection and employment services.</w:t>
      </w:r>
    </w:p>
    <w:p w14:paraId="3A19DE22" w14:textId="77777777" w:rsidR="00FC3720" w:rsidRDefault="00FC3720" w:rsidP="00FC3720">
      <w:r>
        <w:t>Market: a medium where buyers and sellers interact to trade goods and services. Under the NDIS, the market for disability supports is where NDIS participants and providers interact to trade for disability supports.</w:t>
      </w:r>
    </w:p>
    <w:p w14:paraId="0D6B8EE7" w14:textId="77777777" w:rsidR="00FC3720" w:rsidRDefault="00FC3720" w:rsidP="00FC3720">
      <w:r>
        <w:t>Market steward: the role the NDIA will take to promote market development under the NDIS. The role includes monitoring and facilitating the market and intervening when appropriate and necessary.</w:t>
      </w:r>
    </w:p>
    <w:p w14:paraId="6C1503B5" w14:textId="77777777" w:rsidR="004623D0" w:rsidRDefault="00FC3720" w:rsidP="00FC3720">
      <w:r>
        <w:t>myplace: myplace is a secure website for participants or their nominee to view their NDIS plan, request payments and manage services with providers. Registered providers also use the myplace portal to manage their registration, connect and make service bookings with participants and submit and monitor claims for payment.</w:t>
      </w:r>
    </w:p>
    <w:p w14:paraId="3D89F4F2" w14:textId="77777777" w:rsidR="004623D0" w:rsidRDefault="00FC3720" w:rsidP="00FC3720">
      <w:r>
        <w:t>NDIA: National Disability Insurance Agency. The Commonwealth government organisation administering the NDIS. In this report, the NDIA is al</w:t>
      </w:r>
      <w:r w:rsidR="004623D0">
        <w:t>so referred to as ‘the Agency’.</w:t>
      </w:r>
    </w:p>
    <w:p w14:paraId="6021D3D1" w14:textId="72E8C6D7" w:rsidR="00FC3720" w:rsidRDefault="00FC3720" w:rsidP="00FC3720">
      <w:r>
        <w:t>NDIS: National Disability Insurance Scheme. A new way of providing support for Australians with disability, their families and carers. In this report, the NDIS is also referred to as ‘the Scheme’.</w:t>
      </w:r>
    </w:p>
    <w:p w14:paraId="0CC7D7DD" w14:textId="77777777" w:rsidR="00FC3720" w:rsidRDefault="00FC3720" w:rsidP="00FC3720">
      <w:r>
        <w:t>Outcomes Framework: the Agency’s mechanism for measuring success for people with disability in areas like choice and control, social inclusion, education, employment, health and housing.</w:t>
      </w:r>
    </w:p>
    <w:p w14:paraId="69B0F214" w14:textId="77777777" w:rsidR="00FC3720" w:rsidRDefault="00FC3720" w:rsidP="00FC3720">
      <w:r>
        <w:t>Ordinary lives: lives that include positive relationships, a sense of belonging, autonomy, active involvement in decision-making, and opportunities for challenge and contribution.</w:t>
      </w:r>
    </w:p>
    <w:p w14:paraId="0AC021A4" w14:textId="77777777" w:rsidR="00727DAD" w:rsidRDefault="00FC3720" w:rsidP="00FC3720">
      <w:r>
        <w:t xml:space="preserve">Operational plans: operational plans set out the key deliverables agreed between the Agency, state and territory governments and the Commonwealth Government to support the rollout of the full NDIS Scheme. Operational plans have been developed in partnership between the parties and serve as the overarching roadmap for transitioning to the NDIS as best </w:t>
      </w:r>
      <w:r w:rsidR="00727DAD">
        <w:t xml:space="preserve">achieved in each jurisdiction. </w:t>
      </w:r>
    </w:p>
    <w:p w14:paraId="7A8EC737" w14:textId="6A4BE862" w:rsidR="00FC3720" w:rsidRDefault="00FC3720" w:rsidP="00FC3720">
      <w:r>
        <w:t>Package costs: the cost to the NDIS Agency of providing funding and support to an individual participant.</w:t>
      </w:r>
    </w:p>
    <w:p w14:paraId="28455935" w14:textId="77777777" w:rsidR="006134A6" w:rsidRDefault="00FC3720" w:rsidP="00FC3720">
      <w:r>
        <w:t xml:space="preserve">Participant: a person who meets the NDIS access requirements. </w:t>
      </w:r>
    </w:p>
    <w:p w14:paraId="27EFC7C3" w14:textId="4053E9CE" w:rsidR="00FC3720" w:rsidRDefault="00FC3720" w:rsidP="00FC3720">
      <w:r>
        <w:t xml:space="preserve">Participant / provider experience: the experience of prospective or current NDIS participants (or their families or carers) or providers, during all points of contact with the NDIA and Partners in the Community against the individual’s expectations. </w:t>
      </w:r>
    </w:p>
    <w:p w14:paraId="34CF4C26" w14:textId="77777777" w:rsidR="00FC3720" w:rsidRDefault="00FC3720" w:rsidP="00FC3720">
      <w:r>
        <w:t>Participant outcomes: a way of measuring whether or not participants’ goals are achieved combined with whether the Agency is meeting its objectives.</w:t>
      </w:r>
    </w:p>
    <w:p w14:paraId="6343C613" w14:textId="0A23C613" w:rsidR="00FC3720" w:rsidRDefault="00FC3720" w:rsidP="00FC3720">
      <w:r>
        <w:t>Partners in the Community: Partners in the Community are suitably experienced and qualified organisations within the community that will deliver Local Area Coordination (LAC) and Early Childhood Early Intervention (ECEI) services. The NDIA will source, manage, support and train, and se</w:t>
      </w:r>
      <w:r w:rsidR="00BD3E78">
        <w:t xml:space="preserve">t standards for their delivery </w:t>
      </w:r>
      <w:r>
        <w:t>of LAC and ECEI services.</w:t>
      </w:r>
    </w:p>
    <w:p w14:paraId="7A0BEF68" w14:textId="0730E908" w:rsidR="00FC3720" w:rsidRDefault="00FC3720" w:rsidP="00FC3720">
      <w:r>
        <w:t>People with disability: people who experience any or all of the following: impairments, activity limitations (difficulties in carrying out usual age-appropriate activities), and participation restrictions (problems a person may have taking part in community, social and family life). People with disability include both participants who receive individualised support packages under the NDIS, and people who have a disability but do not meet access requirements under the NDIS. People with disability who are not participants will benefit from the Information, Linkages and Capacity services the NDIS provides.</w:t>
      </w:r>
    </w:p>
    <w:p w14:paraId="2BC6E799" w14:textId="77777777" w:rsidR="00062224" w:rsidRDefault="00FC3720" w:rsidP="00FC3720">
      <w:r>
        <w:t>Phasing / phasing arrangement: refers to the order in which people will enter the NDIS within jurisdictions, as agreed to by the Commonwealth, state and terri</w:t>
      </w:r>
      <w:r w:rsidR="00062224">
        <w:t xml:space="preserve">tory governments and the NDIA. </w:t>
      </w:r>
    </w:p>
    <w:p w14:paraId="027438FA" w14:textId="77777777" w:rsidR="007A7785" w:rsidRDefault="00FC3720" w:rsidP="00FC3720">
      <w:r>
        <w:t xml:space="preserve">Plan: a written agreement worked out with the participant, stating their goals and needs, and the reasonable and necessary supports the NDIS will fund for them. Each participant </w:t>
      </w:r>
      <w:r w:rsidR="007A7785">
        <w:t xml:space="preserve">has their own individual plan. </w:t>
      </w:r>
    </w:p>
    <w:p w14:paraId="24019343" w14:textId="74F7C2FE" w:rsidR="00FC3720" w:rsidRDefault="00FC3720" w:rsidP="00FC3720">
      <w:r>
        <w:t>Planning process: the process by which the Agency helps a participant to plan for the assistance they need from the Scheme to attain their goals.</w:t>
      </w:r>
    </w:p>
    <w:p w14:paraId="6B7B29C2" w14:textId="77777777" w:rsidR="00FC3720" w:rsidRDefault="00FC3720" w:rsidP="00FC3720">
      <w:r>
        <w:t>Pricing: guidance on the price to be paid for each support item. For some items, such as personal care and community access, the amount indicates the maximum price that the Agency will pay for that support.</w:t>
      </w:r>
    </w:p>
    <w:p w14:paraId="1EC90EC2" w14:textId="57650F1C" w:rsidR="00FC3720" w:rsidRDefault="00FC3720" w:rsidP="00FC3720">
      <w:r>
        <w:t>Providers: individuals or organisations that deliver a support</w:t>
      </w:r>
      <w:r w:rsidR="00F71ABA">
        <w:t xml:space="preserve"> or a product to a participant </w:t>
      </w:r>
      <w:r>
        <w:t xml:space="preserve">of the NDIS. </w:t>
      </w:r>
    </w:p>
    <w:p w14:paraId="2247E924" w14:textId="77777777" w:rsidR="00FC3720" w:rsidRDefault="00FC3720" w:rsidP="00FC3720">
      <w:r>
        <w:t>Psychosocial disability: the term used to describe the disability experience of people with impairments and participation restrictions related to mental health conditions. These impairments and participation restrictions include loss of or reduced ability to function, think clearly, experience full physical health and manage social and emotional aspects of their lives.</w:t>
      </w:r>
    </w:p>
    <w:p w14:paraId="3BC7DA8D" w14:textId="77777777" w:rsidR="00FC3720" w:rsidRDefault="00FC3720" w:rsidP="00FC3720">
      <w:r>
        <w:t>Other stakeholders: includes Partners in the Community, states and territories, other government departments who are stakeholders (e.g. Department of Social Services, Department of Human Services), and non-profit organisations in the disability sector.</w:t>
      </w:r>
    </w:p>
    <w:p w14:paraId="6D921DD7" w14:textId="6BC3CCF5" w:rsidR="00FC3720" w:rsidRDefault="00FC3720" w:rsidP="00FC3720">
      <w:r>
        <w:t>Quality and Safeguards: Quality is about ensuring people receive good supports and safeguarding is about keeping people safe from harm. Features of quality and safeguarding systems generally include systems for handling complaints, staff screening processes and systems for checking that service providers meet the standards expected of them.</w:t>
      </w:r>
    </w:p>
    <w:p w14:paraId="198FC56E" w14:textId="77777777" w:rsidR="00FC3720" w:rsidRDefault="00FC3720" w:rsidP="00FC3720">
      <w:r>
        <w:t>Readiness: refers to the preparedness of people with disability, providers and other stakeholders for the transition to the NDIS.</w:t>
      </w:r>
    </w:p>
    <w:p w14:paraId="3F10C914" w14:textId="217CD8B1" w:rsidR="00FC3720" w:rsidRDefault="00FC3720" w:rsidP="00FC3720">
      <w:r>
        <w:t>Reasonable and necessary supports: the supports that are funded under the NDIS Act. The NDIA publishes operational guidelines to assist decisions on what is to be funded as a reasonable and necessary support.</w:t>
      </w:r>
    </w:p>
    <w:p w14:paraId="01FECEF9" w14:textId="77777777" w:rsidR="00FC3720" w:rsidRDefault="00FC3720" w:rsidP="00FC3720">
      <w:r>
        <w:t xml:space="preserve">Reference packages: a benchmark amount of support determined according to different characteristics of the population of NDIS Scheme participants such as age, health condition and ‘severity’ of disability. Reference packages will be used to monitor experience against the benchmarks. </w:t>
      </w:r>
    </w:p>
    <w:p w14:paraId="2756DD9B" w14:textId="77777777" w:rsidR="00FC3720" w:rsidRDefault="00FC3720" w:rsidP="00FC3720">
      <w:r>
        <w:t>Registered provider: An approved person or provider of supports, that has met the NDIS requirements for registration.</w:t>
      </w:r>
    </w:p>
    <w:p w14:paraId="6C51EEF3" w14:textId="77777777" w:rsidR="001E1E1C" w:rsidRDefault="00FC3720" w:rsidP="00FC3720">
      <w:r>
        <w:t>Sector: refers to organisations and sole traders who deliver disability support services and the p</w:t>
      </w:r>
      <w:r w:rsidR="001E1E1C">
        <w:t>eak bodies that represent them.</w:t>
      </w:r>
    </w:p>
    <w:p w14:paraId="6E2D0780" w14:textId="266AC536" w:rsidR="00FC3720" w:rsidRDefault="00FC3720" w:rsidP="00FC3720">
      <w:r>
        <w:t>Self-management: where funding and supports are managed by the participant and/or their family.</w:t>
      </w:r>
    </w:p>
    <w:p w14:paraId="50859955" w14:textId="77777777" w:rsidR="00FC3720" w:rsidRDefault="00FC3720" w:rsidP="00FC3720">
      <w:r>
        <w:t>Separation rate: the measure of people choosing to leave employment in the Agency.</w:t>
      </w:r>
    </w:p>
    <w:p w14:paraId="30583802" w14:textId="77777777" w:rsidR="00FC3720" w:rsidRDefault="00FC3720" w:rsidP="00FC3720">
      <w:r>
        <w:t>Service bookings: The online agreement between a participant and provider detailing the timeframe and cost of supports. It is completed in the myplace portal.</w:t>
      </w:r>
    </w:p>
    <w:p w14:paraId="43696E4E" w14:textId="77777777" w:rsidR="00FC3720" w:rsidRDefault="00FC3720" w:rsidP="00FC3720">
      <w:r>
        <w:t>Services: assistance delivered through a current support provider.</w:t>
      </w:r>
    </w:p>
    <w:p w14:paraId="3EB98E69" w14:textId="77777777" w:rsidR="00FC3720" w:rsidRDefault="00FC3720" w:rsidP="00FC3720">
      <w:r>
        <w:t xml:space="preserve">Support package: the term used by the Agency to describe the funding for the supports available to an individual participant. </w:t>
      </w:r>
    </w:p>
    <w:p w14:paraId="6F993772" w14:textId="77777777" w:rsidR="00FC3720" w:rsidRDefault="00FC3720" w:rsidP="00FC3720">
      <w:r>
        <w:t>Supports: assistance that helps a participant to reach their goals, objectives and aspirations, and to undertake activities to enable their social and economic participation.</w:t>
      </w:r>
    </w:p>
    <w:p w14:paraId="2FAA6B15" w14:textId="4DBFBF29" w:rsidR="00FC3720" w:rsidRDefault="00FC3720" w:rsidP="00FC3720">
      <w:r>
        <w:t>Trial phase: a term used to describe the first three years of</w:t>
      </w:r>
      <w:r w:rsidR="00AB2C7D">
        <w:t xml:space="preserve"> the NDIS where different ways </w:t>
      </w:r>
      <w:r>
        <w:t>of working were trialled.</w:t>
      </w:r>
    </w:p>
    <w:p w14:paraId="37DAC66B" w14:textId="77777777" w:rsidR="00FC3720" w:rsidRDefault="00FC3720" w:rsidP="00FC3720">
      <w:r>
        <w:t>Workforce: refers to people currently working in the disability support sector, or to new members of the disability support workforce. Workforce is also used to describe NDIA employees.</w:t>
      </w:r>
    </w:p>
    <w:p w14:paraId="44F16110" w14:textId="77777777" w:rsidR="007617F7" w:rsidRDefault="007617F7" w:rsidP="007617F7">
      <w:pPr>
        <w:pStyle w:val="Heading2"/>
      </w:pPr>
      <w:bookmarkStart w:id="304" w:name="_Toc496611920"/>
      <w:r>
        <w:t>Appendix 1: NDIA staffing statistics</w:t>
      </w:r>
      <w:bookmarkEnd w:id="304"/>
    </w:p>
    <w:p w14:paraId="26C588CD" w14:textId="7B25796D" w:rsidR="006268D9" w:rsidRDefault="007617F7" w:rsidP="007B4847">
      <w:pPr>
        <w:pStyle w:val="Heading4tables"/>
      </w:pPr>
      <w:bookmarkStart w:id="305" w:name="_Toc496611808"/>
      <w:r>
        <w:t>Table 10: NDIA staff by employment type and level 2016-17</w:t>
      </w:r>
      <w:bookmarkEnd w:id="305"/>
    </w:p>
    <w:tbl>
      <w:tblPr>
        <w:tblStyle w:val="TableGrid"/>
        <w:tblW w:w="0" w:type="auto"/>
        <w:tblLayout w:type="fixed"/>
        <w:tblLook w:val="04A0" w:firstRow="1" w:lastRow="0" w:firstColumn="1" w:lastColumn="0" w:noHBand="0" w:noVBand="1"/>
        <w:tblDescription w:val="Table 10: NDIA staff by employment type and level 2016-17"/>
      </w:tblPr>
      <w:tblGrid>
        <w:gridCol w:w="4818"/>
        <w:gridCol w:w="2977"/>
        <w:gridCol w:w="2268"/>
      </w:tblGrid>
      <w:tr w:rsidR="00D54C4C" w14:paraId="21AB77B4" w14:textId="77777777" w:rsidTr="003F47B7">
        <w:trPr>
          <w:tblHeader/>
        </w:trPr>
        <w:tc>
          <w:tcPr>
            <w:tcW w:w="4818" w:type="dxa"/>
            <w:shd w:val="clear" w:color="auto" w:fill="6B2976" w:themeFill="background2"/>
          </w:tcPr>
          <w:p w14:paraId="652AA888" w14:textId="44C2DD8D" w:rsidR="00164634" w:rsidRPr="00465BCE" w:rsidRDefault="00164634" w:rsidP="00195DA2">
            <w:pPr>
              <w:pStyle w:val="TableTitle"/>
            </w:pPr>
            <w:bookmarkStart w:id="306" w:name="Title_Table10"/>
            <w:r w:rsidRPr="00CC2ECB">
              <w:t>Staff</w:t>
            </w:r>
          </w:p>
        </w:tc>
        <w:tc>
          <w:tcPr>
            <w:tcW w:w="2977" w:type="dxa"/>
            <w:shd w:val="clear" w:color="auto" w:fill="6B2976" w:themeFill="background2"/>
          </w:tcPr>
          <w:p w14:paraId="1D7828B1" w14:textId="77777777" w:rsidR="00164634" w:rsidRDefault="00164634" w:rsidP="00164634">
            <w:pPr>
              <w:pStyle w:val="TableTitle"/>
              <w:jc w:val="right"/>
            </w:pPr>
            <w:r>
              <w:t>Headcount</w:t>
            </w:r>
          </w:p>
          <w:p w14:paraId="2A8A4CE3" w14:textId="25BDE059" w:rsidR="00164634" w:rsidRPr="009755FC" w:rsidRDefault="00164634" w:rsidP="00164634">
            <w:pPr>
              <w:pStyle w:val="TableTitle"/>
              <w:jc w:val="right"/>
            </w:pPr>
            <w:r>
              <w:t>2016-17</w:t>
            </w:r>
          </w:p>
        </w:tc>
        <w:tc>
          <w:tcPr>
            <w:tcW w:w="2268" w:type="dxa"/>
            <w:shd w:val="clear" w:color="auto" w:fill="6B2976" w:themeFill="background2"/>
          </w:tcPr>
          <w:p w14:paraId="31A12AD9" w14:textId="77777777" w:rsidR="00164634" w:rsidRDefault="00164634" w:rsidP="00164634">
            <w:pPr>
              <w:pStyle w:val="TableTitle"/>
              <w:jc w:val="right"/>
            </w:pPr>
            <w:r>
              <w:t>FTE</w:t>
            </w:r>
          </w:p>
          <w:p w14:paraId="16B465A0" w14:textId="0EF5A29F" w:rsidR="00164634" w:rsidRPr="009755FC" w:rsidRDefault="00164634" w:rsidP="00164634">
            <w:pPr>
              <w:pStyle w:val="TableTitle"/>
              <w:jc w:val="right"/>
            </w:pPr>
            <w:r>
              <w:t>2016-17</w:t>
            </w:r>
          </w:p>
        </w:tc>
      </w:tr>
      <w:bookmarkEnd w:id="306"/>
      <w:tr w:rsidR="00D54C4C" w:rsidRPr="00164634" w14:paraId="0A21DA6B" w14:textId="77777777" w:rsidTr="00D54C4C">
        <w:tc>
          <w:tcPr>
            <w:tcW w:w="4818" w:type="dxa"/>
          </w:tcPr>
          <w:p w14:paraId="086076E6" w14:textId="7DA9633B" w:rsidR="00164634" w:rsidRPr="00164634" w:rsidRDefault="00164634" w:rsidP="00195DA2">
            <w:pPr>
              <w:pStyle w:val="BodyText"/>
              <w:rPr>
                <w:b/>
              </w:rPr>
            </w:pPr>
            <w:r w:rsidRPr="00164634">
              <w:rPr>
                <w:b/>
              </w:rPr>
              <w:t>Total</w:t>
            </w:r>
          </w:p>
        </w:tc>
        <w:tc>
          <w:tcPr>
            <w:tcW w:w="2977" w:type="dxa"/>
          </w:tcPr>
          <w:p w14:paraId="4EC0FCD9" w14:textId="45EBAB56" w:rsidR="00164634" w:rsidRPr="00164634" w:rsidRDefault="00164634" w:rsidP="00164634">
            <w:pPr>
              <w:pStyle w:val="BodyText"/>
              <w:jc w:val="right"/>
              <w:rPr>
                <w:b/>
              </w:rPr>
            </w:pPr>
            <w:r w:rsidRPr="00164634">
              <w:rPr>
                <w:b/>
              </w:rPr>
              <w:t>1,950</w:t>
            </w:r>
          </w:p>
        </w:tc>
        <w:tc>
          <w:tcPr>
            <w:tcW w:w="2268" w:type="dxa"/>
          </w:tcPr>
          <w:p w14:paraId="5CB0EA85" w14:textId="3F71EFC6" w:rsidR="00164634" w:rsidRPr="00164634" w:rsidRDefault="00164634" w:rsidP="00164634">
            <w:pPr>
              <w:pStyle w:val="BodyText"/>
              <w:jc w:val="right"/>
              <w:rPr>
                <w:b/>
              </w:rPr>
            </w:pPr>
            <w:r w:rsidRPr="00164634">
              <w:rPr>
                <w:b/>
              </w:rPr>
              <w:t>1,865.03</w:t>
            </w:r>
          </w:p>
        </w:tc>
      </w:tr>
      <w:tr w:rsidR="00D54C4C" w14:paraId="7CF832BB" w14:textId="77777777" w:rsidTr="00D54C4C">
        <w:tc>
          <w:tcPr>
            <w:tcW w:w="4818" w:type="dxa"/>
          </w:tcPr>
          <w:p w14:paraId="4FC4F624" w14:textId="06EF1E81" w:rsidR="00164634" w:rsidRPr="00D536D9" w:rsidRDefault="00164634" w:rsidP="00195DA2">
            <w:pPr>
              <w:pStyle w:val="BodyText"/>
              <w:rPr>
                <w:rStyle w:val="BodyTextBold"/>
              </w:rPr>
            </w:pPr>
            <w:r w:rsidRPr="00CC2ECB">
              <w:t>Ongoing</w:t>
            </w:r>
          </w:p>
        </w:tc>
        <w:tc>
          <w:tcPr>
            <w:tcW w:w="2977" w:type="dxa"/>
          </w:tcPr>
          <w:p w14:paraId="396D6A62" w14:textId="11E2E786" w:rsidR="00164634" w:rsidRPr="00D536D9" w:rsidRDefault="00164634" w:rsidP="00164634">
            <w:pPr>
              <w:pStyle w:val="BodyText"/>
              <w:jc w:val="right"/>
              <w:rPr>
                <w:rStyle w:val="BodyTextBold"/>
              </w:rPr>
            </w:pPr>
            <w:r w:rsidRPr="00CC2ECB">
              <w:t>1,453</w:t>
            </w:r>
          </w:p>
        </w:tc>
        <w:tc>
          <w:tcPr>
            <w:tcW w:w="2268" w:type="dxa"/>
          </w:tcPr>
          <w:p w14:paraId="3597006D" w14:textId="3F09F86D" w:rsidR="00164634" w:rsidRPr="00D536D9" w:rsidRDefault="00164634" w:rsidP="00164634">
            <w:pPr>
              <w:pStyle w:val="BodyText"/>
              <w:jc w:val="right"/>
              <w:rPr>
                <w:rStyle w:val="BodyTextBold"/>
              </w:rPr>
            </w:pPr>
            <w:r w:rsidRPr="00CC2ECB">
              <w:t>1,394.21</w:t>
            </w:r>
          </w:p>
        </w:tc>
      </w:tr>
      <w:tr w:rsidR="00D54C4C" w14:paraId="78423FFA" w14:textId="77777777" w:rsidTr="00D54C4C">
        <w:tc>
          <w:tcPr>
            <w:tcW w:w="4818" w:type="dxa"/>
          </w:tcPr>
          <w:p w14:paraId="58BF27AB" w14:textId="294A8BA4" w:rsidR="00164634" w:rsidRDefault="00164634" w:rsidP="00195DA2">
            <w:pPr>
              <w:pStyle w:val="BodyText"/>
            </w:pPr>
            <w:r w:rsidRPr="00CC2ECB">
              <w:t>Non-ongoing</w:t>
            </w:r>
          </w:p>
        </w:tc>
        <w:tc>
          <w:tcPr>
            <w:tcW w:w="2977" w:type="dxa"/>
          </w:tcPr>
          <w:p w14:paraId="16893174" w14:textId="2DD32483" w:rsidR="00164634" w:rsidRPr="00D536D9" w:rsidRDefault="00164634" w:rsidP="00164634">
            <w:pPr>
              <w:pStyle w:val="BodyText"/>
              <w:jc w:val="right"/>
              <w:rPr>
                <w:rStyle w:val="BodyTextBold"/>
              </w:rPr>
            </w:pPr>
            <w:r w:rsidRPr="00CC2ECB">
              <w:t>489</w:t>
            </w:r>
          </w:p>
        </w:tc>
        <w:tc>
          <w:tcPr>
            <w:tcW w:w="2268" w:type="dxa"/>
          </w:tcPr>
          <w:p w14:paraId="283AF127" w14:textId="7E2B9BCA" w:rsidR="00164634" w:rsidRPr="00D536D9" w:rsidRDefault="00164634" w:rsidP="00164634">
            <w:pPr>
              <w:pStyle w:val="BodyText"/>
              <w:jc w:val="right"/>
              <w:rPr>
                <w:rStyle w:val="BodyTextBold"/>
              </w:rPr>
            </w:pPr>
            <w:r w:rsidRPr="00CC2ECB">
              <w:t>470.82</w:t>
            </w:r>
          </w:p>
        </w:tc>
      </w:tr>
      <w:tr w:rsidR="00D54C4C" w14:paraId="5ECF77D7" w14:textId="77777777" w:rsidTr="00D54C4C">
        <w:tc>
          <w:tcPr>
            <w:tcW w:w="4818" w:type="dxa"/>
          </w:tcPr>
          <w:p w14:paraId="209D5FB8" w14:textId="4A2A2E3E" w:rsidR="00164634" w:rsidRDefault="00164634" w:rsidP="00195DA2">
            <w:pPr>
              <w:pStyle w:val="BodyText"/>
            </w:pPr>
            <w:r w:rsidRPr="00CC2ECB">
              <w:t>Irregular, intermittent, casual</w:t>
            </w:r>
          </w:p>
        </w:tc>
        <w:tc>
          <w:tcPr>
            <w:tcW w:w="2977" w:type="dxa"/>
          </w:tcPr>
          <w:p w14:paraId="223AF926" w14:textId="6D190D60" w:rsidR="00164634" w:rsidRPr="00D536D9" w:rsidRDefault="00164634" w:rsidP="00164634">
            <w:pPr>
              <w:pStyle w:val="BodyText"/>
              <w:jc w:val="right"/>
              <w:rPr>
                <w:rStyle w:val="BodyTextBold"/>
              </w:rPr>
            </w:pPr>
            <w:r w:rsidRPr="00CC2ECB">
              <w:t>8</w:t>
            </w:r>
          </w:p>
        </w:tc>
        <w:tc>
          <w:tcPr>
            <w:tcW w:w="2268" w:type="dxa"/>
          </w:tcPr>
          <w:p w14:paraId="4B74E705" w14:textId="5E9FE0F2" w:rsidR="00164634" w:rsidRPr="00D536D9" w:rsidRDefault="00164634" w:rsidP="00164634">
            <w:pPr>
              <w:pStyle w:val="BodyText"/>
              <w:jc w:val="right"/>
              <w:rPr>
                <w:rStyle w:val="BodyTextBold"/>
              </w:rPr>
            </w:pPr>
            <w:r w:rsidRPr="00CC2ECB">
              <w:t>0</w:t>
            </w:r>
          </w:p>
        </w:tc>
      </w:tr>
      <w:tr w:rsidR="00D54C4C" w14:paraId="7EC67388" w14:textId="77777777" w:rsidTr="00D54C4C">
        <w:tc>
          <w:tcPr>
            <w:tcW w:w="4818" w:type="dxa"/>
          </w:tcPr>
          <w:p w14:paraId="583568D1" w14:textId="3C0D9194" w:rsidR="00164634" w:rsidRDefault="00164634" w:rsidP="00195DA2">
            <w:pPr>
              <w:pStyle w:val="BodyText"/>
            </w:pPr>
            <w:r w:rsidRPr="00CC2ECB">
              <w:t>SES*</w:t>
            </w:r>
          </w:p>
        </w:tc>
        <w:tc>
          <w:tcPr>
            <w:tcW w:w="2977" w:type="dxa"/>
          </w:tcPr>
          <w:p w14:paraId="525C8035" w14:textId="7FFDD99F" w:rsidR="00164634" w:rsidRPr="00D536D9" w:rsidRDefault="00164634" w:rsidP="00164634">
            <w:pPr>
              <w:pStyle w:val="BodyText"/>
              <w:jc w:val="right"/>
              <w:rPr>
                <w:rStyle w:val="BodyTextBold"/>
              </w:rPr>
            </w:pPr>
            <w:r w:rsidRPr="00CC2ECB">
              <w:t>43</w:t>
            </w:r>
          </w:p>
        </w:tc>
        <w:tc>
          <w:tcPr>
            <w:tcW w:w="2268" w:type="dxa"/>
          </w:tcPr>
          <w:p w14:paraId="41AF57C2" w14:textId="3AFBF96A" w:rsidR="00164634" w:rsidRPr="00D536D9" w:rsidRDefault="00164634" w:rsidP="00164634">
            <w:pPr>
              <w:pStyle w:val="BodyText"/>
              <w:jc w:val="right"/>
              <w:rPr>
                <w:rStyle w:val="BodyTextBold"/>
              </w:rPr>
            </w:pPr>
            <w:r w:rsidRPr="00CC2ECB">
              <w:t>43</w:t>
            </w:r>
          </w:p>
        </w:tc>
      </w:tr>
      <w:tr w:rsidR="00D54C4C" w14:paraId="6DB85818" w14:textId="77777777" w:rsidTr="00D54C4C">
        <w:tc>
          <w:tcPr>
            <w:tcW w:w="4818" w:type="dxa"/>
          </w:tcPr>
          <w:p w14:paraId="1E4B223E" w14:textId="52833E84" w:rsidR="00164634" w:rsidRDefault="00164634" w:rsidP="00195DA2">
            <w:pPr>
              <w:pStyle w:val="BodyText"/>
            </w:pPr>
            <w:r w:rsidRPr="00CC2ECB">
              <w:t>EL 1 and 2 equivalent*</w:t>
            </w:r>
          </w:p>
        </w:tc>
        <w:tc>
          <w:tcPr>
            <w:tcW w:w="2977" w:type="dxa"/>
          </w:tcPr>
          <w:p w14:paraId="56DB3264" w14:textId="4075091F" w:rsidR="00164634" w:rsidRPr="00D536D9" w:rsidRDefault="00164634" w:rsidP="00164634">
            <w:pPr>
              <w:pStyle w:val="BodyText"/>
              <w:jc w:val="right"/>
              <w:rPr>
                <w:rStyle w:val="BodyTextBold"/>
              </w:rPr>
            </w:pPr>
            <w:r w:rsidRPr="00CC2ECB">
              <w:t>321</w:t>
            </w:r>
          </w:p>
        </w:tc>
        <w:tc>
          <w:tcPr>
            <w:tcW w:w="2268" w:type="dxa"/>
          </w:tcPr>
          <w:p w14:paraId="32291932" w14:textId="43C36BA2" w:rsidR="00164634" w:rsidRPr="00D536D9" w:rsidRDefault="00164634" w:rsidP="00164634">
            <w:pPr>
              <w:pStyle w:val="BodyText"/>
              <w:jc w:val="right"/>
              <w:rPr>
                <w:rStyle w:val="BodyTextBold"/>
              </w:rPr>
            </w:pPr>
            <w:r w:rsidRPr="00CC2ECB">
              <w:t>314.34</w:t>
            </w:r>
          </w:p>
        </w:tc>
      </w:tr>
      <w:tr w:rsidR="00D54C4C" w14:paraId="0A646E12" w14:textId="77777777" w:rsidTr="00D54C4C">
        <w:tc>
          <w:tcPr>
            <w:tcW w:w="4818" w:type="dxa"/>
          </w:tcPr>
          <w:p w14:paraId="543611EB" w14:textId="3B050FBA" w:rsidR="00164634" w:rsidRDefault="00164634" w:rsidP="00195DA2">
            <w:pPr>
              <w:pStyle w:val="BodyText"/>
            </w:pPr>
            <w:r w:rsidRPr="00CC2ECB">
              <w:t>APS 1–6 equivalent*</w:t>
            </w:r>
          </w:p>
        </w:tc>
        <w:tc>
          <w:tcPr>
            <w:tcW w:w="2977" w:type="dxa"/>
          </w:tcPr>
          <w:p w14:paraId="595BA965" w14:textId="4C391F4C" w:rsidR="00164634" w:rsidRDefault="00164634" w:rsidP="00164634">
            <w:pPr>
              <w:pStyle w:val="BodyText"/>
              <w:jc w:val="right"/>
            </w:pPr>
            <w:r w:rsidRPr="00CC2ECB">
              <w:t>1,586</w:t>
            </w:r>
          </w:p>
        </w:tc>
        <w:tc>
          <w:tcPr>
            <w:tcW w:w="2268" w:type="dxa"/>
          </w:tcPr>
          <w:p w14:paraId="2C7E753D" w14:textId="46728073" w:rsidR="00164634" w:rsidRDefault="00164634" w:rsidP="00164634">
            <w:pPr>
              <w:pStyle w:val="BodyText"/>
              <w:jc w:val="right"/>
            </w:pPr>
            <w:r w:rsidRPr="00CC2ECB">
              <w:t>1,507.69</w:t>
            </w:r>
          </w:p>
        </w:tc>
      </w:tr>
    </w:tbl>
    <w:p w14:paraId="043F1187" w14:textId="722CA3B1" w:rsidR="007B4847" w:rsidRDefault="00D925DA" w:rsidP="00385D65">
      <w:pPr>
        <w:pStyle w:val="BodyText"/>
      </w:pPr>
      <w:r w:rsidRPr="00D925DA">
        <w:t>*Classifications based on substantive positions, at 30 June 2017</w:t>
      </w:r>
    </w:p>
    <w:p w14:paraId="202642AA" w14:textId="77777777" w:rsidR="00D925DA" w:rsidRPr="00D925DA" w:rsidRDefault="00D925DA" w:rsidP="00D925DA">
      <w:pPr>
        <w:pStyle w:val="Heading4tables"/>
      </w:pPr>
      <w:bookmarkStart w:id="307" w:name="_Toc496611809"/>
      <w:r w:rsidRPr="00D925DA">
        <w:t>Table 11: NDIA staff by substantive classification (headcount), 2015-16 and 2016-17</w:t>
      </w:r>
      <w:bookmarkEnd w:id="307"/>
    </w:p>
    <w:tbl>
      <w:tblPr>
        <w:tblStyle w:val="TableGrid"/>
        <w:tblW w:w="5000" w:type="pct"/>
        <w:tblLook w:val="04A0" w:firstRow="1" w:lastRow="0" w:firstColumn="1" w:lastColumn="0" w:noHBand="0" w:noVBand="1"/>
        <w:tblDescription w:val="Table 11: NDIA staff by substantive classification (headcount), 2015-16 and 2016-17"/>
      </w:tblPr>
      <w:tblGrid>
        <w:gridCol w:w="2750"/>
        <w:gridCol w:w="1245"/>
        <w:gridCol w:w="1005"/>
        <w:gridCol w:w="1259"/>
        <w:gridCol w:w="1404"/>
        <w:gridCol w:w="1404"/>
        <w:gridCol w:w="1121"/>
      </w:tblGrid>
      <w:tr w:rsidR="00D54C4C" w14:paraId="1B3C52CE" w14:textId="77777777" w:rsidTr="003F47B7">
        <w:trPr>
          <w:tblHeader/>
        </w:trPr>
        <w:tc>
          <w:tcPr>
            <w:tcW w:w="1350" w:type="pct"/>
            <w:shd w:val="clear" w:color="auto" w:fill="6B2976" w:themeFill="background2"/>
          </w:tcPr>
          <w:p w14:paraId="0793F35D" w14:textId="0EF4018E" w:rsidR="00D54C4C" w:rsidRPr="00465BCE" w:rsidRDefault="00D54C4C" w:rsidP="00195DA2">
            <w:pPr>
              <w:pStyle w:val="TableTitle"/>
            </w:pPr>
            <w:bookmarkStart w:id="308" w:name="Title_Table11"/>
          </w:p>
        </w:tc>
        <w:tc>
          <w:tcPr>
            <w:tcW w:w="1722" w:type="pct"/>
            <w:gridSpan w:val="3"/>
            <w:shd w:val="clear" w:color="auto" w:fill="6B2976" w:themeFill="background2"/>
          </w:tcPr>
          <w:p w14:paraId="5E3E2F91" w14:textId="23168C87" w:rsidR="00D54C4C" w:rsidRDefault="00D54C4C" w:rsidP="00D54C4C">
            <w:pPr>
              <w:pStyle w:val="TableTitle"/>
              <w:jc w:val="center"/>
            </w:pPr>
            <w:r w:rsidRPr="001E3FE1">
              <w:t>2015-16</w:t>
            </w:r>
          </w:p>
        </w:tc>
        <w:tc>
          <w:tcPr>
            <w:tcW w:w="1928" w:type="pct"/>
            <w:gridSpan w:val="3"/>
            <w:shd w:val="clear" w:color="auto" w:fill="6B2976" w:themeFill="background2"/>
          </w:tcPr>
          <w:p w14:paraId="39876BB8" w14:textId="3387729E" w:rsidR="00D54C4C" w:rsidRPr="009755FC" w:rsidRDefault="00D54C4C" w:rsidP="00D54C4C">
            <w:pPr>
              <w:pStyle w:val="TableTitle"/>
              <w:jc w:val="center"/>
            </w:pPr>
            <w:r w:rsidRPr="001E3FE1">
              <w:t>2016-17</w:t>
            </w:r>
          </w:p>
        </w:tc>
      </w:tr>
      <w:tr w:rsidR="00D54C4C" w:rsidRPr="00164634" w14:paraId="4A116DA0" w14:textId="77777777" w:rsidTr="003F47B7">
        <w:trPr>
          <w:tblHeader/>
        </w:trPr>
        <w:tc>
          <w:tcPr>
            <w:tcW w:w="1350" w:type="pct"/>
            <w:shd w:val="clear" w:color="auto" w:fill="6B2976" w:themeFill="background2"/>
          </w:tcPr>
          <w:p w14:paraId="74415DF5" w14:textId="3657FBFE" w:rsidR="00D54C4C" w:rsidRPr="00164634" w:rsidRDefault="00D54C4C" w:rsidP="00D54C4C">
            <w:pPr>
              <w:pStyle w:val="TableTitle"/>
            </w:pPr>
            <w:r w:rsidRPr="001E3FE1">
              <w:t>Classification</w:t>
            </w:r>
          </w:p>
        </w:tc>
        <w:tc>
          <w:tcPr>
            <w:tcW w:w="611" w:type="pct"/>
            <w:shd w:val="clear" w:color="auto" w:fill="6B2976" w:themeFill="background2"/>
          </w:tcPr>
          <w:p w14:paraId="0ABE77E5" w14:textId="6F75C1CA" w:rsidR="00D54C4C" w:rsidRPr="00164634" w:rsidRDefault="00D54C4C" w:rsidP="00D54C4C">
            <w:pPr>
              <w:pStyle w:val="TableTitle"/>
            </w:pPr>
            <w:r w:rsidRPr="001E3FE1">
              <w:t>Ongoing</w:t>
            </w:r>
          </w:p>
        </w:tc>
        <w:tc>
          <w:tcPr>
            <w:tcW w:w="493" w:type="pct"/>
            <w:shd w:val="clear" w:color="auto" w:fill="6B2976" w:themeFill="background2"/>
          </w:tcPr>
          <w:p w14:paraId="2DDC56C7" w14:textId="139867D5" w:rsidR="00D54C4C" w:rsidRPr="00164634" w:rsidRDefault="00D54C4C" w:rsidP="00D54C4C">
            <w:pPr>
              <w:pStyle w:val="TableTitle"/>
            </w:pPr>
            <w:r w:rsidRPr="001E3FE1">
              <w:t>Non-ongoing</w:t>
            </w:r>
          </w:p>
        </w:tc>
        <w:tc>
          <w:tcPr>
            <w:tcW w:w="618" w:type="pct"/>
            <w:shd w:val="clear" w:color="auto" w:fill="6B2976" w:themeFill="background2"/>
          </w:tcPr>
          <w:p w14:paraId="1541B5AF" w14:textId="58D41D2F" w:rsidR="00D54C4C" w:rsidRPr="00164634" w:rsidRDefault="00D54C4C" w:rsidP="00D54C4C">
            <w:pPr>
              <w:pStyle w:val="TableTitle"/>
            </w:pPr>
            <w:r w:rsidRPr="001E3FE1">
              <w:t>Total</w:t>
            </w:r>
          </w:p>
        </w:tc>
        <w:tc>
          <w:tcPr>
            <w:tcW w:w="689" w:type="pct"/>
            <w:shd w:val="clear" w:color="auto" w:fill="6B2976" w:themeFill="background2"/>
          </w:tcPr>
          <w:p w14:paraId="525C3773" w14:textId="5C7086DD" w:rsidR="00D54C4C" w:rsidRPr="00164634" w:rsidRDefault="00D54C4C" w:rsidP="00D54C4C">
            <w:pPr>
              <w:pStyle w:val="TableTitle"/>
            </w:pPr>
            <w:r w:rsidRPr="001E3FE1">
              <w:t>Ongoing</w:t>
            </w:r>
          </w:p>
        </w:tc>
        <w:tc>
          <w:tcPr>
            <w:tcW w:w="689" w:type="pct"/>
            <w:shd w:val="clear" w:color="auto" w:fill="6B2976" w:themeFill="background2"/>
          </w:tcPr>
          <w:p w14:paraId="61642FC5" w14:textId="63F2B09D" w:rsidR="00D54C4C" w:rsidRPr="00164634" w:rsidRDefault="00D54C4C" w:rsidP="00D54C4C">
            <w:pPr>
              <w:pStyle w:val="TableTitle"/>
            </w:pPr>
            <w:r w:rsidRPr="001E3FE1">
              <w:t>Non-ongoing</w:t>
            </w:r>
          </w:p>
        </w:tc>
        <w:tc>
          <w:tcPr>
            <w:tcW w:w="550" w:type="pct"/>
            <w:shd w:val="clear" w:color="auto" w:fill="6B2976" w:themeFill="background2"/>
          </w:tcPr>
          <w:p w14:paraId="480A3148" w14:textId="546084B1" w:rsidR="00D54C4C" w:rsidRPr="00164634" w:rsidRDefault="00D54C4C" w:rsidP="00D54C4C">
            <w:pPr>
              <w:pStyle w:val="TableTitle"/>
            </w:pPr>
            <w:r w:rsidRPr="001E3FE1">
              <w:t>Total</w:t>
            </w:r>
          </w:p>
        </w:tc>
      </w:tr>
      <w:bookmarkEnd w:id="308"/>
      <w:tr w:rsidR="00D54C4C" w14:paraId="7A224C46" w14:textId="77777777" w:rsidTr="00D54C4C">
        <w:tc>
          <w:tcPr>
            <w:tcW w:w="1350" w:type="pct"/>
          </w:tcPr>
          <w:p w14:paraId="19A75E22" w14:textId="4E3D765A" w:rsidR="00D54C4C" w:rsidRPr="00D536D9" w:rsidRDefault="00D54C4C" w:rsidP="00195DA2">
            <w:pPr>
              <w:pStyle w:val="BodyText"/>
              <w:rPr>
                <w:rStyle w:val="BodyTextBold"/>
              </w:rPr>
            </w:pPr>
            <w:r w:rsidRPr="001E3FE1">
              <w:t>APS 1</w:t>
            </w:r>
          </w:p>
        </w:tc>
        <w:tc>
          <w:tcPr>
            <w:tcW w:w="611" w:type="pct"/>
          </w:tcPr>
          <w:p w14:paraId="44D2EB02" w14:textId="36C4A733" w:rsidR="00D54C4C" w:rsidRPr="00D536D9" w:rsidRDefault="00D54C4C" w:rsidP="00195DA2">
            <w:pPr>
              <w:pStyle w:val="BodyText"/>
              <w:jc w:val="right"/>
              <w:rPr>
                <w:rStyle w:val="BodyTextBold"/>
              </w:rPr>
            </w:pPr>
            <w:r w:rsidRPr="001E3FE1">
              <w:t>0</w:t>
            </w:r>
          </w:p>
        </w:tc>
        <w:tc>
          <w:tcPr>
            <w:tcW w:w="493" w:type="pct"/>
          </w:tcPr>
          <w:p w14:paraId="273BC4A7" w14:textId="314F16A3" w:rsidR="00D54C4C" w:rsidRPr="00CC2ECB" w:rsidRDefault="00D54C4C" w:rsidP="00195DA2">
            <w:pPr>
              <w:pStyle w:val="BodyText"/>
              <w:jc w:val="right"/>
            </w:pPr>
            <w:r w:rsidRPr="001E3FE1">
              <w:t>4</w:t>
            </w:r>
          </w:p>
        </w:tc>
        <w:tc>
          <w:tcPr>
            <w:tcW w:w="618" w:type="pct"/>
          </w:tcPr>
          <w:p w14:paraId="7D905AC7" w14:textId="42242D27" w:rsidR="00D54C4C" w:rsidRPr="00CC2ECB" w:rsidRDefault="00D54C4C" w:rsidP="00195DA2">
            <w:pPr>
              <w:pStyle w:val="BodyText"/>
              <w:jc w:val="right"/>
            </w:pPr>
            <w:r w:rsidRPr="001E3FE1">
              <w:t>4</w:t>
            </w:r>
          </w:p>
        </w:tc>
        <w:tc>
          <w:tcPr>
            <w:tcW w:w="689" w:type="pct"/>
          </w:tcPr>
          <w:p w14:paraId="35885FAE" w14:textId="00E50504" w:rsidR="00D54C4C" w:rsidRPr="00CC2ECB" w:rsidRDefault="00D54C4C" w:rsidP="00195DA2">
            <w:pPr>
              <w:pStyle w:val="BodyText"/>
              <w:jc w:val="right"/>
            </w:pPr>
            <w:r w:rsidRPr="001E3FE1">
              <w:t xml:space="preserve"> </w:t>
            </w:r>
          </w:p>
        </w:tc>
        <w:tc>
          <w:tcPr>
            <w:tcW w:w="689" w:type="pct"/>
          </w:tcPr>
          <w:p w14:paraId="44E25B57" w14:textId="6CFE27BE" w:rsidR="00D54C4C" w:rsidRPr="00CC2ECB" w:rsidRDefault="00D54C4C" w:rsidP="00195DA2">
            <w:pPr>
              <w:pStyle w:val="BodyText"/>
              <w:jc w:val="right"/>
            </w:pPr>
            <w:r w:rsidRPr="001E3FE1">
              <w:t>4</w:t>
            </w:r>
          </w:p>
        </w:tc>
        <w:tc>
          <w:tcPr>
            <w:tcW w:w="550" w:type="pct"/>
          </w:tcPr>
          <w:p w14:paraId="6A8E8F74" w14:textId="6E0CFE07" w:rsidR="00D54C4C" w:rsidRPr="00D536D9" w:rsidRDefault="00D54C4C" w:rsidP="00195DA2">
            <w:pPr>
              <w:pStyle w:val="BodyText"/>
              <w:jc w:val="right"/>
              <w:rPr>
                <w:rStyle w:val="BodyTextBold"/>
              </w:rPr>
            </w:pPr>
            <w:r w:rsidRPr="001E3FE1">
              <w:t>4</w:t>
            </w:r>
          </w:p>
        </w:tc>
      </w:tr>
      <w:tr w:rsidR="00D54C4C" w14:paraId="09F301CA" w14:textId="77777777" w:rsidTr="00D54C4C">
        <w:tc>
          <w:tcPr>
            <w:tcW w:w="1350" w:type="pct"/>
          </w:tcPr>
          <w:p w14:paraId="10D5124B" w14:textId="0788B258" w:rsidR="00D54C4C" w:rsidRDefault="00D54C4C" w:rsidP="00195DA2">
            <w:pPr>
              <w:pStyle w:val="BodyText"/>
            </w:pPr>
            <w:r w:rsidRPr="001E3FE1">
              <w:t>APS 2</w:t>
            </w:r>
          </w:p>
        </w:tc>
        <w:tc>
          <w:tcPr>
            <w:tcW w:w="611" w:type="pct"/>
          </w:tcPr>
          <w:p w14:paraId="592B7A45" w14:textId="6E2EC902" w:rsidR="00D54C4C" w:rsidRPr="00D536D9" w:rsidRDefault="00D54C4C" w:rsidP="00195DA2">
            <w:pPr>
              <w:pStyle w:val="BodyText"/>
              <w:jc w:val="right"/>
              <w:rPr>
                <w:rStyle w:val="BodyTextBold"/>
              </w:rPr>
            </w:pPr>
            <w:r w:rsidRPr="001E3FE1">
              <w:t>5</w:t>
            </w:r>
          </w:p>
        </w:tc>
        <w:tc>
          <w:tcPr>
            <w:tcW w:w="493" w:type="pct"/>
          </w:tcPr>
          <w:p w14:paraId="400019B1" w14:textId="13E23AEE" w:rsidR="00D54C4C" w:rsidRPr="00CC2ECB" w:rsidRDefault="00D54C4C" w:rsidP="00195DA2">
            <w:pPr>
              <w:pStyle w:val="BodyText"/>
              <w:jc w:val="right"/>
            </w:pPr>
            <w:r w:rsidRPr="001E3FE1">
              <w:t>11</w:t>
            </w:r>
          </w:p>
        </w:tc>
        <w:tc>
          <w:tcPr>
            <w:tcW w:w="618" w:type="pct"/>
          </w:tcPr>
          <w:p w14:paraId="256BD966" w14:textId="68FB70D5" w:rsidR="00D54C4C" w:rsidRPr="00CC2ECB" w:rsidRDefault="00D54C4C" w:rsidP="00195DA2">
            <w:pPr>
              <w:pStyle w:val="BodyText"/>
              <w:jc w:val="right"/>
            </w:pPr>
            <w:r w:rsidRPr="001E3FE1">
              <w:t>16</w:t>
            </w:r>
          </w:p>
        </w:tc>
        <w:tc>
          <w:tcPr>
            <w:tcW w:w="689" w:type="pct"/>
          </w:tcPr>
          <w:p w14:paraId="57C446D0" w14:textId="11249A50" w:rsidR="00D54C4C" w:rsidRPr="00CC2ECB" w:rsidRDefault="00D54C4C" w:rsidP="00195DA2">
            <w:pPr>
              <w:pStyle w:val="BodyText"/>
              <w:jc w:val="right"/>
            </w:pPr>
            <w:r w:rsidRPr="001E3FE1">
              <w:t>4</w:t>
            </w:r>
          </w:p>
        </w:tc>
        <w:tc>
          <w:tcPr>
            <w:tcW w:w="689" w:type="pct"/>
          </w:tcPr>
          <w:p w14:paraId="60EF4A4E" w14:textId="44409700" w:rsidR="00D54C4C" w:rsidRPr="00CC2ECB" w:rsidRDefault="00D54C4C" w:rsidP="00195DA2">
            <w:pPr>
              <w:pStyle w:val="BodyText"/>
              <w:jc w:val="right"/>
            </w:pPr>
            <w:r w:rsidRPr="001E3FE1">
              <w:t>4</w:t>
            </w:r>
          </w:p>
        </w:tc>
        <w:tc>
          <w:tcPr>
            <w:tcW w:w="550" w:type="pct"/>
          </w:tcPr>
          <w:p w14:paraId="73FE9DA7" w14:textId="452E5A10" w:rsidR="00D54C4C" w:rsidRPr="00D536D9" w:rsidRDefault="00D54C4C" w:rsidP="00195DA2">
            <w:pPr>
              <w:pStyle w:val="BodyText"/>
              <w:jc w:val="right"/>
              <w:rPr>
                <w:rStyle w:val="BodyTextBold"/>
              </w:rPr>
            </w:pPr>
            <w:r w:rsidRPr="001E3FE1">
              <w:t>8</w:t>
            </w:r>
          </w:p>
        </w:tc>
      </w:tr>
      <w:tr w:rsidR="00D54C4C" w14:paraId="03B52398" w14:textId="77777777" w:rsidTr="00D54C4C">
        <w:tc>
          <w:tcPr>
            <w:tcW w:w="1350" w:type="pct"/>
          </w:tcPr>
          <w:p w14:paraId="4A984812" w14:textId="63FFD868" w:rsidR="00D54C4C" w:rsidRDefault="00D54C4C" w:rsidP="00195DA2">
            <w:pPr>
              <w:pStyle w:val="BodyText"/>
            </w:pPr>
            <w:r w:rsidRPr="001E3FE1">
              <w:t>APS 3</w:t>
            </w:r>
          </w:p>
        </w:tc>
        <w:tc>
          <w:tcPr>
            <w:tcW w:w="611" w:type="pct"/>
          </w:tcPr>
          <w:p w14:paraId="4F11C264" w14:textId="3CB5C024" w:rsidR="00D54C4C" w:rsidRPr="00D536D9" w:rsidRDefault="00D54C4C" w:rsidP="00195DA2">
            <w:pPr>
              <w:pStyle w:val="BodyText"/>
              <w:jc w:val="right"/>
              <w:rPr>
                <w:rStyle w:val="BodyTextBold"/>
              </w:rPr>
            </w:pPr>
            <w:r w:rsidRPr="001E3FE1">
              <w:t>47</w:t>
            </w:r>
          </w:p>
        </w:tc>
        <w:tc>
          <w:tcPr>
            <w:tcW w:w="493" w:type="pct"/>
          </w:tcPr>
          <w:p w14:paraId="4BD7E45A" w14:textId="2398E9F0" w:rsidR="00D54C4C" w:rsidRPr="00CC2ECB" w:rsidRDefault="00D54C4C" w:rsidP="00195DA2">
            <w:pPr>
              <w:pStyle w:val="BodyText"/>
              <w:jc w:val="right"/>
            </w:pPr>
            <w:r w:rsidRPr="001E3FE1">
              <w:t>85</w:t>
            </w:r>
          </w:p>
        </w:tc>
        <w:tc>
          <w:tcPr>
            <w:tcW w:w="618" w:type="pct"/>
          </w:tcPr>
          <w:p w14:paraId="0525AE1B" w14:textId="3C537341" w:rsidR="00D54C4C" w:rsidRPr="00CC2ECB" w:rsidRDefault="00D54C4C" w:rsidP="00195DA2">
            <w:pPr>
              <w:pStyle w:val="BodyText"/>
              <w:jc w:val="right"/>
            </w:pPr>
            <w:r w:rsidRPr="001E3FE1">
              <w:t>132</w:t>
            </w:r>
          </w:p>
        </w:tc>
        <w:tc>
          <w:tcPr>
            <w:tcW w:w="689" w:type="pct"/>
          </w:tcPr>
          <w:p w14:paraId="11B47926" w14:textId="687960FF" w:rsidR="00D54C4C" w:rsidRPr="00CC2ECB" w:rsidRDefault="00D54C4C" w:rsidP="00195DA2">
            <w:pPr>
              <w:pStyle w:val="BodyText"/>
              <w:jc w:val="right"/>
            </w:pPr>
            <w:r w:rsidRPr="001E3FE1">
              <w:t>49</w:t>
            </w:r>
          </w:p>
        </w:tc>
        <w:tc>
          <w:tcPr>
            <w:tcW w:w="689" w:type="pct"/>
          </w:tcPr>
          <w:p w14:paraId="129DF04A" w14:textId="138B156B" w:rsidR="00D54C4C" w:rsidRPr="00CC2ECB" w:rsidRDefault="00D54C4C" w:rsidP="00195DA2">
            <w:pPr>
              <w:pStyle w:val="BodyText"/>
              <w:jc w:val="right"/>
            </w:pPr>
            <w:r w:rsidRPr="001E3FE1">
              <w:t>56</w:t>
            </w:r>
          </w:p>
        </w:tc>
        <w:tc>
          <w:tcPr>
            <w:tcW w:w="550" w:type="pct"/>
          </w:tcPr>
          <w:p w14:paraId="775B46B9" w14:textId="6C155AC2" w:rsidR="00D54C4C" w:rsidRPr="00D536D9" w:rsidRDefault="00D54C4C" w:rsidP="00195DA2">
            <w:pPr>
              <w:pStyle w:val="BodyText"/>
              <w:jc w:val="right"/>
              <w:rPr>
                <w:rStyle w:val="BodyTextBold"/>
              </w:rPr>
            </w:pPr>
            <w:r w:rsidRPr="001E3FE1">
              <w:t>105</w:t>
            </w:r>
          </w:p>
        </w:tc>
      </w:tr>
      <w:tr w:rsidR="00D54C4C" w14:paraId="31A9D2AE" w14:textId="77777777" w:rsidTr="00D54C4C">
        <w:tc>
          <w:tcPr>
            <w:tcW w:w="1350" w:type="pct"/>
          </w:tcPr>
          <w:p w14:paraId="57231F69" w14:textId="7B827949" w:rsidR="00D54C4C" w:rsidRDefault="00D54C4C" w:rsidP="00195DA2">
            <w:pPr>
              <w:pStyle w:val="BodyText"/>
            </w:pPr>
            <w:r w:rsidRPr="001E3FE1">
              <w:t>APS 4</w:t>
            </w:r>
          </w:p>
        </w:tc>
        <w:tc>
          <w:tcPr>
            <w:tcW w:w="611" w:type="pct"/>
          </w:tcPr>
          <w:p w14:paraId="7978EAE3" w14:textId="14661A33" w:rsidR="00D54C4C" w:rsidRPr="00D536D9" w:rsidRDefault="00D54C4C" w:rsidP="00195DA2">
            <w:pPr>
              <w:pStyle w:val="BodyText"/>
              <w:jc w:val="right"/>
              <w:rPr>
                <w:rStyle w:val="BodyTextBold"/>
              </w:rPr>
            </w:pPr>
            <w:r w:rsidRPr="001E3FE1">
              <w:t>152</w:t>
            </w:r>
          </w:p>
        </w:tc>
        <w:tc>
          <w:tcPr>
            <w:tcW w:w="493" w:type="pct"/>
          </w:tcPr>
          <w:p w14:paraId="6794A3B7" w14:textId="2C07E0B5" w:rsidR="00D54C4C" w:rsidRPr="00CC2ECB" w:rsidRDefault="00D54C4C" w:rsidP="00195DA2">
            <w:pPr>
              <w:pStyle w:val="BodyText"/>
              <w:jc w:val="right"/>
            </w:pPr>
            <w:r w:rsidRPr="001E3FE1">
              <w:t>124</w:t>
            </w:r>
          </w:p>
        </w:tc>
        <w:tc>
          <w:tcPr>
            <w:tcW w:w="618" w:type="pct"/>
          </w:tcPr>
          <w:p w14:paraId="1AE61F72" w14:textId="454452D9" w:rsidR="00D54C4C" w:rsidRPr="00CC2ECB" w:rsidRDefault="00D54C4C" w:rsidP="00195DA2">
            <w:pPr>
              <w:pStyle w:val="BodyText"/>
              <w:jc w:val="right"/>
            </w:pPr>
            <w:r w:rsidRPr="001E3FE1">
              <w:t>276</w:t>
            </w:r>
          </w:p>
        </w:tc>
        <w:tc>
          <w:tcPr>
            <w:tcW w:w="689" w:type="pct"/>
          </w:tcPr>
          <w:p w14:paraId="16C3AE38" w14:textId="692B3987" w:rsidR="00D54C4C" w:rsidRPr="00CC2ECB" w:rsidRDefault="00D54C4C" w:rsidP="00195DA2">
            <w:pPr>
              <w:pStyle w:val="BodyText"/>
              <w:jc w:val="right"/>
            </w:pPr>
            <w:r w:rsidRPr="001E3FE1">
              <w:t>268</w:t>
            </w:r>
          </w:p>
        </w:tc>
        <w:tc>
          <w:tcPr>
            <w:tcW w:w="689" w:type="pct"/>
          </w:tcPr>
          <w:p w14:paraId="45FD29CA" w14:textId="3A4AE30F" w:rsidR="00D54C4C" w:rsidRPr="00CC2ECB" w:rsidRDefault="00D54C4C" w:rsidP="00195DA2">
            <w:pPr>
              <w:pStyle w:val="BodyText"/>
              <w:jc w:val="right"/>
            </w:pPr>
            <w:r w:rsidRPr="001E3FE1">
              <w:t>177</w:t>
            </w:r>
          </w:p>
        </w:tc>
        <w:tc>
          <w:tcPr>
            <w:tcW w:w="550" w:type="pct"/>
          </w:tcPr>
          <w:p w14:paraId="2ED80E50" w14:textId="17A1E496" w:rsidR="00D54C4C" w:rsidRPr="00D536D9" w:rsidRDefault="00D54C4C" w:rsidP="00195DA2">
            <w:pPr>
              <w:pStyle w:val="BodyText"/>
              <w:jc w:val="right"/>
              <w:rPr>
                <w:rStyle w:val="BodyTextBold"/>
              </w:rPr>
            </w:pPr>
            <w:r w:rsidRPr="001E3FE1">
              <w:t>445</w:t>
            </w:r>
          </w:p>
        </w:tc>
      </w:tr>
      <w:tr w:rsidR="00D54C4C" w14:paraId="32D93524" w14:textId="77777777" w:rsidTr="00D54C4C">
        <w:tc>
          <w:tcPr>
            <w:tcW w:w="1350" w:type="pct"/>
          </w:tcPr>
          <w:p w14:paraId="5B0418DA" w14:textId="5EF7BA30" w:rsidR="00D54C4C" w:rsidRDefault="00D54C4C" w:rsidP="00195DA2">
            <w:pPr>
              <w:pStyle w:val="BodyText"/>
            </w:pPr>
            <w:r w:rsidRPr="001E3FE1">
              <w:t>APS 5</w:t>
            </w:r>
          </w:p>
        </w:tc>
        <w:tc>
          <w:tcPr>
            <w:tcW w:w="611" w:type="pct"/>
          </w:tcPr>
          <w:p w14:paraId="473A5383" w14:textId="26CE9337" w:rsidR="00D54C4C" w:rsidRPr="00D536D9" w:rsidRDefault="00D54C4C" w:rsidP="00195DA2">
            <w:pPr>
              <w:pStyle w:val="BodyText"/>
              <w:jc w:val="right"/>
              <w:rPr>
                <w:rStyle w:val="BodyTextBold"/>
              </w:rPr>
            </w:pPr>
            <w:r w:rsidRPr="001E3FE1">
              <w:t>295</w:t>
            </w:r>
          </w:p>
        </w:tc>
        <w:tc>
          <w:tcPr>
            <w:tcW w:w="493" w:type="pct"/>
          </w:tcPr>
          <w:p w14:paraId="25200B4D" w14:textId="5DF2711B" w:rsidR="00D54C4C" w:rsidRPr="00CC2ECB" w:rsidRDefault="00D54C4C" w:rsidP="00195DA2">
            <w:pPr>
              <w:pStyle w:val="BodyText"/>
              <w:jc w:val="right"/>
            </w:pPr>
            <w:r w:rsidRPr="001E3FE1">
              <w:t>88</w:t>
            </w:r>
          </w:p>
        </w:tc>
        <w:tc>
          <w:tcPr>
            <w:tcW w:w="618" w:type="pct"/>
          </w:tcPr>
          <w:p w14:paraId="048723E9" w14:textId="38EA07A1" w:rsidR="00D54C4C" w:rsidRPr="00CC2ECB" w:rsidRDefault="00D54C4C" w:rsidP="00195DA2">
            <w:pPr>
              <w:pStyle w:val="BodyText"/>
              <w:jc w:val="right"/>
            </w:pPr>
            <w:r w:rsidRPr="001E3FE1">
              <w:t>383</w:t>
            </w:r>
          </w:p>
        </w:tc>
        <w:tc>
          <w:tcPr>
            <w:tcW w:w="689" w:type="pct"/>
          </w:tcPr>
          <w:p w14:paraId="3E224E66" w14:textId="053377C5" w:rsidR="00D54C4C" w:rsidRPr="00CC2ECB" w:rsidRDefault="00D54C4C" w:rsidP="00195DA2">
            <w:pPr>
              <w:pStyle w:val="BodyText"/>
              <w:jc w:val="right"/>
            </w:pPr>
            <w:r w:rsidRPr="001E3FE1">
              <w:t>387</w:t>
            </w:r>
          </w:p>
        </w:tc>
        <w:tc>
          <w:tcPr>
            <w:tcW w:w="689" w:type="pct"/>
          </w:tcPr>
          <w:p w14:paraId="507286C0" w14:textId="22867099" w:rsidR="00D54C4C" w:rsidRPr="00CC2ECB" w:rsidRDefault="00D54C4C" w:rsidP="00195DA2">
            <w:pPr>
              <w:pStyle w:val="BodyText"/>
              <w:jc w:val="right"/>
            </w:pPr>
            <w:r w:rsidRPr="001E3FE1">
              <w:t>125</w:t>
            </w:r>
          </w:p>
        </w:tc>
        <w:tc>
          <w:tcPr>
            <w:tcW w:w="550" w:type="pct"/>
          </w:tcPr>
          <w:p w14:paraId="23A2AD25" w14:textId="2F9FC18B" w:rsidR="00D54C4C" w:rsidRPr="00D536D9" w:rsidRDefault="00D54C4C" w:rsidP="00195DA2">
            <w:pPr>
              <w:pStyle w:val="BodyText"/>
              <w:jc w:val="right"/>
              <w:rPr>
                <w:rStyle w:val="BodyTextBold"/>
              </w:rPr>
            </w:pPr>
            <w:r w:rsidRPr="001E3FE1">
              <w:t>512</w:t>
            </w:r>
          </w:p>
        </w:tc>
      </w:tr>
      <w:tr w:rsidR="00D54C4C" w14:paraId="10187C9D" w14:textId="77777777" w:rsidTr="00D54C4C">
        <w:tc>
          <w:tcPr>
            <w:tcW w:w="1350" w:type="pct"/>
          </w:tcPr>
          <w:p w14:paraId="51D8719B" w14:textId="46C2C5B4" w:rsidR="00D54C4C" w:rsidRDefault="00D54C4C" w:rsidP="00195DA2">
            <w:pPr>
              <w:pStyle w:val="BodyText"/>
            </w:pPr>
            <w:r w:rsidRPr="001E3FE1">
              <w:t>APS 6</w:t>
            </w:r>
          </w:p>
        </w:tc>
        <w:tc>
          <w:tcPr>
            <w:tcW w:w="611" w:type="pct"/>
          </w:tcPr>
          <w:p w14:paraId="778B24BE" w14:textId="3939C637" w:rsidR="00D54C4C" w:rsidRDefault="00D54C4C" w:rsidP="00195DA2">
            <w:pPr>
              <w:pStyle w:val="BodyText"/>
              <w:jc w:val="right"/>
            </w:pPr>
            <w:r w:rsidRPr="001E3FE1">
              <w:t>338</w:t>
            </w:r>
          </w:p>
        </w:tc>
        <w:tc>
          <w:tcPr>
            <w:tcW w:w="493" w:type="pct"/>
          </w:tcPr>
          <w:p w14:paraId="122D37D4" w14:textId="787604D8" w:rsidR="00D54C4C" w:rsidRPr="00CC2ECB" w:rsidRDefault="00D54C4C" w:rsidP="00195DA2">
            <w:pPr>
              <w:pStyle w:val="BodyText"/>
              <w:jc w:val="right"/>
            </w:pPr>
            <w:r w:rsidRPr="001E3FE1">
              <w:t>25</w:t>
            </w:r>
          </w:p>
        </w:tc>
        <w:tc>
          <w:tcPr>
            <w:tcW w:w="618" w:type="pct"/>
          </w:tcPr>
          <w:p w14:paraId="7C9839DF" w14:textId="62A4BCA4" w:rsidR="00D54C4C" w:rsidRPr="00CC2ECB" w:rsidRDefault="00D54C4C" w:rsidP="00195DA2">
            <w:pPr>
              <w:pStyle w:val="BodyText"/>
              <w:jc w:val="right"/>
            </w:pPr>
            <w:r w:rsidRPr="001E3FE1">
              <w:t>363</w:t>
            </w:r>
          </w:p>
        </w:tc>
        <w:tc>
          <w:tcPr>
            <w:tcW w:w="689" w:type="pct"/>
          </w:tcPr>
          <w:p w14:paraId="6F7480CF" w14:textId="64E5C840" w:rsidR="00D54C4C" w:rsidRPr="00CC2ECB" w:rsidRDefault="00D54C4C" w:rsidP="00195DA2">
            <w:pPr>
              <w:pStyle w:val="BodyText"/>
              <w:jc w:val="right"/>
            </w:pPr>
            <w:r w:rsidRPr="001E3FE1">
              <w:t>450</w:t>
            </w:r>
          </w:p>
        </w:tc>
        <w:tc>
          <w:tcPr>
            <w:tcW w:w="689" w:type="pct"/>
          </w:tcPr>
          <w:p w14:paraId="5AFFA5A2" w14:textId="5E4035EF" w:rsidR="00D54C4C" w:rsidRPr="00CC2ECB" w:rsidRDefault="00D54C4C" w:rsidP="00195DA2">
            <w:pPr>
              <w:pStyle w:val="BodyText"/>
              <w:jc w:val="right"/>
            </w:pPr>
            <w:r w:rsidRPr="001E3FE1">
              <w:t>62</w:t>
            </w:r>
          </w:p>
        </w:tc>
        <w:tc>
          <w:tcPr>
            <w:tcW w:w="550" w:type="pct"/>
          </w:tcPr>
          <w:p w14:paraId="300D7A45" w14:textId="2BBC7AD7" w:rsidR="00D54C4C" w:rsidRDefault="00D54C4C" w:rsidP="00195DA2">
            <w:pPr>
              <w:pStyle w:val="BodyText"/>
              <w:jc w:val="right"/>
            </w:pPr>
            <w:r w:rsidRPr="001E3FE1">
              <w:t>512</w:t>
            </w:r>
          </w:p>
        </w:tc>
      </w:tr>
      <w:tr w:rsidR="00D54C4C" w14:paraId="0E383D7E" w14:textId="77777777" w:rsidTr="00D54C4C">
        <w:tc>
          <w:tcPr>
            <w:tcW w:w="1350" w:type="pct"/>
          </w:tcPr>
          <w:p w14:paraId="4E780689" w14:textId="02C9D497" w:rsidR="00D54C4C" w:rsidRPr="001E3FE1" w:rsidRDefault="00D54C4C" w:rsidP="00195DA2">
            <w:pPr>
              <w:pStyle w:val="BodyText"/>
            </w:pPr>
            <w:r w:rsidRPr="002664D2">
              <w:t>EL 1</w:t>
            </w:r>
          </w:p>
        </w:tc>
        <w:tc>
          <w:tcPr>
            <w:tcW w:w="611" w:type="pct"/>
          </w:tcPr>
          <w:p w14:paraId="6D9F875D" w14:textId="13ED44DA" w:rsidR="00D54C4C" w:rsidRPr="001E3FE1" w:rsidRDefault="00D54C4C" w:rsidP="00195DA2">
            <w:pPr>
              <w:pStyle w:val="BodyText"/>
              <w:jc w:val="right"/>
            </w:pPr>
            <w:r w:rsidRPr="002664D2">
              <w:t>160</w:t>
            </w:r>
          </w:p>
        </w:tc>
        <w:tc>
          <w:tcPr>
            <w:tcW w:w="493" w:type="pct"/>
          </w:tcPr>
          <w:p w14:paraId="1C18F392" w14:textId="1077282E" w:rsidR="00D54C4C" w:rsidRPr="001E3FE1" w:rsidRDefault="00D54C4C" w:rsidP="00195DA2">
            <w:pPr>
              <w:pStyle w:val="BodyText"/>
              <w:jc w:val="right"/>
            </w:pPr>
            <w:r w:rsidRPr="002664D2">
              <w:t>21</w:t>
            </w:r>
          </w:p>
        </w:tc>
        <w:tc>
          <w:tcPr>
            <w:tcW w:w="618" w:type="pct"/>
          </w:tcPr>
          <w:p w14:paraId="0444FA64" w14:textId="464D340B" w:rsidR="00D54C4C" w:rsidRPr="001E3FE1" w:rsidRDefault="00D54C4C" w:rsidP="00195DA2">
            <w:pPr>
              <w:pStyle w:val="BodyText"/>
              <w:jc w:val="right"/>
            </w:pPr>
            <w:r w:rsidRPr="002664D2">
              <w:t>181</w:t>
            </w:r>
          </w:p>
        </w:tc>
        <w:tc>
          <w:tcPr>
            <w:tcW w:w="689" w:type="pct"/>
          </w:tcPr>
          <w:p w14:paraId="65467357" w14:textId="1AD260D7" w:rsidR="00D54C4C" w:rsidRPr="001E3FE1" w:rsidRDefault="00D54C4C" w:rsidP="00195DA2">
            <w:pPr>
              <w:pStyle w:val="BodyText"/>
              <w:jc w:val="right"/>
            </w:pPr>
            <w:r w:rsidRPr="002664D2">
              <w:t>168</w:t>
            </w:r>
          </w:p>
        </w:tc>
        <w:tc>
          <w:tcPr>
            <w:tcW w:w="689" w:type="pct"/>
          </w:tcPr>
          <w:p w14:paraId="5AC3C677" w14:textId="13D9DF97" w:rsidR="00D54C4C" w:rsidRPr="001E3FE1" w:rsidRDefault="00D54C4C" w:rsidP="00195DA2">
            <w:pPr>
              <w:pStyle w:val="BodyText"/>
              <w:jc w:val="right"/>
            </w:pPr>
            <w:r w:rsidRPr="002664D2">
              <w:t>42</w:t>
            </w:r>
          </w:p>
        </w:tc>
        <w:tc>
          <w:tcPr>
            <w:tcW w:w="550" w:type="pct"/>
          </w:tcPr>
          <w:p w14:paraId="23A1B8B8" w14:textId="28636246" w:rsidR="00D54C4C" w:rsidRPr="001E3FE1" w:rsidRDefault="00D54C4C" w:rsidP="00195DA2">
            <w:pPr>
              <w:pStyle w:val="BodyText"/>
              <w:jc w:val="right"/>
            </w:pPr>
            <w:r w:rsidRPr="002664D2">
              <w:t>210</w:t>
            </w:r>
          </w:p>
        </w:tc>
      </w:tr>
      <w:tr w:rsidR="00D54C4C" w14:paraId="4964BFBE" w14:textId="77777777" w:rsidTr="00D54C4C">
        <w:tc>
          <w:tcPr>
            <w:tcW w:w="1350" w:type="pct"/>
          </w:tcPr>
          <w:p w14:paraId="486271E4" w14:textId="07BDD6AC" w:rsidR="00D54C4C" w:rsidRPr="001E3FE1" w:rsidRDefault="00D54C4C" w:rsidP="00195DA2">
            <w:pPr>
              <w:pStyle w:val="BodyText"/>
            </w:pPr>
            <w:r w:rsidRPr="002664D2">
              <w:t>EL 2</w:t>
            </w:r>
          </w:p>
        </w:tc>
        <w:tc>
          <w:tcPr>
            <w:tcW w:w="611" w:type="pct"/>
          </w:tcPr>
          <w:p w14:paraId="03B8187D" w14:textId="18E143A7" w:rsidR="00D54C4C" w:rsidRPr="001E3FE1" w:rsidRDefault="00D54C4C" w:rsidP="00195DA2">
            <w:pPr>
              <w:pStyle w:val="BodyText"/>
              <w:jc w:val="right"/>
            </w:pPr>
            <w:r w:rsidRPr="002664D2">
              <w:t>84</w:t>
            </w:r>
          </w:p>
        </w:tc>
        <w:tc>
          <w:tcPr>
            <w:tcW w:w="493" w:type="pct"/>
          </w:tcPr>
          <w:p w14:paraId="48903306" w14:textId="14ED15DE" w:rsidR="00D54C4C" w:rsidRPr="001E3FE1" w:rsidRDefault="00D54C4C" w:rsidP="00195DA2">
            <w:pPr>
              <w:pStyle w:val="BodyText"/>
              <w:jc w:val="right"/>
            </w:pPr>
            <w:r w:rsidRPr="002664D2">
              <w:t>13</w:t>
            </w:r>
          </w:p>
        </w:tc>
        <w:tc>
          <w:tcPr>
            <w:tcW w:w="618" w:type="pct"/>
          </w:tcPr>
          <w:p w14:paraId="5F024F2F" w14:textId="666CA1F7" w:rsidR="00D54C4C" w:rsidRPr="001E3FE1" w:rsidRDefault="00D54C4C" w:rsidP="00195DA2">
            <w:pPr>
              <w:pStyle w:val="BodyText"/>
              <w:jc w:val="right"/>
            </w:pPr>
            <w:r w:rsidRPr="002664D2">
              <w:t>97</w:t>
            </w:r>
          </w:p>
        </w:tc>
        <w:tc>
          <w:tcPr>
            <w:tcW w:w="689" w:type="pct"/>
          </w:tcPr>
          <w:p w14:paraId="76A4AE64" w14:textId="708E6309" w:rsidR="00D54C4C" w:rsidRPr="001E3FE1" w:rsidRDefault="00D54C4C" w:rsidP="00195DA2">
            <w:pPr>
              <w:pStyle w:val="BodyText"/>
              <w:jc w:val="right"/>
            </w:pPr>
            <w:r w:rsidRPr="002664D2">
              <w:t>93</w:t>
            </w:r>
          </w:p>
        </w:tc>
        <w:tc>
          <w:tcPr>
            <w:tcW w:w="689" w:type="pct"/>
          </w:tcPr>
          <w:p w14:paraId="26C316E2" w14:textId="217A3619" w:rsidR="00D54C4C" w:rsidRPr="001E3FE1" w:rsidRDefault="00D54C4C" w:rsidP="00195DA2">
            <w:pPr>
              <w:pStyle w:val="BodyText"/>
              <w:jc w:val="right"/>
            </w:pPr>
            <w:r w:rsidRPr="002664D2">
              <w:t>18</w:t>
            </w:r>
          </w:p>
        </w:tc>
        <w:tc>
          <w:tcPr>
            <w:tcW w:w="550" w:type="pct"/>
          </w:tcPr>
          <w:p w14:paraId="2551ACF3" w14:textId="687A3139" w:rsidR="00D54C4C" w:rsidRPr="001E3FE1" w:rsidRDefault="00D54C4C" w:rsidP="00195DA2">
            <w:pPr>
              <w:pStyle w:val="BodyText"/>
              <w:jc w:val="right"/>
            </w:pPr>
            <w:r w:rsidRPr="002664D2">
              <w:t>111</w:t>
            </w:r>
          </w:p>
        </w:tc>
      </w:tr>
      <w:tr w:rsidR="00D54C4C" w14:paraId="41D4882D" w14:textId="77777777" w:rsidTr="00D54C4C">
        <w:tc>
          <w:tcPr>
            <w:tcW w:w="1350" w:type="pct"/>
          </w:tcPr>
          <w:p w14:paraId="0B1E6A4F" w14:textId="32BF573C" w:rsidR="00D54C4C" w:rsidRPr="001E3FE1" w:rsidRDefault="00D54C4C" w:rsidP="00195DA2">
            <w:pPr>
              <w:pStyle w:val="BodyText"/>
            </w:pPr>
            <w:r w:rsidRPr="002664D2">
              <w:t>SES Band 1</w:t>
            </w:r>
          </w:p>
        </w:tc>
        <w:tc>
          <w:tcPr>
            <w:tcW w:w="611" w:type="pct"/>
          </w:tcPr>
          <w:p w14:paraId="28E10BF4" w14:textId="7182787A" w:rsidR="00D54C4C" w:rsidRPr="001E3FE1" w:rsidRDefault="00D54C4C" w:rsidP="00195DA2">
            <w:pPr>
              <w:pStyle w:val="BodyText"/>
              <w:jc w:val="right"/>
            </w:pPr>
            <w:r w:rsidRPr="002664D2">
              <w:t>23</w:t>
            </w:r>
          </w:p>
        </w:tc>
        <w:tc>
          <w:tcPr>
            <w:tcW w:w="493" w:type="pct"/>
          </w:tcPr>
          <w:p w14:paraId="5C944C68" w14:textId="3554DECD" w:rsidR="00D54C4C" w:rsidRPr="001E3FE1" w:rsidRDefault="00D54C4C" w:rsidP="00195DA2">
            <w:pPr>
              <w:pStyle w:val="BodyText"/>
              <w:jc w:val="right"/>
            </w:pPr>
            <w:r w:rsidRPr="002664D2">
              <w:t>6</w:t>
            </w:r>
          </w:p>
        </w:tc>
        <w:tc>
          <w:tcPr>
            <w:tcW w:w="618" w:type="pct"/>
          </w:tcPr>
          <w:p w14:paraId="40441789" w14:textId="13F42954" w:rsidR="00D54C4C" w:rsidRPr="001E3FE1" w:rsidRDefault="00D54C4C" w:rsidP="00195DA2">
            <w:pPr>
              <w:pStyle w:val="BodyText"/>
              <w:jc w:val="right"/>
            </w:pPr>
            <w:r w:rsidRPr="002664D2">
              <w:t>29</w:t>
            </w:r>
          </w:p>
        </w:tc>
        <w:tc>
          <w:tcPr>
            <w:tcW w:w="689" w:type="pct"/>
          </w:tcPr>
          <w:p w14:paraId="0F47AFE0" w14:textId="18E2409A" w:rsidR="00D54C4C" w:rsidRPr="001E3FE1" w:rsidRDefault="00D54C4C" w:rsidP="00195DA2">
            <w:pPr>
              <w:pStyle w:val="BodyText"/>
              <w:jc w:val="right"/>
            </w:pPr>
            <w:r w:rsidRPr="002664D2">
              <w:t>27</w:t>
            </w:r>
          </w:p>
        </w:tc>
        <w:tc>
          <w:tcPr>
            <w:tcW w:w="689" w:type="pct"/>
          </w:tcPr>
          <w:p w14:paraId="4C32D454" w14:textId="3AD5198E" w:rsidR="00D54C4C" w:rsidRPr="001E3FE1" w:rsidRDefault="00D54C4C" w:rsidP="00195DA2">
            <w:pPr>
              <w:pStyle w:val="BodyText"/>
              <w:jc w:val="right"/>
            </w:pPr>
            <w:r w:rsidRPr="002664D2">
              <w:t>7</w:t>
            </w:r>
          </w:p>
        </w:tc>
        <w:tc>
          <w:tcPr>
            <w:tcW w:w="550" w:type="pct"/>
          </w:tcPr>
          <w:p w14:paraId="55087DF2" w14:textId="1C422C9D" w:rsidR="00D54C4C" w:rsidRPr="001E3FE1" w:rsidRDefault="00D54C4C" w:rsidP="00195DA2">
            <w:pPr>
              <w:pStyle w:val="BodyText"/>
              <w:jc w:val="right"/>
            </w:pPr>
            <w:r w:rsidRPr="002664D2">
              <w:t>34</w:t>
            </w:r>
          </w:p>
        </w:tc>
      </w:tr>
      <w:tr w:rsidR="00D54C4C" w14:paraId="361CBEE5" w14:textId="77777777" w:rsidTr="00D54C4C">
        <w:tc>
          <w:tcPr>
            <w:tcW w:w="1350" w:type="pct"/>
          </w:tcPr>
          <w:p w14:paraId="34054155" w14:textId="31B63636" w:rsidR="00D54C4C" w:rsidRPr="001E3FE1" w:rsidRDefault="00D54C4C" w:rsidP="00195DA2">
            <w:pPr>
              <w:pStyle w:val="BodyText"/>
            </w:pPr>
            <w:r w:rsidRPr="002664D2">
              <w:t>SES Band 2</w:t>
            </w:r>
          </w:p>
        </w:tc>
        <w:tc>
          <w:tcPr>
            <w:tcW w:w="611" w:type="pct"/>
          </w:tcPr>
          <w:p w14:paraId="48A828DA" w14:textId="364A91C8" w:rsidR="00D54C4C" w:rsidRPr="001E3FE1" w:rsidRDefault="00D54C4C" w:rsidP="00195DA2">
            <w:pPr>
              <w:pStyle w:val="BodyText"/>
              <w:jc w:val="right"/>
            </w:pPr>
            <w:r w:rsidRPr="002664D2">
              <w:t>11</w:t>
            </w:r>
          </w:p>
        </w:tc>
        <w:tc>
          <w:tcPr>
            <w:tcW w:w="493" w:type="pct"/>
          </w:tcPr>
          <w:p w14:paraId="76341E44" w14:textId="65C7692A" w:rsidR="00D54C4C" w:rsidRPr="001E3FE1" w:rsidRDefault="00D54C4C" w:rsidP="00195DA2">
            <w:pPr>
              <w:pStyle w:val="BodyText"/>
              <w:jc w:val="right"/>
            </w:pPr>
            <w:r w:rsidRPr="002664D2">
              <w:t>0</w:t>
            </w:r>
          </w:p>
        </w:tc>
        <w:tc>
          <w:tcPr>
            <w:tcW w:w="618" w:type="pct"/>
          </w:tcPr>
          <w:p w14:paraId="487A0632" w14:textId="2E1A6359" w:rsidR="00D54C4C" w:rsidRPr="001E3FE1" w:rsidRDefault="00D54C4C" w:rsidP="00195DA2">
            <w:pPr>
              <w:pStyle w:val="BodyText"/>
              <w:jc w:val="right"/>
            </w:pPr>
            <w:r w:rsidRPr="002664D2">
              <w:t>11</w:t>
            </w:r>
          </w:p>
        </w:tc>
        <w:tc>
          <w:tcPr>
            <w:tcW w:w="689" w:type="pct"/>
          </w:tcPr>
          <w:p w14:paraId="0C4C90CC" w14:textId="4562272C" w:rsidR="00D54C4C" w:rsidRPr="001E3FE1" w:rsidRDefault="00D54C4C" w:rsidP="00195DA2">
            <w:pPr>
              <w:pStyle w:val="BodyText"/>
              <w:jc w:val="right"/>
            </w:pPr>
            <w:r w:rsidRPr="002664D2">
              <w:t>7</w:t>
            </w:r>
          </w:p>
        </w:tc>
        <w:tc>
          <w:tcPr>
            <w:tcW w:w="689" w:type="pct"/>
          </w:tcPr>
          <w:p w14:paraId="705B9369" w14:textId="618594A8" w:rsidR="00D54C4C" w:rsidRPr="001E3FE1" w:rsidRDefault="00D54C4C" w:rsidP="00195DA2">
            <w:pPr>
              <w:pStyle w:val="BodyText"/>
              <w:jc w:val="right"/>
            </w:pPr>
            <w:r w:rsidRPr="002664D2">
              <w:t>1</w:t>
            </w:r>
          </w:p>
        </w:tc>
        <w:tc>
          <w:tcPr>
            <w:tcW w:w="550" w:type="pct"/>
          </w:tcPr>
          <w:p w14:paraId="043310EB" w14:textId="5CA4CA6B" w:rsidR="00D54C4C" w:rsidRPr="001E3FE1" w:rsidRDefault="00D54C4C" w:rsidP="00195DA2">
            <w:pPr>
              <w:pStyle w:val="BodyText"/>
              <w:jc w:val="right"/>
            </w:pPr>
            <w:r w:rsidRPr="002664D2">
              <w:t>8</w:t>
            </w:r>
          </w:p>
        </w:tc>
      </w:tr>
      <w:tr w:rsidR="00D54C4C" w14:paraId="7C6E4A15" w14:textId="77777777" w:rsidTr="00D54C4C">
        <w:tc>
          <w:tcPr>
            <w:tcW w:w="1350" w:type="pct"/>
          </w:tcPr>
          <w:p w14:paraId="45A3B145" w14:textId="38F65F76" w:rsidR="00D54C4C" w:rsidRPr="001E3FE1" w:rsidRDefault="00D54C4C" w:rsidP="00195DA2">
            <w:pPr>
              <w:pStyle w:val="BodyText"/>
            </w:pPr>
            <w:r w:rsidRPr="002664D2">
              <w:t>SES Band 3</w:t>
            </w:r>
          </w:p>
        </w:tc>
        <w:tc>
          <w:tcPr>
            <w:tcW w:w="611" w:type="pct"/>
          </w:tcPr>
          <w:p w14:paraId="33D48879" w14:textId="5EB8FD9E" w:rsidR="00D54C4C" w:rsidRPr="001E3FE1" w:rsidRDefault="00D54C4C" w:rsidP="00195DA2">
            <w:pPr>
              <w:pStyle w:val="BodyText"/>
              <w:jc w:val="right"/>
            </w:pPr>
            <w:r w:rsidRPr="002664D2">
              <w:t>3</w:t>
            </w:r>
          </w:p>
        </w:tc>
        <w:tc>
          <w:tcPr>
            <w:tcW w:w="493" w:type="pct"/>
          </w:tcPr>
          <w:p w14:paraId="7B844CB7" w14:textId="79E688BC" w:rsidR="00D54C4C" w:rsidRPr="001E3FE1" w:rsidRDefault="00D54C4C" w:rsidP="00195DA2">
            <w:pPr>
              <w:pStyle w:val="BodyText"/>
              <w:jc w:val="right"/>
            </w:pPr>
            <w:r w:rsidRPr="002664D2">
              <w:t>1</w:t>
            </w:r>
          </w:p>
        </w:tc>
        <w:tc>
          <w:tcPr>
            <w:tcW w:w="618" w:type="pct"/>
          </w:tcPr>
          <w:p w14:paraId="1D80029E" w14:textId="1C189B8C" w:rsidR="00D54C4C" w:rsidRPr="001E3FE1" w:rsidRDefault="00D54C4C" w:rsidP="00195DA2">
            <w:pPr>
              <w:pStyle w:val="BodyText"/>
              <w:jc w:val="right"/>
            </w:pPr>
            <w:r w:rsidRPr="002664D2">
              <w:t>4</w:t>
            </w:r>
          </w:p>
        </w:tc>
        <w:tc>
          <w:tcPr>
            <w:tcW w:w="689" w:type="pct"/>
          </w:tcPr>
          <w:p w14:paraId="52F11DDF" w14:textId="7713F816" w:rsidR="00D54C4C" w:rsidRPr="001E3FE1" w:rsidRDefault="00D54C4C" w:rsidP="00195DA2">
            <w:pPr>
              <w:pStyle w:val="BodyText"/>
              <w:jc w:val="right"/>
            </w:pPr>
            <w:r w:rsidRPr="002664D2">
              <w:t xml:space="preserve"> </w:t>
            </w:r>
          </w:p>
        </w:tc>
        <w:tc>
          <w:tcPr>
            <w:tcW w:w="689" w:type="pct"/>
          </w:tcPr>
          <w:p w14:paraId="0713CFE1" w14:textId="542166F7" w:rsidR="00D54C4C" w:rsidRPr="001E3FE1" w:rsidRDefault="00D54C4C" w:rsidP="00195DA2">
            <w:pPr>
              <w:pStyle w:val="BodyText"/>
              <w:jc w:val="right"/>
            </w:pPr>
            <w:r w:rsidRPr="002664D2">
              <w:t>1</w:t>
            </w:r>
          </w:p>
        </w:tc>
        <w:tc>
          <w:tcPr>
            <w:tcW w:w="550" w:type="pct"/>
          </w:tcPr>
          <w:p w14:paraId="1E1A9261" w14:textId="2077FF0E" w:rsidR="00D54C4C" w:rsidRPr="001E3FE1" w:rsidRDefault="00D54C4C" w:rsidP="00195DA2">
            <w:pPr>
              <w:pStyle w:val="BodyText"/>
              <w:jc w:val="right"/>
            </w:pPr>
            <w:r w:rsidRPr="002664D2">
              <w:t>1</w:t>
            </w:r>
          </w:p>
        </w:tc>
      </w:tr>
      <w:tr w:rsidR="00D54C4C" w:rsidRPr="00195B3E" w14:paraId="1578E35C" w14:textId="77777777" w:rsidTr="00D54C4C">
        <w:tc>
          <w:tcPr>
            <w:tcW w:w="1350" w:type="pct"/>
          </w:tcPr>
          <w:p w14:paraId="21116697" w14:textId="36807016" w:rsidR="00D54C4C" w:rsidRPr="00195B3E" w:rsidRDefault="00D54C4C" w:rsidP="00195DA2">
            <w:pPr>
              <w:pStyle w:val="BodyText"/>
              <w:rPr>
                <w:b/>
              </w:rPr>
            </w:pPr>
            <w:r w:rsidRPr="00195B3E">
              <w:rPr>
                <w:b/>
              </w:rPr>
              <w:t>Total</w:t>
            </w:r>
          </w:p>
        </w:tc>
        <w:tc>
          <w:tcPr>
            <w:tcW w:w="611" w:type="pct"/>
          </w:tcPr>
          <w:p w14:paraId="33997A02" w14:textId="7858D813" w:rsidR="00D54C4C" w:rsidRPr="00195B3E" w:rsidRDefault="00D54C4C" w:rsidP="00195DA2">
            <w:pPr>
              <w:pStyle w:val="BodyText"/>
              <w:jc w:val="right"/>
              <w:rPr>
                <w:b/>
              </w:rPr>
            </w:pPr>
            <w:r w:rsidRPr="00195B3E">
              <w:rPr>
                <w:b/>
              </w:rPr>
              <w:t>1,118</w:t>
            </w:r>
          </w:p>
        </w:tc>
        <w:tc>
          <w:tcPr>
            <w:tcW w:w="493" w:type="pct"/>
          </w:tcPr>
          <w:p w14:paraId="21EA7FB0" w14:textId="03665A2D" w:rsidR="00D54C4C" w:rsidRPr="00195B3E" w:rsidRDefault="00D54C4C" w:rsidP="00195DA2">
            <w:pPr>
              <w:pStyle w:val="BodyText"/>
              <w:jc w:val="right"/>
              <w:rPr>
                <w:b/>
              </w:rPr>
            </w:pPr>
            <w:r w:rsidRPr="00195B3E">
              <w:rPr>
                <w:b/>
              </w:rPr>
              <w:t>378</w:t>
            </w:r>
          </w:p>
        </w:tc>
        <w:tc>
          <w:tcPr>
            <w:tcW w:w="618" w:type="pct"/>
          </w:tcPr>
          <w:p w14:paraId="3C313810" w14:textId="089E1AD6" w:rsidR="00D54C4C" w:rsidRPr="00195B3E" w:rsidRDefault="00D54C4C" w:rsidP="00195DA2">
            <w:pPr>
              <w:pStyle w:val="BodyText"/>
              <w:jc w:val="right"/>
              <w:rPr>
                <w:b/>
              </w:rPr>
            </w:pPr>
            <w:r w:rsidRPr="00195B3E">
              <w:rPr>
                <w:b/>
              </w:rPr>
              <w:t>1496</w:t>
            </w:r>
          </w:p>
        </w:tc>
        <w:tc>
          <w:tcPr>
            <w:tcW w:w="689" w:type="pct"/>
          </w:tcPr>
          <w:p w14:paraId="47408F56" w14:textId="347836D8" w:rsidR="00D54C4C" w:rsidRPr="00195B3E" w:rsidRDefault="00D54C4C" w:rsidP="00195DA2">
            <w:pPr>
              <w:pStyle w:val="BodyText"/>
              <w:jc w:val="right"/>
              <w:rPr>
                <w:b/>
              </w:rPr>
            </w:pPr>
            <w:r w:rsidRPr="00195B3E">
              <w:rPr>
                <w:b/>
              </w:rPr>
              <w:t>1,453</w:t>
            </w:r>
          </w:p>
        </w:tc>
        <w:tc>
          <w:tcPr>
            <w:tcW w:w="689" w:type="pct"/>
          </w:tcPr>
          <w:p w14:paraId="12C7A1B3" w14:textId="02DCD1AB" w:rsidR="00D54C4C" w:rsidRPr="00195B3E" w:rsidRDefault="00D54C4C" w:rsidP="00195DA2">
            <w:pPr>
              <w:pStyle w:val="BodyText"/>
              <w:jc w:val="right"/>
              <w:rPr>
                <w:b/>
              </w:rPr>
            </w:pPr>
            <w:r w:rsidRPr="00195B3E">
              <w:rPr>
                <w:b/>
              </w:rPr>
              <w:t>497</w:t>
            </w:r>
          </w:p>
        </w:tc>
        <w:tc>
          <w:tcPr>
            <w:tcW w:w="550" w:type="pct"/>
          </w:tcPr>
          <w:p w14:paraId="0F930022" w14:textId="6C642E63" w:rsidR="00D54C4C" w:rsidRPr="00195B3E" w:rsidRDefault="00D54C4C" w:rsidP="00195DA2">
            <w:pPr>
              <w:pStyle w:val="BodyText"/>
              <w:jc w:val="right"/>
              <w:rPr>
                <w:b/>
              </w:rPr>
            </w:pPr>
            <w:r w:rsidRPr="00195B3E">
              <w:rPr>
                <w:b/>
              </w:rPr>
              <w:t>1,950</w:t>
            </w:r>
          </w:p>
        </w:tc>
      </w:tr>
    </w:tbl>
    <w:p w14:paraId="3590A501" w14:textId="219C14BC" w:rsidR="00D925DA" w:rsidRDefault="00232136" w:rsidP="00385D65">
      <w:pPr>
        <w:pStyle w:val="BodyText"/>
      </w:pPr>
      <w:r w:rsidRPr="00232136">
        <w:t>*2015-16 figures do not include irregular, intermittent and casual staff.</w:t>
      </w:r>
    </w:p>
    <w:p w14:paraId="6CCD4D11" w14:textId="77777777" w:rsidR="00540924" w:rsidRDefault="00540924" w:rsidP="00ED0A70">
      <w:pPr>
        <w:pStyle w:val="Heading4tables"/>
      </w:pPr>
      <w:bookmarkStart w:id="309" w:name="_Toc496611810"/>
      <w:r>
        <w:t>Table 12: NDIA staff attributes, 2015-16 and 2016-17</w:t>
      </w:r>
      <w:bookmarkEnd w:id="309"/>
    </w:p>
    <w:tbl>
      <w:tblPr>
        <w:tblStyle w:val="TableGrid"/>
        <w:tblW w:w="0" w:type="auto"/>
        <w:tblLayout w:type="fixed"/>
        <w:tblLook w:val="04A0" w:firstRow="1" w:lastRow="0" w:firstColumn="1" w:lastColumn="0" w:noHBand="0" w:noVBand="1"/>
        <w:tblDescription w:val="Table 12: NDIA staff attributes, 2015-16 and 2016-17"/>
      </w:tblPr>
      <w:tblGrid>
        <w:gridCol w:w="4818"/>
        <w:gridCol w:w="2977"/>
        <w:gridCol w:w="2268"/>
      </w:tblGrid>
      <w:tr w:rsidR="00ED0A70" w14:paraId="44553442" w14:textId="77777777" w:rsidTr="003F47B7">
        <w:trPr>
          <w:tblHeader/>
        </w:trPr>
        <w:tc>
          <w:tcPr>
            <w:tcW w:w="4818" w:type="dxa"/>
            <w:shd w:val="clear" w:color="auto" w:fill="6B2976" w:themeFill="background2"/>
          </w:tcPr>
          <w:p w14:paraId="6ED1FB82" w14:textId="5AC87DAD" w:rsidR="00ED0A70" w:rsidRPr="00465BCE" w:rsidRDefault="00ED0A70" w:rsidP="00195DA2">
            <w:pPr>
              <w:pStyle w:val="TableTitle"/>
            </w:pPr>
            <w:bookmarkStart w:id="310" w:name="Title_Table12"/>
            <w:r w:rsidRPr="008D2768">
              <w:t>Staff</w:t>
            </w:r>
          </w:p>
        </w:tc>
        <w:tc>
          <w:tcPr>
            <w:tcW w:w="2977" w:type="dxa"/>
            <w:shd w:val="clear" w:color="auto" w:fill="6B2976" w:themeFill="background2"/>
          </w:tcPr>
          <w:p w14:paraId="15EEB492" w14:textId="4AE686FE" w:rsidR="00ED0A70" w:rsidRPr="009755FC" w:rsidRDefault="00ED0A70" w:rsidP="00195DA2">
            <w:pPr>
              <w:pStyle w:val="TableTitle"/>
              <w:jc w:val="right"/>
            </w:pPr>
            <w:r w:rsidRPr="008D2768">
              <w:t>2015-16</w:t>
            </w:r>
          </w:p>
        </w:tc>
        <w:tc>
          <w:tcPr>
            <w:tcW w:w="2268" w:type="dxa"/>
            <w:shd w:val="clear" w:color="auto" w:fill="6B2976" w:themeFill="background2"/>
          </w:tcPr>
          <w:p w14:paraId="59D7BC07" w14:textId="0775687A" w:rsidR="00ED0A70" w:rsidRPr="009755FC" w:rsidRDefault="00ED0A70" w:rsidP="00195DA2">
            <w:pPr>
              <w:pStyle w:val="TableTitle"/>
              <w:jc w:val="right"/>
            </w:pPr>
            <w:r w:rsidRPr="008D2768">
              <w:t>2016-17</w:t>
            </w:r>
          </w:p>
        </w:tc>
      </w:tr>
      <w:bookmarkEnd w:id="310"/>
      <w:tr w:rsidR="00ED0A70" w:rsidRPr="00164634" w14:paraId="7CB8D5F3" w14:textId="77777777" w:rsidTr="00195DA2">
        <w:tc>
          <w:tcPr>
            <w:tcW w:w="4818" w:type="dxa"/>
          </w:tcPr>
          <w:p w14:paraId="13C29382" w14:textId="2D693485" w:rsidR="00ED0A70" w:rsidRPr="00164634" w:rsidRDefault="00ED0A70" w:rsidP="00195DA2">
            <w:pPr>
              <w:pStyle w:val="BodyText"/>
              <w:rPr>
                <w:b/>
              </w:rPr>
            </w:pPr>
            <w:r w:rsidRPr="008D2768">
              <w:t>Average age</w:t>
            </w:r>
          </w:p>
        </w:tc>
        <w:tc>
          <w:tcPr>
            <w:tcW w:w="2977" w:type="dxa"/>
          </w:tcPr>
          <w:p w14:paraId="2AA1994D" w14:textId="6F03163B" w:rsidR="00ED0A70" w:rsidRPr="00164634" w:rsidRDefault="00ED0A70" w:rsidP="00195DA2">
            <w:pPr>
              <w:pStyle w:val="BodyText"/>
              <w:jc w:val="right"/>
              <w:rPr>
                <w:b/>
              </w:rPr>
            </w:pPr>
            <w:r w:rsidRPr="008D2768">
              <w:t>42</w:t>
            </w:r>
          </w:p>
        </w:tc>
        <w:tc>
          <w:tcPr>
            <w:tcW w:w="2268" w:type="dxa"/>
          </w:tcPr>
          <w:p w14:paraId="1482E5DC" w14:textId="0A16067C" w:rsidR="00ED0A70" w:rsidRPr="00164634" w:rsidRDefault="00ED0A70" w:rsidP="00195DA2">
            <w:pPr>
              <w:pStyle w:val="BodyText"/>
              <w:jc w:val="right"/>
              <w:rPr>
                <w:b/>
              </w:rPr>
            </w:pPr>
            <w:r w:rsidRPr="008D2768">
              <w:t>43</w:t>
            </w:r>
          </w:p>
        </w:tc>
      </w:tr>
      <w:tr w:rsidR="00ED0A70" w14:paraId="69A4EE3C" w14:textId="77777777" w:rsidTr="00195DA2">
        <w:tc>
          <w:tcPr>
            <w:tcW w:w="4818" w:type="dxa"/>
          </w:tcPr>
          <w:p w14:paraId="59F4D1D9" w14:textId="4495C571" w:rsidR="00ED0A70" w:rsidRPr="00D536D9" w:rsidRDefault="00ED0A70" w:rsidP="00195DA2">
            <w:pPr>
              <w:pStyle w:val="BodyText"/>
              <w:rPr>
                <w:rStyle w:val="BodyTextBold"/>
              </w:rPr>
            </w:pPr>
            <w:r w:rsidRPr="008D2768">
              <w:t>Average length of service in Agency (months)</w:t>
            </w:r>
          </w:p>
        </w:tc>
        <w:tc>
          <w:tcPr>
            <w:tcW w:w="2977" w:type="dxa"/>
          </w:tcPr>
          <w:p w14:paraId="2023545D" w14:textId="49881CAE" w:rsidR="00ED0A70" w:rsidRPr="00D536D9" w:rsidRDefault="00ED0A70" w:rsidP="00195DA2">
            <w:pPr>
              <w:pStyle w:val="BodyText"/>
              <w:jc w:val="right"/>
              <w:rPr>
                <w:rStyle w:val="BodyTextBold"/>
              </w:rPr>
            </w:pPr>
            <w:r w:rsidRPr="008D2768">
              <w:t>15</w:t>
            </w:r>
          </w:p>
        </w:tc>
        <w:tc>
          <w:tcPr>
            <w:tcW w:w="2268" w:type="dxa"/>
          </w:tcPr>
          <w:p w14:paraId="06684829" w14:textId="5A278DB3" w:rsidR="00ED0A70" w:rsidRPr="00D536D9" w:rsidRDefault="00ED0A70" w:rsidP="00195DA2">
            <w:pPr>
              <w:pStyle w:val="BodyText"/>
              <w:jc w:val="right"/>
              <w:rPr>
                <w:rStyle w:val="BodyTextBold"/>
              </w:rPr>
            </w:pPr>
            <w:r w:rsidRPr="008D2768">
              <w:t>20</w:t>
            </w:r>
          </w:p>
        </w:tc>
      </w:tr>
      <w:tr w:rsidR="00ED0A70" w14:paraId="22871DE8" w14:textId="77777777" w:rsidTr="00195DA2">
        <w:tc>
          <w:tcPr>
            <w:tcW w:w="4818" w:type="dxa"/>
          </w:tcPr>
          <w:p w14:paraId="77546D7A" w14:textId="0A6EB106" w:rsidR="00ED0A70" w:rsidRDefault="00ED0A70" w:rsidP="00195DA2">
            <w:pPr>
              <w:pStyle w:val="BodyText"/>
            </w:pPr>
            <w:r w:rsidRPr="008D2768">
              <w:t>Female (per cent)</w:t>
            </w:r>
          </w:p>
        </w:tc>
        <w:tc>
          <w:tcPr>
            <w:tcW w:w="2977" w:type="dxa"/>
          </w:tcPr>
          <w:p w14:paraId="7CF8E0EB" w14:textId="6CA4A9BA" w:rsidR="00ED0A70" w:rsidRPr="00D536D9" w:rsidRDefault="00ED0A70" w:rsidP="00195DA2">
            <w:pPr>
              <w:pStyle w:val="BodyText"/>
              <w:jc w:val="right"/>
              <w:rPr>
                <w:rStyle w:val="BodyTextBold"/>
              </w:rPr>
            </w:pPr>
            <w:r w:rsidRPr="008D2768">
              <w:t>74</w:t>
            </w:r>
          </w:p>
        </w:tc>
        <w:tc>
          <w:tcPr>
            <w:tcW w:w="2268" w:type="dxa"/>
          </w:tcPr>
          <w:p w14:paraId="72D9A475" w14:textId="7C65318B" w:rsidR="00ED0A70" w:rsidRPr="00D536D9" w:rsidRDefault="00ED0A70" w:rsidP="00195DA2">
            <w:pPr>
              <w:pStyle w:val="BodyText"/>
              <w:jc w:val="right"/>
              <w:rPr>
                <w:rStyle w:val="BodyTextBold"/>
              </w:rPr>
            </w:pPr>
            <w:r w:rsidRPr="008D2768">
              <w:t>74</w:t>
            </w:r>
          </w:p>
        </w:tc>
      </w:tr>
      <w:tr w:rsidR="00ED0A70" w14:paraId="03A95794" w14:textId="77777777" w:rsidTr="00195DA2">
        <w:tc>
          <w:tcPr>
            <w:tcW w:w="4818" w:type="dxa"/>
          </w:tcPr>
          <w:p w14:paraId="34931B6F" w14:textId="68C9E188" w:rsidR="00ED0A70" w:rsidRDefault="00ED0A70" w:rsidP="00195DA2">
            <w:pPr>
              <w:pStyle w:val="BodyText"/>
            </w:pPr>
            <w:r w:rsidRPr="008D2768">
              <w:t>Male (per cent)</w:t>
            </w:r>
          </w:p>
        </w:tc>
        <w:tc>
          <w:tcPr>
            <w:tcW w:w="2977" w:type="dxa"/>
          </w:tcPr>
          <w:p w14:paraId="0A90361D" w14:textId="19634E34" w:rsidR="00ED0A70" w:rsidRPr="00D536D9" w:rsidRDefault="00ED0A70" w:rsidP="00195DA2">
            <w:pPr>
              <w:pStyle w:val="BodyText"/>
              <w:jc w:val="right"/>
              <w:rPr>
                <w:rStyle w:val="BodyTextBold"/>
              </w:rPr>
            </w:pPr>
            <w:r w:rsidRPr="008D2768">
              <w:t>26</w:t>
            </w:r>
          </w:p>
        </w:tc>
        <w:tc>
          <w:tcPr>
            <w:tcW w:w="2268" w:type="dxa"/>
          </w:tcPr>
          <w:p w14:paraId="5978A045" w14:textId="6EA0C261" w:rsidR="00ED0A70" w:rsidRPr="00D536D9" w:rsidRDefault="00ED0A70" w:rsidP="00195DA2">
            <w:pPr>
              <w:pStyle w:val="BodyText"/>
              <w:jc w:val="right"/>
              <w:rPr>
                <w:rStyle w:val="BodyTextBold"/>
              </w:rPr>
            </w:pPr>
            <w:r w:rsidRPr="008D2768">
              <w:t>26</w:t>
            </w:r>
          </w:p>
        </w:tc>
      </w:tr>
      <w:tr w:rsidR="00ED0A70" w14:paraId="5C079405" w14:textId="77777777" w:rsidTr="00195DA2">
        <w:tc>
          <w:tcPr>
            <w:tcW w:w="4818" w:type="dxa"/>
          </w:tcPr>
          <w:p w14:paraId="12917A72" w14:textId="4EFEB063" w:rsidR="00ED0A70" w:rsidRDefault="00ED0A70" w:rsidP="00195DA2">
            <w:pPr>
              <w:pStyle w:val="BodyText"/>
            </w:pPr>
            <w:r w:rsidRPr="008D2768">
              <w:t>Part-time (per cent)</w:t>
            </w:r>
          </w:p>
        </w:tc>
        <w:tc>
          <w:tcPr>
            <w:tcW w:w="2977" w:type="dxa"/>
          </w:tcPr>
          <w:p w14:paraId="72132B4C" w14:textId="6FCE7FFA" w:rsidR="00ED0A70" w:rsidRPr="00D536D9" w:rsidRDefault="00ED0A70" w:rsidP="00195DA2">
            <w:pPr>
              <w:pStyle w:val="BodyText"/>
              <w:jc w:val="right"/>
              <w:rPr>
                <w:rStyle w:val="BodyTextBold"/>
              </w:rPr>
            </w:pPr>
            <w:r w:rsidRPr="008D2768">
              <w:t>15</w:t>
            </w:r>
          </w:p>
        </w:tc>
        <w:tc>
          <w:tcPr>
            <w:tcW w:w="2268" w:type="dxa"/>
          </w:tcPr>
          <w:p w14:paraId="6470F22D" w14:textId="769B993D" w:rsidR="00ED0A70" w:rsidRPr="00D536D9" w:rsidRDefault="00ED0A70" w:rsidP="00195DA2">
            <w:pPr>
              <w:pStyle w:val="BodyText"/>
              <w:jc w:val="right"/>
              <w:rPr>
                <w:rStyle w:val="BodyTextBold"/>
              </w:rPr>
            </w:pPr>
            <w:r w:rsidRPr="008D2768">
              <w:t>14</w:t>
            </w:r>
          </w:p>
        </w:tc>
      </w:tr>
    </w:tbl>
    <w:p w14:paraId="59DF2270" w14:textId="77777777" w:rsidR="00540924" w:rsidRDefault="00540924" w:rsidP="00ED0A70">
      <w:pPr>
        <w:pStyle w:val="Heading4tables"/>
      </w:pPr>
      <w:bookmarkStart w:id="311" w:name="_Toc496611811"/>
      <w:r>
        <w:t>Table 13: NDIA employees who identify as Aboriginal and Torres Strait Islander, 2015</w:t>
      </w:r>
      <w:r>
        <w:rPr>
          <w:rFonts w:ascii="MS Mincho" w:eastAsia="MS Mincho" w:hAnsi="MS Mincho" w:cs="MS Mincho"/>
        </w:rPr>
        <w:t>‑</w:t>
      </w:r>
      <w:r>
        <w:t>16 and 2016-17</w:t>
      </w:r>
      <w:bookmarkEnd w:id="311"/>
    </w:p>
    <w:tbl>
      <w:tblPr>
        <w:tblStyle w:val="TableGrid"/>
        <w:tblW w:w="0" w:type="auto"/>
        <w:tblInd w:w="-2" w:type="dxa"/>
        <w:tblLayout w:type="fixed"/>
        <w:tblLook w:val="04A0" w:firstRow="1" w:lastRow="0" w:firstColumn="1" w:lastColumn="0" w:noHBand="0" w:noVBand="1"/>
        <w:tblDescription w:val="Table 13: NDIA employees who identify as Aboriginal and Torres Strait Islander, 2015‑16 and 2016-17"/>
      </w:tblPr>
      <w:tblGrid>
        <w:gridCol w:w="4820"/>
        <w:gridCol w:w="2977"/>
        <w:gridCol w:w="2268"/>
      </w:tblGrid>
      <w:tr w:rsidR="00ED0A70" w14:paraId="04B4E9D5" w14:textId="77777777" w:rsidTr="003F47B7">
        <w:trPr>
          <w:tblHeader/>
        </w:trPr>
        <w:tc>
          <w:tcPr>
            <w:tcW w:w="4820" w:type="dxa"/>
            <w:shd w:val="clear" w:color="auto" w:fill="6B2976" w:themeFill="background2"/>
          </w:tcPr>
          <w:p w14:paraId="557D7F43" w14:textId="3B7F8BB9" w:rsidR="00ED0A70" w:rsidRPr="00465BCE" w:rsidRDefault="00ED0A70" w:rsidP="00195DA2">
            <w:pPr>
              <w:pStyle w:val="TableTitle"/>
            </w:pPr>
            <w:bookmarkStart w:id="312" w:name="Title_Table13"/>
            <w:r w:rsidRPr="00977A68">
              <w:t>Staff identifying as Aboriginal and Torres Strait Islander</w:t>
            </w:r>
          </w:p>
        </w:tc>
        <w:tc>
          <w:tcPr>
            <w:tcW w:w="2977" w:type="dxa"/>
            <w:shd w:val="clear" w:color="auto" w:fill="6B2976" w:themeFill="background2"/>
          </w:tcPr>
          <w:p w14:paraId="5E744DCC" w14:textId="122DC162" w:rsidR="00ED0A70" w:rsidRPr="009755FC" w:rsidRDefault="00ED0A70" w:rsidP="00195DA2">
            <w:pPr>
              <w:pStyle w:val="TableTitle"/>
              <w:jc w:val="right"/>
            </w:pPr>
            <w:r w:rsidRPr="00977A68">
              <w:t>2015-16 (headcount)</w:t>
            </w:r>
          </w:p>
        </w:tc>
        <w:tc>
          <w:tcPr>
            <w:tcW w:w="2268" w:type="dxa"/>
            <w:shd w:val="clear" w:color="auto" w:fill="6B2976" w:themeFill="background2"/>
          </w:tcPr>
          <w:p w14:paraId="66BD3C08" w14:textId="115D8E18" w:rsidR="00ED0A70" w:rsidRPr="009755FC" w:rsidRDefault="00ED0A70" w:rsidP="00195DA2">
            <w:pPr>
              <w:pStyle w:val="TableTitle"/>
              <w:jc w:val="right"/>
            </w:pPr>
            <w:r w:rsidRPr="00977A68">
              <w:t>2016-17 (headcount)</w:t>
            </w:r>
          </w:p>
        </w:tc>
      </w:tr>
      <w:bookmarkEnd w:id="312"/>
      <w:tr w:rsidR="00ED0A70" w:rsidRPr="00164634" w14:paraId="01CDEBC4" w14:textId="77777777" w:rsidTr="000044C4">
        <w:tc>
          <w:tcPr>
            <w:tcW w:w="4820" w:type="dxa"/>
          </w:tcPr>
          <w:p w14:paraId="2B7B4B93" w14:textId="052A4ED3" w:rsidR="00ED0A70" w:rsidRPr="00164634" w:rsidRDefault="00ED0A70" w:rsidP="00195DA2">
            <w:pPr>
              <w:pStyle w:val="BodyText"/>
              <w:rPr>
                <w:b/>
              </w:rPr>
            </w:pPr>
            <w:r w:rsidRPr="00977A68">
              <w:t>Non-ongoing part-time</w:t>
            </w:r>
          </w:p>
        </w:tc>
        <w:tc>
          <w:tcPr>
            <w:tcW w:w="2977" w:type="dxa"/>
          </w:tcPr>
          <w:p w14:paraId="340F0CE9" w14:textId="08617FF8" w:rsidR="00ED0A70" w:rsidRPr="00164634" w:rsidRDefault="00ED0A70" w:rsidP="00195DA2">
            <w:pPr>
              <w:pStyle w:val="BodyText"/>
              <w:jc w:val="right"/>
              <w:rPr>
                <w:b/>
              </w:rPr>
            </w:pPr>
            <w:r w:rsidRPr="00977A68">
              <w:t>0</w:t>
            </w:r>
          </w:p>
        </w:tc>
        <w:tc>
          <w:tcPr>
            <w:tcW w:w="2268" w:type="dxa"/>
          </w:tcPr>
          <w:p w14:paraId="406F1D90" w14:textId="32861C69" w:rsidR="00ED0A70" w:rsidRPr="00164634" w:rsidRDefault="00ED0A70" w:rsidP="00195DA2">
            <w:pPr>
              <w:pStyle w:val="BodyText"/>
              <w:jc w:val="right"/>
              <w:rPr>
                <w:b/>
              </w:rPr>
            </w:pPr>
            <w:r w:rsidRPr="00977A68">
              <w:t>0</w:t>
            </w:r>
          </w:p>
        </w:tc>
      </w:tr>
      <w:tr w:rsidR="00ED0A70" w14:paraId="2C3E5ED3" w14:textId="77777777" w:rsidTr="000044C4">
        <w:tc>
          <w:tcPr>
            <w:tcW w:w="4820" w:type="dxa"/>
          </w:tcPr>
          <w:p w14:paraId="53DA787F" w14:textId="44ECCF3F" w:rsidR="00ED0A70" w:rsidRPr="00D536D9" w:rsidRDefault="00ED0A70" w:rsidP="00195DA2">
            <w:pPr>
              <w:pStyle w:val="BodyText"/>
              <w:rPr>
                <w:rStyle w:val="BodyTextBold"/>
              </w:rPr>
            </w:pPr>
            <w:r w:rsidRPr="00977A68">
              <w:t>Non-ongoing full-time</w:t>
            </w:r>
          </w:p>
        </w:tc>
        <w:tc>
          <w:tcPr>
            <w:tcW w:w="2977" w:type="dxa"/>
          </w:tcPr>
          <w:p w14:paraId="7F4D861D" w14:textId="22391A30" w:rsidR="00ED0A70" w:rsidRPr="00D536D9" w:rsidRDefault="00ED0A70" w:rsidP="00195DA2">
            <w:pPr>
              <w:pStyle w:val="BodyText"/>
              <w:jc w:val="right"/>
              <w:rPr>
                <w:rStyle w:val="BodyTextBold"/>
              </w:rPr>
            </w:pPr>
            <w:r w:rsidRPr="00977A68">
              <w:t>12</w:t>
            </w:r>
          </w:p>
        </w:tc>
        <w:tc>
          <w:tcPr>
            <w:tcW w:w="2268" w:type="dxa"/>
          </w:tcPr>
          <w:p w14:paraId="5C1EFF8B" w14:textId="55489E26" w:rsidR="00ED0A70" w:rsidRPr="00D536D9" w:rsidRDefault="00ED0A70" w:rsidP="00195DA2">
            <w:pPr>
              <w:pStyle w:val="BodyText"/>
              <w:jc w:val="right"/>
              <w:rPr>
                <w:rStyle w:val="BodyTextBold"/>
              </w:rPr>
            </w:pPr>
            <w:r w:rsidRPr="00977A68">
              <w:t>10</w:t>
            </w:r>
          </w:p>
        </w:tc>
      </w:tr>
      <w:tr w:rsidR="00ED0A70" w14:paraId="60C89E46" w14:textId="77777777" w:rsidTr="000044C4">
        <w:tc>
          <w:tcPr>
            <w:tcW w:w="4820" w:type="dxa"/>
          </w:tcPr>
          <w:p w14:paraId="6FC88AA2" w14:textId="27F16450" w:rsidR="00ED0A70" w:rsidRDefault="00ED0A70" w:rsidP="00195DA2">
            <w:pPr>
              <w:pStyle w:val="BodyText"/>
            </w:pPr>
            <w:r w:rsidRPr="00977A68">
              <w:t>Ongoing part-time</w:t>
            </w:r>
          </w:p>
        </w:tc>
        <w:tc>
          <w:tcPr>
            <w:tcW w:w="2977" w:type="dxa"/>
          </w:tcPr>
          <w:p w14:paraId="7B7B5BB7" w14:textId="4D4A0BA8" w:rsidR="00ED0A70" w:rsidRPr="00D536D9" w:rsidRDefault="00ED0A70" w:rsidP="00195DA2">
            <w:pPr>
              <w:pStyle w:val="BodyText"/>
              <w:jc w:val="right"/>
              <w:rPr>
                <w:rStyle w:val="BodyTextBold"/>
              </w:rPr>
            </w:pPr>
            <w:r w:rsidRPr="00977A68">
              <w:t>1</w:t>
            </w:r>
          </w:p>
        </w:tc>
        <w:tc>
          <w:tcPr>
            <w:tcW w:w="2268" w:type="dxa"/>
          </w:tcPr>
          <w:p w14:paraId="467A66DA" w14:textId="2C6BBEF1" w:rsidR="00ED0A70" w:rsidRPr="00D536D9" w:rsidRDefault="00ED0A70" w:rsidP="00195DA2">
            <w:pPr>
              <w:pStyle w:val="BodyText"/>
              <w:jc w:val="right"/>
              <w:rPr>
                <w:rStyle w:val="BodyTextBold"/>
              </w:rPr>
            </w:pPr>
            <w:r w:rsidRPr="00977A68">
              <w:t>2</w:t>
            </w:r>
          </w:p>
        </w:tc>
      </w:tr>
      <w:tr w:rsidR="00ED0A70" w14:paraId="771B2964" w14:textId="77777777" w:rsidTr="000044C4">
        <w:tc>
          <w:tcPr>
            <w:tcW w:w="4820" w:type="dxa"/>
          </w:tcPr>
          <w:p w14:paraId="0B6CBE8C" w14:textId="6CF24812" w:rsidR="00ED0A70" w:rsidRDefault="00ED0A70" w:rsidP="00195DA2">
            <w:pPr>
              <w:pStyle w:val="BodyText"/>
            </w:pPr>
            <w:r w:rsidRPr="00977A68">
              <w:t>Ongoing full-time</w:t>
            </w:r>
          </w:p>
        </w:tc>
        <w:tc>
          <w:tcPr>
            <w:tcW w:w="2977" w:type="dxa"/>
          </w:tcPr>
          <w:p w14:paraId="65D6AF8A" w14:textId="60E2F3DD" w:rsidR="00ED0A70" w:rsidRPr="00D536D9" w:rsidRDefault="00ED0A70" w:rsidP="00195DA2">
            <w:pPr>
              <w:pStyle w:val="BodyText"/>
              <w:jc w:val="right"/>
              <w:rPr>
                <w:rStyle w:val="BodyTextBold"/>
              </w:rPr>
            </w:pPr>
            <w:r w:rsidRPr="00977A68">
              <w:t>16</w:t>
            </w:r>
          </w:p>
        </w:tc>
        <w:tc>
          <w:tcPr>
            <w:tcW w:w="2268" w:type="dxa"/>
          </w:tcPr>
          <w:p w14:paraId="78192130" w14:textId="39C7E4D3" w:rsidR="00ED0A70" w:rsidRPr="00D536D9" w:rsidRDefault="00ED0A70" w:rsidP="00195DA2">
            <w:pPr>
              <w:pStyle w:val="BodyText"/>
              <w:jc w:val="right"/>
              <w:rPr>
                <w:rStyle w:val="BodyTextBold"/>
              </w:rPr>
            </w:pPr>
            <w:r w:rsidRPr="00977A68">
              <w:t>41</w:t>
            </w:r>
          </w:p>
        </w:tc>
      </w:tr>
      <w:tr w:rsidR="00ED0A70" w14:paraId="756134D9" w14:textId="77777777" w:rsidTr="000044C4">
        <w:tc>
          <w:tcPr>
            <w:tcW w:w="4820" w:type="dxa"/>
          </w:tcPr>
          <w:p w14:paraId="680FE460" w14:textId="1FED6000" w:rsidR="00ED0A70" w:rsidRDefault="00ED0A70" w:rsidP="00195DA2">
            <w:pPr>
              <w:pStyle w:val="BodyText"/>
            </w:pPr>
            <w:r w:rsidRPr="00977A68">
              <w:t>Total</w:t>
            </w:r>
          </w:p>
        </w:tc>
        <w:tc>
          <w:tcPr>
            <w:tcW w:w="2977" w:type="dxa"/>
          </w:tcPr>
          <w:p w14:paraId="44B92B3D" w14:textId="46CD101B" w:rsidR="00ED0A70" w:rsidRPr="00D536D9" w:rsidRDefault="00ED0A70" w:rsidP="00195DA2">
            <w:pPr>
              <w:pStyle w:val="BodyText"/>
              <w:jc w:val="right"/>
              <w:rPr>
                <w:rStyle w:val="BodyTextBold"/>
              </w:rPr>
            </w:pPr>
            <w:r w:rsidRPr="00977A68">
              <w:t>29</w:t>
            </w:r>
          </w:p>
        </w:tc>
        <w:tc>
          <w:tcPr>
            <w:tcW w:w="2268" w:type="dxa"/>
          </w:tcPr>
          <w:p w14:paraId="0EBCA060" w14:textId="604BD9A1" w:rsidR="00ED0A70" w:rsidRPr="00D536D9" w:rsidRDefault="00ED0A70" w:rsidP="00195DA2">
            <w:pPr>
              <w:pStyle w:val="BodyText"/>
              <w:jc w:val="right"/>
              <w:rPr>
                <w:rStyle w:val="BodyTextBold"/>
              </w:rPr>
            </w:pPr>
            <w:r w:rsidRPr="00977A68">
              <w:t>53</w:t>
            </w:r>
          </w:p>
        </w:tc>
      </w:tr>
    </w:tbl>
    <w:p w14:paraId="746B6073" w14:textId="77777777" w:rsidR="00FB7479" w:rsidRDefault="00FB7479" w:rsidP="00FB7479">
      <w:pPr>
        <w:pStyle w:val="Heading2"/>
      </w:pPr>
      <w:bookmarkStart w:id="313" w:name="_Toc496611921"/>
      <w:r>
        <w:t>Appendix 2: Board members’ positions, terms and meetings attended 2016-17</w:t>
      </w:r>
      <w:bookmarkEnd w:id="313"/>
    </w:p>
    <w:p w14:paraId="56601490" w14:textId="77777777" w:rsidR="00FB7479" w:rsidRDefault="00FB7479" w:rsidP="00FB7479">
      <w:pPr>
        <w:pStyle w:val="Heading4tables"/>
      </w:pPr>
      <w:bookmarkStart w:id="314" w:name="_Toc496611812"/>
      <w:r>
        <w:t>Table 14: Board members’ positions, terms and meetings attended 2016-17</w:t>
      </w:r>
      <w:bookmarkEnd w:id="314"/>
    </w:p>
    <w:tbl>
      <w:tblPr>
        <w:tblStyle w:val="TableGrid"/>
        <w:tblW w:w="4450" w:type="pct"/>
        <w:tblLook w:val="04A0" w:firstRow="1" w:lastRow="0" w:firstColumn="1" w:lastColumn="0" w:noHBand="0" w:noVBand="1"/>
        <w:tblDescription w:val="Table 14: Board members’ positions, terms and meetings attended 2016-17"/>
      </w:tblPr>
      <w:tblGrid>
        <w:gridCol w:w="2632"/>
        <w:gridCol w:w="1130"/>
        <w:gridCol w:w="1416"/>
        <w:gridCol w:w="1520"/>
        <w:gridCol w:w="1083"/>
        <w:gridCol w:w="1286"/>
      </w:tblGrid>
      <w:tr w:rsidR="00CD5841" w:rsidRPr="00164634" w14:paraId="48F895D5" w14:textId="77777777" w:rsidTr="003F47B7">
        <w:trPr>
          <w:tblHeader/>
        </w:trPr>
        <w:tc>
          <w:tcPr>
            <w:tcW w:w="1451" w:type="pct"/>
            <w:shd w:val="clear" w:color="auto" w:fill="6B2976" w:themeFill="background2"/>
          </w:tcPr>
          <w:p w14:paraId="5D7D5A28" w14:textId="750E5E06" w:rsidR="00CD5841" w:rsidRPr="00164634" w:rsidRDefault="00CD5841" w:rsidP="00195DA2">
            <w:pPr>
              <w:pStyle w:val="TableTitle"/>
            </w:pPr>
            <w:bookmarkStart w:id="315" w:name="Title_Table14"/>
            <w:r w:rsidRPr="00C078E3">
              <w:t>Name</w:t>
            </w:r>
          </w:p>
        </w:tc>
        <w:tc>
          <w:tcPr>
            <w:tcW w:w="623" w:type="pct"/>
            <w:shd w:val="clear" w:color="auto" w:fill="6B2976" w:themeFill="background2"/>
          </w:tcPr>
          <w:p w14:paraId="2CF887AD" w14:textId="21A70F2B" w:rsidR="00CD5841" w:rsidRPr="00164634" w:rsidRDefault="00CD5841" w:rsidP="00195DA2">
            <w:pPr>
              <w:pStyle w:val="TableTitle"/>
            </w:pPr>
            <w:r w:rsidRPr="00C078E3">
              <w:t>Position</w:t>
            </w:r>
          </w:p>
        </w:tc>
        <w:tc>
          <w:tcPr>
            <w:tcW w:w="781" w:type="pct"/>
            <w:shd w:val="clear" w:color="auto" w:fill="6B2976" w:themeFill="background2"/>
          </w:tcPr>
          <w:p w14:paraId="5579B4D7" w14:textId="78329B92" w:rsidR="00CD5841" w:rsidRPr="00164634" w:rsidRDefault="00CD5841" w:rsidP="00CD5841">
            <w:pPr>
              <w:pStyle w:val="TableTitle"/>
            </w:pPr>
            <w:r>
              <w:t>Date of appointment / re-appointment</w:t>
            </w:r>
          </w:p>
        </w:tc>
        <w:tc>
          <w:tcPr>
            <w:tcW w:w="838" w:type="pct"/>
            <w:shd w:val="clear" w:color="auto" w:fill="6B2976" w:themeFill="background2"/>
          </w:tcPr>
          <w:p w14:paraId="391B7067" w14:textId="41CFCFB7" w:rsidR="00CD5841" w:rsidRPr="00164634" w:rsidRDefault="00CD5841" w:rsidP="00195DA2">
            <w:pPr>
              <w:pStyle w:val="TableTitle"/>
            </w:pPr>
            <w:r w:rsidRPr="00006751">
              <w:t>Term expiry</w:t>
            </w:r>
          </w:p>
        </w:tc>
        <w:tc>
          <w:tcPr>
            <w:tcW w:w="597" w:type="pct"/>
            <w:shd w:val="clear" w:color="auto" w:fill="6B2976" w:themeFill="background2"/>
          </w:tcPr>
          <w:p w14:paraId="6CB3E027" w14:textId="5C60781F" w:rsidR="00CD5841" w:rsidRPr="00164634" w:rsidRDefault="00CD5841" w:rsidP="00195DA2">
            <w:pPr>
              <w:pStyle w:val="TableTitle"/>
            </w:pPr>
            <w:r w:rsidRPr="00006751">
              <w:t>Meetings eligible to attend 2016-17</w:t>
            </w:r>
          </w:p>
        </w:tc>
        <w:tc>
          <w:tcPr>
            <w:tcW w:w="709" w:type="pct"/>
            <w:shd w:val="clear" w:color="auto" w:fill="6B2976" w:themeFill="background2"/>
          </w:tcPr>
          <w:p w14:paraId="4BAB35F9" w14:textId="7BED1287" w:rsidR="00CD5841" w:rsidRPr="00164634" w:rsidRDefault="00CD5841" w:rsidP="00195DA2">
            <w:pPr>
              <w:pStyle w:val="TableTitle"/>
            </w:pPr>
            <w:r w:rsidRPr="00006751">
              <w:t>Meetings attended 2016-17</w:t>
            </w:r>
          </w:p>
        </w:tc>
      </w:tr>
      <w:bookmarkEnd w:id="315"/>
      <w:tr w:rsidR="00CD5841" w14:paraId="7D76A71F" w14:textId="77777777" w:rsidTr="00CD5841">
        <w:tc>
          <w:tcPr>
            <w:tcW w:w="1451" w:type="pct"/>
          </w:tcPr>
          <w:p w14:paraId="0C3EA455" w14:textId="6E22CFC1" w:rsidR="00CD5841" w:rsidRDefault="00CD5841" w:rsidP="00195DA2">
            <w:pPr>
              <w:pStyle w:val="BodyText"/>
            </w:pPr>
            <w:r w:rsidRPr="00C078E3">
              <w:t>Dr Helen Nugent AO</w:t>
            </w:r>
          </w:p>
        </w:tc>
        <w:tc>
          <w:tcPr>
            <w:tcW w:w="623" w:type="pct"/>
          </w:tcPr>
          <w:p w14:paraId="5A32FD76" w14:textId="4CC2F7EF" w:rsidR="00CD5841" w:rsidRPr="00D536D9" w:rsidRDefault="00CD5841" w:rsidP="00195DA2">
            <w:pPr>
              <w:pStyle w:val="BodyText"/>
              <w:jc w:val="right"/>
              <w:rPr>
                <w:rStyle w:val="BodyTextBold"/>
              </w:rPr>
            </w:pPr>
            <w:r w:rsidRPr="00C078E3">
              <w:t>Chairman (current)</w:t>
            </w:r>
          </w:p>
        </w:tc>
        <w:tc>
          <w:tcPr>
            <w:tcW w:w="781" w:type="pct"/>
          </w:tcPr>
          <w:p w14:paraId="713274A0" w14:textId="31993249" w:rsidR="00CD5841" w:rsidRPr="00CC2ECB" w:rsidRDefault="00CD5841" w:rsidP="00195DA2">
            <w:pPr>
              <w:pStyle w:val="BodyText"/>
              <w:jc w:val="right"/>
            </w:pPr>
            <w:r w:rsidRPr="00C078E3">
              <w:t>1 January 2017</w:t>
            </w:r>
          </w:p>
        </w:tc>
        <w:tc>
          <w:tcPr>
            <w:tcW w:w="838" w:type="pct"/>
          </w:tcPr>
          <w:p w14:paraId="37B11962" w14:textId="54C1F586" w:rsidR="00CD5841" w:rsidRPr="00CC2ECB" w:rsidRDefault="00CD5841" w:rsidP="00195DA2">
            <w:pPr>
              <w:pStyle w:val="BodyText"/>
              <w:jc w:val="right"/>
            </w:pPr>
            <w:r w:rsidRPr="00C078E3">
              <w:t>31 December 2019</w:t>
            </w:r>
          </w:p>
        </w:tc>
        <w:tc>
          <w:tcPr>
            <w:tcW w:w="597" w:type="pct"/>
          </w:tcPr>
          <w:p w14:paraId="202796CD" w14:textId="62CF1066" w:rsidR="00CD5841" w:rsidRPr="00CC2ECB" w:rsidRDefault="00CD5841" w:rsidP="00195DA2">
            <w:pPr>
              <w:pStyle w:val="BodyText"/>
              <w:jc w:val="right"/>
            </w:pPr>
            <w:r w:rsidRPr="00C078E3">
              <w:t>5</w:t>
            </w:r>
          </w:p>
        </w:tc>
        <w:tc>
          <w:tcPr>
            <w:tcW w:w="709" w:type="pct"/>
          </w:tcPr>
          <w:p w14:paraId="29D0F3EA" w14:textId="09AB1542" w:rsidR="00CD5841" w:rsidRPr="00CC2ECB" w:rsidRDefault="00CD5841" w:rsidP="00195DA2">
            <w:pPr>
              <w:pStyle w:val="BodyText"/>
              <w:jc w:val="right"/>
            </w:pPr>
            <w:r w:rsidRPr="00C078E3">
              <w:t>5</w:t>
            </w:r>
          </w:p>
        </w:tc>
      </w:tr>
      <w:tr w:rsidR="00CD5841" w14:paraId="476EE67A" w14:textId="77777777" w:rsidTr="00CD5841">
        <w:tc>
          <w:tcPr>
            <w:tcW w:w="1451" w:type="pct"/>
          </w:tcPr>
          <w:p w14:paraId="4BF65050" w14:textId="5C669943" w:rsidR="00CD5841" w:rsidRDefault="00CD5841" w:rsidP="00195DA2">
            <w:pPr>
              <w:pStyle w:val="BodyText"/>
            </w:pPr>
            <w:r w:rsidRPr="00C078E3">
              <w:t>Ms Sandra Birkensleigh</w:t>
            </w:r>
          </w:p>
        </w:tc>
        <w:tc>
          <w:tcPr>
            <w:tcW w:w="623" w:type="pct"/>
          </w:tcPr>
          <w:p w14:paraId="4373F73C" w14:textId="4BAB60C7" w:rsidR="00CD5841" w:rsidRPr="00D536D9" w:rsidRDefault="00CD5841" w:rsidP="00195DA2">
            <w:pPr>
              <w:pStyle w:val="BodyText"/>
              <w:jc w:val="right"/>
              <w:rPr>
                <w:rStyle w:val="BodyTextBold"/>
              </w:rPr>
            </w:pPr>
            <w:r w:rsidRPr="00C078E3">
              <w:t>Member</w:t>
            </w:r>
          </w:p>
        </w:tc>
        <w:tc>
          <w:tcPr>
            <w:tcW w:w="781" w:type="pct"/>
          </w:tcPr>
          <w:p w14:paraId="52E0A165" w14:textId="5F913A20" w:rsidR="00CD5841" w:rsidRPr="00CC2ECB" w:rsidRDefault="00CD5841" w:rsidP="00195DA2">
            <w:pPr>
              <w:pStyle w:val="BodyText"/>
              <w:jc w:val="right"/>
            </w:pPr>
            <w:r w:rsidRPr="00C078E3">
              <w:t>1 January 2017</w:t>
            </w:r>
          </w:p>
        </w:tc>
        <w:tc>
          <w:tcPr>
            <w:tcW w:w="838" w:type="pct"/>
          </w:tcPr>
          <w:p w14:paraId="0E9C8F6A" w14:textId="16795AEC" w:rsidR="00CD5841" w:rsidRPr="00CC2ECB" w:rsidRDefault="00CD5841" w:rsidP="00195DA2">
            <w:pPr>
              <w:pStyle w:val="BodyText"/>
              <w:jc w:val="right"/>
            </w:pPr>
            <w:r w:rsidRPr="00C078E3">
              <w:t>31 December 2019</w:t>
            </w:r>
          </w:p>
        </w:tc>
        <w:tc>
          <w:tcPr>
            <w:tcW w:w="597" w:type="pct"/>
          </w:tcPr>
          <w:p w14:paraId="27368251" w14:textId="01DEB3E1" w:rsidR="00CD5841" w:rsidRPr="00CC2ECB" w:rsidRDefault="00CD5841" w:rsidP="00195DA2">
            <w:pPr>
              <w:pStyle w:val="BodyText"/>
              <w:jc w:val="right"/>
            </w:pPr>
            <w:r w:rsidRPr="00C078E3">
              <w:t>5</w:t>
            </w:r>
          </w:p>
        </w:tc>
        <w:tc>
          <w:tcPr>
            <w:tcW w:w="709" w:type="pct"/>
          </w:tcPr>
          <w:p w14:paraId="713228BA" w14:textId="4BF84F1F" w:rsidR="00CD5841" w:rsidRPr="00CC2ECB" w:rsidRDefault="00CD5841" w:rsidP="00195DA2">
            <w:pPr>
              <w:pStyle w:val="BodyText"/>
              <w:jc w:val="right"/>
            </w:pPr>
            <w:r w:rsidRPr="00C078E3">
              <w:t>4</w:t>
            </w:r>
          </w:p>
        </w:tc>
      </w:tr>
      <w:tr w:rsidR="00CD5841" w14:paraId="60F7798B" w14:textId="77777777" w:rsidTr="00CD5841">
        <w:tc>
          <w:tcPr>
            <w:tcW w:w="1451" w:type="pct"/>
          </w:tcPr>
          <w:p w14:paraId="048CA898" w14:textId="74F8E54F" w:rsidR="00CD5841" w:rsidRDefault="00CD5841" w:rsidP="00195DA2">
            <w:pPr>
              <w:pStyle w:val="BodyText"/>
            </w:pPr>
            <w:r w:rsidRPr="00C078E3">
              <w:t>Professor Rhonda Galbally AO</w:t>
            </w:r>
          </w:p>
        </w:tc>
        <w:tc>
          <w:tcPr>
            <w:tcW w:w="623" w:type="pct"/>
          </w:tcPr>
          <w:p w14:paraId="232C93A1" w14:textId="15D7E1B5" w:rsidR="00CD5841" w:rsidRPr="00D536D9" w:rsidRDefault="00CD5841" w:rsidP="00195DA2">
            <w:pPr>
              <w:pStyle w:val="BodyText"/>
              <w:jc w:val="right"/>
              <w:rPr>
                <w:rStyle w:val="BodyTextBold"/>
              </w:rPr>
            </w:pPr>
            <w:r w:rsidRPr="00C078E3">
              <w:t>Member</w:t>
            </w:r>
          </w:p>
        </w:tc>
        <w:tc>
          <w:tcPr>
            <w:tcW w:w="781" w:type="pct"/>
          </w:tcPr>
          <w:p w14:paraId="00285B1D" w14:textId="47E39FF6" w:rsidR="00CD5841" w:rsidRPr="00CC2ECB" w:rsidRDefault="00CD5841" w:rsidP="00195DA2">
            <w:pPr>
              <w:pStyle w:val="BodyText"/>
              <w:jc w:val="right"/>
            </w:pPr>
            <w:r w:rsidRPr="00C078E3">
              <w:t>1 July 2013 &amp; 1 July 2017</w:t>
            </w:r>
          </w:p>
        </w:tc>
        <w:tc>
          <w:tcPr>
            <w:tcW w:w="838" w:type="pct"/>
          </w:tcPr>
          <w:p w14:paraId="273C0FEC" w14:textId="7A948A01" w:rsidR="00CD5841" w:rsidRPr="00CC2ECB" w:rsidRDefault="00CD5841" w:rsidP="00195DA2">
            <w:pPr>
              <w:pStyle w:val="BodyText"/>
              <w:jc w:val="right"/>
            </w:pPr>
            <w:r w:rsidRPr="00C078E3">
              <w:t>30 June 2020</w:t>
            </w:r>
          </w:p>
        </w:tc>
        <w:tc>
          <w:tcPr>
            <w:tcW w:w="597" w:type="pct"/>
          </w:tcPr>
          <w:p w14:paraId="463BA6E7" w14:textId="3E2D0CAA" w:rsidR="00CD5841" w:rsidRPr="00CC2ECB" w:rsidRDefault="00CD5841" w:rsidP="00195DA2">
            <w:pPr>
              <w:pStyle w:val="BodyText"/>
              <w:jc w:val="right"/>
            </w:pPr>
            <w:r w:rsidRPr="00C078E3">
              <w:t>9</w:t>
            </w:r>
          </w:p>
        </w:tc>
        <w:tc>
          <w:tcPr>
            <w:tcW w:w="709" w:type="pct"/>
          </w:tcPr>
          <w:p w14:paraId="797ECFCB" w14:textId="2CF8D0A6" w:rsidR="00CD5841" w:rsidRPr="00CC2ECB" w:rsidRDefault="00CD5841" w:rsidP="00195DA2">
            <w:pPr>
              <w:pStyle w:val="BodyText"/>
              <w:jc w:val="right"/>
            </w:pPr>
            <w:r w:rsidRPr="00C078E3">
              <w:t>9</w:t>
            </w:r>
          </w:p>
        </w:tc>
      </w:tr>
      <w:tr w:rsidR="00CD5841" w14:paraId="63DB20A9" w14:textId="77777777" w:rsidTr="00CD5841">
        <w:tc>
          <w:tcPr>
            <w:tcW w:w="1451" w:type="pct"/>
          </w:tcPr>
          <w:p w14:paraId="10FEA390" w14:textId="3DE491F0" w:rsidR="00CD5841" w:rsidRDefault="00CD5841" w:rsidP="00195DA2">
            <w:pPr>
              <w:pStyle w:val="BodyText"/>
            </w:pPr>
            <w:r w:rsidRPr="00C078E3">
              <w:t>Mr Glenn Keys AO</w:t>
            </w:r>
          </w:p>
        </w:tc>
        <w:tc>
          <w:tcPr>
            <w:tcW w:w="623" w:type="pct"/>
          </w:tcPr>
          <w:p w14:paraId="13D58B87" w14:textId="428076A3" w:rsidR="00CD5841" w:rsidRPr="00D536D9" w:rsidRDefault="00CD5841" w:rsidP="00195DA2">
            <w:pPr>
              <w:pStyle w:val="BodyText"/>
              <w:jc w:val="right"/>
              <w:rPr>
                <w:rStyle w:val="BodyTextBold"/>
              </w:rPr>
            </w:pPr>
            <w:r w:rsidRPr="00C078E3">
              <w:t>Member</w:t>
            </w:r>
          </w:p>
        </w:tc>
        <w:tc>
          <w:tcPr>
            <w:tcW w:w="781" w:type="pct"/>
          </w:tcPr>
          <w:p w14:paraId="02568713" w14:textId="16720F08" w:rsidR="00CD5841" w:rsidRPr="00CC2ECB" w:rsidRDefault="00CD5841" w:rsidP="00195DA2">
            <w:pPr>
              <w:pStyle w:val="BodyText"/>
              <w:jc w:val="right"/>
            </w:pPr>
            <w:r w:rsidRPr="00C078E3">
              <w:t>1 July 2013 &amp; 1 July 2017</w:t>
            </w:r>
          </w:p>
        </w:tc>
        <w:tc>
          <w:tcPr>
            <w:tcW w:w="838" w:type="pct"/>
          </w:tcPr>
          <w:p w14:paraId="4C888CE3" w14:textId="04E436AA" w:rsidR="00CD5841" w:rsidRPr="00CC2ECB" w:rsidRDefault="00CD5841" w:rsidP="00195DA2">
            <w:pPr>
              <w:pStyle w:val="BodyText"/>
              <w:jc w:val="right"/>
            </w:pPr>
            <w:r w:rsidRPr="00C078E3">
              <w:t>30 June 2020</w:t>
            </w:r>
          </w:p>
        </w:tc>
        <w:tc>
          <w:tcPr>
            <w:tcW w:w="597" w:type="pct"/>
          </w:tcPr>
          <w:p w14:paraId="2D91C805" w14:textId="417799E8" w:rsidR="00CD5841" w:rsidRPr="00CC2ECB" w:rsidRDefault="00CD5841" w:rsidP="00195DA2">
            <w:pPr>
              <w:pStyle w:val="BodyText"/>
              <w:jc w:val="right"/>
            </w:pPr>
            <w:r w:rsidRPr="00C078E3">
              <w:t>9</w:t>
            </w:r>
          </w:p>
        </w:tc>
        <w:tc>
          <w:tcPr>
            <w:tcW w:w="709" w:type="pct"/>
          </w:tcPr>
          <w:p w14:paraId="4CB33358" w14:textId="6626E403" w:rsidR="00CD5841" w:rsidRPr="00CC2ECB" w:rsidRDefault="00CD5841" w:rsidP="00195DA2">
            <w:pPr>
              <w:pStyle w:val="BodyText"/>
              <w:jc w:val="right"/>
            </w:pPr>
            <w:r w:rsidRPr="00C078E3">
              <w:t>9</w:t>
            </w:r>
          </w:p>
        </w:tc>
      </w:tr>
      <w:tr w:rsidR="00CD5841" w14:paraId="3C32B276" w14:textId="77777777" w:rsidTr="00CD5841">
        <w:tc>
          <w:tcPr>
            <w:tcW w:w="1451" w:type="pct"/>
          </w:tcPr>
          <w:p w14:paraId="6880ED27" w14:textId="6F60B9AC" w:rsidR="00CD5841" w:rsidRDefault="00CD5841" w:rsidP="00195DA2">
            <w:pPr>
              <w:pStyle w:val="BodyText"/>
            </w:pPr>
            <w:r w:rsidRPr="00C078E3">
              <w:t>Ms Robyn Kruk AM</w:t>
            </w:r>
          </w:p>
        </w:tc>
        <w:tc>
          <w:tcPr>
            <w:tcW w:w="623" w:type="pct"/>
          </w:tcPr>
          <w:p w14:paraId="3516D160" w14:textId="1BDCA40D" w:rsidR="00CD5841" w:rsidRDefault="00CD5841" w:rsidP="00195DA2">
            <w:pPr>
              <w:pStyle w:val="BodyText"/>
              <w:jc w:val="right"/>
            </w:pPr>
            <w:r w:rsidRPr="00C078E3">
              <w:t>Member</w:t>
            </w:r>
          </w:p>
        </w:tc>
        <w:tc>
          <w:tcPr>
            <w:tcW w:w="781" w:type="pct"/>
          </w:tcPr>
          <w:p w14:paraId="476B3268" w14:textId="3D27CA87" w:rsidR="00CD5841" w:rsidRPr="00CC2ECB" w:rsidRDefault="00CD5841" w:rsidP="00195DA2">
            <w:pPr>
              <w:pStyle w:val="BodyText"/>
              <w:jc w:val="right"/>
            </w:pPr>
            <w:r w:rsidRPr="00C078E3">
              <w:t>1 January 2017</w:t>
            </w:r>
          </w:p>
        </w:tc>
        <w:tc>
          <w:tcPr>
            <w:tcW w:w="838" w:type="pct"/>
          </w:tcPr>
          <w:p w14:paraId="76799426" w14:textId="791792F1" w:rsidR="00CD5841" w:rsidRPr="00CC2ECB" w:rsidRDefault="00CD5841" w:rsidP="00195DA2">
            <w:pPr>
              <w:pStyle w:val="BodyText"/>
              <w:jc w:val="right"/>
            </w:pPr>
            <w:r w:rsidRPr="00C078E3">
              <w:t>31 December 2019</w:t>
            </w:r>
          </w:p>
        </w:tc>
        <w:tc>
          <w:tcPr>
            <w:tcW w:w="597" w:type="pct"/>
          </w:tcPr>
          <w:p w14:paraId="313563E0" w14:textId="303E95FB" w:rsidR="00CD5841" w:rsidRPr="00CC2ECB" w:rsidRDefault="00CD5841" w:rsidP="00195DA2">
            <w:pPr>
              <w:pStyle w:val="BodyText"/>
              <w:jc w:val="right"/>
            </w:pPr>
            <w:r w:rsidRPr="00C078E3">
              <w:t>5</w:t>
            </w:r>
          </w:p>
        </w:tc>
        <w:tc>
          <w:tcPr>
            <w:tcW w:w="709" w:type="pct"/>
          </w:tcPr>
          <w:p w14:paraId="68455BC5" w14:textId="373CF1DD" w:rsidR="00CD5841" w:rsidRPr="00CC2ECB" w:rsidRDefault="00CD5841" w:rsidP="00195DA2">
            <w:pPr>
              <w:pStyle w:val="BodyText"/>
              <w:jc w:val="right"/>
            </w:pPr>
            <w:r w:rsidRPr="00C078E3">
              <w:t>5</w:t>
            </w:r>
          </w:p>
        </w:tc>
      </w:tr>
      <w:tr w:rsidR="00CD5841" w14:paraId="42C4DC03" w14:textId="77777777" w:rsidTr="00CD5841">
        <w:tc>
          <w:tcPr>
            <w:tcW w:w="1451" w:type="pct"/>
          </w:tcPr>
          <w:p w14:paraId="7FF52D3C" w14:textId="7ABF5E42" w:rsidR="00CD5841" w:rsidRPr="001E3FE1" w:rsidRDefault="00CD5841" w:rsidP="00195DA2">
            <w:pPr>
              <w:pStyle w:val="BodyText"/>
            </w:pPr>
            <w:r w:rsidRPr="00C078E3">
              <w:t>Mr John Langoulant AO</w:t>
            </w:r>
          </w:p>
        </w:tc>
        <w:tc>
          <w:tcPr>
            <w:tcW w:w="623" w:type="pct"/>
          </w:tcPr>
          <w:p w14:paraId="7BD544DD" w14:textId="20FAAE72" w:rsidR="00CD5841" w:rsidRPr="001E3FE1" w:rsidRDefault="00CD5841" w:rsidP="00195DA2">
            <w:pPr>
              <w:pStyle w:val="BodyText"/>
              <w:jc w:val="right"/>
            </w:pPr>
            <w:r w:rsidRPr="00C078E3">
              <w:t>Member</w:t>
            </w:r>
          </w:p>
        </w:tc>
        <w:tc>
          <w:tcPr>
            <w:tcW w:w="781" w:type="pct"/>
          </w:tcPr>
          <w:p w14:paraId="3FBFCC0B" w14:textId="2C7485EC" w:rsidR="00CD5841" w:rsidRPr="001E3FE1" w:rsidRDefault="00CD5841" w:rsidP="00195DA2">
            <w:pPr>
              <w:pStyle w:val="BodyText"/>
              <w:jc w:val="right"/>
            </w:pPr>
            <w:r w:rsidRPr="00C078E3">
              <w:t>1 January 2017</w:t>
            </w:r>
          </w:p>
        </w:tc>
        <w:tc>
          <w:tcPr>
            <w:tcW w:w="838" w:type="pct"/>
          </w:tcPr>
          <w:p w14:paraId="3C03A248" w14:textId="482B92DD" w:rsidR="00CD5841" w:rsidRPr="001E3FE1" w:rsidRDefault="00CD5841" w:rsidP="00195DA2">
            <w:pPr>
              <w:pStyle w:val="BodyText"/>
              <w:jc w:val="right"/>
            </w:pPr>
            <w:r w:rsidRPr="00C078E3">
              <w:t>31 December 2019</w:t>
            </w:r>
          </w:p>
        </w:tc>
        <w:tc>
          <w:tcPr>
            <w:tcW w:w="597" w:type="pct"/>
          </w:tcPr>
          <w:p w14:paraId="7275674A" w14:textId="12912069" w:rsidR="00CD5841" w:rsidRPr="001E3FE1" w:rsidRDefault="00CD5841" w:rsidP="00195DA2">
            <w:pPr>
              <w:pStyle w:val="BodyText"/>
              <w:jc w:val="right"/>
            </w:pPr>
            <w:r w:rsidRPr="00C078E3">
              <w:t>5</w:t>
            </w:r>
          </w:p>
        </w:tc>
        <w:tc>
          <w:tcPr>
            <w:tcW w:w="709" w:type="pct"/>
          </w:tcPr>
          <w:p w14:paraId="1D08787F" w14:textId="455FBA1D" w:rsidR="00CD5841" w:rsidRPr="001E3FE1" w:rsidRDefault="00CD5841" w:rsidP="00195DA2">
            <w:pPr>
              <w:pStyle w:val="BodyText"/>
              <w:jc w:val="right"/>
            </w:pPr>
            <w:r w:rsidRPr="00C078E3">
              <w:t>5</w:t>
            </w:r>
          </w:p>
        </w:tc>
      </w:tr>
      <w:tr w:rsidR="00CD5841" w14:paraId="59DAD38C" w14:textId="77777777" w:rsidTr="00CD5841">
        <w:tc>
          <w:tcPr>
            <w:tcW w:w="1451" w:type="pct"/>
          </w:tcPr>
          <w:p w14:paraId="153945F8" w14:textId="6A77AF11" w:rsidR="00CD5841" w:rsidRPr="001E3FE1" w:rsidRDefault="00CD5841" w:rsidP="00195DA2">
            <w:pPr>
              <w:pStyle w:val="BodyText"/>
            </w:pPr>
            <w:r w:rsidRPr="00C078E3">
              <w:t>Mr Martin Laverty</w:t>
            </w:r>
          </w:p>
        </w:tc>
        <w:tc>
          <w:tcPr>
            <w:tcW w:w="623" w:type="pct"/>
          </w:tcPr>
          <w:p w14:paraId="513DFDA1" w14:textId="42B4C96C" w:rsidR="00CD5841" w:rsidRPr="001E3FE1" w:rsidRDefault="00CD5841" w:rsidP="00195DA2">
            <w:pPr>
              <w:pStyle w:val="BodyText"/>
              <w:jc w:val="right"/>
            </w:pPr>
            <w:r w:rsidRPr="00C078E3">
              <w:t>Member</w:t>
            </w:r>
          </w:p>
        </w:tc>
        <w:tc>
          <w:tcPr>
            <w:tcW w:w="781" w:type="pct"/>
          </w:tcPr>
          <w:p w14:paraId="5237EEB7" w14:textId="10B0BE74" w:rsidR="00CD5841" w:rsidRPr="001E3FE1" w:rsidRDefault="00CD5841" w:rsidP="00195DA2">
            <w:pPr>
              <w:pStyle w:val="BodyText"/>
              <w:jc w:val="right"/>
            </w:pPr>
            <w:r w:rsidRPr="00C078E3">
              <w:t>1 July 2013 &amp; 1 July 2017</w:t>
            </w:r>
          </w:p>
        </w:tc>
        <w:tc>
          <w:tcPr>
            <w:tcW w:w="838" w:type="pct"/>
          </w:tcPr>
          <w:p w14:paraId="46CDCB88" w14:textId="4418FB22" w:rsidR="00CD5841" w:rsidRPr="001E3FE1" w:rsidRDefault="00CD5841" w:rsidP="00195DA2">
            <w:pPr>
              <w:pStyle w:val="BodyText"/>
              <w:jc w:val="right"/>
            </w:pPr>
            <w:r w:rsidRPr="00C078E3">
              <w:t>30 June 2020</w:t>
            </w:r>
          </w:p>
        </w:tc>
        <w:tc>
          <w:tcPr>
            <w:tcW w:w="597" w:type="pct"/>
          </w:tcPr>
          <w:p w14:paraId="6005ED35" w14:textId="47829135" w:rsidR="00CD5841" w:rsidRPr="001E3FE1" w:rsidRDefault="00CD5841" w:rsidP="00195DA2">
            <w:pPr>
              <w:pStyle w:val="BodyText"/>
              <w:jc w:val="right"/>
            </w:pPr>
            <w:r w:rsidRPr="00C078E3">
              <w:t>9</w:t>
            </w:r>
          </w:p>
        </w:tc>
        <w:tc>
          <w:tcPr>
            <w:tcW w:w="709" w:type="pct"/>
          </w:tcPr>
          <w:p w14:paraId="5E69EB0F" w14:textId="40C428BA" w:rsidR="00CD5841" w:rsidRPr="001E3FE1" w:rsidRDefault="00CD5841" w:rsidP="00195DA2">
            <w:pPr>
              <w:pStyle w:val="BodyText"/>
              <w:jc w:val="right"/>
            </w:pPr>
            <w:r w:rsidRPr="00C078E3">
              <w:t>8</w:t>
            </w:r>
          </w:p>
        </w:tc>
      </w:tr>
      <w:tr w:rsidR="00CD5841" w14:paraId="741A5665" w14:textId="77777777" w:rsidTr="00CD5841">
        <w:tc>
          <w:tcPr>
            <w:tcW w:w="1451" w:type="pct"/>
          </w:tcPr>
          <w:p w14:paraId="3AF292ED" w14:textId="095EDA02" w:rsidR="00CD5841" w:rsidRPr="001E3FE1" w:rsidRDefault="00CD5841" w:rsidP="00195DA2">
            <w:pPr>
              <w:pStyle w:val="BodyText"/>
            </w:pPr>
            <w:r w:rsidRPr="00C078E3">
              <w:t>Mr James (Jim) Minto</w:t>
            </w:r>
          </w:p>
        </w:tc>
        <w:tc>
          <w:tcPr>
            <w:tcW w:w="623" w:type="pct"/>
          </w:tcPr>
          <w:p w14:paraId="06FB6B9D" w14:textId="655B4502" w:rsidR="00CD5841" w:rsidRPr="001E3FE1" w:rsidRDefault="00CD5841" w:rsidP="00195DA2">
            <w:pPr>
              <w:pStyle w:val="BodyText"/>
              <w:jc w:val="right"/>
            </w:pPr>
            <w:r w:rsidRPr="00C078E3">
              <w:t>Member</w:t>
            </w:r>
          </w:p>
        </w:tc>
        <w:tc>
          <w:tcPr>
            <w:tcW w:w="781" w:type="pct"/>
          </w:tcPr>
          <w:p w14:paraId="765C0D85" w14:textId="582C990C" w:rsidR="00CD5841" w:rsidRPr="001E3FE1" w:rsidRDefault="00CD5841" w:rsidP="00195DA2">
            <w:pPr>
              <w:pStyle w:val="BodyText"/>
              <w:jc w:val="right"/>
            </w:pPr>
            <w:r w:rsidRPr="00C078E3">
              <w:t>1 January 2017</w:t>
            </w:r>
          </w:p>
        </w:tc>
        <w:tc>
          <w:tcPr>
            <w:tcW w:w="838" w:type="pct"/>
          </w:tcPr>
          <w:p w14:paraId="447F9CF4" w14:textId="6E11C205" w:rsidR="00CD5841" w:rsidRPr="001E3FE1" w:rsidRDefault="00CD5841" w:rsidP="00195DA2">
            <w:pPr>
              <w:pStyle w:val="BodyText"/>
              <w:jc w:val="right"/>
            </w:pPr>
            <w:r w:rsidRPr="00C078E3">
              <w:t>31 December 2019</w:t>
            </w:r>
          </w:p>
        </w:tc>
        <w:tc>
          <w:tcPr>
            <w:tcW w:w="597" w:type="pct"/>
          </w:tcPr>
          <w:p w14:paraId="6EB51D5F" w14:textId="3E6472D3" w:rsidR="00CD5841" w:rsidRPr="001E3FE1" w:rsidRDefault="00CD5841" w:rsidP="00195DA2">
            <w:pPr>
              <w:pStyle w:val="BodyText"/>
              <w:jc w:val="right"/>
            </w:pPr>
            <w:r w:rsidRPr="00C078E3">
              <w:t>5</w:t>
            </w:r>
          </w:p>
        </w:tc>
        <w:tc>
          <w:tcPr>
            <w:tcW w:w="709" w:type="pct"/>
          </w:tcPr>
          <w:p w14:paraId="3534B275" w14:textId="463BB7A9" w:rsidR="00CD5841" w:rsidRPr="001E3FE1" w:rsidRDefault="00CD5841" w:rsidP="00195DA2">
            <w:pPr>
              <w:pStyle w:val="BodyText"/>
              <w:jc w:val="right"/>
            </w:pPr>
            <w:r w:rsidRPr="00C078E3">
              <w:t>5</w:t>
            </w:r>
          </w:p>
        </w:tc>
      </w:tr>
      <w:tr w:rsidR="00CD5841" w14:paraId="64DD166C" w14:textId="77777777" w:rsidTr="00CD5841">
        <w:tc>
          <w:tcPr>
            <w:tcW w:w="1451" w:type="pct"/>
          </w:tcPr>
          <w:p w14:paraId="31715FD9" w14:textId="695A580A" w:rsidR="00CD5841" w:rsidRPr="001E3FE1" w:rsidRDefault="00CD5841" w:rsidP="00195DA2">
            <w:pPr>
              <w:pStyle w:val="BodyText"/>
            </w:pPr>
            <w:r w:rsidRPr="00C078E3">
              <w:t>Mr Paul O’Sullivan</w:t>
            </w:r>
          </w:p>
        </w:tc>
        <w:tc>
          <w:tcPr>
            <w:tcW w:w="623" w:type="pct"/>
          </w:tcPr>
          <w:p w14:paraId="6576C4BF" w14:textId="288B65EB" w:rsidR="00CD5841" w:rsidRPr="001E3FE1" w:rsidRDefault="00CD5841" w:rsidP="00195DA2">
            <w:pPr>
              <w:pStyle w:val="BodyText"/>
              <w:jc w:val="right"/>
            </w:pPr>
            <w:r w:rsidRPr="00C078E3">
              <w:t>Member</w:t>
            </w:r>
          </w:p>
        </w:tc>
        <w:tc>
          <w:tcPr>
            <w:tcW w:w="781" w:type="pct"/>
          </w:tcPr>
          <w:p w14:paraId="1866C714" w14:textId="33969705" w:rsidR="00CD5841" w:rsidRPr="001E3FE1" w:rsidRDefault="00CD5841" w:rsidP="00195DA2">
            <w:pPr>
              <w:pStyle w:val="BodyText"/>
              <w:jc w:val="right"/>
            </w:pPr>
            <w:r w:rsidRPr="00C078E3">
              <w:t>1 January 2017</w:t>
            </w:r>
          </w:p>
        </w:tc>
        <w:tc>
          <w:tcPr>
            <w:tcW w:w="838" w:type="pct"/>
          </w:tcPr>
          <w:p w14:paraId="39F00F20" w14:textId="4B44E58C" w:rsidR="00CD5841" w:rsidRPr="001E3FE1" w:rsidRDefault="00CD5841" w:rsidP="00195DA2">
            <w:pPr>
              <w:pStyle w:val="BodyText"/>
              <w:jc w:val="right"/>
            </w:pPr>
            <w:r w:rsidRPr="00C078E3">
              <w:t>31 December 2019</w:t>
            </w:r>
          </w:p>
        </w:tc>
        <w:tc>
          <w:tcPr>
            <w:tcW w:w="597" w:type="pct"/>
          </w:tcPr>
          <w:p w14:paraId="498115B1" w14:textId="4F17DE6C" w:rsidR="00CD5841" w:rsidRPr="001E3FE1" w:rsidRDefault="00CD5841" w:rsidP="00195DA2">
            <w:pPr>
              <w:pStyle w:val="BodyText"/>
              <w:jc w:val="right"/>
            </w:pPr>
            <w:r w:rsidRPr="00C078E3">
              <w:t>5</w:t>
            </w:r>
          </w:p>
        </w:tc>
        <w:tc>
          <w:tcPr>
            <w:tcW w:w="709" w:type="pct"/>
          </w:tcPr>
          <w:p w14:paraId="782A03AF" w14:textId="1C959499" w:rsidR="00CD5841" w:rsidRPr="001E3FE1" w:rsidRDefault="00CD5841" w:rsidP="00195DA2">
            <w:pPr>
              <w:pStyle w:val="BodyText"/>
              <w:jc w:val="right"/>
            </w:pPr>
            <w:r w:rsidRPr="00C078E3">
              <w:t>4</w:t>
            </w:r>
          </w:p>
        </w:tc>
      </w:tr>
      <w:tr w:rsidR="00CD5841" w14:paraId="6E347932" w14:textId="77777777" w:rsidTr="00CD5841">
        <w:tc>
          <w:tcPr>
            <w:tcW w:w="1451" w:type="pct"/>
          </w:tcPr>
          <w:p w14:paraId="10B20847" w14:textId="0D3CBAE2" w:rsidR="00CD5841" w:rsidRPr="001E3FE1" w:rsidRDefault="00CD5841" w:rsidP="00195DA2">
            <w:pPr>
              <w:pStyle w:val="BodyText"/>
            </w:pPr>
            <w:r w:rsidRPr="00C078E3">
              <w:t>Ms Estelle Pearson</w:t>
            </w:r>
          </w:p>
        </w:tc>
        <w:tc>
          <w:tcPr>
            <w:tcW w:w="623" w:type="pct"/>
          </w:tcPr>
          <w:p w14:paraId="18F43382" w14:textId="646B783F" w:rsidR="00CD5841" w:rsidRPr="001E3FE1" w:rsidRDefault="00CD5841" w:rsidP="00195DA2">
            <w:pPr>
              <w:pStyle w:val="BodyText"/>
              <w:jc w:val="right"/>
            </w:pPr>
            <w:r w:rsidRPr="00C078E3">
              <w:t>Member</w:t>
            </w:r>
          </w:p>
        </w:tc>
        <w:tc>
          <w:tcPr>
            <w:tcW w:w="781" w:type="pct"/>
          </w:tcPr>
          <w:p w14:paraId="6B68C00A" w14:textId="7C0B2AA6" w:rsidR="00CD5841" w:rsidRPr="001E3FE1" w:rsidRDefault="00CD5841" w:rsidP="00195DA2">
            <w:pPr>
              <w:pStyle w:val="BodyText"/>
              <w:jc w:val="right"/>
            </w:pPr>
            <w:r w:rsidRPr="00C078E3">
              <w:t>1 January 2017</w:t>
            </w:r>
          </w:p>
        </w:tc>
        <w:tc>
          <w:tcPr>
            <w:tcW w:w="838" w:type="pct"/>
          </w:tcPr>
          <w:p w14:paraId="2C9C3A38" w14:textId="0F6FEC69" w:rsidR="00CD5841" w:rsidRPr="001E3FE1" w:rsidRDefault="00CD5841" w:rsidP="00195DA2">
            <w:pPr>
              <w:pStyle w:val="BodyText"/>
              <w:jc w:val="right"/>
            </w:pPr>
            <w:r w:rsidRPr="00C078E3">
              <w:t>31 December 2019</w:t>
            </w:r>
          </w:p>
        </w:tc>
        <w:tc>
          <w:tcPr>
            <w:tcW w:w="597" w:type="pct"/>
          </w:tcPr>
          <w:p w14:paraId="0072301E" w14:textId="7F3AB983" w:rsidR="00CD5841" w:rsidRPr="001E3FE1" w:rsidRDefault="00CD5841" w:rsidP="00195DA2">
            <w:pPr>
              <w:pStyle w:val="BodyText"/>
              <w:jc w:val="right"/>
            </w:pPr>
            <w:r w:rsidRPr="00C078E3">
              <w:t>5</w:t>
            </w:r>
          </w:p>
        </w:tc>
        <w:tc>
          <w:tcPr>
            <w:tcW w:w="709" w:type="pct"/>
          </w:tcPr>
          <w:p w14:paraId="37ACA419" w14:textId="11B93CCF" w:rsidR="00CD5841" w:rsidRPr="001E3FE1" w:rsidRDefault="00CD5841" w:rsidP="00195DA2">
            <w:pPr>
              <w:pStyle w:val="BodyText"/>
              <w:jc w:val="right"/>
            </w:pPr>
            <w:r w:rsidRPr="00C078E3">
              <w:t>3</w:t>
            </w:r>
          </w:p>
        </w:tc>
      </w:tr>
      <w:tr w:rsidR="00CD5841" w:rsidRPr="00195B3E" w14:paraId="3D400A68" w14:textId="77777777" w:rsidTr="00CD5841">
        <w:tc>
          <w:tcPr>
            <w:tcW w:w="1451" w:type="pct"/>
          </w:tcPr>
          <w:p w14:paraId="6E1A686D" w14:textId="66D8553C" w:rsidR="00CD5841" w:rsidRPr="00195B3E" w:rsidRDefault="00CD5841" w:rsidP="00195DA2">
            <w:pPr>
              <w:pStyle w:val="BodyText"/>
              <w:rPr>
                <w:b/>
              </w:rPr>
            </w:pPr>
            <w:r w:rsidRPr="00C078E3">
              <w:t>Ms Andrea Staines</w:t>
            </w:r>
          </w:p>
        </w:tc>
        <w:tc>
          <w:tcPr>
            <w:tcW w:w="623" w:type="pct"/>
          </w:tcPr>
          <w:p w14:paraId="062501C8" w14:textId="130166B9" w:rsidR="00CD5841" w:rsidRPr="00195B3E" w:rsidRDefault="00CD5841" w:rsidP="00195DA2">
            <w:pPr>
              <w:pStyle w:val="BodyText"/>
              <w:jc w:val="right"/>
              <w:rPr>
                <w:b/>
              </w:rPr>
            </w:pPr>
            <w:r w:rsidRPr="00C078E3">
              <w:t>Member</w:t>
            </w:r>
          </w:p>
        </w:tc>
        <w:tc>
          <w:tcPr>
            <w:tcW w:w="781" w:type="pct"/>
          </w:tcPr>
          <w:p w14:paraId="54C20396" w14:textId="0A7E5822" w:rsidR="00CD5841" w:rsidRPr="00195B3E" w:rsidRDefault="00CD5841" w:rsidP="00195DA2">
            <w:pPr>
              <w:pStyle w:val="BodyText"/>
              <w:jc w:val="right"/>
              <w:rPr>
                <w:b/>
              </w:rPr>
            </w:pPr>
            <w:r w:rsidRPr="00C078E3">
              <w:t>1 January 2017</w:t>
            </w:r>
          </w:p>
        </w:tc>
        <w:tc>
          <w:tcPr>
            <w:tcW w:w="838" w:type="pct"/>
          </w:tcPr>
          <w:p w14:paraId="32107898" w14:textId="41D94336" w:rsidR="00CD5841" w:rsidRPr="00195B3E" w:rsidRDefault="00CD5841" w:rsidP="00195DA2">
            <w:pPr>
              <w:pStyle w:val="BodyText"/>
              <w:jc w:val="right"/>
              <w:rPr>
                <w:b/>
              </w:rPr>
            </w:pPr>
            <w:r w:rsidRPr="00C078E3">
              <w:t>31 December 2019</w:t>
            </w:r>
          </w:p>
        </w:tc>
        <w:tc>
          <w:tcPr>
            <w:tcW w:w="597" w:type="pct"/>
          </w:tcPr>
          <w:p w14:paraId="3CEF36A9" w14:textId="26330F2B" w:rsidR="00CD5841" w:rsidRPr="00195B3E" w:rsidRDefault="00CD5841" w:rsidP="00195DA2">
            <w:pPr>
              <w:pStyle w:val="BodyText"/>
              <w:jc w:val="right"/>
              <w:rPr>
                <w:b/>
              </w:rPr>
            </w:pPr>
            <w:r w:rsidRPr="00C078E3">
              <w:t>5</w:t>
            </w:r>
          </w:p>
        </w:tc>
        <w:tc>
          <w:tcPr>
            <w:tcW w:w="709" w:type="pct"/>
          </w:tcPr>
          <w:p w14:paraId="4010CA43" w14:textId="2ACF1BB2" w:rsidR="00CD5841" w:rsidRPr="00195B3E" w:rsidRDefault="00CD5841" w:rsidP="00195DA2">
            <w:pPr>
              <w:pStyle w:val="BodyText"/>
              <w:jc w:val="right"/>
              <w:rPr>
                <w:b/>
              </w:rPr>
            </w:pPr>
            <w:r w:rsidRPr="00C078E3">
              <w:t>4</w:t>
            </w:r>
          </w:p>
        </w:tc>
      </w:tr>
      <w:tr w:rsidR="00CD5841" w:rsidRPr="00195B3E" w14:paraId="1C1A1FA9" w14:textId="77777777" w:rsidTr="00CD5841">
        <w:tc>
          <w:tcPr>
            <w:tcW w:w="1451" w:type="pct"/>
          </w:tcPr>
          <w:p w14:paraId="4C2DEA4F" w14:textId="66663475" w:rsidR="00CD5841" w:rsidRPr="00195B3E" w:rsidRDefault="00CD5841" w:rsidP="00195DA2">
            <w:pPr>
              <w:pStyle w:val="BodyText"/>
              <w:rPr>
                <w:b/>
              </w:rPr>
            </w:pPr>
            <w:r w:rsidRPr="00C078E3">
              <w:t>Mr John Walsh AM</w:t>
            </w:r>
          </w:p>
        </w:tc>
        <w:tc>
          <w:tcPr>
            <w:tcW w:w="623" w:type="pct"/>
          </w:tcPr>
          <w:p w14:paraId="1882ADD2" w14:textId="79F76091" w:rsidR="00CD5841" w:rsidRPr="00195B3E" w:rsidRDefault="00CD5841" w:rsidP="00195DA2">
            <w:pPr>
              <w:pStyle w:val="BodyText"/>
              <w:jc w:val="right"/>
              <w:rPr>
                <w:b/>
              </w:rPr>
            </w:pPr>
            <w:r w:rsidRPr="00C078E3">
              <w:t>Member</w:t>
            </w:r>
          </w:p>
        </w:tc>
        <w:tc>
          <w:tcPr>
            <w:tcW w:w="781" w:type="pct"/>
          </w:tcPr>
          <w:p w14:paraId="685311F3" w14:textId="22408261" w:rsidR="00CD5841" w:rsidRPr="00195B3E" w:rsidRDefault="00CD5841" w:rsidP="00195DA2">
            <w:pPr>
              <w:pStyle w:val="BodyText"/>
              <w:jc w:val="right"/>
              <w:rPr>
                <w:b/>
              </w:rPr>
            </w:pPr>
            <w:r w:rsidRPr="00C078E3">
              <w:t>1 July 2013 &amp; 1 July 2017</w:t>
            </w:r>
          </w:p>
        </w:tc>
        <w:tc>
          <w:tcPr>
            <w:tcW w:w="838" w:type="pct"/>
          </w:tcPr>
          <w:p w14:paraId="55E48E1D" w14:textId="1FD685B4" w:rsidR="00CD5841" w:rsidRPr="00195B3E" w:rsidRDefault="00CD5841" w:rsidP="00195DA2">
            <w:pPr>
              <w:pStyle w:val="BodyText"/>
              <w:jc w:val="right"/>
              <w:rPr>
                <w:b/>
              </w:rPr>
            </w:pPr>
            <w:r w:rsidRPr="00C078E3">
              <w:t>30 June 2020</w:t>
            </w:r>
          </w:p>
        </w:tc>
        <w:tc>
          <w:tcPr>
            <w:tcW w:w="597" w:type="pct"/>
          </w:tcPr>
          <w:p w14:paraId="3C2CCB86" w14:textId="03D4024B" w:rsidR="00CD5841" w:rsidRPr="00195B3E" w:rsidRDefault="00CD5841" w:rsidP="00195DA2">
            <w:pPr>
              <w:pStyle w:val="BodyText"/>
              <w:jc w:val="right"/>
              <w:rPr>
                <w:b/>
              </w:rPr>
            </w:pPr>
            <w:r w:rsidRPr="00C078E3">
              <w:t>9</w:t>
            </w:r>
          </w:p>
        </w:tc>
        <w:tc>
          <w:tcPr>
            <w:tcW w:w="709" w:type="pct"/>
          </w:tcPr>
          <w:p w14:paraId="1D88971E" w14:textId="776897B0" w:rsidR="00CD5841" w:rsidRPr="00195B3E" w:rsidRDefault="00CD5841" w:rsidP="00195DA2">
            <w:pPr>
              <w:pStyle w:val="BodyText"/>
              <w:jc w:val="right"/>
              <w:rPr>
                <w:b/>
              </w:rPr>
            </w:pPr>
            <w:r w:rsidRPr="00C078E3">
              <w:t>9</w:t>
            </w:r>
          </w:p>
        </w:tc>
      </w:tr>
      <w:tr w:rsidR="00CD5841" w:rsidRPr="00195B3E" w14:paraId="61BD1EF4" w14:textId="77777777" w:rsidTr="00CD5841">
        <w:tc>
          <w:tcPr>
            <w:tcW w:w="1451" w:type="pct"/>
          </w:tcPr>
          <w:p w14:paraId="0A4B6F57" w14:textId="02902DBB" w:rsidR="00CD5841" w:rsidRPr="00195B3E" w:rsidRDefault="00CD5841" w:rsidP="00195DA2">
            <w:pPr>
              <w:pStyle w:val="BodyText"/>
              <w:rPr>
                <w:b/>
              </w:rPr>
            </w:pPr>
            <w:r w:rsidRPr="00C078E3">
              <w:t>Mr Bruce Bonyhady AM</w:t>
            </w:r>
          </w:p>
        </w:tc>
        <w:tc>
          <w:tcPr>
            <w:tcW w:w="623" w:type="pct"/>
          </w:tcPr>
          <w:p w14:paraId="0AFB06DE" w14:textId="70371CE6" w:rsidR="00CD5841" w:rsidRPr="00195B3E" w:rsidRDefault="00CD5841" w:rsidP="00195DA2">
            <w:pPr>
              <w:pStyle w:val="BodyText"/>
              <w:jc w:val="right"/>
              <w:rPr>
                <w:b/>
              </w:rPr>
            </w:pPr>
            <w:r w:rsidRPr="00C078E3">
              <w:t>Former Chair</w:t>
            </w:r>
          </w:p>
        </w:tc>
        <w:tc>
          <w:tcPr>
            <w:tcW w:w="781" w:type="pct"/>
          </w:tcPr>
          <w:p w14:paraId="5B433735" w14:textId="0D5C85B7" w:rsidR="00CD5841" w:rsidRPr="00195B3E" w:rsidRDefault="00CD5841" w:rsidP="00195DA2">
            <w:pPr>
              <w:pStyle w:val="BodyText"/>
              <w:jc w:val="right"/>
              <w:rPr>
                <w:b/>
              </w:rPr>
            </w:pPr>
            <w:r w:rsidRPr="00C078E3">
              <w:t>1 July 2013</w:t>
            </w:r>
          </w:p>
        </w:tc>
        <w:tc>
          <w:tcPr>
            <w:tcW w:w="838" w:type="pct"/>
          </w:tcPr>
          <w:p w14:paraId="3CA9CDD0" w14:textId="31828616" w:rsidR="00CD5841" w:rsidRPr="00195B3E" w:rsidRDefault="00CD5841" w:rsidP="00195DA2">
            <w:pPr>
              <w:pStyle w:val="BodyText"/>
              <w:jc w:val="right"/>
              <w:rPr>
                <w:b/>
              </w:rPr>
            </w:pPr>
            <w:r w:rsidRPr="00C078E3">
              <w:t>31 December 2016</w:t>
            </w:r>
          </w:p>
        </w:tc>
        <w:tc>
          <w:tcPr>
            <w:tcW w:w="597" w:type="pct"/>
          </w:tcPr>
          <w:p w14:paraId="59496B12" w14:textId="775ED434" w:rsidR="00CD5841" w:rsidRPr="00195B3E" w:rsidRDefault="00CD5841" w:rsidP="00195DA2">
            <w:pPr>
              <w:pStyle w:val="BodyText"/>
              <w:jc w:val="right"/>
              <w:rPr>
                <w:b/>
              </w:rPr>
            </w:pPr>
            <w:r w:rsidRPr="00C078E3">
              <w:t>4</w:t>
            </w:r>
          </w:p>
        </w:tc>
        <w:tc>
          <w:tcPr>
            <w:tcW w:w="709" w:type="pct"/>
          </w:tcPr>
          <w:p w14:paraId="709D6874" w14:textId="0BFFC368" w:rsidR="00CD5841" w:rsidRPr="00195B3E" w:rsidRDefault="00CD5841" w:rsidP="00195DA2">
            <w:pPr>
              <w:pStyle w:val="BodyText"/>
              <w:jc w:val="right"/>
              <w:rPr>
                <w:b/>
              </w:rPr>
            </w:pPr>
            <w:r w:rsidRPr="00C078E3">
              <w:t>4</w:t>
            </w:r>
          </w:p>
        </w:tc>
      </w:tr>
      <w:tr w:rsidR="00CD5841" w:rsidRPr="00195B3E" w14:paraId="23DB522E" w14:textId="77777777" w:rsidTr="00CD5841">
        <w:tc>
          <w:tcPr>
            <w:tcW w:w="1451" w:type="pct"/>
          </w:tcPr>
          <w:p w14:paraId="6C4BE29D" w14:textId="6DF831A3" w:rsidR="00CD5841" w:rsidRPr="00195B3E" w:rsidRDefault="00CD5841" w:rsidP="00195DA2">
            <w:pPr>
              <w:pStyle w:val="BodyText"/>
              <w:rPr>
                <w:b/>
              </w:rPr>
            </w:pPr>
            <w:r w:rsidRPr="00C078E3">
              <w:t>Ms Fiona Payne</w:t>
            </w:r>
          </w:p>
        </w:tc>
        <w:tc>
          <w:tcPr>
            <w:tcW w:w="623" w:type="pct"/>
          </w:tcPr>
          <w:p w14:paraId="3641A12A" w14:textId="659537A5" w:rsidR="00CD5841" w:rsidRPr="00195B3E" w:rsidRDefault="00CD5841" w:rsidP="00195DA2">
            <w:pPr>
              <w:pStyle w:val="BodyText"/>
              <w:jc w:val="right"/>
              <w:rPr>
                <w:b/>
              </w:rPr>
            </w:pPr>
            <w:r w:rsidRPr="00C078E3">
              <w:t>Former Member</w:t>
            </w:r>
          </w:p>
        </w:tc>
        <w:tc>
          <w:tcPr>
            <w:tcW w:w="781" w:type="pct"/>
          </w:tcPr>
          <w:p w14:paraId="0ED0931D" w14:textId="2884917B" w:rsidR="00CD5841" w:rsidRPr="00195B3E" w:rsidRDefault="00CD5841" w:rsidP="00195DA2">
            <w:pPr>
              <w:pStyle w:val="BodyText"/>
              <w:jc w:val="right"/>
              <w:rPr>
                <w:b/>
              </w:rPr>
            </w:pPr>
            <w:r w:rsidRPr="00C078E3">
              <w:t>1 July 2013</w:t>
            </w:r>
          </w:p>
        </w:tc>
        <w:tc>
          <w:tcPr>
            <w:tcW w:w="838" w:type="pct"/>
          </w:tcPr>
          <w:p w14:paraId="72A8849E" w14:textId="00CDDBAD" w:rsidR="00CD5841" w:rsidRPr="00195B3E" w:rsidRDefault="00CD5841" w:rsidP="00195DA2">
            <w:pPr>
              <w:pStyle w:val="BodyText"/>
              <w:jc w:val="right"/>
              <w:rPr>
                <w:b/>
              </w:rPr>
            </w:pPr>
            <w:r w:rsidRPr="00C078E3">
              <w:t>31 December 2016</w:t>
            </w:r>
          </w:p>
        </w:tc>
        <w:tc>
          <w:tcPr>
            <w:tcW w:w="597" w:type="pct"/>
          </w:tcPr>
          <w:p w14:paraId="45F48D5F" w14:textId="747133F7" w:rsidR="00CD5841" w:rsidRPr="00195B3E" w:rsidRDefault="00CD5841" w:rsidP="00195DA2">
            <w:pPr>
              <w:pStyle w:val="BodyText"/>
              <w:jc w:val="right"/>
              <w:rPr>
                <w:b/>
              </w:rPr>
            </w:pPr>
            <w:r w:rsidRPr="00C078E3">
              <w:t>4</w:t>
            </w:r>
          </w:p>
        </w:tc>
        <w:tc>
          <w:tcPr>
            <w:tcW w:w="709" w:type="pct"/>
          </w:tcPr>
          <w:p w14:paraId="51E0459C" w14:textId="35E38CCF" w:rsidR="00CD5841" w:rsidRPr="00195B3E" w:rsidRDefault="00CD5841" w:rsidP="00195DA2">
            <w:pPr>
              <w:pStyle w:val="BodyText"/>
              <w:jc w:val="right"/>
              <w:rPr>
                <w:b/>
              </w:rPr>
            </w:pPr>
            <w:r w:rsidRPr="00C078E3">
              <w:t>4</w:t>
            </w:r>
          </w:p>
        </w:tc>
      </w:tr>
      <w:tr w:rsidR="00CD5841" w:rsidRPr="00195B3E" w14:paraId="7C8E727C" w14:textId="77777777" w:rsidTr="00CD5841">
        <w:tc>
          <w:tcPr>
            <w:tcW w:w="1451" w:type="pct"/>
          </w:tcPr>
          <w:p w14:paraId="31301FE1" w14:textId="759DACCD" w:rsidR="00CD5841" w:rsidRPr="00195B3E" w:rsidRDefault="00CD5841" w:rsidP="00195DA2">
            <w:pPr>
              <w:pStyle w:val="BodyText"/>
              <w:rPr>
                <w:b/>
              </w:rPr>
            </w:pPr>
            <w:r w:rsidRPr="00C078E3">
              <w:t>Ms Geraldine Harwood</w:t>
            </w:r>
          </w:p>
        </w:tc>
        <w:tc>
          <w:tcPr>
            <w:tcW w:w="623" w:type="pct"/>
          </w:tcPr>
          <w:p w14:paraId="1E43C764" w14:textId="3CFB18E1" w:rsidR="00CD5841" w:rsidRPr="00195B3E" w:rsidRDefault="00CD5841" w:rsidP="00195DA2">
            <w:pPr>
              <w:pStyle w:val="BodyText"/>
              <w:jc w:val="right"/>
              <w:rPr>
                <w:b/>
              </w:rPr>
            </w:pPr>
            <w:r w:rsidRPr="00C078E3">
              <w:t>Former Member</w:t>
            </w:r>
          </w:p>
        </w:tc>
        <w:tc>
          <w:tcPr>
            <w:tcW w:w="781" w:type="pct"/>
          </w:tcPr>
          <w:p w14:paraId="29451A33" w14:textId="07F63281" w:rsidR="00CD5841" w:rsidRPr="00195B3E" w:rsidRDefault="00CD5841" w:rsidP="00195DA2">
            <w:pPr>
              <w:pStyle w:val="BodyText"/>
              <w:jc w:val="right"/>
              <w:rPr>
                <w:b/>
              </w:rPr>
            </w:pPr>
            <w:r w:rsidRPr="00C078E3">
              <w:t>1 July 2013</w:t>
            </w:r>
          </w:p>
        </w:tc>
        <w:tc>
          <w:tcPr>
            <w:tcW w:w="838" w:type="pct"/>
          </w:tcPr>
          <w:p w14:paraId="5B0AEC52" w14:textId="0AFC2C46" w:rsidR="00CD5841" w:rsidRPr="00195B3E" w:rsidRDefault="00CD5841" w:rsidP="00195DA2">
            <w:pPr>
              <w:pStyle w:val="BodyText"/>
              <w:jc w:val="right"/>
              <w:rPr>
                <w:b/>
              </w:rPr>
            </w:pPr>
            <w:r w:rsidRPr="00C078E3">
              <w:t>31 December 2016</w:t>
            </w:r>
          </w:p>
        </w:tc>
        <w:tc>
          <w:tcPr>
            <w:tcW w:w="597" w:type="pct"/>
          </w:tcPr>
          <w:p w14:paraId="4D18DECE" w14:textId="073B2FC2" w:rsidR="00CD5841" w:rsidRPr="00195B3E" w:rsidRDefault="00CD5841" w:rsidP="00195DA2">
            <w:pPr>
              <w:pStyle w:val="BodyText"/>
              <w:jc w:val="right"/>
              <w:rPr>
                <w:b/>
              </w:rPr>
            </w:pPr>
            <w:r w:rsidRPr="00C078E3">
              <w:t>4</w:t>
            </w:r>
          </w:p>
        </w:tc>
        <w:tc>
          <w:tcPr>
            <w:tcW w:w="709" w:type="pct"/>
          </w:tcPr>
          <w:p w14:paraId="4E285695" w14:textId="04A3CD0B" w:rsidR="00CD5841" w:rsidRPr="00195B3E" w:rsidRDefault="00CD5841" w:rsidP="00195DA2">
            <w:pPr>
              <w:pStyle w:val="BodyText"/>
              <w:jc w:val="right"/>
              <w:rPr>
                <w:b/>
              </w:rPr>
            </w:pPr>
            <w:r w:rsidRPr="00C078E3">
              <w:t>4</w:t>
            </w:r>
          </w:p>
        </w:tc>
      </w:tr>
      <w:tr w:rsidR="00CD5841" w:rsidRPr="00195B3E" w14:paraId="61BEF1C9" w14:textId="77777777" w:rsidTr="00CD5841">
        <w:tc>
          <w:tcPr>
            <w:tcW w:w="1451" w:type="pct"/>
          </w:tcPr>
          <w:p w14:paraId="397770E6" w14:textId="29D749A4" w:rsidR="00CD5841" w:rsidRPr="00C078E3" w:rsidRDefault="00CD5841" w:rsidP="00195DA2">
            <w:pPr>
              <w:pStyle w:val="BodyText"/>
            </w:pPr>
            <w:r w:rsidRPr="00BC58DB">
              <w:t>Mr John Hill PSM</w:t>
            </w:r>
          </w:p>
        </w:tc>
        <w:tc>
          <w:tcPr>
            <w:tcW w:w="623" w:type="pct"/>
          </w:tcPr>
          <w:p w14:paraId="3632F45B" w14:textId="4330E8FA" w:rsidR="00CD5841" w:rsidRPr="00C078E3" w:rsidRDefault="00CD5841" w:rsidP="00195DA2">
            <w:pPr>
              <w:pStyle w:val="BodyText"/>
              <w:jc w:val="right"/>
            </w:pPr>
            <w:r w:rsidRPr="00BC58DB">
              <w:t>Former Member</w:t>
            </w:r>
          </w:p>
        </w:tc>
        <w:tc>
          <w:tcPr>
            <w:tcW w:w="781" w:type="pct"/>
          </w:tcPr>
          <w:p w14:paraId="5BD527DD" w14:textId="466694D7" w:rsidR="00CD5841" w:rsidRPr="00C078E3" w:rsidRDefault="00CD5841" w:rsidP="00195DA2">
            <w:pPr>
              <w:pStyle w:val="BodyText"/>
              <w:jc w:val="right"/>
            </w:pPr>
            <w:r w:rsidRPr="00BC58DB">
              <w:t>1 July 2013</w:t>
            </w:r>
          </w:p>
        </w:tc>
        <w:tc>
          <w:tcPr>
            <w:tcW w:w="838" w:type="pct"/>
          </w:tcPr>
          <w:p w14:paraId="1B673D34" w14:textId="6868C3A9" w:rsidR="00CD5841" w:rsidRPr="00C078E3" w:rsidRDefault="00CD5841" w:rsidP="00195DA2">
            <w:pPr>
              <w:pStyle w:val="BodyText"/>
              <w:jc w:val="right"/>
            </w:pPr>
            <w:r w:rsidRPr="00BC58DB">
              <w:t>31 December 2016</w:t>
            </w:r>
          </w:p>
        </w:tc>
        <w:tc>
          <w:tcPr>
            <w:tcW w:w="597" w:type="pct"/>
          </w:tcPr>
          <w:p w14:paraId="62A3A74A" w14:textId="16271625" w:rsidR="00CD5841" w:rsidRPr="00C078E3" w:rsidRDefault="00CD5841" w:rsidP="00195DA2">
            <w:pPr>
              <w:pStyle w:val="BodyText"/>
              <w:jc w:val="right"/>
            </w:pPr>
            <w:r w:rsidRPr="00BC58DB">
              <w:t>4</w:t>
            </w:r>
          </w:p>
        </w:tc>
        <w:tc>
          <w:tcPr>
            <w:tcW w:w="709" w:type="pct"/>
          </w:tcPr>
          <w:p w14:paraId="3B55B2F3" w14:textId="7489448F" w:rsidR="00CD5841" w:rsidRPr="00C078E3" w:rsidRDefault="00CD5841" w:rsidP="00195DA2">
            <w:pPr>
              <w:pStyle w:val="BodyText"/>
              <w:jc w:val="right"/>
            </w:pPr>
            <w:r w:rsidRPr="00BC58DB">
              <w:t>4</w:t>
            </w:r>
          </w:p>
        </w:tc>
      </w:tr>
    </w:tbl>
    <w:p w14:paraId="47B20659" w14:textId="77777777" w:rsidR="00F56B03" w:rsidRDefault="00F56B03" w:rsidP="00F56B03">
      <w:pPr>
        <w:pStyle w:val="Heading2"/>
      </w:pPr>
      <w:bookmarkStart w:id="316" w:name="_Toc496611922"/>
      <w:r>
        <w:t>Appendix 3: Administrative Appeals Tribunal (AAT) reviews and decisions 2016-17</w:t>
      </w:r>
      <w:bookmarkEnd w:id="316"/>
    </w:p>
    <w:p w14:paraId="13AA7075" w14:textId="77777777" w:rsidR="00F56B03" w:rsidRDefault="00F56B03" w:rsidP="00F56B03">
      <w:pPr>
        <w:pStyle w:val="Heading4tables"/>
      </w:pPr>
      <w:bookmarkStart w:id="317" w:name="_Toc496611813"/>
      <w:r>
        <w:t>Table 15: AAT reviews 2016-17</w:t>
      </w:r>
      <w:bookmarkEnd w:id="317"/>
    </w:p>
    <w:tbl>
      <w:tblPr>
        <w:tblStyle w:val="TableGrid"/>
        <w:tblW w:w="0" w:type="auto"/>
        <w:tblInd w:w="-2" w:type="dxa"/>
        <w:tblLayout w:type="fixed"/>
        <w:tblLook w:val="04A0" w:firstRow="1" w:lastRow="0" w:firstColumn="1" w:lastColumn="0" w:noHBand="0" w:noVBand="1"/>
        <w:tblDescription w:val="Table 15: AAT reviews 2016-17"/>
      </w:tblPr>
      <w:tblGrid>
        <w:gridCol w:w="3686"/>
        <w:gridCol w:w="2977"/>
        <w:gridCol w:w="3402"/>
      </w:tblGrid>
      <w:tr w:rsidR="00805DE3" w14:paraId="53BF82A7" w14:textId="77777777" w:rsidTr="003F47B7">
        <w:trPr>
          <w:trHeight w:val="537"/>
          <w:tblHeader/>
        </w:trPr>
        <w:tc>
          <w:tcPr>
            <w:tcW w:w="3686" w:type="dxa"/>
            <w:shd w:val="clear" w:color="auto" w:fill="6B2976" w:themeFill="background2"/>
          </w:tcPr>
          <w:p w14:paraId="086E2338" w14:textId="27435E3A" w:rsidR="00805DE3" w:rsidRPr="00465BCE" w:rsidRDefault="00805DE3" w:rsidP="00195DA2">
            <w:pPr>
              <w:pStyle w:val="TableTitle"/>
            </w:pPr>
            <w:bookmarkStart w:id="318" w:name="Title_Table15"/>
            <w:r w:rsidRPr="00023D2D">
              <w:t>Matter</w:t>
            </w:r>
          </w:p>
        </w:tc>
        <w:tc>
          <w:tcPr>
            <w:tcW w:w="2977" w:type="dxa"/>
            <w:shd w:val="clear" w:color="auto" w:fill="6B2976" w:themeFill="background2"/>
          </w:tcPr>
          <w:p w14:paraId="0449C2B0" w14:textId="53F82CC7" w:rsidR="00805DE3" w:rsidRPr="009755FC" w:rsidRDefault="00805DE3" w:rsidP="00805DE3">
            <w:pPr>
              <w:pStyle w:val="TableTitle"/>
            </w:pPr>
            <w:r w:rsidRPr="00023D2D">
              <w:t>Decision under review</w:t>
            </w:r>
          </w:p>
        </w:tc>
        <w:tc>
          <w:tcPr>
            <w:tcW w:w="3402" w:type="dxa"/>
            <w:shd w:val="clear" w:color="auto" w:fill="6B2976" w:themeFill="background2"/>
          </w:tcPr>
          <w:p w14:paraId="1CBE834B" w14:textId="49291542" w:rsidR="00805DE3" w:rsidRPr="009755FC" w:rsidRDefault="00805DE3" w:rsidP="00805DE3">
            <w:pPr>
              <w:pStyle w:val="TableTitle"/>
            </w:pPr>
            <w:r w:rsidRPr="00023D2D">
              <w:t>AAT Decision</w:t>
            </w:r>
          </w:p>
        </w:tc>
      </w:tr>
      <w:bookmarkEnd w:id="318"/>
      <w:tr w:rsidR="00805DE3" w:rsidRPr="00164634" w14:paraId="6B1A316D" w14:textId="77777777" w:rsidTr="00805DE3">
        <w:tc>
          <w:tcPr>
            <w:tcW w:w="3686" w:type="dxa"/>
          </w:tcPr>
          <w:p w14:paraId="750432A2" w14:textId="41621F11" w:rsidR="00805DE3" w:rsidRPr="00164634" w:rsidRDefault="00805DE3" w:rsidP="00195DA2">
            <w:pPr>
              <w:pStyle w:val="BodyText"/>
              <w:rPr>
                <w:b/>
              </w:rPr>
            </w:pPr>
            <w:r w:rsidRPr="00023D2D">
              <w:t>JQJT and National Disability Insurance Agency [2016] AATA 478 (6 July 2016)</w:t>
            </w:r>
          </w:p>
        </w:tc>
        <w:tc>
          <w:tcPr>
            <w:tcW w:w="2977" w:type="dxa"/>
          </w:tcPr>
          <w:p w14:paraId="3D175542" w14:textId="1FAE5C06" w:rsidR="00805DE3" w:rsidRPr="00164634" w:rsidRDefault="00805DE3" w:rsidP="00805DE3">
            <w:pPr>
              <w:pStyle w:val="BodyText"/>
              <w:rPr>
                <w:b/>
              </w:rPr>
            </w:pPr>
            <w:r w:rsidRPr="00023D2D">
              <w:t>Determining level 1 transport funding for applicant.</w:t>
            </w:r>
          </w:p>
        </w:tc>
        <w:tc>
          <w:tcPr>
            <w:tcW w:w="3402" w:type="dxa"/>
          </w:tcPr>
          <w:p w14:paraId="432E87BD" w14:textId="7F0D2738" w:rsidR="00805DE3" w:rsidRPr="00164634" w:rsidRDefault="00805DE3" w:rsidP="00805DE3">
            <w:pPr>
              <w:pStyle w:val="BodyText"/>
              <w:rPr>
                <w:b/>
              </w:rPr>
            </w:pPr>
            <w:r w:rsidRPr="00023D2D">
              <w:t>The AAT decided to vary the decision of the Agency.</w:t>
            </w:r>
          </w:p>
        </w:tc>
      </w:tr>
      <w:tr w:rsidR="00805DE3" w14:paraId="22726334" w14:textId="77777777" w:rsidTr="00805DE3">
        <w:tc>
          <w:tcPr>
            <w:tcW w:w="3686" w:type="dxa"/>
          </w:tcPr>
          <w:p w14:paraId="66E725A5" w14:textId="2FCC54F3" w:rsidR="00805DE3" w:rsidRPr="00D536D9" w:rsidRDefault="00805DE3" w:rsidP="00195DA2">
            <w:pPr>
              <w:pStyle w:val="BodyText"/>
              <w:rPr>
                <w:rStyle w:val="BodyTextBold"/>
              </w:rPr>
            </w:pPr>
            <w:r w:rsidRPr="00023D2D">
              <w:t>McGarrigle and National Disability Insurance Agency [2016] AATA 498 (15 July 2016)</w:t>
            </w:r>
          </w:p>
        </w:tc>
        <w:tc>
          <w:tcPr>
            <w:tcW w:w="2977" w:type="dxa"/>
          </w:tcPr>
          <w:p w14:paraId="4C9C1F4E" w14:textId="56423DF2" w:rsidR="00805DE3" w:rsidRPr="00D536D9" w:rsidRDefault="00805DE3" w:rsidP="00805DE3">
            <w:pPr>
              <w:pStyle w:val="BodyText"/>
              <w:rPr>
                <w:rStyle w:val="BodyTextBold"/>
              </w:rPr>
            </w:pPr>
            <w:r w:rsidRPr="00023D2D">
              <w:t>Funding the full costs of transport to attend ADE and Day Program.</w:t>
            </w:r>
          </w:p>
        </w:tc>
        <w:tc>
          <w:tcPr>
            <w:tcW w:w="3402" w:type="dxa"/>
          </w:tcPr>
          <w:p w14:paraId="1C69D08D" w14:textId="6A8B0996" w:rsidR="00805DE3" w:rsidRPr="00D536D9" w:rsidRDefault="00805DE3" w:rsidP="00805DE3">
            <w:pPr>
              <w:pStyle w:val="BodyText"/>
              <w:rPr>
                <w:rStyle w:val="BodyTextBold"/>
              </w:rPr>
            </w:pPr>
            <w:r w:rsidRPr="00023D2D">
              <w:t>The AAT decided to affirm the decision of the Agency to fund 75% of applicant's transport costs.</w:t>
            </w:r>
          </w:p>
        </w:tc>
      </w:tr>
      <w:tr w:rsidR="00805DE3" w14:paraId="798BB674" w14:textId="77777777" w:rsidTr="00805DE3">
        <w:tc>
          <w:tcPr>
            <w:tcW w:w="3686" w:type="dxa"/>
          </w:tcPr>
          <w:p w14:paraId="19547B4A" w14:textId="3A24B8D1" w:rsidR="00805DE3" w:rsidRDefault="00805DE3" w:rsidP="00195DA2">
            <w:pPr>
              <w:pStyle w:val="BodyText"/>
            </w:pPr>
            <w:r w:rsidRPr="00023D2D">
              <w:t>KLMN and National Disability Insurance Agency AAT 2016/1118 (21-22 November 2016)</w:t>
            </w:r>
          </w:p>
        </w:tc>
        <w:tc>
          <w:tcPr>
            <w:tcW w:w="2977" w:type="dxa"/>
          </w:tcPr>
          <w:p w14:paraId="590A7E9A" w14:textId="13B182F7" w:rsidR="00805DE3" w:rsidRPr="00D536D9" w:rsidRDefault="00805DE3" w:rsidP="00805DE3">
            <w:pPr>
              <w:pStyle w:val="BodyText"/>
              <w:rPr>
                <w:rStyle w:val="BodyTextBold"/>
              </w:rPr>
            </w:pPr>
            <w:r w:rsidRPr="00023D2D">
              <w:t>Funding for supports including additional transport funding and home and safety security modifications.</w:t>
            </w:r>
          </w:p>
        </w:tc>
        <w:tc>
          <w:tcPr>
            <w:tcW w:w="3402" w:type="dxa"/>
          </w:tcPr>
          <w:p w14:paraId="02A7C70C" w14:textId="5E1D5622" w:rsidR="00805DE3" w:rsidRPr="00D536D9" w:rsidRDefault="00805DE3" w:rsidP="00805DE3">
            <w:pPr>
              <w:pStyle w:val="BodyText"/>
              <w:rPr>
                <w:rStyle w:val="BodyTextBold"/>
              </w:rPr>
            </w:pPr>
            <w:r w:rsidRPr="00023D2D">
              <w:t>The AAT has reserved their decision (at 30 June 2017).</w:t>
            </w:r>
          </w:p>
        </w:tc>
      </w:tr>
      <w:tr w:rsidR="00805DE3" w14:paraId="11A6733D" w14:textId="77777777" w:rsidTr="00805DE3">
        <w:tc>
          <w:tcPr>
            <w:tcW w:w="3686" w:type="dxa"/>
          </w:tcPr>
          <w:p w14:paraId="7FE36897" w14:textId="52E04FE7" w:rsidR="00805DE3" w:rsidRDefault="00805DE3" w:rsidP="00195DA2">
            <w:pPr>
              <w:pStyle w:val="BodyText"/>
            </w:pPr>
            <w:r w:rsidRPr="00023D2D">
              <w:t>YPRM and National Disability Insurance Agency [2016] AATA 1023 (14 December 2016)</w:t>
            </w:r>
          </w:p>
        </w:tc>
        <w:tc>
          <w:tcPr>
            <w:tcW w:w="2977" w:type="dxa"/>
          </w:tcPr>
          <w:p w14:paraId="523061B7" w14:textId="24BCA390" w:rsidR="00805DE3" w:rsidRPr="00D536D9" w:rsidRDefault="00805DE3" w:rsidP="00805DE3">
            <w:pPr>
              <w:pStyle w:val="BodyText"/>
              <w:rPr>
                <w:rStyle w:val="BodyTextBold"/>
              </w:rPr>
            </w:pPr>
            <w:r w:rsidRPr="00023D2D">
              <w:t>Whether applicant's Type 1 diabetes meets access requirements of the NDIS Act.</w:t>
            </w:r>
          </w:p>
        </w:tc>
        <w:tc>
          <w:tcPr>
            <w:tcW w:w="3402" w:type="dxa"/>
          </w:tcPr>
          <w:p w14:paraId="252182DF" w14:textId="73DB9F02" w:rsidR="00805DE3" w:rsidRPr="00D536D9" w:rsidRDefault="00805DE3" w:rsidP="00805DE3">
            <w:pPr>
              <w:pStyle w:val="BodyText"/>
              <w:rPr>
                <w:rStyle w:val="BodyTextBold"/>
              </w:rPr>
            </w:pPr>
            <w:r w:rsidRPr="00023D2D">
              <w:t>The AAT decided to affirm the Agency’s decision to decline access.</w:t>
            </w:r>
          </w:p>
        </w:tc>
      </w:tr>
      <w:tr w:rsidR="00805DE3" w14:paraId="3B292E7B" w14:textId="77777777" w:rsidTr="00805DE3">
        <w:tc>
          <w:tcPr>
            <w:tcW w:w="3686" w:type="dxa"/>
          </w:tcPr>
          <w:p w14:paraId="399FB6EA" w14:textId="223490D6" w:rsidR="00805DE3" w:rsidRDefault="00805DE3" w:rsidP="00195DA2">
            <w:pPr>
              <w:pStyle w:val="BodyText"/>
            </w:pPr>
            <w:r w:rsidRPr="00023D2D">
              <w:t>Kilgallin and National Disability Insurance Agency [2017] AATA 186 (19 January 2017)</w:t>
            </w:r>
          </w:p>
        </w:tc>
        <w:tc>
          <w:tcPr>
            <w:tcW w:w="2977" w:type="dxa"/>
          </w:tcPr>
          <w:p w14:paraId="3F38FAFC" w14:textId="55A5190A" w:rsidR="00805DE3" w:rsidRPr="00D536D9" w:rsidRDefault="00805DE3" w:rsidP="00805DE3">
            <w:pPr>
              <w:pStyle w:val="BodyText"/>
              <w:rPr>
                <w:rStyle w:val="BodyTextBold"/>
              </w:rPr>
            </w:pPr>
            <w:r w:rsidRPr="00023D2D">
              <w:t>Whether the applicant met the access requirement of substantially reduced functional capacity.</w:t>
            </w:r>
          </w:p>
        </w:tc>
        <w:tc>
          <w:tcPr>
            <w:tcW w:w="3402" w:type="dxa"/>
          </w:tcPr>
          <w:p w14:paraId="0801766F" w14:textId="39BE706C" w:rsidR="00805DE3" w:rsidRPr="00D536D9" w:rsidRDefault="00805DE3" w:rsidP="00805DE3">
            <w:pPr>
              <w:pStyle w:val="BodyText"/>
              <w:rPr>
                <w:rStyle w:val="BodyTextBold"/>
              </w:rPr>
            </w:pPr>
            <w:r w:rsidRPr="00023D2D">
              <w:t>The AAT decided to affirm the Agency’s decision to decline access.</w:t>
            </w:r>
          </w:p>
        </w:tc>
      </w:tr>
      <w:tr w:rsidR="00805DE3" w14:paraId="6583E4C1" w14:textId="77777777" w:rsidTr="00805DE3">
        <w:tc>
          <w:tcPr>
            <w:tcW w:w="3686" w:type="dxa"/>
          </w:tcPr>
          <w:p w14:paraId="74543A9E" w14:textId="40566009" w:rsidR="00805DE3" w:rsidRPr="00977A68" w:rsidRDefault="00805DE3" w:rsidP="00195DA2">
            <w:pPr>
              <w:pStyle w:val="BodyText"/>
            </w:pPr>
            <w:r w:rsidRPr="00023D2D">
              <w:t>Christopher NAIRN AAT 2016/6791 (28 February 2017)</w:t>
            </w:r>
          </w:p>
        </w:tc>
        <w:tc>
          <w:tcPr>
            <w:tcW w:w="2977" w:type="dxa"/>
          </w:tcPr>
          <w:p w14:paraId="5E59C3A5" w14:textId="73350E13" w:rsidR="00805DE3" w:rsidRPr="00977A68" w:rsidRDefault="00805DE3" w:rsidP="00805DE3">
            <w:pPr>
              <w:pStyle w:val="BodyText"/>
            </w:pPr>
            <w:r w:rsidRPr="00023D2D">
              <w:t>Funding for an increase in supported accommodation.</w:t>
            </w:r>
          </w:p>
        </w:tc>
        <w:tc>
          <w:tcPr>
            <w:tcW w:w="3402" w:type="dxa"/>
          </w:tcPr>
          <w:p w14:paraId="34B381B6" w14:textId="5569E297" w:rsidR="00805DE3" w:rsidRPr="00977A68" w:rsidRDefault="00805DE3" w:rsidP="00805DE3">
            <w:pPr>
              <w:pStyle w:val="BodyText"/>
            </w:pPr>
            <w:r w:rsidRPr="00023D2D">
              <w:t>The AAT decided that they have jurisdiction to review the Agency’s decision not to review the applicant’s plan (s 48(2)) but it does not have jurisdiction to actually review the applicant’s participant’s plan (s 48(4)) or to approve a statement of supports (s 33((2)). Application dependent on Federal Court decision.</w:t>
            </w:r>
          </w:p>
        </w:tc>
      </w:tr>
      <w:tr w:rsidR="00805DE3" w14:paraId="70FB531B" w14:textId="77777777" w:rsidTr="00805DE3">
        <w:tc>
          <w:tcPr>
            <w:tcW w:w="3686" w:type="dxa"/>
          </w:tcPr>
          <w:p w14:paraId="3CA37EE0" w14:textId="17BE2456" w:rsidR="00805DE3" w:rsidRPr="00977A68" w:rsidRDefault="00805DE3" w:rsidP="00195DA2">
            <w:pPr>
              <w:pStyle w:val="BodyText"/>
            </w:pPr>
            <w:r w:rsidRPr="00023D2D">
              <w:t>Young and National Disability Insurance Agency [2017] AATA 407 (31 March 2017)</w:t>
            </w:r>
          </w:p>
        </w:tc>
        <w:tc>
          <w:tcPr>
            <w:tcW w:w="2977" w:type="dxa"/>
          </w:tcPr>
          <w:p w14:paraId="67471BEF" w14:textId="7484AD43" w:rsidR="00805DE3" w:rsidRPr="00977A68" w:rsidRDefault="00805DE3" w:rsidP="00805DE3">
            <w:pPr>
              <w:pStyle w:val="BodyText"/>
            </w:pPr>
            <w:r w:rsidRPr="00023D2D">
              <w:t>Funding for motor vehicle modifications.</w:t>
            </w:r>
          </w:p>
        </w:tc>
        <w:tc>
          <w:tcPr>
            <w:tcW w:w="3402" w:type="dxa"/>
          </w:tcPr>
          <w:p w14:paraId="2E078162" w14:textId="20F7E21F" w:rsidR="00805DE3" w:rsidRPr="00977A68" w:rsidRDefault="00805DE3" w:rsidP="00805DE3">
            <w:pPr>
              <w:pStyle w:val="BodyText"/>
            </w:pPr>
            <w:r w:rsidRPr="00023D2D">
              <w:t>The AAT decided to affirm the Agency’s decision to not fund the support.</w:t>
            </w:r>
          </w:p>
        </w:tc>
      </w:tr>
      <w:tr w:rsidR="00805DE3" w14:paraId="56CCAEDF" w14:textId="77777777" w:rsidTr="00805DE3">
        <w:tc>
          <w:tcPr>
            <w:tcW w:w="3686" w:type="dxa"/>
          </w:tcPr>
          <w:p w14:paraId="187104D3" w14:textId="07EEF817" w:rsidR="00805DE3" w:rsidRPr="00977A68" w:rsidRDefault="00805DE3" w:rsidP="00195DA2">
            <w:pPr>
              <w:pStyle w:val="BodyText"/>
            </w:pPr>
            <w:r w:rsidRPr="00023D2D">
              <w:t>PERERA and National Disability Insurance Agency 2017/1712 (17 March 2017)</w:t>
            </w:r>
          </w:p>
        </w:tc>
        <w:tc>
          <w:tcPr>
            <w:tcW w:w="2977" w:type="dxa"/>
          </w:tcPr>
          <w:p w14:paraId="42D2D32B" w14:textId="0832042C" w:rsidR="00805DE3" w:rsidRPr="00977A68" w:rsidRDefault="00805DE3" w:rsidP="00805DE3">
            <w:pPr>
              <w:pStyle w:val="BodyText"/>
            </w:pPr>
            <w:r w:rsidRPr="00023D2D">
              <w:t>Whether applicant meets residency requirements for access.</w:t>
            </w:r>
          </w:p>
        </w:tc>
        <w:tc>
          <w:tcPr>
            <w:tcW w:w="3402" w:type="dxa"/>
          </w:tcPr>
          <w:p w14:paraId="2CFBE6A9" w14:textId="2595EDE3" w:rsidR="00805DE3" w:rsidRPr="00977A68" w:rsidRDefault="00805DE3" w:rsidP="00805DE3">
            <w:pPr>
              <w:pStyle w:val="BodyText"/>
            </w:pPr>
            <w:r w:rsidRPr="00023D2D">
              <w:t>AAT affirmed decision of the Agency to decline access.</w:t>
            </w:r>
          </w:p>
        </w:tc>
      </w:tr>
      <w:tr w:rsidR="00805DE3" w14:paraId="4BEA6370" w14:textId="77777777" w:rsidTr="00805DE3">
        <w:tc>
          <w:tcPr>
            <w:tcW w:w="3686" w:type="dxa"/>
          </w:tcPr>
          <w:p w14:paraId="3654F6A6" w14:textId="735C2FAF" w:rsidR="00805DE3" w:rsidRPr="00977A68" w:rsidRDefault="00805DE3" w:rsidP="00195DA2">
            <w:pPr>
              <w:pStyle w:val="BodyText"/>
            </w:pPr>
            <w:r w:rsidRPr="00023D2D">
              <w:t>King and National Disability Insurance Agency [2017] AATA 643 (4 May 2017)</w:t>
            </w:r>
          </w:p>
        </w:tc>
        <w:tc>
          <w:tcPr>
            <w:tcW w:w="2977" w:type="dxa"/>
          </w:tcPr>
          <w:p w14:paraId="748701F6" w14:textId="329E42D0" w:rsidR="00805DE3" w:rsidRPr="00977A68" w:rsidRDefault="00805DE3" w:rsidP="00805DE3">
            <w:pPr>
              <w:pStyle w:val="BodyText"/>
            </w:pPr>
            <w:r w:rsidRPr="00023D2D">
              <w:t>Funding for additional 20 hours of physiotherapy for massage and gym membership.</w:t>
            </w:r>
          </w:p>
        </w:tc>
        <w:tc>
          <w:tcPr>
            <w:tcW w:w="3402" w:type="dxa"/>
          </w:tcPr>
          <w:p w14:paraId="7A633B64" w14:textId="7C75F150" w:rsidR="00805DE3" w:rsidRPr="00977A68" w:rsidRDefault="00805DE3" w:rsidP="00805DE3">
            <w:pPr>
              <w:pStyle w:val="BodyText"/>
            </w:pPr>
            <w:r w:rsidRPr="00023D2D">
              <w:t>The AAT decided to vary the Agency’s decision.</w:t>
            </w:r>
          </w:p>
        </w:tc>
      </w:tr>
    </w:tbl>
    <w:p w14:paraId="06ECBD5E" w14:textId="77777777" w:rsidR="00972D6B" w:rsidRDefault="00972D6B" w:rsidP="00972D6B">
      <w:pPr>
        <w:pStyle w:val="Heading2"/>
      </w:pPr>
      <w:bookmarkStart w:id="319" w:name="_Toc496611923"/>
      <w:r>
        <w:t xml:space="preserve">Appendix 4: Summary of incidents pursuant to section 38 of the </w:t>
      </w:r>
      <w:r w:rsidRPr="00F61D29">
        <w:rPr>
          <w:i/>
        </w:rPr>
        <w:t>Work Health and Safety Act 2011</w:t>
      </w:r>
      <w:r>
        <w:t xml:space="preserve"> (WHS Act)</w:t>
      </w:r>
      <w:bookmarkEnd w:id="319"/>
    </w:p>
    <w:p w14:paraId="43298069" w14:textId="77777777" w:rsidR="00972D6B" w:rsidRDefault="00972D6B" w:rsidP="00972D6B">
      <w:pPr>
        <w:pStyle w:val="Heading4tables"/>
      </w:pPr>
      <w:bookmarkStart w:id="320" w:name="_Toc496611814"/>
      <w:r>
        <w:t>Table 16: Summary of incidents pursuant to section 38 of the WHS Act, 2016-17</w:t>
      </w:r>
      <w:bookmarkEnd w:id="320"/>
    </w:p>
    <w:tbl>
      <w:tblPr>
        <w:tblStyle w:val="TableGrid"/>
        <w:tblW w:w="5000" w:type="pct"/>
        <w:tblLook w:val="04A0" w:firstRow="1" w:lastRow="0" w:firstColumn="1" w:lastColumn="0" w:noHBand="0" w:noVBand="1"/>
        <w:tblDescription w:val="Table 16: Summary of incidents pursuant to section 38 of the WHS Act, 2016-17"/>
      </w:tblPr>
      <w:tblGrid>
        <w:gridCol w:w="6928"/>
        <w:gridCol w:w="3260"/>
      </w:tblGrid>
      <w:tr w:rsidR="00047395" w14:paraId="480746A6" w14:textId="77777777" w:rsidTr="003F47B7">
        <w:trPr>
          <w:tblHeader/>
        </w:trPr>
        <w:tc>
          <w:tcPr>
            <w:tcW w:w="3400" w:type="pct"/>
            <w:shd w:val="clear" w:color="auto" w:fill="6B2976" w:themeFill="background2"/>
          </w:tcPr>
          <w:p w14:paraId="33E66B43" w14:textId="5D62A7FF" w:rsidR="00047395" w:rsidRPr="00465BCE" w:rsidRDefault="00047395" w:rsidP="00195DA2">
            <w:pPr>
              <w:pStyle w:val="TableTitle"/>
            </w:pPr>
            <w:bookmarkStart w:id="321" w:name="Title_Table16"/>
            <w:r w:rsidRPr="00753A76">
              <w:t>Action</w:t>
            </w:r>
          </w:p>
        </w:tc>
        <w:tc>
          <w:tcPr>
            <w:tcW w:w="1600" w:type="pct"/>
            <w:shd w:val="clear" w:color="auto" w:fill="6B2976" w:themeFill="background2"/>
          </w:tcPr>
          <w:p w14:paraId="0A144E2A" w14:textId="51EBA792" w:rsidR="00047395" w:rsidRPr="009755FC" w:rsidRDefault="00047395" w:rsidP="00195DA2">
            <w:pPr>
              <w:pStyle w:val="TableTitle"/>
              <w:jc w:val="right"/>
            </w:pPr>
            <w:r w:rsidRPr="00753A76">
              <w:t>Number</w:t>
            </w:r>
          </w:p>
        </w:tc>
      </w:tr>
      <w:bookmarkEnd w:id="321"/>
      <w:tr w:rsidR="00047395" w:rsidRPr="00164634" w14:paraId="18C9F6D0" w14:textId="77777777" w:rsidTr="00047395">
        <w:tc>
          <w:tcPr>
            <w:tcW w:w="3400" w:type="pct"/>
          </w:tcPr>
          <w:p w14:paraId="5A2E1A48" w14:textId="029CA738" w:rsidR="00047395" w:rsidRPr="00164634" w:rsidRDefault="00047395" w:rsidP="00195DA2">
            <w:pPr>
              <w:pStyle w:val="BodyText"/>
              <w:rPr>
                <w:b/>
              </w:rPr>
            </w:pPr>
            <w:r w:rsidRPr="00753A76">
              <w:t>Death of a person that required notice to Comcare under s 35</w:t>
            </w:r>
          </w:p>
        </w:tc>
        <w:tc>
          <w:tcPr>
            <w:tcW w:w="1600" w:type="pct"/>
          </w:tcPr>
          <w:p w14:paraId="336DDD27" w14:textId="5E5EFCEC" w:rsidR="00047395" w:rsidRPr="00164634" w:rsidRDefault="00047395" w:rsidP="00195DA2">
            <w:pPr>
              <w:pStyle w:val="BodyText"/>
              <w:jc w:val="right"/>
              <w:rPr>
                <w:b/>
              </w:rPr>
            </w:pPr>
            <w:r w:rsidRPr="00753A76">
              <w:t>0</w:t>
            </w:r>
          </w:p>
        </w:tc>
      </w:tr>
      <w:tr w:rsidR="00047395" w14:paraId="3F48ECAB" w14:textId="77777777" w:rsidTr="00047395">
        <w:tc>
          <w:tcPr>
            <w:tcW w:w="3400" w:type="pct"/>
          </w:tcPr>
          <w:p w14:paraId="170E54A5" w14:textId="62481ADD" w:rsidR="00047395" w:rsidRPr="00D536D9" w:rsidRDefault="00047395" w:rsidP="00195DA2">
            <w:pPr>
              <w:pStyle w:val="BodyText"/>
              <w:rPr>
                <w:rStyle w:val="BodyTextBold"/>
              </w:rPr>
            </w:pPr>
            <w:r w:rsidRPr="00753A76">
              <w:t>Serious injury or illness of a person that required notification to Comcare under s 35</w:t>
            </w:r>
          </w:p>
        </w:tc>
        <w:tc>
          <w:tcPr>
            <w:tcW w:w="1600" w:type="pct"/>
          </w:tcPr>
          <w:p w14:paraId="602D2748" w14:textId="1B8B0678" w:rsidR="00047395" w:rsidRPr="00D536D9" w:rsidRDefault="00047395" w:rsidP="00195DA2">
            <w:pPr>
              <w:pStyle w:val="BodyText"/>
              <w:jc w:val="right"/>
              <w:rPr>
                <w:rStyle w:val="BodyTextBold"/>
              </w:rPr>
            </w:pPr>
            <w:r w:rsidRPr="00753A76">
              <w:t>4</w:t>
            </w:r>
          </w:p>
        </w:tc>
      </w:tr>
      <w:tr w:rsidR="00047395" w14:paraId="1E3DEBE0" w14:textId="77777777" w:rsidTr="00047395">
        <w:tc>
          <w:tcPr>
            <w:tcW w:w="3400" w:type="pct"/>
          </w:tcPr>
          <w:p w14:paraId="6BAC2B18" w14:textId="42DB8C29" w:rsidR="00047395" w:rsidRDefault="00047395" w:rsidP="00195DA2">
            <w:pPr>
              <w:pStyle w:val="BodyText"/>
            </w:pPr>
            <w:r w:rsidRPr="00753A76">
              <w:t>Dangerous incident that required notification to Comcare under s 35</w:t>
            </w:r>
          </w:p>
        </w:tc>
        <w:tc>
          <w:tcPr>
            <w:tcW w:w="1600" w:type="pct"/>
          </w:tcPr>
          <w:p w14:paraId="1E898EF4" w14:textId="4A2FDF19" w:rsidR="00047395" w:rsidRPr="00D536D9" w:rsidRDefault="00047395" w:rsidP="00195DA2">
            <w:pPr>
              <w:pStyle w:val="BodyText"/>
              <w:jc w:val="right"/>
              <w:rPr>
                <w:rStyle w:val="BodyTextBold"/>
              </w:rPr>
            </w:pPr>
            <w:r w:rsidRPr="00753A76">
              <w:t>4</w:t>
            </w:r>
          </w:p>
        </w:tc>
      </w:tr>
      <w:tr w:rsidR="00047395" w14:paraId="793CD5A4" w14:textId="77777777" w:rsidTr="00047395">
        <w:tc>
          <w:tcPr>
            <w:tcW w:w="3400" w:type="pct"/>
          </w:tcPr>
          <w:p w14:paraId="488EC3EB" w14:textId="6236996B" w:rsidR="00047395" w:rsidRDefault="00047395" w:rsidP="00195DA2">
            <w:pPr>
              <w:pStyle w:val="BodyText"/>
            </w:pPr>
            <w:r w:rsidRPr="00753A76">
              <w:t>Investigation conducted under Part 10</w:t>
            </w:r>
          </w:p>
        </w:tc>
        <w:tc>
          <w:tcPr>
            <w:tcW w:w="1600" w:type="pct"/>
          </w:tcPr>
          <w:p w14:paraId="7C2A2E3D" w14:textId="528C4133" w:rsidR="00047395" w:rsidRPr="00D536D9" w:rsidRDefault="00047395" w:rsidP="00195DA2">
            <w:pPr>
              <w:pStyle w:val="BodyText"/>
              <w:jc w:val="right"/>
              <w:rPr>
                <w:rStyle w:val="BodyTextBold"/>
              </w:rPr>
            </w:pPr>
            <w:r w:rsidRPr="00753A76">
              <w:t>0</w:t>
            </w:r>
          </w:p>
        </w:tc>
      </w:tr>
      <w:tr w:rsidR="00047395" w14:paraId="15AF6945" w14:textId="77777777" w:rsidTr="00047395">
        <w:tc>
          <w:tcPr>
            <w:tcW w:w="3400" w:type="pct"/>
          </w:tcPr>
          <w:p w14:paraId="2DDCDB9B" w14:textId="598A5DBB" w:rsidR="00047395" w:rsidRDefault="00047395" w:rsidP="00195DA2">
            <w:pPr>
              <w:pStyle w:val="BodyText"/>
            </w:pPr>
            <w:r w:rsidRPr="00753A76">
              <w:t>Notice given to NDIA under s 90 (provisional improvement notice)</w:t>
            </w:r>
          </w:p>
        </w:tc>
        <w:tc>
          <w:tcPr>
            <w:tcW w:w="1600" w:type="pct"/>
          </w:tcPr>
          <w:p w14:paraId="45D84A83" w14:textId="6243FBC5" w:rsidR="00047395" w:rsidRPr="00D536D9" w:rsidRDefault="00047395" w:rsidP="00195DA2">
            <w:pPr>
              <w:pStyle w:val="BodyText"/>
              <w:jc w:val="right"/>
              <w:rPr>
                <w:rStyle w:val="BodyTextBold"/>
              </w:rPr>
            </w:pPr>
            <w:r w:rsidRPr="00753A76">
              <w:t>0</w:t>
            </w:r>
          </w:p>
        </w:tc>
      </w:tr>
      <w:tr w:rsidR="00047395" w14:paraId="78B60595" w14:textId="77777777" w:rsidTr="00047395">
        <w:tc>
          <w:tcPr>
            <w:tcW w:w="3400" w:type="pct"/>
          </w:tcPr>
          <w:p w14:paraId="158010EB" w14:textId="651EAE06" w:rsidR="00047395" w:rsidRPr="00977A68" w:rsidRDefault="00047395" w:rsidP="00195DA2">
            <w:pPr>
              <w:pStyle w:val="BodyText"/>
            </w:pPr>
            <w:r w:rsidRPr="00753A76">
              <w:t>Notice given to NDIA under s 191 (improvement notice)</w:t>
            </w:r>
          </w:p>
        </w:tc>
        <w:tc>
          <w:tcPr>
            <w:tcW w:w="1600" w:type="pct"/>
          </w:tcPr>
          <w:p w14:paraId="6D15CF13" w14:textId="650706E0" w:rsidR="00047395" w:rsidRPr="00977A68" w:rsidRDefault="00047395" w:rsidP="00195DA2">
            <w:pPr>
              <w:pStyle w:val="BodyText"/>
              <w:jc w:val="right"/>
            </w:pPr>
            <w:r w:rsidRPr="00753A76">
              <w:t>0</w:t>
            </w:r>
          </w:p>
        </w:tc>
      </w:tr>
      <w:tr w:rsidR="00047395" w14:paraId="55FCE61B" w14:textId="77777777" w:rsidTr="00047395">
        <w:tc>
          <w:tcPr>
            <w:tcW w:w="3400" w:type="pct"/>
          </w:tcPr>
          <w:p w14:paraId="0FA72FBC" w14:textId="599FB264" w:rsidR="00047395" w:rsidRPr="00977A68" w:rsidRDefault="00047395" w:rsidP="00195DA2">
            <w:pPr>
              <w:pStyle w:val="BodyText"/>
            </w:pPr>
            <w:r w:rsidRPr="00753A76">
              <w:t>Notice given to NDIA under s 195 (prohibition notices)</w:t>
            </w:r>
          </w:p>
        </w:tc>
        <w:tc>
          <w:tcPr>
            <w:tcW w:w="1600" w:type="pct"/>
          </w:tcPr>
          <w:p w14:paraId="1BDF062E" w14:textId="5E8B7933" w:rsidR="00047395" w:rsidRPr="00977A68" w:rsidRDefault="00047395" w:rsidP="00195DA2">
            <w:pPr>
              <w:pStyle w:val="BodyText"/>
              <w:jc w:val="right"/>
            </w:pPr>
            <w:r w:rsidRPr="00753A76">
              <w:t>0</w:t>
            </w:r>
          </w:p>
        </w:tc>
      </w:tr>
      <w:tr w:rsidR="00047395" w14:paraId="20BE2DBE" w14:textId="77777777" w:rsidTr="00047395">
        <w:tc>
          <w:tcPr>
            <w:tcW w:w="3400" w:type="pct"/>
          </w:tcPr>
          <w:p w14:paraId="561AED2B" w14:textId="27B56F52" w:rsidR="00047395" w:rsidRPr="00977A68" w:rsidRDefault="00047395" w:rsidP="00195DA2">
            <w:pPr>
              <w:pStyle w:val="BodyText"/>
            </w:pPr>
            <w:r w:rsidRPr="00753A76">
              <w:t xml:space="preserve">Directions given to NDIA under s 198 (non-disturbance) </w:t>
            </w:r>
          </w:p>
        </w:tc>
        <w:tc>
          <w:tcPr>
            <w:tcW w:w="1600" w:type="pct"/>
          </w:tcPr>
          <w:p w14:paraId="62097AF0" w14:textId="767C75CD" w:rsidR="00047395" w:rsidRPr="00977A68" w:rsidRDefault="00047395" w:rsidP="00195DA2">
            <w:pPr>
              <w:pStyle w:val="BodyText"/>
              <w:jc w:val="right"/>
            </w:pPr>
            <w:r w:rsidRPr="00753A76">
              <w:t>0</w:t>
            </w:r>
          </w:p>
        </w:tc>
      </w:tr>
    </w:tbl>
    <w:p w14:paraId="79DDEBDF" w14:textId="77777777" w:rsidR="007F17D8" w:rsidRDefault="00814F1C" w:rsidP="00814F1C">
      <w:pPr>
        <w:pStyle w:val="BodyText"/>
      </w:pPr>
      <w:r>
        <w:t>The Agency’s workers’ compensation premium for 2017-18 is $1.64 million compar</w:t>
      </w:r>
      <w:r w:rsidR="007F17D8">
        <w:t>ed to $2.56 million in 2016-17.</w:t>
      </w:r>
    </w:p>
    <w:p w14:paraId="7F44B8B2" w14:textId="77777777" w:rsidR="007F17D8" w:rsidRDefault="00814F1C" w:rsidP="007F17D8">
      <w:pPr>
        <w:pStyle w:val="Heading2"/>
      </w:pPr>
      <w:bookmarkStart w:id="322" w:name="_Toc496611924"/>
      <w:r>
        <w:t>A</w:t>
      </w:r>
      <w:r w:rsidR="007F17D8">
        <w:t>ppendix 5: Enabling Legislation</w:t>
      </w:r>
      <w:bookmarkEnd w:id="322"/>
    </w:p>
    <w:p w14:paraId="366EC4D8" w14:textId="77777777" w:rsidR="00864BD7" w:rsidRDefault="00814F1C" w:rsidP="00195DA2">
      <w:pPr>
        <w:pStyle w:val="Intro"/>
      </w:pPr>
      <w:r>
        <w:t xml:space="preserve">The Scheme operates under the </w:t>
      </w:r>
      <w:r w:rsidRPr="00EA1B91">
        <w:rPr>
          <w:i/>
        </w:rPr>
        <w:t>National Disability Insurance Scheme Act 2013</w:t>
      </w:r>
      <w:r>
        <w:t xml:space="preserve"> (NDIS Act). The NDIS Act (in conjunction with other laws) gives effect to Australia’s obligations under the United Nations (UN) Convention on the Rights of Persons with Disabilities, and its objectives incl</w:t>
      </w:r>
      <w:r w:rsidR="00864BD7">
        <w:t>ude:</w:t>
      </w:r>
    </w:p>
    <w:p w14:paraId="09477C8E" w14:textId="77777777" w:rsidR="00864BD7" w:rsidRDefault="00814F1C" w:rsidP="00EA1B91">
      <w:pPr>
        <w:pStyle w:val="BodyText"/>
        <w:numPr>
          <w:ilvl w:val="0"/>
          <w:numId w:val="20"/>
        </w:numPr>
      </w:pPr>
      <w:r>
        <w:t>supporting people with disability to pursue their goals and maximise their independence and soc</w:t>
      </w:r>
      <w:r w:rsidR="00864BD7">
        <w:t>ial and economic participation;</w:t>
      </w:r>
    </w:p>
    <w:p w14:paraId="5A98C1E0" w14:textId="1794A89F" w:rsidR="00814F1C" w:rsidRDefault="00814F1C" w:rsidP="00EA1B91">
      <w:pPr>
        <w:pStyle w:val="BodyText"/>
        <w:numPr>
          <w:ilvl w:val="0"/>
          <w:numId w:val="20"/>
        </w:numPr>
      </w:pPr>
      <w:r>
        <w:t>developing the capacity of people with disability to participate in the community and in employment;</w:t>
      </w:r>
    </w:p>
    <w:p w14:paraId="31528AD6" w14:textId="77777777" w:rsidR="00814F1C" w:rsidRDefault="00814F1C" w:rsidP="00EA1B91">
      <w:pPr>
        <w:pStyle w:val="BodyText"/>
        <w:numPr>
          <w:ilvl w:val="0"/>
          <w:numId w:val="20"/>
        </w:numPr>
      </w:pPr>
      <w:r>
        <w:t>providing reasonable and necessary supports, including early intervention supports, for participants;</w:t>
      </w:r>
    </w:p>
    <w:p w14:paraId="46A51320" w14:textId="77777777" w:rsidR="00814F1C" w:rsidRDefault="00814F1C" w:rsidP="00EA1B91">
      <w:pPr>
        <w:pStyle w:val="BodyText"/>
        <w:numPr>
          <w:ilvl w:val="0"/>
          <w:numId w:val="20"/>
        </w:numPr>
      </w:pPr>
      <w:r>
        <w:t>supporting people with disability to exercise choice and control in pursuit of their goals and in the planning and delivery of their supports;</w:t>
      </w:r>
    </w:p>
    <w:p w14:paraId="45DB953B" w14:textId="77777777" w:rsidR="00814F1C" w:rsidRDefault="00814F1C" w:rsidP="00EA1B91">
      <w:pPr>
        <w:pStyle w:val="BodyText"/>
        <w:numPr>
          <w:ilvl w:val="0"/>
          <w:numId w:val="20"/>
        </w:numPr>
      </w:pPr>
      <w:r>
        <w:t>building a sustainable Scheme that is based on insurance principles; and</w:t>
      </w:r>
    </w:p>
    <w:p w14:paraId="13F8D3C6" w14:textId="77777777" w:rsidR="00814F1C" w:rsidRDefault="00814F1C" w:rsidP="00EA1B91">
      <w:pPr>
        <w:pStyle w:val="BodyText"/>
        <w:numPr>
          <w:ilvl w:val="0"/>
          <w:numId w:val="20"/>
        </w:numPr>
      </w:pPr>
      <w:r>
        <w:t>raising community awareness about the social and economic participation of people with disability and acting to increase their inclusion in the mainstream of Australian society.</w:t>
      </w:r>
    </w:p>
    <w:p w14:paraId="4BE11684" w14:textId="77777777" w:rsidR="00814F1C" w:rsidRDefault="00814F1C" w:rsidP="00814F1C">
      <w:pPr>
        <w:pStyle w:val="BodyText"/>
      </w:pPr>
      <w:r>
        <w:t>The NDIS Act establishes the Agency, which has statutory responsibility for delivering the Scheme. The functions and powers of the Agency are also prescribed by the NDIS Act.</w:t>
      </w:r>
    </w:p>
    <w:p w14:paraId="152999A7" w14:textId="77777777" w:rsidR="00814F1C" w:rsidRDefault="00814F1C" w:rsidP="00814F1C">
      <w:pPr>
        <w:pStyle w:val="BodyText"/>
      </w:pPr>
      <w:r>
        <w:t xml:space="preserve">The NDIS Act was amended by the </w:t>
      </w:r>
      <w:r w:rsidRPr="00EA1B91">
        <w:rPr>
          <w:i/>
        </w:rPr>
        <w:t>Acts and Instruments (Framework Reform) (Consequential Provisions) Act 2015</w:t>
      </w:r>
      <w:r>
        <w:t xml:space="preserve"> on 5 March 2016, as well as the </w:t>
      </w:r>
      <w:r w:rsidRPr="00EA1B91">
        <w:rPr>
          <w:i/>
        </w:rPr>
        <w:t>National Disability Insurance Scheme Amendment Act 2016</w:t>
      </w:r>
      <w:r>
        <w:t xml:space="preserve"> on 4 May 2016.</w:t>
      </w:r>
    </w:p>
    <w:p w14:paraId="77F84B05" w14:textId="77777777" w:rsidR="00814F1C" w:rsidRDefault="00814F1C" w:rsidP="00814F1C">
      <w:pPr>
        <w:pStyle w:val="BodyText"/>
      </w:pPr>
      <w:r>
        <w:t xml:space="preserve">The Agency is overseen by a Board, and is accountable as a corporate Commonwealth entity under the </w:t>
      </w:r>
      <w:r w:rsidRPr="00EA1B91">
        <w:rPr>
          <w:i/>
        </w:rPr>
        <w:t>Public Governance, Performance and Accountability Act 2013</w:t>
      </w:r>
      <w:r>
        <w:t xml:space="preserve"> (PGPA Act). The Board is responsible for ensuring the proper, efficient and effective performance of the Agency functions, and for determining the objectives, strategies and policies to be followed by the Agency.</w:t>
      </w:r>
    </w:p>
    <w:p w14:paraId="0B62F73B" w14:textId="77777777" w:rsidR="00814F1C" w:rsidRDefault="00814F1C" w:rsidP="00BC6A38">
      <w:pPr>
        <w:pStyle w:val="Heading2"/>
      </w:pPr>
      <w:bookmarkStart w:id="323" w:name="_Toc496611925"/>
      <w:r>
        <w:t>Appendix 6: Compliance with Carer Recognition Act 2010</w:t>
      </w:r>
      <w:bookmarkEnd w:id="323"/>
      <w:r>
        <w:t xml:space="preserve"> </w:t>
      </w:r>
    </w:p>
    <w:p w14:paraId="6EB34203" w14:textId="77777777" w:rsidR="00814F1C" w:rsidRDefault="00814F1C" w:rsidP="00BC6A38">
      <w:pPr>
        <w:pStyle w:val="Heading4tables"/>
      </w:pPr>
      <w:bookmarkStart w:id="324" w:name="_Toc496611815"/>
      <w:r>
        <w:t>Table 17: Compliance with Carer Recognition Act 2010</w:t>
      </w:r>
      <w:bookmarkEnd w:id="324"/>
    </w:p>
    <w:tbl>
      <w:tblPr>
        <w:tblStyle w:val="TableGrid"/>
        <w:tblW w:w="5000" w:type="pct"/>
        <w:tblLook w:val="04A0" w:firstRow="1" w:lastRow="0" w:firstColumn="1" w:lastColumn="0" w:noHBand="0" w:noVBand="1"/>
        <w:tblDescription w:val="Table 17: Compliance with Carer Recognition Act 2010"/>
      </w:tblPr>
      <w:tblGrid>
        <w:gridCol w:w="5298"/>
        <w:gridCol w:w="4890"/>
      </w:tblGrid>
      <w:tr w:rsidR="00C3071D" w14:paraId="0F95E8D1" w14:textId="77777777" w:rsidTr="003F47B7">
        <w:trPr>
          <w:trHeight w:val="537"/>
          <w:tblHeader/>
        </w:trPr>
        <w:tc>
          <w:tcPr>
            <w:tcW w:w="2600" w:type="pct"/>
            <w:shd w:val="clear" w:color="auto" w:fill="6B2976" w:themeFill="background2"/>
          </w:tcPr>
          <w:p w14:paraId="6F629248" w14:textId="6575C388" w:rsidR="00C3071D" w:rsidRPr="00465BCE" w:rsidRDefault="00C3071D" w:rsidP="00320D09">
            <w:pPr>
              <w:pStyle w:val="TableTitle"/>
            </w:pPr>
            <w:bookmarkStart w:id="325" w:name="Title_Table17"/>
            <w:r w:rsidRPr="009630FD">
              <w:t>Requirement of the Carer Recognition Act 2010</w:t>
            </w:r>
          </w:p>
        </w:tc>
        <w:tc>
          <w:tcPr>
            <w:tcW w:w="2400" w:type="pct"/>
            <w:shd w:val="clear" w:color="auto" w:fill="6B2976" w:themeFill="background2"/>
          </w:tcPr>
          <w:p w14:paraId="2076FB5D" w14:textId="01D28D74" w:rsidR="00C3071D" w:rsidRPr="009755FC" w:rsidRDefault="00C3071D" w:rsidP="00320D09">
            <w:pPr>
              <w:pStyle w:val="TableTitle"/>
            </w:pPr>
            <w:r w:rsidRPr="009630FD">
              <w:t>Response</w:t>
            </w:r>
          </w:p>
        </w:tc>
      </w:tr>
      <w:bookmarkEnd w:id="325"/>
      <w:tr w:rsidR="00C3071D" w:rsidRPr="00164634" w14:paraId="1E3B2678" w14:textId="77777777" w:rsidTr="00C3071D">
        <w:tc>
          <w:tcPr>
            <w:tcW w:w="2600" w:type="pct"/>
          </w:tcPr>
          <w:p w14:paraId="05115F17" w14:textId="7D217185" w:rsidR="00C3071D" w:rsidRPr="00164634" w:rsidRDefault="00C3071D" w:rsidP="00320D09">
            <w:pPr>
              <w:pStyle w:val="BodyText"/>
              <w:rPr>
                <w:b/>
              </w:rPr>
            </w:pPr>
            <w:r w:rsidRPr="009630FD">
              <w:t>Ensure that employees and agents have an awareness and understanding of the Statement for Australia’s Carers.</w:t>
            </w:r>
          </w:p>
        </w:tc>
        <w:tc>
          <w:tcPr>
            <w:tcW w:w="2400" w:type="pct"/>
          </w:tcPr>
          <w:p w14:paraId="0251FBF2" w14:textId="195E6484" w:rsidR="00C3071D" w:rsidRPr="00164634" w:rsidRDefault="00C3071D" w:rsidP="00320D09">
            <w:pPr>
              <w:pStyle w:val="BodyText"/>
              <w:rPr>
                <w:b/>
              </w:rPr>
            </w:pPr>
            <w:r w:rsidRPr="009630FD">
              <w:t>The Agency promotes staff awareness and understanding of the principles contained within the Carers Recognition Act and the Statement through online tools and resources, including guides on the support available to employees with caring responsibilities and also those who support people with caring responsibilities.</w:t>
            </w:r>
          </w:p>
        </w:tc>
      </w:tr>
      <w:tr w:rsidR="00C3071D" w14:paraId="3EA2B624" w14:textId="77777777" w:rsidTr="00C3071D">
        <w:tc>
          <w:tcPr>
            <w:tcW w:w="2600" w:type="pct"/>
          </w:tcPr>
          <w:p w14:paraId="5E3F7BDF" w14:textId="00055629" w:rsidR="00C3071D" w:rsidRPr="00D536D9" w:rsidRDefault="00C3071D" w:rsidP="00320D09">
            <w:pPr>
              <w:pStyle w:val="BodyText"/>
              <w:rPr>
                <w:rStyle w:val="BodyTextBold"/>
              </w:rPr>
            </w:pPr>
            <w:r w:rsidRPr="009630FD">
              <w:t>Ensure internal human resources programs have due regard to the Statement for Australia’s Carers.</w:t>
            </w:r>
          </w:p>
        </w:tc>
        <w:tc>
          <w:tcPr>
            <w:tcW w:w="2400" w:type="pct"/>
          </w:tcPr>
          <w:p w14:paraId="7E7DE40D" w14:textId="5D58992C" w:rsidR="00C3071D" w:rsidRPr="00D536D9" w:rsidRDefault="00C3071D" w:rsidP="00320D09">
            <w:pPr>
              <w:pStyle w:val="BodyText"/>
              <w:rPr>
                <w:rStyle w:val="BodyTextBold"/>
              </w:rPr>
            </w:pPr>
            <w:r w:rsidRPr="009630FD">
              <w:t>The Agency complies through the NDIA Enterprise Agreement 2016–19 as well as internal policies. Employees with caring responsibilities are supported through access to personal leave, flexible working arrangements, part-time work, home-based work and the Employee Assistance Program.</w:t>
            </w:r>
          </w:p>
        </w:tc>
      </w:tr>
      <w:tr w:rsidR="00C3071D" w14:paraId="03F205BE" w14:textId="77777777" w:rsidTr="00C3071D">
        <w:tc>
          <w:tcPr>
            <w:tcW w:w="2600" w:type="pct"/>
          </w:tcPr>
          <w:p w14:paraId="033260D1" w14:textId="31BDB957" w:rsidR="00C3071D" w:rsidRDefault="00C3071D" w:rsidP="00320D09">
            <w:pPr>
              <w:pStyle w:val="BodyText"/>
            </w:pPr>
            <w:r w:rsidRPr="009630FD">
              <w:t>Ensure the Agency, its employees and agents take action to reflect the principles of the Statement for Australia’s Carers in developing, implementing, providing or evaluating care supports.</w:t>
            </w:r>
          </w:p>
        </w:tc>
        <w:tc>
          <w:tcPr>
            <w:tcW w:w="2400" w:type="pct"/>
          </w:tcPr>
          <w:p w14:paraId="579B82B4" w14:textId="6D89CFB6" w:rsidR="00C3071D" w:rsidRPr="00D536D9" w:rsidRDefault="00C3071D" w:rsidP="00320D09">
            <w:pPr>
              <w:pStyle w:val="BodyText"/>
              <w:rPr>
                <w:rStyle w:val="BodyTextBold"/>
              </w:rPr>
            </w:pPr>
            <w:r w:rsidRPr="009630FD">
              <w:t>Carers are included in the planning process, and are recognised in participant plans through the informal care sections of plans. The role of carers is recognised by the Agency as an important factor in developing participant plans. Participant plans are developed with a focus on capacity building and social and economic inclusion for participants. At the request of the person they care for, carers can help with goal setting, assessment and the planning process. Carers can include a carer statement as part of the participant’s plan development, and this statement is recorded in the plan. Increasing the capacity of the community to help people with disability, and increasing the social and economic participation of people with disability, improves the situation of carers. The NDIA’s Quality Framework allows feedback from carers to inform improvements to the way the Scheme supports their needs.</w:t>
            </w:r>
          </w:p>
        </w:tc>
      </w:tr>
      <w:tr w:rsidR="00C3071D" w14:paraId="725297D6" w14:textId="77777777" w:rsidTr="00C3071D">
        <w:tc>
          <w:tcPr>
            <w:tcW w:w="2600" w:type="pct"/>
          </w:tcPr>
          <w:p w14:paraId="76D2EF09" w14:textId="1F92F9AA" w:rsidR="00C3071D" w:rsidRDefault="00C3071D" w:rsidP="00320D09">
            <w:pPr>
              <w:pStyle w:val="BodyText"/>
            </w:pPr>
            <w:r w:rsidRPr="009630FD">
              <w:t>Ensure that carers, or bodies that represent carers, are consulted when developing or evaluating care supports.</w:t>
            </w:r>
          </w:p>
        </w:tc>
        <w:tc>
          <w:tcPr>
            <w:tcW w:w="2400" w:type="pct"/>
          </w:tcPr>
          <w:p w14:paraId="660F418C" w14:textId="37C2739D" w:rsidR="00C3071D" w:rsidRPr="00D536D9" w:rsidRDefault="00C3071D" w:rsidP="00320D09">
            <w:pPr>
              <w:pStyle w:val="BodyText"/>
              <w:rPr>
                <w:rStyle w:val="BodyTextBold"/>
              </w:rPr>
            </w:pPr>
            <w:r w:rsidRPr="009630FD">
              <w:t>The Agency continues to maintain an ongoing relationship with Carers Australia. The Agency held a variety of information sessions and consultation forums that have included carers and their representatives, such as Participant and Provider Pathway Review workshops that commenced in April 2017.</w:t>
            </w:r>
          </w:p>
        </w:tc>
      </w:tr>
    </w:tbl>
    <w:p w14:paraId="3F22E311" w14:textId="77777777" w:rsidR="0091218E" w:rsidRDefault="0091218E" w:rsidP="0091218E">
      <w:pPr>
        <w:pStyle w:val="Heading2"/>
      </w:pPr>
      <w:bookmarkStart w:id="326" w:name="_Toc496611926"/>
      <w:r>
        <w:t>Compliance index (17BE and 17BF of PGPA Rule 2014)</w:t>
      </w:r>
      <w:bookmarkEnd w:id="326"/>
    </w:p>
    <w:p w14:paraId="386DD346" w14:textId="77777777" w:rsidR="0091218E" w:rsidRDefault="0091218E" w:rsidP="0091218E">
      <w:pPr>
        <w:pStyle w:val="Heading4tables"/>
      </w:pPr>
      <w:bookmarkStart w:id="327" w:name="_Toc496611816"/>
      <w:r>
        <w:t>Table 18: National Disability Insurance Scheme Act 2013</w:t>
      </w:r>
      <w:bookmarkEnd w:id="327"/>
    </w:p>
    <w:tbl>
      <w:tblPr>
        <w:tblStyle w:val="TableGrid"/>
        <w:tblW w:w="5000" w:type="pct"/>
        <w:tblLook w:val="04A0" w:firstRow="1" w:lastRow="0" w:firstColumn="1" w:lastColumn="0" w:noHBand="0" w:noVBand="1"/>
        <w:tblDescription w:val="Table 18: National Disability Insurance Scheme Act 2013"/>
      </w:tblPr>
      <w:tblGrid>
        <w:gridCol w:w="2161"/>
        <w:gridCol w:w="3562"/>
        <w:gridCol w:w="2154"/>
        <w:gridCol w:w="2311"/>
      </w:tblGrid>
      <w:tr w:rsidR="005C417D" w:rsidRPr="00164634" w14:paraId="3170D9E7" w14:textId="77777777" w:rsidTr="003F47B7">
        <w:trPr>
          <w:tblHeader/>
        </w:trPr>
        <w:tc>
          <w:tcPr>
            <w:tcW w:w="1061" w:type="pct"/>
            <w:shd w:val="clear" w:color="auto" w:fill="6B2976" w:themeFill="background2"/>
          </w:tcPr>
          <w:p w14:paraId="0FE849E4" w14:textId="0AFE4D07" w:rsidR="005C417D" w:rsidRPr="00164634" w:rsidRDefault="005C417D" w:rsidP="00320D09">
            <w:pPr>
              <w:pStyle w:val="TableTitle"/>
            </w:pPr>
            <w:bookmarkStart w:id="328" w:name="Title_Table18"/>
            <w:r w:rsidRPr="00254154">
              <w:t>Reference</w:t>
            </w:r>
          </w:p>
        </w:tc>
        <w:tc>
          <w:tcPr>
            <w:tcW w:w="1748" w:type="pct"/>
            <w:shd w:val="clear" w:color="auto" w:fill="6B2976" w:themeFill="background2"/>
          </w:tcPr>
          <w:p w14:paraId="5D677B94" w14:textId="4D1B45F8" w:rsidR="005C417D" w:rsidRPr="00164634" w:rsidRDefault="005C417D" w:rsidP="005C417D">
            <w:pPr>
              <w:pStyle w:val="TableTitle"/>
            </w:pPr>
            <w:r w:rsidRPr="00254154">
              <w:t>Requirement</w:t>
            </w:r>
          </w:p>
        </w:tc>
        <w:tc>
          <w:tcPr>
            <w:tcW w:w="1057" w:type="pct"/>
            <w:shd w:val="clear" w:color="auto" w:fill="6B2976" w:themeFill="background2"/>
          </w:tcPr>
          <w:p w14:paraId="65FCCF1B" w14:textId="135E0183" w:rsidR="005C417D" w:rsidRPr="00164634" w:rsidRDefault="005C417D" w:rsidP="005C417D">
            <w:pPr>
              <w:pStyle w:val="TableTitle"/>
            </w:pPr>
            <w:r w:rsidRPr="00254154">
              <w:t>Notes</w:t>
            </w:r>
          </w:p>
        </w:tc>
        <w:tc>
          <w:tcPr>
            <w:tcW w:w="1134" w:type="pct"/>
            <w:shd w:val="clear" w:color="auto" w:fill="6B2976" w:themeFill="background2"/>
          </w:tcPr>
          <w:p w14:paraId="2EA21FB1" w14:textId="1E7EF643" w:rsidR="005C417D" w:rsidRPr="00164634" w:rsidRDefault="005C417D" w:rsidP="005C417D">
            <w:pPr>
              <w:pStyle w:val="TableTitle"/>
              <w:jc w:val="right"/>
            </w:pPr>
            <w:r w:rsidRPr="00254154">
              <w:t>Page</w:t>
            </w:r>
          </w:p>
        </w:tc>
      </w:tr>
      <w:bookmarkEnd w:id="328"/>
      <w:tr w:rsidR="005C417D" w14:paraId="0BEFA781" w14:textId="77777777" w:rsidTr="005C417D">
        <w:tc>
          <w:tcPr>
            <w:tcW w:w="1061" w:type="pct"/>
          </w:tcPr>
          <w:p w14:paraId="51644CE8" w14:textId="0BF79983" w:rsidR="005C417D" w:rsidRDefault="005C417D" w:rsidP="00320D09">
            <w:pPr>
              <w:pStyle w:val="BodyText"/>
            </w:pPr>
            <w:r w:rsidRPr="00254154">
              <w:t>172(2)(a)</w:t>
            </w:r>
          </w:p>
        </w:tc>
        <w:tc>
          <w:tcPr>
            <w:tcW w:w="1748" w:type="pct"/>
          </w:tcPr>
          <w:p w14:paraId="0FE73FE5" w14:textId="1BA2D605" w:rsidR="005C417D" w:rsidRPr="00D536D9" w:rsidRDefault="005C417D" w:rsidP="005C417D">
            <w:pPr>
              <w:pStyle w:val="BodyText"/>
              <w:rPr>
                <w:rStyle w:val="BodyTextBold"/>
              </w:rPr>
            </w:pPr>
            <w:r w:rsidRPr="00254154">
              <w:t>Ministerial directions</w:t>
            </w:r>
          </w:p>
        </w:tc>
        <w:tc>
          <w:tcPr>
            <w:tcW w:w="1057" w:type="pct"/>
          </w:tcPr>
          <w:p w14:paraId="358ADEFA" w14:textId="07A1E559" w:rsidR="005C417D" w:rsidRPr="00CC2ECB" w:rsidRDefault="005C417D" w:rsidP="005C417D">
            <w:pPr>
              <w:pStyle w:val="BodyText"/>
            </w:pPr>
            <w:r w:rsidRPr="00254154">
              <w:t>No directions issued</w:t>
            </w:r>
          </w:p>
        </w:tc>
        <w:tc>
          <w:tcPr>
            <w:tcW w:w="1134" w:type="pct"/>
          </w:tcPr>
          <w:p w14:paraId="2B98EBCC" w14:textId="2004BFC8" w:rsidR="005C417D" w:rsidRPr="00CC2ECB" w:rsidRDefault="005C417D" w:rsidP="005C417D">
            <w:pPr>
              <w:pStyle w:val="BodyText"/>
              <w:jc w:val="right"/>
            </w:pPr>
            <w:r w:rsidRPr="00254154">
              <w:t>NA</w:t>
            </w:r>
          </w:p>
        </w:tc>
      </w:tr>
      <w:tr w:rsidR="005C417D" w14:paraId="7FC58E43" w14:textId="77777777" w:rsidTr="005C417D">
        <w:tc>
          <w:tcPr>
            <w:tcW w:w="1061" w:type="pct"/>
          </w:tcPr>
          <w:p w14:paraId="03F9B12C" w14:textId="2869F994" w:rsidR="005C417D" w:rsidRDefault="005C417D" w:rsidP="00320D09">
            <w:pPr>
              <w:pStyle w:val="BodyText"/>
            </w:pPr>
            <w:r w:rsidRPr="005176DC">
              <w:t>172(2)(b)</w:t>
            </w:r>
          </w:p>
        </w:tc>
        <w:tc>
          <w:tcPr>
            <w:tcW w:w="1748" w:type="pct"/>
          </w:tcPr>
          <w:p w14:paraId="1D0E8608" w14:textId="049861B6" w:rsidR="005C417D" w:rsidRPr="00D536D9" w:rsidRDefault="005C417D" w:rsidP="005C417D">
            <w:pPr>
              <w:pStyle w:val="BodyText"/>
              <w:rPr>
                <w:rStyle w:val="BodyTextBold"/>
              </w:rPr>
            </w:pPr>
            <w:r w:rsidRPr="005176DC">
              <w:t>Ministerial statements</w:t>
            </w:r>
          </w:p>
        </w:tc>
        <w:tc>
          <w:tcPr>
            <w:tcW w:w="1057" w:type="pct"/>
          </w:tcPr>
          <w:p w14:paraId="5138985A" w14:textId="64E92668" w:rsidR="005C417D" w:rsidRPr="00CC2ECB" w:rsidRDefault="005C417D" w:rsidP="005C417D">
            <w:pPr>
              <w:pStyle w:val="BodyText"/>
            </w:pPr>
            <w:r w:rsidRPr="005176DC">
              <w:t>Ministerial Statements</w:t>
            </w:r>
          </w:p>
        </w:tc>
        <w:tc>
          <w:tcPr>
            <w:tcW w:w="1134" w:type="pct"/>
          </w:tcPr>
          <w:p w14:paraId="03399E6C" w14:textId="63DAFA87" w:rsidR="005C417D" w:rsidRPr="00CC2ECB" w:rsidRDefault="005C417D" w:rsidP="005C417D">
            <w:pPr>
              <w:pStyle w:val="BodyText"/>
              <w:jc w:val="right"/>
            </w:pPr>
            <w:r w:rsidRPr="005176DC">
              <w:t>126</w:t>
            </w:r>
          </w:p>
        </w:tc>
      </w:tr>
      <w:tr w:rsidR="005C417D" w14:paraId="739A06F0" w14:textId="77777777" w:rsidTr="005C417D">
        <w:tc>
          <w:tcPr>
            <w:tcW w:w="1061" w:type="pct"/>
          </w:tcPr>
          <w:p w14:paraId="58EF9E11" w14:textId="3ACCEE26" w:rsidR="005C417D" w:rsidRDefault="005C417D" w:rsidP="00320D09">
            <w:pPr>
              <w:pStyle w:val="BodyText"/>
            </w:pPr>
            <w:r w:rsidRPr="00570A7F">
              <w:t>172(2)(c)</w:t>
            </w:r>
          </w:p>
        </w:tc>
        <w:tc>
          <w:tcPr>
            <w:tcW w:w="1748" w:type="pct"/>
          </w:tcPr>
          <w:p w14:paraId="7B8FEA95" w14:textId="4C7DD125" w:rsidR="005C417D" w:rsidRPr="00D536D9" w:rsidRDefault="005C417D" w:rsidP="005C417D">
            <w:pPr>
              <w:pStyle w:val="BodyText"/>
              <w:rPr>
                <w:rStyle w:val="BodyTextBold"/>
              </w:rPr>
            </w:pPr>
            <w:r w:rsidRPr="009E7A37">
              <w:t>Participant and funding information and analysis</w:t>
            </w:r>
          </w:p>
        </w:tc>
        <w:tc>
          <w:tcPr>
            <w:tcW w:w="1057" w:type="pct"/>
          </w:tcPr>
          <w:p w14:paraId="30417065" w14:textId="77777777" w:rsidR="005C417D" w:rsidRDefault="005C417D" w:rsidP="005C417D">
            <w:pPr>
              <w:pStyle w:val="BodyText"/>
            </w:pPr>
            <w:r>
              <w:t>Performance Report</w:t>
            </w:r>
          </w:p>
          <w:p w14:paraId="5B27525C" w14:textId="5981A111" w:rsidR="005C417D" w:rsidRPr="00CC2ECB" w:rsidRDefault="005C417D" w:rsidP="005C417D">
            <w:pPr>
              <w:pStyle w:val="BodyText"/>
            </w:pPr>
            <w:r>
              <w:t>Scheme sustainability and financial performance</w:t>
            </w:r>
          </w:p>
        </w:tc>
        <w:tc>
          <w:tcPr>
            <w:tcW w:w="1134" w:type="pct"/>
          </w:tcPr>
          <w:p w14:paraId="586CFAE2" w14:textId="77777777" w:rsidR="005C417D" w:rsidRDefault="005C417D" w:rsidP="005C417D">
            <w:pPr>
              <w:pStyle w:val="BodyText"/>
              <w:jc w:val="right"/>
            </w:pPr>
            <w:r>
              <w:t>102</w:t>
            </w:r>
          </w:p>
          <w:p w14:paraId="0E8F738F" w14:textId="67E19B3F" w:rsidR="005C417D" w:rsidRPr="00CC2ECB" w:rsidRDefault="005C417D" w:rsidP="005C417D">
            <w:pPr>
              <w:pStyle w:val="BodyText"/>
              <w:jc w:val="right"/>
            </w:pPr>
            <w:r>
              <w:t>154</w:t>
            </w:r>
          </w:p>
        </w:tc>
      </w:tr>
      <w:tr w:rsidR="005C417D" w14:paraId="6AD6031B" w14:textId="77777777" w:rsidTr="005C417D">
        <w:tc>
          <w:tcPr>
            <w:tcW w:w="1061" w:type="pct"/>
          </w:tcPr>
          <w:p w14:paraId="77092264" w14:textId="3B48FB4B" w:rsidR="005C417D" w:rsidRDefault="005C417D" w:rsidP="00320D09">
            <w:pPr>
              <w:pStyle w:val="BodyText"/>
            </w:pPr>
            <w:r w:rsidRPr="00570A7F">
              <w:t>172(3)</w:t>
            </w:r>
          </w:p>
        </w:tc>
        <w:tc>
          <w:tcPr>
            <w:tcW w:w="1748" w:type="pct"/>
          </w:tcPr>
          <w:p w14:paraId="34794440" w14:textId="0AD21D3D" w:rsidR="005C417D" w:rsidRPr="00D536D9" w:rsidRDefault="005C417D" w:rsidP="005C417D">
            <w:pPr>
              <w:pStyle w:val="BodyText"/>
              <w:rPr>
                <w:rStyle w:val="BodyTextBold"/>
              </w:rPr>
            </w:pPr>
            <w:r w:rsidRPr="009E7A37">
              <w:t>Requirements in legislative instruments relating to paragraph 172(2)(c)</w:t>
            </w:r>
          </w:p>
        </w:tc>
        <w:tc>
          <w:tcPr>
            <w:tcW w:w="1057" w:type="pct"/>
          </w:tcPr>
          <w:p w14:paraId="2B3C10B6" w14:textId="3D003F8C" w:rsidR="005C417D" w:rsidRPr="00CC2ECB" w:rsidRDefault="005C417D" w:rsidP="005C417D">
            <w:pPr>
              <w:pStyle w:val="BodyText"/>
            </w:pPr>
            <w:r w:rsidRPr="00C02E23">
              <w:t>No legislative instrument made</w:t>
            </w:r>
          </w:p>
        </w:tc>
        <w:tc>
          <w:tcPr>
            <w:tcW w:w="1134" w:type="pct"/>
          </w:tcPr>
          <w:p w14:paraId="3A59D834" w14:textId="3D3AA08D" w:rsidR="005C417D" w:rsidRPr="00CC2ECB" w:rsidRDefault="005C417D" w:rsidP="005C417D">
            <w:pPr>
              <w:pStyle w:val="BodyText"/>
              <w:jc w:val="right"/>
            </w:pPr>
            <w:r w:rsidRPr="005176DC">
              <w:t>NA</w:t>
            </w:r>
          </w:p>
        </w:tc>
      </w:tr>
      <w:tr w:rsidR="005C417D" w14:paraId="3B41FE15" w14:textId="77777777" w:rsidTr="005C417D">
        <w:tc>
          <w:tcPr>
            <w:tcW w:w="1061" w:type="pct"/>
          </w:tcPr>
          <w:p w14:paraId="2F4218BF" w14:textId="386670B5" w:rsidR="005C417D" w:rsidRDefault="005C417D" w:rsidP="00320D09">
            <w:pPr>
              <w:pStyle w:val="BodyText"/>
            </w:pPr>
            <w:r w:rsidRPr="00570A7F">
              <w:t>172(4)(a)</w:t>
            </w:r>
          </w:p>
        </w:tc>
        <w:tc>
          <w:tcPr>
            <w:tcW w:w="1748" w:type="pct"/>
          </w:tcPr>
          <w:p w14:paraId="15BC2DA2" w14:textId="73DB624E" w:rsidR="005C417D" w:rsidRDefault="005C417D" w:rsidP="005C417D">
            <w:pPr>
              <w:pStyle w:val="BodyText"/>
            </w:pPr>
            <w:r w:rsidRPr="009E7A37">
              <w:t>Scheme Actuary’s report</w:t>
            </w:r>
          </w:p>
        </w:tc>
        <w:tc>
          <w:tcPr>
            <w:tcW w:w="1057" w:type="pct"/>
          </w:tcPr>
          <w:p w14:paraId="6F2F55F2" w14:textId="0EBB356E" w:rsidR="005C417D" w:rsidRPr="00CC2ECB" w:rsidRDefault="005C417D" w:rsidP="005C417D">
            <w:pPr>
              <w:pStyle w:val="BodyText"/>
            </w:pPr>
            <w:r w:rsidRPr="00C02E23">
              <w:t>Scheme sustainability and financial performance</w:t>
            </w:r>
          </w:p>
        </w:tc>
        <w:tc>
          <w:tcPr>
            <w:tcW w:w="1134" w:type="pct"/>
          </w:tcPr>
          <w:p w14:paraId="06012AAA" w14:textId="5535486D" w:rsidR="005C417D" w:rsidRPr="00CC2ECB" w:rsidRDefault="005C417D" w:rsidP="005C417D">
            <w:pPr>
              <w:pStyle w:val="BodyText"/>
              <w:jc w:val="right"/>
            </w:pPr>
            <w:r w:rsidRPr="005176DC">
              <w:t>152</w:t>
            </w:r>
          </w:p>
        </w:tc>
      </w:tr>
      <w:tr w:rsidR="005C417D" w14:paraId="647B5C97" w14:textId="77777777" w:rsidTr="005C417D">
        <w:tc>
          <w:tcPr>
            <w:tcW w:w="1061" w:type="pct"/>
          </w:tcPr>
          <w:p w14:paraId="6DBD3FB2" w14:textId="61C571FE" w:rsidR="005C417D" w:rsidRPr="001E3FE1" w:rsidRDefault="005C417D" w:rsidP="00320D09">
            <w:pPr>
              <w:pStyle w:val="BodyText"/>
            </w:pPr>
            <w:r w:rsidRPr="00570A7F">
              <w:t>172(4)(b)</w:t>
            </w:r>
          </w:p>
        </w:tc>
        <w:tc>
          <w:tcPr>
            <w:tcW w:w="1748" w:type="pct"/>
          </w:tcPr>
          <w:p w14:paraId="1041883A" w14:textId="2580B3BF" w:rsidR="005C417D" w:rsidRPr="001E3FE1" w:rsidRDefault="005C417D" w:rsidP="005C417D">
            <w:pPr>
              <w:pStyle w:val="BodyText"/>
            </w:pPr>
            <w:r w:rsidRPr="009E7A37">
              <w:t>Reviewing Actuary’s report</w:t>
            </w:r>
          </w:p>
        </w:tc>
        <w:tc>
          <w:tcPr>
            <w:tcW w:w="1057" w:type="pct"/>
          </w:tcPr>
          <w:p w14:paraId="3D13D696" w14:textId="1C030809" w:rsidR="005C417D" w:rsidRPr="001E3FE1" w:rsidRDefault="005C417D" w:rsidP="005C417D">
            <w:pPr>
              <w:pStyle w:val="BodyText"/>
            </w:pPr>
            <w:r w:rsidRPr="00C02E23">
              <w:t>Scheme sustainability and financial performance</w:t>
            </w:r>
          </w:p>
        </w:tc>
        <w:tc>
          <w:tcPr>
            <w:tcW w:w="1134" w:type="pct"/>
          </w:tcPr>
          <w:p w14:paraId="3D1C1734" w14:textId="11682834" w:rsidR="005C417D" w:rsidRPr="001E3FE1" w:rsidRDefault="005C417D" w:rsidP="005C417D">
            <w:pPr>
              <w:pStyle w:val="BodyText"/>
              <w:jc w:val="right"/>
            </w:pPr>
            <w:r w:rsidRPr="005176DC">
              <w:t>158</w:t>
            </w:r>
          </w:p>
        </w:tc>
      </w:tr>
    </w:tbl>
    <w:p w14:paraId="7BD43E5E" w14:textId="1D2B820E" w:rsidR="00232136" w:rsidRDefault="005C417D" w:rsidP="005C417D">
      <w:pPr>
        <w:pStyle w:val="Heading4tables"/>
      </w:pPr>
      <w:bookmarkStart w:id="329" w:name="_Toc496611817"/>
      <w:r w:rsidRPr="005C417D">
        <w:t>Table 19: PGPA Corporate Commonwealth Entity Rule 2014</w:t>
      </w:r>
      <w:bookmarkEnd w:id="329"/>
    </w:p>
    <w:tbl>
      <w:tblPr>
        <w:tblStyle w:val="TableGrid"/>
        <w:tblW w:w="5000" w:type="pct"/>
        <w:tblLook w:val="04A0" w:firstRow="1" w:lastRow="0" w:firstColumn="1" w:lastColumn="0" w:noHBand="0" w:noVBand="1"/>
        <w:tblDescription w:val="Table 19: PGPA Corporate Commonwealth Entity Rule 2014"/>
      </w:tblPr>
      <w:tblGrid>
        <w:gridCol w:w="1694"/>
        <w:gridCol w:w="3974"/>
        <w:gridCol w:w="3310"/>
        <w:gridCol w:w="1210"/>
      </w:tblGrid>
      <w:tr w:rsidR="00C00B3E" w:rsidRPr="00164634" w14:paraId="6EDC069D" w14:textId="77777777" w:rsidTr="003F47B7">
        <w:trPr>
          <w:tblHeader/>
        </w:trPr>
        <w:tc>
          <w:tcPr>
            <w:tcW w:w="831" w:type="pct"/>
            <w:shd w:val="clear" w:color="auto" w:fill="6B2976" w:themeFill="background2"/>
          </w:tcPr>
          <w:p w14:paraId="4499A298" w14:textId="77777777" w:rsidR="00C00B3E" w:rsidRPr="00164634" w:rsidRDefault="00C00B3E" w:rsidP="00320D09">
            <w:pPr>
              <w:pStyle w:val="TableTitle"/>
            </w:pPr>
            <w:bookmarkStart w:id="330" w:name="Title_Table19"/>
            <w:r w:rsidRPr="00254154">
              <w:t>Reference</w:t>
            </w:r>
          </w:p>
        </w:tc>
        <w:tc>
          <w:tcPr>
            <w:tcW w:w="1950" w:type="pct"/>
            <w:shd w:val="clear" w:color="auto" w:fill="6B2976" w:themeFill="background2"/>
          </w:tcPr>
          <w:p w14:paraId="54FF7390" w14:textId="77777777" w:rsidR="00C00B3E" w:rsidRPr="00164634" w:rsidRDefault="00C00B3E" w:rsidP="00320D09">
            <w:pPr>
              <w:pStyle w:val="TableTitle"/>
            </w:pPr>
            <w:r w:rsidRPr="00254154">
              <w:t>Requirement</w:t>
            </w:r>
          </w:p>
        </w:tc>
        <w:tc>
          <w:tcPr>
            <w:tcW w:w="1624" w:type="pct"/>
            <w:shd w:val="clear" w:color="auto" w:fill="6B2976" w:themeFill="background2"/>
          </w:tcPr>
          <w:p w14:paraId="67014D0D" w14:textId="77777777" w:rsidR="00C00B3E" w:rsidRPr="00164634" w:rsidRDefault="00C00B3E" w:rsidP="00320D09">
            <w:pPr>
              <w:pStyle w:val="TableTitle"/>
            </w:pPr>
            <w:r w:rsidRPr="00254154">
              <w:t>Notes</w:t>
            </w:r>
          </w:p>
        </w:tc>
        <w:tc>
          <w:tcPr>
            <w:tcW w:w="594" w:type="pct"/>
            <w:shd w:val="clear" w:color="auto" w:fill="6B2976" w:themeFill="background2"/>
          </w:tcPr>
          <w:p w14:paraId="37F5E196" w14:textId="77777777" w:rsidR="00C00B3E" w:rsidRPr="00164634" w:rsidRDefault="00C00B3E" w:rsidP="00320D09">
            <w:pPr>
              <w:pStyle w:val="TableTitle"/>
              <w:jc w:val="right"/>
            </w:pPr>
            <w:r w:rsidRPr="00254154">
              <w:t>Page</w:t>
            </w:r>
          </w:p>
        </w:tc>
      </w:tr>
      <w:bookmarkEnd w:id="330"/>
      <w:tr w:rsidR="00C00B3E" w14:paraId="0AC55D48" w14:textId="77777777" w:rsidTr="00C00B3E">
        <w:tc>
          <w:tcPr>
            <w:tcW w:w="831" w:type="pct"/>
          </w:tcPr>
          <w:p w14:paraId="09F6AE0C" w14:textId="394010B0" w:rsidR="00C00B3E" w:rsidRDefault="00C00B3E" w:rsidP="00320D09">
            <w:pPr>
              <w:pStyle w:val="BodyText"/>
            </w:pPr>
            <w:r w:rsidRPr="00494C8E">
              <w:t>17BB</w:t>
            </w:r>
          </w:p>
        </w:tc>
        <w:tc>
          <w:tcPr>
            <w:tcW w:w="1950" w:type="pct"/>
          </w:tcPr>
          <w:p w14:paraId="577FC352" w14:textId="79C36B8C" w:rsidR="00C00B3E" w:rsidRPr="00D536D9" w:rsidRDefault="00C00B3E" w:rsidP="00320D09">
            <w:pPr>
              <w:pStyle w:val="BodyText"/>
              <w:rPr>
                <w:rStyle w:val="BodyTextBold"/>
              </w:rPr>
            </w:pPr>
            <w:r w:rsidRPr="00494C8E">
              <w:t>Approval by directors</w:t>
            </w:r>
          </w:p>
        </w:tc>
        <w:tc>
          <w:tcPr>
            <w:tcW w:w="1624" w:type="pct"/>
          </w:tcPr>
          <w:p w14:paraId="5B750D22" w14:textId="37E0A082" w:rsidR="00C00B3E" w:rsidRPr="00CC2ECB" w:rsidRDefault="00C00B3E" w:rsidP="00320D09">
            <w:pPr>
              <w:pStyle w:val="BodyText"/>
            </w:pPr>
            <w:r w:rsidRPr="00494C8E">
              <w:t>Letter of transmittal</w:t>
            </w:r>
          </w:p>
        </w:tc>
        <w:tc>
          <w:tcPr>
            <w:tcW w:w="594" w:type="pct"/>
          </w:tcPr>
          <w:p w14:paraId="3485C438" w14:textId="73C15A5C" w:rsidR="00C00B3E" w:rsidRPr="00CC2ECB" w:rsidRDefault="00C00B3E" w:rsidP="00C00B3E">
            <w:pPr>
              <w:pStyle w:val="BodyText"/>
              <w:jc w:val="right"/>
            </w:pPr>
            <w:r w:rsidRPr="00494C8E">
              <w:t>II</w:t>
            </w:r>
          </w:p>
        </w:tc>
      </w:tr>
      <w:tr w:rsidR="00C00B3E" w14:paraId="7983237D" w14:textId="77777777" w:rsidTr="00C00B3E">
        <w:tc>
          <w:tcPr>
            <w:tcW w:w="831" w:type="pct"/>
          </w:tcPr>
          <w:p w14:paraId="50984AD4" w14:textId="49E74A9C" w:rsidR="00C00B3E" w:rsidRDefault="00C00B3E" w:rsidP="00320D09">
            <w:pPr>
              <w:pStyle w:val="BodyText"/>
            </w:pPr>
            <w:r w:rsidRPr="0038356F">
              <w:t>17BC</w:t>
            </w:r>
          </w:p>
        </w:tc>
        <w:tc>
          <w:tcPr>
            <w:tcW w:w="1950" w:type="pct"/>
          </w:tcPr>
          <w:p w14:paraId="7D7B7F47" w14:textId="0820C0A2" w:rsidR="00C00B3E" w:rsidRPr="00D536D9" w:rsidRDefault="00C00B3E" w:rsidP="00C00B3E">
            <w:pPr>
              <w:pStyle w:val="BodyText"/>
              <w:rPr>
                <w:rStyle w:val="BodyTextBold"/>
              </w:rPr>
            </w:pPr>
            <w:r w:rsidRPr="00CB2589">
              <w:t>Compliance with the guidelines for presenting documents to the Parliament</w:t>
            </w:r>
            <w:r w:rsidRPr="00CB2589">
              <w:cr/>
              <w:t xml:space="preserve"> </w:t>
            </w:r>
          </w:p>
        </w:tc>
        <w:tc>
          <w:tcPr>
            <w:tcW w:w="1624" w:type="pct"/>
          </w:tcPr>
          <w:p w14:paraId="05CEC5F3" w14:textId="2C38EB42" w:rsidR="00C00B3E" w:rsidRPr="00CC2ECB" w:rsidRDefault="00C00B3E" w:rsidP="00320D09">
            <w:pPr>
              <w:pStyle w:val="BodyText"/>
            </w:pPr>
          </w:p>
        </w:tc>
        <w:tc>
          <w:tcPr>
            <w:tcW w:w="594" w:type="pct"/>
          </w:tcPr>
          <w:p w14:paraId="688CB831" w14:textId="6DED09DD" w:rsidR="00C00B3E" w:rsidRPr="00CC2ECB" w:rsidRDefault="00C00B3E" w:rsidP="00320D09">
            <w:pPr>
              <w:pStyle w:val="BodyText"/>
              <w:jc w:val="right"/>
            </w:pPr>
            <w:r w:rsidRPr="00C00B3E">
              <w:t>All</w:t>
            </w:r>
          </w:p>
        </w:tc>
      </w:tr>
      <w:tr w:rsidR="00C00B3E" w14:paraId="4EC881A4" w14:textId="77777777" w:rsidTr="00C00B3E">
        <w:tc>
          <w:tcPr>
            <w:tcW w:w="831" w:type="pct"/>
          </w:tcPr>
          <w:p w14:paraId="36F55DA2" w14:textId="58A1ADE3" w:rsidR="00C00B3E" w:rsidRDefault="00C00B3E" w:rsidP="00320D09">
            <w:pPr>
              <w:pStyle w:val="BodyText"/>
            </w:pPr>
            <w:r w:rsidRPr="0038356F">
              <w:t>17BD</w:t>
            </w:r>
          </w:p>
        </w:tc>
        <w:tc>
          <w:tcPr>
            <w:tcW w:w="1950" w:type="pct"/>
          </w:tcPr>
          <w:p w14:paraId="7E15E6FD" w14:textId="23DFF765" w:rsidR="00C00B3E" w:rsidRPr="00D536D9" w:rsidRDefault="00C00B3E" w:rsidP="00C00B3E">
            <w:pPr>
              <w:pStyle w:val="BodyText"/>
              <w:rPr>
                <w:rStyle w:val="BodyTextBold"/>
              </w:rPr>
            </w:pPr>
            <w:r w:rsidRPr="00B518C6">
              <w:t xml:space="preserve">Plain English and clear design </w:t>
            </w:r>
          </w:p>
        </w:tc>
        <w:tc>
          <w:tcPr>
            <w:tcW w:w="1624" w:type="pct"/>
          </w:tcPr>
          <w:p w14:paraId="50B8D1EF" w14:textId="2D1558C1" w:rsidR="00C00B3E" w:rsidRPr="00CC2ECB" w:rsidRDefault="00C00B3E" w:rsidP="00320D09">
            <w:pPr>
              <w:pStyle w:val="BodyText"/>
            </w:pPr>
            <w:r w:rsidRPr="00E931AB">
              <w:t>Visit the NDIS website for as Easy English version of the Annual Report</w:t>
            </w:r>
          </w:p>
        </w:tc>
        <w:tc>
          <w:tcPr>
            <w:tcW w:w="594" w:type="pct"/>
          </w:tcPr>
          <w:p w14:paraId="75CCD9B2" w14:textId="7AD7BC82" w:rsidR="00C00B3E" w:rsidRPr="00CC2ECB" w:rsidRDefault="00C00B3E" w:rsidP="00320D09">
            <w:pPr>
              <w:pStyle w:val="BodyText"/>
              <w:jc w:val="right"/>
            </w:pPr>
            <w:r w:rsidRPr="00E931AB">
              <w:t>All</w:t>
            </w:r>
          </w:p>
        </w:tc>
      </w:tr>
      <w:tr w:rsidR="00C00B3E" w14:paraId="329942BE" w14:textId="77777777" w:rsidTr="00C00B3E">
        <w:tc>
          <w:tcPr>
            <w:tcW w:w="831" w:type="pct"/>
          </w:tcPr>
          <w:p w14:paraId="7D2253B4" w14:textId="4838BD91" w:rsidR="00C00B3E" w:rsidRDefault="00C00B3E" w:rsidP="00320D09">
            <w:pPr>
              <w:pStyle w:val="BodyText"/>
            </w:pPr>
            <w:r w:rsidRPr="0038356F">
              <w:t xml:space="preserve">17BE(a) </w:t>
            </w:r>
            <w:r>
              <w:br/>
            </w:r>
            <w:r w:rsidRPr="0038356F">
              <w:t>17BE(b)</w:t>
            </w:r>
          </w:p>
        </w:tc>
        <w:tc>
          <w:tcPr>
            <w:tcW w:w="1950" w:type="pct"/>
          </w:tcPr>
          <w:p w14:paraId="28F22C82" w14:textId="227B00D7" w:rsidR="00C00B3E" w:rsidRPr="00D536D9" w:rsidRDefault="00C00B3E" w:rsidP="00C00B3E">
            <w:pPr>
              <w:pStyle w:val="BodyText"/>
              <w:rPr>
                <w:rStyle w:val="BodyTextBold"/>
              </w:rPr>
            </w:pPr>
            <w:r>
              <w:t>Enabling legislation, objectives, purposes and functions</w:t>
            </w:r>
          </w:p>
        </w:tc>
        <w:tc>
          <w:tcPr>
            <w:tcW w:w="1624" w:type="pct"/>
          </w:tcPr>
          <w:p w14:paraId="0CB1CDB6" w14:textId="77777777" w:rsidR="00C00B3E" w:rsidRDefault="00C00B3E" w:rsidP="00C00B3E">
            <w:pPr>
              <w:pStyle w:val="BodyText"/>
            </w:pPr>
            <w:r>
              <w:t>Enabling legislation</w:t>
            </w:r>
          </w:p>
          <w:p w14:paraId="1C2D86E7" w14:textId="77777777" w:rsidR="00C00B3E" w:rsidRDefault="00C00B3E" w:rsidP="00C00B3E">
            <w:pPr>
              <w:pStyle w:val="BodyText"/>
            </w:pPr>
            <w:r>
              <w:t>Performance report</w:t>
            </w:r>
          </w:p>
          <w:p w14:paraId="6DA2447A" w14:textId="199CFFD9" w:rsidR="00C00B3E" w:rsidRPr="00CC2ECB" w:rsidRDefault="00C00B3E" w:rsidP="00C00B3E">
            <w:pPr>
              <w:pStyle w:val="BodyText"/>
            </w:pPr>
            <w:r>
              <w:t>About the NDIS</w:t>
            </w:r>
          </w:p>
        </w:tc>
        <w:tc>
          <w:tcPr>
            <w:tcW w:w="594" w:type="pct"/>
          </w:tcPr>
          <w:p w14:paraId="2A0C2F5A" w14:textId="77777777" w:rsidR="00C00B3E" w:rsidRDefault="00C00B3E" w:rsidP="00C00B3E">
            <w:pPr>
              <w:pStyle w:val="BodyText"/>
              <w:jc w:val="right"/>
            </w:pPr>
            <w:r>
              <w:t>217</w:t>
            </w:r>
          </w:p>
          <w:p w14:paraId="30814A84" w14:textId="77777777" w:rsidR="00C00B3E" w:rsidRDefault="00C00B3E" w:rsidP="00C00B3E">
            <w:pPr>
              <w:pStyle w:val="BodyText"/>
              <w:jc w:val="right"/>
            </w:pPr>
            <w:r>
              <w:t>102</w:t>
            </w:r>
          </w:p>
          <w:p w14:paraId="0529E094" w14:textId="6B1473FB" w:rsidR="00C00B3E" w:rsidRPr="00CC2ECB" w:rsidRDefault="00C00B3E" w:rsidP="00C00B3E">
            <w:pPr>
              <w:pStyle w:val="BodyText"/>
              <w:jc w:val="right"/>
            </w:pPr>
            <w:r>
              <w:t>12</w:t>
            </w:r>
          </w:p>
        </w:tc>
      </w:tr>
      <w:tr w:rsidR="00C00B3E" w14:paraId="7F481D9A" w14:textId="77777777" w:rsidTr="00C00B3E">
        <w:tc>
          <w:tcPr>
            <w:tcW w:w="831" w:type="pct"/>
          </w:tcPr>
          <w:p w14:paraId="3CA2369C" w14:textId="3DD38DF3" w:rsidR="00C00B3E" w:rsidRDefault="00C00B3E" w:rsidP="00320D09">
            <w:pPr>
              <w:pStyle w:val="BodyText"/>
            </w:pPr>
            <w:r w:rsidRPr="0038356F">
              <w:t>17BE(c)</w:t>
            </w:r>
          </w:p>
        </w:tc>
        <w:tc>
          <w:tcPr>
            <w:tcW w:w="1950" w:type="pct"/>
          </w:tcPr>
          <w:p w14:paraId="3615D25E" w14:textId="4618F905" w:rsidR="00C00B3E" w:rsidRDefault="00C00B3E" w:rsidP="00320D09">
            <w:pPr>
              <w:pStyle w:val="BodyText"/>
            </w:pPr>
            <w:r w:rsidRPr="00506F54">
              <w:t>Responsible Minister</w:t>
            </w:r>
          </w:p>
        </w:tc>
        <w:tc>
          <w:tcPr>
            <w:tcW w:w="1624" w:type="pct"/>
          </w:tcPr>
          <w:p w14:paraId="7E3435DD" w14:textId="372AC6EA" w:rsidR="00C00B3E" w:rsidRPr="00CC2ECB" w:rsidRDefault="00C00B3E" w:rsidP="00320D09">
            <w:pPr>
              <w:pStyle w:val="BodyText"/>
            </w:pPr>
            <w:r w:rsidRPr="00DE028D">
              <w:t>Responsible Minister</w:t>
            </w:r>
          </w:p>
        </w:tc>
        <w:tc>
          <w:tcPr>
            <w:tcW w:w="594" w:type="pct"/>
          </w:tcPr>
          <w:p w14:paraId="340357B2" w14:textId="34BC0989" w:rsidR="00C00B3E" w:rsidRPr="00CC2ECB" w:rsidRDefault="00C00B3E" w:rsidP="00320D09">
            <w:pPr>
              <w:pStyle w:val="BodyText"/>
              <w:jc w:val="right"/>
            </w:pPr>
            <w:r w:rsidRPr="00DE028D">
              <w:t>124</w:t>
            </w:r>
          </w:p>
        </w:tc>
      </w:tr>
      <w:tr w:rsidR="00C00B3E" w14:paraId="043EBEB4" w14:textId="77777777" w:rsidTr="00C00B3E">
        <w:tc>
          <w:tcPr>
            <w:tcW w:w="831" w:type="pct"/>
          </w:tcPr>
          <w:p w14:paraId="0CA4AA43" w14:textId="39B1D487" w:rsidR="00C00B3E" w:rsidRPr="001E3FE1" w:rsidRDefault="00C00B3E" w:rsidP="00320D09">
            <w:pPr>
              <w:pStyle w:val="BodyText"/>
            </w:pPr>
            <w:r w:rsidRPr="0038356F">
              <w:t xml:space="preserve">17BE(d) </w:t>
            </w:r>
          </w:p>
        </w:tc>
        <w:tc>
          <w:tcPr>
            <w:tcW w:w="1950" w:type="pct"/>
          </w:tcPr>
          <w:p w14:paraId="242495FF" w14:textId="334B9F91" w:rsidR="00C00B3E" w:rsidRPr="001E3FE1" w:rsidRDefault="00C00B3E" w:rsidP="00320D09">
            <w:pPr>
              <w:pStyle w:val="BodyText"/>
            </w:pPr>
            <w:r w:rsidRPr="00506F54">
              <w:t>Ministerial directions</w:t>
            </w:r>
          </w:p>
        </w:tc>
        <w:tc>
          <w:tcPr>
            <w:tcW w:w="1624" w:type="pct"/>
          </w:tcPr>
          <w:p w14:paraId="2A9B2052" w14:textId="58BC6554" w:rsidR="00C00B3E" w:rsidRPr="001E3FE1" w:rsidRDefault="00C00B3E" w:rsidP="00320D09">
            <w:pPr>
              <w:pStyle w:val="BodyText"/>
            </w:pPr>
            <w:r w:rsidRPr="00DE028D">
              <w:t>Governance arrangements</w:t>
            </w:r>
          </w:p>
        </w:tc>
        <w:tc>
          <w:tcPr>
            <w:tcW w:w="594" w:type="pct"/>
          </w:tcPr>
          <w:p w14:paraId="1C33A49C" w14:textId="4E883CA1" w:rsidR="00C00B3E" w:rsidRPr="001E3FE1" w:rsidRDefault="00C00B3E" w:rsidP="00320D09">
            <w:pPr>
              <w:pStyle w:val="BodyText"/>
              <w:jc w:val="right"/>
            </w:pPr>
            <w:r w:rsidRPr="00DE028D">
              <w:t>NA</w:t>
            </w:r>
          </w:p>
        </w:tc>
      </w:tr>
      <w:tr w:rsidR="00C00B3E" w14:paraId="6047EAA3" w14:textId="77777777" w:rsidTr="00C00B3E">
        <w:tc>
          <w:tcPr>
            <w:tcW w:w="831" w:type="pct"/>
          </w:tcPr>
          <w:p w14:paraId="3B7706CE" w14:textId="43CD4DC6" w:rsidR="00C00B3E" w:rsidRPr="00570A7F" w:rsidRDefault="00C00B3E" w:rsidP="00320D09">
            <w:pPr>
              <w:pStyle w:val="BodyText"/>
            </w:pPr>
            <w:r w:rsidRPr="0038356F">
              <w:t xml:space="preserve">17BE(e) </w:t>
            </w:r>
            <w:r>
              <w:br/>
            </w:r>
            <w:r w:rsidRPr="0038356F">
              <w:t>17BE(f)</w:t>
            </w:r>
          </w:p>
        </w:tc>
        <w:tc>
          <w:tcPr>
            <w:tcW w:w="1950" w:type="pct"/>
          </w:tcPr>
          <w:p w14:paraId="604CE2DA" w14:textId="547C73D9" w:rsidR="00C00B3E" w:rsidRPr="009E7A37" w:rsidRDefault="00C00B3E" w:rsidP="00320D09">
            <w:pPr>
              <w:pStyle w:val="BodyText"/>
            </w:pPr>
            <w:r w:rsidRPr="00506F54">
              <w:t>Government policy orders</w:t>
            </w:r>
          </w:p>
        </w:tc>
        <w:tc>
          <w:tcPr>
            <w:tcW w:w="1624" w:type="pct"/>
          </w:tcPr>
          <w:p w14:paraId="00A7B31F" w14:textId="755A7C86" w:rsidR="00C00B3E" w:rsidRPr="00C02E23" w:rsidRDefault="00C00B3E" w:rsidP="00320D09">
            <w:pPr>
              <w:pStyle w:val="BodyText"/>
            </w:pPr>
            <w:r w:rsidRPr="00DE028D">
              <w:t xml:space="preserve">No Government policy orders issued </w:t>
            </w:r>
          </w:p>
        </w:tc>
        <w:tc>
          <w:tcPr>
            <w:tcW w:w="594" w:type="pct"/>
          </w:tcPr>
          <w:p w14:paraId="3C8F4B48" w14:textId="5075614E" w:rsidR="00C00B3E" w:rsidRPr="005176DC" w:rsidRDefault="00C00B3E" w:rsidP="00320D09">
            <w:pPr>
              <w:pStyle w:val="BodyText"/>
              <w:jc w:val="right"/>
            </w:pPr>
            <w:r w:rsidRPr="00DE028D">
              <w:t>NA</w:t>
            </w:r>
          </w:p>
        </w:tc>
      </w:tr>
      <w:tr w:rsidR="00841128" w14:paraId="096F6E7B" w14:textId="77777777" w:rsidTr="00C00B3E">
        <w:tc>
          <w:tcPr>
            <w:tcW w:w="831" w:type="pct"/>
          </w:tcPr>
          <w:p w14:paraId="4BA36177" w14:textId="1E820036" w:rsidR="00841128" w:rsidRPr="0038356F" w:rsidRDefault="00841128" w:rsidP="00320D09">
            <w:pPr>
              <w:pStyle w:val="BodyText"/>
            </w:pPr>
            <w:r w:rsidRPr="00EF33B6">
              <w:t xml:space="preserve">17BE(g) </w:t>
            </w:r>
          </w:p>
        </w:tc>
        <w:tc>
          <w:tcPr>
            <w:tcW w:w="1950" w:type="pct"/>
          </w:tcPr>
          <w:p w14:paraId="55DEFA4E" w14:textId="7C4EE756" w:rsidR="00841128" w:rsidRPr="00506F54" w:rsidRDefault="00841128" w:rsidP="00320D09">
            <w:pPr>
              <w:pStyle w:val="BodyText"/>
            </w:pPr>
            <w:r w:rsidRPr="00EF33B6">
              <w:t>Annual performance statements</w:t>
            </w:r>
          </w:p>
        </w:tc>
        <w:tc>
          <w:tcPr>
            <w:tcW w:w="1624" w:type="pct"/>
          </w:tcPr>
          <w:p w14:paraId="663567A3" w14:textId="7A0DD8A2" w:rsidR="00841128" w:rsidRPr="00DE028D" w:rsidRDefault="00841128" w:rsidP="00320D09">
            <w:pPr>
              <w:pStyle w:val="BodyText"/>
            </w:pPr>
            <w:r w:rsidRPr="00EF33B6">
              <w:t xml:space="preserve">Performance report </w:t>
            </w:r>
          </w:p>
        </w:tc>
        <w:tc>
          <w:tcPr>
            <w:tcW w:w="594" w:type="pct"/>
          </w:tcPr>
          <w:p w14:paraId="29D5C83C" w14:textId="003CAB94" w:rsidR="00841128" w:rsidRPr="00DE028D" w:rsidRDefault="00841128" w:rsidP="00320D09">
            <w:pPr>
              <w:pStyle w:val="BodyText"/>
              <w:jc w:val="right"/>
            </w:pPr>
            <w:r w:rsidRPr="00EF33B6">
              <w:t>102</w:t>
            </w:r>
          </w:p>
        </w:tc>
      </w:tr>
      <w:tr w:rsidR="00841128" w14:paraId="61DC2FA9" w14:textId="77777777" w:rsidTr="00C00B3E">
        <w:tc>
          <w:tcPr>
            <w:tcW w:w="831" w:type="pct"/>
          </w:tcPr>
          <w:p w14:paraId="6E50BD0D" w14:textId="77777777" w:rsidR="00841128" w:rsidRDefault="00841128" w:rsidP="00841128">
            <w:pPr>
              <w:pStyle w:val="BodyText"/>
            </w:pPr>
            <w:r>
              <w:t>17BE(h)</w:t>
            </w:r>
          </w:p>
          <w:p w14:paraId="593FC94B" w14:textId="64241D15" w:rsidR="00841128" w:rsidRPr="0038356F" w:rsidRDefault="00841128" w:rsidP="00320D09">
            <w:pPr>
              <w:pStyle w:val="BodyText"/>
            </w:pPr>
            <w:r>
              <w:t xml:space="preserve">17BE(i) </w:t>
            </w:r>
          </w:p>
        </w:tc>
        <w:tc>
          <w:tcPr>
            <w:tcW w:w="1950" w:type="pct"/>
          </w:tcPr>
          <w:p w14:paraId="7F1A1916" w14:textId="096C2E25" w:rsidR="00841128" w:rsidRPr="00506F54" w:rsidRDefault="00841128" w:rsidP="00320D09">
            <w:pPr>
              <w:pStyle w:val="BodyText"/>
            </w:pPr>
            <w:r w:rsidRPr="00A57BEA">
              <w:t>Instances of non-compliance to finance law</w:t>
            </w:r>
          </w:p>
        </w:tc>
        <w:tc>
          <w:tcPr>
            <w:tcW w:w="1624" w:type="pct"/>
          </w:tcPr>
          <w:p w14:paraId="27414ED7" w14:textId="16330900" w:rsidR="00841128" w:rsidRPr="00DE028D" w:rsidRDefault="00841128" w:rsidP="00320D09">
            <w:pPr>
              <w:pStyle w:val="BodyText"/>
            </w:pPr>
            <w:r w:rsidRPr="00A57BEA">
              <w:t xml:space="preserve">No instances of non-compliance </w:t>
            </w:r>
          </w:p>
        </w:tc>
        <w:tc>
          <w:tcPr>
            <w:tcW w:w="594" w:type="pct"/>
          </w:tcPr>
          <w:p w14:paraId="0F7A4CAD" w14:textId="3EED0A62" w:rsidR="00841128" w:rsidRPr="00DE028D" w:rsidRDefault="00841128" w:rsidP="00320D09">
            <w:pPr>
              <w:pStyle w:val="BodyText"/>
              <w:jc w:val="right"/>
            </w:pPr>
            <w:r w:rsidRPr="00A57BEA">
              <w:t>NA</w:t>
            </w:r>
          </w:p>
        </w:tc>
      </w:tr>
      <w:tr w:rsidR="00841128" w14:paraId="411E8614" w14:textId="77777777" w:rsidTr="00C00B3E">
        <w:tc>
          <w:tcPr>
            <w:tcW w:w="831" w:type="pct"/>
          </w:tcPr>
          <w:p w14:paraId="484DFE05" w14:textId="77777777" w:rsidR="00841128" w:rsidRDefault="00841128" w:rsidP="00841128">
            <w:pPr>
              <w:pStyle w:val="BodyText"/>
            </w:pPr>
            <w:r>
              <w:t xml:space="preserve">17BE(j) </w:t>
            </w:r>
          </w:p>
          <w:p w14:paraId="05AD2D01" w14:textId="7316DB15" w:rsidR="00841128" w:rsidRPr="0038356F" w:rsidRDefault="00841128" w:rsidP="00841128">
            <w:pPr>
              <w:pStyle w:val="BodyText"/>
            </w:pPr>
            <w:r>
              <w:t>17BE(i)</w:t>
            </w:r>
          </w:p>
        </w:tc>
        <w:tc>
          <w:tcPr>
            <w:tcW w:w="1950" w:type="pct"/>
          </w:tcPr>
          <w:p w14:paraId="5FA43A55" w14:textId="582E40F9" w:rsidR="00841128" w:rsidRPr="00506F54" w:rsidRDefault="00841128" w:rsidP="00320D09">
            <w:pPr>
              <w:pStyle w:val="BodyText"/>
            </w:pPr>
            <w:r w:rsidRPr="00FD321A">
              <w:t>Information about directors</w:t>
            </w:r>
          </w:p>
        </w:tc>
        <w:tc>
          <w:tcPr>
            <w:tcW w:w="1624" w:type="pct"/>
          </w:tcPr>
          <w:p w14:paraId="48817085" w14:textId="77777777" w:rsidR="00841128" w:rsidRDefault="00841128" w:rsidP="00841128">
            <w:pPr>
              <w:pStyle w:val="BodyText"/>
            </w:pPr>
            <w:r>
              <w:t>Agency Board</w:t>
            </w:r>
          </w:p>
          <w:p w14:paraId="28C67024" w14:textId="77777777" w:rsidR="00841128" w:rsidRDefault="00841128" w:rsidP="00841128">
            <w:pPr>
              <w:pStyle w:val="BodyText"/>
            </w:pPr>
            <w:r>
              <w:t>Board Members</w:t>
            </w:r>
          </w:p>
          <w:p w14:paraId="5FC8D60A" w14:textId="77777777" w:rsidR="00841128" w:rsidRDefault="00841128" w:rsidP="00841128">
            <w:pPr>
              <w:pStyle w:val="BodyText"/>
            </w:pPr>
            <w:r>
              <w:t>Executive Management Group</w:t>
            </w:r>
          </w:p>
          <w:p w14:paraId="36C829FB" w14:textId="77777777" w:rsidR="00841128" w:rsidRDefault="00841128" w:rsidP="00841128">
            <w:pPr>
              <w:pStyle w:val="BodyText"/>
            </w:pPr>
            <w:r>
              <w:t>Agency Governance Structure</w:t>
            </w:r>
          </w:p>
          <w:p w14:paraId="3A5EA6D8" w14:textId="37FF4EB0" w:rsidR="00841128" w:rsidRPr="00DE028D" w:rsidRDefault="00841128" w:rsidP="00841128">
            <w:pPr>
              <w:pStyle w:val="BodyText"/>
            </w:pPr>
            <w:r>
              <w:t>Executive team</w:t>
            </w:r>
          </w:p>
        </w:tc>
        <w:tc>
          <w:tcPr>
            <w:tcW w:w="594" w:type="pct"/>
          </w:tcPr>
          <w:p w14:paraId="527B94A3" w14:textId="77777777" w:rsidR="00841128" w:rsidRDefault="00841128" w:rsidP="00841128">
            <w:pPr>
              <w:pStyle w:val="BodyText"/>
              <w:jc w:val="right"/>
            </w:pPr>
            <w:r>
              <w:t>126</w:t>
            </w:r>
          </w:p>
          <w:p w14:paraId="6A021026" w14:textId="77777777" w:rsidR="00841128" w:rsidRDefault="00841128" w:rsidP="00841128">
            <w:pPr>
              <w:pStyle w:val="BodyText"/>
              <w:jc w:val="right"/>
            </w:pPr>
            <w:r>
              <w:t>127</w:t>
            </w:r>
          </w:p>
          <w:p w14:paraId="6C3260F6" w14:textId="77777777" w:rsidR="00841128" w:rsidRDefault="00841128" w:rsidP="00841128">
            <w:pPr>
              <w:pStyle w:val="BodyText"/>
              <w:jc w:val="right"/>
            </w:pPr>
            <w:r>
              <w:t>135</w:t>
            </w:r>
          </w:p>
          <w:p w14:paraId="63BEB16E" w14:textId="77777777" w:rsidR="00841128" w:rsidRDefault="00841128" w:rsidP="00841128">
            <w:pPr>
              <w:pStyle w:val="BodyText"/>
              <w:jc w:val="right"/>
            </w:pPr>
            <w:r>
              <w:t>136</w:t>
            </w:r>
          </w:p>
          <w:p w14:paraId="5C338FBF" w14:textId="25A9B0BD" w:rsidR="00841128" w:rsidRPr="00DE028D" w:rsidRDefault="00841128" w:rsidP="00841128">
            <w:pPr>
              <w:pStyle w:val="BodyText"/>
              <w:jc w:val="right"/>
            </w:pPr>
            <w:r>
              <w:t>137</w:t>
            </w:r>
          </w:p>
        </w:tc>
      </w:tr>
      <w:tr w:rsidR="000571B7" w14:paraId="113D67C6" w14:textId="77777777" w:rsidTr="00C00B3E">
        <w:tc>
          <w:tcPr>
            <w:tcW w:w="831" w:type="pct"/>
          </w:tcPr>
          <w:p w14:paraId="10F2DB5C" w14:textId="77777777" w:rsidR="00841128" w:rsidRDefault="00841128" w:rsidP="00841128">
            <w:pPr>
              <w:pStyle w:val="BodyText"/>
            </w:pPr>
            <w:r>
              <w:t xml:space="preserve">17BE(k) </w:t>
            </w:r>
          </w:p>
          <w:p w14:paraId="1CF5244E" w14:textId="4FD5FFFC" w:rsidR="000571B7" w:rsidRPr="0038356F" w:rsidRDefault="00841128" w:rsidP="00841128">
            <w:pPr>
              <w:pStyle w:val="BodyText"/>
            </w:pPr>
            <w:r>
              <w:t>17BE(l)</w:t>
            </w:r>
          </w:p>
        </w:tc>
        <w:tc>
          <w:tcPr>
            <w:tcW w:w="1950" w:type="pct"/>
          </w:tcPr>
          <w:p w14:paraId="037E8587" w14:textId="1F994D76" w:rsidR="000571B7" w:rsidRPr="00506F54" w:rsidRDefault="00841128" w:rsidP="00320D09">
            <w:pPr>
              <w:pStyle w:val="BodyText"/>
            </w:pPr>
            <w:r w:rsidRPr="00841128">
              <w:t>Organisational structure and locations of major activities and facilities</w:t>
            </w:r>
          </w:p>
        </w:tc>
        <w:tc>
          <w:tcPr>
            <w:tcW w:w="1624" w:type="pct"/>
          </w:tcPr>
          <w:p w14:paraId="66997AFF" w14:textId="77777777" w:rsidR="00841128" w:rsidRDefault="00841128" w:rsidP="00841128">
            <w:pPr>
              <w:pStyle w:val="BodyText"/>
            </w:pPr>
            <w:r>
              <w:t>Organisational structure</w:t>
            </w:r>
          </w:p>
          <w:p w14:paraId="27D54092" w14:textId="29107BBA" w:rsidR="000571B7" w:rsidRPr="00DE028D" w:rsidRDefault="00841128" w:rsidP="00841128">
            <w:pPr>
              <w:pStyle w:val="BodyText"/>
            </w:pPr>
            <w:r>
              <w:t>Property</w:t>
            </w:r>
          </w:p>
        </w:tc>
        <w:tc>
          <w:tcPr>
            <w:tcW w:w="594" w:type="pct"/>
          </w:tcPr>
          <w:p w14:paraId="526C20BB" w14:textId="77777777" w:rsidR="00841128" w:rsidRDefault="00841128" w:rsidP="00841128">
            <w:pPr>
              <w:pStyle w:val="BodyText"/>
              <w:jc w:val="right"/>
            </w:pPr>
            <w:r>
              <w:t>86</w:t>
            </w:r>
          </w:p>
          <w:p w14:paraId="3B1AE12E" w14:textId="19309342" w:rsidR="000571B7" w:rsidRPr="00DE028D" w:rsidRDefault="00841128" w:rsidP="00841128">
            <w:pPr>
              <w:pStyle w:val="BodyText"/>
              <w:jc w:val="right"/>
            </w:pPr>
            <w:r>
              <w:t>145</w:t>
            </w:r>
          </w:p>
        </w:tc>
      </w:tr>
      <w:tr w:rsidR="00841128" w14:paraId="104C15A4" w14:textId="77777777" w:rsidTr="00C00B3E">
        <w:tc>
          <w:tcPr>
            <w:tcW w:w="831" w:type="pct"/>
          </w:tcPr>
          <w:p w14:paraId="5AA6AEFB" w14:textId="058F56B1" w:rsidR="00841128" w:rsidRPr="0038356F" w:rsidRDefault="00841128" w:rsidP="00320D09">
            <w:pPr>
              <w:pStyle w:val="BodyText"/>
            </w:pPr>
            <w:r w:rsidRPr="00965A0C">
              <w:t>17BE(m)</w:t>
            </w:r>
          </w:p>
        </w:tc>
        <w:tc>
          <w:tcPr>
            <w:tcW w:w="1950" w:type="pct"/>
          </w:tcPr>
          <w:p w14:paraId="4793B052" w14:textId="66FD81F7" w:rsidR="00841128" w:rsidRPr="00506F54" w:rsidRDefault="00841128" w:rsidP="00320D09">
            <w:pPr>
              <w:pStyle w:val="BodyText"/>
            </w:pPr>
            <w:r w:rsidRPr="00965A0C">
              <w:t>Statement on governance</w:t>
            </w:r>
          </w:p>
        </w:tc>
        <w:tc>
          <w:tcPr>
            <w:tcW w:w="1624" w:type="pct"/>
          </w:tcPr>
          <w:p w14:paraId="07E00B2A" w14:textId="266FCD61" w:rsidR="00841128" w:rsidRPr="00DE028D" w:rsidRDefault="00841128" w:rsidP="00320D09">
            <w:pPr>
              <w:pStyle w:val="BodyText"/>
            </w:pPr>
            <w:r w:rsidRPr="00965A0C">
              <w:t>Governance</w:t>
            </w:r>
          </w:p>
        </w:tc>
        <w:tc>
          <w:tcPr>
            <w:tcW w:w="594" w:type="pct"/>
          </w:tcPr>
          <w:p w14:paraId="391907C6" w14:textId="2A26C440" w:rsidR="00841128" w:rsidRPr="00DE028D" w:rsidRDefault="00841128" w:rsidP="00320D09">
            <w:pPr>
              <w:pStyle w:val="BodyText"/>
              <w:jc w:val="right"/>
            </w:pPr>
            <w:r w:rsidRPr="00965A0C">
              <w:t>124</w:t>
            </w:r>
          </w:p>
        </w:tc>
      </w:tr>
      <w:tr w:rsidR="00841128" w14:paraId="6DB41E9C" w14:textId="77777777" w:rsidTr="00C00B3E">
        <w:tc>
          <w:tcPr>
            <w:tcW w:w="831" w:type="pct"/>
          </w:tcPr>
          <w:p w14:paraId="042BB198" w14:textId="42A98CDA" w:rsidR="00841128" w:rsidRPr="0038356F" w:rsidRDefault="00841128" w:rsidP="00320D09">
            <w:pPr>
              <w:pStyle w:val="BodyText"/>
            </w:pPr>
            <w:r w:rsidRPr="00912E59">
              <w:t xml:space="preserve">17BE(n) 17BE(o) </w:t>
            </w:r>
          </w:p>
        </w:tc>
        <w:tc>
          <w:tcPr>
            <w:tcW w:w="1950" w:type="pct"/>
          </w:tcPr>
          <w:p w14:paraId="1B48C081" w14:textId="7D8D6FCB" w:rsidR="00841128" w:rsidRPr="00506F54" w:rsidRDefault="00841128" w:rsidP="00320D09">
            <w:pPr>
              <w:pStyle w:val="BodyText"/>
            </w:pPr>
            <w:r w:rsidRPr="00912E59">
              <w:t>Related entity transactions</w:t>
            </w:r>
          </w:p>
        </w:tc>
        <w:tc>
          <w:tcPr>
            <w:tcW w:w="1624" w:type="pct"/>
          </w:tcPr>
          <w:p w14:paraId="441B14A6" w14:textId="77777777" w:rsidR="00841128" w:rsidRDefault="00841128" w:rsidP="00841128">
            <w:pPr>
              <w:pStyle w:val="BodyText"/>
            </w:pPr>
            <w:r>
              <w:t>Agency Board</w:t>
            </w:r>
          </w:p>
          <w:p w14:paraId="510DD5C0" w14:textId="5DF40689" w:rsidR="00841128" w:rsidRPr="00DE028D" w:rsidRDefault="00841128" w:rsidP="00841128">
            <w:pPr>
              <w:pStyle w:val="BodyText"/>
            </w:pPr>
            <w:r>
              <w:t>Related party disclosures</w:t>
            </w:r>
          </w:p>
        </w:tc>
        <w:tc>
          <w:tcPr>
            <w:tcW w:w="594" w:type="pct"/>
          </w:tcPr>
          <w:p w14:paraId="5CBF7A03" w14:textId="77777777" w:rsidR="00841128" w:rsidRDefault="00841128" w:rsidP="00841128">
            <w:pPr>
              <w:pStyle w:val="BodyText"/>
              <w:jc w:val="right"/>
            </w:pPr>
            <w:r>
              <w:t>124</w:t>
            </w:r>
          </w:p>
          <w:p w14:paraId="1ACE0C21" w14:textId="38B8AE84" w:rsidR="00841128" w:rsidRPr="00DE028D" w:rsidRDefault="00841128" w:rsidP="00841128">
            <w:pPr>
              <w:pStyle w:val="BodyText"/>
              <w:jc w:val="right"/>
            </w:pPr>
            <w:r>
              <w:t>192</w:t>
            </w:r>
          </w:p>
        </w:tc>
      </w:tr>
      <w:tr w:rsidR="00841128" w14:paraId="571626D9" w14:textId="77777777" w:rsidTr="00C00B3E">
        <w:tc>
          <w:tcPr>
            <w:tcW w:w="831" w:type="pct"/>
          </w:tcPr>
          <w:p w14:paraId="5BCA4590" w14:textId="1BFE81EF" w:rsidR="00841128" w:rsidRPr="0038356F" w:rsidRDefault="00841128" w:rsidP="00320D09">
            <w:pPr>
              <w:pStyle w:val="BodyText"/>
            </w:pPr>
            <w:r w:rsidRPr="0075610A">
              <w:t xml:space="preserve">17BE(p) </w:t>
            </w:r>
          </w:p>
        </w:tc>
        <w:tc>
          <w:tcPr>
            <w:tcW w:w="1950" w:type="pct"/>
          </w:tcPr>
          <w:p w14:paraId="79DB8DC2" w14:textId="0DCB7516" w:rsidR="00841128" w:rsidRPr="00506F54" w:rsidRDefault="00841128" w:rsidP="00320D09">
            <w:pPr>
              <w:pStyle w:val="BodyText"/>
            </w:pPr>
            <w:r w:rsidRPr="0075610A">
              <w:t xml:space="preserve">Significant activities and changes </w:t>
            </w:r>
          </w:p>
        </w:tc>
        <w:tc>
          <w:tcPr>
            <w:tcW w:w="1624" w:type="pct"/>
          </w:tcPr>
          <w:p w14:paraId="76DA539E" w14:textId="51577680" w:rsidR="00841128" w:rsidRPr="00DE028D" w:rsidRDefault="00841128" w:rsidP="00320D09">
            <w:pPr>
              <w:pStyle w:val="BodyText"/>
            </w:pPr>
            <w:r w:rsidRPr="0075610A">
              <w:t>Introduction</w:t>
            </w:r>
          </w:p>
        </w:tc>
        <w:tc>
          <w:tcPr>
            <w:tcW w:w="594" w:type="pct"/>
          </w:tcPr>
          <w:p w14:paraId="30C6D640" w14:textId="2369FE78" w:rsidR="00841128" w:rsidRPr="00DE028D" w:rsidRDefault="00841128" w:rsidP="00320D09">
            <w:pPr>
              <w:pStyle w:val="BodyText"/>
              <w:jc w:val="right"/>
            </w:pPr>
            <w:r w:rsidRPr="0075610A">
              <w:t>6</w:t>
            </w:r>
          </w:p>
        </w:tc>
      </w:tr>
      <w:tr w:rsidR="00841128" w14:paraId="7EA6FAB0" w14:textId="77777777" w:rsidTr="00C00B3E">
        <w:tc>
          <w:tcPr>
            <w:tcW w:w="831" w:type="pct"/>
          </w:tcPr>
          <w:p w14:paraId="1646780F" w14:textId="3453FFA3" w:rsidR="00841128" w:rsidRPr="0038356F" w:rsidRDefault="00841128" w:rsidP="00320D09">
            <w:pPr>
              <w:pStyle w:val="BodyText"/>
            </w:pPr>
            <w:r w:rsidRPr="0075610A">
              <w:t xml:space="preserve">17BE(q) </w:t>
            </w:r>
          </w:p>
        </w:tc>
        <w:tc>
          <w:tcPr>
            <w:tcW w:w="1950" w:type="pct"/>
          </w:tcPr>
          <w:p w14:paraId="28789CD6" w14:textId="1582D2FB" w:rsidR="00841128" w:rsidRPr="00506F54" w:rsidRDefault="00841128" w:rsidP="00320D09">
            <w:pPr>
              <w:pStyle w:val="BodyText"/>
            </w:pPr>
            <w:r w:rsidRPr="0075610A">
              <w:t>Judicial and administrative tribunal decisions</w:t>
            </w:r>
          </w:p>
        </w:tc>
        <w:tc>
          <w:tcPr>
            <w:tcW w:w="1624" w:type="pct"/>
          </w:tcPr>
          <w:p w14:paraId="362578DD" w14:textId="56E49497" w:rsidR="00841128" w:rsidRPr="00DE028D" w:rsidRDefault="00841128" w:rsidP="00320D09">
            <w:pPr>
              <w:pStyle w:val="BodyText"/>
            </w:pPr>
            <w:r w:rsidRPr="0075610A">
              <w:t>Reportable items</w:t>
            </w:r>
          </w:p>
        </w:tc>
        <w:tc>
          <w:tcPr>
            <w:tcW w:w="594" w:type="pct"/>
          </w:tcPr>
          <w:p w14:paraId="569A75D3" w14:textId="1A25418B" w:rsidR="00841128" w:rsidRPr="00DE028D" w:rsidRDefault="00841128" w:rsidP="00320D09">
            <w:pPr>
              <w:pStyle w:val="BodyText"/>
              <w:jc w:val="right"/>
            </w:pPr>
            <w:r w:rsidRPr="0075610A">
              <w:t>141</w:t>
            </w:r>
          </w:p>
        </w:tc>
      </w:tr>
      <w:tr w:rsidR="00841128" w14:paraId="575A4D61" w14:textId="77777777" w:rsidTr="00C00B3E">
        <w:tc>
          <w:tcPr>
            <w:tcW w:w="831" w:type="pct"/>
          </w:tcPr>
          <w:p w14:paraId="0548A028" w14:textId="22503F6C" w:rsidR="00841128" w:rsidRPr="0038356F" w:rsidRDefault="00841128" w:rsidP="00320D09">
            <w:pPr>
              <w:pStyle w:val="BodyText"/>
            </w:pPr>
            <w:r w:rsidRPr="0075610A">
              <w:t xml:space="preserve">17BE(r) </w:t>
            </w:r>
          </w:p>
        </w:tc>
        <w:tc>
          <w:tcPr>
            <w:tcW w:w="1950" w:type="pct"/>
          </w:tcPr>
          <w:p w14:paraId="4E34E0B1" w14:textId="7B9DE879" w:rsidR="00841128" w:rsidRPr="00506F54" w:rsidRDefault="00841128" w:rsidP="00320D09">
            <w:pPr>
              <w:pStyle w:val="BodyText"/>
            </w:pPr>
            <w:r w:rsidRPr="0075610A">
              <w:t>Reports made about the Agency</w:t>
            </w:r>
          </w:p>
        </w:tc>
        <w:tc>
          <w:tcPr>
            <w:tcW w:w="1624" w:type="pct"/>
          </w:tcPr>
          <w:p w14:paraId="5D9CCF0D" w14:textId="73EC6CC7" w:rsidR="00841128" w:rsidRPr="00DE028D" w:rsidRDefault="00841128" w:rsidP="00320D09">
            <w:pPr>
              <w:pStyle w:val="BodyText"/>
            </w:pPr>
            <w:r w:rsidRPr="0075610A">
              <w:t>Reportable items</w:t>
            </w:r>
          </w:p>
        </w:tc>
        <w:tc>
          <w:tcPr>
            <w:tcW w:w="594" w:type="pct"/>
          </w:tcPr>
          <w:p w14:paraId="63BFFD03" w14:textId="50161430" w:rsidR="00841128" w:rsidRPr="00DE028D" w:rsidRDefault="00841128" w:rsidP="00320D09">
            <w:pPr>
              <w:pStyle w:val="BodyText"/>
              <w:jc w:val="right"/>
            </w:pPr>
            <w:r w:rsidRPr="0075610A">
              <w:t>142</w:t>
            </w:r>
          </w:p>
        </w:tc>
      </w:tr>
      <w:tr w:rsidR="00841128" w14:paraId="68FEC9B8" w14:textId="77777777" w:rsidTr="00C00B3E">
        <w:tc>
          <w:tcPr>
            <w:tcW w:w="831" w:type="pct"/>
          </w:tcPr>
          <w:p w14:paraId="6E06C12D" w14:textId="7A11660D" w:rsidR="00841128" w:rsidRPr="0038356F" w:rsidRDefault="00841128" w:rsidP="00320D09">
            <w:pPr>
              <w:pStyle w:val="BodyText"/>
            </w:pPr>
            <w:r w:rsidRPr="0075610A">
              <w:t xml:space="preserve">17BE(s) </w:t>
            </w:r>
          </w:p>
        </w:tc>
        <w:tc>
          <w:tcPr>
            <w:tcW w:w="1950" w:type="pct"/>
          </w:tcPr>
          <w:p w14:paraId="142DE020" w14:textId="08850127" w:rsidR="00841128" w:rsidRPr="00506F54" w:rsidRDefault="00841128" w:rsidP="00320D09">
            <w:pPr>
              <w:pStyle w:val="BodyText"/>
            </w:pPr>
            <w:r w:rsidRPr="0075610A">
              <w:t>Obtaining information from subsidiaries</w:t>
            </w:r>
          </w:p>
        </w:tc>
        <w:tc>
          <w:tcPr>
            <w:tcW w:w="1624" w:type="pct"/>
          </w:tcPr>
          <w:p w14:paraId="3EFBDA02" w14:textId="7189F587" w:rsidR="00841128" w:rsidRPr="00DE028D" w:rsidRDefault="00841128" w:rsidP="00320D09">
            <w:pPr>
              <w:pStyle w:val="BodyText"/>
            </w:pPr>
            <w:r w:rsidRPr="0075610A">
              <w:t>The Agency has no subsidiaries</w:t>
            </w:r>
          </w:p>
        </w:tc>
        <w:tc>
          <w:tcPr>
            <w:tcW w:w="594" w:type="pct"/>
          </w:tcPr>
          <w:p w14:paraId="5EE742E9" w14:textId="549D3D5E" w:rsidR="00841128" w:rsidRPr="00DE028D" w:rsidRDefault="00841128" w:rsidP="00320D09">
            <w:pPr>
              <w:pStyle w:val="BodyText"/>
              <w:jc w:val="right"/>
            </w:pPr>
            <w:r w:rsidRPr="0075610A">
              <w:t>NA</w:t>
            </w:r>
          </w:p>
        </w:tc>
      </w:tr>
      <w:tr w:rsidR="00841128" w14:paraId="0DEA29B3" w14:textId="77777777" w:rsidTr="00C00B3E">
        <w:tc>
          <w:tcPr>
            <w:tcW w:w="831" w:type="pct"/>
          </w:tcPr>
          <w:p w14:paraId="1B1448F2" w14:textId="2F482CC5" w:rsidR="00841128" w:rsidRPr="0038356F" w:rsidRDefault="00841128" w:rsidP="00320D09">
            <w:pPr>
              <w:pStyle w:val="BodyText"/>
            </w:pPr>
            <w:r w:rsidRPr="0075610A">
              <w:t xml:space="preserve">17BE(t) </w:t>
            </w:r>
          </w:p>
        </w:tc>
        <w:tc>
          <w:tcPr>
            <w:tcW w:w="1950" w:type="pct"/>
          </w:tcPr>
          <w:p w14:paraId="743F19FE" w14:textId="7EEA5170" w:rsidR="00841128" w:rsidRPr="00506F54" w:rsidRDefault="00841128" w:rsidP="00320D09">
            <w:pPr>
              <w:pStyle w:val="BodyText"/>
            </w:pPr>
            <w:r w:rsidRPr="0075610A">
              <w:t>Indemnities and insurance premiums for officers</w:t>
            </w:r>
          </w:p>
        </w:tc>
        <w:tc>
          <w:tcPr>
            <w:tcW w:w="1624" w:type="pct"/>
          </w:tcPr>
          <w:p w14:paraId="33D51A50" w14:textId="7E4327A6" w:rsidR="00841128" w:rsidRPr="00DE028D" w:rsidRDefault="00841128" w:rsidP="00320D09">
            <w:pPr>
              <w:pStyle w:val="BodyText"/>
            </w:pPr>
            <w:r w:rsidRPr="0075610A">
              <w:t>Indemnities and insurance</w:t>
            </w:r>
          </w:p>
        </w:tc>
        <w:tc>
          <w:tcPr>
            <w:tcW w:w="594" w:type="pct"/>
          </w:tcPr>
          <w:p w14:paraId="115F3E6A" w14:textId="71551625" w:rsidR="00841128" w:rsidRPr="00DE028D" w:rsidRDefault="00841128" w:rsidP="00320D09">
            <w:pPr>
              <w:pStyle w:val="BodyText"/>
              <w:jc w:val="right"/>
            </w:pPr>
            <w:r w:rsidRPr="0075610A">
              <w:t>151</w:t>
            </w:r>
          </w:p>
        </w:tc>
      </w:tr>
      <w:tr w:rsidR="00841128" w14:paraId="6AFB8665" w14:textId="77777777" w:rsidTr="00C00B3E">
        <w:tc>
          <w:tcPr>
            <w:tcW w:w="831" w:type="pct"/>
          </w:tcPr>
          <w:p w14:paraId="5BA0F955" w14:textId="683F799B" w:rsidR="00841128" w:rsidRPr="0038356F" w:rsidRDefault="00841128" w:rsidP="00320D09">
            <w:pPr>
              <w:pStyle w:val="BodyText"/>
            </w:pPr>
            <w:r w:rsidRPr="0075610A">
              <w:t xml:space="preserve">17BE(u) </w:t>
            </w:r>
          </w:p>
        </w:tc>
        <w:tc>
          <w:tcPr>
            <w:tcW w:w="1950" w:type="pct"/>
          </w:tcPr>
          <w:p w14:paraId="498A0BCB" w14:textId="66292C5D" w:rsidR="00841128" w:rsidRPr="00506F54" w:rsidRDefault="00841128" w:rsidP="00320D09">
            <w:pPr>
              <w:pStyle w:val="BodyText"/>
            </w:pPr>
            <w:r w:rsidRPr="0075610A">
              <w:t>Index of annual report requirements</w:t>
            </w:r>
          </w:p>
        </w:tc>
        <w:tc>
          <w:tcPr>
            <w:tcW w:w="1624" w:type="pct"/>
          </w:tcPr>
          <w:p w14:paraId="4FF34363" w14:textId="5497CBB1" w:rsidR="00841128" w:rsidRPr="00DE028D" w:rsidRDefault="00841128" w:rsidP="00320D09">
            <w:pPr>
              <w:pStyle w:val="BodyText"/>
            </w:pPr>
            <w:r w:rsidRPr="0075610A">
              <w:t>Compliance index</w:t>
            </w:r>
          </w:p>
        </w:tc>
        <w:tc>
          <w:tcPr>
            <w:tcW w:w="594" w:type="pct"/>
          </w:tcPr>
          <w:p w14:paraId="426D023C" w14:textId="5E6E3252" w:rsidR="00841128" w:rsidRPr="00DE028D" w:rsidRDefault="00841128" w:rsidP="00320D09">
            <w:pPr>
              <w:pStyle w:val="BodyText"/>
              <w:jc w:val="right"/>
            </w:pPr>
            <w:r w:rsidRPr="0075610A">
              <w:t>218</w:t>
            </w:r>
          </w:p>
        </w:tc>
      </w:tr>
    </w:tbl>
    <w:p w14:paraId="5DC18A04" w14:textId="77777777" w:rsidR="000651AA" w:rsidRPr="000651AA" w:rsidRDefault="000651AA" w:rsidP="000651AA">
      <w:pPr>
        <w:pStyle w:val="Heading4tables"/>
      </w:pPr>
      <w:bookmarkStart w:id="331" w:name="_Toc496611818"/>
      <w:r w:rsidRPr="000651AA">
        <w:t xml:space="preserve">Table 20: </w:t>
      </w:r>
      <w:r w:rsidRPr="00DE6591">
        <w:rPr>
          <w:i/>
        </w:rPr>
        <w:t>Work Health and Safety Act 2011</w:t>
      </w:r>
      <w:bookmarkEnd w:id="331"/>
    </w:p>
    <w:tbl>
      <w:tblPr>
        <w:tblStyle w:val="TableGrid"/>
        <w:tblW w:w="5000" w:type="pct"/>
        <w:tblLook w:val="04A0" w:firstRow="1" w:lastRow="0" w:firstColumn="1" w:lastColumn="0" w:noHBand="0" w:noVBand="1"/>
        <w:tblDescription w:val="Table 20: Work Health and Safety Act 2011"/>
      </w:tblPr>
      <w:tblGrid>
        <w:gridCol w:w="2161"/>
        <w:gridCol w:w="3562"/>
        <w:gridCol w:w="2154"/>
        <w:gridCol w:w="2311"/>
      </w:tblGrid>
      <w:tr w:rsidR="00134BF1" w:rsidRPr="00164634" w14:paraId="7B7395DA" w14:textId="77777777" w:rsidTr="003F47B7">
        <w:trPr>
          <w:tblHeader/>
        </w:trPr>
        <w:tc>
          <w:tcPr>
            <w:tcW w:w="1061" w:type="pct"/>
            <w:shd w:val="clear" w:color="auto" w:fill="6B2976" w:themeFill="background2"/>
          </w:tcPr>
          <w:p w14:paraId="15D6FCD0" w14:textId="77777777" w:rsidR="00134BF1" w:rsidRPr="00164634" w:rsidRDefault="00134BF1" w:rsidP="00320D09">
            <w:pPr>
              <w:pStyle w:val="TableTitle"/>
            </w:pPr>
            <w:bookmarkStart w:id="332" w:name="Title_Table20"/>
            <w:r w:rsidRPr="00254154">
              <w:t>Reference</w:t>
            </w:r>
          </w:p>
        </w:tc>
        <w:tc>
          <w:tcPr>
            <w:tcW w:w="1748" w:type="pct"/>
            <w:shd w:val="clear" w:color="auto" w:fill="6B2976" w:themeFill="background2"/>
          </w:tcPr>
          <w:p w14:paraId="73AD7214" w14:textId="77777777" w:rsidR="00134BF1" w:rsidRPr="00164634" w:rsidRDefault="00134BF1" w:rsidP="00320D09">
            <w:pPr>
              <w:pStyle w:val="TableTitle"/>
            </w:pPr>
            <w:r w:rsidRPr="00254154">
              <w:t>Requirement</w:t>
            </w:r>
          </w:p>
        </w:tc>
        <w:tc>
          <w:tcPr>
            <w:tcW w:w="1057" w:type="pct"/>
            <w:shd w:val="clear" w:color="auto" w:fill="6B2976" w:themeFill="background2"/>
          </w:tcPr>
          <w:p w14:paraId="5FFE6425" w14:textId="77777777" w:rsidR="00134BF1" w:rsidRPr="00164634" w:rsidRDefault="00134BF1" w:rsidP="00320D09">
            <w:pPr>
              <w:pStyle w:val="TableTitle"/>
            </w:pPr>
            <w:r w:rsidRPr="00254154">
              <w:t>Notes</w:t>
            </w:r>
          </w:p>
        </w:tc>
        <w:tc>
          <w:tcPr>
            <w:tcW w:w="1134" w:type="pct"/>
            <w:shd w:val="clear" w:color="auto" w:fill="6B2976" w:themeFill="background2"/>
          </w:tcPr>
          <w:p w14:paraId="3D54DB73" w14:textId="77777777" w:rsidR="00134BF1" w:rsidRPr="00164634" w:rsidRDefault="00134BF1" w:rsidP="00320D09">
            <w:pPr>
              <w:pStyle w:val="TableTitle"/>
              <w:jc w:val="right"/>
            </w:pPr>
            <w:r w:rsidRPr="00254154">
              <w:t>Page</w:t>
            </w:r>
          </w:p>
        </w:tc>
      </w:tr>
      <w:bookmarkEnd w:id="332"/>
      <w:tr w:rsidR="00134BF1" w14:paraId="624E36E9" w14:textId="77777777" w:rsidTr="00320D09">
        <w:tc>
          <w:tcPr>
            <w:tcW w:w="1061" w:type="pct"/>
          </w:tcPr>
          <w:p w14:paraId="67DCF8A6" w14:textId="77777777" w:rsidR="00134BF1" w:rsidRDefault="00134BF1" w:rsidP="00320D09">
            <w:pPr>
              <w:pStyle w:val="BodyText"/>
            </w:pPr>
            <w:r w:rsidRPr="0048597D">
              <w:t xml:space="preserve">4(1) </w:t>
            </w:r>
          </w:p>
          <w:p w14:paraId="1C48CC8D" w14:textId="233BDCA3" w:rsidR="00134BF1" w:rsidRDefault="00134BF1" w:rsidP="00320D09">
            <w:pPr>
              <w:pStyle w:val="BodyText"/>
            </w:pPr>
            <w:r w:rsidRPr="0048597D">
              <w:t>4(2)</w:t>
            </w:r>
          </w:p>
        </w:tc>
        <w:tc>
          <w:tcPr>
            <w:tcW w:w="1748" w:type="pct"/>
          </w:tcPr>
          <w:p w14:paraId="2FDBF68B" w14:textId="4F7ABB2D" w:rsidR="00134BF1" w:rsidRPr="00D536D9" w:rsidRDefault="00134BF1" w:rsidP="00320D09">
            <w:pPr>
              <w:pStyle w:val="BodyText"/>
              <w:rPr>
                <w:rStyle w:val="BodyTextBold"/>
              </w:rPr>
            </w:pPr>
            <w:r w:rsidRPr="0048597D">
              <w:t>Work health and safety (see also Work Health and Safety Act 2011, Schedule 2)</w:t>
            </w:r>
          </w:p>
        </w:tc>
        <w:tc>
          <w:tcPr>
            <w:tcW w:w="1057" w:type="pct"/>
          </w:tcPr>
          <w:p w14:paraId="4A8C1502" w14:textId="77777777" w:rsidR="00134BF1" w:rsidRDefault="00134BF1" w:rsidP="00320D09">
            <w:pPr>
              <w:pStyle w:val="BodyText"/>
            </w:pPr>
            <w:r w:rsidRPr="0048597D">
              <w:t xml:space="preserve">Work health and safety </w:t>
            </w:r>
          </w:p>
          <w:p w14:paraId="248E0A9D" w14:textId="7B0EC59D" w:rsidR="00134BF1" w:rsidRPr="00CC2ECB" w:rsidRDefault="00134BF1" w:rsidP="00320D09">
            <w:pPr>
              <w:pStyle w:val="BodyText"/>
            </w:pPr>
            <w:r w:rsidRPr="0048597D">
              <w:t xml:space="preserve">Summary of incidents pursuant to section 38 of the WHS Act </w:t>
            </w:r>
          </w:p>
        </w:tc>
        <w:tc>
          <w:tcPr>
            <w:tcW w:w="1134" w:type="pct"/>
          </w:tcPr>
          <w:p w14:paraId="00C01AB7" w14:textId="77777777" w:rsidR="00134BF1" w:rsidRDefault="00134BF1" w:rsidP="00320D09">
            <w:pPr>
              <w:pStyle w:val="BodyText"/>
              <w:jc w:val="right"/>
            </w:pPr>
            <w:r w:rsidRPr="0048597D">
              <w:t xml:space="preserve">147 </w:t>
            </w:r>
          </w:p>
          <w:p w14:paraId="7839F3E3" w14:textId="64CD8990" w:rsidR="00134BF1" w:rsidRPr="00CC2ECB" w:rsidRDefault="00134BF1" w:rsidP="00320D09">
            <w:pPr>
              <w:pStyle w:val="BodyText"/>
              <w:jc w:val="right"/>
            </w:pPr>
            <w:r w:rsidRPr="0048597D">
              <w:t>215</w:t>
            </w:r>
          </w:p>
        </w:tc>
      </w:tr>
    </w:tbl>
    <w:p w14:paraId="0E25361D" w14:textId="7076B504" w:rsidR="00C00B3E" w:rsidRDefault="00DE6591" w:rsidP="00DE6591">
      <w:pPr>
        <w:pStyle w:val="Heading4tables"/>
        <w:rPr>
          <w:i/>
        </w:rPr>
      </w:pPr>
      <w:bookmarkStart w:id="333" w:name="_Toc496611819"/>
      <w:r w:rsidRPr="00DE6591">
        <w:t xml:space="preserve">Table 21: </w:t>
      </w:r>
      <w:r w:rsidRPr="00DE6591">
        <w:rPr>
          <w:i/>
        </w:rPr>
        <w:t>Environment Protection and Biodiversity Conservation Act 1999</w:t>
      </w:r>
      <w:bookmarkEnd w:id="333"/>
    </w:p>
    <w:tbl>
      <w:tblPr>
        <w:tblStyle w:val="TableGrid"/>
        <w:tblW w:w="5000" w:type="pct"/>
        <w:tblLook w:val="04A0" w:firstRow="1" w:lastRow="0" w:firstColumn="1" w:lastColumn="0" w:noHBand="0" w:noVBand="1"/>
        <w:tblDescription w:val="Table 21: Environment Protection and Biodiversity Conservation Act 1999"/>
      </w:tblPr>
      <w:tblGrid>
        <w:gridCol w:w="2161"/>
        <w:gridCol w:w="3562"/>
        <w:gridCol w:w="2154"/>
        <w:gridCol w:w="2311"/>
      </w:tblGrid>
      <w:tr w:rsidR="00AA1C17" w:rsidRPr="00164634" w14:paraId="0230A474" w14:textId="77777777" w:rsidTr="003F47B7">
        <w:trPr>
          <w:tblHeader/>
        </w:trPr>
        <w:tc>
          <w:tcPr>
            <w:tcW w:w="1061" w:type="pct"/>
            <w:shd w:val="clear" w:color="auto" w:fill="6B2976" w:themeFill="background2"/>
          </w:tcPr>
          <w:p w14:paraId="5B75DA23" w14:textId="77777777" w:rsidR="00AA1C17" w:rsidRPr="00164634" w:rsidRDefault="00AA1C17" w:rsidP="00320D09">
            <w:pPr>
              <w:pStyle w:val="TableTitle"/>
            </w:pPr>
            <w:bookmarkStart w:id="334" w:name="Title_Table21"/>
            <w:r w:rsidRPr="00254154">
              <w:t>Reference</w:t>
            </w:r>
          </w:p>
        </w:tc>
        <w:tc>
          <w:tcPr>
            <w:tcW w:w="1748" w:type="pct"/>
            <w:shd w:val="clear" w:color="auto" w:fill="6B2976" w:themeFill="background2"/>
          </w:tcPr>
          <w:p w14:paraId="533E51F9" w14:textId="77777777" w:rsidR="00AA1C17" w:rsidRPr="00164634" w:rsidRDefault="00AA1C17" w:rsidP="00320D09">
            <w:pPr>
              <w:pStyle w:val="TableTitle"/>
            </w:pPr>
            <w:r w:rsidRPr="00254154">
              <w:t>Requirement</w:t>
            </w:r>
          </w:p>
        </w:tc>
        <w:tc>
          <w:tcPr>
            <w:tcW w:w="1057" w:type="pct"/>
            <w:shd w:val="clear" w:color="auto" w:fill="6B2976" w:themeFill="background2"/>
          </w:tcPr>
          <w:p w14:paraId="18DB8E75" w14:textId="77777777" w:rsidR="00AA1C17" w:rsidRPr="00164634" w:rsidRDefault="00AA1C17" w:rsidP="00320D09">
            <w:pPr>
              <w:pStyle w:val="TableTitle"/>
            </w:pPr>
            <w:r w:rsidRPr="00254154">
              <w:t>Notes</w:t>
            </w:r>
          </w:p>
        </w:tc>
        <w:tc>
          <w:tcPr>
            <w:tcW w:w="1134" w:type="pct"/>
            <w:shd w:val="clear" w:color="auto" w:fill="6B2976" w:themeFill="background2"/>
          </w:tcPr>
          <w:p w14:paraId="39F4DF8B" w14:textId="77777777" w:rsidR="00AA1C17" w:rsidRPr="00164634" w:rsidRDefault="00AA1C17" w:rsidP="00320D09">
            <w:pPr>
              <w:pStyle w:val="TableTitle"/>
              <w:jc w:val="right"/>
            </w:pPr>
            <w:r w:rsidRPr="00254154">
              <w:t>Page</w:t>
            </w:r>
          </w:p>
        </w:tc>
      </w:tr>
      <w:bookmarkEnd w:id="334"/>
      <w:tr w:rsidR="00AA1C17" w14:paraId="57AF1C73" w14:textId="77777777" w:rsidTr="00320D09">
        <w:tc>
          <w:tcPr>
            <w:tcW w:w="1061" w:type="pct"/>
          </w:tcPr>
          <w:p w14:paraId="66D72234" w14:textId="45679C57" w:rsidR="00AA1C17" w:rsidRDefault="00AA1C17" w:rsidP="00320D09">
            <w:pPr>
              <w:pStyle w:val="BodyText"/>
            </w:pPr>
            <w:r w:rsidRPr="00F85B12">
              <w:t>516A</w:t>
            </w:r>
          </w:p>
        </w:tc>
        <w:tc>
          <w:tcPr>
            <w:tcW w:w="1748" w:type="pct"/>
          </w:tcPr>
          <w:p w14:paraId="66481668" w14:textId="2BC85992" w:rsidR="00AA1C17" w:rsidRPr="00D536D9" w:rsidRDefault="00AA1C17" w:rsidP="00320D09">
            <w:pPr>
              <w:pStyle w:val="BodyText"/>
              <w:rPr>
                <w:rStyle w:val="BodyTextBold"/>
              </w:rPr>
            </w:pPr>
            <w:r w:rsidRPr="00F85B12">
              <w:t xml:space="preserve">Ecologically sustainable development </w:t>
            </w:r>
          </w:p>
        </w:tc>
        <w:tc>
          <w:tcPr>
            <w:tcW w:w="1057" w:type="pct"/>
          </w:tcPr>
          <w:p w14:paraId="1EDB5226" w14:textId="4020FEF2" w:rsidR="00AA1C17" w:rsidRPr="00CC2ECB" w:rsidRDefault="00AA1C17" w:rsidP="00320D09">
            <w:pPr>
              <w:pStyle w:val="BodyText"/>
            </w:pPr>
          </w:p>
        </w:tc>
        <w:tc>
          <w:tcPr>
            <w:tcW w:w="1134" w:type="pct"/>
          </w:tcPr>
          <w:p w14:paraId="04053AD8" w14:textId="7C38A63E" w:rsidR="00AA1C17" w:rsidRPr="00CC2ECB" w:rsidRDefault="00AA1C17" w:rsidP="00320D09">
            <w:pPr>
              <w:pStyle w:val="BodyText"/>
              <w:jc w:val="right"/>
            </w:pPr>
            <w:r w:rsidRPr="00F85B12">
              <w:t>516A</w:t>
            </w:r>
          </w:p>
        </w:tc>
      </w:tr>
    </w:tbl>
    <w:p w14:paraId="3E375397" w14:textId="77777777" w:rsidR="00180669" w:rsidRDefault="00180669" w:rsidP="00180669">
      <w:pPr>
        <w:pStyle w:val="Heading4tables"/>
      </w:pPr>
      <w:bookmarkStart w:id="335" w:name="_Toc496611820"/>
      <w:r>
        <w:t xml:space="preserve">Table 22: </w:t>
      </w:r>
      <w:r w:rsidRPr="00180669">
        <w:rPr>
          <w:i/>
        </w:rPr>
        <w:t>Commonwealth Electoral Act 1918</w:t>
      </w:r>
      <w:bookmarkEnd w:id="335"/>
    </w:p>
    <w:tbl>
      <w:tblPr>
        <w:tblStyle w:val="TableGrid"/>
        <w:tblW w:w="5000" w:type="pct"/>
        <w:tblLook w:val="04A0" w:firstRow="1" w:lastRow="0" w:firstColumn="1" w:lastColumn="0" w:noHBand="0" w:noVBand="1"/>
        <w:tblDescription w:val="Table 22: Commonwealth Electoral Act 1918"/>
      </w:tblPr>
      <w:tblGrid>
        <w:gridCol w:w="2161"/>
        <w:gridCol w:w="3562"/>
        <w:gridCol w:w="2154"/>
        <w:gridCol w:w="2311"/>
      </w:tblGrid>
      <w:tr w:rsidR="00180669" w:rsidRPr="00164634" w14:paraId="28769746" w14:textId="77777777" w:rsidTr="003F47B7">
        <w:trPr>
          <w:tblHeader/>
        </w:trPr>
        <w:tc>
          <w:tcPr>
            <w:tcW w:w="1061" w:type="pct"/>
            <w:shd w:val="clear" w:color="auto" w:fill="6B2976" w:themeFill="background2"/>
          </w:tcPr>
          <w:p w14:paraId="10283E77" w14:textId="77777777" w:rsidR="00180669" w:rsidRPr="00164634" w:rsidRDefault="00180669" w:rsidP="00320D09">
            <w:pPr>
              <w:pStyle w:val="TableTitle"/>
            </w:pPr>
            <w:bookmarkStart w:id="336" w:name="Title_Table22"/>
            <w:r w:rsidRPr="00254154">
              <w:t>Reference</w:t>
            </w:r>
          </w:p>
        </w:tc>
        <w:tc>
          <w:tcPr>
            <w:tcW w:w="1748" w:type="pct"/>
            <w:shd w:val="clear" w:color="auto" w:fill="6B2976" w:themeFill="background2"/>
          </w:tcPr>
          <w:p w14:paraId="72F11273" w14:textId="77777777" w:rsidR="00180669" w:rsidRPr="00164634" w:rsidRDefault="00180669" w:rsidP="00320D09">
            <w:pPr>
              <w:pStyle w:val="TableTitle"/>
            </w:pPr>
            <w:r w:rsidRPr="00254154">
              <w:t>Requirement</w:t>
            </w:r>
          </w:p>
        </w:tc>
        <w:tc>
          <w:tcPr>
            <w:tcW w:w="1057" w:type="pct"/>
            <w:shd w:val="clear" w:color="auto" w:fill="6B2976" w:themeFill="background2"/>
          </w:tcPr>
          <w:p w14:paraId="255DC0F6" w14:textId="77777777" w:rsidR="00180669" w:rsidRPr="00164634" w:rsidRDefault="00180669" w:rsidP="00320D09">
            <w:pPr>
              <w:pStyle w:val="TableTitle"/>
            </w:pPr>
            <w:r w:rsidRPr="00254154">
              <w:t>Notes</w:t>
            </w:r>
          </w:p>
        </w:tc>
        <w:tc>
          <w:tcPr>
            <w:tcW w:w="1134" w:type="pct"/>
            <w:shd w:val="clear" w:color="auto" w:fill="6B2976" w:themeFill="background2"/>
          </w:tcPr>
          <w:p w14:paraId="18C06886" w14:textId="77777777" w:rsidR="00180669" w:rsidRPr="00164634" w:rsidRDefault="00180669" w:rsidP="00320D09">
            <w:pPr>
              <w:pStyle w:val="TableTitle"/>
              <w:jc w:val="right"/>
            </w:pPr>
            <w:r w:rsidRPr="00254154">
              <w:t>Page</w:t>
            </w:r>
          </w:p>
        </w:tc>
      </w:tr>
      <w:bookmarkEnd w:id="336"/>
      <w:tr w:rsidR="00180669" w14:paraId="6A9E745F" w14:textId="77777777" w:rsidTr="00320D09">
        <w:tc>
          <w:tcPr>
            <w:tcW w:w="1061" w:type="pct"/>
          </w:tcPr>
          <w:p w14:paraId="65528FE4" w14:textId="5FF29919" w:rsidR="00180669" w:rsidRDefault="00180669" w:rsidP="00320D09">
            <w:pPr>
              <w:pStyle w:val="BodyText"/>
            </w:pPr>
            <w:r w:rsidRPr="00FF1474">
              <w:t>311A</w:t>
            </w:r>
          </w:p>
        </w:tc>
        <w:tc>
          <w:tcPr>
            <w:tcW w:w="1748" w:type="pct"/>
          </w:tcPr>
          <w:p w14:paraId="2B670FA5" w14:textId="0238BA3E" w:rsidR="00180669" w:rsidRPr="00D536D9" w:rsidRDefault="00180669" w:rsidP="00320D09">
            <w:pPr>
              <w:pStyle w:val="BodyText"/>
              <w:rPr>
                <w:rStyle w:val="BodyTextBold"/>
              </w:rPr>
            </w:pPr>
            <w:r w:rsidRPr="00FF1474">
              <w:t>Advertising and Market Research</w:t>
            </w:r>
          </w:p>
        </w:tc>
        <w:tc>
          <w:tcPr>
            <w:tcW w:w="1057" w:type="pct"/>
          </w:tcPr>
          <w:p w14:paraId="661F9E25" w14:textId="19893979" w:rsidR="00180669" w:rsidRPr="00CC2ECB" w:rsidRDefault="00180669" w:rsidP="00320D09">
            <w:pPr>
              <w:pStyle w:val="BodyText"/>
            </w:pPr>
            <w:r w:rsidRPr="00FF1474">
              <w:t>Advertising and market research</w:t>
            </w:r>
          </w:p>
        </w:tc>
        <w:tc>
          <w:tcPr>
            <w:tcW w:w="1134" w:type="pct"/>
          </w:tcPr>
          <w:p w14:paraId="18F78462" w14:textId="6DC9DE96" w:rsidR="00180669" w:rsidRPr="00CC2ECB" w:rsidRDefault="00180669" w:rsidP="00320D09">
            <w:pPr>
              <w:pStyle w:val="BodyText"/>
              <w:jc w:val="right"/>
            </w:pPr>
            <w:r w:rsidRPr="00FF1474">
              <w:t>149</w:t>
            </w:r>
          </w:p>
        </w:tc>
      </w:tr>
    </w:tbl>
    <w:p w14:paraId="429EA6E8" w14:textId="27857E5D" w:rsidR="00AA1C17" w:rsidRDefault="00180669" w:rsidP="00180669">
      <w:pPr>
        <w:pStyle w:val="Heading4tables"/>
      </w:pPr>
      <w:bookmarkStart w:id="337" w:name="_Toc496611821"/>
      <w:r>
        <w:t xml:space="preserve">Table 23: </w:t>
      </w:r>
      <w:r w:rsidRPr="00180669">
        <w:rPr>
          <w:i/>
        </w:rPr>
        <w:t>Freedom of Information Act 1982</w:t>
      </w:r>
      <w:bookmarkEnd w:id="337"/>
    </w:p>
    <w:tbl>
      <w:tblPr>
        <w:tblStyle w:val="TableGrid"/>
        <w:tblW w:w="5000" w:type="pct"/>
        <w:tblLook w:val="04A0" w:firstRow="1" w:lastRow="0" w:firstColumn="1" w:lastColumn="0" w:noHBand="0" w:noVBand="1"/>
        <w:tblDescription w:val="Table 23: Freedom of Information Act 1982"/>
      </w:tblPr>
      <w:tblGrid>
        <w:gridCol w:w="2161"/>
        <w:gridCol w:w="3562"/>
        <w:gridCol w:w="2154"/>
        <w:gridCol w:w="2311"/>
      </w:tblGrid>
      <w:tr w:rsidR="00180669" w:rsidRPr="00164634" w14:paraId="661F4597" w14:textId="77777777" w:rsidTr="003F47B7">
        <w:trPr>
          <w:tblHeader/>
        </w:trPr>
        <w:tc>
          <w:tcPr>
            <w:tcW w:w="1061" w:type="pct"/>
            <w:shd w:val="clear" w:color="auto" w:fill="6B2976" w:themeFill="background2"/>
          </w:tcPr>
          <w:p w14:paraId="3BE86AD4" w14:textId="77777777" w:rsidR="00180669" w:rsidRPr="00164634" w:rsidRDefault="00180669" w:rsidP="00320D09">
            <w:pPr>
              <w:pStyle w:val="TableTitle"/>
            </w:pPr>
            <w:bookmarkStart w:id="338" w:name="Title_Table23"/>
            <w:r w:rsidRPr="00254154">
              <w:t>Reference</w:t>
            </w:r>
          </w:p>
        </w:tc>
        <w:tc>
          <w:tcPr>
            <w:tcW w:w="1748" w:type="pct"/>
            <w:shd w:val="clear" w:color="auto" w:fill="6B2976" w:themeFill="background2"/>
          </w:tcPr>
          <w:p w14:paraId="5E570E45" w14:textId="77777777" w:rsidR="00180669" w:rsidRPr="00164634" w:rsidRDefault="00180669" w:rsidP="00320D09">
            <w:pPr>
              <w:pStyle w:val="TableTitle"/>
            </w:pPr>
            <w:r w:rsidRPr="00254154">
              <w:t>Requirement</w:t>
            </w:r>
          </w:p>
        </w:tc>
        <w:tc>
          <w:tcPr>
            <w:tcW w:w="1057" w:type="pct"/>
            <w:shd w:val="clear" w:color="auto" w:fill="6B2976" w:themeFill="background2"/>
          </w:tcPr>
          <w:p w14:paraId="4CCB634E" w14:textId="77777777" w:rsidR="00180669" w:rsidRPr="00164634" w:rsidRDefault="00180669" w:rsidP="00320D09">
            <w:pPr>
              <w:pStyle w:val="TableTitle"/>
            </w:pPr>
            <w:r w:rsidRPr="00254154">
              <w:t>Notes</w:t>
            </w:r>
          </w:p>
        </w:tc>
        <w:tc>
          <w:tcPr>
            <w:tcW w:w="1134" w:type="pct"/>
            <w:shd w:val="clear" w:color="auto" w:fill="6B2976" w:themeFill="background2"/>
          </w:tcPr>
          <w:p w14:paraId="31AD72F1" w14:textId="77777777" w:rsidR="00180669" w:rsidRPr="00164634" w:rsidRDefault="00180669" w:rsidP="00320D09">
            <w:pPr>
              <w:pStyle w:val="TableTitle"/>
              <w:jc w:val="right"/>
            </w:pPr>
            <w:r w:rsidRPr="00254154">
              <w:t>Page</w:t>
            </w:r>
          </w:p>
        </w:tc>
      </w:tr>
      <w:bookmarkEnd w:id="338"/>
      <w:tr w:rsidR="00180669" w14:paraId="51B734D7" w14:textId="77777777" w:rsidTr="00320D09">
        <w:tc>
          <w:tcPr>
            <w:tcW w:w="1061" w:type="pct"/>
          </w:tcPr>
          <w:p w14:paraId="7CEF62F3" w14:textId="67BF847C" w:rsidR="00180669" w:rsidRDefault="00180669" w:rsidP="00320D09">
            <w:pPr>
              <w:pStyle w:val="BodyText"/>
            </w:pPr>
            <w:r w:rsidRPr="00B20D77">
              <w:t>8</w:t>
            </w:r>
          </w:p>
        </w:tc>
        <w:tc>
          <w:tcPr>
            <w:tcW w:w="1748" w:type="pct"/>
          </w:tcPr>
          <w:p w14:paraId="06B40755" w14:textId="79DC80CD" w:rsidR="00180669" w:rsidRPr="00D536D9" w:rsidRDefault="00180669" w:rsidP="00320D09">
            <w:pPr>
              <w:pStyle w:val="BodyText"/>
              <w:rPr>
                <w:rStyle w:val="BodyTextBold"/>
              </w:rPr>
            </w:pPr>
            <w:r w:rsidRPr="00B20D77">
              <w:t>Information Publication Scheme Statement</w:t>
            </w:r>
          </w:p>
        </w:tc>
        <w:tc>
          <w:tcPr>
            <w:tcW w:w="1057" w:type="pct"/>
          </w:tcPr>
          <w:p w14:paraId="1DB6782B" w14:textId="6E162C52" w:rsidR="00180669" w:rsidRPr="00CC2ECB" w:rsidRDefault="00180669" w:rsidP="00320D09">
            <w:pPr>
              <w:pStyle w:val="BodyText"/>
            </w:pPr>
            <w:r w:rsidRPr="00B20D77">
              <w:t>Freedom of information</w:t>
            </w:r>
          </w:p>
        </w:tc>
        <w:tc>
          <w:tcPr>
            <w:tcW w:w="1134" w:type="pct"/>
          </w:tcPr>
          <w:p w14:paraId="5B25BC57" w14:textId="519C46F4" w:rsidR="00180669" w:rsidRPr="00CC2ECB" w:rsidRDefault="00180669" w:rsidP="00320D09">
            <w:pPr>
              <w:pStyle w:val="BodyText"/>
              <w:jc w:val="right"/>
            </w:pPr>
            <w:r w:rsidRPr="00B20D77">
              <w:t>144</w:t>
            </w:r>
          </w:p>
        </w:tc>
      </w:tr>
    </w:tbl>
    <w:p w14:paraId="5BE3595F" w14:textId="77777777" w:rsidR="00180669" w:rsidRPr="00180669" w:rsidRDefault="00180669" w:rsidP="00180669">
      <w:pPr>
        <w:pStyle w:val="BodyText"/>
      </w:pPr>
    </w:p>
    <w:sectPr w:rsidR="00180669" w:rsidRPr="00180669" w:rsidSect="0022434E">
      <w:footerReference w:type="even" r:id="rId26"/>
      <w:footerReference w:type="default" r:id="rId27"/>
      <w:pgSz w:w="11900" w:h="16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762B50" w14:textId="77777777" w:rsidR="003F04EF" w:rsidRDefault="003F04EF" w:rsidP="001E0823">
      <w:r>
        <w:separator/>
      </w:r>
    </w:p>
  </w:endnote>
  <w:endnote w:type="continuationSeparator" w:id="0">
    <w:p w14:paraId="11FB0880" w14:textId="77777777" w:rsidR="003F04EF" w:rsidRDefault="003F04EF" w:rsidP="001E0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FSMePro-Light">
    <w:charset w:val="00"/>
    <w:family w:val="auto"/>
    <w:pitch w:val="variable"/>
    <w:sig w:usb0="A00002EF" w:usb1="4000606A" w:usb2="00000000" w:usb3="00000000" w:csb0="0000009F" w:csb1="00000000"/>
  </w:font>
  <w:font w:name="FSMePro">
    <w:charset w:val="00"/>
    <w:family w:val="auto"/>
    <w:pitch w:val="variable"/>
    <w:sig w:usb0="A00002EF" w:usb1="4000606A" w:usb2="00000000" w:usb3="00000000" w:csb0="0000009F" w:csb1="00000000"/>
  </w:font>
  <w:font w:name="FSMePro-Bold">
    <w:charset w:val="00"/>
    <w:family w:val="auto"/>
    <w:pitch w:val="variable"/>
    <w:sig w:usb0="A00002EF" w:usb1="4000606A" w:usb2="00000000" w:usb3="00000000" w:csb0="0000009F" w:csb1="00000000"/>
  </w:font>
  <w:font w:name="FSMePro-BoldItalic">
    <w:altName w:val="Times New Roman"/>
    <w:charset w:val="00"/>
    <w:family w:val="auto"/>
    <w:pitch w:val="variable"/>
    <w:sig w:usb0="A00002EF" w:usb1="4000606A" w:usb2="00000000" w:usb3="00000000" w:csb0="0000009F" w:csb1="00000000"/>
  </w:font>
  <w:font w:name="FSMePro-Heavy">
    <w:charset w:val="00"/>
    <w:family w:val="auto"/>
    <w:pitch w:val="variable"/>
    <w:sig w:usb0="A00002EF" w:usb1="4000606A" w:usb2="00000000" w:usb3="00000000" w:csb0="0000009F" w:csb1="00000000"/>
  </w:font>
  <w:font w:name="FSMePro-LightItalic">
    <w:charset w:val="00"/>
    <w:family w:val="auto"/>
    <w:pitch w:val="variable"/>
    <w:sig w:usb0="A00002EF" w:usb1="4000606A" w:usb2="00000000" w:usb3="00000000" w:csb0="000000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auto"/>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3214F" w14:textId="77777777" w:rsidR="003C40B2" w:rsidRDefault="003C40B2" w:rsidP="00320D0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098E68" w14:textId="77777777" w:rsidR="003C40B2" w:rsidRDefault="003C40B2" w:rsidP="00C32CBD">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7361E268" w14:textId="77777777" w:rsidR="003C40B2" w:rsidRDefault="003C40B2" w:rsidP="00C32C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3EA28" w14:textId="246268CD" w:rsidR="003C40B2" w:rsidRDefault="003C40B2" w:rsidP="00320D0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07FE">
      <w:rPr>
        <w:rStyle w:val="PageNumber"/>
        <w:noProof/>
      </w:rPr>
      <w:t>4</w:t>
    </w:r>
    <w:r>
      <w:rPr>
        <w:rStyle w:val="PageNumber"/>
      </w:rPr>
      <w:fldChar w:fldCharType="end"/>
    </w:r>
  </w:p>
  <w:p w14:paraId="331A37F9" w14:textId="77777777" w:rsidR="003C40B2" w:rsidRDefault="003C40B2" w:rsidP="00C32CBD">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25D92" w14:textId="77777777" w:rsidR="003C40B2" w:rsidRDefault="003C40B2" w:rsidP="00320D0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74DCEA" w14:textId="77777777" w:rsidR="003C40B2" w:rsidRDefault="003C40B2" w:rsidP="008821DE">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C86B9" w14:textId="77777777" w:rsidR="003C40B2" w:rsidRDefault="003C40B2" w:rsidP="00320D0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63A42">
      <w:rPr>
        <w:rStyle w:val="PageNumber"/>
        <w:noProof/>
      </w:rPr>
      <w:t>204</w:t>
    </w:r>
    <w:r>
      <w:rPr>
        <w:rStyle w:val="PageNumber"/>
      </w:rPr>
      <w:fldChar w:fldCharType="end"/>
    </w:r>
  </w:p>
  <w:p w14:paraId="7494BC85" w14:textId="77777777" w:rsidR="003C40B2" w:rsidRDefault="003C40B2" w:rsidP="008821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D1DA6" w14:textId="77777777" w:rsidR="003F04EF" w:rsidRDefault="003F04EF" w:rsidP="001E0823">
      <w:r>
        <w:separator/>
      </w:r>
    </w:p>
  </w:footnote>
  <w:footnote w:type="continuationSeparator" w:id="0">
    <w:p w14:paraId="14A716B4" w14:textId="77777777" w:rsidR="003F04EF" w:rsidRDefault="003F04EF" w:rsidP="001E0823">
      <w:r>
        <w:continuationSeparator/>
      </w:r>
    </w:p>
  </w:footnote>
  <w:footnote w:id="1">
    <w:p w14:paraId="44CD6796" w14:textId="4E9D0113" w:rsidR="003C40B2" w:rsidRPr="00B86A86" w:rsidRDefault="003C40B2" w:rsidP="001E0823">
      <w:pPr>
        <w:pStyle w:val="FootnoteText"/>
      </w:pPr>
      <w:r>
        <w:rPr>
          <w:rStyle w:val="FootnoteReference"/>
        </w:rPr>
        <w:footnoteRef/>
      </w:r>
      <w:r>
        <w:t xml:space="preserve"> This includes amounts committed in future years for current plans in place that have an end date past 30 June 2017.</w:t>
      </w:r>
    </w:p>
  </w:footnote>
  <w:footnote w:id="2">
    <w:p w14:paraId="64176713" w14:textId="6A34FC10" w:rsidR="003C40B2" w:rsidRPr="00DA38E1" w:rsidRDefault="003C40B2" w:rsidP="001E0823">
      <w:pPr>
        <w:pStyle w:val="FootnoteText"/>
      </w:pPr>
      <w:r>
        <w:rPr>
          <w:rStyle w:val="FootnoteReference"/>
        </w:rPr>
        <w:footnoteRef/>
      </w:r>
      <w:r>
        <w:t xml:space="preserve"> This includes amounts committed in future years for current plans in place that have an end date past 30 June 2017.</w:t>
      </w:r>
    </w:p>
  </w:footnote>
  <w:footnote w:id="3">
    <w:p w14:paraId="0D188680" w14:textId="134DEDA6" w:rsidR="003C40B2" w:rsidRPr="00465BCE" w:rsidRDefault="003C40B2" w:rsidP="001E0823">
      <w:pPr>
        <w:pStyle w:val="FootnoteText"/>
      </w:pPr>
      <w:r>
        <w:rPr>
          <w:rStyle w:val="FootnoteReference"/>
        </w:rPr>
        <w:footnoteRef/>
      </w:r>
      <w:r>
        <w:t xml:space="preserve"> This includes amounts committed in future years for current plans in place that have an end date past 30 June 2017.</w:t>
      </w:r>
    </w:p>
  </w:footnote>
  <w:footnote w:id="4">
    <w:p w14:paraId="2E7C0710" w14:textId="4A2D1A6F" w:rsidR="003C40B2" w:rsidRPr="009F73FA" w:rsidRDefault="003C40B2" w:rsidP="001E0823">
      <w:pPr>
        <w:pStyle w:val="FootnoteText"/>
        <w:rPr>
          <w:lang w:val="en-AU"/>
        </w:rPr>
      </w:pPr>
      <w:r>
        <w:rPr>
          <w:rStyle w:val="FootnoteReference"/>
        </w:rPr>
        <w:footnoteRef/>
      </w:r>
      <w:r>
        <w:t xml:space="preserve"> </w:t>
      </w:r>
      <w:r w:rsidRPr="009F73FA">
        <w:t>This includes amounts committed in future years for current plans in place that have an end date past 30 June 2017.</w:t>
      </w:r>
    </w:p>
  </w:footnote>
  <w:footnote w:id="5">
    <w:p w14:paraId="0B9775B8" w14:textId="6DB8C7D2" w:rsidR="003C40B2" w:rsidRPr="00392C0A" w:rsidRDefault="003C40B2" w:rsidP="001E0823">
      <w:pPr>
        <w:pStyle w:val="FootnoteText"/>
        <w:rPr>
          <w:lang w:val="en-AU"/>
        </w:rPr>
      </w:pPr>
      <w:r>
        <w:rPr>
          <w:rStyle w:val="FootnoteReference"/>
        </w:rPr>
        <w:footnoteRef/>
      </w:r>
      <w:r>
        <w:t xml:space="preserve"> </w:t>
      </w:r>
      <w:r w:rsidRPr="004326AF">
        <w:t>This includes amounts committed in future years for current plans in place that have an end date past 30 June 2017.</w:t>
      </w:r>
    </w:p>
  </w:footnote>
  <w:footnote w:id="6">
    <w:p w14:paraId="3C311A45" w14:textId="43184CB0" w:rsidR="003C40B2" w:rsidRPr="00AA2E5A" w:rsidRDefault="003C40B2" w:rsidP="001E0823">
      <w:pPr>
        <w:pStyle w:val="FootnoteText"/>
        <w:rPr>
          <w:lang w:val="en-AU"/>
        </w:rPr>
      </w:pPr>
      <w:r>
        <w:rPr>
          <w:rStyle w:val="FootnoteReference"/>
        </w:rPr>
        <w:footnoteRef/>
      </w:r>
      <w:r>
        <w:t xml:space="preserve"> </w:t>
      </w:r>
      <w:r w:rsidRPr="00AA2E5A">
        <w:t>This includes amounts committed in future years for current plans in place that have an end date past 30 June 2017.</w:t>
      </w:r>
    </w:p>
  </w:footnote>
  <w:footnote w:id="7">
    <w:p w14:paraId="611EF421" w14:textId="28600F7D" w:rsidR="003C40B2" w:rsidRPr="00712C48" w:rsidRDefault="003C40B2" w:rsidP="001E0823">
      <w:pPr>
        <w:pStyle w:val="FootnoteText"/>
        <w:rPr>
          <w:lang w:val="en-AU"/>
        </w:rPr>
      </w:pPr>
      <w:r>
        <w:rPr>
          <w:rStyle w:val="FootnoteReference"/>
        </w:rPr>
        <w:footnoteRef/>
      </w:r>
      <w:r>
        <w:t xml:space="preserve"> </w:t>
      </w:r>
      <w:r w:rsidRPr="00712C48">
        <w:t>This includes amounts committed in future years for current plans in place that have an end date past 30 June 2017.</w:t>
      </w:r>
    </w:p>
  </w:footnote>
  <w:footnote w:id="8">
    <w:p w14:paraId="37DA2C26" w14:textId="580C898C" w:rsidR="003C40B2" w:rsidRPr="0018427A" w:rsidRDefault="003C40B2" w:rsidP="001E0823">
      <w:pPr>
        <w:pStyle w:val="FootnoteText"/>
        <w:rPr>
          <w:lang w:val="en-AU"/>
        </w:rPr>
      </w:pPr>
      <w:r>
        <w:rPr>
          <w:rStyle w:val="FootnoteReference"/>
        </w:rPr>
        <w:footnoteRef/>
      </w:r>
      <w:r>
        <w:t xml:space="preserve"> </w:t>
      </w:r>
      <w:r w:rsidRPr="0018427A">
        <w:t>This includes amounts committed in future years for current plans in place that have an end date past 30 June 2017.</w:t>
      </w:r>
    </w:p>
  </w:footnote>
  <w:footnote w:id="9">
    <w:p w14:paraId="37ACD7FF" w14:textId="2B533F30" w:rsidR="003C40B2" w:rsidRPr="00D87B4B" w:rsidRDefault="003C40B2" w:rsidP="001E0823">
      <w:pPr>
        <w:pStyle w:val="FootnoteText"/>
        <w:rPr>
          <w:lang w:val="en-AU"/>
        </w:rPr>
      </w:pPr>
      <w:r>
        <w:rPr>
          <w:rStyle w:val="FootnoteReference"/>
        </w:rPr>
        <w:footnoteRef/>
      </w:r>
      <w:r>
        <w:t xml:space="preserve"> </w:t>
      </w:r>
      <w:r w:rsidRPr="00D87B4B">
        <w:t>Participants can use more than one method to manage their funding. This table is a hierarchy therefore each participant is only captured once. The hierarchy is: (1) self-managed fully, (2) self-managed partly (regardless of other methods being used), (3) anyone who does not fall into ‘self-managed partly’ and has a plan manager, and (4) anyone else.</w:t>
      </w:r>
    </w:p>
  </w:footnote>
  <w:footnote w:id="10">
    <w:p w14:paraId="1F97D4C9" w14:textId="305FE074" w:rsidR="003C40B2" w:rsidRPr="00D87B4B" w:rsidRDefault="003C40B2" w:rsidP="001E0823">
      <w:pPr>
        <w:pStyle w:val="FootnoteText"/>
        <w:rPr>
          <w:lang w:val="en-AU"/>
        </w:rPr>
      </w:pPr>
      <w:r>
        <w:rPr>
          <w:rStyle w:val="FootnoteReference"/>
        </w:rPr>
        <w:footnoteRef/>
      </w:r>
      <w:r>
        <w:t xml:space="preserve"> </w:t>
      </w:r>
      <w:r w:rsidRPr="00D87B4B">
        <w:t>Trial participants are not included.</w:t>
      </w:r>
    </w:p>
  </w:footnote>
  <w:footnote w:id="11">
    <w:p w14:paraId="5E874F37" w14:textId="260B4468" w:rsidR="003C40B2" w:rsidRPr="00A74E51" w:rsidRDefault="003C40B2" w:rsidP="001E0823">
      <w:pPr>
        <w:pStyle w:val="FootnoteText"/>
        <w:rPr>
          <w:lang w:val="en-AU"/>
        </w:rPr>
      </w:pPr>
      <w:r>
        <w:rPr>
          <w:rStyle w:val="FootnoteReference"/>
        </w:rPr>
        <w:footnoteRef/>
      </w:r>
      <w:r>
        <w:t xml:space="preserve"> </w:t>
      </w:r>
      <w:r w:rsidRPr="00A74E51">
        <w:t>Excludes participants who have exited the NDIS.</w:t>
      </w:r>
    </w:p>
  </w:footnote>
  <w:footnote w:id="12">
    <w:p w14:paraId="538FD935" w14:textId="0E3C3D39" w:rsidR="003C40B2" w:rsidRPr="00D45CD8" w:rsidRDefault="003C40B2" w:rsidP="001E0823">
      <w:pPr>
        <w:pStyle w:val="FootnoteText"/>
        <w:rPr>
          <w:lang w:val="en-AU"/>
        </w:rPr>
      </w:pPr>
      <w:r>
        <w:rPr>
          <w:rStyle w:val="FootnoteReference"/>
        </w:rPr>
        <w:footnoteRef/>
      </w:r>
      <w:r>
        <w:t xml:space="preserve"> </w:t>
      </w:r>
      <w:r w:rsidRPr="00D45CD8">
        <w:t>As self-reported by NDIA Partners in the Community</w:t>
      </w:r>
    </w:p>
  </w:footnote>
  <w:footnote w:id="13">
    <w:p w14:paraId="4C5A0C73" w14:textId="11471317" w:rsidR="003C40B2" w:rsidRPr="00244B62" w:rsidRDefault="003C40B2" w:rsidP="001E0823">
      <w:pPr>
        <w:pStyle w:val="FootnoteText"/>
        <w:rPr>
          <w:lang w:val="en-AU"/>
        </w:rPr>
      </w:pPr>
      <w:r>
        <w:rPr>
          <w:rStyle w:val="FootnoteReference"/>
        </w:rPr>
        <w:footnoteRef/>
      </w:r>
      <w:r>
        <w:t xml:space="preserve"> </w:t>
      </w:r>
      <w:r w:rsidRPr="00244B62">
        <w:t>This is based on the number of non-ongoing and ongoing engagements. The data does not differentiate if from a non-APS background.</w:t>
      </w:r>
    </w:p>
  </w:footnote>
  <w:footnote w:id="14">
    <w:p w14:paraId="3CC4FDBC" w14:textId="7C68335B" w:rsidR="003C40B2" w:rsidRPr="00E22019" w:rsidRDefault="003C40B2" w:rsidP="001E0823">
      <w:pPr>
        <w:pStyle w:val="FootnoteText"/>
        <w:rPr>
          <w:lang w:val="en-AU"/>
        </w:rPr>
      </w:pPr>
      <w:r>
        <w:rPr>
          <w:rStyle w:val="FootnoteReference"/>
        </w:rPr>
        <w:footnoteRef/>
      </w:r>
      <w:r>
        <w:t xml:space="preserve"> </w:t>
      </w:r>
      <w:r w:rsidRPr="00E22019">
        <w:t>Source: APSC 2015-16 State of the Service report</w:t>
      </w:r>
    </w:p>
  </w:footnote>
  <w:footnote w:id="15">
    <w:p w14:paraId="6F55E220" w14:textId="694147A5" w:rsidR="003C40B2" w:rsidRPr="00856E7A" w:rsidRDefault="003C40B2" w:rsidP="001E0823">
      <w:pPr>
        <w:pStyle w:val="FootnoteText"/>
        <w:rPr>
          <w:lang w:val="en-AU"/>
        </w:rPr>
      </w:pPr>
      <w:r>
        <w:rPr>
          <w:rStyle w:val="FootnoteReference"/>
        </w:rPr>
        <w:footnoteRef/>
      </w:r>
      <w:r>
        <w:t xml:space="preserve"> </w:t>
      </w:r>
      <w:r w:rsidRPr="00856E7A">
        <w:t>As at 30 June 2017, the NDIS has 90,638 participants with an approved plan and a further 6,134 children supported in the ECEI approach.</w:t>
      </w:r>
    </w:p>
  </w:footnote>
  <w:footnote w:id="16">
    <w:p w14:paraId="291E6012" w14:textId="3CA4E3D9" w:rsidR="003C40B2" w:rsidRPr="00856E7A" w:rsidRDefault="003C40B2" w:rsidP="001E0823">
      <w:pPr>
        <w:pStyle w:val="FootnoteText"/>
        <w:rPr>
          <w:lang w:val="en-AU"/>
        </w:rPr>
      </w:pPr>
      <w:r>
        <w:rPr>
          <w:rStyle w:val="FootnoteReference"/>
        </w:rPr>
        <w:footnoteRef/>
      </w:r>
      <w:r>
        <w:t xml:space="preserve"> </w:t>
      </w:r>
      <w:r w:rsidRPr="00856E7A">
        <w:t>In relation to the Public Governance, Performance and Accountability Rule 2014 (PGPA Rule), the “purpose” of the NDIA is expressed through the mission, vision and three goals identified in the NDIA Corporate Plan 2016-21 on page 8 and pages 17-19.</w:t>
      </w:r>
    </w:p>
  </w:footnote>
  <w:footnote w:id="17">
    <w:p w14:paraId="1F40CD1B" w14:textId="0AED65B3" w:rsidR="003C40B2" w:rsidRPr="00856E7A" w:rsidRDefault="003C40B2" w:rsidP="001E0823">
      <w:pPr>
        <w:pStyle w:val="FootnoteText"/>
      </w:pPr>
      <w:r>
        <w:rPr>
          <w:rStyle w:val="FootnoteReference"/>
        </w:rPr>
        <w:footnoteRef/>
      </w:r>
      <w:r>
        <w:t xml:space="preserve"> Section 16F of the PGPA Rule requires the NDIA to report its performance in accordance with the methods of measuring and assessing set out in its Corporate Plan and the Department of Social Services Portfolio Budget Statements, 2016-­17 (2016-17 PB Statements).</w:t>
      </w:r>
    </w:p>
  </w:footnote>
  <w:footnote w:id="18">
    <w:p w14:paraId="219F2EB3" w14:textId="23FB801D" w:rsidR="003C40B2" w:rsidRPr="00856E7A" w:rsidRDefault="003C40B2" w:rsidP="001E0823">
      <w:pPr>
        <w:pStyle w:val="FootnoteText"/>
        <w:rPr>
          <w:lang w:val="en-AU"/>
        </w:rPr>
      </w:pPr>
      <w:r>
        <w:rPr>
          <w:rStyle w:val="FootnoteReference"/>
        </w:rPr>
        <w:footnoteRef/>
      </w:r>
      <w:r>
        <w:t xml:space="preserve"> </w:t>
      </w:r>
      <w:r w:rsidRPr="00856E7A">
        <w:t>The single outcome (referred to as “Outcome 1”) is ‘to implement a NDIS that provides individual control and choice in the delivery of reasonable and necessary care and supports to improve the independence, social and economic participation of eligible people with disability, their families and carers, and associated referral services and activities’, 2016-17 PB Statements, page 151.</w:t>
      </w:r>
    </w:p>
  </w:footnote>
  <w:footnote w:id="19">
    <w:p w14:paraId="7EE4EF5D" w14:textId="2569C895" w:rsidR="003C40B2" w:rsidRPr="00856E7A" w:rsidRDefault="003C40B2" w:rsidP="001E0823">
      <w:pPr>
        <w:pStyle w:val="FootnoteText"/>
        <w:rPr>
          <w:lang w:val="en-AU"/>
        </w:rPr>
      </w:pPr>
      <w:r>
        <w:rPr>
          <w:rStyle w:val="FootnoteReference"/>
        </w:rPr>
        <w:footnoteRef/>
      </w:r>
      <w:r>
        <w:t xml:space="preserve"> </w:t>
      </w:r>
      <w:r w:rsidRPr="00856E7A">
        <w:t>These programs are: Program 1.1 (Reasonable and necessary care and support for participants), Program 1.2 (Community inclusion and capacity development grants), and Program 1.3 (Agency Costs).</w:t>
      </w:r>
    </w:p>
  </w:footnote>
  <w:footnote w:id="20">
    <w:p w14:paraId="5EF08D6F" w14:textId="16582B68" w:rsidR="003C40B2" w:rsidRPr="00856E7A" w:rsidRDefault="003C40B2" w:rsidP="001E0823">
      <w:pPr>
        <w:pStyle w:val="FootnoteText"/>
        <w:rPr>
          <w:lang w:val="en-AU"/>
        </w:rPr>
      </w:pPr>
      <w:r>
        <w:rPr>
          <w:rStyle w:val="FootnoteReference"/>
        </w:rPr>
        <w:footnoteRef/>
      </w:r>
      <w:r>
        <w:t xml:space="preserve"> </w:t>
      </w:r>
      <w:r w:rsidRPr="00F93D1A">
        <w:t>This is one of the indicators of success under Goal 1 in the NDIA Corporate Plan 2016-21, page 17.</w:t>
      </w:r>
    </w:p>
  </w:footnote>
  <w:footnote w:id="21">
    <w:p w14:paraId="7BFC6B8C" w14:textId="51F4374C" w:rsidR="003C40B2" w:rsidRPr="00F93D1A" w:rsidRDefault="003C40B2" w:rsidP="001E0823">
      <w:pPr>
        <w:pStyle w:val="FootnoteText"/>
        <w:rPr>
          <w:lang w:val="en-AU"/>
        </w:rPr>
      </w:pPr>
      <w:r>
        <w:rPr>
          <w:rStyle w:val="FootnoteReference"/>
        </w:rPr>
        <w:footnoteRef/>
      </w:r>
      <w:r>
        <w:t xml:space="preserve"> </w:t>
      </w:r>
      <w:r w:rsidRPr="00F93D1A">
        <w:t>2016-17 PB Statements, page 151.</w:t>
      </w:r>
    </w:p>
  </w:footnote>
  <w:footnote w:id="22">
    <w:p w14:paraId="57D80DA5" w14:textId="624D8BB3" w:rsidR="003C40B2" w:rsidRPr="00F93D1A" w:rsidRDefault="003C40B2" w:rsidP="001E0823">
      <w:pPr>
        <w:pStyle w:val="FootnoteText"/>
        <w:rPr>
          <w:lang w:val="en-AU"/>
        </w:rPr>
      </w:pPr>
      <w:r>
        <w:rPr>
          <w:rStyle w:val="FootnoteReference"/>
        </w:rPr>
        <w:footnoteRef/>
      </w:r>
      <w:r>
        <w:t xml:space="preserve"> </w:t>
      </w:r>
      <w:r w:rsidRPr="00F93D1A">
        <w:t>NDIA Corporate Plan 2016-21, page 17.</w:t>
      </w:r>
    </w:p>
  </w:footnote>
  <w:footnote w:id="23">
    <w:p w14:paraId="269D0896" w14:textId="5133A70C" w:rsidR="003C40B2" w:rsidRPr="00F93D1A" w:rsidRDefault="003C40B2" w:rsidP="001E0823">
      <w:pPr>
        <w:pStyle w:val="FootnoteText"/>
        <w:rPr>
          <w:lang w:val="en-AU"/>
        </w:rPr>
      </w:pPr>
      <w:r>
        <w:rPr>
          <w:rStyle w:val="FootnoteReference"/>
        </w:rPr>
        <w:footnoteRef/>
      </w:r>
      <w:r>
        <w:t xml:space="preserve"> </w:t>
      </w:r>
      <w:r w:rsidRPr="00F93D1A">
        <w:t>The performance target in the 2016-17 PB Statements is that the ‘number of participants entering the Scheme are as per Bilateral Agreements and actuarial forecasts’ (page 151).</w:t>
      </w:r>
    </w:p>
  </w:footnote>
  <w:footnote w:id="24">
    <w:p w14:paraId="45562664" w14:textId="49FC35BE" w:rsidR="003C40B2" w:rsidRPr="00F93D1A" w:rsidRDefault="003C40B2" w:rsidP="001E0823">
      <w:pPr>
        <w:pStyle w:val="FootnoteText"/>
        <w:rPr>
          <w:lang w:val="en-AU"/>
        </w:rPr>
      </w:pPr>
      <w:r>
        <w:rPr>
          <w:rStyle w:val="FootnoteReference"/>
        </w:rPr>
        <w:footnoteRef/>
      </w:r>
      <w:r>
        <w:t xml:space="preserve"> </w:t>
      </w:r>
      <w:r w:rsidRPr="00F93D1A">
        <w:t>This refers to participants aged 15 and above.</w:t>
      </w:r>
    </w:p>
  </w:footnote>
  <w:footnote w:id="25">
    <w:p w14:paraId="0E346C41" w14:textId="7691EF90" w:rsidR="003C40B2" w:rsidRPr="00F93D1A" w:rsidRDefault="003C40B2" w:rsidP="001E0823">
      <w:pPr>
        <w:pStyle w:val="FootnoteText"/>
        <w:rPr>
          <w:lang w:val="en-AU"/>
        </w:rPr>
      </w:pPr>
      <w:r>
        <w:rPr>
          <w:rStyle w:val="FootnoteReference"/>
        </w:rPr>
        <w:footnoteRef/>
      </w:r>
      <w:r>
        <w:t xml:space="preserve"> </w:t>
      </w:r>
      <w:r w:rsidRPr="00A56F20">
        <w:t>This is one of the indicators of success under Goal 1 in the NDIA Corporate Plan 2016-21, page 17.</w:t>
      </w:r>
    </w:p>
  </w:footnote>
  <w:footnote w:id="26">
    <w:p w14:paraId="77B105A6" w14:textId="0D94555E" w:rsidR="003C40B2" w:rsidRPr="00F93D1A" w:rsidRDefault="003C40B2" w:rsidP="001E0823">
      <w:pPr>
        <w:pStyle w:val="FootnoteText"/>
        <w:rPr>
          <w:lang w:val="en-AU"/>
        </w:rPr>
      </w:pPr>
      <w:r>
        <w:rPr>
          <w:rStyle w:val="FootnoteReference"/>
        </w:rPr>
        <w:footnoteRef/>
      </w:r>
      <w:r>
        <w:t xml:space="preserve"> </w:t>
      </w:r>
      <w:r w:rsidRPr="00A56F20">
        <w:t>NDIA Corporate Plan 2016-21, page 17.</w:t>
      </w:r>
    </w:p>
  </w:footnote>
  <w:footnote w:id="27">
    <w:p w14:paraId="110F1266" w14:textId="7CEDD6F7" w:rsidR="003C40B2" w:rsidRPr="00A56F20" w:rsidRDefault="003C40B2" w:rsidP="001E0823">
      <w:pPr>
        <w:pStyle w:val="FootnoteText"/>
        <w:rPr>
          <w:lang w:val="en-AU"/>
        </w:rPr>
      </w:pPr>
      <w:r>
        <w:rPr>
          <w:rStyle w:val="FootnoteReference"/>
        </w:rPr>
        <w:footnoteRef/>
      </w:r>
      <w:r>
        <w:t xml:space="preserve"> </w:t>
      </w:r>
      <w:r w:rsidRPr="00A56F20">
        <w:t>ABS Labour Force statistics, Dec 2016.</w:t>
      </w:r>
    </w:p>
  </w:footnote>
  <w:footnote w:id="28">
    <w:p w14:paraId="2A44AFBD" w14:textId="5ADD3C2F" w:rsidR="003C40B2" w:rsidRPr="00A56F20" w:rsidRDefault="003C40B2" w:rsidP="001E0823">
      <w:pPr>
        <w:pStyle w:val="FootnoteText"/>
        <w:rPr>
          <w:lang w:val="en-AU"/>
        </w:rPr>
      </w:pPr>
      <w:r>
        <w:rPr>
          <w:rStyle w:val="FootnoteReference"/>
        </w:rPr>
        <w:footnoteRef/>
      </w:r>
      <w:r>
        <w:t xml:space="preserve"> </w:t>
      </w:r>
      <w:r w:rsidRPr="00A56F20">
        <w:t>NDIA Corporate Plan 2016-21, page 17.</w:t>
      </w:r>
    </w:p>
  </w:footnote>
  <w:footnote w:id="29">
    <w:p w14:paraId="1F5377C2" w14:textId="4DFDCE45" w:rsidR="003C40B2" w:rsidRPr="00A56F20" w:rsidRDefault="003C40B2" w:rsidP="001E0823">
      <w:pPr>
        <w:pStyle w:val="FootnoteText"/>
      </w:pPr>
      <w:r>
        <w:rPr>
          <w:rStyle w:val="FootnoteReference"/>
        </w:rPr>
        <w:footnoteRef/>
      </w:r>
      <w:r>
        <w:t xml:space="preserve"> This is one of the indicators of success under Goal 2 in the NDIA Corporate Plan 2016-21, page 18.</w:t>
      </w:r>
    </w:p>
  </w:footnote>
  <w:footnote w:id="30">
    <w:p w14:paraId="19A461C7" w14:textId="6A73B2C5" w:rsidR="003C40B2" w:rsidRPr="00A56F20" w:rsidRDefault="003C40B2" w:rsidP="001E0823">
      <w:pPr>
        <w:pStyle w:val="FootnoteText"/>
        <w:rPr>
          <w:lang w:val="en-AU"/>
        </w:rPr>
      </w:pPr>
      <w:r>
        <w:rPr>
          <w:rStyle w:val="FootnoteReference"/>
        </w:rPr>
        <w:footnoteRef/>
      </w:r>
      <w:r>
        <w:t xml:space="preserve"> </w:t>
      </w:r>
      <w:r w:rsidRPr="00A56F20">
        <w:t>Ibid</w:t>
      </w:r>
    </w:p>
  </w:footnote>
  <w:footnote w:id="31">
    <w:p w14:paraId="7235C878" w14:textId="3F5497C8" w:rsidR="003C40B2" w:rsidRPr="00A56F20" w:rsidRDefault="003C40B2" w:rsidP="001E0823">
      <w:pPr>
        <w:pStyle w:val="FootnoteText"/>
        <w:rPr>
          <w:lang w:val="en-AU"/>
        </w:rPr>
      </w:pPr>
      <w:r>
        <w:rPr>
          <w:rStyle w:val="FootnoteReference"/>
        </w:rPr>
        <w:footnoteRef/>
      </w:r>
      <w:r>
        <w:t xml:space="preserve"> </w:t>
      </w:r>
      <w:r w:rsidRPr="00A56F20">
        <w:t>2016-17 PB Statements Program 1.1 (Reasonable and necessary care and support for participants), page 151.</w:t>
      </w:r>
    </w:p>
  </w:footnote>
  <w:footnote w:id="32">
    <w:p w14:paraId="6CEAE3C0" w14:textId="3022897C" w:rsidR="003C40B2" w:rsidRPr="00A56F20" w:rsidRDefault="003C40B2" w:rsidP="001E0823">
      <w:pPr>
        <w:pStyle w:val="FootnoteText"/>
        <w:rPr>
          <w:lang w:val="en-AU"/>
        </w:rPr>
      </w:pPr>
      <w:r>
        <w:rPr>
          <w:rStyle w:val="FootnoteReference"/>
        </w:rPr>
        <w:footnoteRef/>
      </w:r>
      <w:r>
        <w:t xml:space="preserve"> </w:t>
      </w:r>
      <w:r w:rsidRPr="00A56F20">
        <w:t>2016-17 PB Statements Program 1.3 (Agency Costs), page 153.</w:t>
      </w:r>
    </w:p>
  </w:footnote>
  <w:footnote w:id="33">
    <w:p w14:paraId="1D245B8A" w14:textId="1F9FEEE8" w:rsidR="003C40B2" w:rsidRPr="00A56F20" w:rsidRDefault="003C40B2" w:rsidP="001E0823">
      <w:pPr>
        <w:pStyle w:val="FootnoteText"/>
        <w:rPr>
          <w:lang w:val="en-AU"/>
        </w:rPr>
      </w:pPr>
      <w:r>
        <w:rPr>
          <w:rStyle w:val="FootnoteReference"/>
        </w:rPr>
        <w:footnoteRef/>
      </w:r>
      <w:r>
        <w:t xml:space="preserve"> </w:t>
      </w:r>
      <w:r w:rsidRPr="00A56F20">
        <w:t>2016-17 PB Statements Program 1.1 (Reasonable and necessary care and support for participants), page 151.</w:t>
      </w:r>
    </w:p>
  </w:footnote>
  <w:footnote w:id="34">
    <w:p w14:paraId="79D1B150" w14:textId="35114573" w:rsidR="003C40B2" w:rsidRPr="00A56F20" w:rsidRDefault="003C40B2" w:rsidP="001E0823">
      <w:pPr>
        <w:pStyle w:val="FootnoteText"/>
        <w:rPr>
          <w:lang w:val="en-AU"/>
        </w:rPr>
      </w:pPr>
      <w:r>
        <w:rPr>
          <w:rStyle w:val="FootnoteReference"/>
        </w:rPr>
        <w:footnoteRef/>
      </w:r>
      <w:r>
        <w:t xml:space="preserve"> </w:t>
      </w:r>
      <w:r w:rsidRPr="00A56F20">
        <w:t>NDIA Corporate Plan 2016-21, page 18.</w:t>
      </w:r>
    </w:p>
  </w:footnote>
  <w:footnote w:id="35">
    <w:p w14:paraId="6991715C" w14:textId="5384A7F7" w:rsidR="003C40B2" w:rsidRPr="00A56F20" w:rsidRDefault="003C40B2" w:rsidP="001E0823">
      <w:pPr>
        <w:pStyle w:val="FootnoteText"/>
        <w:rPr>
          <w:lang w:val="en-AU"/>
        </w:rPr>
      </w:pPr>
      <w:r>
        <w:rPr>
          <w:rStyle w:val="FootnoteReference"/>
        </w:rPr>
        <w:footnoteRef/>
      </w:r>
      <w:r>
        <w:t xml:space="preserve"> </w:t>
      </w:r>
      <w:r w:rsidRPr="00A56F20">
        <w:t>2016-17 PB Statements Program 1.1 (Reasonable and necessary care and support for participants), page 151.</w:t>
      </w:r>
    </w:p>
  </w:footnote>
  <w:footnote w:id="36">
    <w:p w14:paraId="0A02C154" w14:textId="08030EFC" w:rsidR="003C40B2" w:rsidRPr="00A56F20" w:rsidRDefault="003C40B2" w:rsidP="001E0823">
      <w:pPr>
        <w:pStyle w:val="FootnoteText"/>
        <w:rPr>
          <w:lang w:val="en-AU"/>
        </w:rPr>
      </w:pPr>
      <w:r>
        <w:rPr>
          <w:rStyle w:val="FootnoteReference"/>
        </w:rPr>
        <w:footnoteRef/>
      </w:r>
      <w:r>
        <w:t xml:space="preserve"> </w:t>
      </w:r>
      <w:r w:rsidRPr="00A56F20">
        <w:t>Productivity Commission Position Paper on NDIS Scheme Costs (June 2017), page 53.</w:t>
      </w:r>
    </w:p>
  </w:footnote>
  <w:footnote w:id="37">
    <w:p w14:paraId="7337E379" w14:textId="314FF158" w:rsidR="003C40B2" w:rsidRPr="00A56F20" w:rsidRDefault="003C40B2" w:rsidP="001E0823">
      <w:pPr>
        <w:pStyle w:val="FootnoteText"/>
        <w:rPr>
          <w:lang w:val="en-AU"/>
        </w:rPr>
      </w:pPr>
      <w:r>
        <w:rPr>
          <w:rStyle w:val="FootnoteReference"/>
        </w:rPr>
        <w:footnoteRef/>
      </w:r>
      <w:r>
        <w:t xml:space="preserve"> </w:t>
      </w:r>
      <w:r w:rsidRPr="00A56F20">
        <w:t>2016-17 PB Statements Program 1.3 (Agency Costs), page 152.</w:t>
      </w:r>
    </w:p>
  </w:footnote>
  <w:footnote w:id="38">
    <w:p w14:paraId="47110B12" w14:textId="33076CAD" w:rsidR="003C40B2" w:rsidRPr="00A56F20" w:rsidRDefault="003C40B2" w:rsidP="001E0823">
      <w:pPr>
        <w:pStyle w:val="FootnoteText"/>
        <w:rPr>
          <w:lang w:val="en-AU"/>
        </w:rPr>
      </w:pPr>
      <w:r>
        <w:rPr>
          <w:rStyle w:val="FootnoteReference"/>
        </w:rPr>
        <w:footnoteRef/>
      </w:r>
      <w:r>
        <w:t xml:space="preserve"> </w:t>
      </w:r>
      <w:r w:rsidRPr="00A56F20">
        <w:t>NDIA Corporate Plan 2016-21, page 18.</w:t>
      </w:r>
    </w:p>
  </w:footnote>
  <w:footnote w:id="39">
    <w:p w14:paraId="25B34677" w14:textId="13440A7F" w:rsidR="003C40B2" w:rsidRPr="00A56F20" w:rsidRDefault="003C40B2" w:rsidP="001E0823">
      <w:pPr>
        <w:pStyle w:val="FootnoteText"/>
        <w:rPr>
          <w:lang w:val="en-AU"/>
        </w:rPr>
      </w:pPr>
      <w:r>
        <w:rPr>
          <w:rStyle w:val="FootnoteReference"/>
        </w:rPr>
        <w:footnoteRef/>
      </w:r>
      <w:r>
        <w:t xml:space="preserve"> </w:t>
      </w:r>
      <w:r w:rsidRPr="00A56F20">
        <w:t>NDIA Corporate Plan 2016-21, page 18.</w:t>
      </w:r>
    </w:p>
  </w:footnote>
  <w:footnote w:id="40">
    <w:p w14:paraId="1BBA488A" w14:textId="46D3041C" w:rsidR="003C40B2" w:rsidRPr="00A56F20" w:rsidRDefault="003C40B2" w:rsidP="001E0823">
      <w:pPr>
        <w:pStyle w:val="FootnoteText"/>
        <w:rPr>
          <w:lang w:val="en-AU"/>
        </w:rPr>
      </w:pPr>
      <w:r>
        <w:rPr>
          <w:rStyle w:val="FootnoteReference"/>
        </w:rPr>
        <w:footnoteRef/>
      </w:r>
      <w:r>
        <w:t xml:space="preserve"> </w:t>
      </w:r>
      <w:r w:rsidRPr="00A56F20">
        <w:t>NDIA Corporate Plan 2016-21, page 18.</w:t>
      </w:r>
    </w:p>
  </w:footnote>
  <w:footnote w:id="41">
    <w:p w14:paraId="7908E8C2" w14:textId="2F40DA2E" w:rsidR="003C40B2" w:rsidRPr="00A56F20" w:rsidRDefault="003C40B2" w:rsidP="001E0823">
      <w:pPr>
        <w:pStyle w:val="FootnoteText"/>
        <w:rPr>
          <w:lang w:val="en-AU"/>
        </w:rPr>
      </w:pPr>
      <w:r>
        <w:rPr>
          <w:rStyle w:val="FootnoteReference"/>
        </w:rPr>
        <w:footnoteRef/>
      </w:r>
      <w:r>
        <w:t xml:space="preserve"> </w:t>
      </w:r>
      <w:r w:rsidRPr="00A56F20">
        <w:t>This is one of the indicators of success under Goal 2 of the NDIA Corporate Plan 2016-21, page 18.</w:t>
      </w:r>
    </w:p>
  </w:footnote>
  <w:footnote w:id="42">
    <w:p w14:paraId="2E58D105" w14:textId="12E53E63" w:rsidR="003C40B2" w:rsidRPr="00A56F20" w:rsidRDefault="003C40B2" w:rsidP="001E0823">
      <w:pPr>
        <w:pStyle w:val="FootnoteText"/>
        <w:rPr>
          <w:lang w:val="en-AU"/>
        </w:rPr>
      </w:pPr>
      <w:r>
        <w:rPr>
          <w:rStyle w:val="FootnoteReference"/>
        </w:rPr>
        <w:footnoteRef/>
      </w:r>
      <w:r>
        <w:t xml:space="preserve"> </w:t>
      </w:r>
      <w:r w:rsidRPr="00A56F20">
        <w:t>NDIA Corporate Plan 2016-21, page 18.</w:t>
      </w:r>
    </w:p>
  </w:footnote>
  <w:footnote w:id="43">
    <w:p w14:paraId="3596692E" w14:textId="7EA7C3A7" w:rsidR="003C40B2" w:rsidRPr="00A56F20" w:rsidRDefault="003C40B2" w:rsidP="001E0823">
      <w:pPr>
        <w:pStyle w:val="FootnoteText"/>
      </w:pPr>
      <w:r>
        <w:rPr>
          <w:rStyle w:val="FootnoteReference"/>
        </w:rPr>
        <w:footnoteRef/>
      </w:r>
      <w:r>
        <w:t xml:space="preserve"> 2016-17 PB Statements Program 1.2 (Community inclusion and Community Development Grants), page 152.</w:t>
      </w:r>
    </w:p>
  </w:footnote>
  <w:footnote w:id="44">
    <w:p w14:paraId="5522F412" w14:textId="0CA91B48" w:rsidR="003C40B2" w:rsidRPr="00A56F20" w:rsidRDefault="003C40B2" w:rsidP="001E0823">
      <w:pPr>
        <w:pStyle w:val="FootnoteText"/>
      </w:pPr>
      <w:r>
        <w:rPr>
          <w:rStyle w:val="FootnoteReference"/>
        </w:rPr>
        <w:footnoteRef/>
      </w:r>
      <w:r>
        <w:t xml:space="preserve"> This is one of the indicators of success under Goal 3, NDIA Corporate Plan 2016-21, page 19.</w:t>
      </w:r>
    </w:p>
  </w:footnote>
  <w:footnote w:id="45">
    <w:p w14:paraId="5CCDF55F" w14:textId="36958E01" w:rsidR="003C40B2" w:rsidRPr="00B522C6" w:rsidRDefault="003C40B2" w:rsidP="001E0823">
      <w:pPr>
        <w:pStyle w:val="FootnoteText"/>
        <w:rPr>
          <w:lang w:val="en-AU"/>
        </w:rPr>
      </w:pPr>
      <w:r>
        <w:rPr>
          <w:rStyle w:val="FootnoteReference"/>
        </w:rPr>
        <w:footnoteRef/>
      </w:r>
      <w:r>
        <w:t xml:space="preserve"> </w:t>
      </w:r>
      <w:r w:rsidRPr="00B522C6">
        <w:t>NDIA Corporate Plan, 2016-21, page 19.</w:t>
      </w:r>
    </w:p>
  </w:footnote>
  <w:footnote w:id="46">
    <w:p w14:paraId="5B2EDB24" w14:textId="56307338" w:rsidR="003C40B2" w:rsidRPr="00B522C6" w:rsidRDefault="003C40B2" w:rsidP="001E0823">
      <w:pPr>
        <w:pStyle w:val="FootnoteText"/>
      </w:pPr>
      <w:r>
        <w:rPr>
          <w:rStyle w:val="FootnoteReference"/>
        </w:rPr>
        <w:footnoteRef/>
      </w:r>
      <w:r>
        <w:t xml:space="preserve"> This is one of the indicators of success under Goal 3 outlined in the NDIA Corporate Plan 2016-21, page 19.</w:t>
      </w:r>
    </w:p>
  </w:footnote>
  <w:footnote w:id="47">
    <w:p w14:paraId="086D1E4D" w14:textId="6F167D22" w:rsidR="003C40B2" w:rsidRPr="00B522C6" w:rsidRDefault="003C40B2" w:rsidP="001E0823">
      <w:pPr>
        <w:pStyle w:val="FootnoteText"/>
        <w:rPr>
          <w:lang w:val="en-AU"/>
        </w:rPr>
      </w:pPr>
      <w:r>
        <w:rPr>
          <w:rStyle w:val="FootnoteReference"/>
        </w:rPr>
        <w:footnoteRef/>
      </w:r>
      <w:r>
        <w:t xml:space="preserve"> </w:t>
      </w:r>
      <w:r w:rsidRPr="00B522C6">
        <w:t>This is one performance target set against 2016-17 PB Statements Program 1.3 (Agency costs): ’90 per cent of services centres are opened as per the bilateral estimates’. It should be noted that no target was set in the Bilateral Agreements for service centres, but the NDIA has operationalised services centres to support the bilateral estimates of participant space between numbers, page 152.</w:t>
      </w:r>
    </w:p>
  </w:footnote>
  <w:footnote w:id="48">
    <w:p w14:paraId="38F5A84C" w14:textId="7CD58833" w:rsidR="003C40B2" w:rsidRPr="00B522C6" w:rsidRDefault="003C40B2" w:rsidP="001E0823">
      <w:pPr>
        <w:pStyle w:val="FootnoteText"/>
        <w:rPr>
          <w:lang w:val="en-AU"/>
        </w:rPr>
      </w:pPr>
      <w:r>
        <w:rPr>
          <w:rStyle w:val="FootnoteReference"/>
        </w:rPr>
        <w:footnoteRef/>
      </w:r>
      <w:r>
        <w:t xml:space="preserve"> </w:t>
      </w:r>
      <w:r w:rsidRPr="004C249C">
        <w:t>NDIA Corporate Plan 2016-21, page 19.</w:t>
      </w:r>
    </w:p>
  </w:footnote>
  <w:footnote w:id="49">
    <w:p w14:paraId="06DA088D" w14:textId="25268CF1" w:rsidR="003C40B2" w:rsidRPr="004C249C" w:rsidRDefault="003C40B2" w:rsidP="001E0823">
      <w:pPr>
        <w:pStyle w:val="FootnoteText"/>
        <w:rPr>
          <w:lang w:val="en-AU"/>
        </w:rPr>
      </w:pPr>
      <w:r>
        <w:rPr>
          <w:rStyle w:val="FootnoteReference"/>
        </w:rPr>
        <w:footnoteRef/>
      </w:r>
      <w:r>
        <w:t xml:space="preserve"> </w:t>
      </w:r>
      <w:r w:rsidRPr="004C249C">
        <w:t>This is one of the indicators of success under Goal 3 in the NDIA Corporate Plan 2016-21, page 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85376" w14:textId="77777777" w:rsidR="003C40B2" w:rsidRDefault="003C40B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E30F4" w14:textId="77777777" w:rsidR="003C40B2" w:rsidRDefault="003C40B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E2380" w14:textId="77777777" w:rsidR="003C40B2" w:rsidRDefault="003C40B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38AF4" w14:textId="77777777" w:rsidR="003C40B2" w:rsidRDefault="00E707FE" w:rsidP="00320D09">
    <w:pPr>
      <w:pStyle w:val="StatementHeading"/>
      <w:rPr>
        <w:rFonts w:cs="Arial"/>
        <w:szCs w:val="24"/>
      </w:rPr>
    </w:pPr>
    <w:r>
      <w:fldChar w:fldCharType="begin"/>
    </w:r>
    <w:r>
      <w:instrText xml:space="preserve"> DOCPROPERTY  longName  \* MERGEFORMAT </w:instrText>
    </w:r>
    <w:r>
      <w:fldChar w:fldCharType="separate"/>
    </w:r>
    <w:r w:rsidR="003C40B2" w:rsidRPr="005907F7">
      <w:rPr>
        <w:rFonts w:cs="Arial"/>
        <w:szCs w:val="24"/>
      </w:rPr>
      <w:t>National Disability Insurance</w:t>
    </w:r>
    <w:r w:rsidR="003C40B2">
      <w:t xml:space="preserve"> Scheme Launch Transition Agency</w:t>
    </w:r>
    <w:r>
      <w:fldChar w:fldCharType="end"/>
    </w:r>
  </w:p>
  <w:p w14:paraId="232679E6" w14:textId="77777777" w:rsidR="003C40B2" w:rsidRDefault="003C40B2" w:rsidP="00320D09">
    <w:pPr>
      <w:pStyle w:val="StatementHeading"/>
      <w:rPr>
        <w:rFonts w:cs="Arial"/>
        <w:szCs w:val="24"/>
      </w:rPr>
    </w:pPr>
    <w:r>
      <w:rPr>
        <w:szCs w:val="24"/>
      </w:rPr>
      <w:t>CASH FLOW STATEMENT</w:t>
    </w:r>
  </w:p>
  <w:p w14:paraId="161F3C6E" w14:textId="77777777" w:rsidR="003C40B2" w:rsidRPr="00990DB5" w:rsidRDefault="003C40B2" w:rsidP="00320D09">
    <w:pPr>
      <w:pStyle w:val="StatementDateHeader"/>
    </w:pPr>
    <w:r>
      <w:rPr>
        <w:szCs w:val="24"/>
      </w:rPr>
      <w:t xml:space="preserve">for the period ended </w:t>
    </w:r>
    <w:r w:rsidR="00E707FE">
      <w:fldChar w:fldCharType="begin"/>
    </w:r>
    <w:r w:rsidR="00E707FE">
      <w:instrText xml:space="preserve"> DOCPROPERTY  pEnd  \* MERGEFORMAT </w:instrText>
    </w:r>
    <w:r w:rsidR="00E707FE">
      <w:fldChar w:fldCharType="separate"/>
    </w:r>
    <w:r>
      <w:t>30 June</w:t>
    </w:r>
    <w:r w:rsidR="00E707FE">
      <w:fldChar w:fldCharType="end"/>
    </w:r>
    <w:r>
      <w:t xml:space="preserve"> </w:t>
    </w:r>
    <w:r w:rsidR="00E707FE">
      <w:fldChar w:fldCharType="begin"/>
    </w:r>
    <w:r w:rsidR="00E707FE">
      <w:instrText xml:space="preserve"> DOCPROPERTY  crYear  \* MERGEFORMAT </w:instrText>
    </w:r>
    <w:r w:rsidR="00E707FE">
      <w:fldChar w:fldCharType="separate"/>
    </w:r>
    <w:r w:rsidRPr="005907F7">
      <w:rPr>
        <w:szCs w:val="24"/>
      </w:rPr>
      <w:t>2017</w:t>
    </w:r>
    <w:r w:rsidR="00E707FE">
      <w:rPr>
        <w:szCs w:val="24"/>
      </w:rPr>
      <w:fldChar w:fldCharType="end"/>
    </w:r>
  </w:p>
  <w:p w14:paraId="475E1390" w14:textId="77777777" w:rsidR="003C40B2" w:rsidRPr="00C97330" w:rsidRDefault="003C40B2" w:rsidP="00320D09">
    <w:pPr>
      <w:rPr>
        <w:rFonts w:cs="Arial"/>
        <w:b/>
        <w:sz w:val="24"/>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1D89B" w14:textId="77777777" w:rsidR="003C40B2" w:rsidRDefault="003C40B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A69D3" w14:textId="77777777" w:rsidR="003C40B2" w:rsidRDefault="003C40B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1981F" w14:textId="77777777" w:rsidR="003C40B2" w:rsidRDefault="00E707FE" w:rsidP="00320D09">
    <w:pPr>
      <w:pStyle w:val="StatementHeading"/>
      <w:rPr>
        <w:rFonts w:cs="Arial"/>
        <w:szCs w:val="24"/>
      </w:rPr>
    </w:pPr>
    <w:r>
      <w:fldChar w:fldCharType="begin"/>
    </w:r>
    <w:r>
      <w:instrText xml:space="preserve"> DOCPROPERTY  longName  \* MERGEFORMAT </w:instrText>
    </w:r>
    <w:r>
      <w:fldChar w:fldCharType="separate"/>
    </w:r>
    <w:r w:rsidR="003C40B2" w:rsidRPr="005907F7">
      <w:rPr>
        <w:rFonts w:cs="Arial"/>
        <w:szCs w:val="24"/>
      </w:rPr>
      <w:t>National Disability Insurance</w:t>
    </w:r>
    <w:r w:rsidR="003C40B2">
      <w:t xml:space="preserve"> Scheme Launch Transition Agency</w:t>
    </w:r>
    <w:r>
      <w:fldChar w:fldCharType="end"/>
    </w:r>
  </w:p>
  <w:p w14:paraId="4D95B633" w14:textId="77777777" w:rsidR="003C40B2" w:rsidRPr="00990DB5" w:rsidRDefault="003C40B2" w:rsidP="00320D09">
    <w:pPr>
      <w:pStyle w:val="StatementName"/>
    </w:pPr>
    <w:r w:rsidRPr="00990DB5">
      <w:t>NOTES TO AND FORMING PART OF THE FINANCIAL STATEMENTS</w:t>
    </w:r>
  </w:p>
  <w:p w14:paraId="037BB3AC" w14:textId="77777777" w:rsidR="003C40B2" w:rsidRPr="00F02C4F" w:rsidRDefault="003C40B2" w:rsidP="00320D09">
    <w:pPr>
      <w:spacing w:after="240"/>
      <w:rPr>
        <w:rFonts w:cs="Arial"/>
        <w:b/>
        <w:sz w:val="14"/>
        <w:szCs w:val="14"/>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05CAD" w14:textId="77777777" w:rsidR="003C40B2" w:rsidRDefault="003C40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7C1B5" w14:textId="77777777" w:rsidR="003C40B2" w:rsidRDefault="00E707FE" w:rsidP="00320D09">
    <w:pPr>
      <w:pStyle w:val="StatementHeading"/>
      <w:rPr>
        <w:rFonts w:cs="Arial"/>
        <w:szCs w:val="24"/>
      </w:rPr>
    </w:pPr>
    <w:r>
      <w:fldChar w:fldCharType="begin"/>
    </w:r>
    <w:r>
      <w:instrText xml:space="preserve"> DOCPROPERTY  longName  \* MERGEFORMAT </w:instrText>
    </w:r>
    <w:r>
      <w:fldChar w:fldCharType="separate"/>
    </w:r>
    <w:r w:rsidR="003C40B2" w:rsidRPr="005907F7">
      <w:rPr>
        <w:rFonts w:cs="Arial"/>
        <w:szCs w:val="24"/>
      </w:rPr>
      <w:t>National Disability Insurance</w:t>
    </w:r>
    <w:r w:rsidR="003C40B2">
      <w:t xml:space="preserve"> Scheme Launch Transition Agency</w:t>
    </w:r>
    <w:r>
      <w:fldChar w:fldCharType="end"/>
    </w:r>
  </w:p>
  <w:p w14:paraId="688EED15" w14:textId="77777777" w:rsidR="003C40B2" w:rsidRDefault="003C40B2" w:rsidP="00320D09">
    <w:pPr>
      <w:pStyle w:val="StatementHeading"/>
    </w:pPr>
    <w:r>
      <w:t>STATEMENT BY THE CHAIRMAN OF THE BOARD, CHIEF EXECUTIVE OFFICER, CHIEF FINANCIAL OFFICER AND CHAIR OF THE AUDIT COMMITTEE</w:t>
    </w:r>
  </w:p>
  <w:p w14:paraId="4E2A1E89" w14:textId="77777777" w:rsidR="003C40B2" w:rsidRDefault="003C40B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7E786" w14:textId="77777777" w:rsidR="003C40B2" w:rsidRDefault="003C40B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6EE05" w14:textId="77777777" w:rsidR="003C40B2" w:rsidRDefault="003C40B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739C7" w14:textId="77777777" w:rsidR="003C40B2" w:rsidRDefault="00E707FE" w:rsidP="00320D09">
    <w:pPr>
      <w:pStyle w:val="StatementHeading"/>
      <w:rPr>
        <w:rFonts w:cs="Arial"/>
        <w:szCs w:val="24"/>
      </w:rPr>
    </w:pPr>
    <w:r>
      <w:fldChar w:fldCharType="begin"/>
    </w:r>
    <w:r>
      <w:instrText xml:space="preserve"> DOCPROPERTY  longName  \* MERGEFORMAT </w:instrText>
    </w:r>
    <w:r>
      <w:fldChar w:fldCharType="separate"/>
    </w:r>
    <w:r w:rsidR="003C40B2" w:rsidRPr="005907F7">
      <w:rPr>
        <w:rFonts w:cs="Arial"/>
        <w:szCs w:val="24"/>
      </w:rPr>
      <w:t>National Disability Insurance</w:t>
    </w:r>
    <w:r w:rsidR="003C40B2">
      <w:t xml:space="preserve"> Scheme Launch Transition Agency</w:t>
    </w:r>
    <w:r>
      <w:fldChar w:fldCharType="end"/>
    </w:r>
  </w:p>
  <w:p w14:paraId="17A0658E" w14:textId="77777777" w:rsidR="003C40B2" w:rsidRDefault="003C40B2" w:rsidP="00320D09">
    <w:pPr>
      <w:pStyle w:val="StatementHeading"/>
      <w:rPr>
        <w:rFonts w:cs="Arial"/>
        <w:szCs w:val="24"/>
      </w:rPr>
    </w:pPr>
    <w:r>
      <w:rPr>
        <w:rFonts w:cs="Arial"/>
        <w:szCs w:val="24"/>
      </w:rPr>
      <w:t>STATEMENT OF COMPREHENSIVE INCOME</w:t>
    </w:r>
  </w:p>
  <w:p w14:paraId="7F64BF64" w14:textId="77777777" w:rsidR="003C40B2" w:rsidRDefault="003C40B2" w:rsidP="00320D09">
    <w:pPr>
      <w:pStyle w:val="StatementDateHeader"/>
    </w:pPr>
    <w:r>
      <w:rPr>
        <w:rFonts w:cs="Arial"/>
        <w:szCs w:val="24"/>
      </w:rPr>
      <w:t xml:space="preserve">for the period ended </w:t>
    </w:r>
    <w:r w:rsidR="00E707FE">
      <w:fldChar w:fldCharType="begin"/>
    </w:r>
    <w:r w:rsidR="00E707FE">
      <w:instrText xml:space="preserve"> DOCPROPERTY  pEnd  \* MERGEFORMAT </w:instrText>
    </w:r>
    <w:r w:rsidR="00E707FE">
      <w:fldChar w:fldCharType="separate"/>
    </w:r>
    <w:r>
      <w:t>30 June</w:t>
    </w:r>
    <w:r w:rsidR="00E707FE">
      <w:fldChar w:fldCharType="end"/>
    </w:r>
    <w:r>
      <w:t xml:space="preserve"> </w:t>
    </w:r>
    <w:r w:rsidR="00E707FE">
      <w:fldChar w:fldCharType="begin"/>
    </w:r>
    <w:r w:rsidR="00E707FE">
      <w:instrText xml:space="preserve"> DOCPROPERTY  crYear  \* MERGEFORMAT </w:instrText>
    </w:r>
    <w:r w:rsidR="00E707FE">
      <w:fldChar w:fldCharType="separate"/>
    </w:r>
    <w:r w:rsidRPr="005907F7">
      <w:rPr>
        <w:rFonts w:cs="Arial"/>
        <w:szCs w:val="24"/>
      </w:rPr>
      <w:t>2017</w:t>
    </w:r>
    <w:r w:rsidR="00E707FE">
      <w:rPr>
        <w:rFonts w:cs="Arial"/>
        <w:szCs w:val="24"/>
      </w:rPr>
      <w:fldChar w:fldCharType="end"/>
    </w:r>
  </w:p>
  <w:p w14:paraId="570F521E" w14:textId="77777777" w:rsidR="003C40B2" w:rsidRPr="00245204" w:rsidRDefault="003C40B2" w:rsidP="00320D09">
    <w:pPr>
      <w:rPr>
        <w:rFonts w:cs="Arial"/>
        <w:i/>
        <w:sz w:val="24"/>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9EC3A" w14:textId="77777777" w:rsidR="003C40B2" w:rsidRDefault="003C40B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A84AF" w14:textId="77777777" w:rsidR="003C40B2" w:rsidRDefault="00E707FE" w:rsidP="00320D09">
    <w:pPr>
      <w:pStyle w:val="StatementHeading"/>
      <w:rPr>
        <w:rFonts w:cs="Arial"/>
        <w:szCs w:val="24"/>
      </w:rPr>
    </w:pPr>
    <w:r>
      <w:fldChar w:fldCharType="begin"/>
    </w:r>
    <w:r>
      <w:instrText xml:space="preserve"> DOCPROPERTY  longName  \* MERGEFORMAT </w:instrText>
    </w:r>
    <w:r>
      <w:fldChar w:fldCharType="separate"/>
    </w:r>
    <w:r w:rsidR="003C40B2" w:rsidRPr="005907F7">
      <w:rPr>
        <w:rFonts w:cs="Arial"/>
        <w:szCs w:val="24"/>
      </w:rPr>
      <w:t>National Disability Insurance</w:t>
    </w:r>
    <w:r w:rsidR="003C40B2">
      <w:t xml:space="preserve"> Scheme Launch Transition Agency</w:t>
    </w:r>
    <w:r>
      <w:fldChar w:fldCharType="end"/>
    </w:r>
  </w:p>
  <w:p w14:paraId="1B20F5F5" w14:textId="77777777" w:rsidR="003C40B2" w:rsidRDefault="003C40B2" w:rsidP="00320D09">
    <w:pPr>
      <w:pStyle w:val="StatementHeading"/>
      <w:rPr>
        <w:rFonts w:cs="Arial"/>
        <w:szCs w:val="24"/>
      </w:rPr>
    </w:pPr>
    <w:r>
      <w:rPr>
        <w:rFonts w:cs="Arial"/>
        <w:szCs w:val="24"/>
      </w:rPr>
      <w:t>STATEMENT OF FINANCIAL POSITION</w:t>
    </w:r>
  </w:p>
  <w:p w14:paraId="5A887D50" w14:textId="77777777" w:rsidR="003C40B2" w:rsidRDefault="003C40B2" w:rsidP="00320D09">
    <w:pPr>
      <w:pStyle w:val="StatementDateHeader"/>
    </w:pPr>
    <w:r>
      <w:rPr>
        <w:rFonts w:cs="Arial"/>
        <w:szCs w:val="24"/>
      </w:rPr>
      <w:t xml:space="preserve">as at </w:t>
    </w:r>
    <w:r w:rsidR="00E707FE">
      <w:fldChar w:fldCharType="begin"/>
    </w:r>
    <w:r w:rsidR="00E707FE">
      <w:instrText xml:space="preserve"> DOCPROPERTY  pEnd  \* MERGEFORMAT </w:instrText>
    </w:r>
    <w:r w:rsidR="00E707FE">
      <w:fldChar w:fldCharType="separate"/>
    </w:r>
    <w:r>
      <w:t>30 June</w:t>
    </w:r>
    <w:r w:rsidR="00E707FE">
      <w:fldChar w:fldCharType="end"/>
    </w:r>
    <w:r>
      <w:t xml:space="preserve"> </w:t>
    </w:r>
    <w:r w:rsidR="00E707FE">
      <w:fldChar w:fldCharType="begin"/>
    </w:r>
    <w:r w:rsidR="00E707FE">
      <w:instrText xml:space="preserve"> DOCPROPERTY  crYear  \* MERGEFORMAT </w:instrText>
    </w:r>
    <w:r w:rsidR="00E707FE">
      <w:fldChar w:fldCharType="separate"/>
    </w:r>
    <w:r w:rsidRPr="005907F7">
      <w:rPr>
        <w:rFonts w:cs="Arial"/>
        <w:szCs w:val="24"/>
      </w:rPr>
      <w:t>2017</w:t>
    </w:r>
    <w:r w:rsidR="00E707FE">
      <w:rPr>
        <w:rFonts w:cs="Arial"/>
        <w:szCs w:val="24"/>
      </w:rPr>
      <w:fldChar w:fldCharType="end"/>
    </w:r>
  </w:p>
  <w:p w14:paraId="413C4093" w14:textId="77777777" w:rsidR="003C40B2" w:rsidRPr="00245204" w:rsidRDefault="003C40B2" w:rsidP="00320D09">
    <w:pPr>
      <w:rPr>
        <w:rFonts w:cs="Arial"/>
        <w:i/>
        <w:sz w:val="24"/>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2FD43" w14:textId="77777777" w:rsidR="003C40B2" w:rsidRDefault="003C40B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1FD9B" w14:textId="77777777" w:rsidR="003C40B2" w:rsidRDefault="00E707FE" w:rsidP="00320D09">
    <w:pPr>
      <w:pStyle w:val="StatementHeading"/>
      <w:rPr>
        <w:rFonts w:cs="Arial"/>
        <w:szCs w:val="24"/>
      </w:rPr>
    </w:pPr>
    <w:r>
      <w:fldChar w:fldCharType="begin"/>
    </w:r>
    <w:r>
      <w:instrText xml:space="preserve"> DOCPROPERTY  longName  \* MERGEFORMAT </w:instrText>
    </w:r>
    <w:r>
      <w:fldChar w:fldCharType="separate"/>
    </w:r>
    <w:r w:rsidR="003C40B2" w:rsidRPr="005907F7">
      <w:rPr>
        <w:rFonts w:cs="Arial"/>
        <w:szCs w:val="24"/>
      </w:rPr>
      <w:t>National Disability Insurance</w:t>
    </w:r>
    <w:r w:rsidR="003C40B2">
      <w:t xml:space="preserve"> Scheme Launch Transition Agency</w:t>
    </w:r>
    <w:r>
      <w:fldChar w:fldCharType="end"/>
    </w:r>
  </w:p>
  <w:p w14:paraId="22AB1C05" w14:textId="77777777" w:rsidR="003C40B2" w:rsidRPr="00990DB5" w:rsidRDefault="003C40B2" w:rsidP="00320D09">
    <w:pPr>
      <w:pStyle w:val="StatementHeading"/>
      <w:rPr>
        <w:szCs w:val="24"/>
      </w:rPr>
    </w:pPr>
    <w:r>
      <w:rPr>
        <w:szCs w:val="24"/>
      </w:rPr>
      <w:t>STATEMENT OF CHANGES IN EQUITY</w:t>
    </w:r>
  </w:p>
  <w:p w14:paraId="195EB746" w14:textId="77777777" w:rsidR="003C40B2" w:rsidRDefault="003C40B2" w:rsidP="00320D09">
    <w:pPr>
      <w:pStyle w:val="StatementDateHeader"/>
    </w:pPr>
    <w:r w:rsidRPr="00245204">
      <w:rPr>
        <w:rFonts w:cs="Arial"/>
        <w:szCs w:val="24"/>
      </w:rPr>
      <w:t xml:space="preserve">for the </w:t>
    </w:r>
    <w:r>
      <w:rPr>
        <w:rFonts w:cs="Arial"/>
        <w:szCs w:val="24"/>
      </w:rPr>
      <w:t xml:space="preserve">period ended </w:t>
    </w:r>
    <w:r w:rsidR="00E707FE">
      <w:fldChar w:fldCharType="begin"/>
    </w:r>
    <w:r w:rsidR="00E707FE">
      <w:instrText xml:space="preserve"> DOCPROPERTY  pEnd  \* MERGEFORMAT </w:instrText>
    </w:r>
    <w:r w:rsidR="00E707FE">
      <w:fldChar w:fldCharType="separate"/>
    </w:r>
    <w:r>
      <w:t>30 June</w:t>
    </w:r>
    <w:r w:rsidR="00E707FE">
      <w:fldChar w:fldCharType="end"/>
    </w:r>
    <w:r>
      <w:t xml:space="preserve"> </w:t>
    </w:r>
    <w:r w:rsidR="00E707FE">
      <w:fldChar w:fldCharType="begin"/>
    </w:r>
    <w:r w:rsidR="00E707FE">
      <w:instrText xml:space="preserve"> DOCPROPERTY  crYear  \* MERGEFORMAT </w:instrText>
    </w:r>
    <w:r w:rsidR="00E707FE">
      <w:fldChar w:fldCharType="separate"/>
    </w:r>
    <w:r w:rsidRPr="005907F7">
      <w:rPr>
        <w:rFonts w:cs="Arial"/>
        <w:szCs w:val="24"/>
      </w:rPr>
      <w:t>2017</w:t>
    </w:r>
    <w:r w:rsidR="00E707FE">
      <w:rPr>
        <w:rFonts w:cs="Arial"/>
        <w:szCs w:val="24"/>
      </w:rPr>
      <w:fldChar w:fldCharType="end"/>
    </w:r>
  </w:p>
  <w:p w14:paraId="61A9A888" w14:textId="77777777" w:rsidR="003C40B2" w:rsidRPr="00245204" w:rsidRDefault="003C40B2" w:rsidP="00320D09">
    <w:pPr>
      <w:rPr>
        <w:rFonts w:cs="Arial"/>
        <w:i/>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0C0E4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6C6B88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BD6D51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614AE7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0FC3EF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9FCD99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566CBD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754314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E4E09C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49A20F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A42C43C"/>
    <w:lvl w:ilvl="0">
      <w:start w:val="1"/>
      <w:numFmt w:val="bullet"/>
      <w:pStyle w:val="ListBullet"/>
      <w:lvlText w:val=""/>
      <w:lvlJc w:val="left"/>
      <w:pPr>
        <w:tabs>
          <w:tab w:val="num" w:pos="717"/>
        </w:tabs>
        <w:ind w:left="717" w:hanging="360"/>
      </w:pPr>
      <w:rPr>
        <w:rFonts w:ascii="Symbol" w:hAnsi="Symbol" w:hint="default"/>
      </w:rPr>
    </w:lvl>
  </w:abstractNum>
  <w:abstractNum w:abstractNumId="11" w15:restartNumberingAfterBreak="0">
    <w:nsid w:val="01AF4F85"/>
    <w:multiLevelType w:val="multilevel"/>
    <w:tmpl w:val="4A2C09A0"/>
    <w:styleLink w:val="CurrentList2"/>
    <w:lvl w:ilvl="0">
      <w:start w:val="2"/>
      <w:numFmt w:val="decimal"/>
      <w:lvlText w:val="Note %1: "/>
      <w:lvlJc w:val="left"/>
      <w:pPr>
        <w:tabs>
          <w:tab w:val="num" w:pos="1352"/>
        </w:tabs>
        <w:ind w:left="1352" w:hanging="99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lvlText w:val="Note %1%2: "/>
      <w:lvlJc w:val="left"/>
      <w:pPr>
        <w:tabs>
          <w:tab w:val="num" w:pos="1532"/>
        </w:tabs>
        <w:ind w:left="1532" w:hanging="992"/>
      </w:pPr>
      <w:rPr>
        <w:rFonts w:ascii="Times New Roman" w:hAnsi="Times New Roman" w:cs="Times New Roman" w:hint="default"/>
        <w:b/>
        <w:i w:val="0"/>
        <w:color w:val="auto"/>
        <w:sz w:val="20"/>
        <w:szCs w:val="20"/>
        <w:u w:val="none"/>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0D5243B0"/>
    <w:multiLevelType w:val="hybridMultilevel"/>
    <w:tmpl w:val="D65AB6D8"/>
    <w:lvl w:ilvl="0" w:tplc="D9A4FAE0">
      <w:start w:val="1"/>
      <w:numFmt w:val="bullet"/>
      <w:lvlText w:val=""/>
      <w:lvlJc w:val="left"/>
      <w:pPr>
        <w:tabs>
          <w:tab w:val="num" w:pos="643"/>
        </w:tabs>
        <w:ind w:left="643" w:hanging="286"/>
      </w:pPr>
      <w:rPr>
        <w:rFonts w:ascii="Symbol" w:hAnsi="Symbol" w:hint="default"/>
      </w:rPr>
    </w:lvl>
    <w:lvl w:ilvl="1" w:tplc="0C090003" w:tentative="1">
      <w:start w:val="1"/>
      <w:numFmt w:val="bullet"/>
      <w:lvlText w:val="o"/>
      <w:lvlJc w:val="left"/>
      <w:pPr>
        <w:ind w:left="1440" w:hanging="360"/>
      </w:pPr>
      <w:rPr>
        <w:rFonts w:ascii="Courier" w:hAnsi="Courier"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w:hAnsi="Courier"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w:hAnsi="Courier"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5B4536C"/>
    <w:multiLevelType w:val="hybridMultilevel"/>
    <w:tmpl w:val="38F47762"/>
    <w:lvl w:ilvl="0" w:tplc="C9CE6FB8">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79573D1"/>
    <w:multiLevelType w:val="hybridMultilevel"/>
    <w:tmpl w:val="F572D1C8"/>
    <w:lvl w:ilvl="0" w:tplc="541AC800">
      <w:start w:val="1"/>
      <w:numFmt w:val="bullet"/>
      <w:lvlText w:val=""/>
      <w:lvlJc w:val="left"/>
      <w:pPr>
        <w:tabs>
          <w:tab w:val="num" w:pos="643"/>
        </w:tabs>
        <w:ind w:left="643" w:hanging="286"/>
      </w:pPr>
      <w:rPr>
        <w:rFonts w:ascii="Symbol" w:hAnsi="Symbol" w:hint="default"/>
      </w:rPr>
    </w:lvl>
    <w:lvl w:ilvl="1" w:tplc="0C090003" w:tentative="1">
      <w:start w:val="1"/>
      <w:numFmt w:val="bullet"/>
      <w:lvlText w:val="o"/>
      <w:lvlJc w:val="left"/>
      <w:pPr>
        <w:ind w:left="1440" w:hanging="360"/>
      </w:pPr>
      <w:rPr>
        <w:rFonts w:ascii="Courier" w:hAnsi="Courier"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w:hAnsi="Courier"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w:hAnsi="Courier"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AD87B2A"/>
    <w:multiLevelType w:val="multilevel"/>
    <w:tmpl w:val="B1768912"/>
    <w:lvl w:ilvl="0">
      <w:start w:val="1"/>
      <w:numFmt w:val="decimal"/>
      <w:lvlText w:val="%1."/>
      <w:lvlJc w:val="left"/>
      <w:pPr>
        <w:ind w:left="360" w:hanging="360"/>
      </w:pPr>
      <w:rPr>
        <w:rFonts w:hint="default"/>
      </w:rPr>
    </w:lvl>
    <w:lvl w:ilvl="1">
      <w:start w:val="1"/>
      <w:numFmt w:val="decimal"/>
      <w:pStyle w:val="SubHeading"/>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CD95887"/>
    <w:multiLevelType w:val="multilevel"/>
    <w:tmpl w:val="4A2C09A0"/>
    <w:styleLink w:val="Style2"/>
    <w:lvl w:ilvl="0">
      <w:start w:val="1"/>
      <w:numFmt w:val="decimal"/>
      <w:lvlText w:val="Note %1: "/>
      <w:lvlJc w:val="left"/>
      <w:pPr>
        <w:tabs>
          <w:tab w:val="num" w:pos="992"/>
        </w:tabs>
        <w:ind w:left="992" w:hanging="99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lvlText w:val="Note %1%2: "/>
      <w:lvlJc w:val="left"/>
      <w:pPr>
        <w:tabs>
          <w:tab w:val="num" w:pos="1532"/>
        </w:tabs>
        <w:ind w:left="1532" w:hanging="992"/>
      </w:pPr>
      <w:rPr>
        <w:rFonts w:ascii="Times New Roman" w:hAnsi="Times New Roman" w:cs="Times New Roman" w:hint="default"/>
        <w:b/>
        <w:i w:val="0"/>
        <w:color w:val="auto"/>
        <w:sz w:val="20"/>
        <w:szCs w:val="20"/>
        <w:u w:val="none"/>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239005D8"/>
    <w:multiLevelType w:val="hybridMultilevel"/>
    <w:tmpl w:val="A91E6F86"/>
    <w:lvl w:ilvl="0" w:tplc="360009B8">
      <w:start w:val="1"/>
      <w:numFmt w:val="decimal"/>
      <w:pStyle w:val="ListNumber"/>
      <w:lvlText w:val="%1.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5840141"/>
    <w:multiLevelType w:val="hybridMultilevel"/>
    <w:tmpl w:val="A0B4B79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2E970F34"/>
    <w:multiLevelType w:val="hybridMultilevel"/>
    <w:tmpl w:val="F2F06538"/>
    <w:lvl w:ilvl="0" w:tplc="85FA414C">
      <w:start w:val="1"/>
      <w:numFmt w:val="bullet"/>
      <w:lvlText w:val=""/>
      <w:lvlJc w:val="left"/>
      <w:pPr>
        <w:tabs>
          <w:tab w:val="num" w:pos="643"/>
        </w:tabs>
        <w:ind w:left="643" w:hanging="286"/>
      </w:pPr>
      <w:rPr>
        <w:rFonts w:ascii="Symbol" w:hAnsi="Symbol" w:hint="default"/>
      </w:rPr>
    </w:lvl>
    <w:lvl w:ilvl="1" w:tplc="0C090003" w:tentative="1">
      <w:start w:val="1"/>
      <w:numFmt w:val="bullet"/>
      <w:lvlText w:val="o"/>
      <w:lvlJc w:val="left"/>
      <w:pPr>
        <w:ind w:left="1440" w:hanging="360"/>
      </w:pPr>
      <w:rPr>
        <w:rFonts w:ascii="Courier" w:hAnsi="Courier"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w:hAnsi="Courier"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w:hAnsi="Courier"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1D919BF"/>
    <w:multiLevelType w:val="hybridMultilevel"/>
    <w:tmpl w:val="D1867E26"/>
    <w:lvl w:ilvl="0" w:tplc="2724F818">
      <w:start w:val="1"/>
      <w:numFmt w:val="bullet"/>
      <w:pStyle w:val="ListBullet2"/>
      <w:lvlText w:val=""/>
      <w:lvlJc w:val="left"/>
      <w:pPr>
        <w:tabs>
          <w:tab w:val="num" w:pos="643"/>
        </w:tabs>
        <w:ind w:left="643" w:hanging="246"/>
      </w:pPr>
      <w:rPr>
        <w:rFonts w:ascii="Symbol" w:hAnsi="Symbol" w:hint="default"/>
      </w:rPr>
    </w:lvl>
    <w:lvl w:ilvl="1" w:tplc="0C090003" w:tentative="1">
      <w:start w:val="1"/>
      <w:numFmt w:val="bullet"/>
      <w:lvlText w:val="o"/>
      <w:lvlJc w:val="left"/>
      <w:pPr>
        <w:ind w:left="1440" w:hanging="360"/>
      </w:pPr>
      <w:rPr>
        <w:rFonts w:ascii="Courier" w:hAnsi="Courier"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w:hAnsi="Courier"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w:hAnsi="Courier"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20D4C11"/>
    <w:multiLevelType w:val="hybridMultilevel"/>
    <w:tmpl w:val="0E6E0DEC"/>
    <w:lvl w:ilvl="0" w:tplc="446430D6">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07F0158"/>
    <w:multiLevelType w:val="hybridMultilevel"/>
    <w:tmpl w:val="FE20B8DC"/>
    <w:lvl w:ilvl="0" w:tplc="C9CE6FB8">
      <w:start w:val="1"/>
      <w:numFmt w:val="decimal"/>
      <w:lvlText w:val="%1.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0D202CA"/>
    <w:multiLevelType w:val="hybridMultilevel"/>
    <w:tmpl w:val="5AD28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134884"/>
    <w:multiLevelType w:val="multilevel"/>
    <w:tmpl w:val="D36A06DA"/>
    <w:lvl w:ilvl="0">
      <w:start w:val="1"/>
      <w:numFmt w:val="decimal"/>
      <w:pStyle w:val="SectionHeading"/>
      <w:suff w:val="space"/>
      <w:lvlText w:val="%1."/>
      <w:lvlJc w:val="left"/>
      <w:pPr>
        <w:ind w:left="360" w:hanging="360"/>
      </w:pPr>
      <w:rPr>
        <w:rFonts w:hint="default"/>
        <w:b w:val="0"/>
        <w:bCs w:val="0"/>
        <w:i w:val="0"/>
        <w:iCs w:val="0"/>
        <w:caps w:val="0"/>
        <w:smallCaps w:val="0"/>
        <w:strike w:val="0"/>
        <w:dstrike w:val="0"/>
        <w:noProof w:val="0"/>
        <w:vanish w:val="0"/>
        <w:color w:val="1A1918" w:themeColor="background1"/>
        <w:spacing w:val="0"/>
        <w:kern w:val="0"/>
        <w:position w:val="0"/>
        <w:u w:val="none"/>
        <w:effect w:val="none"/>
        <w:vertAlign w:val="baseline"/>
        <w:em w:val="none"/>
        <w:specVanish w:val="0"/>
      </w:rPr>
    </w:lvl>
    <w:lvl w:ilvl="1">
      <w:start w:val="1"/>
      <w:numFmt w:val="decimal"/>
      <w:lvlText w:val="%1.1."/>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AB1B68"/>
    <w:multiLevelType w:val="hybridMultilevel"/>
    <w:tmpl w:val="392825F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85F6A5F"/>
    <w:multiLevelType w:val="multilevel"/>
    <w:tmpl w:val="4A2C09A0"/>
    <w:styleLink w:val="CurrentList1"/>
    <w:lvl w:ilvl="0">
      <w:start w:val="1"/>
      <w:numFmt w:val="decimal"/>
      <w:lvlText w:val="Note %1: "/>
      <w:lvlJc w:val="left"/>
      <w:pPr>
        <w:tabs>
          <w:tab w:val="num" w:pos="992"/>
        </w:tabs>
        <w:ind w:left="992" w:hanging="99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lvlText w:val="Note %1%2: "/>
      <w:lvlJc w:val="left"/>
      <w:pPr>
        <w:tabs>
          <w:tab w:val="num" w:pos="1532"/>
        </w:tabs>
        <w:ind w:left="1532" w:hanging="992"/>
      </w:pPr>
      <w:rPr>
        <w:rFonts w:ascii="Times New Roman" w:hAnsi="Times New Roman" w:cs="Times New Roman" w:hint="default"/>
        <w:b/>
        <w:i w:val="0"/>
        <w:color w:val="auto"/>
        <w:sz w:val="20"/>
        <w:szCs w:val="20"/>
        <w:u w:val="none"/>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15:restartNumberingAfterBreak="0">
    <w:nsid w:val="5E6213E4"/>
    <w:multiLevelType w:val="hybridMultilevel"/>
    <w:tmpl w:val="595ECC4E"/>
    <w:lvl w:ilvl="0" w:tplc="413CECD8">
      <w:start w:val="1"/>
      <w:numFmt w:val="bullet"/>
      <w:lvlText w:val=""/>
      <w:lvlJc w:val="left"/>
      <w:pPr>
        <w:tabs>
          <w:tab w:val="num" w:pos="643"/>
        </w:tabs>
        <w:ind w:left="643" w:hanging="360"/>
      </w:pPr>
      <w:rPr>
        <w:rFonts w:ascii="Symbol" w:hAnsi="Symbol" w:hint="default"/>
      </w:rPr>
    </w:lvl>
    <w:lvl w:ilvl="1" w:tplc="0C090003" w:tentative="1">
      <w:start w:val="1"/>
      <w:numFmt w:val="bullet"/>
      <w:lvlText w:val="o"/>
      <w:lvlJc w:val="left"/>
      <w:pPr>
        <w:ind w:left="1440" w:hanging="360"/>
      </w:pPr>
      <w:rPr>
        <w:rFonts w:ascii="Courier" w:hAnsi="Courier"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w:hAnsi="Courier"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w:hAnsi="Courier"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01767D"/>
    <w:multiLevelType w:val="multilevel"/>
    <w:tmpl w:val="74427506"/>
    <w:lvl w:ilvl="0">
      <w:start w:val="1"/>
      <w:numFmt w:val="decimal"/>
      <w:lvlText w:val="%1"/>
      <w:lvlJc w:val="left"/>
      <w:pPr>
        <w:ind w:left="360" w:hanging="360"/>
      </w:pPr>
      <w:rPr>
        <w:rFonts w:hint="default"/>
      </w:rPr>
    </w:lvl>
    <w:lvl w:ilvl="1">
      <w:start w:val="1"/>
      <w:numFmt w:val="decimal"/>
      <w:pStyle w:val="StyleNotesHeaderLeftLeft-008cm"/>
      <w:lvlText w:val="%1.%2"/>
      <w:lvlJc w:val="left"/>
      <w:pPr>
        <w:ind w:left="360" w:hanging="360"/>
      </w:pPr>
      <w:rPr>
        <w:rFonts w:hint="default"/>
        <w:sz w:val="18"/>
        <w:szCs w:val="18"/>
      </w:rPr>
    </w:lvl>
    <w:lvl w:ilvl="2">
      <w:start w:val="1"/>
      <w:numFmt w:val="decimal"/>
      <w:lvlText w:val="%1.%2.%3"/>
      <w:lvlJc w:val="left"/>
      <w:pPr>
        <w:ind w:left="630" w:hanging="720"/>
      </w:pPr>
      <w:rPr>
        <w:rFonts w:hint="default"/>
      </w:rPr>
    </w:lvl>
    <w:lvl w:ilvl="3">
      <w:start w:val="1"/>
      <w:numFmt w:val="decimal"/>
      <w:lvlText w:val="%1.%2.%3.%4"/>
      <w:lvlJc w:val="left"/>
      <w:pPr>
        <w:ind w:left="585" w:hanging="720"/>
      </w:pPr>
      <w:rPr>
        <w:rFonts w:hint="default"/>
      </w:rPr>
    </w:lvl>
    <w:lvl w:ilvl="4">
      <w:start w:val="1"/>
      <w:numFmt w:val="decimal"/>
      <w:lvlText w:val="%1.%2.%3.%4.%5"/>
      <w:lvlJc w:val="left"/>
      <w:pPr>
        <w:ind w:left="540" w:hanging="720"/>
      </w:pPr>
      <w:rPr>
        <w:rFonts w:hint="default"/>
      </w:rPr>
    </w:lvl>
    <w:lvl w:ilvl="5">
      <w:start w:val="1"/>
      <w:numFmt w:val="decimal"/>
      <w:lvlText w:val="%1.%2.%3.%4.%5.%6"/>
      <w:lvlJc w:val="left"/>
      <w:pPr>
        <w:ind w:left="855" w:hanging="1080"/>
      </w:pPr>
      <w:rPr>
        <w:rFonts w:hint="default"/>
      </w:rPr>
    </w:lvl>
    <w:lvl w:ilvl="6">
      <w:start w:val="1"/>
      <w:numFmt w:val="decimal"/>
      <w:lvlText w:val="%1.%2.%3.%4.%5.%6.%7"/>
      <w:lvlJc w:val="left"/>
      <w:pPr>
        <w:ind w:left="810" w:hanging="1080"/>
      </w:pPr>
      <w:rPr>
        <w:rFonts w:hint="default"/>
      </w:rPr>
    </w:lvl>
    <w:lvl w:ilvl="7">
      <w:start w:val="1"/>
      <w:numFmt w:val="decimal"/>
      <w:lvlText w:val="%1.%2.%3.%4.%5.%6.%7.%8"/>
      <w:lvlJc w:val="left"/>
      <w:pPr>
        <w:ind w:left="1125" w:hanging="1440"/>
      </w:pPr>
      <w:rPr>
        <w:rFonts w:hint="default"/>
      </w:rPr>
    </w:lvl>
    <w:lvl w:ilvl="8">
      <w:start w:val="1"/>
      <w:numFmt w:val="decimal"/>
      <w:lvlText w:val="%1.%2.%3.%4.%5.%6.%7.%8.%9"/>
      <w:lvlJc w:val="left"/>
      <w:pPr>
        <w:ind w:left="1080" w:hanging="1440"/>
      </w:pPr>
      <w:rPr>
        <w:rFonts w:hint="default"/>
      </w:rPr>
    </w:lvl>
  </w:abstractNum>
  <w:abstractNum w:abstractNumId="29" w15:restartNumberingAfterBreak="0">
    <w:nsid w:val="72E921FA"/>
    <w:multiLevelType w:val="multilevel"/>
    <w:tmpl w:val="D7FEEA16"/>
    <w:lvl w:ilvl="0">
      <w:start w:val="1"/>
      <w:numFmt w:val="decimal"/>
      <w:pStyle w:val="NotesHeading-Level1"/>
      <w:lvlText w:val="Note %1: "/>
      <w:lvlJc w:val="left"/>
      <w:pPr>
        <w:tabs>
          <w:tab w:val="num" w:pos="10491"/>
        </w:tabs>
        <w:ind w:left="10774" w:hanging="1134"/>
      </w:pPr>
      <w:rPr>
        <w:rFonts w:ascii="Arial Bold" w:hAnsi="Arial Bold" w:cs="Times New Roman" w:hint="default"/>
        <w:b/>
        <w:bCs w:val="0"/>
        <w:i w:val="0"/>
        <w:iCs w:val="0"/>
        <w:caps w:val="0"/>
        <w:smallCaps w:val="0"/>
        <w:strike w:val="0"/>
        <w:dstrike w:val="0"/>
        <w:noProof w:val="0"/>
        <w:vanish w:val="0"/>
        <w:color w:val="auto"/>
        <w:spacing w:val="0"/>
        <w:kern w:val="0"/>
        <w:position w:val="0"/>
        <w:sz w:val="20"/>
        <w:u w:val="none"/>
        <w:vertAlign w:val="baseline"/>
        <w:em w:val="none"/>
      </w:rPr>
    </w:lvl>
    <w:lvl w:ilvl="1">
      <w:start w:val="1"/>
      <w:numFmt w:val="upperLetter"/>
      <w:pStyle w:val="NotesHeading-Level2"/>
      <w:lvlText w:val="Note %1%2: "/>
      <w:lvlJc w:val="left"/>
      <w:pPr>
        <w:tabs>
          <w:tab w:val="num" w:pos="851"/>
        </w:tabs>
        <w:ind w:left="1532" w:hanging="1532"/>
      </w:pPr>
      <w:rPr>
        <w:rFonts w:ascii="Times New Roman" w:hAnsi="Times New Roman" w:cs="Times New Roman" w:hint="default"/>
        <w:b/>
        <w:i w:val="0"/>
        <w:color w:val="auto"/>
        <w:sz w:val="20"/>
        <w:szCs w:val="20"/>
        <w:u w:val="single"/>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27"/>
  </w:num>
  <w:num w:numId="13">
    <w:abstractNumId w:val="19"/>
  </w:num>
  <w:num w:numId="14">
    <w:abstractNumId w:val="14"/>
  </w:num>
  <w:num w:numId="15">
    <w:abstractNumId w:val="12"/>
  </w:num>
  <w:num w:numId="16">
    <w:abstractNumId w:val="20"/>
  </w:num>
  <w:num w:numId="17">
    <w:abstractNumId w:val="22"/>
  </w:num>
  <w:num w:numId="18">
    <w:abstractNumId w:val="17"/>
  </w:num>
  <w:num w:numId="19">
    <w:abstractNumId w:val="13"/>
  </w:num>
  <w:num w:numId="20">
    <w:abstractNumId w:val="23"/>
  </w:num>
  <w:num w:numId="21">
    <w:abstractNumId w:val="29"/>
  </w:num>
  <w:num w:numId="22">
    <w:abstractNumId w:val="26"/>
  </w:num>
  <w:num w:numId="23">
    <w:abstractNumId w:val="16"/>
  </w:num>
  <w:num w:numId="24">
    <w:abstractNumId w:val="11"/>
  </w:num>
  <w:num w:numId="25">
    <w:abstractNumId w:val="28"/>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5"/>
  </w:num>
  <w:num w:numId="29">
    <w:abstractNumId w:val="15"/>
    <w:lvlOverride w:ilvl="0">
      <w:startOverride w:val="2"/>
    </w:lvlOverride>
    <w:lvlOverride w:ilvl="1">
      <w:startOverride w:val="1"/>
    </w:lvlOverride>
  </w:num>
  <w:num w:numId="30">
    <w:abstractNumId w:val="25"/>
  </w:num>
  <w:num w:numId="31">
    <w:abstractNumId w:val="21"/>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867"/>
    <w:rsid w:val="000044C4"/>
    <w:rsid w:val="000055E2"/>
    <w:rsid w:val="000263D6"/>
    <w:rsid w:val="00047395"/>
    <w:rsid w:val="000571B7"/>
    <w:rsid w:val="00062224"/>
    <w:rsid w:val="00063A42"/>
    <w:rsid w:val="000651AA"/>
    <w:rsid w:val="00066D7B"/>
    <w:rsid w:val="000757DC"/>
    <w:rsid w:val="00076FF2"/>
    <w:rsid w:val="000778EA"/>
    <w:rsid w:val="000C10B4"/>
    <w:rsid w:val="000D27AA"/>
    <w:rsid w:val="000F4306"/>
    <w:rsid w:val="00112F07"/>
    <w:rsid w:val="00117061"/>
    <w:rsid w:val="001210F6"/>
    <w:rsid w:val="001215F6"/>
    <w:rsid w:val="001223F5"/>
    <w:rsid w:val="0013374A"/>
    <w:rsid w:val="00134BF1"/>
    <w:rsid w:val="00162629"/>
    <w:rsid w:val="00164634"/>
    <w:rsid w:val="00180669"/>
    <w:rsid w:val="001838E0"/>
    <w:rsid w:val="0018427A"/>
    <w:rsid w:val="00195B3E"/>
    <w:rsid w:val="00195DA2"/>
    <w:rsid w:val="001B05B1"/>
    <w:rsid w:val="001C34F0"/>
    <w:rsid w:val="001C6629"/>
    <w:rsid w:val="001E0823"/>
    <w:rsid w:val="001E0A02"/>
    <w:rsid w:val="001E1E1C"/>
    <w:rsid w:val="001E3DFA"/>
    <w:rsid w:val="001E65FB"/>
    <w:rsid w:val="001F17C0"/>
    <w:rsid w:val="002021DA"/>
    <w:rsid w:val="002065F3"/>
    <w:rsid w:val="002075E1"/>
    <w:rsid w:val="00211D6B"/>
    <w:rsid w:val="00216426"/>
    <w:rsid w:val="0022434E"/>
    <w:rsid w:val="002310E6"/>
    <w:rsid w:val="00232136"/>
    <w:rsid w:val="00232196"/>
    <w:rsid w:val="00244B62"/>
    <w:rsid w:val="00254169"/>
    <w:rsid w:val="00272B8E"/>
    <w:rsid w:val="00274065"/>
    <w:rsid w:val="00296E24"/>
    <w:rsid w:val="002A0474"/>
    <w:rsid w:val="002B2822"/>
    <w:rsid w:val="002D0410"/>
    <w:rsid w:val="002E27BE"/>
    <w:rsid w:val="002E2AA5"/>
    <w:rsid w:val="002E4286"/>
    <w:rsid w:val="002F5565"/>
    <w:rsid w:val="00320D09"/>
    <w:rsid w:val="00341C75"/>
    <w:rsid w:val="003536AE"/>
    <w:rsid w:val="0035375B"/>
    <w:rsid w:val="00362905"/>
    <w:rsid w:val="00364DAF"/>
    <w:rsid w:val="00376335"/>
    <w:rsid w:val="003809B4"/>
    <w:rsid w:val="00385D65"/>
    <w:rsid w:val="003902A8"/>
    <w:rsid w:val="00392C0A"/>
    <w:rsid w:val="003A561B"/>
    <w:rsid w:val="003B2A84"/>
    <w:rsid w:val="003B7FF5"/>
    <w:rsid w:val="003C1748"/>
    <w:rsid w:val="003C4036"/>
    <w:rsid w:val="003C40B2"/>
    <w:rsid w:val="003C44C0"/>
    <w:rsid w:val="003D253F"/>
    <w:rsid w:val="003F04EF"/>
    <w:rsid w:val="003F47B7"/>
    <w:rsid w:val="00417B44"/>
    <w:rsid w:val="00425112"/>
    <w:rsid w:val="004326AF"/>
    <w:rsid w:val="00432AC9"/>
    <w:rsid w:val="00434B0D"/>
    <w:rsid w:val="0044079C"/>
    <w:rsid w:val="004450E3"/>
    <w:rsid w:val="00451FFC"/>
    <w:rsid w:val="004572E6"/>
    <w:rsid w:val="00461DA3"/>
    <w:rsid w:val="004623D0"/>
    <w:rsid w:val="00463430"/>
    <w:rsid w:val="00465BCE"/>
    <w:rsid w:val="00492D12"/>
    <w:rsid w:val="004B7862"/>
    <w:rsid w:val="004C0226"/>
    <w:rsid w:val="004C249C"/>
    <w:rsid w:val="004C3B44"/>
    <w:rsid w:val="005127E7"/>
    <w:rsid w:val="00525256"/>
    <w:rsid w:val="005332B3"/>
    <w:rsid w:val="00540924"/>
    <w:rsid w:val="005A4B7A"/>
    <w:rsid w:val="005A6C9B"/>
    <w:rsid w:val="005B251B"/>
    <w:rsid w:val="005B42E2"/>
    <w:rsid w:val="005B7E5D"/>
    <w:rsid w:val="005C251E"/>
    <w:rsid w:val="005C417D"/>
    <w:rsid w:val="005E3C0A"/>
    <w:rsid w:val="006134A6"/>
    <w:rsid w:val="006268D9"/>
    <w:rsid w:val="00626FDE"/>
    <w:rsid w:val="00641673"/>
    <w:rsid w:val="00645623"/>
    <w:rsid w:val="00660745"/>
    <w:rsid w:val="0066513A"/>
    <w:rsid w:val="00672357"/>
    <w:rsid w:val="0068752C"/>
    <w:rsid w:val="006A40FA"/>
    <w:rsid w:val="006A4131"/>
    <w:rsid w:val="006C03B2"/>
    <w:rsid w:val="006C3156"/>
    <w:rsid w:val="006C43D8"/>
    <w:rsid w:val="006F059D"/>
    <w:rsid w:val="006F4DB4"/>
    <w:rsid w:val="00712C48"/>
    <w:rsid w:val="00717B1A"/>
    <w:rsid w:val="007238DA"/>
    <w:rsid w:val="0072737E"/>
    <w:rsid w:val="00727DAD"/>
    <w:rsid w:val="007421D4"/>
    <w:rsid w:val="00747250"/>
    <w:rsid w:val="00753810"/>
    <w:rsid w:val="00753E61"/>
    <w:rsid w:val="007617F7"/>
    <w:rsid w:val="007723D7"/>
    <w:rsid w:val="0077566F"/>
    <w:rsid w:val="00780A8D"/>
    <w:rsid w:val="00796794"/>
    <w:rsid w:val="007A04CE"/>
    <w:rsid w:val="007A661D"/>
    <w:rsid w:val="007A7285"/>
    <w:rsid w:val="007A7785"/>
    <w:rsid w:val="007B4847"/>
    <w:rsid w:val="007E4E97"/>
    <w:rsid w:val="007E5B73"/>
    <w:rsid w:val="007F17D8"/>
    <w:rsid w:val="0080557A"/>
    <w:rsid w:val="00805DE3"/>
    <w:rsid w:val="008142FF"/>
    <w:rsid w:val="00814F1C"/>
    <w:rsid w:val="008259FB"/>
    <w:rsid w:val="00841128"/>
    <w:rsid w:val="00842DE8"/>
    <w:rsid w:val="008536E3"/>
    <w:rsid w:val="00856E7A"/>
    <w:rsid w:val="00864BD7"/>
    <w:rsid w:val="00866A03"/>
    <w:rsid w:val="00867A72"/>
    <w:rsid w:val="00870B27"/>
    <w:rsid w:val="008821DE"/>
    <w:rsid w:val="008A52DA"/>
    <w:rsid w:val="008B041C"/>
    <w:rsid w:val="008D3CD8"/>
    <w:rsid w:val="008D62EA"/>
    <w:rsid w:val="008E1E6D"/>
    <w:rsid w:val="008F5FFA"/>
    <w:rsid w:val="00904562"/>
    <w:rsid w:val="00906F82"/>
    <w:rsid w:val="0091218E"/>
    <w:rsid w:val="00934D8B"/>
    <w:rsid w:val="00954C29"/>
    <w:rsid w:val="00972D6B"/>
    <w:rsid w:val="009732FD"/>
    <w:rsid w:val="009741D8"/>
    <w:rsid w:val="009834BE"/>
    <w:rsid w:val="00995387"/>
    <w:rsid w:val="009B0DA8"/>
    <w:rsid w:val="009C5749"/>
    <w:rsid w:val="009F1F13"/>
    <w:rsid w:val="009F273F"/>
    <w:rsid w:val="009F73FA"/>
    <w:rsid w:val="009F7EBD"/>
    <w:rsid w:val="00A001A6"/>
    <w:rsid w:val="00A03139"/>
    <w:rsid w:val="00A208AA"/>
    <w:rsid w:val="00A21D22"/>
    <w:rsid w:val="00A33867"/>
    <w:rsid w:val="00A36E48"/>
    <w:rsid w:val="00A56F20"/>
    <w:rsid w:val="00A74E51"/>
    <w:rsid w:val="00A969BF"/>
    <w:rsid w:val="00AA1C17"/>
    <w:rsid w:val="00AA2E5A"/>
    <w:rsid w:val="00AB2C7D"/>
    <w:rsid w:val="00AB5EEC"/>
    <w:rsid w:val="00AC2A34"/>
    <w:rsid w:val="00AD3EA2"/>
    <w:rsid w:val="00AF65C3"/>
    <w:rsid w:val="00B10C0C"/>
    <w:rsid w:val="00B2570F"/>
    <w:rsid w:val="00B45F6F"/>
    <w:rsid w:val="00B51632"/>
    <w:rsid w:val="00B522C6"/>
    <w:rsid w:val="00B7526F"/>
    <w:rsid w:val="00B813FD"/>
    <w:rsid w:val="00B81875"/>
    <w:rsid w:val="00B82182"/>
    <w:rsid w:val="00B86A86"/>
    <w:rsid w:val="00B92878"/>
    <w:rsid w:val="00BB6D88"/>
    <w:rsid w:val="00BB7F76"/>
    <w:rsid w:val="00BC6A38"/>
    <w:rsid w:val="00BD3E78"/>
    <w:rsid w:val="00BD6A40"/>
    <w:rsid w:val="00BE0F1D"/>
    <w:rsid w:val="00BE3675"/>
    <w:rsid w:val="00BF42F4"/>
    <w:rsid w:val="00C00B3E"/>
    <w:rsid w:val="00C05937"/>
    <w:rsid w:val="00C24EC1"/>
    <w:rsid w:val="00C3071D"/>
    <w:rsid w:val="00C32CBD"/>
    <w:rsid w:val="00C75786"/>
    <w:rsid w:val="00CB4197"/>
    <w:rsid w:val="00CC2D72"/>
    <w:rsid w:val="00CC53A5"/>
    <w:rsid w:val="00CD3904"/>
    <w:rsid w:val="00CD5841"/>
    <w:rsid w:val="00CE012F"/>
    <w:rsid w:val="00CF73E9"/>
    <w:rsid w:val="00D15781"/>
    <w:rsid w:val="00D17323"/>
    <w:rsid w:val="00D22B9F"/>
    <w:rsid w:val="00D4382B"/>
    <w:rsid w:val="00D45CD8"/>
    <w:rsid w:val="00D54C4C"/>
    <w:rsid w:val="00D60CC9"/>
    <w:rsid w:val="00D841B8"/>
    <w:rsid w:val="00D87B4B"/>
    <w:rsid w:val="00D925DA"/>
    <w:rsid w:val="00D943B4"/>
    <w:rsid w:val="00DA38E1"/>
    <w:rsid w:val="00DB66D1"/>
    <w:rsid w:val="00DD5161"/>
    <w:rsid w:val="00DE01E0"/>
    <w:rsid w:val="00DE4C08"/>
    <w:rsid w:val="00DE6591"/>
    <w:rsid w:val="00E01F57"/>
    <w:rsid w:val="00E22019"/>
    <w:rsid w:val="00E406F2"/>
    <w:rsid w:val="00E540EB"/>
    <w:rsid w:val="00E57407"/>
    <w:rsid w:val="00E707FE"/>
    <w:rsid w:val="00E75D70"/>
    <w:rsid w:val="00E76238"/>
    <w:rsid w:val="00E76765"/>
    <w:rsid w:val="00E85C50"/>
    <w:rsid w:val="00E867D6"/>
    <w:rsid w:val="00E9452D"/>
    <w:rsid w:val="00EA1B91"/>
    <w:rsid w:val="00EA4188"/>
    <w:rsid w:val="00EC55BA"/>
    <w:rsid w:val="00EC6022"/>
    <w:rsid w:val="00ED0A70"/>
    <w:rsid w:val="00ED3FF4"/>
    <w:rsid w:val="00EE6CD5"/>
    <w:rsid w:val="00EF009B"/>
    <w:rsid w:val="00EF5132"/>
    <w:rsid w:val="00EF5891"/>
    <w:rsid w:val="00EF5CE8"/>
    <w:rsid w:val="00F10397"/>
    <w:rsid w:val="00F23011"/>
    <w:rsid w:val="00F315C7"/>
    <w:rsid w:val="00F45AFA"/>
    <w:rsid w:val="00F505B9"/>
    <w:rsid w:val="00F53D3C"/>
    <w:rsid w:val="00F56B03"/>
    <w:rsid w:val="00F61D29"/>
    <w:rsid w:val="00F6665C"/>
    <w:rsid w:val="00F71ABA"/>
    <w:rsid w:val="00F80A60"/>
    <w:rsid w:val="00F85F3F"/>
    <w:rsid w:val="00F90DA6"/>
    <w:rsid w:val="00F93D1A"/>
    <w:rsid w:val="00F971D0"/>
    <w:rsid w:val="00FA78A7"/>
    <w:rsid w:val="00FA7E0A"/>
    <w:rsid w:val="00FB4283"/>
    <w:rsid w:val="00FB5D43"/>
    <w:rsid w:val="00FB7479"/>
    <w:rsid w:val="00FC3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9DEE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823"/>
    <w:pPr>
      <w:spacing w:before="120" w:after="120" w:line="288" w:lineRule="auto"/>
    </w:pPr>
    <w:rPr>
      <w:rFonts w:ascii="Arial" w:hAnsi="Arial"/>
      <w:color w:val="1A1918" w:themeColor="background1"/>
      <w:sz w:val="20"/>
    </w:rPr>
  </w:style>
  <w:style w:type="paragraph" w:styleId="Heading1">
    <w:name w:val="heading 1"/>
    <w:aliases w:val="Heading 1 do not use,Section heading 1,Front Page Title,1.,Para 1,Para 11"/>
    <w:basedOn w:val="Normal"/>
    <w:next w:val="Normal"/>
    <w:link w:val="Heading1Char"/>
    <w:qFormat/>
    <w:rsid w:val="0013374A"/>
    <w:pPr>
      <w:keepNext/>
      <w:keepLines/>
      <w:pageBreakBefore/>
      <w:spacing w:before="240"/>
      <w:outlineLvl w:val="0"/>
    </w:pPr>
    <w:rPr>
      <w:rFonts w:eastAsiaTheme="majorEastAsia" w:cstheme="majorBidi"/>
      <w:b/>
      <w:bCs/>
      <w:color w:val="6B2976" w:themeColor="background2"/>
      <w:sz w:val="56"/>
      <w:szCs w:val="32"/>
    </w:rPr>
  </w:style>
  <w:style w:type="paragraph" w:styleId="Heading2">
    <w:name w:val="heading 2"/>
    <w:aliases w:val="Heading 2 do not use,Front Page List of Sections"/>
    <w:basedOn w:val="Normal"/>
    <w:next w:val="Normal"/>
    <w:link w:val="Heading2Char"/>
    <w:unhideWhenUsed/>
    <w:qFormat/>
    <w:rsid w:val="003C44C0"/>
    <w:pPr>
      <w:pageBreakBefore/>
      <w:spacing w:before="240"/>
      <w:outlineLvl w:val="1"/>
    </w:pPr>
    <w:rPr>
      <w:rFonts w:eastAsiaTheme="majorEastAsia" w:cstheme="majorBidi"/>
      <w:b/>
      <w:bCs/>
      <w:sz w:val="48"/>
      <w:szCs w:val="26"/>
    </w:rPr>
  </w:style>
  <w:style w:type="paragraph" w:styleId="Heading3">
    <w:name w:val="heading 3"/>
    <w:aliases w:val="Heading 3 do not use"/>
    <w:basedOn w:val="Normal"/>
    <w:next w:val="Normal"/>
    <w:link w:val="Heading3Char"/>
    <w:unhideWhenUsed/>
    <w:qFormat/>
    <w:rsid w:val="003B7FF5"/>
    <w:pPr>
      <w:keepNext/>
      <w:spacing w:before="480"/>
      <w:outlineLvl w:val="2"/>
    </w:pPr>
    <w:rPr>
      <w:rFonts w:eastAsiaTheme="majorEastAsia" w:cstheme="majorBidi"/>
      <w:b/>
      <w:bCs/>
      <w:sz w:val="28"/>
    </w:rPr>
  </w:style>
  <w:style w:type="paragraph" w:styleId="Heading4">
    <w:name w:val="heading 4"/>
    <w:basedOn w:val="Normal"/>
    <w:next w:val="Normal"/>
    <w:link w:val="Heading4Char"/>
    <w:unhideWhenUsed/>
    <w:qFormat/>
    <w:rsid w:val="003C44C0"/>
    <w:pPr>
      <w:keepNext/>
      <w:spacing w:before="240"/>
      <w:outlineLvl w:val="3"/>
    </w:pPr>
    <w:rPr>
      <w:rFonts w:eastAsiaTheme="majorEastAsia" w:cstheme="majorBidi"/>
      <w:b/>
      <w:bCs/>
    </w:rPr>
  </w:style>
  <w:style w:type="paragraph" w:styleId="Heading5">
    <w:name w:val="heading 5"/>
    <w:basedOn w:val="Normal"/>
    <w:next w:val="Normal"/>
    <w:link w:val="Heading5Char"/>
    <w:unhideWhenUsed/>
    <w:qFormat/>
    <w:rsid w:val="0068752C"/>
    <w:pPr>
      <w:outlineLvl w:val="4"/>
    </w:pPr>
    <w:rPr>
      <w:rFonts w:eastAsiaTheme="majorEastAsia" w:cstheme="majorBidi"/>
      <w:b/>
      <w:iCs/>
    </w:rPr>
  </w:style>
  <w:style w:type="paragraph" w:styleId="Heading6">
    <w:name w:val="heading 6"/>
    <w:basedOn w:val="Normal"/>
    <w:next w:val="Normal"/>
    <w:link w:val="Heading6Char"/>
    <w:unhideWhenUsed/>
    <w:qFormat/>
    <w:rsid w:val="003C44C0"/>
    <w:pPr>
      <w:keepNext/>
      <w:keepLines/>
      <w:spacing w:before="40"/>
      <w:outlineLvl w:val="5"/>
    </w:pPr>
    <w:rPr>
      <w:rFonts w:eastAsiaTheme="majorEastAsia" w:cstheme="majorBidi"/>
    </w:rPr>
  </w:style>
  <w:style w:type="paragraph" w:styleId="Heading7">
    <w:name w:val="heading 7"/>
    <w:aliases w:val="Section Sub-Heading 4"/>
    <w:basedOn w:val="Normal"/>
    <w:next w:val="Normal"/>
    <w:link w:val="Heading7Char"/>
    <w:unhideWhenUsed/>
    <w:qFormat/>
    <w:rsid w:val="003C44C0"/>
    <w:pPr>
      <w:keepNext/>
      <w:keepLines/>
      <w:spacing w:before="40"/>
      <w:outlineLvl w:val="6"/>
    </w:pPr>
    <w:rPr>
      <w:rFonts w:eastAsiaTheme="majorEastAsia" w:cstheme="majorBidi"/>
    </w:rPr>
  </w:style>
  <w:style w:type="paragraph" w:styleId="Heading8">
    <w:name w:val="heading 8"/>
    <w:basedOn w:val="Normal"/>
    <w:next w:val="Normal"/>
    <w:link w:val="Heading8Char"/>
    <w:rsid w:val="00C32CBD"/>
    <w:pPr>
      <w:spacing w:before="0" w:after="0" w:line="260" w:lineRule="atLeast"/>
      <w:outlineLvl w:val="7"/>
    </w:pPr>
    <w:rPr>
      <w:rFonts w:ascii="Times New Roman" w:eastAsia="Times New Roman" w:hAnsi="Times New Roman" w:cs="Times New Roman"/>
      <w:color w:val="auto"/>
      <w:sz w:val="22"/>
      <w:szCs w:val="20"/>
      <w:lang w:val="en-AU"/>
    </w:rPr>
  </w:style>
  <w:style w:type="paragraph" w:styleId="Heading9">
    <w:name w:val="heading 9"/>
    <w:basedOn w:val="Normal"/>
    <w:next w:val="Normal"/>
    <w:link w:val="Heading9Char"/>
    <w:rsid w:val="00C32CBD"/>
    <w:pPr>
      <w:spacing w:before="0" w:after="0" w:line="260" w:lineRule="atLeast"/>
      <w:outlineLvl w:val="8"/>
    </w:pPr>
    <w:rPr>
      <w:rFonts w:ascii="Times New Roman" w:eastAsia="Times New Roman" w:hAnsi="Times New Roman" w:cs="Times New Roman"/>
      <w:color w:val="auto"/>
      <w:sz w:val="22"/>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do not use Char,Section heading 1 Char,Front Page Title Char,1. Char,Para 1 Char,Para 11 Char"/>
    <w:basedOn w:val="DefaultParagraphFont"/>
    <w:link w:val="Heading1"/>
    <w:uiPriority w:val="9"/>
    <w:rsid w:val="0013374A"/>
    <w:rPr>
      <w:rFonts w:ascii="Arial" w:eastAsiaTheme="majorEastAsia" w:hAnsi="Arial" w:cstheme="majorBidi"/>
      <w:b/>
      <w:bCs/>
      <w:color w:val="6B2976" w:themeColor="background2"/>
      <w:sz w:val="56"/>
      <w:szCs w:val="32"/>
    </w:rPr>
  </w:style>
  <w:style w:type="character" w:customStyle="1" w:styleId="Heading2Char">
    <w:name w:val="Heading 2 Char"/>
    <w:aliases w:val="Heading 2 do not use Char,Front Page List of Sections Char"/>
    <w:basedOn w:val="DefaultParagraphFont"/>
    <w:link w:val="Heading2"/>
    <w:uiPriority w:val="9"/>
    <w:rsid w:val="003C44C0"/>
    <w:rPr>
      <w:rFonts w:ascii="Arial" w:eastAsiaTheme="majorEastAsia" w:hAnsi="Arial" w:cstheme="majorBidi"/>
      <w:b/>
      <w:bCs/>
      <w:color w:val="1A1918" w:themeColor="background1"/>
      <w:sz w:val="48"/>
      <w:szCs w:val="26"/>
    </w:rPr>
  </w:style>
  <w:style w:type="character" w:customStyle="1" w:styleId="Heading3Char">
    <w:name w:val="Heading 3 Char"/>
    <w:aliases w:val="Heading 3 do not use Char"/>
    <w:basedOn w:val="DefaultParagraphFont"/>
    <w:link w:val="Heading3"/>
    <w:uiPriority w:val="9"/>
    <w:rsid w:val="003B7FF5"/>
    <w:rPr>
      <w:rFonts w:ascii="Arial" w:eastAsiaTheme="majorEastAsia" w:hAnsi="Arial" w:cstheme="majorBidi"/>
      <w:b/>
      <w:bCs/>
      <w:color w:val="1A1918" w:themeColor="background1"/>
      <w:sz w:val="28"/>
    </w:rPr>
  </w:style>
  <w:style w:type="character" w:customStyle="1" w:styleId="Heading4Char">
    <w:name w:val="Heading 4 Char"/>
    <w:basedOn w:val="DefaultParagraphFont"/>
    <w:link w:val="Heading4"/>
    <w:uiPriority w:val="9"/>
    <w:rsid w:val="003C44C0"/>
    <w:rPr>
      <w:rFonts w:ascii="Arial" w:eastAsiaTheme="majorEastAsia" w:hAnsi="Arial" w:cstheme="majorBidi"/>
      <w:b/>
      <w:bCs/>
      <w:color w:val="1A1918" w:themeColor="background1"/>
    </w:rPr>
  </w:style>
  <w:style w:type="character" w:customStyle="1" w:styleId="Heading5Char">
    <w:name w:val="Heading 5 Char"/>
    <w:basedOn w:val="DefaultParagraphFont"/>
    <w:link w:val="Heading5"/>
    <w:uiPriority w:val="9"/>
    <w:rsid w:val="0068752C"/>
    <w:rPr>
      <w:rFonts w:ascii="Arial" w:eastAsiaTheme="majorEastAsia" w:hAnsi="Arial" w:cstheme="majorBidi"/>
      <w:b/>
      <w:iCs/>
      <w:color w:val="1A1918" w:themeColor="background1"/>
      <w:sz w:val="20"/>
    </w:rPr>
  </w:style>
  <w:style w:type="character" w:customStyle="1" w:styleId="Heading6Char">
    <w:name w:val="Heading 6 Char"/>
    <w:basedOn w:val="DefaultParagraphFont"/>
    <w:link w:val="Heading6"/>
    <w:uiPriority w:val="9"/>
    <w:semiHidden/>
    <w:rsid w:val="003C44C0"/>
    <w:rPr>
      <w:rFonts w:ascii="Arial" w:eastAsiaTheme="majorEastAsia" w:hAnsi="Arial" w:cstheme="majorBidi"/>
      <w:color w:val="1A1918" w:themeColor="background1"/>
      <w:sz w:val="20"/>
    </w:rPr>
  </w:style>
  <w:style w:type="character" w:customStyle="1" w:styleId="Heading7Char">
    <w:name w:val="Heading 7 Char"/>
    <w:aliases w:val="Section Sub-Heading 4 Char"/>
    <w:basedOn w:val="DefaultParagraphFont"/>
    <w:link w:val="Heading7"/>
    <w:uiPriority w:val="9"/>
    <w:semiHidden/>
    <w:rsid w:val="003C44C0"/>
    <w:rPr>
      <w:rFonts w:ascii="Arial" w:eastAsiaTheme="majorEastAsia" w:hAnsi="Arial" w:cstheme="majorBidi"/>
      <w:color w:val="1A1918" w:themeColor="background1"/>
      <w:sz w:val="20"/>
    </w:rPr>
  </w:style>
  <w:style w:type="paragraph" w:styleId="BodyText">
    <w:name w:val="Body Text"/>
    <w:basedOn w:val="Normal"/>
    <w:link w:val="BodyTextChar"/>
    <w:uiPriority w:val="99"/>
    <w:unhideWhenUsed/>
    <w:rsid w:val="004C0226"/>
  </w:style>
  <w:style w:type="character" w:customStyle="1" w:styleId="BodyTextChar">
    <w:name w:val="Body Text Char"/>
    <w:basedOn w:val="DefaultParagraphFont"/>
    <w:link w:val="BodyText"/>
    <w:uiPriority w:val="99"/>
    <w:rsid w:val="004C0226"/>
    <w:rPr>
      <w:rFonts w:ascii="Arial" w:hAnsi="Arial"/>
      <w:color w:val="1A1918" w:themeColor="background1"/>
      <w:sz w:val="20"/>
    </w:rPr>
  </w:style>
  <w:style w:type="paragraph" w:styleId="ListBullet">
    <w:name w:val="List Bullet"/>
    <w:basedOn w:val="Normal"/>
    <w:uiPriority w:val="99"/>
    <w:unhideWhenUsed/>
    <w:rsid w:val="009741D8"/>
    <w:pPr>
      <w:numPr>
        <w:numId w:val="11"/>
      </w:numPr>
      <w:suppressAutoHyphens/>
      <w:ind w:left="714" w:hanging="357"/>
      <w:contextualSpacing/>
    </w:pPr>
  </w:style>
  <w:style w:type="paragraph" w:styleId="Title">
    <w:name w:val="Title"/>
    <w:basedOn w:val="Normal"/>
    <w:next w:val="Normal"/>
    <w:link w:val="TitleChar"/>
    <w:uiPriority w:val="10"/>
    <w:qFormat/>
    <w:rsid w:val="004C0226"/>
    <w:pPr>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4C0226"/>
    <w:rPr>
      <w:rFonts w:ascii="Arial" w:eastAsiaTheme="majorEastAsia" w:hAnsi="Arial" w:cstheme="majorBidi"/>
      <w:b/>
      <w:spacing w:val="-10"/>
      <w:kern w:val="28"/>
      <w:sz w:val="56"/>
      <w:szCs w:val="56"/>
    </w:rPr>
  </w:style>
  <w:style w:type="paragraph" w:styleId="Subtitle">
    <w:name w:val="Subtitle"/>
    <w:basedOn w:val="Normal"/>
    <w:next w:val="Normal"/>
    <w:link w:val="SubtitleChar"/>
    <w:uiPriority w:val="11"/>
    <w:qFormat/>
    <w:rsid w:val="004C0226"/>
    <w:pPr>
      <w:numPr>
        <w:ilvl w:val="1"/>
      </w:numPr>
      <w:spacing w:before="220" w:after="160"/>
    </w:pPr>
    <w:rPr>
      <w:rFonts w:eastAsiaTheme="minorEastAsia"/>
      <w:color w:val="6B2976" w:themeColor="background2"/>
      <w:spacing w:val="15"/>
      <w:sz w:val="22"/>
      <w:szCs w:val="22"/>
    </w:rPr>
  </w:style>
  <w:style w:type="character" w:customStyle="1" w:styleId="SubtitleChar">
    <w:name w:val="Subtitle Char"/>
    <w:basedOn w:val="DefaultParagraphFont"/>
    <w:link w:val="Subtitle"/>
    <w:uiPriority w:val="11"/>
    <w:rsid w:val="004C0226"/>
    <w:rPr>
      <w:rFonts w:ascii="Arial" w:eastAsiaTheme="minorEastAsia" w:hAnsi="Arial"/>
      <w:color w:val="6B2976" w:themeColor="background2"/>
      <w:spacing w:val="15"/>
      <w:sz w:val="22"/>
      <w:szCs w:val="22"/>
    </w:rPr>
  </w:style>
  <w:style w:type="character" w:customStyle="1" w:styleId="BodyTextBold">
    <w:name w:val="Body Text Bold"/>
    <w:basedOn w:val="DefaultParagraphFont"/>
    <w:uiPriority w:val="1"/>
    <w:qFormat/>
    <w:rsid w:val="000757DC"/>
    <w:rPr>
      <w:b/>
    </w:rPr>
  </w:style>
  <w:style w:type="character" w:styleId="IntenseEmphasis">
    <w:name w:val="Intense Emphasis"/>
    <w:basedOn w:val="DefaultParagraphFont"/>
    <w:uiPriority w:val="21"/>
    <w:qFormat/>
    <w:rsid w:val="004C0226"/>
    <w:rPr>
      <w:i/>
      <w:iCs/>
      <w:color w:val="6B2976" w:themeColor="background2"/>
    </w:rPr>
  </w:style>
  <w:style w:type="paragraph" w:styleId="IntenseQuote">
    <w:name w:val="Intense Quote"/>
    <w:basedOn w:val="Normal"/>
    <w:next w:val="Normal"/>
    <w:link w:val="IntenseQuoteChar"/>
    <w:uiPriority w:val="30"/>
    <w:qFormat/>
    <w:rsid w:val="004C0226"/>
    <w:pPr>
      <w:pBdr>
        <w:top w:val="single" w:sz="4" w:space="10" w:color="8AC640" w:themeColor="accent1"/>
        <w:bottom w:val="single" w:sz="4" w:space="10" w:color="8AC640" w:themeColor="accent1"/>
      </w:pBdr>
      <w:spacing w:before="360" w:after="360"/>
      <w:ind w:left="864" w:right="864"/>
      <w:jc w:val="center"/>
    </w:pPr>
    <w:rPr>
      <w:i/>
      <w:iCs/>
      <w:color w:val="8AC640" w:themeColor="accent1"/>
    </w:rPr>
  </w:style>
  <w:style w:type="character" w:customStyle="1" w:styleId="IntenseQuoteChar">
    <w:name w:val="Intense Quote Char"/>
    <w:basedOn w:val="DefaultParagraphFont"/>
    <w:link w:val="IntenseQuote"/>
    <w:uiPriority w:val="30"/>
    <w:rsid w:val="004C0226"/>
    <w:rPr>
      <w:i/>
      <w:iCs/>
      <w:color w:val="8AC640" w:themeColor="accent1"/>
    </w:rPr>
  </w:style>
  <w:style w:type="character" w:styleId="IntenseReference">
    <w:name w:val="Intense Reference"/>
    <w:basedOn w:val="DefaultParagraphFont"/>
    <w:uiPriority w:val="32"/>
    <w:qFormat/>
    <w:rsid w:val="004C0226"/>
    <w:rPr>
      <w:b/>
      <w:bCs/>
      <w:smallCaps/>
      <w:color w:val="6B2976" w:themeColor="background2"/>
      <w:spacing w:val="5"/>
    </w:rPr>
  </w:style>
  <w:style w:type="paragraph" w:customStyle="1" w:styleId="Intro">
    <w:name w:val="Intro"/>
    <w:basedOn w:val="BodyText"/>
    <w:qFormat/>
    <w:rsid w:val="00463430"/>
    <w:pPr>
      <w:suppressAutoHyphens/>
      <w:spacing w:before="240"/>
    </w:pPr>
    <w:rPr>
      <w:sz w:val="24"/>
    </w:rPr>
  </w:style>
  <w:style w:type="character" w:customStyle="1" w:styleId="IntroItalic">
    <w:name w:val="Intro Italic"/>
    <w:basedOn w:val="DefaultParagraphFont"/>
    <w:uiPriority w:val="1"/>
    <w:qFormat/>
    <w:rsid w:val="00D17323"/>
    <w:rPr>
      <w:rFonts w:ascii="Arial" w:hAnsi="Arial"/>
      <w:i/>
      <w:color w:val="auto"/>
      <w:sz w:val="24"/>
    </w:rPr>
  </w:style>
  <w:style w:type="paragraph" w:styleId="Header">
    <w:name w:val="header"/>
    <w:basedOn w:val="Normal"/>
    <w:link w:val="HeaderChar"/>
    <w:uiPriority w:val="99"/>
    <w:unhideWhenUsed/>
    <w:rsid w:val="00BE3675"/>
    <w:pPr>
      <w:tabs>
        <w:tab w:val="center" w:pos="4513"/>
        <w:tab w:val="right" w:pos="9026"/>
      </w:tabs>
    </w:pPr>
  </w:style>
  <w:style w:type="character" w:customStyle="1" w:styleId="HeaderChar">
    <w:name w:val="Header Char"/>
    <w:basedOn w:val="DefaultParagraphFont"/>
    <w:link w:val="Header"/>
    <w:uiPriority w:val="99"/>
    <w:rsid w:val="00BE3675"/>
  </w:style>
  <w:style w:type="paragraph" w:styleId="Footer">
    <w:name w:val="footer"/>
    <w:basedOn w:val="Normal"/>
    <w:link w:val="FooterChar"/>
    <w:uiPriority w:val="99"/>
    <w:unhideWhenUsed/>
    <w:rsid w:val="00BE3675"/>
    <w:pPr>
      <w:tabs>
        <w:tab w:val="center" w:pos="4513"/>
        <w:tab w:val="right" w:pos="9026"/>
      </w:tabs>
    </w:pPr>
  </w:style>
  <w:style w:type="character" w:customStyle="1" w:styleId="FooterChar">
    <w:name w:val="Footer Char"/>
    <w:basedOn w:val="DefaultParagraphFont"/>
    <w:link w:val="Footer"/>
    <w:uiPriority w:val="99"/>
    <w:rsid w:val="00BE3675"/>
  </w:style>
  <w:style w:type="character" w:customStyle="1" w:styleId="BodyTextItalic">
    <w:name w:val="Body Text Italic"/>
    <w:basedOn w:val="DefaultParagraphFont"/>
    <w:uiPriority w:val="1"/>
    <w:qFormat/>
    <w:rsid w:val="000757DC"/>
    <w:rPr>
      <w:i/>
    </w:rPr>
  </w:style>
  <w:style w:type="paragraph" w:styleId="ListNumber">
    <w:name w:val="List Number"/>
    <w:basedOn w:val="Normal"/>
    <w:uiPriority w:val="99"/>
    <w:unhideWhenUsed/>
    <w:rsid w:val="00A21D22"/>
    <w:pPr>
      <w:numPr>
        <w:numId w:val="18"/>
      </w:numPr>
      <w:contextualSpacing/>
    </w:pPr>
  </w:style>
  <w:style w:type="paragraph" w:customStyle="1" w:styleId="CaseStudyTitle">
    <w:name w:val="Case Study Title"/>
    <w:basedOn w:val="Heading4"/>
    <w:qFormat/>
    <w:rsid w:val="00254169"/>
    <w:pPr>
      <w:spacing w:after="0"/>
    </w:pPr>
  </w:style>
  <w:style w:type="paragraph" w:customStyle="1" w:styleId="Subheading1H4-NoKeylineHeadingstylesorderedbyexporttags">
    <w:name w:val="Subheading 1 – H4 - No Keyline (Heading styles ordered by export tags)"/>
    <w:basedOn w:val="Normal"/>
    <w:uiPriority w:val="99"/>
    <w:rsid w:val="005A4B7A"/>
    <w:pPr>
      <w:widowControl w:val="0"/>
      <w:suppressAutoHyphens/>
      <w:autoSpaceDE w:val="0"/>
      <w:autoSpaceDN w:val="0"/>
      <w:adjustRightInd w:val="0"/>
      <w:spacing w:before="454" w:line="420" w:lineRule="atLeast"/>
      <w:textAlignment w:val="center"/>
    </w:pPr>
    <w:rPr>
      <w:rFonts w:ascii="FSMePro-Light" w:hAnsi="FSMePro-Light" w:cs="FSMePro-Light"/>
      <w:color w:val="000000"/>
      <w:sz w:val="36"/>
      <w:szCs w:val="36"/>
      <w:lang w:val="en-GB"/>
    </w:rPr>
  </w:style>
  <w:style w:type="paragraph" w:customStyle="1" w:styleId="Body">
    <w:name w:val="Body"/>
    <w:basedOn w:val="Normal"/>
    <w:uiPriority w:val="99"/>
    <w:rsid w:val="005A4B7A"/>
    <w:pPr>
      <w:widowControl w:val="0"/>
      <w:suppressAutoHyphens/>
      <w:autoSpaceDE w:val="0"/>
      <w:autoSpaceDN w:val="0"/>
      <w:adjustRightInd w:val="0"/>
      <w:spacing w:before="113" w:line="280" w:lineRule="atLeast"/>
      <w:textAlignment w:val="center"/>
    </w:pPr>
    <w:rPr>
      <w:rFonts w:ascii="FSMePro-Light" w:hAnsi="FSMePro-Light" w:cs="FSMePro-Light"/>
      <w:color w:val="000000"/>
      <w:sz w:val="18"/>
      <w:szCs w:val="18"/>
      <w:lang w:val="en-GB"/>
    </w:rPr>
  </w:style>
  <w:style w:type="paragraph" w:customStyle="1" w:styleId="Bodybulletslevel2">
    <w:name w:val="Body bullets level 2"/>
    <w:basedOn w:val="Normal"/>
    <w:uiPriority w:val="99"/>
    <w:rsid w:val="005A4B7A"/>
    <w:pPr>
      <w:widowControl w:val="0"/>
      <w:tabs>
        <w:tab w:val="left" w:pos="283"/>
        <w:tab w:val="left" w:pos="567"/>
      </w:tabs>
      <w:suppressAutoHyphens/>
      <w:autoSpaceDE w:val="0"/>
      <w:autoSpaceDN w:val="0"/>
      <w:adjustRightInd w:val="0"/>
      <w:spacing w:before="113" w:line="280" w:lineRule="atLeast"/>
      <w:ind w:left="454" w:hanging="227"/>
      <w:textAlignment w:val="center"/>
    </w:pPr>
    <w:rPr>
      <w:rFonts w:ascii="FSMePro-Light" w:hAnsi="FSMePro-Light" w:cs="FSMePro-Light"/>
      <w:color w:val="000000"/>
      <w:sz w:val="18"/>
      <w:szCs w:val="18"/>
      <w:lang w:val="en-GB"/>
    </w:rPr>
  </w:style>
  <w:style w:type="paragraph" w:customStyle="1" w:styleId="StateHeadingH4NoKLStateByState-SpecialSet">
    <w:name w:val="State Heading (H4) No KL (State By State - Special Set)"/>
    <w:basedOn w:val="Normal"/>
    <w:uiPriority w:val="99"/>
    <w:rsid w:val="000F4306"/>
    <w:pPr>
      <w:widowControl w:val="0"/>
      <w:suppressAutoHyphens/>
      <w:autoSpaceDE w:val="0"/>
      <w:autoSpaceDN w:val="0"/>
      <w:adjustRightInd w:val="0"/>
      <w:spacing w:before="113" w:after="227" w:line="640" w:lineRule="atLeast"/>
      <w:textAlignment w:val="center"/>
    </w:pPr>
    <w:rPr>
      <w:rFonts w:ascii="FSMePro-Light" w:hAnsi="FSMePro-Light" w:cs="FSMePro-Light"/>
      <w:color w:val="000000"/>
      <w:sz w:val="52"/>
      <w:szCs w:val="52"/>
      <w:lang w:val="en-GB"/>
    </w:rPr>
  </w:style>
  <w:style w:type="paragraph" w:customStyle="1" w:styleId="Introparagraph-Black">
    <w:name w:val="Intro paragraph - Black"/>
    <w:basedOn w:val="Body"/>
    <w:uiPriority w:val="99"/>
    <w:rsid w:val="000F4306"/>
    <w:pPr>
      <w:spacing w:after="57" w:line="320" w:lineRule="atLeast"/>
    </w:pPr>
    <w:rPr>
      <w:rFonts w:ascii="FSMePro" w:hAnsi="FSMePro" w:cs="FSMePro"/>
      <w:sz w:val="24"/>
      <w:szCs w:val="24"/>
    </w:rPr>
  </w:style>
  <w:style w:type="table" w:styleId="TableGrid">
    <w:name w:val="Table Grid"/>
    <w:basedOn w:val="TableNormal"/>
    <w:uiPriority w:val="59"/>
    <w:rsid w:val="000F4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TableStyles">
    <w:name w:val="Table - Heading (Table Styles)"/>
    <w:basedOn w:val="Body"/>
    <w:uiPriority w:val="99"/>
    <w:rsid w:val="00B86A86"/>
    <w:pPr>
      <w:spacing w:line="240" w:lineRule="atLeast"/>
    </w:pPr>
    <w:rPr>
      <w:rFonts w:ascii="FSMePro-Bold" w:hAnsi="FSMePro-Bold" w:cs="FSMePro-Bold"/>
      <w:b/>
      <w:bCs/>
      <w:sz w:val="16"/>
      <w:szCs w:val="16"/>
    </w:rPr>
  </w:style>
  <w:style w:type="character" w:customStyle="1" w:styleId="BoldItalic">
    <w:name w:val="Bold Italic"/>
    <w:uiPriority w:val="99"/>
    <w:rsid w:val="00B86A86"/>
    <w:rPr>
      <w:rFonts w:ascii="FSMePro-BoldItalic" w:hAnsi="FSMePro-BoldItalic" w:cs="FSMePro-BoldItalic"/>
      <w:b/>
      <w:bCs/>
      <w:i/>
      <w:iCs/>
    </w:rPr>
  </w:style>
  <w:style w:type="paragraph" w:customStyle="1" w:styleId="TableTitle">
    <w:name w:val="Table Title"/>
    <w:basedOn w:val="BodyText"/>
    <w:qFormat/>
    <w:rsid w:val="00B86A86"/>
    <w:rPr>
      <w:b/>
      <w:color w:val="FEFFFF" w:themeColor="text1"/>
    </w:rPr>
  </w:style>
  <w:style w:type="paragraph" w:styleId="FootnoteText">
    <w:name w:val="footnote text"/>
    <w:basedOn w:val="Normal"/>
    <w:link w:val="FootnoteTextChar"/>
    <w:unhideWhenUsed/>
    <w:rsid w:val="00B86A86"/>
    <w:rPr>
      <w:sz w:val="14"/>
    </w:rPr>
  </w:style>
  <w:style w:type="character" w:customStyle="1" w:styleId="FootnoteTextChar">
    <w:name w:val="Footnote Text Char"/>
    <w:basedOn w:val="DefaultParagraphFont"/>
    <w:link w:val="FootnoteText"/>
    <w:uiPriority w:val="99"/>
    <w:rsid w:val="00B86A86"/>
    <w:rPr>
      <w:rFonts w:ascii="Arial" w:hAnsi="Arial"/>
      <w:sz w:val="14"/>
    </w:rPr>
  </w:style>
  <w:style w:type="character" w:styleId="FootnoteReference">
    <w:name w:val="footnote reference"/>
    <w:basedOn w:val="DefaultParagraphFont"/>
    <w:unhideWhenUsed/>
    <w:rsid w:val="00B86A86"/>
    <w:rPr>
      <w:vertAlign w:val="superscript"/>
    </w:rPr>
  </w:style>
  <w:style w:type="paragraph" w:customStyle="1" w:styleId="TablebodybulletsLessSpaceTableStyles">
    <w:name w:val="Table body bullets (Less Space) (Table Styles)"/>
    <w:basedOn w:val="Normal"/>
    <w:uiPriority w:val="99"/>
    <w:rsid w:val="002F5565"/>
    <w:pPr>
      <w:widowControl w:val="0"/>
      <w:tabs>
        <w:tab w:val="left" w:pos="283"/>
      </w:tabs>
      <w:suppressAutoHyphens/>
      <w:autoSpaceDE w:val="0"/>
      <w:autoSpaceDN w:val="0"/>
      <w:adjustRightInd w:val="0"/>
      <w:spacing w:before="57" w:line="220" w:lineRule="atLeast"/>
      <w:ind w:left="283" w:hanging="283"/>
      <w:textAlignment w:val="center"/>
    </w:pPr>
    <w:rPr>
      <w:rFonts w:ascii="FSMePro-Light" w:hAnsi="FSMePro-Light" w:cs="FSMePro-Light"/>
      <w:color w:val="000000"/>
      <w:sz w:val="16"/>
      <w:szCs w:val="16"/>
      <w:lang w:val="en-GB"/>
    </w:rPr>
  </w:style>
  <w:style w:type="paragraph" w:customStyle="1" w:styleId="TablebodyLessSpaceTableStyles">
    <w:name w:val="Table body (Less Space) (Table Styles)"/>
    <w:basedOn w:val="Body"/>
    <w:uiPriority w:val="99"/>
    <w:rsid w:val="002F5565"/>
    <w:pPr>
      <w:spacing w:before="57" w:line="220" w:lineRule="atLeast"/>
    </w:pPr>
    <w:rPr>
      <w:sz w:val="16"/>
      <w:szCs w:val="16"/>
    </w:rPr>
  </w:style>
  <w:style w:type="paragraph" w:styleId="ListBullet2">
    <w:name w:val="List Bullet 2"/>
    <w:basedOn w:val="Normal"/>
    <w:uiPriority w:val="99"/>
    <w:unhideWhenUsed/>
    <w:rsid w:val="009741D8"/>
    <w:pPr>
      <w:numPr>
        <w:numId w:val="16"/>
      </w:numPr>
      <w:ind w:left="981" w:hanging="244"/>
      <w:contextualSpacing/>
    </w:pPr>
  </w:style>
  <w:style w:type="character" w:customStyle="1" w:styleId="Bold">
    <w:name w:val="Bold"/>
    <w:uiPriority w:val="99"/>
    <w:rsid w:val="00465BCE"/>
    <w:rPr>
      <w:rFonts w:ascii="FSMePro-Bold" w:hAnsi="FSMePro-Bold" w:cs="FSMePro-Bold"/>
      <w:b/>
      <w:bCs/>
    </w:rPr>
  </w:style>
  <w:style w:type="paragraph" w:customStyle="1" w:styleId="TablebodybulletsTableStyles">
    <w:name w:val="Table body bullets (Table Styles)"/>
    <w:basedOn w:val="Normal"/>
    <w:uiPriority w:val="99"/>
    <w:rsid w:val="004326AF"/>
    <w:pPr>
      <w:widowControl w:val="0"/>
      <w:tabs>
        <w:tab w:val="left" w:pos="283"/>
      </w:tabs>
      <w:suppressAutoHyphens/>
      <w:autoSpaceDE w:val="0"/>
      <w:autoSpaceDN w:val="0"/>
      <w:adjustRightInd w:val="0"/>
      <w:spacing w:before="113" w:line="240" w:lineRule="atLeast"/>
      <w:ind w:left="170" w:hanging="170"/>
      <w:textAlignment w:val="center"/>
    </w:pPr>
    <w:rPr>
      <w:rFonts w:ascii="FSMePro-Light" w:hAnsi="FSMePro-Light" w:cs="FSMePro-Light"/>
      <w:color w:val="000000"/>
      <w:sz w:val="16"/>
      <w:szCs w:val="16"/>
      <w:lang w:val="en-GB"/>
    </w:rPr>
  </w:style>
  <w:style w:type="paragraph" w:customStyle="1" w:styleId="TablebodyTableStyles">
    <w:name w:val="Table body (Table Styles)"/>
    <w:basedOn w:val="Body"/>
    <w:uiPriority w:val="99"/>
    <w:rsid w:val="004326AF"/>
    <w:pPr>
      <w:spacing w:line="240" w:lineRule="atLeast"/>
    </w:pPr>
    <w:rPr>
      <w:sz w:val="16"/>
      <w:szCs w:val="16"/>
    </w:rPr>
  </w:style>
  <w:style w:type="paragraph" w:customStyle="1" w:styleId="Bodybullets">
    <w:name w:val="Body bullets"/>
    <w:basedOn w:val="Body"/>
    <w:uiPriority w:val="99"/>
    <w:rsid w:val="004326AF"/>
    <w:pPr>
      <w:tabs>
        <w:tab w:val="left" w:pos="283"/>
      </w:tabs>
      <w:ind w:left="283" w:hanging="283"/>
    </w:pPr>
  </w:style>
  <w:style w:type="paragraph" w:styleId="ListParagraph">
    <w:name w:val="List Paragraph"/>
    <w:basedOn w:val="Normal"/>
    <w:uiPriority w:val="34"/>
    <w:qFormat/>
    <w:rsid w:val="00EE6CD5"/>
    <w:pPr>
      <w:ind w:left="720"/>
      <w:contextualSpacing/>
    </w:pPr>
  </w:style>
  <w:style w:type="paragraph" w:styleId="Quote">
    <w:name w:val="Quote"/>
    <w:basedOn w:val="Normal"/>
    <w:next w:val="Normal"/>
    <w:link w:val="QuoteChar"/>
    <w:uiPriority w:val="29"/>
    <w:qFormat/>
    <w:rsid w:val="003C40B2"/>
    <w:pPr>
      <w:spacing w:before="200" w:after="160"/>
    </w:pPr>
    <w:rPr>
      <w:b/>
      <w:i/>
      <w:iCs/>
      <w:sz w:val="22"/>
    </w:rPr>
  </w:style>
  <w:style w:type="character" w:customStyle="1" w:styleId="QuoteChar">
    <w:name w:val="Quote Char"/>
    <w:basedOn w:val="DefaultParagraphFont"/>
    <w:link w:val="Quote"/>
    <w:uiPriority w:val="29"/>
    <w:rsid w:val="003C40B2"/>
    <w:rPr>
      <w:rFonts w:ascii="Arial" w:hAnsi="Arial"/>
      <w:b/>
      <w:i/>
      <w:iCs/>
      <w:color w:val="1A1918" w:themeColor="background1"/>
      <w:sz w:val="22"/>
    </w:rPr>
  </w:style>
  <w:style w:type="paragraph" w:customStyle="1" w:styleId="Subheading2H5Headingstylesorderedbyexporttags">
    <w:name w:val="Subheading 2 – H5 (Heading styles ordered by export tags)"/>
    <w:basedOn w:val="Body"/>
    <w:uiPriority w:val="99"/>
    <w:rsid w:val="003C4036"/>
    <w:pPr>
      <w:spacing w:before="227"/>
    </w:pPr>
    <w:rPr>
      <w:rFonts w:ascii="FSMePro-Heavy" w:hAnsi="FSMePro-Heavy" w:cs="FSMePro-Heavy"/>
      <w:sz w:val="20"/>
      <w:szCs w:val="20"/>
    </w:rPr>
  </w:style>
  <w:style w:type="character" w:customStyle="1" w:styleId="LightItalic">
    <w:name w:val="Light Italic"/>
    <w:uiPriority w:val="99"/>
    <w:rsid w:val="004B7862"/>
    <w:rPr>
      <w:rFonts w:ascii="FSMePro-LightItalic" w:hAnsi="FSMePro-LightItalic" w:cs="FSMePro-LightItalic"/>
      <w:i/>
      <w:iCs/>
    </w:rPr>
  </w:style>
  <w:style w:type="paragraph" w:styleId="TOC1">
    <w:name w:val="toc 1"/>
    <w:basedOn w:val="Normal"/>
    <w:next w:val="Normal"/>
    <w:autoRedefine/>
    <w:uiPriority w:val="39"/>
    <w:unhideWhenUsed/>
    <w:rsid w:val="00F6665C"/>
    <w:pPr>
      <w:tabs>
        <w:tab w:val="right" w:pos="10188"/>
      </w:tabs>
    </w:pPr>
    <w:rPr>
      <w:b/>
      <w:bCs/>
    </w:rPr>
  </w:style>
  <w:style w:type="paragraph" w:styleId="TOC2">
    <w:name w:val="toc 2"/>
    <w:basedOn w:val="Normal"/>
    <w:next w:val="Normal"/>
    <w:autoRedefine/>
    <w:uiPriority w:val="39"/>
    <w:unhideWhenUsed/>
    <w:rsid w:val="00F6665C"/>
    <w:pPr>
      <w:ind w:left="240"/>
    </w:pPr>
    <w:rPr>
      <w:b/>
      <w:bCs/>
      <w:sz w:val="22"/>
      <w:szCs w:val="22"/>
    </w:rPr>
  </w:style>
  <w:style w:type="paragraph" w:styleId="TOC3">
    <w:name w:val="toc 3"/>
    <w:basedOn w:val="Normal"/>
    <w:next w:val="Normal"/>
    <w:autoRedefine/>
    <w:uiPriority w:val="39"/>
    <w:unhideWhenUsed/>
    <w:rsid w:val="00F6665C"/>
    <w:pPr>
      <w:ind w:left="480"/>
    </w:pPr>
    <w:rPr>
      <w:sz w:val="22"/>
      <w:szCs w:val="22"/>
    </w:rPr>
  </w:style>
  <w:style w:type="paragraph" w:styleId="TOC4">
    <w:name w:val="toc 4"/>
    <w:basedOn w:val="Normal"/>
    <w:next w:val="Normal"/>
    <w:autoRedefine/>
    <w:unhideWhenUsed/>
    <w:rsid w:val="00F6665C"/>
    <w:pPr>
      <w:ind w:left="720"/>
    </w:pPr>
    <w:rPr>
      <w:szCs w:val="20"/>
    </w:rPr>
  </w:style>
  <w:style w:type="paragraph" w:styleId="TOC5">
    <w:name w:val="toc 5"/>
    <w:basedOn w:val="Normal"/>
    <w:next w:val="Normal"/>
    <w:autoRedefine/>
    <w:unhideWhenUsed/>
    <w:rsid w:val="00F6665C"/>
    <w:pPr>
      <w:ind w:left="960"/>
    </w:pPr>
    <w:rPr>
      <w:szCs w:val="20"/>
    </w:rPr>
  </w:style>
  <w:style w:type="paragraph" w:styleId="TOC6">
    <w:name w:val="toc 6"/>
    <w:basedOn w:val="Normal"/>
    <w:next w:val="Normal"/>
    <w:autoRedefine/>
    <w:unhideWhenUsed/>
    <w:rsid w:val="00F6665C"/>
    <w:pPr>
      <w:ind w:left="1200"/>
    </w:pPr>
    <w:rPr>
      <w:szCs w:val="20"/>
    </w:rPr>
  </w:style>
  <w:style w:type="paragraph" w:styleId="TOC7">
    <w:name w:val="toc 7"/>
    <w:basedOn w:val="Normal"/>
    <w:next w:val="Normal"/>
    <w:autoRedefine/>
    <w:unhideWhenUsed/>
    <w:rsid w:val="00F6665C"/>
    <w:pPr>
      <w:ind w:left="1440"/>
    </w:pPr>
    <w:rPr>
      <w:szCs w:val="20"/>
    </w:rPr>
  </w:style>
  <w:style w:type="paragraph" w:styleId="TOC8">
    <w:name w:val="toc 8"/>
    <w:basedOn w:val="Normal"/>
    <w:next w:val="Normal"/>
    <w:autoRedefine/>
    <w:unhideWhenUsed/>
    <w:rsid w:val="00F6665C"/>
    <w:pPr>
      <w:ind w:left="1680"/>
    </w:pPr>
    <w:rPr>
      <w:szCs w:val="20"/>
    </w:rPr>
  </w:style>
  <w:style w:type="paragraph" w:styleId="TOC9">
    <w:name w:val="toc 9"/>
    <w:basedOn w:val="Normal"/>
    <w:next w:val="Normal"/>
    <w:autoRedefine/>
    <w:unhideWhenUsed/>
    <w:rsid w:val="00F6665C"/>
    <w:pPr>
      <w:ind w:left="1920"/>
    </w:pPr>
    <w:rPr>
      <w:szCs w:val="20"/>
    </w:rPr>
  </w:style>
  <w:style w:type="paragraph" w:styleId="TableofFigures">
    <w:name w:val="table of figures"/>
    <w:basedOn w:val="Normal"/>
    <w:next w:val="Normal"/>
    <w:uiPriority w:val="99"/>
    <w:unhideWhenUsed/>
    <w:rsid w:val="00F971D0"/>
    <w:pPr>
      <w:spacing w:before="0" w:after="0"/>
      <w:ind w:left="400" w:hanging="400"/>
    </w:pPr>
    <w:rPr>
      <w:rFonts w:asciiTheme="minorHAnsi" w:hAnsiTheme="minorHAnsi" w:cstheme="minorHAnsi"/>
      <w:b/>
      <w:bCs/>
      <w:szCs w:val="20"/>
    </w:rPr>
  </w:style>
  <w:style w:type="paragraph" w:customStyle="1" w:styleId="Heading4tables">
    <w:name w:val="Heading 4 – tables"/>
    <w:basedOn w:val="Heading4"/>
    <w:next w:val="BodyText"/>
    <w:qFormat/>
    <w:rsid w:val="006A4131"/>
  </w:style>
  <w:style w:type="paragraph" w:customStyle="1" w:styleId="Heading3tables">
    <w:name w:val="Heading 3 – tables"/>
    <w:basedOn w:val="Heading3"/>
    <w:qFormat/>
    <w:rsid w:val="00CC53A5"/>
  </w:style>
  <w:style w:type="character" w:customStyle="1" w:styleId="Light">
    <w:name w:val="Light"/>
    <w:basedOn w:val="DefaultParagraphFont"/>
    <w:uiPriority w:val="99"/>
    <w:rsid w:val="00164634"/>
    <w:rPr>
      <w:rFonts w:ascii="FSMePro-Light" w:hAnsi="FSMePro-Light" w:cs="FSMePro-Light"/>
    </w:rPr>
  </w:style>
  <w:style w:type="character" w:styleId="PageNumber">
    <w:name w:val="page number"/>
    <w:basedOn w:val="DefaultParagraphFont"/>
    <w:uiPriority w:val="99"/>
    <w:semiHidden/>
    <w:unhideWhenUsed/>
    <w:rsid w:val="008821DE"/>
  </w:style>
  <w:style w:type="character" w:customStyle="1" w:styleId="Heading8Char">
    <w:name w:val="Heading 8 Char"/>
    <w:basedOn w:val="DefaultParagraphFont"/>
    <w:link w:val="Heading8"/>
    <w:rsid w:val="00C32CBD"/>
    <w:rPr>
      <w:rFonts w:ascii="Times New Roman" w:eastAsia="Times New Roman" w:hAnsi="Times New Roman" w:cs="Times New Roman"/>
      <w:sz w:val="22"/>
      <w:szCs w:val="20"/>
      <w:lang w:val="en-AU"/>
    </w:rPr>
  </w:style>
  <w:style w:type="character" w:customStyle="1" w:styleId="Heading9Char">
    <w:name w:val="Heading 9 Char"/>
    <w:basedOn w:val="DefaultParagraphFont"/>
    <w:link w:val="Heading9"/>
    <w:rsid w:val="00C32CBD"/>
    <w:rPr>
      <w:rFonts w:ascii="Times New Roman" w:eastAsia="Times New Roman" w:hAnsi="Times New Roman" w:cs="Times New Roman"/>
      <w:sz w:val="22"/>
      <w:szCs w:val="20"/>
      <w:lang w:val="en-AU"/>
    </w:rPr>
  </w:style>
  <w:style w:type="paragraph" w:customStyle="1" w:styleId="StatementName">
    <w:name w:val="Statement Name"/>
    <w:basedOn w:val="Normal"/>
    <w:next w:val="Normal"/>
    <w:link w:val="StatementNameChar"/>
    <w:autoRedefine/>
    <w:rsid w:val="00C32CBD"/>
    <w:pPr>
      <w:pBdr>
        <w:bottom w:val="single" w:sz="4" w:space="1" w:color="auto"/>
      </w:pBdr>
      <w:spacing w:before="0" w:after="0" w:line="260" w:lineRule="atLeast"/>
    </w:pPr>
    <w:rPr>
      <w:rFonts w:eastAsia="Times New Roman" w:cs="Arial"/>
      <w:b/>
      <w:color w:val="auto"/>
      <w:sz w:val="24"/>
      <w:lang w:val="en-AU"/>
    </w:rPr>
  </w:style>
  <w:style w:type="paragraph" w:customStyle="1" w:styleId="StatementDateHeader">
    <w:name w:val="Statement Date Header"/>
    <w:basedOn w:val="Normal"/>
    <w:next w:val="Normal"/>
    <w:rsid w:val="00C32CBD"/>
    <w:pPr>
      <w:pBdr>
        <w:bottom w:val="single" w:sz="4" w:space="1" w:color="auto"/>
      </w:pBdr>
      <w:spacing w:before="0" w:after="0" w:line="260" w:lineRule="atLeast"/>
    </w:pPr>
    <w:rPr>
      <w:rFonts w:eastAsia="Times New Roman" w:cs="Times New Roman"/>
      <w:i/>
      <w:color w:val="auto"/>
      <w:sz w:val="24"/>
      <w:szCs w:val="20"/>
      <w:lang w:val="en-AU"/>
    </w:rPr>
  </w:style>
  <w:style w:type="paragraph" w:customStyle="1" w:styleId="StatementTextLevel3">
    <w:name w:val="Statement Text Level 3"/>
    <w:basedOn w:val="Normal"/>
    <w:next w:val="Normal"/>
    <w:rsid w:val="00C32CBD"/>
    <w:pPr>
      <w:spacing w:before="0" w:after="0" w:line="260" w:lineRule="atLeast"/>
    </w:pPr>
    <w:rPr>
      <w:rFonts w:eastAsia="Times New Roman" w:cs="Times New Roman"/>
      <w:color w:val="auto"/>
      <w:sz w:val="18"/>
      <w:szCs w:val="20"/>
      <w:lang w:val="en-AU"/>
    </w:rPr>
  </w:style>
  <w:style w:type="paragraph" w:customStyle="1" w:styleId="ContinuedNotesHeading-Level1">
    <w:name w:val="Continued Notes Heading - Level 1"/>
    <w:basedOn w:val="NotesHeading-Level1"/>
    <w:qFormat/>
    <w:rsid w:val="00C32CBD"/>
    <w:pPr>
      <w:numPr>
        <w:numId w:val="0"/>
      </w:numPr>
      <w:spacing w:line="240" w:lineRule="auto"/>
      <w:outlineLvl w:val="9"/>
    </w:pPr>
  </w:style>
  <w:style w:type="paragraph" w:customStyle="1" w:styleId="TableHeaderLevel1">
    <w:name w:val="Table Header Level 1"/>
    <w:basedOn w:val="Normal"/>
    <w:semiHidden/>
    <w:rsid w:val="00C32CBD"/>
    <w:pPr>
      <w:spacing w:before="0" w:after="0" w:line="260" w:lineRule="atLeast"/>
      <w:jc w:val="center"/>
    </w:pPr>
    <w:rPr>
      <w:rFonts w:eastAsia="Times New Roman" w:cs="Times New Roman"/>
      <w:b/>
      <w:color w:val="auto"/>
      <w:sz w:val="18"/>
      <w:szCs w:val="18"/>
      <w:lang w:val="en-AU"/>
    </w:rPr>
  </w:style>
  <w:style w:type="paragraph" w:styleId="CommentText">
    <w:name w:val="annotation text"/>
    <w:basedOn w:val="Normal"/>
    <w:link w:val="CommentTextChar"/>
    <w:semiHidden/>
    <w:rsid w:val="00C32CBD"/>
    <w:pPr>
      <w:spacing w:before="0" w:after="0" w:line="260" w:lineRule="atLeast"/>
    </w:pPr>
    <w:rPr>
      <w:rFonts w:ascii="Times New Roman" w:eastAsia="Times New Roman" w:hAnsi="Times New Roman" w:cs="Times New Roman"/>
      <w:color w:val="auto"/>
      <w:szCs w:val="20"/>
      <w:lang w:val="en-AU"/>
    </w:rPr>
  </w:style>
  <w:style w:type="character" w:customStyle="1" w:styleId="CommentTextChar">
    <w:name w:val="Comment Text Char"/>
    <w:basedOn w:val="DefaultParagraphFont"/>
    <w:link w:val="CommentText"/>
    <w:semiHidden/>
    <w:rsid w:val="00C32CBD"/>
    <w:rPr>
      <w:rFonts w:ascii="Times New Roman" w:eastAsia="Times New Roman" w:hAnsi="Times New Roman" w:cs="Times New Roman"/>
      <w:sz w:val="20"/>
      <w:szCs w:val="20"/>
      <w:lang w:val="en-AU"/>
    </w:rPr>
  </w:style>
  <w:style w:type="character" w:styleId="CommentReference">
    <w:name w:val="annotation reference"/>
    <w:basedOn w:val="DefaultParagraphFont"/>
    <w:semiHidden/>
    <w:rsid w:val="00C32CBD"/>
    <w:rPr>
      <w:sz w:val="16"/>
      <w:szCs w:val="16"/>
    </w:rPr>
  </w:style>
  <w:style w:type="paragraph" w:styleId="CommentSubject">
    <w:name w:val="annotation subject"/>
    <w:basedOn w:val="CommentText"/>
    <w:next w:val="CommentText"/>
    <w:link w:val="CommentSubjectChar"/>
    <w:semiHidden/>
    <w:rsid w:val="00C32CBD"/>
    <w:rPr>
      <w:b/>
      <w:bCs/>
    </w:rPr>
  </w:style>
  <w:style w:type="character" w:customStyle="1" w:styleId="CommentSubjectChar">
    <w:name w:val="Comment Subject Char"/>
    <w:basedOn w:val="CommentTextChar"/>
    <w:link w:val="CommentSubject"/>
    <w:semiHidden/>
    <w:rsid w:val="00C32CBD"/>
    <w:rPr>
      <w:rFonts w:ascii="Times New Roman" w:eastAsia="Times New Roman" w:hAnsi="Times New Roman" w:cs="Times New Roman"/>
      <w:b/>
      <w:bCs/>
      <w:sz w:val="20"/>
      <w:szCs w:val="20"/>
      <w:lang w:val="en-AU"/>
    </w:rPr>
  </w:style>
  <w:style w:type="paragraph" w:styleId="BalloonText">
    <w:name w:val="Balloon Text"/>
    <w:basedOn w:val="Normal"/>
    <w:link w:val="BalloonTextChar"/>
    <w:semiHidden/>
    <w:rsid w:val="00C32CBD"/>
    <w:pPr>
      <w:spacing w:before="0" w:after="0" w:line="260" w:lineRule="atLeast"/>
    </w:pPr>
    <w:rPr>
      <w:rFonts w:ascii="Tahoma" w:eastAsia="Times New Roman" w:hAnsi="Tahoma" w:cs="Tahoma"/>
      <w:color w:val="auto"/>
      <w:sz w:val="16"/>
      <w:szCs w:val="16"/>
      <w:lang w:val="en-AU"/>
    </w:rPr>
  </w:style>
  <w:style w:type="character" w:customStyle="1" w:styleId="BalloonTextChar">
    <w:name w:val="Balloon Text Char"/>
    <w:basedOn w:val="DefaultParagraphFont"/>
    <w:link w:val="BalloonText"/>
    <w:semiHidden/>
    <w:rsid w:val="00C32CBD"/>
    <w:rPr>
      <w:rFonts w:ascii="Tahoma" w:eastAsia="Times New Roman" w:hAnsi="Tahoma" w:cs="Tahoma"/>
      <w:sz w:val="16"/>
      <w:szCs w:val="16"/>
      <w:lang w:val="en-AU"/>
    </w:rPr>
  </w:style>
  <w:style w:type="paragraph" w:customStyle="1" w:styleId="StatementTextLevel1bItalic">
    <w:name w:val="Statement Text Level 1(b) + Italic"/>
    <w:basedOn w:val="Normal"/>
    <w:rsid w:val="00C32CBD"/>
    <w:pPr>
      <w:spacing w:before="0" w:after="0" w:line="260" w:lineRule="atLeast"/>
    </w:pPr>
    <w:rPr>
      <w:rFonts w:eastAsia="Times New Roman" w:cs="Times New Roman"/>
      <w:b/>
      <w:bCs/>
      <w:i/>
      <w:iCs/>
      <w:color w:val="auto"/>
      <w:sz w:val="18"/>
      <w:szCs w:val="18"/>
      <w:lang w:val="en-AU"/>
    </w:rPr>
  </w:style>
  <w:style w:type="paragraph" w:customStyle="1" w:styleId="Graphic">
    <w:name w:val="Graphic"/>
    <w:basedOn w:val="Signature"/>
    <w:rsid w:val="00C32CBD"/>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link w:val="SignatureChar"/>
    <w:rsid w:val="00C32CBD"/>
    <w:pPr>
      <w:spacing w:before="0" w:after="0" w:line="240" w:lineRule="auto"/>
    </w:pPr>
    <w:rPr>
      <w:rFonts w:ascii="Times New Roman" w:eastAsia="Times New Roman" w:hAnsi="Times New Roman" w:cs="Times New Roman"/>
      <w:color w:val="auto"/>
      <w:sz w:val="22"/>
      <w:szCs w:val="20"/>
      <w:lang w:val="en-AU"/>
    </w:rPr>
  </w:style>
  <w:style w:type="character" w:customStyle="1" w:styleId="SignatureChar">
    <w:name w:val="Signature Char"/>
    <w:basedOn w:val="DefaultParagraphFont"/>
    <w:link w:val="Signature"/>
    <w:rsid w:val="00C32CBD"/>
    <w:rPr>
      <w:rFonts w:ascii="Times New Roman" w:eastAsia="Times New Roman" w:hAnsi="Times New Roman" w:cs="Times New Roman"/>
      <w:sz w:val="22"/>
      <w:szCs w:val="20"/>
      <w:lang w:val="en-AU"/>
    </w:rPr>
  </w:style>
  <w:style w:type="paragraph" w:styleId="MacroText">
    <w:name w:val="macro"/>
    <w:link w:val="MacroTextChar"/>
    <w:semiHidden/>
    <w:rsid w:val="00C32CBD"/>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eastAsia="Times New Roman" w:hAnsi="Courier New" w:cs="Courier New"/>
      <w:sz w:val="18"/>
      <w:szCs w:val="20"/>
      <w:lang w:val="en-GB"/>
    </w:rPr>
  </w:style>
  <w:style w:type="character" w:customStyle="1" w:styleId="MacroTextChar">
    <w:name w:val="Macro Text Char"/>
    <w:basedOn w:val="DefaultParagraphFont"/>
    <w:link w:val="MacroText"/>
    <w:semiHidden/>
    <w:rsid w:val="00C32CBD"/>
    <w:rPr>
      <w:rFonts w:ascii="Courier New" w:eastAsia="Times New Roman" w:hAnsi="Courier New" w:cs="Courier New"/>
      <w:sz w:val="18"/>
      <w:szCs w:val="20"/>
      <w:lang w:val="en-GB"/>
    </w:rPr>
  </w:style>
  <w:style w:type="paragraph" w:customStyle="1" w:styleId="NotesTotal">
    <w:name w:val="Notes Total"/>
    <w:basedOn w:val="Normal"/>
    <w:autoRedefine/>
    <w:rsid w:val="00C32CBD"/>
    <w:pPr>
      <w:spacing w:before="0" w:after="0" w:line="260" w:lineRule="atLeast"/>
      <w:ind w:left="139" w:right="57"/>
    </w:pPr>
    <w:rPr>
      <w:rFonts w:ascii="Times New Roman" w:eastAsia="Times New Roman" w:hAnsi="Times New Roman" w:cs="Times New Roman"/>
      <w:b/>
      <w:iCs/>
      <w:color w:val="auto"/>
      <w:szCs w:val="20"/>
      <w:lang w:val="en-AU"/>
    </w:rPr>
  </w:style>
  <w:style w:type="paragraph" w:customStyle="1" w:styleId="TitlePage">
    <w:name w:val="Title Page"/>
    <w:basedOn w:val="Normal"/>
    <w:autoRedefine/>
    <w:rsid w:val="00C32CBD"/>
    <w:pPr>
      <w:spacing w:before="1200" w:after="1200" w:line="260" w:lineRule="atLeast"/>
      <w:ind w:left="57" w:right="57"/>
      <w:jc w:val="right"/>
    </w:pPr>
    <w:rPr>
      <w:rFonts w:ascii="Times New Roman" w:eastAsia="Times New Roman" w:hAnsi="Times New Roman" w:cs="Times New Roman"/>
      <w:b/>
      <w:bCs/>
      <w:color w:val="auto"/>
      <w:sz w:val="48"/>
      <w:szCs w:val="20"/>
      <w:lang w:val="en-AU"/>
    </w:rPr>
  </w:style>
  <w:style w:type="paragraph" w:customStyle="1" w:styleId="zcontents">
    <w:name w:val="zcontents"/>
    <w:basedOn w:val="Normal"/>
    <w:semiHidden/>
    <w:rsid w:val="00C32CBD"/>
    <w:pPr>
      <w:spacing w:before="0" w:after="260" w:line="240" w:lineRule="auto"/>
    </w:pPr>
    <w:rPr>
      <w:rFonts w:ascii="Times New Roman" w:eastAsia="Times New Roman" w:hAnsi="Times New Roman" w:cs="Times New Roman"/>
      <w:b/>
      <w:color w:val="auto"/>
      <w:sz w:val="32"/>
      <w:szCs w:val="20"/>
      <w:lang w:val="en-AU"/>
    </w:rPr>
  </w:style>
  <w:style w:type="paragraph" w:customStyle="1" w:styleId="Normal10pt">
    <w:name w:val="Normal + 10 pt"/>
    <w:aliases w:val="Line spacing:  single"/>
    <w:basedOn w:val="Normal"/>
    <w:rsid w:val="00C32CBD"/>
    <w:pPr>
      <w:spacing w:before="130" w:after="130" w:line="260" w:lineRule="atLeast"/>
    </w:pPr>
    <w:rPr>
      <w:rFonts w:ascii="Times New Roman" w:eastAsia="Times New Roman" w:hAnsi="Times New Roman" w:cs="Times New Roman"/>
      <w:b/>
      <w:color w:val="auto"/>
      <w:szCs w:val="20"/>
      <w:lang w:val="en-AU"/>
    </w:rPr>
  </w:style>
  <w:style w:type="paragraph" w:styleId="z-BottomofForm">
    <w:name w:val="HTML Bottom of Form"/>
    <w:basedOn w:val="Normal"/>
    <w:next w:val="Normal"/>
    <w:link w:val="z-BottomofFormChar"/>
    <w:hidden/>
    <w:rsid w:val="00C32CBD"/>
    <w:pPr>
      <w:pBdr>
        <w:top w:val="single" w:sz="6" w:space="1" w:color="auto"/>
      </w:pBdr>
      <w:spacing w:before="0" w:after="0" w:line="260" w:lineRule="atLeast"/>
      <w:jc w:val="center"/>
    </w:pPr>
    <w:rPr>
      <w:rFonts w:eastAsia="Times New Roman" w:cs="Arial"/>
      <w:vanish/>
      <w:color w:val="auto"/>
      <w:sz w:val="16"/>
      <w:szCs w:val="16"/>
      <w:lang w:val="en-AU"/>
    </w:rPr>
  </w:style>
  <w:style w:type="character" w:customStyle="1" w:styleId="z-BottomofFormChar">
    <w:name w:val="z-Bottom of Form Char"/>
    <w:basedOn w:val="DefaultParagraphFont"/>
    <w:link w:val="z-BottomofForm"/>
    <w:rsid w:val="00C32CBD"/>
    <w:rPr>
      <w:rFonts w:ascii="Arial" w:eastAsia="Times New Roman" w:hAnsi="Arial" w:cs="Arial"/>
      <w:vanish/>
      <w:sz w:val="16"/>
      <w:szCs w:val="16"/>
      <w:lang w:val="en-AU"/>
    </w:rPr>
  </w:style>
  <w:style w:type="paragraph" w:styleId="z-TopofForm">
    <w:name w:val="HTML Top of Form"/>
    <w:basedOn w:val="Normal"/>
    <w:next w:val="Normal"/>
    <w:link w:val="z-TopofFormChar"/>
    <w:hidden/>
    <w:rsid w:val="00C32CBD"/>
    <w:pPr>
      <w:pBdr>
        <w:bottom w:val="single" w:sz="6" w:space="1" w:color="auto"/>
      </w:pBdr>
      <w:spacing w:before="0" w:after="0" w:line="260" w:lineRule="atLeast"/>
      <w:jc w:val="center"/>
    </w:pPr>
    <w:rPr>
      <w:rFonts w:eastAsia="Times New Roman" w:cs="Arial"/>
      <w:vanish/>
      <w:color w:val="auto"/>
      <w:sz w:val="16"/>
      <w:szCs w:val="16"/>
      <w:lang w:val="en-AU"/>
    </w:rPr>
  </w:style>
  <w:style w:type="character" w:customStyle="1" w:styleId="z-TopofFormChar">
    <w:name w:val="z-Top of Form Char"/>
    <w:basedOn w:val="DefaultParagraphFont"/>
    <w:link w:val="z-TopofForm"/>
    <w:rsid w:val="00C32CBD"/>
    <w:rPr>
      <w:rFonts w:ascii="Arial" w:eastAsia="Times New Roman" w:hAnsi="Arial" w:cs="Arial"/>
      <w:vanish/>
      <w:sz w:val="16"/>
      <w:szCs w:val="16"/>
      <w:lang w:val="en-AU"/>
    </w:rPr>
  </w:style>
  <w:style w:type="paragraph" w:styleId="DocumentMap">
    <w:name w:val="Document Map"/>
    <w:basedOn w:val="Normal"/>
    <w:link w:val="DocumentMapChar"/>
    <w:semiHidden/>
    <w:rsid w:val="00C32CBD"/>
    <w:pPr>
      <w:shd w:val="clear" w:color="auto" w:fill="000080"/>
      <w:spacing w:before="0" w:after="0" w:line="240" w:lineRule="auto"/>
    </w:pPr>
    <w:rPr>
      <w:rFonts w:ascii="Tahoma" w:eastAsia="Times New Roman" w:hAnsi="Tahoma" w:cs="Times New Roman"/>
      <w:color w:val="auto"/>
      <w:szCs w:val="20"/>
      <w:lang w:val="en-AU" w:eastAsia="en-AU"/>
    </w:rPr>
  </w:style>
  <w:style w:type="character" w:customStyle="1" w:styleId="DocumentMapChar">
    <w:name w:val="Document Map Char"/>
    <w:basedOn w:val="DefaultParagraphFont"/>
    <w:link w:val="DocumentMap"/>
    <w:semiHidden/>
    <w:rsid w:val="00C32CBD"/>
    <w:rPr>
      <w:rFonts w:ascii="Tahoma" w:eastAsia="Times New Roman" w:hAnsi="Tahoma" w:cs="Times New Roman"/>
      <w:sz w:val="20"/>
      <w:szCs w:val="20"/>
      <w:shd w:val="clear" w:color="auto" w:fill="000080"/>
      <w:lang w:val="en-AU" w:eastAsia="en-AU"/>
    </w:rPr>
  </w:style>
  <w:style w:type="numbering" w:customStyle="1" w:styleId="NoList1">
    <w:name w:val="No List1"/>
    <w:next w:val="NoList"/>
    <w:semiHidden/>
    <w:rsid w:val="00C32CBD"/>
  </w:style>
  <w:style w:type="paragraph" w:customStyle="1" w:styleId="Normal8pt">
    <w:name w:val="Normal + 8 pt"/>
    <w:basedOn w:val="Normal"/>
    <w:rsid w:val="00C32CBD"/>
    <w:pPr>
      <w:widowControl w:val="0"/>
      <w:autoSpaceDE w:val="0"/>
      <w:autoSpaceDN w:val="0"/>
      <w:spacing w:before="0" w:after="0" w:line="240" w:lineRule="auto"/>
    </w:pPr>
    <w:rPr>
      <w:rFonts w:ascii="Times New Roman" w:eastAsia="Times New Roman" w:hAnsi="Times New Roman" w:cs="Times New Roman"/>
      <w:bCs/>
      <w:iCs/>
      <w:color w:val="auto"/>
      <w:spacing w:val="-6"/>
      <w:sz w:val="16"/>
      <w:szCs w:val="16"/>
    </w:rPr>
  </w:style>
  <w:style w:type="paragraph" w:customStyle="1" w:styleId="NormalCalistoMT">
    <w:name w:val="Normal + Calisto MT"/>
    <w:aliases w:val="8 pt,Right"/>
    <w:basedOn w:val="Normal"/>
    <w:rsid w:val="00C32CBD"/>
    <w:pPr>
      <w:framePr w:hSpace="180" w:wrap="around" w:vAnchor="text" w:hAnchor="margin" w:y="1"/>
      <w:spacing w:before="0" w:after="0" w:line="260" w:lineRule="atLeast"/>
      <w:ind w:right="212"/>
      <w:suppressOverlap/>
      <w:jc w:val="right"/>
    </w:pPr>
    <w:rPr>
      <w:rFonts w:ascii="Calisto MT" w:eastAsia="Times New Roman" w:hAnsi="Calisto MT" w:cs="Times New Roman"/>
      <w:color w:val="auto"/>
      <w:sz w:val="16"/>
      <w:szCs w:val="20"/>
      <w:lang w:val="en-AU"/>
    </w:rPr>
  </w:style>
  <w:style w:type="paragraph" w:customStyle="1" w:styleId="ReferenceText">
    <w:name w:val="Reference Text"/>
    <w:basedOn w:val="Normal"/>
    <w:link w:val="ReferenceTextChar"/>
    <w:autoRedefine/>
    <w:qFormat/>
    <w:rsid w:val="00C32CBD"/>
    <w:pPr>
      <w:spacing w:before="0" w:after="80" w:line="260" w:lineRule="atLeast"/>
      <w:ind w:left="142"/>
    </w:pPr>
    <w:rPr>
      <w:rFonts w:eastAsia="Times New Roman" w:cs="Times New Roman"/>
      <w:color w:val="auto"/>
      <w:sz w:val="18"/>
      <w:szCs w:val="20"/>
      <w:lang w:val="en-AU" w:eastAsia="en-AU"/>
    </w:rPr>
  </w:style>
  <w:style w:type="paragraph" w:customStyle="1" w:styleId="NotesHeading-Level1">
    <w:name w:val="Notes Heading - Level 1"/>
    <w:basedOn w:val="Normal"/>
    <w:qFormat/>
    <w:rsid w:val="00C32CBD"/>
    <w:pPr>
      <w:numPr>
        <w:numId w:val="21"/>
      </w:numPr>
      <w:tabs>
        <w:tab w:val="clear" w:pos="10491"/>
        <w:tab w:val="num" w:pos="851"/>
      </w:tabs>
      <w:spacing w:before="0" w:after="0" w:line="260" w:lineRule="atLeast"/>
      <w:ind w:left="1134" w:right="607"/>
      <w:outlineLvl w:val="0"/>
    </w:pPr>
    <w:rPr>
      <w:rFonts w:eastAsia="Times New Roman" w:cs="Times New Roman"/>
      <w:b/>
      <w:color w:val="auto"/>
      <w:szCs w:val="20"/>
      <w:lang w:val="en-AU"/>
    </w:rPr>
  </w:style>
  <w:style w:type="paragraph" w:customStyle="1" w:styleId="NotesHeading-Level2">
    <w:name w:val="Notes Heading - Level 2"/>
    <w:basedOn w:val="NotesHeading-Level1"/>
    <w:rsid w:val="00C32CBD"/>
    <w:pPr>
      <w:framePr w:hSpace="180" w:wrap="around" w:vAnchor="text" w:hAnchor="margin" w:y="1"/>
      <w:numPr>
        <w:ilvl w:val="1"/>
      </w:numPr>
      <w:suppressOverlap/>
    </w:pPr>
    <w:rPr>
      <w:sz w:val="18"/>
    </w:rPr>
  </w:style>
  <w:style w:type="character" w:customStyle="1" w:styleId="StatementNameChar">
    <w:name w:val="Statement Name Char"/>
    <w:basedOn w:val="DefaultParagraphFont"/>
    <w:link w:val="StatementName"/>
    <w:rsid w:val="00C32CBD"/>
    <w:rPr>
      <w:rFonts w:ascii="Arial" w:eastAsia="Times New Roman" w:hAnsi="Arial" w:cs="Arial"/>
      <w:b/>
      <w:lang w:val="en-AU"/>
    </w:rPr>
  </w:style>
  <w:style w:type="numbering" w:customStyle="1" w:styleId="CurrentList1">
    <w:name w:val="Current List1"/>
    <w:rsid w:val="00C32CBD"/>
    <w:pPr>
      <w:numPr>
        <w:numId w:val="22"/>
      </w:numPr>
    </w:pPr>
  </w:style>
  <w:style w:type="numbering" w:customStyle="1" w:styleId="Style2">
    <w:name w:val="Style2"/>
    <w:rsid w:val="00C32CBD"/>
    <w:pPr>
      <w:numPr>
        <w:numId w:val="23"/>
      </w:numPr>
    </w:pPr>
  </w:style>
  <w:style w:type="numbering" w:customStyle="1" w:styleId="CurrentList2">
    <w:name w:val="Current List2"/>
    <w:rsid w:val="00C32CBD"/>
    <w:pPr>
      <w:numPr>
        <w:numId w:val="24"/>
      </w:numPr>
    </w:pPr>
  </w:style>
  <w:style w:type="character" w:customStyle="1" w:styleId="ReferenceTextChar">
    <w:name w:val="Reference Text Char"/>
    <w:basedOn w:val="DefaultParagraphFont"/>
    <w:link w:val="ReferenceText"/>
    <w:rsid w:val="00C32CBD"/>
    <w:rPr>
      <w:rFonts w:ascii="Arial" w:eastAsia="Times New Roman" w:hAnsi="Arial" w:cs="Times New Roman"/>
      <w:sz w:val="18"/>
      <w:szCs w:val="20"/>
      <w:lang w:val="en-AU" w:eastAsia="en-AU"/>
    </w:rPr>
  </w:style>
  <w:style w:type="paragraph" w:customStyle="1" w:styleId="StatementHeading">
    <w:name w:val="Statement Heading"/>
    <w:basedOn w:val="Normal"/>
    <w:rsid w:val="00C32CBD"/>
    <w:pPr>
      <w:spacing w:before="0" w:after="0" w:line="260" w:lineRule="atLeast"/>
    </w:pPr>
    <w:rPr>
      <w:rFonts w:eastAsia="Times New Roman" w:cs="Times New Roman"/>
      <w:b/>
      <w:color w:val="auto"/>
      <w:sz w:val="24"/>
      <w:szCs w:val="20"/>
      <w:lang w:val="en-AU"/>
    </w:rPr>
  </w:style>
  <w:style w:type="table" w:customStyle="1" w:styleId="TableGrid1">
    <w:name w:val="Table Grid1"/>
    <w:basedOn w:val="TableNormal"/>
    <w:next w:val="TableGrid"/>
    <w:rsid w:val="00C32CBD"/>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eyShadeTableBreak">
    <w:name w:val="Grey Shade Table Break"/>
    <w:basedOn w:val="Normal"/>
    <w:qFormat/>
    <w:rsid w:val="00C32CBD"/>
    <w:pPr>
      <w:shd w:val="clear" w:color="auto" w:fill="161514" w:themeFill="background1" w:themeFillShade="D9"/>
      <w:tabs>
        <w:tab w:val="left" w:pos="9214"/>
      </w:tabs>
      <w:spacing w:before="0" w:after="0" w:line="260" w:lineRule="atLeast"/>
      <w:ind w:right="607"/>
    </w:pPr>
    <w:rPr>
      <w:rFonts w:ascii="Times New Roman" w:eastAsia="Times New Roman" w:hAnsi="Times New Roman" w:cs="Times New Roman"/>
      <w:color w:val="auto"/>
      <w:sz w:val="22"/>
      <w:szCs w:val="20"/>
      <w:lang w:val="en-AU"/>
    </w:rPr>
  </w:style>
  <w:style w:type="paragraph" w:customStyle="1" w:styleId="GreyShadeTableBreaknon-Standard">
    <w:name w:val="Grey Shade Table Break non-Standard"/>
    <w:qFormat/>
    <w:rsid w:val="00C32CBD"/>
    <w:pPr>
      <w:shd w:val="clear" w:color="auto" w:fill="161514" w:themeFill="background1" w:themeFillShade="D9"/>
      <w:ind w:right="57"/>
    </w:pPr>
    <w:rPr>
      <w:rFonts w:ascii="Times New Roman" w:eastAsia="Times New Roman" w:hAnsi="Times New Roman" w:cs="Times New Roman"/>
      <w:sz w:val="22"/>
      <w:szCs w:val="20"/>
      <w:lang w:val="en-AU"/>
    </w:rPr>
  </w:style>
  <w:style w:type="character" w:styleId="Hyperlink">
    <w:name w:val="Hyperlink"/>
    <w:basedOn w:val="DefaultParagraphFont"/>
    <w:uiPriority w:val="99"/>
    <w:unhideWhenUsed/>
    <w:rsid w:val="00C32CBD"/>
    <w:rPr>
      <w:color w:val="6B2976" w:themeColor="hyperlink"/>
      <w:u w:val="single"/>
    </w:rPr>
  </w:style>
  <w:style w:type="paragraph" w:customStyle="1" w:styleId="ReferenceTextLetter">
    <w:name w:val="Reference Text Letter"/>
    <w:basedOn w:val="ReferenceText"/>
    <w:rsid w:val="00C32CBD"/>
    <w:pPr>
      <w:spacing w:line="240" w:lineRule="auto"/>
      <w:ind w:left="567" w:right="567"/>
    </w:pPr>
    <w:rPr>
      <w:rFonts w:cs="Arial"/>
      <w:szCs w:val="18"/>
    </w:rPr>
  </w:style>
  <w:style w:type="paragraph" w:customStyle="1" w:styleId="StyleNotesHeaderLeftLeft-008cm">
    <w:name w:val="Style Notes Header + Left Left:  -0.08 cm"/>
    <w:basedOn w:val="Normal"/>
    <w:rsid w:val="00C32CBD"/>
    <w:pPr>
      <w:numPr>
        <w:ilvl w:val="1"/>
        <w:numId w:val="25"/>
      </w:numPr>
      <w:spacing w:before="180" w:after="60" w:line="240" w:lineRule="auto"/>
    </w:pPr>
    <w:rPr>
      <w:rFonts w:eastAsia="Times New Roman" w:cs="Times New Roman"/>
      <w:b/>
      <w:bCs/>
      <w:color w:val="auto"/>
      <w:sz w:val="18"/>
      <w:szCs w:val="20"/>
      <w:lang w:val="en-AU"/>
    </w:rPr>
  </w:style>
  <w:style w:type="paragraph" w:customStyle="1" w:styleId="NotesText">
    <w:name w:val="Notes Text"/>
    <w:basedOn w:val="ReferenceText"/>
    <w:rsid w:val="00C32CBD"/>
    <w:pPr>
      <w:spacing w:before="100" w:after="100" w:line="240" w:lineRule="auto"/>
    </w:pPr>
  </w:style>
  <w:style w:type="paragraph" w:customStyle="1" w:styleId="Default">
    <w:name w:val="Default"/>
    <w:rsid w:val="00C32CBD"/>
    <w:pPr>
      <w:autoSpaceDE w:val="0"/>
      <w:autoSpaceDN w:val="0"/>
      <w:adjustRightInd w:val="0"/>
    </w:pPr>
    <w:rPr>
      <w:rFonts w:ascii="Times New Roman" w:hAnsi="Times New Roman" w:cs="Times New Roman"/>
      <w:color w:val="000000"/>
      <w:lang w:val="en-AU"/>
    </w:rPr>
  </w:style>
  <w:style w:type="table" w:customStyle="1" w:styleId="LightShading1">
    <w:name w:val="Light Shading1"/>
    <w:basedOn w:val="TableNormal"/>
    <w:uiPriority w:val="60"/>
    <w:rsid w:val="00C32CBD"/>
    <w:rPr>
      <w:color w:val="7EFFFF" w:themeColor="text1" w:themeShade="BF"/>
      <w:sz w:val="22"/>
      <w:szCs w:val="22"/>
      <w:lang w:val="en-AU"/>
    </w:rPr>
    <w:tblPr>
      <w:tblStyleRowBandSize w:val="1"/>
      <w:tblStyleColBandSize w:val="1"/>
      <w:tblBorders>
        <w:top w:val="single" w:sz="8" w:space="0" w:color="FEFFFF" w:themeColor="text1"/>
        <w:bottom w:val="single" w:sz="8" w:space="0" w:color="FEFFFF" w:themeColor="text1"/>
      </w:tblBorders>
    </w:tblPr>
    <w:tblStylePr w:type="firstRow">
      <w:pPr>
        <w:spacing w:before="0" w:after="0" w:line="240" w:lineRule="auto"/>
      </w:pPr>
      <w:rPr>
        <w:b/>
        <w:bCs/>
      </w:rPr>
      <w:tblPr/>
      <w:tcPr>
        <w:tcBorders>
          <w:top w:val="single" w:sz="8" w:space="0" w:color="FEFFFF" w:themeColor="text1"/>
          <w:left w:val="nil"/>
          <w:bottom w:val="single" w:sz="8" w:space="0" w:color="FEFFFF" w:themeColor="text1"/>
          <w:right w:val="nil"/>
          <w:insideH w:val="nil"/>
          <w:insideV w:val="nil"/>
        </w:tcBorders>
      </w:tcPr>
    </w:tblStylePr>
    <w:tblStylePr w:type="lastRow">
      <w:pPr>
        <w:spacing w:before="0" w:after="0" w:line="240" w:lineRule="auto"/>
      </w:pPr>
      <w:rPr>
        <w:b/>
        <w:bCs/>
      </w:rPr>
      <w:tblPr/>
      <w:tcPr>
        <w:tcBorders>
          <w:top w:val="single" w:sz="8" w:space="0" w:color="FEFFFF" w:themeColor="text1"/>
          <w:left w:val="nil"/>
          <w:bottom w:val="single" w:sz="8" w:space="0" w:color="FEFFF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FFF" w:themeFill="text1" w:themeFillTint="3F"/>
      </w:tcPr>
    </w:tblStylePr>
    <w:tblStylePr w:type="band1Horz">
      <w:tblPr/>
      <w:tcPr>
        <w:tcBorders>
          <w:left w:val="nil"/>
          <w:right w:val="nil"/>
          <w:insideH w:val="nil"/>
          <w:insideV w:val="nil"/>
        </w:tcBorders>
        <w:shd w:val="clear" w:color="auto" w:fill="FEFFFF" w:themeFill="text1" w:themeFillTint="3F"/>
      </w:tcPr>
    </w:tblStylePr>
  </w:style>
  <w:style w:type="table" w:customStyle="1" w:styleId="TableGrid2">
    <w:name w:val="Table Grid2"/>
    <w:basedOn w:val="TableNormal"/>
    <w:next w:val="TableGrid"/>
    <w:uiPriority w:val="59"/>
    <w:rsid w:val="00C32CBD"/>
    <w:rPr>
      <w:rFonts w:eastAsiaTheme="minorEastAsia"/>
      <w:sz w:val="22"/>
      <w:szCs w:val="22"/>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uiPriority w:val="33"/>
    <w:qFormat/>
    <w:rsid w:val="00C32CBD"/>
    <w:rPr>
      <w:i/>
      <w:iCs/>
      <w:smallCaps/>
      <w:spacing w:val="5"/>
    </w:rPr>
  </w:style>
  <w:style w:type="paragraph" w:styleId="Revision">
    <w:name w:val="Revision"/>
    <w:hidden/>
    <w:uiPriority w:val="99"/>
    <w:semiHidden/>
    <w:rsid w:val="00C32CBD"/>
    <w:rPr>
      <w:rFonts w:ascii="Times New Roman" w:eastAsia="Times New Roman" w:hAnsi="Times New Roman" w:cs="Times New Roman"/>
      <w:sz w:val="22"/>
      <w:szCs w:val="20"/>
      <w:lang w:val="en-AU"/>
    </w:rPr>
  </w:style>
  <w:style w:type="paragraph" w:styleId="NormalWeb">
    <w:name w:val="Normal (Web)"/>
    <w:basedOn w:val="Normal"/>
    <w:uiPriority w:val="99"/>
    <w:unhideWhenUsed/>
    <w:rsid w:val="00C32CBD"/>
    <w:pPr>
      <w:spacing w:before="100" w:beforeAutospacing="1" w:after="100" w:afterAutospacing="1" w:line="240" w:lineRule="auto"/>
    </w:pPr>
    <w:rPr>
      <w:rFonts w:ascii="Times New Roman" w:eastAsiaTheme="minorEastAsia" w:hAnsi="Times New Roman" w:cs="Times New Roman"/>
      <w:color w:val="auto"/>
      <w:sz w:val="24"/>
      <w:lang w:val="en-AU" w:eastAsia="en-AU"/>
    </w:rPr>
  </w:style>
  <w:style w:type="paragraph" w:customStyle="1" w:styleId="PolicytextDept">
    <w:name w:val="Policy text Dept"/>
    <w:basedOn w:val="Normal"/>
    <w:link w:val="PolicytextDeptChar"/>
    <w:qFormat/>
    <w:rsid w:val="00C32CBD"/>
    <w:pPr>
      <w:pBdr>
        <w:top w:val="single" w:sz="4" w:space="1" w:color="009560"/>
        <w:left w:val="single" w:sz="4" w:space="0" w:color="009560"/>
        <w:bottom w:val="single" w:sz="4" w:space="1" w:color="009560"/>
        <w:right w:val="single" w:sz="4" w:space="0" w:color="009560"/>
      </w:pBdr>
      <w:spacing w:before="0" w:line="120" w:lineRule="atLeast"/>
    </w:pPr>
    <w:rPr>
      <w:rFonts w:eastAsia="Times New Roman" w:cs="Arial"/>
      <w:bCs/>
      <w:color w:val="auto"/>
      <w:sz w:val="18"/>
      <w:szCs w:val="18"/>
      <w:lang w:val="en-AU"/>
    </w:rPr>
  </w:style>
  <w:style w:type="character" w:customStyle="1" w:styleId="PolicytextDeptChar">
    <w:name w:val="Policy text Dept Char"/>
    <w:basedOn w:val="DefaultParagraphFont"/>
    <w:link w:val="PolicytextDept"/>
    <w:rsid w:val="00C32CBD"/>
    <w:rPr>
      <w:rFonts w:ascii="Arial" w:eastAsia="Times New Roman" w:hAnsi="Arial" w:cs="Arial"/>
      <w:bCs/>
      <w:sz w:val="18"/>
      <w:szCs w:val="18"/>
      <w:lang w:val="en-AU"/>
    </w:rPr>
  </w:style>
  <w:style w:type="paragraph" w:customStyle="1" w:styleId="PolicyheadingDept">
    <w:name w:val="Policy heading Dept"/>
    <w:basedOn w:val="PolicytextDept"/>
    <w:qFormat/>
    <w:rsid w:val="00C32CBD"/>
    <w:rPr>
      <w:b/>
    </w:rPr>
  </w:style>
  <w:style w:type="paragraph" w:customStyle="1" w:styleId="SectionHeading">
    <w:name w:val="Section Heading"/>
    <w:basedOn w:val="Normal"/>
    <w:link w:val="SectionHeadingChar"/>
    <w:qFormat/>
    <w:rsid w:val="00C32CBD"/>
    <w:pPr>
      <w:numPr>
        <w:numId w:val="27"/>
      </w:numPr>
      <w:shd w:val="clear" w:color="00CC99" w:fill="009560"/>
      <w:spacing w:before="0" w:after="0" w:line="260" w:lineRule="atLeast"/>
      <w:outlineLvl w:val="0"/>
    </w:pPr>
    <w:rPr>
      <w:rFonts w:ascii="Arial Bold" w:eastAsia="Times New Roman" w:hAnsi="Arial Bold" w:cs="Times New Roman"/>
      <w:b/>
      <w:sz w:val="24"/>
      <w:szCs w:val="20"/>
      <w:lang w:val="en-AU"/>
    </w:rPr>
  </w:style>
  <w:style w:type="character" w:customStyle="1" w:styleId="SectionHeadingChar">
    <w:name w:val="Section Heading Char"/>
    <w:basedOn w:val="DefaultParagraphFont"/>
    <w:link w:val="SectionHeading"/>
    <w:rsid w:val="00C32CBD"/>
    <w:rPr>
      <w:rFonts w:ascii="Arial Bold" w:eastAsia="Times New Roman" w:hAnsi="Arial Bold" w:cs="Times New Roman"/>
      <w:b/>
      <w:color w:val="1A1918" w:themeColor="background1"/>
      <w:szCs w:val="20"/>
      <w:shd w:val="clear" w:color="00CC99" w:fill="009560"/>
      <w:lang w:val="en-AU"/>
    </w:rPr>
  </w:style>
  <w:style w:type="paragraph" w:customStyle="1" w:styleId="SubHeading">
    <w:name w:val="Sub Heading"/>
    <w:basedOn w:val="SectionHeading"/>
    <w:link w:val="SubHeadingChar"/>
    <w:qFormat/>
    <w:rsid w:val="00C32CBD"/>
    <w:pPr>
      <w:numPr>
        <w:ilvl w:val="1"/>
        <w:numId w:val="28"/>
      </w:numPr>
      <w:shd w:val="clear" w:color="auto" w:fill="FEFFFF" w:themeFill="text1"/>
      <w:ind w:left="360"/>
      <w:outlineLvl w:val="1"/>
    </w:pPr>
    <w:rPr>
      <w:rFonts w:ascii="Arial" w:hAnsi="Arial" w:cs="Arial"/>
      <w:sz w:val="20"/>
    </w:rPr>
  </w:style>
  <w:style w:type="paragraph" w:customStyle="1" w:styleId="SectionHeadingDescription">
    <w:name w:val="Section Heading Description"/>
    <w:basedOn w:val="SectionHeading"/>
    <w:next w:val="SubHeading"/>
    <w:qFormat/>
    <w:rsid w:val="00C32CBD"/>
    <w:pPr>
      <w:numPr>
        <w:numId w:val="0"/>
      </w:numPr>
      <w:outlineLvl w:val="9"/>
    </w:pPr>
    <w:rPr>
      <w:rFonts w:ascii="Arial" w:hAnsi="Arial"/>
      <w:b w:val="0"/>
      <w:sz w:val="18"/>
      <w:szCs w:val="18"/>
    </w:rPr>
  </w:style>
  <w:style w:type="character" w:customStyle="1" w:styleId="SubHeadingChar">
    <w:name w:val="Sub Heading Char"/>
    <w:basedOn w:val="DefaultParagraphFont"/>
    <w:link w:val="SubHeading"/>
    <w:rsid w:val="00C32CBD"/>
    <w:rPr>
      <w:rFonts w:ascii="Arial" w:eastAsia="Times New Roman" w:hAnsi="Arial" w:cs="Arial"/>
      <w:b/>
      <w:color w:val="1A1918" w:themeColor="background1"/>
      <w:sz w:val="20"/>
      <w:szCs w:val="20"/>
      <w:shd w:val="clear" w:color="auto" w:fill="FEFFFF" w:themeFill="text1"/>
      <w:lang w:val="en-AU"/>
    </w:rPr>
  </w:style>
  <w:style w:type="paragraph" w:customStyle="1" w:styleId="AccountingPolicy-Departmental">
    <w:name w:val="Accounting Policy - Departmental"/>
    <w:basedOn w:val="Normal"/>
    <w:qFormat/>
    <w:rsid w:val="00C32CBD"/>
    <w:pPr>
      <w:pBdr>
        <w:top w:val="single" w:sz="4" w:space="1" w:color="009560"/>
        <w:left w:val="single" w:sz="4" w:space="4" w:color="009560"/>
        <w:bottom w:val="single" w:sz="4" w:space="1" w:color="009560"/>
        <w:right w:val="single" w:sz="4" w:space="4" w:color="009560"/>
      </w:pBdr>
      <w:spacing w:before="0" w:after="20" w:line="260" w:lineRule="atLeast"/>
      <w:ind w:left="85" w:right="142"/>
      <w:outlineLvl w:val="0"/>
    </w:pPr>
    <w:rPr>
      <w:rFonts w:eastAsia="Times New Roman" w:cs="Helvetica"/>
      <w:color w:val="auto"/>
      <w:sz w:val="18"/>
      <w:szCs w:val="18"/>
      <w:lang w:val="en-AU"/>
    </w:rPr>
  </w:style>
  <w:style w:type="paragraph" w:styleId="TOCHeading">
    <w:name w:val="TOC Heading"/>
    <w:basedOn w:val="Heading1"/>
    <w:next w:val="Normal"/>
    <w:uiPriority w:val="39"/>
    <w:unhideWhenUsed/>
    <w:qFormat/>
    <w:rsid w:val="00C32CBD"/>
    <w:pPr>
      <w:pageBreakBefore w:val="0"/>
      <w:spacing w:after="0" w:line="259" w:lineRule="auto"/>
      <w:outlineLvl w:val="9"/>
    </w:pPr>
    <w:rPr>
      <w:rFonts w:asciiTheme="majorHAnsi" w:hAnsiTheme="majorHAnsi"/>
      <w:b w:val="0"/>
      <w:bCs w:val="0"/>
      <w:color w:val="67962D" w:themeColor="accent1" w:themeShade="BF"/>
      <w:sz w:val="32"/>
    </w:rPr>
  </w:style>
  <w:style w:type="character" w:styleId="FollowedHyperlink">
    <w:name w:val="FollowedHyperlink"/>
    <w:basedOn w:val="DefaultParagraphFont"/>
    <w:uiPriority w:val="99"/>
    <w:semiHidden/>
    <w:unhideWhenUsed/>
    <w:rsid w:val="00C32CBD"/>
    <w:rPr>
      <w:color w:val="00595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NDIS Annual Report FY17">
      <a:dk1>
        <a:srgbClr val="FEFFFF"/>
      </a:dk1>
      <a:lt1>
        <a:srgbClr val="1A1918"/>
      </a:lt1>
      <a:dk2>
        <a:srgbClr val="EBE8E2"/>
      </a:dk2>
      <a:lt2>
        <a:srgbClr val="6B2976"/>
      </a:lt2>
      <a:accent1>
        <a:srgbClr val="8AC640"/>
      </a:accent1>
      <a:accent2>
        <a:srgbClr val="FAA21B"/>
      </a:accent2>
      <a:accent3>
        <a:srgbClr val="AC1F2D"/>
      </a:accent3>
      <a:accent4>
        <a:srgbClr val="F36C23"/>
      </a:accent4>
      <a:accent5>
        <a:srgbClr val="005950"/>
      </a:accent5>
      <a:accent6>
        <a:srgbClr val="00964C"/>
      </a:accent6>
      <a:hlink>
        <a:srgbClr val="6B2976"/>
      </a:hlink>
      <a:folHlink>
        <a:srgbClr val="0059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35D00-F82D-4E0E-9A4B-EB5672FF6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138</Pages>
  <Words>50252</Words>
  <Characters>286437</Characters>
  <Application>Microsoft Office Word</Application>
  <DocSecurity>4</DocSecurity>
  <Lines>2386</Lines>
  <Paragraphs>672</Paragraphs>
  <ScaleCrop>false</ScaleCrop>
  <HeadingPairs>
    <vt:vector size="2" baseType="variant">
      <vt:variant>
        <vt:lpstr>Title</vt:lpstr>
      </vt:variant>
      <vt:variant>
        <vt:i4>1</vt:i4>
      </vt:variant>
    </vt:vector>
  </HeadingPairs>
  <TitlesOfParts>
    <vt:vector size="1" baseType="lpstr">
      <vt:lpstr>Annual Report 2016-2017</vt:lpstr>
    </vt:vector>
  </TitlesOfParts>
  <Manager/>
  <Company/>
  <LinksUpToDate>false</LinksUpToDate>
  <CharactersWithSpaces>336017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2016-2017</dc:title>
  <dc:subject/>
  <dc:creator>NDIS</dc:creator>
  <cp:keywords/>
  <dc:description/>
  <cp:lastModifiedBy>Romain, Bel</cp:lastModifiedBy>
  <cp:revision>2</cp:revision>
  <dcterms:created xsi:type="dcterms:W3CDTF">2017-10-24T03:56:00Z</dcterms:created>
  <dcterms:modified xsi:type="dcterms:W3CDTF">2017-10-24T03:56:00Z</dcterms:modified>
  <cp:category/>
</cp:coreProperties>
</file>