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1098337"/>
    <w:p w14:paraId="5FAFFFD3" w14:textId="77777777" w:rsidR="00827017" w:rsidRPr="005F20F5" w:rsidRDefault="00827017" w:rsidP="00827017">
      <w:pPr>
        <w:sectPr w:rsidR="00827017" w:rsidRPr="005F20F5" w:rsidSect="00872AF9">
          <w:headerReference w:type="default" r:id="rId11"/>
          <w:footerReference w:type="default" r:id="rId12"/>
          <w:footerReference w:type="first" r:id="rId13"/>
          <w:pgSz w:w="11907" w:h="16839" w:code="9"/>
          <w:pgMar w:top="1440" w:right="1440" w:bottom="1440" w:left="1440" w:header="709" w:footer="709" w:gutter="0"/>
          <w:cols w:space="708"/>
          <w:titlePg/>
          <w:docGrid w:linePitch="360"/>
        </w:sectPr>
      </w:pPr>
      <w:r w:rsidRPr="005F20F5">
        <w:rPr>
          <w:noProof/>
          <w:sz w:val="44"/>
          <w:lang w:eastAsia="en-AU"/>
        </w:rPr>
        <mc:AlternateContent>
          <mc:Choice Requires="wps">
            <w:drawing>
              <wp:inline distT="0" distB="0" distL="0" distR="0" wp14:anchorId="09B95CB9" wp14:editId="2726EB6B">
                <wp:extent cx="5760000" cy="7683592"/>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683592"/>
                        </a:xfrm>
                        <a:prstGeom prst="rect">
                          <a:avLst/>
                        </a:prstGeom>
                        <a:solidFill>
                          <a:schemeClr val="bg2"/>
                        </a:solidFill>
                        <a:ln w="9525" cap="rnd">
                          <a:solidFill>
                            <a:srgbClr val="000000"/>
                          </a:solidFill>
                          <a:round/>
                          <a:headEnd/>
                          <a:tailEnd/>
                        </a:ln>
                        <a:effectLst>
                          <a:softEdge rad="31750"/>
                        </a:effectLst>
                      </wps:spPr>
                      <wps:txbx>
                        <w:txbxContent>
                          <w:p w14:paraId="734E3C83" w14:textId="77777777" w:rsidR="009C7771" w:rsidRPr="00EC73BF" w:rsidRDefault="009C7771" w:rsidP="00827017"/>
                          <w:p w14:paraId="1B745B5D" w14:textId="77777777" w:rsidR="009C7771" w:rsidRDefault="009C7771" w:rsidP="00827017"/>
                          <w:p w14:paraId="59E1B64E" w14:textId="77777777" w:rsidR="009C7771" w:rsidRDefault="009C7771" w:rsidP="00827017"/>
                          <w:p w14:paraId="431BBF07" w14:textId="77777777" w:rsidR="009C7771" w:rsidRPr="00827017" w:rsidRDefault="009C7771" w:rsidP="00827017">
                            <w:pPr>
                              <w:jc w:val="center"/>
                              <w:rPr>
                                <w:b/>
                                <w:color w:val="FEFFFF" w:themeColor="background1"/>
                                <w:sz w:val="32"/>
                                <w:szCs w:val="32"/>
                              </w:rPr>
                            </w:pPr>
                            <w:r w:rsidRPr="00827017">
                              <w:rPr>
                                <w:b/>
                                <w:color w:val="FEFFFF" w:themeColor="background1"/>
                                <w:sz w:val="32"/>
                                <w:szCs w:val="32"/>
                              </w:rPr>
                              <w:t>National Disability Insurance Scheme</w:t>
                            </w:r>
                          </w:p>
                          <w:p w14:paraId="1A7C5094" w14:textId="77777777" w:rsidR="009C7771" w:rsidRDefault="009C7771" w:rsidP="00827017">
                            <w:pPr>
                              <w:jc w:val="center"/>
                              <w:rPr>
                                <w:b/>
                                <w:color w:val="FEFFFF" w:themeColor="background1"/>
                              </w:rPr>
                            </w:pPr>
                          </w:p>
                          <w:p w14:paraId="2E2BF9DC" w14:textId="77777777" w:rsidR="009C7771" w:rsidRDefault="009C7771" w:rsidP="00827017">
                            <w:pPr>
                              <w:jc w:val="center"/>
                              <w:rPr>
                                <w:b/>
                                <w:color w:val="FEFFFF" w:themeColor="background1"/>
                              </w:rPr>
                            </w:pPr>
                          </w:p>
                          <w:p w14:paraId="681D3A52" w14:textId="77777777" w:rsidR="009C7771" w:rsidRDefault="009C7771" w:rsidP="00827017">
                            <w:pPr>
                              <w:jc w:val="center"/>
                              <w:rPr>
                                <w:b/>
                                <w:color w:val="FEFFFF" w:themeColor="background1"/>
                              </w:rPr>
                            </w:pPr>
                          </w:p>
                          <w:p w14:paraId="44534DFB" w14:textId="77777777" w:rsidR="009C7771" w:rsidRDefault="009C7771" w:rsidP="00827017">
                            <w:pPr>
                              <w:jc w:val="center"/>
                              <w:rPr>
                                <w:b/>
                                <w:color w:val="FEFFFF" w:themeColor="background1"/>
                              </w:rPr>
                            </w:pPr>
                          </w:p>
                          <w:p w14:paraId="4AE36921" w14:textId="77777777" w:rsidR="009C7771" w:rsidRPr="005E5772" w:rsidRDefault="009C7771" w:rsidP="00827017">
                            <w:pPr>
                              <w:jc w:val="center"/>
                              <w:rPr>
                                <w:b/>
                                <w:color w:val="FEFFFF" w:themeColor="background1"/>
                              </w:rPr>
                            </w:pPr>
                          </w:p>
                          <w:p w14:paraId="1144F3C1" w14:textId="77777777" w:rsidR="009C7771" w:rsidRDefault="009C7771" w:rsidP="00827017">
                            <w:pPr>
                              <w:jc w:val="center"/>
                              <w:rPr>
                                <w:b/>
                                <w:color w:val="FEFFFF" w:themeColor="background1"/>
                                <w:sz w:val="48"/>
                                <w:szCs w:val="48"/>
                              </w:rPr>
                            </w:pPr>
                            <w:r>
                              <w:rPr>
                                <w:b/>
                                <w:color w:val="FEFFFF" w:themeColor="background1"/>
                                <w:sz w:val="48"/>
                                <w:szCs w:val="48"/>
                              </w:rPr>
                              <w:t>2021-22</w:t>
                            </w:r>
                          </w:p>
                          <w:p w14:paraId="1D47E1A5" w14:textId="77777777" w:rsidR="009C7771" w:rsidRPr="00827017" w:rsidRDefault="009C7771" w:rsidP="003F2371">
                            <w:pPr>
                              <w:jc w:val="center"/>
                              <w:rPr>
                                <w:b/>
                                <w:color w:val="FEFFFF" w:themeColor="background1"/>
                                <w:sz w:val="48"/>
                                <w:szCs w:val="48"/>
                              </w:rPr>
                            </w:pPr>
                            <w:r>
                              <w:rPr>
                                <w:b/>
                                <w:color w:val="FEFFFF" w:themeColor="background1"/>
                                <w:sz w:val="48"/>
                                <w:szCs w:val="48"/>
                              </w:rPr>
                              <w:t xml:space="preserve">Annual Pricing </w:t>
                            </w:r>
                            <w:r w:rsidRPr="00827017">
                              <w:rPr>
                                <w:b/>
                                <w:color w:val="FEFFFF" w:themeColor="background1"/>
                                <w:sz w:val="48"/>
                                <w:szCs w:val="48"/>
                              </w:rPr>
                              <w:t xml:space="preserve">Review </w:t>
                            </w:r>
                          </w:p>
                          <w:p w14:paraId="69A84910" w14:textId="77777777" w:rsidR="009C7771" w:rsidRPr="005E5772" w:rsidRDefault="009C7771" w:rsidP="00827017">
                            <w:pPr>
                              <w:jc w:val="center"/>
                              <w:rPr>
                                <w:b/>
                                <w:color w:val="FEFFFF" w:themeColor="background1"/>
                                <w:sz w:val="40"/>
                                <w:szCs w:val="56"/>
                              </w:rPr>
                            </w:pPr>
                          </w:p>
                          <w:p w14:paraId="7807C7A5" w14:textId="77777777" w:rsidR="009C7771" w:rsidRPr="005E5772" w:rsidRDefault="009C7771" w:rsidP="00827017">
                            <w:pPr>
                              <w:jc w:val="center"/>
                              <w:rPr>
                                <w:b/>
                                <w:color w:val="FEFFFF" w:themeColor="background1"/>
                                <w:sz w:val="40"/>
                                <w:szCs w:val="56"/>
                              </w:rPr>
                            </w:pPr>
                          </w:p>
                          <w:p w14:paraId="5D83072A" w14:textId="77777777" w:rsidR="009C7771" w:rsidRPr="005E5772" w:rsidRDefault="009C7771" w:rsidP="00827017">
                            <w:pPr>
                              <w:jc w:val="center"/>
                              <w:rPr>
                                <w:b/>
                                <w:color w:val="FEFFFF" w:themeColor="background1"/>
                                <w:sz w:val="36"/>
                                <w:szCs w:val="36"/>
                              </w:rPr>
                            </w:pPr>
                            <w:r>
                              <w:rPr>
                                <w:b/>
                                <w:color w:val="FEFFFF" w:themeColor="background1"/>
                                <w:sz w:val="36"/>
                                <w:szCs w:val="36"/>
                              </w:rPr>
                              <w:t>Consultation Paper</w:t>
                            </w:r>
                          </w:p>
                          <w:p w14:paraId="06B6CAC6" w14:textId="77777777" w:rsidR="009C7771" w:rsidRPr="005E5772" w:rsidRDefault="009C7771" w:rsidP="00827017">
                            <w:pPr>
                              <w:spacing w:before="3000"/>
                              <w:jc w:val="center"/>
                              <w:rPr>
                                <w:b/>
                                <w:color w:val="FEFFFF" w:themeColor="background1"/>
                                <w:sz w:val="28"/>
                                <w:szCs w:val="28"/>
                              </w:rPr>
                            </w:pPr>
                            <w:r>
                              <w:rPr>
                                <w:b/>
                                <w:color w:val="FEFFFF" w:themeColor="background1"/>
                                <w:sz w:val="36"/>
                                <w:szCs w:val="36"/>
                              </w:rPr>
                              <w:t>October</w:t>
                            </w:r>
                            <w:r w:rsidRPr="005E5772">
                              <w:rPr>
                                <w:b/>
                                <w:color w:val="FEFFFF" w:themeColor="background1"/>
                                <w:sz w:val="36"/>
                                <w:szCs w:val="36"/>
                              </w:rPr>
                              <w:t xml:space="preserve"> 2021</w:t>
                            </w:r>
                          </w:p>
                        </w:txbxContent>
                      </wps:txbx>
                      <wps:bodyPr rot="0" vert="horz" wrap="square" lIns="91440" tIns="45720" rIns="91440" bIns="45720" anchor="t" anchorCtr="0">
                        <a:noAutofit/>
                      </wps:bodyPr>
                    </wps:wsp>
                  </a:graphicData>
                </a:graphic>
              </wp:inline>
            </w:drawing>
          </mc:Choice>
          <mc:Fallback>
            <w:pict>
              <v:shapetype w14:anchorId="09B95CB9" id="_x0000_t202" coordsize="21600,21600" o:spt="202" path="m,l,21600r21600,l21600,xe">
                <v:stroke joinstyle="miter"/>
                <v:path gradientshapeok="t" o:connecttype="rect"/>
              </v:shapetype>
              <v:shape id="Text Box 2" o:spid="_x0000_s1026" type="#_x0000_t202" style="width:453.5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" fillcolor="#6b2976 [3214]">
                <v:stroke joinstyle="round" endcap="round"/>
                <v:textbox>
                  <w:txbxContent>
                    <w:p w14:paraId="734E3C83" w14:textId="77777777" w:rsidR="009C7771" w:rsidRPr="00EC73BF" w:rsidRDefault="009C7771" w:rsidP="00827017"/>
                    <w:p w14:paraId="1B745B5D" w14:textId="77777777" w:rsidR="009C7771" w:rsidRDefault="009C7771" w:rsidP="00827017"/>
                    <w:p w14:paraId="59E1B64E" w14:textId="77777777" w:rsidR="009C7771" w:rsidRDefault="009C7771" w:rsidP="00827017"/>
                    <w:p w14:paraId="431BBF07" w14:textId="77777777" w:rsidR="009C7771" w:rsidRPr="00827017" w:rsidRDefault="009C7771" w:rsidP="00827017">
                      <w:pPr>
                        <w:jc w:val="center"/>
                        <w:rPr>
                          <w:b/>
                          <w:color w:val="FEFFFF" w:themeColor="background1"/>
                          <w:sz w:val="32"/>
                          <w:szCs w:val="32"/>
                        </w:rPr>
                      </w:pPr>
                      <w:r w:rsidRPr="00827017">
                        <w:rPr>
                          <w:b/>
                          <w:color w:val="FEFFFF" w:themeColor="background1"/>
                          <w:sz w:val="32"/>
                          <w:szCs w:val="32"/>
                        </w:rPr>
                        <w:t>National Disability Insurance Scheme</w:t>
                      </w:r>
                    </w:p>
                    <w:p w14:paraId="1A7C5094" w14:textId="77777777" w:rsidR="009C7771" w:rsidRDefault="009C7771" w:rsidP="00827017">
                      <w:pPr>
                        <w:jc w:val="center"/>
                        <w:rPr>
                          <w:b/>
                          <w:color w:val="FEFFFF" w:themeColor="background1"/>
                        </w:rPr>
                      </w:pPr>
                    </w:p>
                    <w:p w14:paraId="2E2BF9DC" w14:textId="77777777" w:rsidR="009C7771" w:rsidRDefault="009C7771" w:rsidP="00827017">
                      <w:pPr>
                        <w:jc w:val="center"/>
                        <w:rPr>
                          <w:b/>
                          <w:color w:val="FEFFFF" w:themeColor="background1"/>
                        </w:rPr>
                      </w:pPr>
                    </w:p>
                    <w:p w14:paraId="681D3A52" w14:textId="77777777" w:rsidR="009C7771" w:rsidRDefault="009C7771" w:rsidP="00827017">
                      <w:pPr>
                        <w:jc w:val="center"/>
                        <w:rPr>
                          <w:b/>
                          <w:color w:val="FEFFFF" w:themeColor="background1"/>
                        </w:rPr>
                      </w:pPr>
                    </w:p>
                    <w:p w14:paraId="44534DFB" w14:textId="77777777" w:rsidR="009C7771" w:rsidRDefault="009C7771" w:rsidP="00827017">
                      <w:pPr>
                        <w:jc w:val="center"/>
                        <w:rPr>
                          <w:b/>
                          <w:color w:val="FEFFFF" w:themeColor="background1"/>
                        </w:rPr>
                      </w:pPr>
                    </w:p>
                    <w:p w14:paraId="4AE36921" w14:textId="77777777" w:rsidR="009C7771" w:rsidRPr="005E5772" w:rsidRDefault="009C7771" w:rsidP="00827017">
                      <w:pPr>
                        <w:jc w:val="center"/>
                        <w:rPr>
                          <w:b/>
                          <w:color w:val="FEFFFF" w:themeColor="background1"/>
                        </w:rPr>
                      </w:pPr>
                    </w:p>
                    <w:p w14:paraId="1144F3C1" w14:textId="77777777" w:rsidR="009C7771" w:rsidRDefault="009C7771" w:rsidP="00827017">
                      <w:pPr>
                        <w:jc w:val="center"/>
                        <w:rPr>
                          <w:b/>
                          <w:color w:val="FEFFFF" w:themeColor="background1"/>
                          <w:sz w:val="48"/>
                          <w:szCs w:val="48"/>
                        </w:rPr>
                      </w:pPr>
                      <w:r>
                        <w:rPr>
                          <w:b/>
                          <w:color w:val="FEFFFF" w:themeColor="background1"/>
                          <w:sz w:val="48"/>
                          <w:szCs w:val="48"/>
                        </w:rPr>
                        <w:t>2021-22</w:t>
                      </w:r>
                    </w:p>
                    <w:p w14:paraId="1D47E1A5" w14:textId="77777777" w:rsidR="009C7771" w:rsidRPr="00827017" w:rsidRDefault="009C7771" w:rsidP="003F2371">
                      <w:pPr>
                        <w:jc w:val="center"/>
                        <w:rPr>
                          <w:b/>
                          <w:color w:val="FEFFFF" w:themeColor="background1"/>
                          <w:sz w:val="48"/>
                          <w:szCs w:val="48"/>
                        </w:rPr>
                      </w:pPr>
                      <w:r>
                        <w:rPr>
                          <w:b/>
                          <w:color w:val="FEFFFF" w:themeColor="background1"/>
                          <w:sz w:val="48"/>
                          <w:szCs w:val="48"/>
                        </w:rPr>
                        <w:t xml:space="preserve">Annual Pricing </w:t>
                      </w:r>
                      <w:r w:rsidRPr="00827017">
                        <w:rPr>
                          <w:b/>
                          <w:color w:val="FEFFFF" w:themeColor="background1"/>
                          <w:sz w:val="48"/>
                          <w:szCs w:val="48"/>
                        </w:rPr>
                        <w:t xml:space="preserve">Review </w:t>
                      </w:r>
                    </w:p>
                    <w:p w14:paraId="69A84910" w14:textId="77777777" w:rsidR="009C7771" w:rsidRPr="005E5772" w:rsidRDefault="009C7771" w:rsidP="00827017">
                      <w:pPr>
                        <w:jc w:val="center"/>
                        <w:rPr>
                          <w:b/>
                          <w:color w:val="FEFFFF" w:themeColor="background1"/>
                          <w:sz w:val="40"/>
                          <w:szCs w:val="56"/>
                        </w:rPr>
                      </w:pPr>
                    </w:p>
                    <w:p w14:paraId="7807C7A5" w14:textId="77777777" w:rsidR="009C7771" w:rsidRPr="005E5772" w:rsidRDefault="009C7771" w:rsidP="00827017">
                      <w:pPr>
                        <w:jc w:val="center"/>
                        <w:rPr>
                          <w:b/>
                          <w:color w:val="FEFFFF" w:themeColor="background1"/>
                          <w:sz w:val="40"/>
                          <w:szCs w:val="56"/>
                        </w:rPr>
                      </w:pPr>
                    </w:p>
                    <w:p w14:paraId="5D83072A" w14:textId="77777777" w:rsidR="009C7771" w:rsidRPr="005E5772" w:rsidRDefault="009C7771" w:rsidP="00827017">
                      <w:pPr>
                        <w:jc w:val="center"/>
                        <w:rPr>
                          <w:b/>
                          <w:color w:val="FEFFFF" w:themeColor="background1"/>
                          <w:sz w:val="36"/>
                          <w:szCs w:val="36"/>
                        </w:rPr>
                      </w:pPr>
                      <w:r>
                        <w:rPr>
                          <w:b/>
                          <w:color w:val="FEFFFF" w:themeColor="background1"/>
                          <w:sz w:val="36"/>
                          <w:szCs w:val="36"/>
                        </w:rPr>
                        <w:t>Consultation Paper</w:t>
                      </w:r>
                    </w:p>
                    <w:p w14:paraId="06B6CAC6" w14:textId="77777777" w:rsidR="009C7771" w:rsidRPr="005E5772" w:rsidRDefault="009C7771" w:rsidP="00827017">
                      <w:pPr>
                        <w:spacing w:before="3000"/>
                        <w:jc w:val="center"/>
                        <w:rPr>
                          <w:b/>
                          <w:color w:val="FEFFFF" w:themeColor="background1"/>
                          <w:sz w:val="28"/>
                          <w:szCs w:val="28"/>
                        </w:rPr>
                      </w:pPr>
                      <w:r>
                        <w:rPr>
                          <w:b/>
                          <w:color w:val="FEFFFF" w:themeColor="background1"/>
                          <w:sz w:val="36"/>
                          <w:szCs w:val="36"/>
                        </w:rPr>
                        <w:t>October</w:t>
                      </w:r>
                      <w:r w:rsidRPr="005E5772">
                        <w:rPr>
                          <w:b/>
                          <w:color w:val="FEFFFF" w:themeColor="background1"/>
                          <w:sz w:val="36"/>
                          <w:szCs w:val="36"/>
                        </w:rPr>
                        <w:t xml:space="preserve"> 2021</w:t>
                      </w:r>
                    </w:p>
                  </w:txbxContent>
                </v:textbox>
                <w10:anchorlock/>
              </v:shape>
            </w:pict>
          </mc:Fallback>
        </mc:AlternateContent>
      </w:r>
      <w:r w:rsidRPr="005F20F5">
        <w:br w:type="page"/>
      </w:r>
    </w:p>
    <w:p w14:paraId="7DF62454" w14:textId="77777777" w:rsidR="00911CC2" w:rsidRPr="005F20F5" w:rsidRDefault="00911CC2" w:rsidP="00911CC2">
      <w:pPr>
        <w:rPr>
          <w:b/>
        </w:rPr>
      </w:pPr>
      <w:r w:rsidRPr="005F20F5">
        <w:rPr>
          <w:b/>
        </w:rPr>
        <w:lastRenderedPageBreak/>
        <w:t>Copyright</w:t>
      </w:r>
    </w:p>
    <w:p w14:paraId="66DCB32F" w14:textId="77777777" w:rsidR="00FB7819" w:rsidRPr="005F20F5" w:rsidRDefault="00FB7819" w:rsidP="00911CC2">
      <w:r w:rsidRPr="005F20F5">
        <w:t>© 2021</w:t>
      </w:r>
    </w:p>
    <w:p w14:paraId="3BD2F7E7" w14:textId="77777777" w:rsidR="00911CC2" w:rsidRPr="005F20F5" w:rsidRDefault="00911CC2" w:rsidP="00911CC2">
      <w:r w:rsidRPr="005F20F5">
        <w:t>Copyright of the information contained in this document is owned and protected by the National Disability Insurance Scheme Launch Transition Agency (National Disability Insurance Agency).</w:t>
      </w:r>
    </w:p>
    <w:p w14:paraId="277D2CFD" w14:textId="77777777" w:rsidR="00911CC2" w:rsidRPr="005F20F5" w:rsidRDefault="00911CC2" w:rsidP="00911CC2"/>
    <w:p w14:paraId="0833B81C" w14:textId="77777777" w:rsidR="00911CC2" w:rsidRPr="005F20F5" w:rsidRDefault="00911CC2" w:rsidP="00911CC2">
      <w:pPr>
        <w:rPr>
          <w:b/>
        </w:rPr>
      </w:pPr>
      <w:r w:rsidRPr="005F20F5">
        <w:rPr>
          <w:b/>
        </w:rPr>
        <w:t>Use of National Disability Insurance Agency copyright material</w:t>
      </w:r>
    </w:p>
    <w:p w14:paraId="432AC79D" w14:textId="5DE80381" w:rsidR="00911CC2" w:rsidRPr="005F20F5" w:rsidRDefault="00911CC2" w:rsidP="00911CC2">
      <w:r w:rsidRPr="005F20F5">
        <w:t>The material in this report, with the exception of logos, trademarks, third party material and other content as specified, is licensed under Creative Commons CC NC licence, version</w:t>
      </w:r>
      <w:r w:rsidR="004D39F3">
        <w:t xml:space="preserve"> </w:t>
      </w:r>
      <w:hyperlink r:id="rId14" w:history="1">
        <w:r w:rsidR="000F4F21" w:rsidRPr="005F20F5">
          <w:rPr>
            <w:rStyle w:val="Hyperlink"/>
          </w:rPr>
          <w:t>4.0</w:t>
        </w:r>
      </w:hyperlink>
      <w:r w:rsidRPr="005F20F5">
        <w:t>. With the exception of logos, trademarks, third party material and other content as specified, you may reproduce the material in this document, provided you acknowledge the National Disability Insurance Agency as the owner of all intellectual property rights in the reproduced material by using ‘© National Disability Insurance Sche</w:t>
      </w:r>
      <w:r w:rsidR="00FB7819" w:rsidRPr="005F20F5">
        <w:t>me Launch Transition Agency 2021</w:t>
      </w:r>
      <w:r w:rsidRPr="005F20F5">
        <w:t>’ and do not use the material for commercial purposes.</w:t>
      </w:r>
    </w:p>
    <w:p w14:paraId="5B38A9C6" w14:textId="77777777" w:rsidR="00911CC2" w:rsidRPr="005F20F5" w:rsidRDefault="00911CC2" w:rsidP="00911CC2">
      <w:r w:rsidRPr="005F20F5">
        <w:t>Reproduction of any Creative Commons material in this document is subject to the CC NC licence conditions available on the Creative Commons site, as is the full legal code for this material.</w:t>
      </w:r>
    </w:p>
    <w:p w14:paraId="27D605AB" w14:textId="77777777" w:rsidR="00911CC2" w:rsidRPr="005F20F5" w:rsidRDefault="00911CC2" w:rsidP="00911CC2"/>
    <w:p w14:paraId="58A44ACF" w14:textId="77777777" w:rsidR="00911CC2" w:rsidRPr="005F20F5" w:rsidRDefault="00911CC2" w:rsidP="00911CC2">
      <w:pPr>
        <w:rPr>
          <w:b/>
        </w:rPr>
      </w:pPr>
      <w:r w:rsidRPr="005F20F5">
        <w:rPr>
          <w:b/>
        </w:rPr>
        <w:t>Terms that we use</w:t>
      </w:r>
    </w:p>
    <w:tbl>
      <w:tblPr>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911CC2" w:rsidRPr="005F20F5" w14:paraId="361C4200" w14:textId="77777777" w:rsidTr="001B1D0F">
        <w:trPr>
          <w:tblHeader/>
        </w:trPr>
        <w:tc>
          <w:tcPr>
            <w:tcW w:w="2122" w:type="dxa"/>
          </w:tcPr>
          <w:p w14:paraId="31D6D14D" w14:textId="77777777" w:rsidR="00911CC2" w:rsidRPr="005F20F5" w:rsidRDefault="00911CC2" w:rsidP="001B1D0F">
            <w:r w:rsidRPr="005F20F5">
              <w:t>NDIA</w:t>
            </w:r>
          </w:p>
        </w:tc>
        <w:tc>
          <w:tcPr>
            <w:tcW w:w="6894" w:type="dxa"/>
          </w:tcPr>
          <w:p w14:paraId="1928323E" w14:textId="77777777" w:rsidR="00911CC2" w:rsidRPr="005F20F5" w:rsidRDefault="00911CC2" w:rsidP="001B1D0F">
            <w:r w:rsidRPr="005F20F5">
              <w:t>National Disability Insurance Agency</w:t>
            </w:r>
          </w:p>
        </w:tc>
      </w:tr>
      <w:tr w:rsidR="00911CC2" w:rsidRPr="005F20F5" w14:paraId="546AB9F6" w14:textId="77777777" w:rsidTr="001B1D0F">
        <w:tc>
          <w:tcPr>
            <w:tcW w:w="2122" w:type="dxa"/>
          </w:tcPr>
          <w:p w14:paraId="751CCCCB" w14:textId="77777777" w:rsidR="00911CC2" w:rsidRPr="005F20F5" w:rsidRDefault="00911CC2" w:rsidP="001B1D0F">
            <w:r w:rsidRPr="005F20F5">
              <w:t>NDIS, Scheme</w:t>
            </w:r>
          </w:p>
        </w:tc>
        <w:tc>
          <w:tcPr>
            <w:tcW w:w="6894" w:type="dxa"/>
          </w:tcPr>
          <w:p w14:paraId="6CE97CEE" w14:textId="77777777" w:rsidR="00911CC2" w:rsidRPr="005F20F5" w:rsidRDefault="00911CC2" w:rsidP="001B1D0F">
            <w:r w:rsidRPr="005F20F5">
              <w:t>National Disability Insurance Scheme</w:t>
            </w:r>
          </w:p>
        </w:tc>
      </w:tr>
      <w:tr w:rsidR="00911CC2" w:rsidRPr="005F20F5" w14:paraId="6079CFBB" w14:textId="77777777" w:rsidTr="001B1D0F">
        <w:tc>
          <w:tcPr>
            <w:tcW w:w="2122" w:type="dxa"/>
          </w:tcPr>
          <w:p w14:paraId="1D6CE3D1" w14:textId="77777777" w:rsidR="00911CC2" w:rsidRPr="005F20F5" w:rsidRDefault="00911CC2" w:rsidP="001B1D0F">
            <w:r w:rsidRPr="005F20F5">
              <w:t>NDIS Commission</w:t>
            </w:r>
          </w:p>
        </w:tc>
        <w:tc>
          <w:tcPr>
            <w:tcW w:w="6894" w:type="dxa"/>
          </w:tcPr>
          <w:p w14:paraId="756C8D68" w14:textId="77777777" w:rsidR="00911CC2" w:rsidRPr="005F20F5" w:rsidRDefault="00911CC2" w:rsidP="001B1D0F">
            <w:r w:rsidRPr="005F20F5">
              <w:t>National Disability Insurance Scheme Quality and Safeguards Commission</w:t>
            </w:r>
          </w:p>
        </w:tc>
      </w:tr>
    </w:tbl>
    <w:p w14:paraId="3C232A00" w14:textId="77777777" w:rsidR="00D77181" w:rsidRPr="005F20F5" w:rsidRDefault="00D77181" w:rsidP="00D77181"/>
    <w:p w14:paraId="2C0F1F83" w14:textId="77777777" w:rsidR="00D77181" w:rsidRPr="005F20F5" w:rsidRDefault="00D77181" w:rsidP="00D77181">
      <w:pPr>
        <w:rPr>
          <w:b/>
        </w:rPr>
      </w:pPr>
      <w:r w:rsidRPr="005F20F5">
        <w:rPr>
          <w:b/>
        </w:rPr>
        <w:t>Call for submissions</w:t>
      </w:r>
    </w:p>
    <w:p w14:paraId="5B38B270" w14:textId="77777777" w:rsidR="00D77181" w:rsidRPr="005F20F5" w:rsidRDefault="00D77181" w:rsidP="00D77181">
      <w:r w:rsidRPr="005F20F5">
        <w:t xml:space="preserve">This </w:t>
      </w:r>
      <w:r w:rsidR="00A52B74" w:rsidRPr="005F20F5">
        <w:t>Consultation</w:t>
      </w:r>
      <w:r w:rsidRPr="005F20F5">
        <w:t xml:space="preserve"> paper is intended to assist you to prepare a submission to the Annual Pricing Review. You do not need to comment on every issue raised in this paper and you are free to raise any other issues or ideas that are relevant to the terms of reference.</w:t>
      </w:r>
    </w:p>
    <w:p w14:paraId="29226854" w14:textId="77777777" w:rsidR="00D77181" w:rsidRPr="005F20F5" w:rsidRDefault="00D77181" w:rsidP="00D77181">
      <w:r w:rsidRPr="005F20F5">
        <w:t>Any information that you consider to be of a confidential nature should be clearly marked or identified as confidential. The NDIA will not disclose such confidential information to third parties, without first providing you with notice of its intention to d</w:t>
      </w:r>
      <w:bookmarkStart w:id="1" w:name="_GoBack"/>
      <w:bookmarkEnd w:id="1"/>
      <w:r w:rsidRPr="005F20F5">
        <w:t xml:space="preserve">o so, such as where it is compelled to do so by law. </w:t>
      </w:r>
    </w:p>
    <w:p w14:paraId="280918BD" w14:textId="73F7CEE0" w:rsidR="00D77181" w:rsidRPr="005F20F5" w:rsidRDefault="00D77181" w:rsidP="00D77181">
      <w:pPr>
        <w:rPr>
          <w:b/>
        </w:rPr>
      </w:pPr>
      <w:r w:rsidRPr="005F20F5">
        <w:rPr>
          <w:b/>
        </w:rPr>
        <w:t xml:space="preserve">Submissions on this </w:t>
      </w:r>
      <w:r w:rsidR="00C94854" w:rsidRPr="005F20F5">
        <w:rPr>
          <w:b/>
        </w:rPr>
        <w:t>Consultation Paper</w:t>
      </w:r>
      <w:r w:rsidRPr="005F20F5">
        <w:rPr>
          <w:b/>
        </w:rPr>
        <w:t xml:space="preserve"> can be lodg</w:t>
      </w:r>
      <w:r w:rsidR="00A52B74" w:rsidRPr="005F20F5">
        <w:rPr>
          <w:b/>
        </w:rPr>
        <w:t xml:space="preserve">ed via email to </w:t>
      </w:r>
      <w:hyperlink r:id="rId15" w:history="1">
        <w:r w:rsidR="00A52B74" w:rsidRPr="005F20F5">
          <w:rPr>
            <w:rStyle w:val="Hyperlink"/>
            <w:b/>
          </w:rPr>
          <w:t>apr@ndis.gov.au</w:t>
        </w:r>
      </w:hyperlink>
      <w:r w:rsidRPr="005F20F5">
        <w:rPr>
          <w:b/>
        </w:rPr>
        <w:t xml:space="preserve">. </w:t>
      </w:r>
    </w:p>
    <w:p w14:paraId="0006C34F" w14:textId="77777777" w:rsidR="00D77181" w:rsidRPr="005F20F5" w:rsidRDefault="00D77181" w:rsidP="00D77181">
      <w:pPr>
        <w:rPr>
          <w:b/>
        </w:rPr>
      </w:pPr>
      <w:r w:rsidRPr="005F20F5">
        <w:rPr>
          <w:b/>
        </w:rPr>
        <w:t>Submissions must be lodged by midnight AWST Sunday 28 November 2021.</w:t>
      </w:r>
    </w:p>
    <w:p w14:paraId="1E7F6D77" w14:textId="77777777" w:rsidR="00D77181" w:rsidRPr="005F20F5" w:rsidRDefault="00D77181" w:rsidP="00D77181"/>
    <w:p w14:paraId="199737D0" w14:textId="77777777" w:rsidR="00D77181" w:rsidRPr="005F20F5" w:rsidRDefault="00D77181" w:rsidP="005C411B">
      <w:pPr>
        <w:spacing w:after="0"/>
        <w:rPr>
          <w:b/>
          <w:color w:val="6B2976" w:themeColor="background2"/>
          <w:sz w:val="36"/>
          <w:szCs w:val="36"/>
        </w:rPr>
        <w:sectPr w:rsidR="00D77181" w:rsidRPr="005F20F5" w:rsidSect="00872AF9">
          <w:headerReference w:type="first" r:id="rId16"/>
          <w:footerReference w:type="first" r:id="rId17"/>
          <w:pgSz w:w="11907" w:h="16839" w:code="9"/>
          <w:pgMar w:top="1440" w:right="1440" w:bottom="1440" w:left="1440" w:header="709" w:footer="709" w:gutter="0"/>
          <w:cols w:space="708"/>
          <w:titlePg/>
          <w:docGrid w:linePitch="360"/>
        </w:sectPr>
      </w:pPr>
    </w:p>
    <w:p w14:paraId="5944F5E9" w14:textId="77777777" w:rsidR="007219F1" w:rsidRPr="005F20F5" w:rsidRDefault="00B13C2B" w:rsidP="005C411B">
      <w:pPr>
        <w:spacing w:after="0"/>
        <w:rPr>
          <w:b/>
          <w:color w:val="6B2976" w:themeColor="background2"/>
          <w:sz w:val="36"/>
          <w:szCs w:val="36"/>
        </w:rPr>
      </w:pPr>
      <w:r w:rsidRPr="005F20F5">
        <w:rPr>
          <w:b/>
          <w:color w:val="6B2976" w:themeColor="background2"/>
          <w:sz w:val="36"/>
          <w:szCs w:val="36"/>
        </w:rPr>
        <w:lastRenderedPageBreak/>
        <w:t xml:space="preserve">Table of </w:t>
      </w:r>
      <w:r w:rsidR="007219F1" w:rsidRPr="005F20F5">
        <w:rPr>
          <w:b/>
          <w:color w:val="6B2976" w:themeColor="background2"/>
          <w:sz w:val="36"/>
          <w:szCs w:val="36"/>
        </w:rPr>
        <w:t>Contents</w:t>
      </w:r>
      <w:bookmarkEnd w:id="0"/>
    </w:p>
    <w:p w14:paraId="28484A8B" w14:textId="1F34AC0B" w:rsidR="004D39F3" w:rsidRDefault="00A33F5B">
      <w:pPr>
        <w:pStyle w:val="TOC1"/>
        <w:rPr>
          <w:rFonts w:asciiTheme="minorHAnsi" w:hAnsiTheme="minorHAnsi"/>
          <w:b w:val="0"/>
          <w:szCs w:val="22"/>
          <w:lang w:eastAsia="en-AU"/>
        </w:rPr>
      </w:pPr>
      <w:r w:rsidRPr="005F20F5">
        <w:rPr>
          <w:bCs/>
        </w:rPr>
        <w:fldChar w:fldCharType="begin"/>
      </w:r>
      <w:r w:rsidR="002810D1" w:rsidRPr="005F20F5">
        <w:instrText xml:space="preserve"> TOC \o "1-3</w:instrText>
      </w:r>
      <w:r w:rsidRPr="005F20F5">
        <w:instrText xml:space="preserve">" \h \z \u </w:instrText>
      </w:r>
      <w:r w:rsidRPr="005F20F5">
        <w:rPr>
          <w:bCs/>
        </w:rPr>
        <w:fldChar w:fldCharType="separate"/>
      </w:r>
      <w:hyperlink w:anchor="_Toc85097229" w:history="1">
        <w:r w:rsidR="004D39F3" w:rsidRPr="00702C4F">
          <w:rPr>
            <w:rStyle w:val="Hyperlink"/>
          </w:rPr>
          <w:t>1</w:t>
        </w:r>
        <w:r w:rsidR="004D39F3">
          <w:rPr>
            <w:rFonts w:asciiTheme="minorHAnsi" w:hAnsiTheme="minorHAnsi"/>
            <w:b w:val="0"/>
            <w:szCs w:val="22"/>
            <w:lang w:eastAsia="en-AU"/>
          </w:rPr>
          <w:tab/>
        </w:r>
        <w:r w:rsidR="004D39F3" w:rsidRPr="00702C4F">
          <w:rPr>
            <w:rStyle w:val="Hyperlink"/>
          </w:rPr>
          <w:t>Introduction</w:t>
        </w:r>
        <w:r w:rsidR="004D39F3">
          <w:rPr>
            <w:webHidden/>
          </w:rPr>
          <w:tab/>
        </w:r>
        <w:r w:rsidR="004D39F3">
          <w:rPr>
            <w:webHidden/>
          </w:rPr>
          <w:fldChar w:fldCharType="begin"/>
        </w:r>
        <w:r w:rsidR="004D39F3">
          <w:rPr>
            <w:webHidden/>
          </w:rPr>
          <w:instrText xml:space="preserve"> PAGEREF _Toc85097229 \h </w:instrText>
        </w:r>
        <w:r w:rsidR="004D39F3">
          <w:rPr>
            <w:webHidden/>
          </w:rPr>
        </w:r>
        <w:r w:rsidR="004D39F3">
          <w:rPr>
            <w:webHidden/>
          </w:rPr>
          <w:fldChar w:fldCharType="separate"/>
        </w:r>
        <w:r w:rsidR="009D3AFE">
          <w:rPr>
            <w:webHidden/>
          </w:rPr>
          <w:t>5</w:t>
        </w:r>
        <w:r w:rsidR="004D39F3">
          <w:rPr>
            <w:webHidden/>
          </w:rPr>
          <w:fldChar w:fldCharType="end"/>
        </w:r>
      </w:hyperlink>
    </w:p>
    <w:p w14:paraId="78608564" w14:textId="079CB731" w:rsidR="004D39F3" w:rsidRDefault="004D39F3">
      <w:pPr>
        <w:pStyle w:val="TOC2"/>
        <w:rPr>
          <w:rFonts w:asciiTheme="minorHAnsi" w:hAnsiTheme="minorHAnsi"/>
          <w:szCs w:val="22"/>
          <w:lang w:eastAsia="en-AU"/>
        </w:rPr>
      </w:pPr>
      <w:hyperlink w:anchor="_Toc85097230" w:history="1">
        <w:r w:rsidRPr="00702C4F">
          <w:rPr>
            <w:rStyle w:val="Hyperlink"/>
          </w:rPr>
          <w:t>1.1</w:t>
        </w:r>
        <w:r>
          <w:rPr>
            <w:rFonts w:asciiTheme="minorHAnsi" w:hAnsiTheme="minorHAnsi"/>
            <w:szCs w:val="22"/>
            <w:lang w:eastAsia="en-AU"/>
          </w:rPr>
          <w:tab/>
        </w:r>
        <w:r w:rsidRPr="00702C4F">
          <w:rPr>
            <w:rStyle w:val="Hyperlink"/>
          </w:rPr>
          <w:t>Scope of the Review</w:t>
        </w:r>
        <w:r>
          <w:rPr>
            <w:webHidden/>
          </w:rPr>
          <w:tab/>
        </w:r>
        <w:r>
          <w:rPr>
            <w:webHidden/>
          </w:rPr>
          <w:fldChar w:fldCharType="begin"/>
        </w:r>
        <w:r>
          <w:rPr>
            <w:webHidden/>
          </w:rPr>
          <w:instrText xml:space="preserve"> PAGEREF _Toc85097230 \h </w:instrText>
        </w:r>
        <w:r>
          <w:rPr>
            <w:webHidden/>
          </w:rPr>
        </w:r>
        <w:r>
          <w:rPr>
            <w:webHidden/>
          </w:rPr>
          <w:fldChar w:fldCharType="separate"/>
        </w:r>
        <w:r w:rsidR="009D3AFE">
          <w:rPr>
            <w:webHidden/>
          </w:rPr>
          <w:t>7</w:t>
        </w:r>
        <w:r>
          <w:rPr>
            <w:webHidden/>
          </w:rPr>
          <w:fldChar w:fldCharType="end"/>
        </w:r>
      </w:hyperlink>
    </w:p>
    <w:p w14:paraId="29EA57CC" w14:textId="203F4DF1" w:rsidR="004D39F3" w:rsidRDefault="004D39F3">
      <w:pPr>
        <w:pStyle w:val="TOC2"/>
        <w:rPr>
          <w:rFonts w:asciiTheme="minorHAnsi" w:hAnsiTheme="minorHAnsi"/>
          <w:szCs w:val="22"/>
          <w:lang w:eastAsia="en-AU"/>
        </w:rPr>
      </w:pPr>
      <w:hyperlink w:anchor="_Toc85097231" w:history="1">
        <w:r w:rsidRPr="00702C4F">
          <w:rPr>
            <w:rStyle w:val="Hyperlink"/>
          </w:rPr>
          <w:t>1.2</w:t>
        </w:r>
        <w:r>
          <w:rPr>
            <w:rFonts w:asciiTheme="minorHAnsi" w:hAnsiTheme="minorHAnsi"/>
            <w:szCs w:val="22"/>
            <w:lang w:eastAsia="en-AU"/>
          </w:rPr>
          <w:tab/>
        </w:r>
        <w:r w:rsidRPr="00702C4F">
          <w:rPr>
            <w:rStyle w:val="Hyperlink"/>
          </w:rPr>
          <w:t>How you can contribute to this review</w:t>
        </w:r>
        <w:r>
          <w:rPr>
            <w:webHidden/>
          </w:rPr>
          <w:tab/>
        </w:r>
        <w:r>
          <w:rPr>
            <w:webHidden/>
          </w:rPr>
          <w:fldChar w:fldCharType="begin"/>
        </w:r>
        <w:r>
          <w:rPr>
            <w:webHidden/>
          </w:rPr>
          <w:instrText xml:space="preserve"> PAGEREF _Toc85097231 \h </w:instrText>
        </w:r>
        <w:r>
          <w:rPr>
            <w:webHidden/>
          </w:rPr>
        </w:r>
        <w:r>
          <w:rPr>
            <w:webHidden/>
          </w:rPr>
          <w:fldChar w:fldCharType="separate"/>
        </w:r>
        <w:r w:rsidR="009D3AFE">
          <w:rPr>
            <w:webHidden/>
          </w:rPr>
          <w:t>8</w:t>
        </w:r>
        <w:r>
          <w:rPr>
            <w:webHidden/>
          </w:rPr>
          <w:fldChar w:fldCharType="end"/>
        </w:r>
      </w:hyperlink>
    </w:p>
    <w:p w14:paraId="1E36FA5D" w14:textId="3F52F290" w:rsidR="004D39F3" w:rsidRDefault="004D39F3">
      <w:pPr>
        <w:pStyle w:val="TOC3"/>
        <w:rPr>
          <w:rFonts w:asciiTheme="minorHAnsi" w:hAnsiTheme="minorHAnsi"/>
          <w:noProof/>
          <w:szCs w:val="22"/>
          <w:lang w:eastAsia="en-AU"/>
        </w:rPr>
      </w:pPr>
      <w:hyperlink w:anchor="_Toc85097232" w:history="1">
        <w:r w:rsidRPr="00702C4F">
          <w:rPr>
            <w:rStyle w:val="Hyperlink"/>
            <w:noProof/>
          </w:rPr>
          <w:t>Consultation Paper</w:t>
        </w:r>
        <w:r>
          <w:rPr>
            <w:noProof/>
            <w:webHidden/>
          </w:rPr>
          <w:tab/>
        </w:r>
        <w:r>
          <w:rPr>
            <w:noProof/>
            <w:webHidden/>
          </w:rPr>
          <w:fldChar w:fldCharType="begin"/>
        </w:r>
        <w:r>
          <w:rPr>
            <w:noProof/>
            <w:webHidden/>
          </w:rPr>
          <w:instrText xml:space="preserve"> PAGEREF _Toc85097232 \h </w:instrText>
        </w:r>
        <w:r>
          <w:rPr>
            <w:noProof/>
            <w:webHidden/>
          </w:rPr>
        </w:r>
        <w:r>
          <w:rPr>
            <w:noProof/>
            <w:webHidden/>
          </w:rPr>
          <w:fldChar w:fldCharType="separate"/>
        </w:r>
        <w:r w:rsidR="009D3AFE">
          <w:rPr>
            <w:noProof/>
            <w:webHidden/>
          </w:rPr>
          <w:t>8</w:t>
        </w:r>
        <w:r>
          <w:rPr>
            <w:noProof/>
            <w:webHidden/>
          </w:rPr>
          <w:fldChar w:fldCharType="end"/>
        </w:r>
      </w:hyperlink>
    </w:p>
    <w:p w14:paraId="3E2F7FAD" w14:textId="16173D51" w:rsidR="004D39F3" w:rsidRDefault="004D39F3">
      <w:pPr>
        <w:pStyle w:val="TOC3"/>
        <w:rPr>
          <w:rFonts w:asciiTheme="minorHAnsi" w:hAnsiTheme="minorHAnsi"/>
          <w:noProof/>
          <w:szCs w:val="22"/>
          <w:lang w:eastAsia="en-AU"/>
        </w:rPr>
      </w:pPr>
      <w:hyperlink w:anchor="_Toc85097233" w:history="1">
        <w:r w:rsidRPr="00702C4F">
          <w:rPr>
            <w:rStyle w:val="Hyperlink"/>
            <w:noProof/>
          </w:rPr>
          <w:t>Working Groups with Participants and Providers</w:t>
        </w:r>
        <w:r>
          <w:rPr>
            <w:noProof/>
            <w:webHidden/>
          </w:rPr>
          <w:tab/>
        </w:r>
        <w:r>
          <w:rPr>
            <w:noProof/>
            <w:webHidden/>
          </w:rPr>
          <w:fldChar w:fldCharType="begin"/>
        </w:r>
        <w:r>
          <w:rPr>
            <w:noProof/>
            <w:webHidden/>
          </w:rPr>
          <w:instrText xml:space="preserve"> PAGEREF _Toc85097233 \h </w:instrText>
        </w:r>
        <w:r>
          <w:rPr>
            <w:noProof/>
            <w:webHidden/>
          </w:rPr>
        </w:r>
        <w:r>
          <w:rPr>
            <w:noProof/>
            <w:webHidden/>
          </w:rPr>
          <w:fldChar w:fldCharType="separate"/>
        </w:r>
        <w:r w:rsidR="009D3AFE">
          <w:rPr>
            <w:noProof/>
            <w:webHidden/>
          </w:rPr>
          <w:t>9</w:t>
        </w:r>
        <w:r>
          <w:rPr>
            <w:noProof/>
            <w:webHidden/>
          </w:rPr>
          <w:fldChar w:fldCharType="end"/>
        </w:r>
      </w:hyperlink>
    </w:p>
    <w:p w14:paraId="3F41EB09" w14:textId="27944355" w:rsidR="004D39F3" w:rsidRDefault="004D39F3">
      <w:pPr>
        <w:pStyle w:val="TOC3"/>
        <w:rPr>
          <w:rFonts w:asciiTheme="minorHAnsi" w:hAnsiTheme="minorHAnsi"/>
          <w:noProof/>
          <w:szCs w:val="22"/>
          <w:lang w:eastAsia="en-AU"/>
        </w:rPr>
      </w:pPr>
      <w:hyperlink w:anchor="_Toc85097234" w:history="1">
        <w:r w:rsidRPr="00702C4F">
          <w:rPr>
            <w:rStyle w:val="Hyperlink"/>
            <w:noProof/>
          </w:rPr>
          <w:t>Consultations with other parties</w:t>
        </w:r>
        <w:r>
          <w:rPr>
            <w:noProof/>
            <w:webHidden/>
          </w:rPr>
          <w:tab/>
        </w:r>
        <w:r>
          <w:rPr>
            <w:noProof/>
            <w:webHidden/>
          </w:rPr>
          <w:fldChar w:fldCharType="begin"/>
        </w:r>
        <w:r>
          <w:rPr>
            <w:noProof/>
            <w:webHidden/>
          </w:rPr>
          <w:instrText xml:space="preserve"> PAGEREF _Toc85097234 \h </w:instrText>
        </w:r>
        <w:r>
          <w:rPr>
            <w:noProof/>
            <w:webHidden/>
          </w:rPr>
        </w:r>
        <w:r>
          <w:rPr>
            <w:noProof/>
            <w:webHidden/>
          </w:rPr>
          <w:fldChar w:fldCharType="separate"/>
        </w:r>
        <w:r w:rsidR="009D3AFE">
          <w:rPr>
            <w:noProof/>
            <w:webHidden/>
          </w:rPr>
          <w:t>10</w:t>
        </w:r>
        <w:r>
          <w:rPr>
            <w:noProof/>
            <w:webHidden/>
          </w:rPr>
          <w:fldChar w:fldCharType="end"/>
        </w:r>
      </w:hyperlink>
    </w:p>
    <w:p w14:paraId="5EE29448" w14:textId="41A3AB0A" w:rsidR="004D39F3" w:rsidRDefault="004D39F3">
      <w:pPr>
        <w:pStyle w:val="TOC3"/>
        <w:rPr>
          <w:rFonts w:asciiTheme="minorHAnsi" w:hAnsiTheme="minorHAnsi"/>
          <w:noProof/>
          <w:szCs w:val="22"/>
          <w:lang w:eastAsia="en-AU"/>
        </w:rPr>
      </w:pPr>
      <w:hyperlink w:anchor="_Toc85097235" w:history="1">
        <w:r w:rsidRPr="00702C4F">
          <w:rPr>
            <w:rStyle w:val="Hyperlink"/>
            <w:noProof/>
          </w:rPr>
          <w:t>Further information</w:t>
        </w:r>
        <w:r>
          <w:rPr>
            <w:noProof/>
            <w:webHidden/>
          </w:rPr>
          <w:tab/>
        </w:r>
        <w:r>
          <w:rPr>
            <w:noProof/>
            <w:webHidden/>
          </w:rPr>
          <w:fldChar w:fldCharType="begin"/>
        </w:r>
        <w:r>
          <w:rPr>
            <w:noProof/>
            <w:webHidden/>
          </w:rPr>
          <w:instrText xml:space="preserve"> PAGEREF _Toc85097235 \h </w:instrText>
        </w:r>
        <w:r>
          <w:rPr>
            <w:noProof/>
            <w:webHidden/>
          </w:rPr>
        </w:r>
        <w:r>
          <w:rPr>
            <w:noProof/>
            <w:webHidden/>
          </w:rPr>
          <w:fldChar w:fldCharType="separate"/>
        </w:r>
        <w:r w:rsidR="009D3AFE">
          <w:rPr>
            <w:noProof/>
            <w:webHidden/>
          </w:rPr>
          <w:t>11</w:t>
        </w:r>
        <w:r>
          <w:rPr>
            <w:noProof/>
            <w:webHidden/>
          </w:rPr>
          <w:fldChar w:fldCharType="end"/>
        </w:r>
      </w:hyperlink>
    </w:p>
    <w:p w14:paraId="355F6A18" w14:textId="032C1891" w:rsidR="004D39F3" w:rsidRDefault="004D39F3">
      <w:pPr>
        <w:pStyle w:val="TOC1"/>
        <w:rPr>
          <w:rFonts w:asciiTheme="minorHAnsi" w:hAnsiTheme="minorHAnsi"/>
          <w:b w:val="0"/>
          <w:szCs w:val="22"/>
          <w:lang w:eastAsia="en-AU"/>
        </w:rPr>
      </w:pPr>
      <w:hyperlink w:anchor="_Toc85097236" w:history="1">
        <w:r w:rsidRPr="00702C4F">
          <w:rPr>
            <w:rStyle w:val="Hyperlink"/>
          </w:rPr>
          <w:t>2</w:t>
        </w:r>
        <w:r>
          <w:rPr>
            <w:rFonts w:asciiTheme="minorHAnsi" w:hAnsiTheme="minorHAnsi"/>
            <w:b w:val="0"/>
            <w:szCs w:val="22"/>
            <w:lang w:eastAsia="en-AU"/>
          </w:rPr>
          <w:tab/>
        </w:r>
        <w:r w:rsidRPr="00702C4F">
          <w:rPr>
            <w:rStyle w:val="Hyperlink"/>
          </w:rPr>
          <w:t>Pricing in the NDIS</w:t>
        </w:r>
        <w:r>
          <w:rPr>
            <w:webHidden/>
          </w:rPr>
          <w:tab/>
        </w:r>
        <w:r>
          <w:rPr>
            <w:webHidden/>
          </w:rPr>
          <w:fldChar w:fldCharType="begin"/>
        </w:r>
        <w:r>
          <w:rPr>
            <w:webHidden/>
          </w:rPr>
          <w:instrText xml:space="preserve"> PAGEREF _Toc85097236 \h </w:instrText>
        </w:r>
        <w:r>
          <w:rPr>
            <w:webHidden/>
          </w:rPr>
        </w:r>
        <w:r>
          <w:rPr>
            <w:webHidden/>
          </w:rPr>
          <w:fldChar w:fldCharType="separate"/>
        </w:r>
        <w:r w:rsidR="009D3AFE">
          <w:rPr>
            <w:webHidden/>
          </w:rPr>
          <w:t>12</w:t>
        </w:r>
        <w:r>
          <w:rPr>
            <w:webHidden/>
          </w:rPr>
          <w:fldChar w:fldCharType="end"/>
        </w:r>
      </w:hyperlink>
    </w:p>
    <w:p w14:paraId="2875EFB0" w14:textId="04B2C9B1" w:rsidR="004D39F3" w:rsidRDefault="004D39F3">
      <w:pPr>
        <w:pStyle w:val="TOC2"/>
        <w:rPr>
          <w:rFonts w:asciiTheme="minorHAnsi" w:hAnsiTheme="minorHAnsi"/>
          <w:szCs w:val="22"/>
          <w:lang w:eastAsia="en-AU"/>
        </w:rPr>
      </w:pPr>
      <w:hyperlink w:anchor="_Toc85097237" w:history="1">
        <w:r w:rsidRPr="00702C4F">
          <w:rPr>
            <w:rStyle w:val="Hyperlink"/>
          </w:rPr>
          <w:t>2.1</w:t>
        </w:r>
        <w:r>
          <w:rPr>
            <w:rFonts w:asciiTheme="minorHAnsi" w:hAnsiTheme="minorHAnsi"/>
            <w:szCs w:val="22"/>
            <w:lang w:eastAsia="en-AU"/>
          </w:rPr>
          <w:tab/>
        </w:r>
        <w:r w:rsidRPr="00702C4F">
          <w:rPr>
            <w:rStyle w:val="Hyperlink"/>
          </w:rPr>
          <w:t>How does the Scheme operate?</w:t>
        </w:r>
        <w:r>
          <w:rPr>
            <w:webHidden/>
          </w:rPr>
          <w:tab/>
        </w:r>
        <w:r>
          <w:rPr>
            <w:webHidden/>
          </w:rPr>
          <w:fldChar w:fldCharType="begin"/>
        </w:r>
        <w:r>
          <w:rPr>
            <w:webHidden/>
          </w:rPr>
          <w:instrText xml:space="preserve"> PAGEREF _Toc85097237 \h </w:instrText>
        </w:r>
        <w:r>
          <w:rPr>
            <w:webHidden/>
          </w:rPr>
        </w:r>
        <w:r>
          <w:rPr>
            <w:webHidden/>
          </w:rPr>
          <w:fldChar w:fldCharType="separate"/>
        </w:r>
        <w:r w:rsidR="009D3AFE">
          <w:rPr>
            <w:webHidden/>
          </w:rPr>
          <w:t>13</w:t>
        </w:r>
        <w:r>
          <w:rPr>
            <w:webHidden/>
          </w:rPr>
          <w:fldChar w:fldCharType="end"/>
        </w:r>
      </w:hyperlink>
    </w:p>
    <w:p w14:paraId="4F790C07" w14:textId="7303AEAD" w:rsidR="004D39F3" w:rsidRDefault="004D39F3">
      <w:pPr>
        <w:pStyle w:val="TOC2"/>
        <w:rPr>
          <w:rFonts w:asciiTheme="minorHAnsi" w:hAnsiTheme="minorHAnsi"/>
          <w:szCs w:val="22"/>
          <w:lang w:eastAsia="en-AU"/>
        </w:rPr>
      </w:pPr>
      <w:hyperlink w:anchor="_Toc85097238" w:history="1">
        <w:r w:rsidRPr="00702C4F">
          <w:rPr>
            <w:rStyle w:val="Hyperlink"/>
          </w:rPr>
          <w:t>2.2</w:t>
        </w:r>
        <w:r>
          <w:rPr>
            <w:rFonts w:asciiTheme="minorHAnsi" w:hAnsiTheme="minorHAnsi"/>
            <w:szCs w:val="22"/>
            <w:lang w:eastAsia="en-AU"/>
          </w:rPr>
          <w:tab/>
        </w:r>
        <w:r w:rsidRPr="00702C4F">
          <w:rPr>
            <w:rStyle w:val="Hyperlink"/>
          </w:rPr>
          <w:t>Why does the NDIA regulate prices?</w:t>
        </w:r>
        <w:r>
          <w:rPr>
            <w:webHidden/>
          </w:rPr>
          <w:tab/>
        </w:r>
        <w:r>
          <w:rPr>
            <w:webHidden/>
          </w:rPr>
          <w:fldChar w:fldCharType="begin"/>
        </w:r>
        <w:r>
          <w:rPr>
            <w:webHidden/>
          </w:rPr>
          <w:instrText xml:space="preserve"> PAGEREF _Toc85097238 \h </w:instrText>
        </w:r>
        <w:r>
          <w:rPr>
            <w:webHidden/>
          </w:rPr>
        </w:r>
        <w:r>
          <w:rPr>
            <w:webHidden/>
          </w:rPr>
          <w:fldChar w:fldCharType="separate"/>
        </w:r>
        <w:r w:rsidR="009D3AFE">
          <w:rPr>
            <w:webHidden/>
          </w:rPr>
          <w:t>14</w:t>
        </w:r>
        <w:r>
          <w:rPr>
            <w:webHidden/>
          </w:rPr>
          <w:fldChar w:fldCharType="end"/>
        </w:r>
      </w:hyperlink>
    </w:p>
    <w:p w14:paraId="71CF4141" w14:textId="12D50846" w:rsidR="004D39F3" w:rsidRDefault="004D39F3">
      <w:pPr>
        <w:pStyle w:val="TOC2"/>
        <w:rPr>
          <w:rFonts w:asciiTheme="minorHAnsi" w:hAnsiTheme="minorHAnsi"/>
          <w:szCs w:val="22"/>
          <w:lang w:eastAsia="en-AU"/>
        </w:rPr>
      </w:pPr>
      <w:hyperlink w:anchor="_Toc85097239" w:history="1">
        <w:r w:rsidRPr="00702C4F">
          <w:rPr>
            <w:rStyle w:val="Hyperlink"/>
          </w:rPr>
          <w:t>2.3</w:t>
        </w:r>
        <w:r>
          <w:rPr>
            <w:rFonts w:asciiTheme="minorHAnsi" w:hAnsiTheme="minorHAnsi"/>
            <w:szCs w:val="22"/>
            <w:lang w:eastAsia="en-AU"/>
          </w:rPr>
          <w:tab/>
        </w:r>
        <w:r w:rsidRPr="00702C4F">
          <w:rPr>
            <w:rStyle w:val="Hyperlink"/>
          </w:rPr>
          <w:t>How does the NDIA regulate prices?</w:t>
        </w:r>
        <w:r>
          <w:rPr>
            <w:webHidden/>
          </w:rPr>
          <w:tab/>
        </w:r>
        <w:r>
          <w:rPr>
            <w:webHidden/>
          </w:rPr>
          <w:fldChar w:fldCharType="begin"/>
        </w:r>
        <w:r>
          <w:rPr>
            <w:webHidden/>
          </w:rPr>
          <w:instrText xml:space="preserve"> PAGEREF _Toc85097239 \h </w:instrText>
        </w:r>
        <w:r>
          <w:rPr>
            <w:webHidden/>
          </w:rPr>
        </w:r>
        <w:r>
          <w:rPr>
            <w:webHidden/>
          </w:rPr>
          <w:fldChar w:fldCharType="separate"/>
        </w:r>
        <w:r w:rsidR="009D3AFE">
          <w:rPr>
            <w:webHidden/>
          </w:rPr>
          <w:t>15</w:t>
        </w:r>
        <w:r>
          <w:rPr>
            <w:webHidden/>
          </w:rPr>
          <w:fldChar w:fldCharType="end"/>
        </w:r>
      </w:hyperlink>
    </w:p>
    <w:p w14:paraId="37075D37" w14:textId="6D6E3C5D" w:rsidR="004D39F3" w:rsidRDefault="004D39F3">
      <w:pPr>
        <w:pStyle w:val="TOC2"/>
        <w:rPr>
          <w:rFonts w:asciiTheme="minorHAnsi" w:hAnsiTheme="minorHAnsi"/>
          <w:szCs w:val="22"/>
          <w:lang w:eastAsia="en-AU"/>
        </w:rPr>
      </w:pPr>
      <w:hyperlink w:anchor="_Toc85097240" w:history="1">
        <w:r w:rsidRPr="00702C4F">
          <w:rPr>
            <w:rStyle w:val="Hyperlink"/>
          </w:rPr>
          <w:t>2.4</w:t>
        </w:r>
        <w:r>
          <w:rPr>
            <w:rFonts w:asciiTheme="minorHAnsi" w:hAnsiTheme="minorHAnsi"/>
            <w:szCs w:val="22"/>
            <w:lang w:eastAsia="en-AU"/>
          </w:rPr>
          <w:tab/>
        </w:r>
        <w:r w:rsidRPr="00702C4F">
          <w:rPr>
            <w:rStyle w:val="Hyperlink"/>
          </w:rPr>
          <w:t>Price Regulation Framework</w:t>
        </w:r>
        <w:r>
          <w:rPr>
            <w:webHidden/>
          </w:rPr>
          <w:tab/>
        </w:r>
        <w:r>
          <w:rPr>
            <w:webHidden/>
          </w:rPr>
          <w:fldChar w:fldCharType="begin"/>
        </w:r>
        <w:r>
          <w:rPr>
            <w:webHidden/>
          </w:rPr>
          <w:instrText xml:space="preserve"> PAGEREF _Toc85097240 \h </w:instrText>
        </w:r>
        <w:r>
          <w:rPr>
            <w:webHidden/>
          </w:rPr>
        </w:r>
        <w:r>
          <w:rPr>
            <w:webHidden/>
          </w:rPr>
          <w:fldChar w:fldCharType="separate"/>
        </w:r>
        <w:r w:rsidR="009D3AFE">
          <w:rPr>
            <w:webHidden/>
          </w:rPr>
          <w:t>15</w:t>
        </w:r>
        <w:r>
          <w:rPr>
            <w:webHidden/>
          </w:rPr>
          <w:fldChar w:fldCharType="end"/>
        </w:r>
      </w:hyperlink>
    </w:p>
    <w:p w14:paraId="308FD189" w14:textId="01BC93C9" w:rsidR="004D39F3" w:rsidRDefault="004D39F3">
      <w:pPr>
        <w:pStyle w:val="TOC3"/>
        <w:rPr>
          <w:rFonts w:asciiTheme="minorHAnsi" w:hAnsiTheme="minorHAnsi"/>
          <w:noProof/>
          <w:szCs w:val="22"/>
          <w:lang w:eastAsia="en-AU"/>
        </w:rPr>
      </w:pPr>
      <w:hyperlink w:anchor="_Toc85097241" w:history="1">
        <w:r w:rsidRPr="00702C4F">
          <w:rPr>
            <w:rStyle w:val="Hyperlink"/>
            <w:noProof/>
          </w:rPr>
          <w:t>Characteristics of a well-functioning market</w:t>
        </w:r>
        <w:r>
          <w:rPr>
            <w:noProof/>
            <w:webHidden/>
          </w:rPr>
          <w:tab/>
        </w:r>
        <w:r>
          <w:rPr>
            <w:noProof/>
            <w:webHidden/>
          </w:rPr>
          <w:fldChar w:fldCharType="begin"/>
        </w:r>
        <w:r>
          <w:rPr>
            <w:noProof/>
            <w:webHidden/>
          </w:rPr>
          <w:instrText xml:space="preserve"> PAGEREF _Toc85097241 \h </w:instrText>
        </w:r>
        <w:r>
          <w:rPr>
            <w:noProof/>
            <w:webHidden/>
          </w:rPr>
        </w:r>
        <w:r>
          <w:rPr>
            <w:noProof/>
            <w:webHidden/>
          </w:rPr>
          <w:fldChar w:fldCharType="separate"/>
        </w:r>
        <w:r w:rsidR="009D3AFE">
          <w:rPr>
            <w:noProof/>
            <w:webHidden/>
          </w:rPr>
          <w:t>16</w:t>
        </w:r>
        <w:r>
          <w:rPr>
            <w:noProof/>
            <w:webHidden/>
          </w:rPr>
          <w:fldChar w:fldCharType="end"/>
        </w:r>
      </w:hyperlink>
    </w:p>
    <w:p w14:paraId="18664459" w14:textId="195658F5" w:rsidR="004D39F3" w:rsidRDefault="004D39F3">
      <w:pPr>
        <w:pStyle w:val="TOC3"/>
        <w:rPr>
          <w:rFonts w:asciiTheme="minorHAnsi" w:hAnsiTheme="minorHAnsi"/>
          <w:noProof/>
          <w:szCs w:val="22"/>
          <w:lang w:eastAsia="en-AU"/>
        </w:rPr>
      </w:pPr>
      <w:hyperlink w:anchor="_Toc85097242" w:history="1">
        <w:r w:rsidRPr="00702C4F">
          <w:rPr>
            <w:rStyle w:val="Hyperlink"/>
            <w:noProof/>
          </w:rPr>
          <w:t>Market intervention options</w:t>
        </w:r>
        <w:r>
          <w:rPr>
            <w:noProof/>
            <w:webHidden/>
          </w:rPr>
          <w:tab/>
        </w:r>
        <w:r>
          <w:rPr>
            <w:noProof/>
            <w:webHidden/>
          </w:rPr>
          <w:fldChar w:fldCharType="begin"/>
        </w:r>
        <w:r>
          <w:rPr>
            <w:noProof/>
            <w:webHidden/>
          </w:rPr>
          <w:instrText xml:space="preserve"> PAGEREF _Toc85097242 \h </w:instrText>
        </w:r>
        <w:r>
          <w:rPr>
            <w:noProof/>
            <w:webHidden/>
          </w:rPr>
        </w:r>
        <w:r>
          <w:rPr>
            <w:noProof/>
            <w:webHidden/>
          </w:rPr>
          <w:fldChar w:fldCharType="separate"/>
        </w:r>
        <w:r w:rsidR="009D3AFE">
          <w:rPr>
            <w:noProof/>
            <w:webHidden/>
          </w:rPr>
          <w:t>17</w:t>
        </w:r>
        <w:r>
          <w:rPr>
            <w:noProof/>
            <w:webHidden/>
          </w:rPr>
          <w:fldChar w:fldCharType="end"/>
        </w:r>
      </w:hyperlink>
    </w:p>
    <w:p w14:paraId="2658BA10" w14:textId="200FFDA6" w:rsidR="004D39F3" w:rsidRDefault="004D39F3">
      <w:pPr>
        <w:pStyle w:val="TOC3"/>
        <w:rPr>
          <w:rFonts w:asciiTheme="minorHAnsi" w:hAnsiTheme="minorHAnsi"/>
          <w:noProof/>
          <w:szCs w:val="22"/>
          <w:lang w:eastAsia="en-AU"/>
        </w:rPr>
      </w:pPr>
      <w:hyperlink w:anchor="_Toc85097243" w:history="1">
        <w:r w:rsidRPr="00702C4F">
          <w:rPr>
            <w:rStyle w:val="Hyperlink"/>
            <w:noProof/>
          </w:rPr>
          <w:t>Price regulation options</w:t>
        </w:r>
        <w:r>
          <w:rPr>
            <w:noProof/>
            <w:webHidden/>
          </w:rPr>
          <w:tab/>
        </w:r>
        <w:r>
          <w:rPr>
            <w:noProof/>
            <w:webHidden/>
          </w:rPr>
          <w:fldChar w:fldCharType="begin"/>
        </w:r>
        <w:r>
          <w:rPr>
            <w:noProof/>
            <w:webHidden/>
          </w:rPr>
          <w:instrText xml:space="preserve"> PAGEREF _Toc85097243 \h </w:instrText>
        </w:r>
        <w:r>
          <w:rPr>
            <w:noProof/>
            <w:webHidden/>
          </w:rPr>
        </w:r>
        <w:r>
          <w:rPr>
            <w:noProof/>
            <w:webHidden/>
          </w:rPr>
          <w:fldChar w:fldCharType="separate"/>
        </w:r>
        <w:r w:rsidR="009D3AFE">
          <w:rPr>
            <w:noProof/>
            <w:webHidden/>
          </w:rPr>
          <w:t>18</w:t>
        </w:r>
        <w:r>
          <w:rPr>
            <w:noProof/>
            <w:webHidden/>
          </w:rPr>
          <w:fldChar w:fldCharType="end"/>
        </w:r>
      </w:hyperlink>
    </w:p>
    <w:p w14:paraId="34E6C657" w14:textId="49C8CD04" w:rsidR="004D39F3" w:rsidRDefault="004D39F3">
      <w:pPr>
        <w:pStyle w:val="TOC1"/>
        <w:rPr>
          <w:rFonts w:asciiTheme="minorHAnsi" w:hAnsiTheme="minorHAnsi"/>
          <w:b w:val="0"/>
          <w:szCs w:val="22"/>
          <w:lang w:eastAsia="en-AU"/>
        </w:rPr>
      </w:pPr>
      <w:hyperlink w:anchor="_Toc85097244" w:history="1">
        <w:r w:rsidRPr="00702C4F">
          <w:rPr>
            <w:rStyle w:val="Hyperlink"/>
          </w:rPr>
          <w:t>3</w:t>
        </w:r>
        <w:r>
          <w:rPr>
            <w:rFonts w:asciiTheme="minorHAnsi" w:hAnsiTheme="minorHAnsi"/>
            <w:b w:val="0"/>
            <w:szCs w:val="22"/>
            <w:lang w:eastAsia="en-AU"/>
          </w:rPr>
          <w:tab/>
        </w:r>
        <w:r w:rsidRPr="00702C4F">
          <w:rPr>
            <w:rStyle w:val="Hyperlink"/>
          </w:rPr>
          <w:t>Simplifying the NDIS Pricing Arrangements</w:t>
        </w:r>
        <w:r>
          <w:rPr>
            <w:webHidden/>
          </w:rPr>
          <w:tab/>
        </w:r>
        <w:r>
          <w:rPr>
            <w:webHidden/>
          </w:rPr>
          <w:fldChar w:fldCharType="begin"/>
        </w:r>
        <w:r>
          <w:rPr>
            <w:webHidden/>
          </w:rPr>
          <w:instrText xml:space="preserve"> PAGEREF _Toc85097244 \h </w:instrText>
        </w:r>
        <w:r>
          <w:rPr>
            <w:webHidden/>
          </w:rPr>
        </w:r>
        <w:r>
          <w:rPr>
            <w:webHidden/>
          </w:rPr>
          <w:fldChar w:fldCharType="separate"/>
        </w:r>
        <w:r w:rsidR="009D3AFE">
          <w:rPr>
            <w:webHidden/>
          </w:rPr>
          <w:t>20</w:t>
        </w:r>
        <w:r>
          <w:rPr>
            <w:webHidden/>
          </w:rPr>
          <w:fldChar w:fldCharType="end"/>
        </w:r>
      </w:hyperlink>
    </w:p>
    <w:p w14:paraId="1453B8DF" w14:textId="10847A1C" w:rsidR="004D39F3" w:rsidRDefault="004D39F3">
      <w:pPr>
        <w:pStyle w:val="TOC2"/>
        <w:rPr>
          <w:rFonts w:asciiTheme="minorHAnsi" w:hAnsiTheme="minorHAnsi"/>
          <w:szCs w:val="22"/>
          <w:lang w:eastAsia="en-AU"/>
        </w:rPr>
      </w:pPr>
      <w:hyperlink w:anchor="_Toc85097245" w:history="1">
        <w:r w:rsidRPr="00702C4F">
          <w:rPr>
            <w:rStyle w:val="Hyperlink"/>
          </w:rPr>
          <w:t>3.1</w:t>
        </w:r>
        <w:r>
          <w:rPr>
            <w:rFonts w:asciiTheme="minorHAnsi" w:hAnsiTheme="minorHAnsi"/>
            <w:szCs w:val="22"/>
            <w:lang w:eastAsia="en-AU"/>
          </w:rPr>
          <w:tab/>
        </w:r>
        <w:r w:rsidRPr="00702C4F">
          <w:rPr>
            <w:rStyle w:val="Hyperlink"/>
          </w:rPr>
          <w:t>Issues</w:t>
        </w:r>
        <w:r>
          <w:rPr>
            <w:webHidden/>
          </w:rPr>
          <w:tab/>
        </w:r>
        <w:r>
          <w:rPr>
            <w:webHidden/>
          </w:rPr>
          <w:fldChar w:fldCharType="begin"/>
        </w:r>
        <w:r>
          <w:rPr>
            <w:webHidden/>
          </w:rPr>
          <w:instrText xml:space="preserve"> PAGEREF _Toc85097245 \h </w:instrText>
        </w:r>
        <w:r>
          <w:rPr>
            <w:webHidden/>
          </w:rPr>
        </w:r>
        <w:r>
          <w:rPr>
            <w:webHidden/>
          </w:rPr>
          <w:fldChar w:fldCharType="separate"/>
        </w:r>
        <w:r w:rsidR="009D3AFE">
          <w:rPr>
            <w:webHidden/>
          </w:rPr>
          <w:t>20</w:t>
        </w:r>
        <w:r>
          <w:rPr>
            <w:webHidden/>
          </w:rPr>
          <w:fldChar w:fldCharType="end"/>
        </w:r>
      </w:hyperlink>
    </w:p>
    <w:p w14:paraId="6AE7FE81" w14:textId="3E7F2B6D" w:rsidR="004D39F3" w:rsidRDefault="004D39F3">
      <w:pPr>
        <w:pStyle w:val="TOC2"/>
        <w:rPr>
          <w:rFonts w:asciiTheme="minorHAnsi" w:hAnsiTheme="minorHAnsi"/>
          <w:szCs w:val="22"/>
          <w:lang w:eastAsia="en-AU"/>
        </w:rPr>
      </w:pPr>
      <w:hyperlink w:anchor="_Toc85097246" w:history="1">
        <w:r w:rsidRPr="00702C4F">
          <w:rPr>
            <w:rStyle w:val="Hyperlink"/>
          </w:rPr>
          <w:t>3.2</w:t>
        </w:r>
        <w:r>
          <w:rPr>
            <w:rFonts w:asciiTheme="minorHAnsi" w:hAnsiTheme="minorHAnsi"/>
            <w:szCs w:val="22"/>
            <w:lang w:eastAsia="en-AU"/>
          </w:rPr>
          <w:tab/>
        </w:r>
        <w:r w:rsidRPr="00702C4F">
          <w:rPr>
            <w:rStyle w:val="Hyperlink"/>
          </w:rPr>
          <w:t>Call for submissions</w:t>
        </w:r>
        <w:r>
          <w:rPr>
            <w:webHidden/>
          </w:rPr>
          <w:tab/>
        </w:r>
        <w:r>
          <w:rPr>
            <w:webHidden/>
          </w:rPr>
          <w:fldChar w:fldCharType="begin"/>
        </w:r>
        <w:r>
          <w:rPr>
            <w:webHidden/>
          </w:rPr>
          <w:instrText xml:space="preserve"> PAGEREF _Toc85097246 \h </w:instrText>
        </w:r>
        <w:r>
          <w:rPr>
            <w:webHidden/>
          </w:rPr>
        </w:r>
        <w:r>
          <w:rPr>
            <w:webHidden/>
          </w:rPr>
          <w:fldChar w:fldCharType="separate"/>
        </w:r>
        <w:r w:rsidR="009D3AFE">
          <w:rPr>
            <w:webHidden/>
          </w:rPr>
          <w:t>21</w:t>
        </w:r>
        <w:r>
          <w:rPr>
            <w:webHidden/>
          </w:rPr>
          <w:fldChar w:fldCharType="end"/>
        </w:r>
      </w:hyperlink>
    </w:p>
    <w:p w14:paraId="611B7D3E" w14:textId="518EC446" w:rsidR="004D39F3" w:rsidRDefault="004D39F3">
      <w:pPr>
        <w:pStyle w:val="TOC1"/>
        <w:rPr>
          <w:rFonts w:asciiTheme="minorHAnsi" w:hAnsiTheme="minorHAnsi"/>
          <w:b w:val="0"/>
          <w:szCs w:val="22"/>
          <w:lang w:eastAsia="en-AU"/>
        </w:rPr>
      </w:pPr>
      <w:hyperlink w:anchor="_Toc85097247" w:history="1">
        <w:r w:rsidRPr="00702C4F">
          <w:rPr>
            <w:rStyle w:val="Hyperlink"/>
          </w:rPr>
          <w:t>4</w:t>
        </w:r>
        <w:r>
          <w:rPr>
            <w:rFonts w:asciiTheme="minorHAnsi" w:hAnsiTheme="minorHAnsi"/>
            <w:b w:val="0"/>
            <w:szCs w:val="22"/>
            <w:lang w:eastAsia="en-AU"/>
          </w:rPr>
          <w:tab/>
        </w:r>
        <w:r w:rsidRPr="00702C4F">
          <w:rPr>
            <w:rStyle w:val="Hyperlink"/>
          </w:rPr>
          <w:t>Price limits for 1:1 core supports</w:t>
        </w:r>
        <w:r>
          <w:rPr>
            <w:webHidden/>
          </w:rPr>
          <w:tab/>
        </w:r>
        <w:r>
          <w:rPr>
            <w:webHidden/>
          </w:rPr>
          <w:fldChar w:fldCharType="begin"/>
        </w:r>
        <w:r>
          <w:rPr>
            <w:webHidden/>
          </w:rPr>
          <w:instrText xml:space="preserve"> PAGEREF _Toc85097247 \h </w:instrText>
        </w:r>
        <w:r>
          <w:rPr>
            <w:webHidden/>
          </w:rPr>
        </w:r>
        <w:r>
          <w:rPr>
            <w:webHidden/>
          </w:rPr>
          <w:fldChar w:fldCharType="separate"/>
        </w:r>
        <w:r w:rsidR="009D3AFE">
          <w:rPr>
            <w:webHidden/>
          </w:rPr>
          <w:t>22</w:t>
        </w:r>
        <w:r>
          <w:rPr>
            <w:webHidden/>
          </w:rPr>
          <w:fldChar w:fldCharType="end"/>
        </w:r>
      </w:hyperlink>
    </w:p>
    <w:p w14:paraId="76A0A064" w14:textId="18558490" w:rsidR="004D39F3" w:rsidRDefault="004D39F3">
      <w:pPr>
        <w:pStyle w:val="TOC2"/>
        <w:rPr>
          <w:rFonts w:asciiTheme="minorHAnsi" w:hAnsiTheme="minorHAnsi"/>
          <w:szCs w:val="22"/>
          <w:lang w:eastAsia="en-AU"/>
        </w:rPr>
      </w:pPr>
      <w:hyperlink w:anchor="_Toc85097248" w:history="1">
        <w:r w:rsidRPr="00702C4F">
          <w:rPr>
            <w:rStyle w:val="Hyperlink"/>
          </w:rPr>
          <w:t>4.1</w:t>
        </w:r>
        <w:r>
          <w:rPr>
            <w:rFonts w:asciiTheme="minorHAnsi" w:hAnsiTheme="minorHAnsi"/>
            <w:szCs w:val="22"/>
            <w:lang w:eastAsia="en-AU"/>
          </w:rPr>
          <w:tab/>
        </w:r>
        <w:r w:rsidRPr="00702C4F">
          <w:rPr>
            <w:rStyle w:val="Hyperlink"/>
          </w:rPr>
          <w:t>Background</w:t>
        </w:r>
        <w:r>
          <w:rPr>
            <w:webHidden/>
          </w:rPr>
          <w:tab/>
        </w:r>
        <w:r>
          <w:rPr>
            <w:webHidden/>
          </w:rPr>
          <w:fldChar w:fldCharType="begin"/>
        </w:r>
        <w:r>
          <w:rPr>
            <w:webHidden/>
          </w:rPr>
          <w:instrText xml:space="preserve"> PAGEREF _Toc85097248 \h </w:instrText>
        </w:r>
        <w:r>
          <w:rPr>
            <w:webHidden/>
          </w:rPr>
        </w:r>
        <w:r>
          <w:rPr>
            <w:webHidden/>
          </w:rPr>
          <w:fldChar w:fldCharType="separate"/>
        </w:r>
        <w:r w:rsidR="009D3AFE">
          <w:rPr>
            <w:webHidden/>
          </w:rPr>
          <w:t>22</w:t>
        </w:r>
        <w:r>
          <w:rPr>
            <w:webHidden/>
          </w:rPr>
          <w:fldChar w:fldCharType="end"/>
        </w:r>
      </w:hyperlink>
    </w:p>
    <w:p w14:paraId="0B36199D" w14:textId="4B33D2D7" w:rsidR="004D39F3" w:rsidRDefault="004D39F3">
      <w:pPr>
        <w:pStyle w:val="TOC2"/>
        <w:rPr>
          <w:rFonts w:asciiTheme="minorHAnsi" w:hAnsiTheme="minorHAnsi"/>
          <w:szCs w:val="22"/>
          <w:lang w:eastAsia="en-AU"/>
        </w:rPr>
      </w:pPr>
      <w:hyperlink w:anchor="_Toc85097249" w:history="1">
        <w:r w:rsidRPr="00702C4F">
          <w:rPr>
            <w:rStyle w:val="Hyperlink"/>
          </w:rPr>
          <w:t>4.2</w:t>
        </w:r>
        <w:r>
          <w:rPr>
            <w:rFonts w:asciiTheme="minorHAnsi" w:hAnsiTheme="minorHAnsi"/>
            <w:szCs w:val="22"/>
            <w:lang w:eastAsia="en-AU"/>
          </w:rPr>
          <w:tab/>
        </w:r>
        <w:r w:rsidRPr="00702C4F">
          <w:rPr>
            <w:rStyle w:val="Hyperlink"/>
          </w:rPr>
          <w:t>Current Arrangements</w:t>
        </w:r>
        <w:r>
          <w:rPr>
            <w:webHidden/>
          </w:rPr>
          <w:tab/>
        </w:r>
        <w:r>
          <w:rPr>
            <w:webHidden/>
          </w:rPr>
          <w:fldChar w:fldCharType="begin"/>
        </w:r>
        <w:r>
          <w:rPr>
            <w:webHidden/>
          </w:rPr>
          <w:instrText xml:space="preserve"> PAGEREF _Toc85097249 \h </w:instrText>
        </w:r>
        <w:r>
          <w:rPr>
            <w:webHidden/>
          </w:rPr>
        </w:r>
        <w:r>
          <w:rPr>
            <w:webHidden/>
          </w:rPr>
          <w:fldChar w:fldCharType="separate"/>
        </w:r>
        <w:r w:rsidR="009D3AFE">
          <w:rPr>
            <w:webHidden/>
          </w:rPr>
          <w:t>24</w:t>
        </w:r>
        <w:r>
          <w:rPr>
            <w:webHidden/>
          </w:rPr>
          <w:fldChar w:fldCharType="end"/>
        </w:r>
      </w:hyperlink>
    </w:p>
    <w:p w14:paraId="3581441F" w14:textId="296546D8" w:rsidR="004D39F3" w:rsidRDefault="004D39F3">
      <w:pPr>
        <w:pStyle w:val="TOC2"/>
        <w:rPr>
          <w:rFonts w:asciiTheme="minorHAnsi" w:hAnsiTheme="minorHAnsi"/>
          <w:szCs w:val="22"/>
          <w:lang w:eastAsia="en-AU"/>
        </w:rPr>
      </w:pPr>
      <w:hyperlink w:anchor="_Toc85097250" w:history="1">
        <w:r w:rsidRPr="00702C4F">
          <w:rPr>
            <w:rStyle w:val="Hyperlink"/>
          </w:rPr>
          <w:t>4.3</w:t>
        </w:r>
        <w:r>
          <w:rPr>
            <w:rFonts w:asciiTheme="minorHAnsi" w:hAnsiTheme="minorHAnsi"/>
            <w:szCs w:val="22"/>
            <w:lang w:eastAsia="en-AU"/>
          </w:rPr>
          <w:tab/>
        </w:r>
        <w:r w:rsidRPr="00702C4F">
          <w:rPr>
            <w:rStyle w:val="Hyperlink"/>
          </w:rPr>
          <w:t>Issues</w:t>
        </w:r>
        <w:r>
          <w:rPr>
            <w:webHidden/>
          </w:rPr>
          <w:tab/>
        </w:r>
        <w:r>
          <w:rPr>
            <w:webHidden/>
          </w:rPr>
          <w:fldChar w:fldCharType="begin"/>
        </w:r>
        <w:r>
          <w:rPr>
            <w:webHidden/>
          </w:rPr>
          <w:instrText xml:space="preserve"> PAGEREF _Toc85097250 \h </w:instrText>
        </w:r>
        <w:r>
          <w:rPr>
            <w:webHidden/>
          </w:rPr>
        </w:r>
        <w:r>
          <w:rPr>
            <w:webHidden/>
          </w:rPr>
          <w:fldChar w:fldCharType="separate"/>
        </w:r>
        <w:r w:rsidR="009D3AFE">
          <w:rPr>
            <w:webHidden/>
          </w:rPr>
          <w:t>24</w:t>
        </w:r>
        <w:r>
          <w:rPr>
            <w:webHidden/>
          </w:rPr>
          <w:fldChar w:fldCharType="end"/>
        </w:r>
      </w:hyperlink>
    </w:p>
    <w:p w14:paraId="3B1F39EB" w14:textId="2BE625F7" w:rsidR="004D39F3" w:rsidRDefault="004D39F3">
      <w:pPr>
        <w:pStyle w:val="TOC3"/>
        <w:rPr>
          <w:rFonts w:asciiTheme="minorHAnsi" w:hAnsiTheme="minorHAnsi"/>
          <w:noProof/>
          <w:szCs w:val="22"/>
          <w:lang w:eastAsia="en-AU"/>
        </w:rPr>
      </w:pPr>
      <w:hyperlink w:anchor="_Toc85097251" w:history="1">
        <w:r w:rsidRPr="00702C4F">
          <w:rPr>
            <w:rStyle w:val="Hyperlink"/>
            <w:noProof/>
          </w:rPr>
          <w:t>Changes in the Award Conditions</w:t>
        </w:r>
        <w:r>
          <w:rPr>
            <w:noProof/>
            <w:webHidden/>
          </w:rPr>
          <w:tab/>
        </w:r>
        <w:r>
          <w:rPr>
            <w:noProof/>
            <w:webHidden/>
          </w:rPr>
          <w:fldChar w:fldCharType="begin"/>
        </w:r>
        <w:r>
          <w:rPr>
            <w:noProof/>
            <w:webHidden/>
          </w:rPr>
          <w:instrText xml:space="preserve"> PAGEREF _Toc85097251 \h </w:instrText>
        </w:r>
        <w:r>
          <w:rPr>
            <w:noProof/>
            <w:webHidden/>
          </w:rPr>
        </w:r>
        <w:r>
          <w:rPr>
            <w:noProof/>
            <w:webHidden/>
          </w:rPr>
          <w:fldChar w:fldCharType="separate"/>
        </w:r>
        <w:r w:rsidR="009D3AFE">
          <w:rPr>
            <w:noProof/>
            <w:webHidden/>
          </w:rPr>
          <w:t>25</w:t>
        </w:r>
        <w:r>
          <w:rPr>
            <w:noProof/>
            <w:webHidden/>
          </w:rPr>
          <w:fldChar w:fldCharType="end"/>
        </w:r>
      </w:hyperlink>
    </w:p>
    <w:p w14:paraId="37FDD259" w14:textId="5C4EE886" w:rsidR="004D39F3" w:rsidRDefault="004D39F3">
      <w:pPr>
        <w:pStyle w:val="TOC3"/>
        <w:rPr>
          <w:rFonts w:asciiTheme="minorHAnsi" w:hAnsiTheme="minorHAnsi"/>
          <w:noProof/>
          <w:szCs w:val="22"/>
          <w:lang w:eastAsia="en-AU"/>
        </w:rPr>
      </w:pPr>
      <w:hyperlink w:anchor="_Toc85097252" w:history="1">
        <w:r w:rsidRPr="00702C4F">
          <w:rPr>
            <w:rStyle w:val="Hyperlink"/>
            <w:noProof/>
          </w:rPr>
          <w:t>Regulatory Costs</w:t>
        </w:r>
        <w:r>
          <w:rPr>
            <w:noProof/>
            <w:webHidden/>
          </w:rPr>
          <w:tab/>
        </w:r>
        <w:r>
          <w:rPr>
            <w:noProof/>
            <w:webHidden/>
          </w:rPr>
          <w:fldChar w:fldCharType="begin"/>
        </w:r>
        <w:r>
          <w:rPr>
            <w:noProof/>
            <w:webHidden/>
          </w:rPr>
          <w:instrText xml:space="preserve"> PAGEREF _Toc85097252 \h </w:instrText>
        </w:r>
        <w:r>
          <w:rPr>
            <w:noProof/>
            <w:webHidden/>
          </w:rPr>
        </w:r>
        <w:r>
          <w:rPr>
            <w:noProof/>
            <w:webHidden/>
          </w:rPr>
          <w:fldChar w:fldCharType="separate"/>
        </w:r>
        <w:r w:rsidR="009D3AFE">
          <w:rPr>
            <w:noProof/>
            <w:webHidden/>
          </w:rPr>
          <w:t>25</w:t>
        </w:r>
        <w:r>
          <w:rPr>
            <w:noProof/>
            <w:webHidden/>
          </w:rPr>
          <w:fldChar w:fldCharType="end"/>
        </w:r>
      </w:hyperlink>
    </w:p>
    <w:p w14:paraId="1F7B8257" w14:textId="2F08C293" w:rsidR="004D39F3" w:rsidRDefault="004D39F3">
      <w:pPr>
        <w:pStyle w:val="TOC3"/>
        <w:rPr>
          <w:rFonts w:asciiTheme="minorHAnsi" w:hAnsiTheme="minorHAnsi"/>
          <w:noProof/>
          <w:szCs w:val="22"/>
          <w:lang w:eastAsia="en-AU"/>
        </w:rPr>
      </w:pPr>
      <w:hyperlink w:anchor="_Toc85097253" w:history="1">
        <w:r w:rsidRPr="00702C4F">
          <w:rPr>
            <w:rStyle w:val="Hyperlink"/>
            <w:noProof/>
          </w:rPr>
          <w:t>Other issues</w:t>
        </w:r>
        <w:r>
          <w:rPr>
            <w:noProof/>
            <w:webHidden/>
          </w:rPr>
          <w:tab/>
        </w:r>
        <w:r>
          <w:rPr>
            <w:noProof/>
            <w:webHidden/>
          </w:rPr>
          <w:fldChar w:fldCharType="begin"/>
        </w:r>
        <w:r>
          <w:rPr>
            <w:noProof/>
            <w:webHidden/>
          </w:rPr>
          <w:instrText xml:space="preserve"> PAGEREF _Toc85097253 \h </w:instrText>
        </w:r>
        <w:r>
          <w:rPr>
            <w:noProof/>
            <w:webHidden/>
          </w:rPr>
        </w:r>
        <w:r>
          <w:rPr>
            <w:noProof/>
            <w:webHidden/>
          </w:rPr>
          <w:fldChar w:fldCharType="separate"/>
        </w:r>
        <w:r w:rsidR="009D3AFE">
          <w:rPr>
            <w:noProof/>
            <w:webHidden/>
          </w:rPr>
          <w:t>25</w:t>
        </w:r>
        <w:r>
          <w:rPr>
            <w:noProof/>
            <w:webHidden/>
          </w:rPr>
          <w:fldChar w:fldCharType="end"/>
        </w:r>
      </w:hyperlink>
    </w:p>
    <w:p w14:paraId="60440D8F" w14:textId="42BE9F2F" w:rsidR="004D39F3" w:rsidRDefault="004D39F3">
      <w:pPr>
        <w:pStyle w:val="TOC2"/>
        <w:rPr>
          <w:rFonts w:asciiTheme="minorHAnsi" w:hAnsiTheme="minorHAnsi"/>
          <w:szCs w:val="22"/>
          <w:lang w:eastAsia="en-AU"/>
        </w:rPr>
      </w:pPr>
      <w:hyperlink w:anchor="_Toc85097254" w:history="1">
        <w:r w:rsidRPr="00702C4F">
          <w:rPr>
            <w:rStyle w:val="Hyperlink"/>
          </w:rPr>
          <w:t>4.4</w:t>
        </w:r>
        <w:r>
          <w:rPr>
            <w:rFonts w:asciiTheme="minorHAnsi" w:hAnsiTheme="minorHAnsi"/>
            <w:szCs w:val="22"/>
            <w:lang w:eastAsia="en-AU"/>
          </w:rPr>
          <w:tab/>
        </w:r>
        <w:r w:rsidRPr="00702C4F">
          <w:rPr>
            <w:rStyle w:val="Hyperlink"/>
          </w:rPr>
          <w:t>Call for submissions</w:t>
        </w:r>
        <w:r>
          <w:rPr>
            <w:webHidden/>
          </w:rPr>
          <w:tab/>
        </w:r>
        <w:r>
          <w:rPr>
            <w:webHidden/>
          </w:rPr>
          <w:fldChar w:fldCharType="begin"/>
        </w:r>
        <w:r>
          <w:rPr>
            <w:webHidden/>
          </w:rPr>
          <w:instrText xml:space="preserve"> PAGEREF _Toc85097254 \h </w:instrText>
        </w:r>
        <w:r>
          <w:rPr>
            <w:webHidden/>
          </w:rPr>
        </w:r>
        <w:r>
          <w:rPr>
            <w:webHidden/>
          </w:rPr>
          <w:fldChar w:fldCharType="separate"/>
        </w:r>
        <w:r w:rsidR="009D3AFE">
          <w:rPr>
            <w:webHidden/>
          </w:rPr>
          <w:t>26</w:t>
        </w:r>
        <w:r>
          <w:rPr>
            <w:webHidden/>
          </w:rPr>
          <w:fldChar w:fldCharType="end"/>
        </w:r>
      </w:hyperlink>
    </w:p>
    <w:p w14:paraId="2DC90B81" w14:textId="2A4C824D" w:rsidR="004D39F3" w:rsidRDefault="004D39F3">
      <w:pPr>
        <w:pStyle w:val="TOC1"/>
        <w:rPr>
          <w:rFonts w:asciiTheme="minorHAnsi" w:hAnsiTheme="minorHAnsi"/>
          <w:b w:val="0"/>
          <w:szCs w:val="22"/>
          <w:lang w:eastAsia="en-AU"/>
        </w:rPr>
      </w:pPr>
      <w:hyperlink w:anchor="_Toc85097255" w:history="1">
        <w:r w:rsidRPr="00702C4F">
          <w:rPr>
            <w:rStyle w:val="Hyperlink"/>
          </w:rPr>
          <w:t>5</w:t>
        </w:r>
        <w:r>
          <w:rPr>
            <w:rFonts w:asciiTheme="minorHAnsi" w:hAnsiTheme="minorHAnsi"/>
            <w:b w:val="0"/>
            <w:szCs w:val="22"/>
            <w:lang w:eastAsia="en-AU"/>
          </w:rPr>
          <w:tab/>
        </w:r>
        <w:r w:rsidRPr="00702C4F">
          <w:rPr>
            <w:rStyle w:val="Hyperlink"/>
          </w:rPr>
          <w:t>Price limits for group-based core supports</w:t>
        </w:r>
        <w:r>
          <w:rPr>
            <w:webHidden/>
          </w:rPr>
          <w:tab/>
        </w:r>
        <w:r>
          <w:rPr>
            <w:webHidden/>
          </w:rPr>
          <w:fldChar w:fldCharType="begin"/>
        </w:r>
        <w:r>
          <w:rPr>
            <w:webHidden/>
          </w:rPr>
          <w:instrText xml:space="preserve"> PAGEREF _Toc85097255 \h </w:instrText>
        </w:r>
        <w:r>
          <w:rPr>
            <w:webHidden/>
          </w:rPr>
        </w:r>
        <w:r>
          <w:rPr>
            <w:webHidden/>
          </w:rPr>
          <w:fldChar w:fldCharType="separate"/>
        </w:r>
        <w:r w:rsidR="009D3AFE">
          <w:rPr>
            <w:webHidden/>
          </w:rPr>
          <w:t>27</w:t>
        </w:r>
        <w:r>
          <w:rPr>
            <w:webHidden/>
          </w:rPr>
          <w:fldChar w:fldCharType="end"/>
        </w:r>
      </w:hyperlink>
    </w:p>
    <w:p w14:paraId="14CB2490" w14:textId="3F19E504" w:rsidR="004D39F3" w:rsidRDefault="004D39F3">
      <w:pPr>
        <w:pStyle w:val="TOC2"/>
        <w:rPr>
          <w:rFonts w:asciiTheme="minorHAnsi" w:hAnsiTheme="minorHAnsi"/>
          <w:szCs w:val="22"/>
          <w:lang w:eastAsia="en-AU"/>
        </w:rPr>
      </w:pPr>
      <w:hyperlink w:anchor="_Toc85097256" w:history="1">
        <w:r w:rsidRPr="00702C4F">
          <w:rPr>
            <w:rStyle w:val="Hyperlink"/>
          </w:rPr>
          <w:t>5.1</w:t>
        </w:r>
        <w:r>
          <w:rPr>
            <w:rFonts w:asciiTheme="minorHAnsi" w:hAnsiTheme="minorHAnsi"/>
            <w:szCs w:val="22"/>
            <w:lang w:eastAsia="en-AU"/>
          </w:rPr>
          <w:tab/>
        </w:r>
        <w:r w:rsidRPr="00702C4F">
          <w:rPr>
            <w:rStyle w:val="Hyperlink"/>
          </w:rPr>
          <w:t>Background</w:t>
        </w:r>
        <w:r>
          <w:rPr>
            <w:webHidden/>
          </w:rPr>
          <w:tab/>
        </w:r>
        <w:r>
          <w:rPr>
            <w:webHidden/>
          </w:rPr>
          <w:fldChar w:fldCharType="begin"/>
        </w:r>
        <w:r>
          <w:rPr>
            <w:webHidden/>
          </w:rPr>
          <w:instrText xml:space="preserve"> PAGEREF _Toc85097256 \h </w:instrText>
        </w:r>
        <w:r>
          <w:rPr>
            <w:webHidden/>
          </w:rPr>
        </w:r>
        <w:r>
          <w:rPr>
            <w:webHidden/>
          </w:rPr>
          <w:fldChar w:fldCharType="separate"/>
        </w:r>
        <w:r w:rsidR="009D3AFE">
          <w:rPr>
            <w:webHidden/>
          </w:rPr>
          <w:t>27</w:t>
        </w:r>
        <w:r>
          <w:rPr>
            <w:webHidden/>
          </w:rPr>
          <w:fldChar w:fldCharType="end"/>
        </w:r>
      </w:hyperlink>
    </w:p>
    <w:p w14:paraId="504673D7" w14:textId="6FE34067" w:rsidR="004D39F3" w:rsidRDefault="004D39F3">
      <w:pPr>
        <w:pStyle w:val="TOC2"/>
        <w:rPr>
          <w:rFonts w:asciiTheme="minorHAnsi" w:hAnsiTheme="minorHAnsi"/>
          <w:szCs w:val="22"/>
          <w:lang w:eastAsia="en-AU"/>
        </w:rPr>
      </w:pPr>
      <w:hyperlink w:anchor="_Toc85097257" w:history="1">
        <w:r w:rsidRPr="00702C4F">
          <w:rPr>
            <w:rStyle w:val="Hyperlink"/>
          </w:rPr>
          <w:t>5.2</w:t>
        </w:r>
        <w:r>
          <w:rPr>
            <w:rFonts w:asciiTheme="minorHAnsi" w:hAnsiTheme="minorHAnsi"/>
            <w:szCs w:val="22"/>
            <w:lang w:eastAsia="en-AU"/>
          </w:rPr>
          <w:tab/>
        </w:r>
        <w:r w:rsidRPr="00702C4F">
          <w:rPr>
            <w:rStyle w:val="Hyperlink"/>
          </w:rPr>
          <w:t>Current arrangements</w:t>
        </w:r>
        <w:r>
          <w:rPr>
            <w:webHidden/>
          </w:rPr>
          <w:tab/>
        </w:r>
        <w:r>
          <w:rPr>
            <w:webHidden/>
          </w:rPr>
          <w:fldChar w:fldCharType="begin"/>
        </w:r>
        <w:r>
          <w:rPr>
            <w:webHidden/>
          </w:rPr>
          <w:instrText xml:space="preserve"> PAGEREF _Toc85097257 \h </w:instrText>
        </w:r>
        <w:r>
          <w:rPr>
            <w:webHidden/>
          </w:rPr>
        </w:r>
        <w:r>
          <w:rPr>
            <w:webHidden/>
          </w:rPr>
          <w:fldChar w:fldCharType="separate"/>
        </w:r>
        <w:r w:rsidR="009D3AFE">
          <w:rPr>
            <w:webHidden/>
          </w:rPr>
          <w:t>27</w:t>
        </w:r>
        <w:r>
          <w:rPr>
            <w:webHidden/>
          </w:rPr>
          <w:fldChar w:fldCharType="end"/>
        </w:r>
      </w:hyperlink>
    </w:p>
    <w:p w14:paraId="39D6DC8B" w14:textId="09A39AEA" w:rsidR="004D39F3" w:rsidRDefault="004D39F3">
      <w:pPr>
        <w:pStyle w:val="TOC2"/>
        <w:rPr>
          <w:rFonts w:asciiTheme="minorHAnsi" w:hAnsiTheme="minorHAnsi"/>
          <w:szCs w:val="22"/>
          <w:lang w:eastAsia="en-AU"/>
        </w:rPr>
      </w:pPr>
      <w:hyperlink w:anchor="_Toc85097258" w:history="1">
        <w:r w:rsidRPr="00702C4F">
          <w:rPr>
            <w:rStyle w:val="Hyperlink"/>
          </w:rPr>
          <w:t>5.3</w:t>
        </w:r>
        <w:r>
          <w:rPr>
            <w:rFonts w:asciiTheme="minorHAnsi" w:hAnsiTheme="minorHAnsi"/>
            <w:szCs w:val="22"/>
            <w:lang w:eastAsia="en-AU"/>
          </w:rPr>
          <w:tab/>
        </w:r>
        <w:r w:rsidRPr="00702C4F">
          <w:rPr>
            <w:rStyle w:val="Hyperlink"/>
          </w:rPr>
          <w:t>Issues</w:t>
        </w:r>
        <w:r>
          <w:rPr>
            <w:webHidden/>
          </w:rPr>
          <w:tab/>
        </w:r>
        <w:r>
          <w:rPr>
            <w:webHidden/>
          </w:rPr>
          <w:fldChar w:fldCharType="begin"/>
        </w:r>
        <w:r>
          <w:rPr>
            <w:webHidden/>
          </w:rPr>
          <w:instrText xml:space="preserve"> PAGEREF _Toc85097258 \h </w:instrText>
        </w:r>
        <w:r>
          <w:rPr>
            <w:webHidden/>
          </w:rPr>
        </w:r>
        <w:r>
          <w:rPr>
            <w:webHidden/>
          </w:rPr>
          <w:fldChar w:fldCharType="separate"/>
        </w:r>
        <w:r w:rsidR="009D3AFE">
          <w:rPr>
            <w:webHidden/>
          </w:rPr>
          <w:t>28</w:t>
        </w:r>
        <w:r>
          <w:rPr>
            <w:webHidden/>
          </w:rPr>
          <w:fldChar w:fldCharType="end"/>
        </w:r>
      </w:hyperlink>
    </w:p>
    <w:p w14:paraId="02D78762" w14:textId="5141D588" w:rsidR="004D39F3" w:rsidRDefault="004D39F3">
      <w:pPr>
        <w:pStyle w:val="TOC2"/>
        <w:rPr>
          <w:rFonts w:asciiTheme="minorHAnsi" w:hAnsiTheme="minorHAnsi"/>
          <w:szCs w:val="22"/>
          <w:lang w:eastAsia="en-AU"/>
        </w:rPr>
      </w:pPr>
      <w:hyperlink w:anchor="_Toc85097259" w:history="1">
        <w:r w:rsidRPr="00702C4F">
          <w:rPr>
            <w:rStyle w:val="Hyperlink"/>
          </w:rPr>
          <w:t>5.4</w:t>
        </w:r>
        <w:r>
          <w:rPr>
            <w:rFonts w:asciiTheme="minorHAnsi" w:hAnsiTheme="minorHAnsi"/>
            <w:szCs w:val="22"/>
            <w:lang w:eastAsia="en-AU"/>
          </w:rPr>
          <w:tab/>
        </w:r>
        <w:r w:rsidRPr="00702C4F">
          <w:rPr>
            <w:rStyle w:val="Hyperlink"/>
          </w:rPr>
          <w:t>Call for submissions</w:t>
        </w:r>
        <w:r>
          <w:rPr>
            <w:webHidden/>
          </w:rPr>
          <w:tab/>
        </w:r>
        <w:r>
          <w:rPr>
            <w:webHidden/>
          </w:rPr>
          <w:fldChar w:fldCharType="begin"/>
        </w:r>
        <w:r>
          <w:rPr>
            <w:webHidden/>
          </w:rPr>
          <w:instrText xml:space="preserve"> PAGEREF _Toc85097259 \h </w:instrText>
        </w:r>
        <w:r>
          <w:rPr>
            <w:webHidden/>
          </w:rPr>
        </w:r>
        <w:r>
          <w:rPr>
            <w:webHidden/>
          </w:rPr>
          <w:fldChar w:fldCharType="separate"/>
        </w:r>
        <w:r w:rsidR="009D3AFE">
          <w:rPr>
            <w:webHidden/>
          </w:rPr>
          <w:t>29</w:t>
        </w:r>
        <w:r>
          <w:rPr>
            <w:webHidden/>
          </w:rPr>
          <w:fldChar w:fldCharType="end"/>
        </w:r>
      </w:hyperlink>
    </w:p>
    <w:p w14:paraId="217167A3" w14:textId="3696F1AA" w:rsidR="004D39F3" w:rsidRDefault="004D39F3">
      <w:pPr>
        <w:pStyle w:val="TOC1"/>
        <w:rPr>
          <w:rFonts w:asciiTheme="minorHAnsi" w:hAnsiTheme="minorHAnsi"/>
          <w:b w:val="0"/>
          <w:szCs w:val="22"/>
          <w:lang w:eastAsia="en-AU"/>
        </w:rPr>
      </w:pPr>
      <w:hyperlink w:anchor="_Toc85097260" w:history="1">
        <w:r w:rsidRPr="00702C4F">
          <w:rPr>
            <w:rStyle w:val="Hyperlink"/>
          </w:rPr>
          <w:t>6</w:t>
        </w:r>
        <w:r>
          <w:rPr>
            <w:rFonts w:asciiTheme="minorHAnsi" w:hAnsiTheme="minorHAnsi"/>
            <w:b w:val="0"/>
            <w:szCs w:val="22"/>
            <w:lang w:eastAsia="en-AU"/>
          </w:rPr>
          <w:tab/>
        </w:r>
        <w:r w:rsidRPr="00702C4F">
          <w:rPr>
            <w:rStyle w:val="Hyperlink"/>
          </w:rPr>
          <w:t>Temporary Transformation Payment</w:t>
        </w:r>
        <w:r>
          <w:rPr>
            <w:webHidden/>
          </w:rPr>
          <w:tab/>
        </w:r>
        <w:r>
          <w:rPr>
            <w:webHidden/>
          </w:rPr>
          <w:fldChar w:fldCharType="begin"/>
        </w:r>
        <w:r>
          <w:rPr>
            <w:webHidden/>
          </w:rPr>
          <w:instrText xml:space="preserve"> PAGEREF _Toc85097260 \h </w:instrText>
        </w:r>
        <w:r>
          <w:rPr>
            <w:webHidden/>
          </w:rPr>
        </w:r>
        <w:r>
          <w:rPr>
            <w:webHidden/>
          </w:rPr>
          <w:fldChar w:fldCharType="separate"/>
        </w:r>
        <w:r w:rsidR="009D3AFE">
          <w:rPr>
            <w:webHidden/>
          </w:rPr>
          <w:t>30</w:t>
        </w:r>
        <w:r>
          <w:rPr>
            <w:webHidden/>
          </w:rPr>
          <w:fldChar w:fldCharType="end"/>
        </w:r>
      </w:hyperlink>
    </w:p>
    <w:p w14:paraId="16A19211" w14:textId="4153FBF7" w:rsidR="004D39F3" w:rsidRDefault="004D39F3">
      <w:pPr>
        <w:pStyle w:val="TOC2"/>
        <w:rPr>
          <w:rFonts w:asciiTheme="minorHAnsi" w:hAnsiTheme="minorHAnsi"/>
          <w:szCs w:val="22"/>
          <w:lang w:eastAsia="en-AU"/>
        </w:rPr>
      </w:pPr>
      <w:hyperlink w:anchor="_Toc85097261" w:history="1">
        <w:r w:rsidRPr="00702C4F">
          <w:rPr>
            <w:rStyle w:val="Hyperlink"/>
          </w:rPr>
          <w:t>6.1</w:t>
        </w:r>
        <w:r>
          <w:rPr>
            <w:rFonts w:asciiTheme="minorHAnsi" w:hAnsiTheme="minorHAnsi"/>
            <w:szCs w:val="22"/>
            <w:lang w:eastAsia="en-AU"/>
          </w:rPr>
          <w:tab/>
        </w:r>
        <w:r w:rsidRPr="00702C4F">
          <w:rPr>
            <w:rStyle w:val="Hyperlink"/>
          </w:rPr>
          <w:t>Background</w:t>
        </w:r>
        <w:r>
          <w:rPr>
            <w:webHidden/>
          </w:rPr>
          <w:tab/>
        </w:r>
        <w:r>
          <w:rPr>
            <w:webHidden/>
          </w:rPr>
          <w:fldChar w:fldCharType="begin"/>
        </w:r>
        <w:r>
          <w:rPr>
            <w:webHidden/>
          </w:rPr>
          <w:instrText xml:space="preserve"> PAGEREF _Toc85097261 \h </w:instrText>
        </w:r>
        <w:r>
          <w:rPr>
            <w:webHidden/>
          </w:rPr>
        </w:r>
        <w:r>
          <w:rPr>
            <w:webHidden/>
          </w:rPr>
          <w:fldChar w:fldCharType="separate"/>
        </w:r>
        <w:r w:rsidR="009D3AFE">
          <w:rPr>
            <w:webHidden/>
          </w:rPr>
          <w:t>30</w:t>
        </w:r>
        <w:r>
          <w:rPr>
            <w:webHidden/>
          </w:rPr>
          <w:fldChar w:fldCharType="end"/>
        </w:r>
      </w:hyperlink>
    </w:p>
    <w:p w14:paraId="4F6D42FB" w14:textId="725B9992" w:rsidR="004D39F3" w:rsidRDefault="004D39F3">
      <w:pPr>
        <w:pStyle w:val="TOC2"/>
        <w:rPr>
          <w:rFonts w:asciiTheme="minorHAnsi" w:hAnsiTheme="minorHAnsi"/>
          <w:szCs w:val="22"/>
          <w:lang w:eastAsia="en-AU"/>
        </w:rPr>
      </w:pPr>
      <w:hyperlink w:anchor="_Toc85097262" w:history="1">
        <w:r w:rsidRPr="00702C4F">
          <w:rPr>
            <w:rStyle w:val="Hyperlink"/>
          </w:rPr>
          <w:t>6.2</w:t>
        </w:r>
        <w:r>
          <w:rPr>
            <w:rFonts w:asciiTheme="minorHAnsi" w:hAnsiTheme="minorHAnsi"/>
            <w:szCs w:val="22"/>
            <w:lang w:eastAsia="en-AU"/>
          </w:rPr>
          <w:tab/>
        </w:r>
        <w:r w:rsidRPr="00702C4F">
          <w:rPr>
            <w:rStyle w:val="Hyperlink"/>
          </w:rPr>
          <w:t>Current arrangements</w:t>
        </w:r>
        <w:r>
          <w:rPr>
            <w:webHidden/>
          </w:rPr>
          <w:tab/>
        </w:r>
        <w:r>
          <w:rPr>
            <w:webHidden/>
          </w:rPr>
          <w:fldChar w:fldCharType="begin"/>
        </w:r>
        <w:r>
          <w:rPr>
            <w:webHidden/>
          </w:rPr>
          <w:instrText xml:space="preserve"> PAGEREF _Toc85097262 \h </w:instrText>
        </w:r>
        <w:r>
          <w:rPr>
            <w:webHidden/>
          </w:rPr>
        </w:r>
        <w:r>
          <w:rPr>
            <w:webHidden/>
          </w:rPr>
          <w:fldChar w:fldCharType="separate"/>
        </w:r>
        <w:r w:rsidR="009D3AFE">
          <w:rPr>
            <w:webHidden/>
          </w:rPr>
          <w:t>30</w:t>
        </w:r>
        <w:r>
          <w:rPr>
            <w:webHidden/>
          </w:rPr>
          <w:fldChar w:fldCharType="end"/>
        </w:r>
      </w:hyperlink>
    </w:p>
    <w:p w14:paraId="2DAF88DA" w14:textId="3519397F" w:rsidR="004D39F3" w:rsidRDefault="004D39F3">
      <w:pPr>
        <w:pStyle w:val="TOC2"/>
        <w:rPr>
          <w:rFonts w:asciiTheme="minorHAnsi" w:hAnsiTheme="minorHAnsi"/>
          <w:szCs w:val="22"/>
          <w:lang w:eastAsia="en-AU"/>
        </w:rPr>
      </w:pPr>
      <w:hyperlink w:anchor="_Toc85097263" w:history="1">
        <w:r w:rsidRPr="00702C4F">
          <w:rPr>
            <w:rStyle w:val="Hyperlink"/>
          </w:rPr>
          <w:t>6.3</w:t>
        </w:r>
        <w:r>
          <w:rPr>
            <w:rFonts w:asciiTheme="minorHAnsi" w:hAnsiTheme="minorHAnsi"/>
            <w:szCs w:val="22"/>
            <w:lang w:eastAsia="en-AU"/>
          </w:rPr>
          <w:tab/>
        </w:r>
        <w:r w:rsidRPr="00702C4F">
          <w:rPr>
            <w:rStyle w:val="Hyperlink"/>
          </w:rPr>
          <w:t>Issues</w:t>
        </w:r>
        <w:r>
          <w:rPr>
            <w:webHidden/>
          </w:rPr>
          <w:tab/>
        </w:r>
        <w:r>
          <w:rPr>
            <w:webHidden/>
          </w:rPr>
          <w:fldChar w:fldCharType="begin"/>
        </w:r>
        <w:r>
          <w:rPr>
            <w:webHidden/>
          </w:rPr>
          <w:instrText xml:space="preserve"> PAGEREF _Toc85097263 \h </w:instrText>
        </w:r>
        <w:r>
          <w:rPr>
            <w:webHidden/>
          </w:rPr>
        </w:r>
        <w:r>
          <w:rPr>
            <w:webHidden/>
          </w:rPr>
          <w:fldChar w:fldCharType="separate"/>
        </w:r>
        <w:r w:rsidR="009D3AFE">
          <w:rPr>
            <w:webHidden/>
          </w:rPr>
          <w:t>30</w:t>
        </w:r>
        <w:r>
          <w:rPr>
            <w:webHidden/>
          </w:rPr>
          <w:fldChar w:fldCharType="end"/>
        </w:r>
      </w:hyperlink>
    </w:p>
    <w:p w14:paraId="4221DBBA" w14:textId="055545EC" w:rsidR="004D39F3" w:rsidRDefault="004D39F3">
      <w:pPr>
        <w:pStyle w:val="TOC2"/>
        <w:rPr>
          <w:rFonts w:asciiTheme="minorHAnsi" w:hAnsiTheme="minorHAnsi"/>
          <w:szCs w:val="22"/>
          <w:lang w:eastAsia="en-AU"/>
        </w:rPr>
      </w:pPr>
      <w:hyperlink w:anchor="_Toc85097264" w:history="1">
        <w:r w:rsidRPr="00702C4F">
          <w:rPr>
            <w:rStyle w:val="Hyperlink"/>
          </w:rPr>
          <w:t>6.4</w:t>
        </w:r>
        <w:r>
          <w:rPr>
            <w:rFonts w:asciiTheme="minorHAnsi" w:hAnsiTheme="minorHAnsi"/>
            <w:szCs w:val="22"/>
            <w:lang w:eastAsia="en-AU"/>
          </w:rPr>
          <w:tab/>
        </w:r>
        <w:r w:rsidRPr="00702C4F">
          <w:rPr>
            <w:rStyle w:val="Hyperlink"/>
          </w:rPr>
          <w:t>Call for submissions</w:t>
        </w:r>
        <w:r>
          <w:rPr>
            <w:webHidden/>
          </w:rPr>
          <w:tab/>
        </w:r>
        <w:r>
          <w:rPr>
            <w:webHidden/>
          </w:rPr>
          <w:fldChar w:fldCharType="begin"/>
        </w:r>
        <w:r>
          <w:rPr>
            <w:webHidden/>
          </w:rPr>
          <w:instrText xml:space="preserve"> PAGEREF _Toc85097264 \h </w:instrText>
        </w:r>
        <w:r>
          <w:rPr>
            <w:webHidden/>
          </w:rPr>
        </w:r>
        <w:r>
          <w:rPr>
            <w:webHidden/>
          </w:rPr>
          <w:fldChar w:fldCharType="separate"/>
        </w:r>
        <w:r w:rsidR="009D3AFE">
          <w:rPr>
            <w:webHidden/>
          </w:rPr>
          <w:t>31</w:t>
        </w:r>
        <w:r>
          <w:rPr>
            <w:webHidden/>
          </w:rPr>
          <w:fldChar w:fldCharType="end"/>
        </w:r>
      </w:hyperlink>
    </w:p>
    <w:p w14:paraId="27F741D1" w14:textId="3D7C5D36" w:rsidR="004D39F3" w:rsidRDefault="004D39F3">
      <w:pPr>
        <w:pStyle w:val="TOC1"/>
        <w:rPr>
          <w:rFonts w:asciiTheme="minorHAnsi" w:hAnsiTheme="minorHAnsi"/>
          <w:b w:val="0"/>
          <w:szCs w:val="22"/>
          <w:lang w:eastAsia="en-AU"/>
        </w:rPr>
      </w:pPr>
      <w:hyperlink w:anchor="_Toc85097265" w:history="1">
        <w:r w:rsidRPr="00702C4F">
          <w:rPr>
            <w:rStyle w:val="Hyperlink"/>
          </w:rPr>
          <w:t>7</w:t>
        </w:r>
        <w:r>
          <w:rPr>
            <w:rFonts w:asciiTheme="minorHAnsi" w:hAnsiTheme="minorHAnsi"/>
            <w:b w:val="0"/>
            <w:szCs w:val="22"/>
            <w:lang w:eastAsia="en-AU"/>
          </w:rPr>
          <w:tab/>
        </w:r>
        <w:r w:rsidRPr="00702C4F">
          <w:rPr>
            <w:rStyle w:val="Hyperlink"/>
          </w:rPr>
          <w:t>Therapy Supports</w:t>
        </w:r>
        <w:r>
          <w:rPr>
            <w:webHidden/>
          </w:rPr>
          <w:tab/>
        </w:r>
        <w:r>
          <w:rPr>
            <w:webHidden/>
          </w:rPr>
          <w:fldChar w:fldCharType="begin"/>
        </w:r>
        <w:r>
          <w:rPr>
            <w:webHidden/>
          </w:rPr>
          <w:instrText xml:space="preserve"> PAGEREF _Toc85097265 \h </w:instrText>
        </w:r>
        <w:r>
          <w:rPr>
            <w:webHidden/>
          </w:rPr>
        </w:r>
        <w:r>
          <w:rPr>
            <w:webHidden/>
          </w:rPr>
          <w:fldChar w:fldCharType="separate"/>
        </w:r>
        <w:r w:rsidR="009D3AFE">
          <w:rPr>
            <w:webHidden/>
          </w:rPr>
          <w:t>32</w:t>
        </w:r>
        <w:r>
          <w:rPr>
            <w:webHidden/>
          </w:rPr>
          <w:fldChar w:fldCharType="end"/>
        </w:r>
      </w:hyperlink>
    </w:p>
    <w:p w14:paraId="53A4C132" w14:textId="0774D030" w:rsidR="004D39F3" w:rsidRDefault="004D39F3">
      <w:pPr>
        <w:pStyle w:val="TOC2"/>
        <w:rPr>
          <w:rFonts w:asciiTheme="minorHAnsi" w:hAnsiTheme="minorHAnsi"/>
          <w:szCs w:val="22"/>
          <w:lang w:eastAsia="en-AU"/>
        </w:rPr>
      </w:pPr>
      <w:hyperlink w:anchor="_Toc85097266" w:history="1">
        <w:r w:rsidRPr="00702C4F">
          <w:rPr>
            <w:rStyle w:val="Hyperlink"/>
          </w:rPr>
          <w:t>7.1</w:t>
        </w:r>
        <w:r>
          <w:rPr>
            <w:rFonts w:asciiTheme="minorHAnsi" w:hAnsiTheme="minorHAnsi"/>
            <w:szCs w:val="22"/>
            <w:lang w:eastAsia="en-AU"/>
          </w:rPr>
          <w:tab/>
        </w:r>
        <w:r w:rsidRPr="00702C4F">
          <w:rPr>
            <w:rStyle w:val="Hyperlink"/>
          </w:rPr>
          <w:t>Background</w:t>
        </w:r>
        <w:r>
          <w:rPr>
            <w:webHidden/>
          </w:rPr>
          <w:tab/>
        </w:r>
        <w:r>
          <w:rPr>
            <w:webHidden/>
          </w:rPr>
          <w:fldChar w:fldCharType="begin"/>
        </w:r>
        <w:r>
          <w:rPr>
            <w:webHidden/>
          </w:rPr>
          <w:instrText xml:space="preserve"> PAGEREF _Toc85097266 \h </w:instrText>
        </w:r>
        <w:r>
          <w:rPr>
            <w:webHidden/>
          </w:rPr>
        </w:r>
        <w:r>
          <w:rPr>
            <w:webHidden/>
          </w:rPr>
          <w:fldChar w:fldCharType="separate"/>
        </w:r>
        <w:r w:rsidR="009D3AFE">
          <w:rPr>
            <w:webHidden/>
          </w:rPr>
          <w:t>32</w:t>
        </w:r>
        <w:r>
          <w:rPr>
            <w:webHidden/>
          </w:rPr>
          <w:fldChar w:fldCharType="end"/>
        </w:r>
      </w:hyperlink>
    </w:p>
    <w:p w14:paraId="729485EF" w14:textId="2F5D919A" w:rsidR="004D39F3" w:rsidRDefault="004D39F3">
      <w:pPr>
        <w:pStyle w:val="TOC2"/>
        <w:rPr>
          <w:rFonts w:asciiTheme="minorHAnsi" w:hAnsiTheme="minorHAnsi"/>
          <w:szCs w:val="22"/>
          <w:lang w:eastAsia="en-AU"/>
        </w:rPr>
      </w:pPr>
      <w:hyperlink w:anchor="_Toc85097267" w:history="1">
        <w:r w:rsidRPr="00702C4F">
          <w:rPr>
            <w:rStyle w:val="Hyperlink"/>
          </w:rPr>
          <w:t>7.2</w:t>
        </w:r>
        <w:r>
          <w:rPr>
            <w:rFonts w:asciiTheme="minorHAnsi" w:hAnsiTheme="minorHAnsi"/>
            <w:szCs w:val="22"/>
            <w:lang w:eastAsia="en-AU"/>
          </w:rPr>
          <w:tab/>
        </w:r>
        <w:r w:rsidRPr="00702C4F">
          <w:rPr>
            <w:rStyle w:val="Hyperlink"/>
          </w:rPr>
          <w:t>Issues</w:t>
        </w:r>
        <w:r>
          <w:rPr>
            <w:webHidden/>
          </w:rPr>
          <w:tab/>
        </w:r>
        <w:r>
          <w:rPr>
            <w:webHidden/>
          </w:rPr>
          <w:fldChar w:fldCharType="begin"/>
        </w:r>
        <w:r>
          <w:rPr>
            <w:webHidden/>
          </w:rPr>
          <w:instrText xml:space="preserve"> PAGEREF _Toc85097267 \h </w:instrText>
        </w:r>
        <w:r>
          <w:rPr>
            <w:webHidden/>
          </w:rPr>
        </w:r>
        <w:r>
          <w:rPr>
            <w:webHidden/>
          </w:rPr>
          <w:fldChar w:fldCharType="separate"/>
        </w:r>
        <w:r w:rsidR="009D3AFE">
          <w:rPr>
            <w:webHidden/>
          </w:rPr>
          <w:t>34</w:t>
        </w:r>
        <w:r>
          <w:rPr>
            <w:webHidden/>
          </w:rPr>
          <w:fldChar w:fldCharType="end"/>
        </w:r>
      </w:hyperlink>
    </w:p>
    <w:p w14:paraId="46E31BCF" w14:textId="3CEA6539" w:rsidR="004D39F3" w:rsidRDefault="004D39F3">
      <w:pPr>
        <w:pStyle w:val="TOC3"/>
        <w:rPr>
          <w:rFonts w:asciiTheme="minorHAnsi" w:hAnsiTheme="minorHAnsi"/>
          <w:noProof/>
          <w:szCs w:val="22"/>
          <w:lang w:eastAsia="en-AU"/>
        </w:rPr>
      </w:pPr>
      <w:hyperlink w:anchor="_Toc85097268" w:history="1">
        <w:r w:rsidRPr="00702C4F">
          <w:rPr>
            <w:rStyle w:val="Hyperlink"/>
            <w:noProof/>
          </w:rPr>
          <w:t>Nursing</w:t>
        </w:r>
        <w:r>
          <w:rPr>
            <w:noProof/>
            <w:webHidden/>
          </w:rPr>
          <w:tab/>
        </w:r>
        <w:r>
          <w:rPr>
            <w:noProof/>
            <w:webHidden/>
          </w:rPr>
          <w:fldChar w:fldCharType="begin"/>
        </w:r>
        <w:r>
          <w:rPr>
            <w:noProof/>
            <w:webHidden/>
          </w:rPr>
          <w:instrText xml:space="preserve"> PAGEREF _Toc85097268 \h </w:instrText>
        </w:r>
        <w:r>
          <w:rPr>
            <w:noProof/>
            <w:webHidden/>
          </w:rPr>
        </w:r>
        <w:r>
          <w:rPr>
            <w:noProof/>
            <w:webHidden/>
          </w:rPr>
          <w:fldChar w:fldCharType="separate"/>
        </w:r>
        <w:r w:rsidR="009D3AFE">
          <w:rPr>
            <w:noProof/>
            <w:webHidden/>
          </w:rPr>
          <w:t>36</w:t>
        </w:r>
        <w:r>
          <w:rPr>
            <w:noProof/>
            <w:webHidden/>
          </w:rPr>
          <w:fldChar w:fldCharType="end"/>
        </w:r>
      </w:hyperlink>
    </w:p>
    <w:p w14:paraId="11AEA2F4" w14:textId="5873A363" w:rsidR="004D39F3" w:rsidRDefault="004D39F3">
      <w:pPr>
        <w:pStyle w:val="TOC2"/>
        <w:rPr>
          <w:rFonts w:asciiTheme="minorHAnsi" w:hAnsiTheme="minorHAnsi"/>
          <w:szCs w:val="22"/>
          <w:lang w:eastAsia="en-AU"/>
        </w:rPr>
      </w:pPr>
      <w:hyperlink w:anchor="_Toc85097269" w:history="1">
        <w:r w:rsidRPr="00702C4F">
          <w:rPr>
            <w:rStyle w:val="Hyperlink"/>
          </w:rPr>
          <w:t>7.3</w:t>
        </w:r>
        <w:r>
          <w:rPr>
            <w:rFonts w:asciiTheme="minorHAnsi" w:hAnsiTheme="minorHAnsi"/>
            <w:szCs w:val="22"/>
            <w:lang w:eastAsia="en-AU"/>
          </w:rPr>
          <w:tab/>
        </w:r>
        <w:r w:rsidRPr="00702C4F">
          <w:rPr>
            <w:rStyle w:val="Hyperlink"/>
          </w:rPr>
          <w:t>Call for submissions</w:t>
        </w:r>
        <w:r>
          <w:rPr>
            <w:webHidden/>
          </w:rPr>
          <w:tab/>
        </w:r>
        <w:r>
          <w:rPr>
            <w:webHidden/>
          </w:rPr>
          <w:fldChar w:fldCharType="begin"/>
        </w:r>
        <w:r>
          <w:rPr>
            <w:webHidden/>
          </w:rPr>
          <w:instrText xml:space="preserve"> PAGEREF _Toc85097269 \h </w:instrText>
        </w:r>
        <w:r>
          <w:rPr>
            <w:webHidden/>
          </w:rPr>
        </w:r>
        <w:r>
          <w:rPr>
            <w:webHidden/>
          </w:rPr>
          <w:fldChar w:fldCharType="separate"/>
        </w:r>
        <w:r w:rsidR="009D3AFE">
          <w:rPr>
            <w:webHidden/>
          </w:rPr>
          <w:t>36</w:t>
        </w:r>
        <w:r>
          <w:rPr>
            <w:webHidden/>
          </w:rPr>
          <w:fldChar w:fldCharType="end"/>
        </w:r>
      </w:hyperlink>
    </w:p>
    <w:p w14:paraId="73AE1A71" w14:textId="00281512" w:rsidR="004D39F3" w:rsidRDefault="004D39F3">
      <w:pPr>
        <w:pStyle w:val="TOC1"/>
        <w:rPr>
          <w:rFonts w:asciiTheme="minorHAnsi" w:hAnsiTheme="minorHAnsi"/>
          <w:b w:val="0"/>
          <w:szCs w:val="22"/>
          <w:lang w:eastAsia="en-AU"/>
        </w:rPr>
      </w:pPr>
      <w:hyperlink w:anchor="_Toc85097270" w:history="1">
        <w:r w:rsidRPr="00702C4F">
          <w:rPr>
            <w:rStyle w:val="Hyperlink"/>
          </w:rPr>
          <w:t>8</w:t>
        </w:r>
        <w:r>
          <w:rPr>
            <w:rFonts w:asciiTheme="minorHAnsi" w:hAnsiTheme="minorHAnsi"/>
            <w:b w:val="0"/>
            <w:szCs w:val="22"/>
            <w:lang w:eastAsia="en-AU"/>
          </w:rPr>
          <w:tab/>
        </w:r>
        <w:r w:rsidRPr="00702C4F">
          <w:rPr>
            <w:rStyle w:val="Hyperlink"/>
          </w:rPr>
          <w:t>Support Coordination</w:t>
        </w:r>
        <w:r>
          <w:rPr>
            <w:webHidden/>
          </w:rPr>
          <w:tab/>
        </w:r>
        <w:r>
          <w:rPr>
            <w:webHidden/>
          </w:rPr>
          <w:fldChar w:fldCharType="begin"/>
        </w:r>
        <w:r>
          <w:rPr>
            <w:webHidden/>
          </w:rPr>
          <w:instrText xml:space="preserve"> PAGEREF _Toc85097270 \h </w:instrText>
        </w:r>
        <w:r>
          <w:rPr>
            <w:webHidden/>
          </w:rPr>
        </w:r>
        <w:r>
          <w:rPr>
            <w:webHidden/>
          </w:rPr>
          <w:fldChar w:fldCharType="separate"/>
        </w:r>
        <w:r w:rsidR="009D3AFE">
          <w:rPr>
            <w:webHidden/>
          </w:rPr>
          <w:t>37</w:t>
        </w:r>
        <w:r>
          <w:rPr>
            <w:webHidden/>
          </w:rPr>
          <w:fldChar w:fldCharType="end"/>
        </w:r>
      </w:hyperlink>
    </w:p>
    <w:p w14:paraId="79395CE7" w14:textId="1B9A8C6E" w:rsidR="004D39F3" w:rsidRDefault="004D39F3">
      <w:pPr>
        <w:pStyle w:val="TOC2"/>
        <w:rPr>
          <w:rFonts w:asciiTheme="minorHAnsi" w:hAnsiTheme="minorHAnsi"/>
          <w:szCs w:val="22"/>
          <w:lang w:eastAsia="en-AU"/>
        </w:rPr>
      </w:pPr>
      <w:hyperlink w:anchor="_Toc85097271" w:history="1">
        <w:r w:rsidRPr="00702C4F">
          <w:rPr>
            <w:rStyle w:val="Hyperlink"/>
          </w:rPr>
          <w:t>8.1</w:t>
        </w:r>
        <w:r>
          <w:rPr>
            <w:rFonts w:asciiTheme="minorHAnsi" w:hAnsiTheme="minorHAnsi"/>
            <w:szCs w:val="22"/>
            <w:lang w:eastAsia="en-AU"/>
          </w:rPr>
          <w:tab/>
        </w:r>
        <w:r w:rsidRPr="00702C4F">
          <w:rPr>
            <w:rStyle w:val="Hyperlink"/>
          </w:rPr>
          <w:t>Background</w:t>
        </w:r>
        <w:r>
          <w:rPr>
            <w:webHidden/>
          </w:rPr>
          <w:tab/>
        </w:r>
        <w:r>
          <w:rPr>
            <w:webHidden/>
          </w:rPr>
          <w:fldChar w:fldCharType="begin"/>
        </w:r>
        <w:r>
          <w:rPr>
            <w:webHidden/>
          </w:rPr>
          <w:instrText xml:space="preserve"> PAGEREF _Toc85097271 \h </w:instrText>
        </w:r>
        <w:r>
          <w:rPr>
            <w:webHidden/>
          </w:rPr>
        </w:r>
        <w:r>
          <w:rPr>
            <w:webHidden/>
          </w:rPr>
          <w:fldChar w:fldCharType="separate"/>
        </w:r>
        <w:r w:rsidR="009D3AFE">
          <w:rPr>
            <w:webHidden/>
          </w:rPr>
          <w:t>37</w:t>
        </w:r>
        <w:r>
          <w:rPr>
            <w:webHidden/>
          </w:rPr>
          <w:fldChar w:fldCharType="end"/>
        </w:r>
      </w:hyperlink>
    </w:p>
    <w:p w14:paraId="28AE13DD" w14:textId="0528E50F" w:rsidR="004D39F3" w:rsidRDefault="004D39F3">
      <w:pPr>
        <w:pStyle w:val="TOC2"/>
        <w:rPr>
          <w:rFonts w:asciiTheme="minorHAnsi" w:hAnsiTheme="minorHAnsi"/>
          <w:szCs w:val="22"/>
          <w:lang w:eastAsia="en-AU"/>
        </w:rPr>
      </w:pPr>
      <w:hyperlink w:anchor="_Toc85097272" w:history="1">
        <w:r w:rsidRPr="00702C4F">
          <w:rPr>
            <w:rStyle w:val="Hyperlink"/>
          </w:rPr>
          <w:t>8.2</w:t>
        </w:r>
        <w:r>
          <w:rPr>
            <w:rFonts w:asciiTheme="minorHAnsi" w:hAnsiTheme="minorHAnsi"/>
            <w:szCs w:val="22"/>
            <w:lang w:eastAsia="en-AU"/>
          </w:rPr>
          <w:tab/>
        </w:r>
        <w:r w:rsidRPr="00702C4F">
          <w:rPr>
            <w:rStyle w:val="Hyperlink"/>
          </w:rPr>
          <w:t>Current arrangements</w:t>
        </w:r>
        <w:r>
          <w:rPr>
            <w:webHidden/>
          </w:rPr>
          <w:tab/>
        </w:r>
        <w:r>
          <w:rPr>
            <w:webHidden/>
          </w:rPr>
          <w:fldChar w:fldCharType="begin"/>
        </w:r>
        <w:r>
          <w:rPr>
            <w:webHidden/>
          </w:rPr>
          <w:instrText xml:space="preserve"> PAGEREF _Toc85097272 \h </w:instrText>
        </w:r>
        <w:r>
          <w:rPr>
            <w:webHidden/>
          </w:rPr>
        </w:r>
        <w:r>
          <w:rPr>
            <w:webHidden/>
          </w:rPr>
          <w:fldChar w:fldCharType="separate"/>
        </w:r>
        <w:r w:rsidR="009D3AFE">
          <w:rPr>
            <w:webHidden/>
          </w:rPr>
          <w:t>37</w:t>
        </w:r>
        <w:r>
          <w:rPr>
            <w:webHidden/>
          </w:rPr>
          <w:fldChar w:fldCharType="end"/>
        </w:r>
      </w:hyperlink>
    </w:p>
    <w:p w14:paraId="393CC832" w14:textId="416C249F" w:rsidR="004D39F3" w:rsidRDefault="004D39F3">
      <w:pPr>
        <w:pStyle w:val="TOC3"/>
        <w:rPr>
          <w:rFonts w:asciiTheme="minorHAnsi" w:hAnsiTheme="minorHAnsi"/>
          <w:noProof/>
          <w:szCs w:val="22"/>
          <w:lang w:eastAsia="en-AU"/>
        </w:rPr>
      </w:pPr>
      <w:hyperlink w:anchor="_Toc85097273" w:history="1">
        <w:r w:rsidRPr="00702C4F">
          <w:rPr>
            <w:rStyle w:val="Hyperlink"/>
            <w:noProof/>
          </w:rPr>
          <w:t>Level 1: Support Connection</w:t>
        </w:r>
        <w:r>
          <w:rPr>
            <w:noProof/>
            <w:webHidden/>
          </w:rPr>
          <w:tab/>
        </w:r>
        <w:r>
          <w:rPr>
            <w:noProof/>
            <w:webHidden/>
          </w:rPr>
          <w:fldChar w:fldCharType="begin"/>
        </w:r>
        <w:r>
          <w:rPr>
            <w:noProof/>
            <w:webHidden/>
          </w:rPr>
          <w:instrText xml:space="preserve"> PAGEREF _Toc85097273 \h </w:instrText>
        </w:r>
        <w:r>
          <w:rPr>
            <w:noProof/>
            <w:webHidden/>
          </w:rPr>
        </w:r>
        <w:r>
          <w:rPr>
            <w:noProof/>
            <w:webHidden/>
          </w:rPr>
          <w:fldChar w:fldCharType="separate"/>
        </w:r>
        <w:r w:rsidR="009D3AFE">
          <w:rPr>
            <w:noProof/>
            <w:webHidden/>
          </w:rPr>
          <w:t>37</w:t>
        </w:r>
        <w:r>
          <w:rPr>
            <w:noProof/>
            <w:webHidden/>
          </w:rPr>
          <w:fldChar w:fldCharType="end"/>
        </w:r>
      </w:hyperlink>
    </w:p>
    <w:p w14:paraId="6BD907DE" w14:textId="7AE5D400" w:rsidR="004D39F3" w:rsidRDefault="004D39F3">
      <w:pPr>
        <w:pStyle w:val="TOC3"/>
        <w:rPr>
          <w:rFonts w:asciiTheme="minorHAnsi" w:hAnsiTheme="minorHAnsi"/>
          <w:noProof/>
          <w:szCs w:val="22"/>
          <w:lang w:eastAsia="en-AU"/>
        </w:rPr>
      </w:pPr>
      <w:hyperlink w:anchor="_Toc85097274" w:history="1">
        <w:r w:rsidRPr="00702C4F">
          <w:rPr>
            <w:rStyle w:val="Hyperlink"/>
            <w:noProof/>
          </w:rPr>
          <w:t>Level 2: Coordination of Supports</w:t>
        </w:r>
        <w:r>
          <w:rPr>
            <w:noProof/>
            <w:webHidden/>
          </w:rPr>
          <w:tab/>
        </w:r>
        <w:r>
          <w:rPr>
            <w:noProof/>
            <w:webHidden/>
          </w:rPr>
          <w:fldChar w:fldCharType="begin"/>
        </w:r>
        <w:r>
          <w:rPr>
            <w:noProof/>
            <w:webHidden/>
          </w:rPr>
          <w:instrText xml:space="preserve"> PAGEREF _Toc85097274 \h </w:instrText>
        </w:r>
        <w:r>
          <w:rPr>
            <w:noProof/>
            <w:webHidden/>
          </w:rPr>
        </w:r>
        <w:r>
          <w:rPr>
            <w:noProof/>
            <w:webHidden/>
          </w:rPr>
          <w:fldChar w:fldCharType="separate"/>
        </w:r>
        <w:r w:rsidR="009D3AFE">
          <w:rPr>
            <w:noProof/>
            <w:webHidden/>
          </w:rPr>
          <w:t>38</w:t>
        </w:r>
        <w:r>
          <w:rPr>
            <w:noProof/>
            <w:webHidden/>
          </w:rPr>
          <w:fldChar w:fldCharType="end"/>
        </w:r>
      </w:hyperlink>
    </w:p>
    <w:p w14:paraId="000FCA76" w14:textId="33EA9A78" w:rsidR="004D39F3" w:rsidRDefault="004D39F3">
      <w:pPr>
        <w:pStyle w:val="TOC3"/>
        <w:rPr>
          <w:rFonts w:asciiTheme="minorHAnsi" w:hAnsiTheme="minorHAnsi"/>
          <w:noProof/>
          <w:szCs w:val="22"/>
          <w:lang w:eastAsia="en-AU"/>
        </w:rPr>
      </w:pPr>
      <w:hyperlink w:anchor="_Toc85097275" w:history="1">
        <w:r w:rsidRPr="00702C4F">
          <w:rPr>
            <w:rStyle w:val="Hyperlink"/>
            <w:noProof/>
          </w:rPr>
          <w:t>Level 3: Specialist Support Coordination</w:t>
        </w:r>
        <w:r>
          <w:rPr>
            <w:noProof/>
            <w:webHidden/>
          </w:rPr>
          <w:tab/>
        </w:r>
        <w:r>
          <w:rPr>
            <w:noProof/>
            <w:webHidden/>
          </w:rPr>
          <w:fldChar w:fldCharType="begin"/>
        </w:r>
        <w:r>
          <w:rPr>
            <w:noProof/>
            <w:webHidden/>
          </w:rPr>
          <w:instrText xml:space="preserve"> PAGEREF _Toc85097275 \h </w:instrText>
        </w:r>
        <w:r>
          <w:rPr>
            <w:noProof/>
            <w:webHidden/>
          </w:rPr>
        </w:r>
        <w:r>
          <w:rPr>
            <w:noProof/>
            <w:webHidden/>
          </w:rPr>
          <w:fldChar w:fldCharType="separate"/>
        </w:r>
        <w:r w:rsidR="009D3AFE">
          <w:rPr>
            <w:noProof/>
            <w:webHidden/>
          </w:rPr>
          <w:t>39</w:t>
        </w:r>
        <w:r>
          <w:rPr>
            <w:noProof/>
            <w:webHidden/>
          </w:rPr>
          <w:fldChar w:fldCharType="end"/>
        </w:r>
      </w:hyperlink>
    </w:p>
    <w:p w14:paraId="78D6B940" w14:textId="61FF8B18" w:rsidR="004D39F3" w:rsidRDefault="004D39F3">
      <w:pPr>
        <w:pStyle w:val="TOC2"/>
        <w:rPr>
          <w:rFonts w:asciiTheme="minorHAnsi" w:hAnsiTheme="minorHAnsi"/>
          <w:szCs w:val="22"/>
          <w:lang w:eastAsia="en-AU"/>
        </w:rPr>
      </w:pPr>
      <w:hyperlink w:anchor="_Toc85097276" w:history="1">
        <w:r w:rsidRPr="00702C4F">
          <w:rPr>
            <w:rStyle w:val="Hyperlink"/>
          </w:rPr>
          <w:t>8.3</w:t>
        </w:r>
        <w:r>
          <w:rPr>
            <w:rFonts w:asciiTheme="minorHAnsi" w:hAnsiTheme="minorHAnsi"/>
            <w:szCs w:val="22"/>
            <w:lang w:eastAsia="en-AU"/>
          </w:rPr>
          <w:tab/>
        </w:r>
        <w:r w:rsidRPr="00702C4F">
          <w:rPr>
            <w:rStyle w:val="Hyperlink"/>
          </w:rPr>
          <w:t>Issues</w:t>
        </w:r>
        <w:r>
          <w:rPr>
            <w:webHidden/>
          </w:rPr>
          <w:tab/>
        </w:r>
        <w:r>
          <w:rPr>
            <w:webHidden/>
          </w:rPr>
          <w:fldChar w:fldCharType="begin"/>
        </w:r>
        <w:r>
          <w:rPr>
            <w:webHidden/>
          </w:rPr>
          <w:instrText xml:space="preserve"> PAGEREF _Toc85097276 \h </w:instrText>
        </w:r>
        <w:r>
          <w:rPr>
            <w:webHidden/>
          </w:rPr>
        </w:r>
        <w:r>
          <w:rPr>
            <w:webHidden/>
          </w:rPr>
          <w:fldChar w:fldCharType="separate"/>
        </w:r>
        <w:r w:rsidR="009D3AFE">
          <w:rPr>
            <w:webHidden/>
          </w:rPr>
          <w:t>40</w:t>
        </w:r>
        <w:r>
          <w:rPr>
            <w:webHidden/>
          </w:rPr>
          <w:fldChar w:fldCharType="end"/>
        </w:r>
      </w:hyperlink>
    </w:p>
    <w:p w14:paraId="608DC8C8" w14:textId="34DA03A0" w:rsidR="004D39F3" w:rsidRDefault="004D39F3">
      <w:pPr>
        <w:pStyle w:val="TOC2"/>
        <w:rPr>
          <w:rFonts w:asciiTheme="minorHAnsi" w:hAnsiTheme="minorHAnsi"/>
          <w:szCs w:val="22"/>
          <w:lang w:eastAsia="en-AU"/>
        </w:rPr>
      </w:pPr>
      <w:hyperlink w:anchor="_Toc85097277" w:history="1">
        <w:r w:rsidRPr="00702C4F">
          <w:rPr>
            <w:rStyle w:val="Hyperlink"/>
          </w:rPr>
          <w:t>8.4</w:t>
        </w:r>
        <w:r>
          <w:rPr>
            <w:rFonts w:asciiTheme="minorHAnsi" w:hAnsiTheme="minorHAnsi"/>
            <w:szCs w:val="22"/>
            <w:lang w:eastAsia="en-AU"/>
          </w:rPr>
          <w:tab/>
        </w:r>
        <w:r w:rsidRPr="00702C4F">
          <w:rPr>
            <w:rStyle w:val="Hyperlink"/>
          </w:rPr>
          <w:t>Call for Submissions</w:t>
        </w:r>
        <w:r>
          <w:rPr>
            <w:webHidden/>
          </w:rPr>
          <w:tab/>
        </w:r>
        <w:r>
          <w:rPr>
            <w:webHidden/>
          </w:rPr>
          <w:fldChar w:fldCharType="begin"/>
        </w:r>
        <w:r>
          <w:rPr>
            <w:webHidden/>
          </w:rPr>
          <w:instrText xml:space="preserve"> PAGEREF _Toc85097277 \h </w:instrText>
        </w:r>
        <w:r>
          <w:rPr>
            <w:webHidden/>
          </w:rPr>
        </w:r>
        <w:r>
          <w:rPr>
            <w:webHidden/>
          </w:rPr>
          <w:fldChar w:fldCharType="separate"/>
        </w:r>
        <w:r w:rsidR="009D3AFE">
          <w:rPr>
            <w:webHidden/>
          </w:rPr>
          <w:t>40</w:t>
        </w:r>
        <w:r>
          <w:rPr>
            <w:webHidden/>
          </w:rPr>
          <w:fldChar w:fldCharType="end"/>
        </w:r>
      </w:hyperlink>
    </w:p>
    <w:p w14:paraId="3A5C83F0" w14:textId="1EE8FBAC" w:rsidR="004D39F3" w:rsidRDefault="004D39F3">
      <w:pPr>
        <w:pStyle w:val="TOC1"/>
        <w:rPr>
          <w:rFonts w:asciiTheme="minorHAnsi" w:hAnsiTheme="minorHAnsi"/>
          <w:b w:val="0"/>
          <w:szCs w:val="22"/>
          <w:lang w:eastAsia="en-AU"/>
        </w:rPr>
      </w:pPr>
      <w:hyperlink w:anchor="_Toc85097278" w:history="1">
        <w:r w:rsidRPr="00702C4F">
          <w:rPr>
            <w:rStyle w:val="Hyperlink"/>
          </w:rPr>
          <w:t>9</w:t>
        </w:r>
        <w:r>
          <w:rPr>
            <w:rFonts w:asciiTheme="minorHAnsi" w:hAnsiTheme="minorHAnsi"/>
            <w:b w:val="0"/>
            <w:szCs w:val="22"/>
            <w:lang w:eastAsia="en-AU"/>
          </w:rPr>
          <w:tab/>
        </w:r>
        <w:r w:rsidRPr="00702C4F">
          <w:rPr>
            <w:rStyle w:val="Hyperlink"/>
          </w:rPr>
          <w:t>Plan Management Supports</w:t>
        </w:r>
        <w:r>
          <w:rPr>
            <w:webHidden/>
          </w:rPr>
          <w:tab/>
        </w:r>
        <w:r>
          <w:rPr>
            <w:webHidden/>
          </w:rPr>
          <w:fldChar w:fldCharType="begin"/>
        </w:r>
        <w:r>
          <w:rPr>
            <w:webHidden/>
          </w:rPr>
          <w:instrText xml:space="preserve"> PAGEREF _Toc85097278 \h </w:instrText>
        </w:r>
        <w:r>
          <w:rPr>
            <w:webHidden/>
          </w:rPr>
        </w:r>
        <w:r>
          <w:rPr>
            <w:webHidden/>
          </w:rPr>
          <w:fldChar w:fldCharType="separate"/>
        </w:r>
        <w:r w:rsidR="009D3AFE">
          <w:rPr>
            <w:webHidden/>
          </w:rPr>
          <w:t>41</w:t>
        </w:r>
        <w:r>
          <w:rPr>
            <w:webHidden/>
          </w:rPr>
          <w:fldChar w:fldCharType="end"/>
        </w:r>
      </w:hyperlink>
    </w:p>
    <w:p w14:paraId="0A3E5B84" w14:textId="3C6E73BC" w:rsidR="004D39F3" w:rsidRDefault="004D39F3">
      <w:pPr>
        <w:pStyle w:val="TOC2"/>
        <w:rPr>
          <w:rFonts w:asciiTheme="minorHAnsi" w:hAnsiTheme="minorHAnsi"/>
          <w:szCs w:val="22"/>
          <w:lang w:eastAsia="en-AU"/>
        </w:rPr>
      </w:pPr>
      <w:hyperlink w:anchor="_Toc85097279" w:history="1">
        <w:r w:rsidRPr="00702C4F">
          <w:rPr>
            <w:rStyle w:val="Hyperlink"/>
          </w:rPr>
          <w:t>9.1</w:t>
        </w:r>
        <w:r>
          <w:rPr>
            <w:rFonts w:asciiTheme="minorHAnsi" w:hAnsiTheme="minorHAnsi"/>
            <w:szCs w:val="22"/>
            <w:lang w:eastAsia="en-AU"/>
          </w:rPr>
          <w:tab/>
        </w:r>
        <w:r w:rsidRPr="00702C4F">
          <w:rPr>
            <w:rStyle w:val="Hyperlink"/>
          </w:rPr>
          <w:t>Background</w:t>
        </w:r>
        <w:r>
          <w:rPr>
            <w:webHidden/>
          </w:rPr>
          <w:tab/>
        </w:r>
        <w:r>
          <w:rPr>
            <w:webHidden/>
          </w:rPr>
          <w:fldChar w:fldCharType="begin"/>
        </w:r>
        <w:r>
          <w:rPr>
            <w:webHidden/>
          </w:rPr>
          <w:instrText xml:space="preserve"> PAGEREF _Toc85097279 \h </w:instrText>
        </w:r>
        <w:r>
          <w:rPr>
            <w:webHidden/>
          </w:rPr>
        </w:r>
        <w:r>
          <w:rPr>
            <w:webHidden/>
          </w:rPr>
          <w:fldChar w:fldCharType="separate"/>
        </w:r>
        <w:r w:rsidR="009D3AFE">
          <w:rPr>
            <w:webHidden/>
          </w:rPr>
          <w:t>41</w:t>
        </w:r>
        <w:r>
          <w:rPr>
            <w:webHidden/>
          </w:rPr>
          <w:fldChar w:fldCharType="end"/>
        </w:r>
      </w:hyperlink>
    </w:p>
    <w:p w14:paraId="15499BD1" w14:textId="588E1FA1" w:rsidR="004D39F3" w:rsidRDefault="004D39F3">
      <w:pPr>
        <w:pStyle w:val="TOC2"/>
        <w:rPr>
          <w:rFonts w:asciiTheme="minorHAnsi" w:hAnsiTheme="minorHAnsi"/>
          <w:szCs w:val="22"/>
          <w:lang w:eastAsia="en-AU"/>
        </w:rPr>
      </w:pPr>
      <w:hyperlink w:anchor="_Toc85097280" w:history="1">
        <w:r w:rsidRPr="00702C4F">
          <w:rPr>
            <w:rStyle w:val="Hyperlink"/>
          </w:rPr>
          <w:t>9.2</w:t>
        </w:r>
        <w:r>
          <w:rPr>
            <w:rFonts w:asciiTheme="minorHAnsi" w:hAnsiTheme="minorHAnsi"/>
            <w:szCs w:val="22"/>
            <w:lang w:eastAsia="en-AU"/>
          </w:rPr>
          <w:tab/>
        </w:r>
        <w:r w:rsidRPr="00702C4F">
          <w:rPr>
            <w:rStyle w:val="Hyperlink"/>
          </w:rPr>
          <w:t>Current arrangements</w:t>
        </w:r>
        <w:r>
          <w:rPr>
            <w:webHidden/>
          </w:rPr>
          <w:tab/>
        </w:r>
        <w:r>
          <w:rPr>
            <w:webHidden/>
          </w:rPr>
          <w:fldChar w:fldCharType="begin"/>
        </w:r>
        <w:r>
          <w:rPr>
            <w:webHidden/>
          </w:rPr>
          <w:instrText xml:space="preserve"> PAGEREF _Toc85097280 \h </w:instrText>
        </w:r>
        <w:r>
          <w:rPr>
            <w:webHidden/>
          </w:rPr>
        </w:r>
        <w:r>
          <w:rPr>
            <w:webHidden/>
          </w:rPr>
          <w:fldChar w:fldCharType="separate"/>
        </w:r>
        <w:r w:rsidR="009D3AFE">
          <w:rPr>
            <w:webHidden/>
          </w:rPr>
          <w:t>41</w:t>
        </w:r>
        <w:r>
          <w:rPr>
            <w:webHidden/>
          </w:rPr>
          <w:fldChar w:fldCharType="end"/>
        </w:r>
      </w:hyperlink>
    </w:p>
    <w:p w14:paraId="43EB51A1" w14:textId="0CCF7227" w:rsidR="004D39F3" w:rsidRDefault="004D39F3">
      <w:pPr>
        <w:pStyle w:val="TOC2"/>
        <w:rPr>
          <w:rFonts w:asciiTheme="minorHAnsi" w:hAnsiTheme="minorHAnsi"/>
          <w:szCs w:val="22"/>
          <w:lang w:eastAsia="en-AU"/>
        </w:rPr>
      </w:pPr>
      <w:hyperlink w:anchor="_Toc85097281" w:history="1">
        <w:r w:rsidRPr="00702C4F">
          <w:rPr>
            <w:rStyle w:val="Hyperlink"/>
          </w:rPr>
          <w:t>9.3</w:t>
        </w:r>
        <w:r>
          <w:rPr>
            <w:rFonts w:asciiTheme="minorHAnsi" w:hAnsiTheme="minorHAnsi"/>
            <w:szCs w:val="22"/>
            <w:lang w:eastAsia="en-AU"/>
          </w:rPr>
          <w:tab/>
        </w:r>
        <w:r w:rsidRPr="00702C4F">
          <w:rPr>
            <w:rStyle w:val="Hyperlink"/>
          </w:rPr>
          <w:t>Issues</w:t>
        </w:r>
        <w:r>
          <w:rPr>
            <w:webHidden/>
          </w:rPr>
          <w:tab/>
        </w:r>
        <w:r>
          <w:rPr>
            <w:webHidden/>
          </w:rPr>
          <w:fldChar w:fldCharType="begin"/>
        </w:r>
        <w:r>
          <w:rPr>
            <w:webHidden/>
          </w:rPr>
          <w:instrText xml:space="preserve"> PAGEREF _Toc85097281 \h </w:instrText>
        </w:r>
        <w:r>
          <w:rPr>
            <w:webHidden/>
          </w:rPr>
        </w:r>
        <w:r>
          <w:rPr>
            <w:webHidden/>
          </w:rPr>
          <w:fldChar w:fldCharType="separate"/>
        </w:r>
        <w:r w:rsidR="009D3AFE">
          <w:rPr>
            <w:webHidden/>
          </w:rPr>
          <w:t>42</w:t>
        </w:r>
        <w:r>
          <w:rPr>
            <w:webHidden/>
          </w:rPr>
          <w:fldChar w:fldCharType="end"/>
        </w:r>
      </w:hyperlink>
    </w:p>
    <w:p w14:paraId="35A769E0" w14:textId="76BF3EE7" w:rsidR="004D39F3" w:rsidRDefault="004D39F3">
      <w:pPr>
        <w:pStyle w:val="TOC2"/>
        <w:rPr>
          <w:rFonts w:asciiTheme="minorHAnsi" w:hAnsiTheme="minorHAnsi"/>
          <w:szCs w:val="22"/>
          <w:lang w:eastAsia="en-AU"/>
        </w:rPr>
      </w:pPr>
      <w:hyperlink w:anchor="_Toc85097282" w:history="1">
        <w:r w:rsidRPr="00702C4F">
          <w:rPr>
            <w:rStyle w:val="Hyperlink"/>
          </w:rPr>
          <w:t>9.4</w:t>
        </w:r>
        <w:r>
          <w:rPr>
            <w:rFonts w:asciiTheme="minorHAnsi" w:hAnsiTheme="minorHAnsi"/>
            <w:szCs w:val="22"/>
            <w:lang w:eastAsia="en-AU"/>
          </w:rPr>
          <w:tab/>
        </w:r>
        <w:r w:rsidRPr="00702C4F">
          <w:rPr>
            <w:rStyle w:val="Hyperlink"/>
          </w:rPr>
          <w:t>Call for Submissions</w:t>
        </w:r>
        <w:r>
          <w:rPr>
            <w:webHidden/>
          </w:rPr>
          <w:tab/>
        </w:r>
        <w:r>
          <w:rPr>
            <w:webHidden/>
          </w:rPr>
          <w:fldChar w:fldCharType="begin"/>
        </w:r>
        <w:r>
          <w:rPr>
            <w:webHidden/>
          </w:rPr>
          <w:instrText xml:space="preserve"> PAGEREF _Toc85097282 \h </w:instrText>
        </w:r>
        <w:r>
          <w:rPr>
            <w:webHidden/>
          </w:rPr>
        </w:r>
        <w:r>
          <w:rPr>
            <w:webHidden/>
          </w:rPr>
          <w:fldChar w:fldCharType="separate"/>
        </w:r>
        <w:r w:rsidR="009D3AFE">
          <w:rPr>
            <w:webHidden/>
          </w:rPr>
          <w:t>43</w:t>
        </w:r>
        <w:r>
          <w:rPr>
            <w:webHidden/>
          </w:rPr>
          <w:fldChar w:fldCharType="end"/>
        </w:r>
      </w:hyperlink>
    </w:p>
    <w:p w14:paraId="72958ECA" w14:textId="39752564" w:rsidR="004D39F3" w:rsidRDefault="004D39F3">
      <w:pPr>
        <w:pStyle w:val="TOC1"/>
        <w:rPr>
          <w:rFonts w:asciiTheme="minorHAnsi" w:hAnsiTheme="minorHAnsi"/>
          <w:b w:val="0"/>
          <w:szCs w:val="22"/>
          <w:lang w:eastAsia="en-AU"/>
        </w:rPr>
      </w:pPr>
      <w:hyperlink w:anchor="_Toc85097283" w:history="1">
        <w:r w:rsidRPr="00702C4F">
          <w:rPr>
            <w:rStyle w:val="Hyperlink"/>
          </w:rPr>
          <w:t>10</w:t>
        </w:r>
        <w:r>
          <w:rPr>
            <w:rFonts w:asciiTheme="minorHAnsi" w:hAnsiTheme="minorHAnsi"/>
            <w:b w:val="0"/>
            <w:szCs w:val="22"/>
            <w:lang w:eastAsia="en-AU"/>
          </w:rPr>
          <w:tab/>
        </w:r>
        <w:r w:rsidRPr="00702C4F">
          <w:rPr>
            <w:rStyle w:val="Hyperlink"/>
          </w:rPr>
          <w:t>Regional, Remote and Very Remote Areas</w:t>
        </w:r>
        <w:r>
          <w:rPr>
            <w:webHidden/>
          </w:rPr>
          <w:tab/>
        </w:r>
        <w:r>
          <w:rPr>
            <w:webHidden/>
          </w:rPr>
          <w:fldChar w:fldCharType="begin"/>
        </w:r>
        <w:r>
          <w:rPr>
            <w:webHidden/>
          </w:rPr>
          <w:instrText xml:space="preserve"> PAGEREF _Toc85097283 \h </w:instrText>
        </w:r>
        <w:r>
          <w:rPr>
            <w:webHidden/>
          </w:rPr>
        </w:r>
        <w:r>
          <w:rPr>
            <w:webHidden/>
          </w:rPr>
          <w:fldChar w:fldCharType="separate"/>
        </w:r>
        <w:r w:rsidR="009D3AFE">
          <w:rPr>
            <w:webHidden/>
          </w:rPr>
          <w:t>44</w:t>
        </w:r>
        <w:r>
          <w:rPr>
            <w:webHidden/>
          </w:rPr>
          <w:fldChar w:fldCharType="end"/>
        </w:r>
      </w:hyperlink>
    </w:p>
    <w:p w14:paraId="6E93C21B" w14:textId="4ABAA8BB" w:rsidR="004D39F3" w:rsidRDefault="004D39F3">
      <w:pPr>
        <w:pStyle w:val="TOC2"/>
        <w:rPr>
          <w:rFonts w:asciiTheme="minorHAnsi" w:hAnsiTheme="minorHAnsi"/>
          <w:szCs w:val="22"/>
          <w:lang w:eastAsia="en-AU"/>
        </w:rPr>
      </w:pPr>
      <w:hyperlink w:anchor="_Toc85097284" w:history="1">
        <w:r w:rsidRPr="00702C4F">
          <w:rPr>
            <w:rStyle w:val="Hyperlink"/>
          </w:rPr>
          <w:t>10.1</w:t>
        </w:r>
        <w:r>
          <w:rPr>
            <w:rFonts w:asciiTheme="minorHAnsi" w:hAnsiTheme="minorHAnsi"/>
            <w:szCs w:val="22"/>
            <w:lang w:eastAsia="en-AU"/>
          </w:rPr>
          <w:tab/>
        </w:r>
        <w:r w:rsidRPr="00702C4F">
          <w:rPr>
            <w:rStyle w:val="Hyperlink"/>
          </w:rPr>
          <w:t>Current arrangements</w:t>
        </w:r>
        <w:r>
          <w:rPr>
            <w:webHidden/>
          </w:rPr>
          <w:tab/>
        </w:r>
        <w:r>
          <w:rPr>
            <w:webHidden/>
          </w:rPr>
          <w:fldChar w:fldCharType="begin"/>
        </w:r>
        <w:r>
          <w:rPr>
            <w:webHidden/>
          </w:rPr>
          <w:instrText xml:space="preserve"> PAGEREF _Toc85097284 \h </w:instrText>
        </w:r>
        <w:r>
          <w:rPr>
            <w:webHidden/>
          </w:rPr>
        </w:r>
        <w:r>
          <w:rPr>
            <w:webHidden/>
          </w:rPr>
          <w:fldChar w:fldCharType="separate"/>
        </w:r>
        <w:r w:rsidR="009D3AFE">
          <w:rPr>
            <w:webHidden/>
          </w:rPr>
          <w:t>44</w:t>
        </w:r>
        <w:r>
          <w:rPr>
            <w:webHidden/>
          </w:rPr>
          <w:fldChar w:fldCharType="end"/>
        </w:r>
      </w:hyperlink>
    </w:p>
    <w:p w14:paraId="358A8736" w14:textId="5ED2B028" w:rsidR="004D39F3" w:rsidRDefault="004D39F3">
      <w:pPr>
        <w:pStyle w:val="TOC2"/>
        <w:rPr>
          <w:rFonts w:asciiTheme="minorHAnsi" w:hAnsiTheme="minorHAnsi"/>
          <w:szCs w:val="22"/>
          <w:lang w:eastAsia="en-AU"/>
        </w:rPr>
      </w:pPr>
      <w:hyperlink w:anchor="_Toc85097285" w:history="1">
        <w:r w:rsidRPr="00702C4F">
          <w:rPr>
            <w:rStyle w:val="Hyperlink"/>
          </w:rPr>
          <w:t>10.2</w:t>
        </w:r>
        <w:r>
          <w:rPr>
            <w:rFonts w:asciiTheme="minorHAnsi" w:hAnsiTheme="minorHAnsi"/>
            <w:szCs w:val="22"/>
            <w:lang w:eastAsia="en-AU"/>
          </w:rPr>
          <w:tab/>
        </w:r>
        <w:r w:rsidRPr="00702C4F">
          <w:rPr>
            <w:rStyle w:val="Hyperlink"/>
          </w:rPr>
          <w:t>Issues</w:t>
        </w:r>
        <w:r>
          <w:rPr>
            <w:webHidden/>
          </w:rPr>
          <w:tab/>
        </w:r>
        <w:r>
          <w:rPr>
            <w:webHidden/>
          </w:rPr>
          <w:fldChar w:fldCharType="begin"/>
        </w:r>
        <w:r>
          <w:rPr>
            <w:webHidden/>
          </w:rPr>
          <w:instrText xml:space="preserve"> PAGEREF _Toc85097285 \h </w:instrText>
        </w:r>
        <w:r>
          <w:rPr>
            <w:webHidden/>
          </w:rPr>
        </w:r>
        <w:r>
          <w:rPr>
            <w:webHidden/>
          </w:rPr>
          <w:fldChar w:fldCharType="separate"/>
        </w:r>
        <w:r w:rsidR="009D3AFE">
          <w:rPr>
            <w:webHidden/>
          </w:rPr>
          <w:t>46</w:t>
        </w:r>
        <w:r>
          <w:rPr>
            <w:webHidden/>
          </w:rPr>
          <w:fldChar w:fldCharType="end"/>
        </w:r>
      </w:hyperlink>
    </w:p>
    <w:p w14:paraId="1E71F0C5" w14:textId="105388AA" w:rsidR="004D39F3" w:rsidRDefault="004D39F3">
      <w:pPr>
        <w:pStyle w:val="TOC2"/>
        <w:rPr>
          <w:rFonts w:asciiTheme="minorHAnsi" w:hAnsiTheme="minorHAnsi"/>
          <w:szCs w:val="22"/>
          <w:lang w:eastAsia="en-AU"/>
        </w:rPr>
      </w:pPr>
      <w:hyperlink w:anchor="_Toc85097286" w:history="1">
        <w:r w:rsidRPr="00702C4F">
          <w:rPr>
            <w:rStyle w:val="Hyperlink"/>
          </w:rPr>
          <w:t>10.3</w:t>
        </w:r>
        <w:r>
          <w:rPr>
            <w:rFonts w:asciiTheme="minorHAnsi" w:hAnsiTheme="minorHAnsi"/>
            <w:szCs w:val="22"/>
            <w:lang w:eastAsia="en-AU"/>
          </w:rPr>
          <w:tab/>
        </w:r>
        <w:r w:rsidRPr="00702C4F">
          <w:rPr>
            <w:rStyle w:val="Hyperlink"/>
          </w:rPr>
          <w:t>Call for Submissions</w:t>
        </w:r>
        <w:r>
          <w:rPr>
            <w:webHidden/>
          </w:rPr>
          <w:tab/>
        </w:r>
        <w:r>
          <w:rPr>
            <w:webHidden/>
          </w:rPr>
          <w:fldChar w:fldCharType="begin"/>
        </w:r>
        <w:r>
          <w:rPr>
            <w:webHidden/>
          </w:rPr>
          <w:instrText xml:space="preserve"> PAGEREF _Toc85097286 \h </w:instrText>
        </w:r>
        <w:r>
          <w:rPr>
            <w:webHidden/>
          </w:rPr>
        </w:r>
        <w:r>
          <w:rPr>
            <w:webHidden/>
          </w:rPr>
          <w:fldChar w:fldCharType="separate"/>
        </w:r>
        <w:r w:rsidR="009D3AFE">
          <w:rPr>
            <w:webHidden/>
          </w:rPr>
          <w:t>46</w:t>
        </w:r>
        <w:r>
          <w:rPr>
            <w:webHidden/>
          </w:rPr>
          <w:fldChar w:fldCharType="end"/>
        </w:r>
      </w:hyperlink>
    </w:p>
    <w:p w14:paraId="142E7A5B" w14:textId="18A2A4D5" w:rsidR="004D39F3" w:rsidRDefault="004D39F3">
      <w:pPr>
        <w:pStyle w:val="TOC1"/>
        <w:rPr>
          <w:rFonts w:asciiTheme="minorHAnsi" w:hAnsiTheme="minorHAnsi"/>
          <w:b w:val="0"/>
          <w:szCs w:val="22"/>
          <w:lang w:eastAsia="en-AU"/>
        </w:rPr>
      </w:pPr>
      <w:hyperlink w:anchor="_Toc85097287" w:history="1">
        <w:r w:rsidRPr="00702C4F">
          <w:rPr>
            <w:rStyle w:val="Hyperlink"/>
          </w:rPr>
          <w:t>11</w:t>
        </w:r>
        <w:r>
          <w:rPr>
            <w:rFonts w:asciiTheme="minorHAnsi" w:hAnsiTheme="minorHAnsi"/>
            <w:b w:val="0"/>
            <w:szCs w:val="22"/>
            <w:lang w:eastAsia="en-AU"/>
          </w:rPr>
          <w:tab/>
        </w:r>
        <w:r w:rsidRPr="00702C4F">
          <w:rPr>
            <w:rStyle w:val="Hyperlink"/>
          </w:rPr>
          <w:t>Western Australia, South Australia and Queensland</w:t>
        </w:r>
        <w:r>
          <w:rPr>
            <w:webHidden/>
          </w:rPr>
          <w:tab/>
        </w:r>
        <w:r>
          <w:rPr>
            <w:webHidden/>
          </w:rPr>
          <w:fldChar w:fldCharType="begin"/>
        </w:r>
        <w:r>
          <w:rPr>
            <w:webHidden/>
          </w:rPr>
          <w:instrText xml:space="preserve"> PAGEREF _Toc85097287 \h </w:instrText>
        </w:r>
        <w:r>
          <w:rPr>
            <w:webHidden/>
          </w:rPr>
        </w:r>
        <w:r>
          <w:rPr>
            <w:webHidden/>
          </w:rPr>
          <w:fldChar w:fldCharType="separate"/>
        </w:r>
        <w:r w:rsidR="009D3AFE">
          <w:rPr>
            <w:webHidden/>
          </w:rPr>
          <w:t>47</w:t>
        </w:r>
        <w:r>
          <w:rPr>
            <w:webHidden/>
          </w:rPr>
          <w:fldChar w:fldCharType="end"/>
        </w:r>
      </w:hyperlink>
    </w:p>
    <w:p w14:paraId="56189ECB" w14:textId="62753805" w:rsidR="004D39F3" w:rsidRDefault="004D39F3">
      <w:pPr>
        <w:pStyle w:val="TOC2"/>
        <w:rPr>
          <w:rFonts w:asciiTheme="minorHAnsi" w:hAnsiTheme="minorHAnsi"/>
          <w:szCs w:val="22"/>
          <w:lang w:eastAsia="en-AU"/>
        </w:rPr>
      </w:pPr>
      <w:hyperlink w:anchor="_Toc85097288" w:history="1">
        <w:r w:rsidRPr="00702C4F">
          <w:rPr>
            <w:rStyle w:val="Hyperlink"/>
          </w:rPr>
          <w:t>11.1</w:t>
        </w:r>
        <w:r>
          <w:rPr>
            <w:rFonts w:asciiTheme="minorHAnsi" w:hAnsiTheme="minorHAnsi"/>
            <w:szCs w:val="22"/>
            <w:lang w:eastAsia="en-AU"/>
          </w:rPr>
          <w:tab/>
        </w:r>
        <w:r w:rsidRPr="00702C4F">
          <w:rPr>
            <w:rStyle w:val="Hyperlink"/>
          </w:rPr>
          <w:t>Current arrangements</w:t>
        </w:r>
        <w:r>
          <w:rPr>
            <w:webHidden/>
          </w:rPr>
          <w:tab/>
        </w:r>
        <w:r>
          <w:rPr>
            <w:webHidden/>
          </w:rPr>
          <w:fldChar w:fldCharType="begin"/>
        </w:r>
        <w:r>
          <w:rPr>
            <w:webHidden/>
          </w:rPr>
          <w:instrText xml:space="preserve"> PAGEREF _Toc85097288 \h </w:instrText>
        </w:r>
        <w:r>
          <w:rPr>
            <w:webHidden/>
          </w:rPr>
        </w:r>
        <w:r>
          <w:rPr>
            <w:webHidden/>
          </w:rPr>
          <w:fldChar w:fldCharType="separate"/>
        </w:r>
        <w:r w:rsidR="009D3AFE">
          <w:rPr>
            <w:webHidden/>
          </w:rPr>
          <w:t>47</w:t>
        </w:r>
        <w:r>
          <w:rPr>
            <w:webHidden/>
          </w:rPr>
          <w:fldChar w:fldCharType="end"/>
        </w:r>
      </w:hyperlink>
    </w:p>
    <w:p w14:paraId="0990B242" w14:textId="164FB322" w:rsidR="004D39F3" w:rsidRDefault="004D39F3">
      <w:pPr>
        <w:pStyle w:val="TOC2"/>
        <w:rPr>
          <w:rFonts w:asciiTheme="minorHAnsi" w:hAnsiTheme="minorHAnsi"/>
          <w:szCs w:val="22"/>
          <w:lang w:eastAsia="en-AU"/>
        </w:rPr>
      </w:pPr>
      <w:hyperlink w:anchor="_Toc85097289" w:history="1">
        <w:r w:rsidRPr="00702C4F">
          <w:rPr>
            <w:rStyle w:val="Hyperlink"/>
          </w:rPr>
          <w:t>11.2</w:t>
        </w:r>
        <w:r>
          <w:rPr>
            <w:rFonts w:asciiTheme="minorHAnsi" w:hAnsiTheme="minorHAnsi"/>
            <w:szCs w:val="22"/>
            <w:lang w:eastAsia="en-AU"/>
          </w:rPr>
          <w:tab/>
        </w:r>
        <w:r w:rsidRPr="00702C4F">
          <w:rPr>
            <w:rStyle w:val="Hyperlink"/>
          </w:rPr>
          <w:t>Issues</w:t>
        </w:r>
        <w:r>
          <w:rPr>
            <w:webHidden/>
          </w:rPr>
          <w:tab/>
        </w:r>
        <w:r>
          <w:rPr>
            <w:webHidden/>
          </w:rPr>
          <w:fldChar w:fldCharType="begin"/>
        </w:r>
        <w:r>
          <w:rPr>
            <w:webHidden/>
          </w:rPr>
          <w:instrText xml:space="preserve"> PAGEREF _Toc85097289 \h </w:instrText>
        </w:r>
        <w:r>
          <w:rPr>
            <w:webHidden/>
          </w:rPr>
        </w:r>
        <w:r>
          <w:rPr>
            <w:webHidden/>
          </w:rPr>
          <w:fldChar w:fldCharType="separate"/>
        </w:r>
        <w:r w:rsidR="009D3AFE">
          <w:rPr>
            <w:webHidden/>
          </w:rPr>
          <w:t>47</w:t>
        </w:r>
        <w:r>
          <w:rPr>
            <w:webHidden/>
          </w:rPr>
          <w:fldChar w:fldCharType="end"/>
        </w:r>
      </w:hyperlink>
    </w:p>
    <w:p w14:paraId="0F133FA8" w14:textId="00D2BA69" w:rsidR="004D39F3" w:rsidRDefault="004D39F3">
      <w:pPr>
        <w:pStyle w:val="TOC2"/>
        <w:rPr>
          <w:rFonts w:asciiTheme="minorHAnsi" w:hAnsiTheme="minorHAnsi"/>
          <w:szCs w:val="22"/>
          <w:lang w:eastAsia="en-AU"/>
        </w:rPr>
      </w:pPr>
      <w:hyperlink w:anchor="_Toc85097290" w:history="1">
        <w:r w:rsidRPr="00702C4F">
          <w:rPr>
            <w:rStyle w:val="Hyperlink"/>
          </w:rPr>
          <w:t>11.3</w:t>
        </w:r>
        <w:r>
          <w:rPr>
            <w:rFonts w:asciiTheme="minorHAnsi" w:hAnsiTheme="minorHAnsi"/>
            <w:szCs w:val="22"/>
            <w:lang w:eastAsia="en-AU"/>
          </w:rPr>
          <w:tab/>
        </w:r>
        <w:r w:rsidRPr="00702C4F">
          <w:rPr>
            <w:rStyle w:val="Hyperlink"/>
          </w:rPr>
          <w:t>Call for Submissions</w:t>
        </w:r>
        <w:r>
          <w:rPr>
            <w:webHidden/>
          </w:rPr>
          <w:tab/>
        </w:r>
        <w:r>
          <w:rPr>
            <w:webHidden/>
          </w:rPr>
          <w:fldChar w:fldCharType="begin"/>
        </w:r>
        <w:r>
          <w:rPr>
            <w:webHidden/>
          </w:rPr>
          <w:instrText xml:space="preserve"> PAGEREF _Toc85097290 \h </w:instrText>
        </w:r>
        <w:r>
          <w:rPr>
            <w:webHidden/>
          </w:rPr>
        </w:r>
        <w:r>
          <w:rPr>
            <w:webHidden/>
          </w:rPr>
          <w:fldChar w:fldCharType="separate"/>
        </w:r>
        <w:r w:rsidR="009D3AFE">
          <w:rPr>
            <w:webHidden/>
          </w:rPr>
          <w:t>48</w:t>
        </w:r>
        <w:r>
          <w:rPr>
            <w:webHidden/>
          </w:rPr>
          <w:fldChar w:fldCharType="end"/>
        </w:r>
      </w:hyperlink>
    </w:p>
    <w:p w14:paraId="1306FC08" w14:textId="4F526DBA" w:rsidR="002810D1" w:rsidRPr="005F20F5" w:rsidRDefault="00A33F5B">
      <w:r w:rsidRPr="005F20F5">
        <w:fldChar w:fldCharType="end"/>
      </w:r>
    </w:p>
    <w:p w14:paraId="0DFF7322" w14:textId="77777777" w:rsidR="000558B2" w:rsidRPr="005F20F5" w:rsidRDefault="000558B2" w:rsidP="005C411B">
      <w:pPr>
        <w:rPr>
          <w:b/>
          <w:bCs/>
          <w:color w:val="6B2976" w:themeColor="background2"/>
          <w:sz w:val="36"/>
          <w:szCs w:val="40"/>
        </w:rPr>
        <w:sectPr w:rsidR="000558B2" w:rsidRPr="005F20F5" w:rsidSect="00872AF9">
          <w:pgSz w:w="11907" w:h="16839" w:code="9"/>
          <w:pgMar w:top="1440" w:right="1440" w:bottom="1440" w:left="1440" w:header="709" w:footer="709" w:gutter="0"/>
          <w:cols w:space="708"/>
          <w:titlePg/>
          <w:docGrid w:linePitch="360"/>
        </w:sectPr>
      </w:pPr>
    </w:p>
    <w:p w14:paraId="1BF0A9FC" w14:textId="77777777" w:rsidR="007667AF" w:rsidRPr="005F20F5" w:rsidRDefault="003F2371" w:rsidP="00380CDE">
      <w:pPr>
        <w:pStyle w:val="Heading1"/>
      </w:pPr>
      <w:bookmarkStart w:id="2" w:name="_Toc85097229"/>
      <w:r w:rsidRPr="005F20F5">
        <w:t>Introduction</w:t>
      </w:r>
      <w:bookmarkEnd w:id="2"/>
    </w:p>
    <w:p w14:paraId="7AB5D8B9" w14:textId="77777777" w:rsidR="005547D1" w:rsidRPr="005F20F5" w:rsidRDefault="00BB5F74" w:rsidP="00480AA3">
      <w:pPr>
        <w:rPr>
          <w:szCs w:val="22"/>
        </w:rPr>
      </w:pPr>
      <w:r w:rsidRPr="005F20F5">
        <w:rPr>
          <w:szCs w:val="22"/>
        </w:rPr>
        <w:t>The National Disability Insurance Scheme (NDIS</w:t>
      </w:r>
      <w:r w:rsidR="003A2B76" w:rsidRPr="005F20F5">
        <w:rPr>
          <w:szCs w:val="22"/>
        </w:rPr>
        <w:t>, Scheme</w:t>
      </w:r>
      <w:r w:rsidRPr="005F20F5">
        <w:rPr>
          <w:szCs w:val="22"/>
        </w:rPr>
        <w:t xml:space="preserve">) was established to support people with disability to </w:t>
      </w:r>
      <w:r w:rsidR="00472A90" w:rsidRPr="005F20F5">
        <w:rPr>
          <w:szCs w:val="22"/>
        </w:rPr>
        <w:t>pursue</w:t>
      </w:r>
      <w:r w:rsidRPr="005F20F5">
        <w:rPr>
          <w:szCs w:val="22"/>
        </w:rPr>
        <w:t xml:space="preserve"> their goals, to help them to realise their full potential, to </w:t>
      </w:r>
      <w:r w:rsidR="005547D1" w:rsidRPr="005F20F5">
        <w:rPr>
          <w:szCs w:val="22"/>
        </w:rPr>
        <w:t xml:space="preserve">assist them to </w:t>
      </w:r>
      <w:r w:rsidRPr="005F20F5">
        <w:rPr>
          <w:szCs w:val="22"/>
        </w:rPr>
        <w:t xml:space="preserve">participate in and contribute to society, and to </w:t>
      </w:r>
      <w:r w:rsidR="005547D1" w:rsidRPr="005F20F5">
        <w:rPr>
          <w:szCs w:val="22"/>
        </w:rPr>
        <w:t xml:space="preserve">empower them to </w:t>
      </w:r>
      <w:r w:rsidRPr="005F20F5">
        <w:rPr>
          <w:szCs w:val="22"/>
        </w:rPr>
        <w:t xml:space="preserve">exercise choice and control over their lives and futures. </w:t>
      </w:r>
      <w:r w:rsidR="005547D1" w:rsidRPr="005F20F5">
        <w:rPr>
          <w:szCs w:val="22"/>
        </w:rPr>
        <w:t>The Scheme is administered by the Nati</w:t>
      </w:r>
      <w:r w:rsidR="005547D1" w:rsidRPr="005F20F5">
        <w:rPr>
          <w:rFonts w:cs="Arial"/>
        </w:rPr>
        <w:t>onal Disability Insurance Agency (NDIA, Agency).</w:t>
      </w:r>
    </w:p>
    <w:p w14:paraId="2D48298B" w14:textId="77777777" w:rsidR="00693088" w:rsidRPr="005F20F5" w:rsidRDefault="00480AA3" w:rsidP="00480AA3">
      <w:r w:rsidRPr="005F20F5">
        <w:t xml:space="preserve">The </w:t>
      </w:r>
      <w:r w:rsidR="00BB5F74" w:rsidRPr="005F20F5">
        <w:t>Scheme</w:t>
      </w:r>
      <w:r w:rsidRPr="005F20F5">
        <w:t xml:space="preserve"> has been in operation for eight years, with the first three years being the trial period, followed by a transition phase</w:t>
      </w:r>
      <w:r w:rsidR="003A2B76" w:rsidRPr="005F20F5">
        <w:t xml:space="preserve"> until 1 July 2020</w:t>
      </w:r>
      <w:r w:rsidRPr="005F20F5">
        <w:t xml:space="preserve">, </w:t>
      </w:r>
      <w:r w:rsidR="003A2B76" w:rsidRPr="005F20F5">
        <w:t>when</w:t>
      </w:r>
      <w:r w:rsidRPr="005F20F5">
        <w:t xml:space="preserve"> the Scheme </w:t>
      </w:r>
      <w:r w:rsidR="003A2B76" w:rsidRPr="005F20F5">
        <w:t>was</w:t>
      </w:r>
      <w:r w:rsidRPr="005F20F5">
        <w:t xml:space="preserve"> operational in all a</w:t>
      </w:r>
      <w:r w:rsidR="003A2B76" w:rsidRPr="005F20F5">
        <w:t>reas of Australia</w:t>
      </w:r>
      <w:r w:rsidRPr="005F20F5">
        <w:t xml:space="preserve">. At 30 June 2016, the Scheme included 30,000 participants. The Scheme </w:t>
      </w:r>
      <w:r w:rsidR="003A2B76" w:rsidRPr="005F20F5">
        <w:t>has grown</w:t>
      </w:r>
      <w:r w:rsidRPr="005F20F5">
        <w:t xml:space="preserve"> significantly</w:t>
      </w:r>
      <w:r w:rsidR="003A2B76" w:rsidRPr="005F20F5">
        <w:t xml:space="preserve"> since then</w:t>
      </w:r>
      <w:r w:rsidRPr="005F20F5">
        <w:t xml:space="preserve">, with the number of participants increasing by more than ten-fold to 390,000 participants at 30 June 2020. As at 30 June 2021, there </w:t>
      </w:r>
      <w:r w:rsidR="003A2B76" w:rsidRPr="005F20F5">
        <w:t>were</w:t>
      </w:r>
      <w:r w:rsidR="00BB5F74" w:rsidRPr="005F20F5">
        <w:t xml:space="preserve"> 466,619 participants </w:t>
      </w:r>
      <w:r w:rsidRPr="005F20F5">
        <w:t xml:space="preserve">in the Scheme, including 245,274 </w:t>
      </w:r>
      <w:r w:rsidR="003A2B76" w:rsidRPr="005F20F5">
        <w:t xml:space="preserve">participants who were </w:t>
      </w:r>
      <w:r w:rsidRPr="005F20F5">
        <w:t xml:space="preserve">receiving supports for the first </w:t>
      </w:r>
      <w:r w:rsidR="00AF0BE9" w:rsidRPr="005F20F5">
        <w:t>time.</w:t>
      </w:r>
      <w:r w:rsidR="00BB5F74" w:rsidRPr="005F20F5">
        <w:rPr>
          <w:rStyle w:val="FootnoteReference"/>
        </w:rPr>
        <w:footnoteReference w:id="2"/>
      </w:r>
      <w:r w:rsidR="002E1A0F" w:rsidRPr="005F20F5">
        <w:t xml:space="preserve"> It</w:t>
      </w:r>
      <w:r w:rsidR="00693088" w:rsidRPr="005F20F5">
        <w:t xml:space="preserve"> estimated that there will be 670,400</w:t>
      </w:r>
      <w:r w:rsidR="002E1A0F" w:rsidRPr="005F20F5">
        <w:t xml:space="preserve"> participants in the Scheme in 2024-25 and</w:t>
      </w:r>
      <w:r w:rsidR="00693088" w:rsidRPr="005F20F5">
        <w:t xml:space="preserve"> </w:t>
      </w:r>
      <w:r w:rsidR="002E1A0F" w:rsidRPr="005F20F5">
        <w:t>859,328 participants in the Scheme in 2029-30.</w:t>
      </w:r>
    </w:p>
    <w:p w14:paraId="446E888C" w14:textId="77777777" w:rsidR="00CC4A65" w:rsidRPr="005F20F5" w:rsidRDefault="00AF0BE9" w:rsidP="00480AA3">
      <w:r w:rsidRPr="005F20F5">
        <w:t>On average</w:t>
      </w:r>
      <w:r w:rsidR="00CC4A65" w:rsidRPr="005F20F5">
        <w:t>,</w:t>
      </w:r>
      <w:r w:rsidRPr="005F20F5">
        <w:t xml:space="preserve"> each participant </w:t>
      </w:r>
      <w:r w:rsidR="00BB5F74" w:rsidRPr="005F20F5">
        <w:t xml:space="preserve">in </w:t>
      </w:r>
      <w:r w:rsidRPr="005F20F5">
        <w:t>202</w:t>
      </w:r>
      <w:r w:rsidR="00BB5F74" w:rsidRPr="005F20F5">
        <w:t>0</w:t>
      </w:r>
      <w:r w:rsidRPr="005F20F5">
        <w:t>-21 received supports worth $54,300</w:t>
      </w:r>
      <w:r w:rsidR="00CC4A65" w:rsidRPr="005F20F5">
        <w:t>. This amount has increased, on average, by 11.</w:t>
      </w:r>
      <w:r w:rsidR="00693088" w:rsidRPr="005F20F5">
        <w:t>8</w:t>
      </w:r>
      <w:r w:rsidR="003A2B76" w:rsidRPr="005F20F5">
        <w:t>%</w:t>
      </w:r>
      <w:r w:rsidR="00CC4A65" w:rsidRPr="005F20F5">
        <w:t xml:space="preserve"> per annum over the last four years</w:t>
      </w:r>
      <w:r w:rsidR="00693088" w:rsidRPr="005F20F5">
        <w:t xml:space="preserve"> (2017-18 </w:t>
      </w:r>
      <w:r w:rsidR="002E1A0F" w:rsidRPr="005F20F5">
        <w:t>to 2020-21).</w:t>
      </w:r>
    </w:p>
    <w:p w14:paraId="5F792E89" w14:textId="77777777" w:rsidR="00CC4A65" w:rsidRPr="005F20F5" w:rsidRDefault="00CC4A65" w:rsidP="00B55DCE">
      <w:pPr>
        <w:pStyle w:val="ListParagraph"/>
        <w:numPr>
          <w:ilvl w:val="0"/>
          <w:numId w:val="20"/>
        </w:numPr>
      </w:pPr>
      <w:r w:rsidRPr="005F20F5">
        <w:t xml:space="preserve">Average expenditure on participants in Supported Independent Living was in 2020-21 was </w:t>
      </w:r>
      <w:r w:rsidR="00AF0BE9" w:rsidRPr="005F20F5">
        <w:t>$320,800</w:t>
      </w:r>
      <w:r w:rsidRPr="005F20F5">
        <w:t>. This amount has increased, on average, by 12.0</w:t>
      </w:r>
      <w:r w:rsidR="003A2B76" w:rsidRPr="005F20F5">
        <w:t>%</w:t>
      </w:r>
      <w:r w:rsidRPr="005F20F5">
        <w:t xml:space="preserve"> per annum over the last four years.</w:t>
      </w:r>
    </w:p>
    <w:p w14:paraId="46FB2924" w14:textId="77777777" w:rsidR="00BB5F74" w:rsidRPr="005F20F5" w:rsidRDefault="00CC4A65" w:rsidP="00B55DCE">
      <w:pPr>
        <w:pStyle w:val="ListParagraph"/>
        <w:numPr>
          <w:ilvl w:val="0"/>
          <w:numId w:val="20"/>
        </w:numPr>
      </w:pPr>
      <w:r w:rsidRPr="005F20F5">
        <w:t xml:space="preserve">Average expenditure on other participants in 2020-21 was </w:t>
      </w:r>
      <w:r w:rsidR="00AF0BE9" w:rsidRPr="005F20F5">
        <w:t>$38,000</w:t>
      </w:r>
      <w:r w:rsidRPr="005F20F5">
        <w:t>. This amount has increased, on average, by 17.1</w:t>
      </w:r>
      <w:r w:rsidR="003A2B76" w:rsidRPr="005F20F5">
        <w:t>%</w:t>
      </w:r>
      <w:r w:rsidRPr="005F20F5">
        <w:t xml:space="preserve"> per annum over the last four years</w:t>
      </w:r>
      <w:r w:rsidR="00AF0BE9" w:rsidRPr="005F20F5">
        <w:t>.</w:t>
      </w:r>
      <w:r w:rsidRPr="005F20F5">
        <w:rPr>
          <w:rStyle w:val="FootnoteReference"/>
        </w:rPr>
        <w:footnoteReference w:id="3"/>
      </w:r>
      <w:r w:rsidR="00AF0BE9" w:rsidRPr="005F20F5">
        <w:t xml:space="preserve"> </w:t>
      </w:r>
    </w:p>
    <w:p w14:paraId="2C662F15" w14:textId="77777777" w:rsidR="00BB5F74" w:rsidRPr="005F20F5" w:rsidRDefault="00BB5F74" w:rsidP="00BB5F74">
      <w:r w:rsidRPr="005F20F5">
        <w:t xml:space="preserve">A total of 9,145 registered providers delivered supports to </w:t>
      </w:r>
      <w:r w:rsidR="00472A90" w:rsidRPr="005F20F5">
        <w:t>NDIA-</w:t>
      </w:r>
      <w:r w:rsidR="00CC4A65" w:rsidRPr="005F20F5">
        <w:t xml:space="preserve">managed </w:t>
      </w:r>
      <w:r w:rsidRPr="005F20F5">
        <w:t>participants in 2020-21.</w:t>
      </w:r>
      <w:r w:rsidR="00CC4A65" w:rsidRPr="005F20F5">
        <w:t xml:space="preserve"> </w:t>
      </w:r>
      <w:r w:rsidRPr="005F20F5">
        <w:t xml:space="preserve">Five </w:t>
      </w:r>
      <w:r w:rsidR="00CC4A65" w:rsidRPr="005F20F5">
        <w:t xml:space="preserve">of these </w:t>
      </w:r>
      <w:r w:rsidRPr="005F20F5">
        <w:t>providers received more than $100 million each in NDIS payments in 2020-21, with the largest registered provider delivering supports worth $291 million.</w:t>
      </w:r>
      <w:r w:rsidR="00CC4A65" w:rsidRPr="005F20F5">
        <w:rPr>
          <w:rStyle w:val="FootnoteReference"/>
        </w:rPr>
        <w:footnoteReference w:id="4"/>
      </w:r>
    </w:p>
    <w:p w14:paraId="67290CC5" w14:textId="77777777" w:rsidR="00AF0BE9" w:rsidRPr="005F20F5" w:rsidRDefault="00AF0BE9" w:rsidP="00480AA3">
      <w:r w:rsidRPr="005F20F5">
        <w:t>Total payments by the Scheme in 2020-21 were $23.3 billion, with:</w:t>
      </w:r>
    </w:p>
    <w:p w14:paraId="2CDBE119" w14:textId="77777777" w:rsidR="00AF0BE9" w:rsidRPr="005F20F5" w:rsidRDefault="001545B3" w:rsidP="00B55DCE">
      <w:pPr>
        <w:pStyle w:val="ListParagraph"/>
        <w:numPr>
          <w:ilvl w:val="0"/>
          <w:numId w:val="19"/>
        </w:numPr>
      </w:pPr>
      <w:r w:rsidRPr="005F20F5">
        <w:t>56.1</w:t>
      </w:r>
      <w:r w:rsidR="003A2B76" w:rsidRPr="005F20F5">
        <w:t>%</w:t>
      </w:r>
      <w:r w:rsidRPr="005F20F5">
        <w:t xml:space="preserve"> </w:t>
      </w:r>
      <w:r w:rsidR="00AF0BE9" w:rsidRPr="005F20F5">
        <w:t>($13.1 billion) on support for daily activities</w:t>
      </w:r>
      <w:r w:rsidRPr="005F20F5">
        <w:t>;</w:t>
      </w:r>
    </w:p>
    <w:p w14:paraId="0A573568" w14:textId="77777777" w:rsidR="00AF0BE9" w:rsidRPr="005F20F5" w:rsidRDefault="00AF0BE9" w:rsidP="00B55DCE">
      <w:pPr>
        <w:pStyle w:val="ListParagraph"/>
        <w:numPr>
          <w:ilvl w:val="0"/>
          <w:numId w:val="19"/>
        </w:numPr>
      </w:pPr>
      <w:r w:rsidRPr="005F20F5">
        <w:t>17.0</w:t>
      </w:r>
      <w:r w:rsidR="003A2B76" w:rsidRPr="005F20F5">
        <w:t>%</w:t>
      </w:r>
      <w:r w:rsidR="001545B3" w:rsidRPr="005F20F5">
        <w:t xml:space="preserve"> </w:t>
      </w:r>
      <w:r w:rsidRPr="005F20F5">
        <w:t>($3.9 billion) on community participation supports;</w:t>
      </w:r>
      <w:r w:rsidR="001545B3" w:rsidRPr="005F20F5">
        <w:t xml:space="preserve"> and</w:t>
      </w:r>
    </w:p>
    <w:p w14:paraId="4EA88888" w14:textId="77777777" w:rsidR="00AF0BE9" w:rsidRPr="005F20F5" w:rsidRDefault="00AF0BE9" w:rsidP="00B55DCE">
      <w:pPr>
        <w:pStyle w:val="ListParagraph"/>
        <w:numPr>
          <w:ilvl w:val="0"/>
          <w:numId w:val="19"/>
        </w:numPr>
      </w:pPr>
      <w:r w:rsidRPr="005F20F5">
        <w:t>12.2</w:t>
      </w:r>
      <w:r w:rsidR="003A2B76" w:rsidRPr="005F20F5">
        <w:t>%</w:t>
      </w:r>
      <w:r w:rsidR="001545B3" w:rsidRPr="005F20F5">
        <w:t xml:space="preserve"> </w:t>
      </w:r>
      <w:r w:rsidRPr="005F20F5">
        <w:t>($2.8 billion)</w:t>
      </w:r>
      <w:r w:rsidR="001545B3" w:rsidRPr="005F20F5">
        <w:t xml:space="preserve"> on</w:t>
      </w:r>
      <w:r w:rsidRPr="005F20F5">
        <w:t xml:space="preserve"> capacity building supports for daily activities, </w:t>
      </w:r>
      <w:r w:rsidR="001545B3" w:rsidRPr="005F20F5">
        <w:t>including</w:t>
      </w:r>
      <w:r w:rsidRPr="005F20F5">
        <w:t xml:space="preserve"> therapy.</w:t>
      </w:r>
      <w:r w:rsidR="00CC4A65" w:rsidRPr="005F20F5">
        <w:rPr>
          <w:rStyle w:val="FootnoteReference"/>
        </w:rPr>
        <w:footnoteReference w:id="5"/>
      </w:r>
    </w:p>
    <w:p w14:paraId="328ABAA0" w14:textId="6E95E488" w:rsidR="00AF0BE9" w:rsidRPr="005F20F5" w:rsidRDefault="00BB5F74" w:rsidP="00480AA3">
      <w:r w:rsidRPr="005F20F5">
        <w:t xml:space="preserve">Total payments by the Scheme are currently projected </w:t>
      </w:r>
      <w:r w:rsidR="00CC4A65" w:rsidRPr="005F20F5">
        <w:t xml:space="preserve">by the Scheme Actuary </w:t>
      </w:r>
      <w:r w:rsidRPr="005F20F5">
        <w:t xml:space="preserve">to grow </w:t>
      </w:r>
      <w:r w:rsidR="00CC4A65" w:rsidRPr="005F20F5">
        <w:t xml:space="preserve">to </w:t>
      </w:r>
      <w:r w:rsidRPr="005F20F5">
        <w:t>$</w:t>
      </w:r>
      <w:r w:rsidR="002E1A0F" w:rsidRPr="005F20F5">
        <w:t>41.4</w:t>
      </w:r>
      <w:r w:rsidRPr="005F20F5">
        <w:t xml:space="preserve"> billion in 2024-25</w:t>
      </w:r>
      <w:r w:rsidR="002E1A0F" w:rsidRPr="005F20F5">
        <w:t>, and $59.3 billion in 2029-30 (on an accrual basis</w:t>
      </w:r>
      <w:r w:rsidR="00B111AE" w:rsidRPr="005F20F5">
        <w:t>)</w:t>
      </w:r>
      <w:r w:rsidRPr="005F20F5">
        <w:t>.</w:t>
      </w:r>
      <w:r w:rsidR="00CC4A65" w:rsidRPr="005F20F5">
        <w:rPr>
          <w:rStyle w:val="FootnoteReference"/>
        </w:rPr>
        <w:footnoteReference w:id="6"/>
      </w:r>
    </w:p>
    <w:p w14:paraId="0F265136" w14:textId="77777777" w:rsidR="007667AF" w:rsidRPr="005F20F5" w:rsidRDefault="007667AF" w:rsidP="00976651">
      <w:r w:rsidRPr="005F20F5">
        <w:t>Where possible, the NDIA utilises market mechanisms to deliver the level of supply required to meet participant demand and deliver the required mix of goods and services, produced at market clearing (efficient) prices, to meet the needs of particip</w:t>
      </w:r>
      <w:r w:rsidR="00976651" w:rsidRPr="005F20F5">
        <w:t xml:space="preserve">ants. However, in non-existent </w:t>
      </w:r>
      <w:r w:rsidRPr="005F20F5">
        <w:t xml:space="preserve">or underdeveloped markets, reliance on deregulated market mechanisms may not meet participant demands; may not deliver adequate supply; may not deliver the required mix of disability supports and may not produce efficient prices. </w:t>
      </w:r>
    </w:p>
    <w:p w14:paraId="4C064A3A" w14:textId="77777777" w:rsidR="007667AF" w:rsidRPr="005F20F5" w:rsidRDefault="007667AF" w:rsidP="00976651">
      <w:r w:rsidRPr="005F20F5">
        <w:t>To address these issues, the NDIA has a role, as market steward, to create an efficient and sustainable marketplace through a diverse and competitive range of suppliers who are able to meet the structural changes created by a consumer-driven market. As market steward the NDIA has responsibility for:</w:t>
      </w:r>
    </w:p>
    <w:p w14:paraId="285A6318" w14:textId="77777777" w:rsidR="007667AF" w:rsidRPr="005F20F5" w:rsidRDefault="007667AF" w:rsidP="00B55DCE">
      <w:pPr>
        <w:pStyle w:val="ListParagraph"/>
        <w:numPr>
          <w:ilvl w:val="0"/>
          <w:numId w:val="12"/>
        </w:numPr>
      </w:pPr>
      <w:r w:rsidRPr="005F20F5">
        <w:t xml:space="preserve">empowering people supported by the NDIS to exercise choice and control; </w:t>
      </w:r>
    </w:p>
    <w:p w14:paraId="2E986942" w14:textId="77777777" w:rsidR="007667AF" w:rsidRPr="005F20F5" w:rsidRDefault="007667AF" w:rsidP="00B55DCE">
      <w:pPr>
        <w:pStyle w:val="ListParagraph"/>
        <w:numPr>
          <w:ilvl w:val="0"/>
          <w:numId w:val="12"/>
        </w:numPr>
      </w:pPr>
      <w:r w:rsidRPr="005F20F5">
        <w:t xml:space="preserve">maintaining and expanding the supply of high quality disability supports; </w:t>
      </w:r>
    </w:p>
    <w:p w14:paraId="280AE524" w14:textId="77777777" w:rsidR="007667AF" w:rsidRPr="005F20F5" w:rsidRDefault="007667AF" w:rsidP="00B55DCE">
      <w:pPr>
        <w:pStyle w:val="ListParagraph"/>
        <w:numPr>
          <w:ilvl w:val="0"/>
          <w:numId w:val="12"/>
        </w:numPr>
      </w:pPr>
      <w:r w:rsidRPr="005F20F5">
        <w:t xml:space="preserve">driving efficiency and innovation in the market for those supports; and </w:t>
      </w:r>
    </w:p>
    <w:p w14:paraId="45055997" w14:textId="77777777" w:rsidR="007667AF" w:rsidRPr="005F20F5" w:rsidRDefault="007667AF" w:rsidP="00B55DCE">
      <w:pPr>
        <w:pStyle w:val="ListParagraph"/>
        <w:numPr>
          <w:ilvl w:val="0"/>
          <w:numId w:val="12"/>
        </w:numPr>
      </w:pPr>
      <w:r w:rsidRPr="005F20F5">
        <w:t>supporting the transition of the NDIS over the longer term to a more deregulated outcomes-based approach.</w:t>
      </w:r>
    </w:p>
    <w:p w14:paraId="794AC294" w14:textId="2FED0670" w:rsidR="001545B3" w:rsidRPr="005F20F5" w:rsidRDefault="007667AF" w:rsidP="004E6B4B">
      <w:r w:rsidRPr="005F20F5">
        <w:rPr>
          <w:rFonts w:cs="Arial"/>
        </w:rPr>
        <w:t>As part of its oversight of the Scheme and its role as market steward for the developing markets for disability goods and services</w:t>
      </w:r>
      <w:r w:rsidR="002E1A0F" w:rsidRPr="005F20F5">
        <w:rPr>
          <w:rFonts w:cs="Arial"/>
        </w:rPr>
        <w:t>,</w:t>
      </w:r>
      <w:r w:rsidRPr="005F20F5">
        <w:rPr>
          <w:rFonts w:cs="Arial"/>
        </w:rPr>
        <w:t xml:space="preserve"> the NDIA regulates the commercial relationships between providers and participants, including through price regulation. </w:t>
      </w:r>
      <w:r w:rsidR="001545B3" w:rsidRPr="005F20F5">
        <w:t>The price control arrangements apply to a</w:t>
      </w:r>
      <w:r w:rsidR="00472A90" w:rsidRPr="005F20F5">
        <w:t>ll supports purchased by NDIA-managed and plan-</w:t>
      </w:r>
      <w:r w:rsidR="001545B3" w:rsidRPr="005F20F5">
        <w:t>managed participants. They do not apply to self-managed participants. Of the $23.3 billion spent on supports in 2020-21, some 87</w:t>
      </w:r>
      <w:r w:rsidR="003A2B76" w:rsidRPr="005F20F5">
        <w:t>%</w:t>
      </w:r>
      <w:r w:rsidR="000F477A" w:rsidRPr="005F20F5">
        <w:t xml:space="preserve"> ($20</w:t>
      </w:r>
      <w:r w:rsidR="001545B3" w:rsidRPr="005F20F5">
        <w:t>.3 billion) was agency-managed ($12.0 billion) or plan-managed ($8.3 billion) and therefore subject to the price control arrangements. Some 13</w:t>
      </w:r>
      <w:r w:rsidR="003A2B76" w:rsidRPr="005F20F5">
        <w:t>%</w:t>
      </w:r>
      <w:r w:rsidR="001545B3" w:rsidRPr="005F20F5">
        <w:t xml:space="preserve"> ($3.0 billion) was self-managed and not subject to the pric</w:t>
      </w:r>
      <w:r w:rsidR="002E1A0F" w:rsidRPr="005F20F5">
        <w:t xml:space="preserve">ing </w:t>
      </w:r>
      <w:r w:rsidR="001545B3" w:rsidRPr="005F20F5">
        <w:t>arrangements.</w:t>
      </w:r>
      <w:r w:rsidR="001545B3" w:rsidRPr="005F20F5">
        <w:rPr>
          <w:rStyle w:val="FootnoteReference"/>
        </w:rPr>
        <w:footnoteReference w:id="7"/>
      </w:r>
    </w:p>
    <w:p w14:paraId="4417A7F8" w14:textId="77777777" w:rsidR="00B663C9" w:rsidRPr="005F20F5" w:rsidRDefault="007667AF" w:rsidP="00B663C9">
      <w:r w:rsidRPr="005F20F5">
        <w:t xml:space="preserve">In the short to medium term, price controls are required for some disability supports because the markets for disability goods and services are not yet fully developed. The longer-term goal of the NDIA is to </w:t>
      </w:r>
      <w:r w:rsidR="005547D1" w:rsidRPr="005F20F5">
        <w:t>reduce, as far as possible, the regulatory imposts on</w:t>
      </w:r>
      <w:r w:rsidRPr="005F20F5">
        <w:t xml:space="preserve"> the markets for disability supports. </w:t>
      </w:r>
      <w:r w:rsidR="00B663C9" w:rsidRPr="005F20F5">
        <w:t>The current Pricing Arrangements and Price Limits are set in accordance with the NDIS Pricing Strategy, which reflects the current situation of inefficient supply and growing demand.</w:t>
      </w:r>
      <w:r w:rsidR="00B663C9" w:rsidRPr="005F20F5">
        <w:rPr>
          <w:rStyle w:val="FootnoteReference"/>
        </w:rPr>
        <w:footnoteReference w:id="8"/>
      </w:r>
      <w:r w:rsidR="00B663C9" w:rsidRPr="005F20F5">
        <w:t xml:space="preserve"> The key principles underlying the pricing arrangements are to:</w:t>
      </w:r>
    </w:p>
    <w:p w14:paraId="5A93A6D7" w14:textId="77777777" w:rsidR="00B663C9" w:rsidRPr="005F20F5" w:rsidRDefault="00B663C9" w:rsidP="00B57DDA">
      <w:pPr>
        <w:pStyle w:val="ListParagraph"/>
        <w:numPr>
          <w:ilvl w:val="0"/>
          <w:numId w:val="12"/>
        </w:numPr>
      </w:pPr>
      <w:r w:rsidRPr="005F20F5">
        <w:t>provide value for money for participants;</w:t>
      </w:r>
    </w:p>
    <w:p w14:paraId="6D746676" w14:textId="77777777" w:rsidR="00B663C9" w:rsidRPr="005F20F5" w:rsidRDefault="00B663C9" w:rsidP="00B57DDA">
      <w:pPr>
        <w:pStyle w:val="ListParagraph"/>
        <w:numPr>
          <w:ilvl w:val="0"/>
          <w:numId w:val="12"/>
        </w:numPr>
      </w:pPr>
      <w:r w:rsidRPr="005F20F5">
        <w:t>deliver fair and consistent participant outcomes;</w:t>
      </w:r>
    </w:p>
    <w:p w14:paraId="258BAD56" w14:textId="77777777" w:rsidR="00B663C9" w:rsidRPr="005F20F5" w:rsidRDefault="00B663C9" w:rsidP="00B57DDA">
      <w:pPr>
        <w:pStyle w:val="ListParagraph"/>
        <w:numPr>
          <w:ilvl w:val="0"/>
          <w:numId w:val="12"/>
        </w:numPr>
      </w:pPr>
      <w:r w:rsidRPr="005F20F5">
        <w:t>support sustainable NDIS market growth; and</w:t>
      </w:r>
    </w:p>
    <w:p w14:paraId="7A858871" w14:textId="77777777" w:rsidR="00B663C9" w:rsidRPr="005F20F5" w:rsidRDefault="00B663C9" w:rsidP="00B57DDA">
      <w:pPr>
        <w:pStyle w:val="ListParagraph"/>
        <w:numPr>
          <w:ilvl w:val="0"/>
          <w:numId w:val="12"/>
        </w:numPr>
      </w:pPr>
      <w:r w:rsidRPr="005F20F5">
        <w:t>promote the delivery of high quality innovative supports.</w:t>
      </w:r>
    </w:p>
    <w:p w14:paraId="6FD04CD6" w14:textId="77777777" w:rsidR="007667AF" w:rsidRPr="005F20F5" w:rsidRDefault="00B663C9" w:rsidP="004E6B4B">
      <w:r w:rsidRPr="005F20F5">
        <w:t>The pricing arrangements aim to maintain and increase market supply, and help markets grow to a more mature state in the future, while recognising the need for financial sustainability.</w:t>
      </w:r>
      <w:r w:rsidRPr="005F20F5">
        <w:rPr>
          <w:rStyle w:val="FootnoteReference"/>
        </w:rPr>
        <w:t xml:space="preserve"> </w:t>
      </w:r>
      <w:r w:rsidR="007667AF" w:rsidRPr="005F20F5">
        <w:t xml:space="preserve">The NDIA continually monitors and reviews its price control framework and other market settings to determine whether they are still appropriate. </w:t>
      </w:r>
      <w:r w:rsidR="001545B3" w:rsidRPr="005F20F5">
        <w:t xml:space="preserve">This </w:t>
      </w:r>
      <w:r w:rsidRPr="005F20F5">
        <w:t>Annual Pricing Review</w:t>
      </w:r>
      <w:r w:rsidR="007667AF" w:rsidRPr="005F20F5">
        <w:t xml:space="preserve"> </w:t>
      </w:r>
      <w:r w:rsidR="001545B3" w:rsidRPr="005F20F5">
        <w:t>is</w:t>
      </w:r>
      <w:r w:rsidR="007667AF" w:rsidRPr="005F20F5">
        <w:t xml:space="preserve"> </w:t>
      </w:r>
      <w:r w:rsidR="002E1A0F" w:rsidRPr="005F20F5">
        <w:t xml:space="preserve">an </w:t>
      </w:r>
      <w:r w:rsidR="007667AF" w:rsidRPr="005F20F5">
        <w:t xml:space="preserve">important part of that monitoring and review process. </w:t>
      </w:r>
    </w:p>
    <w:p w14:paraId="25209C43" w14:textId="77777777" w:rsidR="007667AF" w:rsidRPr="005F20F5" w:rsidRDefault="007667AF" w:rsidP="004E6B4B">
      <w:pPr>
        <w:pStyle w:val="Heading2"/>
      </w:pPr>
      <w:bookmarkStart w:id="3" w:name="_Toc85097230"/>
      <w:r w:rsidRPr="005F20F5">
        <w:t>Scope of the Review</w:t>
      </w:r>
      <w:bookmarkEnd w:id="3"/>
    </w:p>
    <w:p w14:paraId="6F178D2E" w14:textId="77777777" w:rsidR="007667AF" w:rsidRPr="005F20F5" w:rsidRDefault="007667AF" w:rsidP="00976651">
      <w:r w:rsidRPr="005F20F5">
        <w:t>The</w:t>
      </w:r>
      <w:r w:rsidR="00976651" w:rsidRPr="005F20F5">
        <w:t xml:space="preserve"> Terms of Reference of the 2021-22 Annual Pricing</w:t>
      </w:r>
      <w:r w:rsidRPr="005F20F5">
        <w:t xml:space="preserve"> Review</w:t>
      </w:r>
      <w:r w:rsidR="004D48E5" w:rsidRPr="005F20F5">
        <w:t xml:space="preserve"> have been established by the NDIA Board. They</w:t>
      </w:r>
      <w:r w:rsidRPr="005F20F5">
        <w:t xml:space="preserve"> </w:t>
      </w:r>
      <w:r w:rsidR="00976651" w:rsidRPr="005F20F5">
        <w:t xml:space="preserve">require </w:t>
      </w:r>
      <w:r w:rsidR="004D48E5" w:rsidRPr="005F20F5">
        <w:t xml:space="preserve">the review </w:t>
      </w:r>
      <w:r w:rsidR="00976651" w:rsidRPr="005F20F5">
        <w:t>to</w:t>
      </w:r>
      <w:r w:rsidRPr="005F20F5">
        <w:t xml:space="preserve"> examine, through engagement with participants, providers and community and government stakeholders and targeted research, whether the Scheme’s existing price control framework (pricing arrangements and price limits) continues to be appropriate or should be modified.</w:t>
      </w:r>
    </w:p>
    <w:p w14:paraId="75900B8E" w14:textId="77777777" w:rsidR="007667AF" w:rsidRPr="005F20F5" w:rsidRDefault="007667AF" w:rsidP="00976651">
      <w:r w:rsidRPr="005F20F5">
        <w:t xml:space="preserve">In particular, the Review </w:t>
      </w:r>
      <w:r w:rsidR="00976651" w:rsidRPr="005F20F5">
        <w:t>is required to</w:t>
      </w:r>
      <w:r w:rsidRPr="005F20F5">
        <w:t>:</w:t>
      </w:r>
    </w:p>
    <w:p w14:paraId="32182B84" w14:textId="77777777" w:rsidR="007667AF" w:rsidRPr="005F20F5" w:rsidRDefault="007667AF" w:rsidP="00B57DDA">
      <w:pPr>
        <w:pStyle w:val="ListParagraph"/>
        <w:numPr>
          <w:ilvl w:val="0"/>
          <w:numId w:val="12"/>
        </w:numPr>
      </w:pPr>
      <w:r w:rsidRPr="005F20F5">
        <w:t>Examine options to simplify, where possible, the NDIS price control framework to better support participants to exercise choice and control, and to reduce, as far as possible, the regulatory burden that the pricing arrangements impose on participants and providers.</w:t>
      </w:r>
    </w:p>
    <w:p w14:paraId="644A3434" w14:textId="77777777" w:rsidR="007667AF" w:rsidRPr="005F20F5" w:rsidRDefault="007667AF" w:rsidP="00B55DCE">
      <w:pPr>
        <w:pStyle w:val="ListParagraph"/>
        <w:numPr>
          <w:ilvl w:val="0"/>
          <w:numId w:val="13"/>
        </w:numPr>
      </w:pPr>
      <w:r w:rsidRPr="005F20F5">
        <w:t>Review the pricing arrangements and price limits for core supports, by:</w:t>
      </w:r>
    </w:p>
    <w:p w14:paraId="0DC19326" w14:textId="77777777" w:rsidR="007667AF" w:rsidRPr="005F20F5" w:rsidRDefault="007667AF" w:rsidP="00B55DCE">
      <w:pPr>
        <w:pStyle w:val="ListParagraph"/>
        <w:numPr>
          <w:ilvl w:val="1"/>
          <w:numId w:val="13"/>
        </w:numPr>
      </w:pPr>
      <w:r w:rsidRPr="005F20F5">
        <w:t xml:space="preserve">Examining the ongoing appropriateness of the methodology and parameters used in the </w:t>
      </w:r>
      <w:r w:rsidRPr="005F20F5">
        <w:rPr>
          <w:i/>
        </w:rPr>
        <w:t>NDIS Cost Model for Disability Support Worker</w:t>
      </w:r>
      <w:r w:rsidRPr="005F20F5">
        <w:t>, including</w:t>
      </w:r>
      <w:r w:rsidRPr="005F20F5">
        <w:rPr>
          <w:i/>
        </w:rPr>
        <w:t xml:space="preserve"> </w:t>
      </w:r>
      <w:r w:rsidRPr="005F20F5">
        <w:t>through analysis of the most recent financial benchmarking data, paying particular regard to the outcomes of the Fair Work Commission’s 4 yearly review of modern awards—Social, Community, Home Care and Disability Services Award 2010 (AM2018/26);</w:t>
      </w:r>
    </w:p>
    <w:p w14:paraId="5636CDA1" w14:textId="77777777" w:rsidR="007667AF" w:rsidRPr="005F20F5" w:rsidRDefault="007667AF" w:rsidP="00B55DCE">
      <w:pPr>
        <w:pStyle w:val="ListParagraph"/>
        <w:numPr>
          <w:ilvl w:val="1"/>
          <w:numId w:val="13"/>
        </w:numPr>
      </w:pPr>
      <w:r w:rsidRPr="005F20F5">
        <w:t>Identifying any unintended consequences of the new pricing arrangements for group based community participation supports that were introduced on 1 July 2020, including the extent to which the arrangements impact on overhead costs and administrative complexity for providers and participants; and</w:t>
      </w:r>
    </w:p>
    <w:p w14:paraId="0F7B7581" w14:textId="77777777" w:rsidR="007667AF" w:rsidRPr="005F20F5" w:rsidRDefault="007667AF" w:rsidP="00B55DCE">
      <w:pPr>
        <w:pStyle w:val="ListParagraph"/>
        <w:numPr>
          <w:ilvl w:val="1"/>
          <w:numId w:val="13"/>
        </w:numPr>
      </w:pPr>
      <w:r w:rsidRPr="005F20F5">
        <w:t>Examining the extent to which the Temporary Transformation Payment arrangements have achieved their purpose and continue to provide value for money.</w:t>
      </w:r>
    </w:p>
    <w:p w14:paraId="0E578B71" w14:textId="77777777" w:rsidR="007667AF" w:rsidRPr="005F20F5" w:rsidRDefault="007667AF" w:rsidP="00B55DCE">
      <w:pPr>
        <w:pStyle w:val="ListParagraph"/>
        <w:numPr>
          <w:ilvl w:val="0"/>
          <w:numId w:val="13"/>
        </w:numPr>
      </w:pPr>
      <w:r w:rsidRPr="005F20F5">
        <w:t>Review the pricing arrangements for therapy and nursing supports, including whether the NDIS pricing arrangements are appropriately aligned with those in comparable Australian Government and state schemes, and with the private market for therapy supports, by</w:t>
      </w:r>
    </w:p>
    <w:p w14:paraId="4F8D1CA8" w14:textId="77777777" w:rsidR="007667AF" w:rsidRPr="005F20F5" w:rsidRDefault="007667AF" w:rsidP="00B55DCE">
      <w:pPr>
        <w:pStyle w:val="ListParagraph"/>
        <w:numPr>
          <w:ilvl w:val="1"/>
          <w:numId w:val="13"/>
        </w:numPr>
      </w:pPr>
      <w:r w:rsidRPr="005F20F5">
        <w:t xml:space="preserve">Examining the nature of the markets for therapy and nursing services, including the extent to which the markets are made up of distinct segments, including in thin and undersupplied markets and in regional and remote areas; </w:t>
      </w:r>
    </w:p>
    <w:p w14:paraId="7391321E" w14:textId="77777777" w:rsidR="007667AF" w:rsidRPr="005F20F5" w:rsidRDefault="007667AF" w:rsidP="00B55DCE">
      <w:pPr>
        <w:pStyle w:val="ListParagraph"/>
        <w:numPr>
          <w:ilvl w:val="1"/>
          <w:numId w:val="13"/>
        </w:numPr>
      </w:pPr>
      <w:r w:rsidRPr="005F20F5">
        <w:t>Undertaking detailed benchmarking on therapy and nursing supports, including therapy assistants, against both relevant comparable Australian Government and state government schemes and the private mainstream markets; and</w:t>
      </w:r>
    </w:p>
    <w:p w14:paraId="243CA7FB" w14:textId="77777777" w:rsidR="007667AF" w:rsidRPr="005F20F5" w:rsidRDefault="007667AF" w:rsidP="00B55DCE">
      <w:pPr>
        <w:pStyle w:val="ListParagraph"/>
        <w:numPr>
          <w:ilvl w:val="1"/>
          <w:numId w:val="13"/>
        </w:numPr>
      </w:pPr>
      <w:r w:rsidRPr="005F20F5">
        <w:t>Examining the extent of competition in the market for therapy services.</w:t>
      </w:r>
    </w:p>
    <w:p w14:paraId="4604FE0F" w14:textId="77777777" w:rsidR="007667AF" w:rsidRPr="005F20F5" w:rsidRDefault="007667AF" w:rsidP="00B55DCE">
      <w:pPr>
        <w:pStyle w:val="ListParagraph"/>
        <w:numPr>
          <w:ilvl w:val="0"/>
          <w:numId w:val="13"/>
        </w:numPr>
      </w:pPr>
      <w:r w:rsidRPr="005F20F5">
        <w:t>Review the pricing arrangements for support coordination and plan management to encourage innovation, improve quality of service and ensure value for money.</w:t>
      </w:r>
    </w:p>
    <w:p w14:paraId="48934FEE" w14:textId="77777777" w:rsidR="007667AF" w:rsidRPr="005F20F5" w:rsidRDefault="007667AF" w:rsidP="00B55DCE">
      <w:pPr>
        <w:pStyle w:val="ListParagraph"/>
        <w:numPr>
          <w:ilvl w:val="0"/>
          <w:numId w:val="13"/>
        </w:numPr>
      </w:pPr>
      <w:r w:rsidRPr="005F20F5">
        <w:t>Review the pricing arrangements that apply to supports delivered in regional, remote and very remote areas to ensure continued access to appropriate supports for participants living in those areas.</w:t>
      </w:r>
    </w:p>
    <w:p w14:paraId="566E2611" w14:textId="77777777" w:rsidR="007667AF" w:rsidRPr="005F20F5" w:rsidRDefault="007667AF" w:rsidP="00B55DCE">
      <w:pPr>
        <w:pStyle w:val="ListParagraph"/>
        <w:numPr>
          <w:ilvl w:val="0"/>
          <w:numId w:val="13"/>
        </w:numPr>
      </w:pPr>
      <w:r w:rsidRPr="005F20F5">
        <w:t>Examine, in line with Recommendation 2 of the 2019 WA Market Review, whether the current economic conditions in states where economic trends are often counter cyclical to the trends in other states and territories (and, in particular, in Western Australia, Queensland and South Australia) are such as to require temporary adjustments to price controls in those states in order to proactively manage any potential impacts on the supply of disability goods and services.</w:t>
      </w:r>
      <w:r w:rsidR="004D48E5" w:rsidRPr="005F20F5">
        <w:rPr>
          <w:rStyle w:val="FootnoteReference"/>
        </w:rPr>
        <w:footnoteReference w:id="9"/>
      </w:r>
    </w:p>
    <w:p w14:paraId="5AB73463" w14:textId="77777777" w:rsidR="007667AF" w:rsidRPr="005F20F5" w:rsidRDefault="007667AF" w:rsidP="00976651">
      <w:r w:rsidRPr="005F20F5">
        <w:t xml:space="preserve">In framing its recommendations, the Review </w:t>
      </w:r>
      <w:r w:rsidR="00976651" w:rsidRPr="005F20F5">
        <w:t>is required to</w:t>
      </w:r>
      <w:r w:rsidRPr="005F20F5">
        <w:t xml:space="preserve"> be cognisant of the objects and principles set out in the </w:t>
      </w:r>
      <w:r w:rsidRPr="005F20F5">
        <w:rPr>
          <w:i/>
        </w:rPr>
        <w:t>National Disability Insurance Scheme Act 2013</w:t>
      </w:r>
      <w:r w:rsidRPr="005F20F5">
        <w:t>, including that the NDIS should:</w:t>
      </w:r>
    </w:p>
    <w:p w14:paraId="4161AE7B" w14:textId="77777777" w:rsidR="007667AF" w:rsidRPr="005F20F5" w:rsidRDefault="007667AF" w:rsidP="00B55DCE">
      <w:pPr>
        <w:pStyle w:val="ListParagraph"/>
        <w:numPr>
          <w:ilvl w:val="0"/>
          <w:numId w:val="13"/>
        </w:numPr>
      </w:pPr>
      <w:r w:rsidRPr="005F20F5">
        <w:t xml:space="preserve">Support the independence and social and economic participation of people with disability; </w:t>
      </w:r>
    </w:p>
    <w:p w14:paraId="5B6F6977" w14:textId="77777777" w:rsidR="007667AF" w:rsidRPr="005F20F5" w:rsidRDefault="007667AF" w:rsidP="00B55DCE">
      <w:pPr>
        <w:pStyle w:val="ListParagraph"/>
        <w:numPr>
          <w:ilvl w:val="0"/>
          <w:numId w:val="13"/>
        </w:numPr>
      </w:pPr>
      <w:r w:rsidRPr="005F20F5">
        <w:t>Enable people with disability to exercise choice and control in the pursuit of their goals and the planning and delivery of their supports;</w:t>
      </w:r>
    </w:p>
    <w:p w14:paraId="5C2DF0B1" w14:textId="77777777" w:rsidR="007667AF" w:rsidRPr="005F20F5" w:rsidRDefault="007667AF" w:rsidP="00B55DCE">
      <w:pPr>
        <w:pStyle w:val="ListParagraph"/>
        <w:numPr>
          <w:ilvl w:val="0"/>
          <w:numId w:val="13"/>
        </w:numPr>
      </w:pPr>
      <w:r w:rsidRPr="005F20F5">
        <w:t>Facilitate the development of a nationally consistent approach to the access to, and the planning and funding of, supports for people with disability;</w:t>
      </w:r>
    </w:p>
    <w:p w14:paraId="697796CE" w14:textId="77777777" w:rsidR="007667AF" w:rsidRPr="005F20F5" w:rsidRDefault="007667AF" w:rsidP="00B55DCE">
      <w:pPr>
        <w:pStyle w:val="ListParagraph"/>
        <w:numPr>
          <w:ilvl w:val="0"/>
          <w:numId w:val="13"/>
        </w:numPr>
      </w:pPr>
      <w:r w:rsidRPr="005F20F5">
        <w:t xml:space="preserve">Promote the provision of high quality and innovative supports that enable people with disability to maximise independent lifestyles and full inclusion in the community; </w:t>
      </w:r>
    </w:p>
    <w:p w14:paraId="2BE15B3E" w14:textId="77777777" w:rsidR="007667AF" w:rsidRPr="005F20F5" w:rsidRDefault="007667AF" w:rsidP="00B55DCE">
      <w:pPr>
        <w:pStyle w:val="ListParagraph"/>
        <w:numPr>
          <w:ilvl w:val="0"/>
          <w:numId w:val="13"/>
        </w:numPr>
      </w:pPr>
      <w:r w:rsidRPr="005F20F5">
        <w:t>Adopt an insurance based approach, informed by actuarial analysis, to the provision and funding of supports for people with disability; and</w:t>
      </w:r>
    </w:p>
    <w:p w14:paraId="7F761D68" w14:textId="77777777" w:rsidR="007667AF" w:rsidRPr="005F20F5" w:rsidRDefault="007667AF" w:rsidP="00B55DCE">
      <w:pPr>
        <w:pStyle w:val="ListParagraph"/>
        <w:numPr>
          <w:ilvl w:val="0"/>
          <w:numId w:val="13"/>
        </w:numPr>
      </w:pPr>
      <w:r w:rsidRPr="005F20F5">
        <w:t>Be financially sustainable.</w:t>
      </w:r>
    </w:p>
    <w:p w14:paraId="71530E59" w14:textId="77777777" w:rsidR="004E6B4B" w:rsidRPr="005F20F5" w:rsidRDefault="004E6B4B" w:rsidP="004E6B4B">
      <w:pPr>
        <w:pStyle w:val="Heading2"/>
      </w:pPr>
      <w:bookmarkStart w:id="4" w:name="_Toc85097231"/>
      <w:r w:rsidRPr="005F20F5">
        <w:t>How you can contribute to this review</w:t>
      </w:r>
      <w:bookmarkEnd w:id="4"/>
    </w:p>
    <w:p w14:paraId="1A5A5802" w14:textId="77777777" w:rsidR="004E6B4B" w:rsidRPr="005F20F5" w:rsidRDefault="004E6B4B" w:rsidP="004E6B4B">
      <w:r w:rsidRPr="005F20F5">
        <w:t>The 2021-22 Annual Pricing Review commenced in September 2021 and will deliver updates and recommendations to the NDIA</w:t>
      </w:r>
      <w:r w:rsidR="00EE13F0" w:rsidRPr="005F20F5">
        <w:t xml:space="preserve"> </w:t>
      </w:r>
      <w:r w:rsidRPr="005F20F5">
        <w:t>Board, for implementation from 1 July 2022. It is expected that the outcomes of the Review will be announced in March 2022, with the final price limits to be announced after the release of the Fair Work Commission’s Annual Minimum Wage Decision</w:t>
      </w:r>
      <w:r w:rsidR="00693088" w:rsidRPr="005F20F5">
        <w:t>, which usually occurs in the second half of June</w:t>
      </w:r>
      <w:r w:rsidRPr="005F20F5">
        <w:t>.</w:t>
      </w:r>
    </w:p>
    <w:p w14:paraId="16EEF8F4" w14:textId="77777777" w:rsidR="004E6B4B" w:rsidRPr="005F20F5" w:rsidRDefault="00C94854" w:rsidP="004E6B4B">
      <w:pPr>
        <w:pStyle w:val="Heading3"/>
      </w:pPr>
      <w:bookmarkStart w:id="5" w:name="_Toc85097232"/>
      <w:r w:rsidRPr="005F20F5">
        <w:t>Consultation Paper</w:t>
      </w:r>
      <w:bookmarkEnd w:id="5"/>
    </w:p>
    <w:p w14:paraId="68D17344" w14:textId="77777777" w:rsidR="004E6B4B" w:rsidRPr="005F20F5" w:rsidRDefault="004E6B4B" w:rsidP="004E6B4B">
      <w:r w:rsidRPr="005F20F5">
        <w:t xml:space="preserve">This </w:t>
      </w:r>
      <w:r w:rsidR="00C94854" w:rsidRPr="005F20F5">
        <w:t>Consultation Paper</w:t>
      </w:r>
      <w:r w:rsidRPr="005F20F5">
        <w:t xml:space="preserve"> is intended to assist you to prepare </w:t>
      </w:r>
      <w:r w:rsidR="00472A90" w:rsidRPr="005F20F5">
        <w:t>a submission to the Annual Pricing</w:t>
      </w:r>
      <w:r w:rsidRPr="005F20F5">
        <w:t xml:space="preserve"> Review. You do not need to comment on every issue raised in this paper and you are free to raise any other issues or ideas that are relevant to the terms of reference.</w:t>
      </w:r>
    </w:p>
    <w:p w14:paraId="463FF49C" w14:textId="77777777" w:rsidR="004E6B4B" w:rsidRPr="005F20F5" w:rsidRDefault="004E6B4B" w:rsidP="004E6B4B">
      <w:r w:rsidRPr="005F20F5">
        <w:t>Submissions may range from a short note outlining your views on a particular topic to a much more substantial document covering a range of issues. Where possible, you should provide evidence, such as relevant data and documentation, to support your views. If you are a provider, then a brief overview of the nature of your organisation, the number of employees and participants, and the types of services you offer, and the locations in which you operate would be helpful.</w:t>
      </w:r>
    </w:p>
    <w:p w14:paraId="1E97D6A5" w14:textId="77777777" w:rsidR="004E6B4B" w:rsidRPr="005F20F5" w:rsidRDefault="004E6B4B" w:rsidP="004E6B4B">
      <w:r w:rsidRPr="005F20F5">
        <w:t xml:space="preserve">Any information that you consider to be of a confidential nature should be clearly marked or identified as confidential. The NDIA will not disclose such confidential information to third parties, without first providing you with notice of its intention to do so, such as where it is compelled to do so by law. </w:t>
      </w:r>
    </w:p>
    <w:p w14:paraId="421246D7" w14:textId="1E6BB263" w:rsidR="004E6B4B" w:rsidRPr="005F20F5" w:rsidRDefault="004E6B4B" w:rsidP="004E6B4B">
      <w:pPr>
        <w:rPr>
          <w:b/>
        </w:rPr>
      </w:pPr>
      <w:r w:rsidRPr="005F20F5">
        <w:rPr>
          <w:b/>
        </w:rPr>
        <w:t xml:space="preserve">Submissions </w:t>
      </w:r>
      <w:r w:rsidR="004F15DD" w:rsidRPr="005F20F5">
        <w:rPr>
          <w:b/>
        </w:rPr>
        <w:t>on</w:t>
      </w:r>
      <w:r w:rsidRPr="005F20F5">
        <w:rPr>
          <w:b/>
        </w:rPr>
        <w:t xml:space="preserve"> this </w:t>
      </w:r>
      <w:r w:rsidR="00C94854" w:rsidRPr="005F20F5">
        <w:rPr>
          <w:b/>
        </w:rPr>
        <w:t>Consultation Paper</w:t>
      </w:r>
      <w:r w:rsidRPr="005F20F5">
        <w:rPr>
          <w:b/>
        </w:rPr>
        <w:t xml:space="preserve"> can be lodged via email to </w:t>
      </w:r>
      <w:hyperlink r:id="rId18" w:history="1">
        <w:r w:rsidRPr="005F20F5">
          <w:rPr>
            <w:rStyle w:val="Hyperlink"/>
            <w:b/>
          </w:rPr>
          <w:t>apr@ndis.gov.au</w:t>
        </w:r>
      </w:hyperlink>
      <w:r w:rsidRPr="005F20F5">
        <w:rPr>
          <w:b/>
        </w:rPr>
        <w:t xml:space="preserve">. </w:t>
      </w:r>
    </w:p>
    <w:p w14:paraId="52348A35" w14:textId="77777777" w:rsidR="004E6B4B" w:rsidRPr="005F20F5" w:rsidRDefault="004E6B4B" w:rsidP="004E6B4B">
      <w:pPr>
        <w:rPr>
          <w:b/>
        </w:rPr>
      </w:pPr>
      <w:r w:rsidRPr="005F20F5">
        <w:rPr>
          <w:b/>
        </w:rPr>
        <w:t xml:space="preserve">Submissions </w:t>
      </w:r>
      <w:r w:rsidR="00F54592" w:rsidRPr="005F20F5">
        <w:rPr>
          <w:b/>
        </w:rPr>
        <w:t>must</w:t>
      </w:r>
      <w:r w:rsidRPr="005F20F5">
        <w:rPr>
          <w:b/>
        </w:rPr>
        <w:t xml:space="preserve"> be lodged by midnight AWST Sunday 28 November 2021.</w:t>
      </w:r>
    </w:p>
    <w:p w14:paraId="44A706DE" w14:textId="77777777" w:rsidR="004E6B4B" w:rsidRPr="005F20F5" w:rsidRDefault="004E6B4B" w:rsidP="004E6B4B">
      <w:pPr>
        <w:pStyle w:val="Heading3"/>
      </w:pPr>
      <w:bookmarkStart w:id="6" w:name="_Toc85097233"/>
      <w:r w:rsidRPr="005F20F5">
        <w:t>Working Groups</w:t>
      </w:r>
      <w:r w:rsidR="00D20FAA" w:rsidRPr="005F20F5">
        <w:t xml:space="preserve"> with Participants and Providers</w:t>
      </w:r>
      <w:bookmarkEnd w:id="6"/>
    </w:p>
    <w:p w14:paraId="56BF56E7" w14:textId="77777777" w:rsidR="00E466EA" w:rsidRPr="005F20F5" w:rsidRDefault="00E466EA" w:rsidP="00E466EA">
      <w:r w:rsidRPr="005F20F5">
        <w:t>It is proposed to also engage with participants, providers and other stakeholders through a number of working group</w:t>
      </w:r>
      <w:r w:rsidR="00E5078A" w:rsidRPr="005F20F5">
        <w:t>s</w:t>
      </w:r>
      <w:r w:rsidRPr="005F20F5">
        <w:t>.</w:t>
      </w:r>
      <w:r w:rsidR="00E5078A" w:rsidRPr="005F20F5">
        <w:t xml:space="preserve"> </w:t>
      </w:r>
    </w:p>
    <w:p w14:paraId="0575B71C" w14:textId="77777777" w:rsidR="00E466EA" w:rsidRPr="005F20F5" w:rsidRDefault="00E466EA" w:rsidP="00B55DCE">
      <w:pPr>
        <w:pStyle w:val="ListParagraph"/>
        <w:numPr>
          <w:ilvl w:val="0"/>
          <w:numId w:val="13"/>
        </w:numPr>
        <w:rPr>
          <w:rFonts w:cstheme="minorHAnsi"/>
        </w:rPr>
      </w:pPr>
      <w:r w:rsidRPr="005F20F5">
        <w:t xml:space="preserve">The first working group, of participants and participant representatives, will work with the NDIA to </w:t>
      </w:r>
      <w:r w:rsidRPr="005F20F5">
        <w:rPr>
          <w:rFonts w:cstheme="minorHAnsi"/>
        </w:rPr>
        <w:t>develop options for a plain English guide to pricing arrangements in the scheme and for market empowerment information for participants (e.g. range of prices paid).</w:t>
      </w:r>
    </w:p>
    <w:p w14:paraId="0FFE62D3" w14:textId="77777777" w:rsidR="00E466EA" w:rsidRPr="005F20F5" w:rsidRDefault="00E466EA" w:rsidP="00B55DCE">
      <w:pPr>
        <w:pStyle w:val="ListParagraph"/>
        <w:numPr>
          <w:ilvl w:val="0"/>
          <w:numId w:val="13"/>
        </w:numPr>
        <w:rPr>
          <w:rFonts w:cstheme="minorHAnsi"/>
        </w:rPr>
      </w:pPr>
      <w:r w:rsidRPr="005F20F5">
        <w:rPr>
          <w:rFonts w:cstheme="minorHAnsi"/>
        </w:rPr>
        <w:t>The second working group, of providers and participant representatives, will work with the NDIA to identify options to:</w:t>
      </w:r>
    </w:p>
    <w:p w14:paraId="2D21EE3A" w14:textId="77777777" w:rsidR="00E466EA" w:rsidRPr="005F20F5" w:rsidRDefault="00E466EA" w:rsidP="00B55DCE">
      <w:pPr>
        <w:pStyle w:val="ListParagraph"/>
        <w:numPr>
          <w:ilvl w:val="1"/>
          <w:numId w:val="13"/>
        </w:numPr>
        <w:rPr>
          <w:rFonts w:cstheme="minorHAnsi"/>
        </w:rPr>
      </w:pPr>
      <w:r w:rsidRPr="005F20F5">
        <w:rPr>
          <w:rFonts w:cstheme="minorHAnsi"/>
        </w:rPr>
        <w:t>Simplify the pricing arrangements;</w:t>
      </w:r>
    </w:p>
    <w:p w14:paraId="09BCFC0B" w14:textId="77777777" w:rsidR="00E466EA" w:rsidRPr="005F20F5" w:rsidRDefault="00E466EA" w:rsidP="00B55DCE">
      <w:pPr>
        <w:pStyle w:val="ListParagraph"/>
        <w:numPr>
          <w:ilvl w:val="1"/>
          <w:numId w:val="13"/>
        </w:numPr>
        <w:rPr>
          <w:rFonts w:cstheme="minorHAnsi"/>
        </w:rPr>
      </w:pPr>
      <w:r w:rsidRPr="005F20F5">
        <w:rPr>
          <w:rFonts w:cstheme="minorHAnsi"/>
        </w:rPr>
        <w:t>Allow updates to the pricing arrangements to be pushed through more easily to the sector and to provide greater explanatory material FAQs and Examples linked to definitive arrangements)</w:t>
      </w:r>
      <w:r w:rsidR="007F70FA" w:rsidRPr="005F20F5">
        <w:rPr>
          <w:rFonts w:cstheme="minorHAnsi"/>
        </w:rPr>
        <w:t xml:space="preserve"> </w:t>
      </w:r>
      <w:r w:rsidRPr="005F20F5">
        <w:rPr>
          <w:rFonts w:cstheme="minorHAnsi"/>
        </w:rPr>
        <w:t>including moving to a web based document and APIs; and</w:t>
      </w:r>
    </w:p>
    <w:p w14:paraId="321DE4B9" w14:textId="77777777" w:rsidR="004E6B4B" w:rsidRPr="005F20F5" w:rsidRDefault="00E466EA" w:rsidP="00B55DCE">
      <w:pPr>
        <w:pStyle w:val="ListParagraph"/>
        <w:numPr>
          <w:ilvl w:val="1"/>
          <w:numId w:val="13"/>
        </w:numPr>
        <w:rPr>
          <w:rFonts w:cstheme="minorHAnsi"/>
        </w:rPr>
      </w:pPr>
      <w:r w:rsidRPr="005F20F5">
        <w:rPr>
          <w:rFonts w:cstheme="minorHAnsi"/>
        </w:rPr>
        <w:t>Simplify claiming processes as part of the upgrade of the payment</w:t>
      </w:r>
      <w:r w:rsidR="00467368" w:rsidRPr="005F20F5">
        <w:rPr>
          <w:rFonts w:cstheme="minorHAnsi"/>
        </w:rPr>
        <w:t>s</w:t>
      </w:r>
      <w:r w:rsidRPr="005F20F5">
        <w:rPr>
          <w:rFonts w:cstheme="minorHAnsi"/>
        </w:rPr>
        <w:t xml:space="preserve"> system – for example, removing the need for different support items codes to be created for each separate registration group even when the underlying support is identical.</w:t>
      </w:r>
    </w:p>
    <w:p w14:paraId="3FDC65EC" w14:textId="77777777" w:rsidR="00E466EA" w:rsidRPr="005F20F5" w:rsidRDefault="00E466EA" w:rsidP="00B55DCE">
      <w:pPr>
        <w:pStyle w:val="ListParagraph"/>
        <w:numPr>
          <w:ilvl w:val="0"/>
          <w:numId w:val="13"/>
        </w:numPr>
        <w:rPr>
          <w:rFonts w:cstheme="minorHAnsi"/>
        </w:rPr>
      </w:pPr>
      <w:r w:rsidRPr="005F20F5">
        <w:rPr>
          <w:rFonts w:cstheme="minorHAnsi"/>
        </w:rPr>
        <w:t>The third working group, of providers and participant representatives, will work with the NDIA to examine:</w:t>
      </w:r>
    </w:p>
    <w:p w14:paraId="053EEAFA" w14:textId="77777777" w:rsidR="00E466EA" w:rsidRPr="005F20F5" w:rsidRDefault="00E466EA" w:rsidP="00B55DCE">
      <w:pPr>
        <w:pStyle w:val="ListParagraph"/>
        <w:numPr>
          <w:ilvl w:val="1"/>
          <w:numId w:val="13"/>
        </w:numPr>
        <w:rPr>
          <w:rFonts w:cstheme="minorHAnsi"/>
        </w:rPr>
      </w:pPr>
      <w:r w:rsidRPr="005F20F5">
        <w:rPr>
          <w:rFonts w:cstheme="minorHAnsi"/>
        </w:rPr>
        <w:t xml:space="preserve">The design and key parameters use by the NDIS Disability Support Worker Cost Model; and </w:t>
      </w:r>
    </w:p>
    <w:p w14:paraId="59C91CEF" w14:textId="77777777" w:rsidR="004E6B4B" w:rsidRPr="005F20F5" w:rsidRDefault="00E466EA" w:rsidP="00B55DCE">
      <w:pPr>
        <w:pStyle w:val="ListParagraph"/>
        <w:numPr>
          <w:ilvl w:val="1"/>
          <w:numId w:val="13"/>
        </w:numPr>
        <w:rPr>
          <w:rFonts w:cstheme="minorHAnsi"/>
        </w:rPr>
      </w:pPr>
      <w:r w:rsidRPr="005F20F5">
        <w:rPr>
          <w:rFonts w:cstheme="minorHAnsi"/>
        </w:rPr>
        <w:t>The implications for the cost model and price limits of the outcomes of the Fair Work Commission’s 4 yearly review of modern awards—Social, Community, Home Care and Disability Services Award 2010 (AM2018/26).</w:t>
      </w:r>
    </w:p>
    <w:p w14:paraId="1367EBCC" w14:textId="77777777" w:rsidR="00E466EA" w:rsidRPr="005F20F5" w:rsidRDefault="00E466EA" w:rsidP="00B55DCE">
      <w:pPr>
        <w:pStyle w:val="ListParagraph"/>
        <w:numPr>
          <w:ilvl w:val="0"/>
          <w:numId w:val="13"/>
        </w:numPr>
        <w:rPr>
          <w:rFonts w:cstheme="minorHAnsi"/>
        </w:rPr>
      </w:pPr>
      <w:r w:rsidRPr="005F20F5">
        <w:rPr>
          <w:rFonts w:cstheme="minorHAnsi"/>
        </w:rPr>
        <w:t>The fourth working group, of providers and participant representatives, will work with the NDIA to examine the extent to which the Temporary Transformation Payment arrangements have achieved their purpose and continue to provide value for money.</w:t>
      </w:r>
    </w:p>
    <w:p w14:paraId="14CDA4F6" w14:textId="77777777" w:rsidR="00E466EA" w:rsidRPr="005F20F5" w:rsidRDefault="00E466EA" w:rsidP="00B55DCE">
      <w:pPr>
        <w:pStyle w:val="ListParagraph"/>
        <w:numPr>
          <w:ilvl w:val="0"/>
          <w:numId w:val="13"/>
        </w:numPr>
        <w:rPr>
          <w:rFonts w:cstheme="minorHAnsi"/>
        </w:rPr>
      </w:pPr>
      <w:r w:rsidRPr="005F20F5">
        <w:t xml:space="preserve">The fifth working group, of providers and participant representatives, will work with the NDIA to examine the extent of competition in the market for therapy supports and options to improve the </w:t>
      </w:r>
      <w:r w:rsidRPr="005F20F5">
        <w:rPr>
          <w:rFonts w:cstheme="minorHAnsi"/>
        </w:rPr>
        <w:t>effectiveness and efficiency of those supports.</w:t>
      </w:r>
    </w:p>
    <w:p w14:paraId="303E3F85" w14:textId="77777777" w:rsidR="00E466EA" w:rsidRPr="005F20F5" w:rsidRDefault="00E466EA" w:rsidP="00B55DCE">
      <w:pPr>
        <w:pStyle w:val="ListParagraph"/>
        <w:numPr>
          <w:ilvl w:val="0"/>
          <w:numId w:val="13"/>
        </w:numPr>
        <w:rPr>
          <w:rFonts w:cstheme="minorHAnsi"/>
        </w:rPr>
      </w:pPr>
      <w:r w:rsidRPr="005F20F5">
        <w:rPr>
          <w:rFonts w:cstheme="minorHAnsi"/>
        </w:rPr>
        <w:t>The sixth working group, of providers and participant representatives, will work with the NDIA to examine the extent of competition in the market for the delivery of nursing supports and options to improve the effectiveness and efficiency of those supports.</w:t>
      </w:r>
    </w:p>
    <w:p w14:paraId="5F179619" w14:textId="77777777" w:rsidR="00E466EA" w:rsidRPr="005F20F5" w:rsidRDefault="00E466EA" w:rsidP="00B55DCE">
      <w:pPr>
        <w:pStyle w:val="ListParagraph"/>
        <w:numPr>
          <w:ilvl w:val="0"/>
          <w:numId w:val="13"/>
        </w:numPr>
        <w:rPr>
          <w:rFonts w:cstheme="minorHAnsi"/>
        </w:rPr>
      </w:pPr>
      <w:r w:rsidRPr="005F20F5">
        <w:rPr>
          <w:rFonts w:cstheme="minorHAnsi"/>
        </w:rPr>
        <w:t xml:space="preserve">The seventh </w:t>
      </w:r>
      <w:r w:rsidR="00D20FAA" w:rsidRPr="005F20F5">
        <w:rPr>
          <w:rFonts w:cstheme="minorHAnsi"/>
        </w:rPr>
        <w:t xml:space="preserve">working group, with plan managers, providers and participant representatives, will work with the NDIA to </w:t>
      </w:r>
      <w:r w:rsidRPr="005F20F5">
        <w:rPr>
          <w:rFonts w:cstheme="minorHAnsi"/>
        </w:rPr>
        <w:t>examine the costs of delivering plan management supports and the appropriate pricing arrangements for those supports.</w:t>
      </w:r>
    </w:p>
    <w:p w14:paraId="26E6338C" w14:textId="77777777" w:rsidR="00E466EA" w:rsidRPr="005F20F5" w:rsidRDefault="00D20FAA" w:rsidP="00B55DCE">
      <w:pPr>
        <w:pStyle w:val="ListParagraph"/>
        <w:numPr>
          <w:ilvl w:val="0"/>
          <w:numId w:val="13"/>
        </w:numPr>
        <w:rPr>
          <w:rFonts w:cstheme="minorHAnsi"/>
        </w:rPr>
      </w:pPr>
      <w:r w:rsidRPr="005F20F5">
        <w:rPr>
          <w:rFonts w:cstheme="minorHAnsi"/>
        </w:rPr>
        <w:t>The eighth working group, with support coordinators, providers and participant representatives, will work with the NDIA to examine the costs of delivering support coordination and the appropriate pricing arrangements for those supports.</w:t>
      </w:r>
    </w:p>
    <w:p w14:paraId="68543C00" w14:textId="20F6D67A" w:rsidR="00D20FAA" w:rsidRPr="005F20F5" w:rsidRDefault="00D20FAA" w:rsidP="000A763C">
      <w:pPr>
        <w:pStyle w:val="ListParagraph"/>
        <w:numPr>
          <w:ilvl w:val="0"/>
          <w:numId w:val="13"/>
        </w:numPr>
        <w:rPr>
          <w:rFonts w:cstheme="minorHAnsi"/>
        </w:rPr>
      </w:pPr>
      <w:r w:rsidRPr="005F20F5">
        <w:rPr>
          <w:rFonts w:cstheme="minorHAnsi"/>
        </w:rPr>
        <w:t>The ninth working group, with provider and participant representatives, will work with the NDIA to examine the costs of delivering suppor</w:t>
      </w:r>
      <w:r w:rsidR="000A763C" w:rsidRPr="005F20F5">
        <w:rPr>
          <w:rFonts w:cstheme="minorHAnsi"/>
        </w:rPr>
        <w:t>ts in regional and remote areas, and arrangements to ensure access to supports for parti</w:t>
      </w:r>
      <w:r w:rsidR="00F17CD8" w:rsidRPr="005F20F5">
        <w:rPr>
          <w:rFonts w:cstheme="minorHAnsi"/>
        </w:rPr>
        <w:t>cipants living in those areas.</w:t>
      </w:r>
    </w:p>
    <w:p w14:paraId="028ECA68" w14:textId="77777777" w:rsidR="00467368" w:rsidRPr="005F20F5" w:rsidRDefault="00467368" w:rsidP="00467368">
      <w:pPr>
        <w:pStyle w:val="ListParagraph"/>
        <w:numPr>
          <w:ilvl w:val="0"/>
          <w:numId w:val="13"/>
        </w:numPr>
        <w:rPr>
          <w:rFonts w:cstheme="minorHAnsi"/>
        </w:rPr>
      </w:pPr>
      <w:r w:rsidRPr="005F20F5">
        <w:rPr>
          <w:rFonts w:cstheme="minorHAnsi"/>
        </w:rPr>
        <w:t>The tenth working group, with provider and participant representatives, will work with the NDIA and the NDIS Quality and Safeguards Commission to examine whether the costs of registering with the NDIS Quality and Safeguards Commission and the costs associated with ensuring quality and safety of supports for people with disability are appropriately accounted for in the pricing arrangements for core and capacity building supports.</w:t>
      </w:r>
    </w:p>
    <w:p w14:paraId="3AF7BBAB" w14:textId="77777777" w:rsidR="00D20FAA" w:rsidRPr="005F20F5" w:rsidRDefault="00D20FAA" w:rsidP="00B55DCE">
      <w:pPr>
        <w:pStyle w:val="ListParagraph"/>
        <w:numPr>
          <w:ilvl w:val="0"/>
          <w:numId w:val="13"/>
        </w:numPr>
        <w:rPr>
          <w:rFonts w:cstheme="minorHAnsi"/>
        </w:rPr>
      </w:pPr>
      <w:r w:rsidRPr="005F20F5">
        <w:rPr>
          <w:rFonts w:cstheme="minorHAnsi"/>
        </w:rPr>
        <w:t xml:space="preserve">The </w:t>
      </w:r>
      <w:r w:rsidR="00467368" w:rsidRPr="005F20F5">
        <w:t xml:space="preserve">final </w:t>
      </w:r>
      <w:r w:rsidRPr="005F20F5">
        <w:t xml:space="preserve">working </w:t>
      </w:r>
      <w:r w:rsidRPr="005F20F5">
        <w:rPr>
          <w:rFonts w:cstheme="minorHAnsi"/>
        </w:rPr>
        <w:t>group</w:t>
      </w:r>
      <w:r w:rsidRPr="005F20F5">
        <w:t xml:space="preserve">, with </w:t>
      </w:r>
      <w:r w:rsidRPr="005F20F5">
        <w:rPr>
          <w:rFonts w:cstheme="minorHAnsi"/>
        </w:rPr>
        <w:t>provider and participant representatives, will work with the NDIA to examine the costs of delivering supports in West</w:t>
      </w:r>
      <w:r w:rsidR="00E5078A" w:rsidRPr="005F20F5">
        <w:rPr>
          <w:rFonts w:cstheme="minorHAnsi"/>
        </w:rPr>
        <w:t>e</w:t>
      </w:r>
      <w:r w:rsidRPr="005F20F5">
        <w:rPr>
          <w:rFonts w:cstheme="minorHAnsi"/>
        </w:rPr>
        <w:t xml:space="preserve">rn Australia </w:t>
      </w:r>
      <w:r w:rsidR="0019701A" w:rsidRPr="005F20F5">
        <w:rPr>
          <w:rFonts w:cstheme="minorHAnsi"/>
        </w:rPr>
        <w:t xml:space="preserve">(Queensland and South Australia) </w:t>
      </w:r>
      <w:r w:rsidRPr="005F20F5">
        <w:rPr>
          <w:rFonts w:cstheme="minorHAnsi"/>
        </w:rPr>
        <w:t xml:space="preserve">relative </w:t>
      </w:r>
      <w:r w:rsidR="00E5078A" w:rsidRPr="005F20F5">
        <w:rPr>
          <w:rFonts w:cstheme="minorHAnsi"/>
        </w:rPr>
        <w:t>to other states and territories.</w:t>
      </w:r>
    </w:p>
    <w:p w14:paraId="4CE75854" w14:textId="77777777" w:rsidR="00E5078A" w:rsidRPr="005F20F5" w:rsidRDefault="003A2B76" w:rsidP="00D20FAA">
      <w:r w:rsidRPr="005F20F5">
        <w:t xml:space="preserve">Each working group will consist of up to 25 members and will be chaired by the Chief Economist of the NDIA. The NDIA will appoint </w:t>
      </w:r>
      <w:r w:rsidRPr="005F20F5">
        <w:rPr>
          <w:rFonts w:cstheme="minorHAnsi"/>
        </w:rPr>
        <w:t>provider and participant representatives to</w:t>
      </w:r>
      <w:r w:rsidRPr="005F20F5">
        <w:t xml:space="preserve"> the working groups based on the relevance of the expertise and experience of the individuals and their organisations to the matters of discussion of the groups. </w:t>
      </w:r>
      <w:r w:rsidR="00E5078A" w:rsidRPr="005F20F5">
        <w:t xml:space="preserve">The working groups will meet by videoconference on several occasions between November 2021 </w:t>
      </w:r>
      <w:r w:rsidR="00A52B74" w:rsidRPr="005F20F5">
        <w:t>and</w:t>
      </w:r>
      <w:r w:rsidR="00E5078A" w:rsidRPr="005F20F5">
        <w:t xml:space="preserve"> February 2022.</w:t>
      </w:r>
      <w:r w:rsidR="007F70FA" w:rsidRPr="005F20F5">
        <w:t xml:space="preserve"> </w:t>
      </w:r>
      <w:r w:rsidRPr="005F20F5">
        <w:t xml:space="preserve">The Review will release further information on the working groups in October 2021. </w:t>
      </w:r>
    </w:p>
    <w:p w14:paraId="62346AC0" w14:textId="77777777" w:rsidR="00D20FAA" w:rsidRPr="005F20F5" w:rsidRDefault="00D20FAA" w:rsidP="00D20FAA">
      <w:pPr>
        <w:pStyle w:val="Heading3"/>
      </w:pPr>
      <w:bookmarkStart w:id="7" w:name="_Toc85097234"/>
      <w:r w:rsidRPr="005F20F5">
        <w:t>Consultations with other parties</w:t>
      </w:r>
      <w:bookmarkEnd w:id="7"/>
    </w:p>
    <w:p w14:paraId="0FF03898" w14:textId="77777777" w:rsidR="00D20FAA" w:rsidRPr="005F20F5" w:rsidRDefault="00D20FAA" w:rsidP="00D20FAA">
      <w:r w:rsidRPr="005F20F5">
        <w:t xml:space="preserve">The NDIA will also </w:t>
      </w:r>
      <w:r w:rsidR="004F15DD" w:rsidRPr="005F20F5">
        <w:t xml:space="preserve">discuss pricing arrangements and price setting methodologies for core and capacity building supports </w:t>
      </w:r>
      <w:r w:rsidR="00E466EA" w:rsidRPr="005F20F5">
        <w:t xml:space="preserve">with other </w:t>
      </w:r>
      <w:r w:rsidRPr="005F20F5">
        <w:t xml:space="preserve">insurance </w:t>
      </w:r>
      <w:r w:rsidR="00E466EA" w:rsidRPr="005F20F5">
        <w:t xml:space="preserve">schemes </w:t>
      </w:r>
      <w:r w:rsidRPr="005F20F5">
        <w:t>including</w:t>
      </w:r>
      <w:r w:rsidR="004F15DD" w:rsidRPr="005F20F5">
        <w:t>:</w:t>
      </w:r>
    </w:p>
    <w:p w14:paraId="0DB7E7D4" w14:textId="77777777" w:rsidR="00D20FAA" w:rsidRPr="005F20F5" w:rsidRDefault="007D32B7" w:rsidP="00B55DCE">
      <w:pPr>
        <w:pStyle w:val="ListParagraph"/>
        <w:numPr>
          <w:ilvl w:val="0"/>
          <w:numId w:val="13"/>
        </w:numPr>
      </w:pPr>
      <w:r w:rsidRPr="005F20F5">
        <w:t xml:space="preserve">New South Wales </w:t>
      </w:r>
      <w:r w:rsidR="00D20FAA" w:rsidRPr="005F20F5">
        <w:t>State Insurance Regulatory Authority (SIRA)</w:t>
      </w:r>
    </w:p>
    <w:p w14:paraId="634563DD" w14:textId="77777777" w:rsidR="007D32B7" w:rsidRPr="005F20F5" w:rsidRDefault="007D32B7" w:rsidP="00B55DCE">
      <w:pPr>
        <w:pStyle w:val="ListParagraph"/>
        <w:numPr>
          <w:ilvl w:val="0"/>
          <w:numId w:val="13"/>
        </w:numPr>
      </w:pPr>
      <w:r w:rsidRPr="005F20F5">
        <w:t>icare (New South Wales)</w:t>
      </w:r>
    </w:p>
    <w:p w14:paraId="781509CC" w14:textId="77777777" w:rsidR="00D20FAA" w:rsidRPr="005F20F5" w:rsidRDefault="00D20FAA" w:rsidP="00B55DCE">
      <w:pPr>
        <w:pStyle w:val="ListParagraph"/>
        <w:numPr>
          <w:ilvl w:val="0"/>
          <w:numId w:val="13"/>
        </w:numPr>
      </w:pPr>
      <w:r w:rsidRPr="005F20F5">
        <w:t>WorkSafe Victoria</w:t>
      </w:r>
    </w:p>
    <w:p w14:paraId="5A25C241" w14:textId="77777777" w:rsidR="007D32B7" w:rsidRPr="005F20F5" w:rsidRDefault="007D32B7" w:rsidP="00B55DCE">
      <w:pPr>
        <w:pStyle w:val="ListParagraph"/>
        <w:numPr>
          <w:ilvl w:val="0"/>
          <w:numId w:val="13"/>
        </w:numPr>
      </w:pPr>
      <w:r w:rsidRPr="005F20F5">
        <w:t>Victorian Transport Accident Commission (TAC)</w:t>
      </w:r>
    </w:p>
    <w:p w14:paraId="759A2E39" w14:textId="77777777" w:rsidR="00D20FAA" w:rsidRPr="005F20F5" w:rsidRDefault="00D20FAA" w:rsidP="00B55DCE">
      <w:pPr>
        <w:pStyle w:val="ListParagraph"/>
        <w:numPr>
          <w:ilvl w:val="0"/>
          <w:numId w:val="13"/>
        </w:numPr>
      </w:pPr>
      <w:r w:rsidRPr="005F20F5">
        <w:t>WorkCover Queensland</w:t>
      </w:r>
    </w:p>
    <w:p w14:paraId="36EC2F27" w14:textId="77777777" w:rsidR="007D32B7" w:rsidRPr="005F20F5" w:rsidRDefault="007D32B7" w:rsidP="00B55DCE">
      <w:pPr>
        <w:pStyle w:val="ListParagraph"/>
        <w:numPr>
          <w:ilvl w:val="0"/>
          <w:numId w:val="13"/>
        </w:numPr>
      </w:pPr>
      <w:r w:rsidRPr="005F20F5">
        <w:t>National Injury Insurance Scheme Queensland</w:t>
      </w:r>
    </w:p>
    <w:p w14:paraId="1DD9BB1E" w14:textId="77777777" w:rsidR="00D20FAA" w:rsidRPr="005F20F5" w:rsidRDefault="00D20FAA" w:rsidP="00B55DCE">
      <w:pPr>
        <w:pStyle w:val="ListParagraph"/>
        <w:numPr>
          <w:ilvl w:val="0"/>
          <w:numId w:val="13"/>
        </w:numPr>
      </w:pPr>
      <w:r w:rsidRPr="005F20F5">
        <w:t>WorkCover Western Australia</w:t>
      </w:r>
    </w:p>
    <w:p w14:paraId="44EC4078" w14:textId="77777777" w:rsidR="00E5078A" w:rsidRPr="005F20F5" w:rsidRDefault="00E5078A" w:rsidP="00B55DCE">
      <w:pPr>
        <w:pStyle w:val="ListParagraph"/>
        <w:numPr>
          <w:ilvl w:val="0"/>
          <w:numId w:val="13"/>
        </w:numPr>
      </w:pPr>
      <w:r w:rsidRPr="005F20F5">
        <w:t>Catastrophic Injuries Support Scheme (Western Australia)</w:t>
      </w:r>
    </w:p>
    <w:p w14:paraId="36721BE1" w14:textId="77777777" w:rsidR="00D20FAA" w:rsidRPr="005F20F5" w:rsidRDefault="00D20FAA" w:rsidP="00B55DCE">
      <w:pPr>
        <w:pStyle w:val="ListParagraph"/>
        <w:numPr>
          <w:ilvl w:val="0"/>
          <w:numId w:val="13"/>
        </w:numPr>
      </w:pPr>
      <w:r w:rsidRPr="005F20F5">
        <w:t>Return to Work South Australia</w:t>
      </w:r>
    </w:p>
    <w:p w14:paraId="52A449E0" w14:textId="77777777" w:rsidR="007D32B7" w:rsidRPr="005F20F5" w:rsidRDefault="007D32B7" w:rsidP="00B55DCE">
      <w:pPr>
        <w:pStyle w:val="ListParagraph"/>
        <w:numPr>
          <w:ilvl w:val="0"/>
          <w:numId w:val="13"/>
        </w:numPr>
      </w:pPr>
      <w:r w:rsidRPr="005F20F5">
        <w:t xml:space="preserve">Lifetime Support </w:t>
      </w:r>
      <w:r w:rsidR="00E5078A" w:rsidRPr="005F20F5">
        <w:t>(</w:t>
      </w:r>
      <w:r w:rsidRPr="005F20F5">
        <w:t>South Australia)</w:t>
      </w:r>
    </w:p>
    <w:p w14:paraId="03B2E6A1" w14:textId="77777777" w:rsidR="00E5078A" w:rsidRPr="005F20F5" w:rsidRDefault="00E5078A" w:rsidP="00B55DCE">
      <w:pPr>
        <w:pStyle w:val="ListParagraph"/>
        <w:numPr>
          <w:ilvl w:val="0"/>
          <w:numId w:val="13"/>
        </w:numPr>
      </w:pPr>
      <w:r w:rsidRPr="005F20F5">
        <w:t>Motor Accident Insurance Board (Tasmania)</w:t>
      </w:r>
    </w:p>
    <w:p w14:paraId="01465036" w14:textId="77777777" w:rsidR="007D32B7" w:rsidRPr="005F20F5" w:rsidRDefault="007D32B7" w:rsidP="00B55DCE">
      <w:pPr>
        <w:pStyle w:val="ListParagraph"/>
        <w:numPr>
          <w:ilvl w:val="0"/>
          <w:numId w:val="13"/>
        </w:numPr>
      </w:pPr>
      <w:r w:rsidRPr="005F20F5">
        <w:t>Lifetime Care and Support Scheme (Australian Capital Territory)</w:t>
      </w:r>
    </w:p>
    <w:p w14:paraId="017FD10F" w14:textId="77777777" w:rsidR="007D32B7" w:rsidRPr="005F20F5" w:rsidRDefault="007D32B7" w:rsidP="00B55DCE">
      <w:pPr>
        <w:pStyle w:val="ListParagraph"/>
        <w:numPr>
          <w:ilvl w:val="0"/>
          <w:numId w:val="13"/>
        </w:numPr>
      </w:pPr>
      <w:r w:rsidRPr="005F20F5">
        <w:t>Territory Insurance Office (Northern Territory)</w:t>
      </w:r>
    </w:p>
    <w:p w14:paraId="1F83CAB9" w14:textId="77777777" w:rsidR="00D20FAA" w:rsidRPr="005F20F5" w:rsidRDefault="00D20FAA" w:rsidP="00B55DCE">
      <w:pPr>
        <w:pStyle w:val="ListParagraph"/>
        <w:numPr>
          <w:ilvl w:val="0"/>
          <w:numId w:val="13"/>
        </w:numPr>
      </w:pPr>
      <w:r w:rsidRPr="005F20F5">
        <w:t>Comcare</w:t>
      </w:r>
    </w:p>
    <w:p w14:paraId="1E04E8DF" w14:textId="77777777" w:rsidR="00D20FAA" w:rsidRPr="005F20F5" w:rsidRDefault="00D20FAA" w:rsidP="00B55DCE">
      <w:pPr>
        <w:pStyle w:val="ListParagraph"/>
        <w:numPr>
          <w:ilvl w:val="0"/>
          <w:numId w:val="13"/>
        </w:numPr>
      </w:pPr>
      <w:r w:rsidRPr="005F20F5">
        <w:t>Department of Veterans Affairs</w:t>
      </w:r>
    </w:p>
    <w:p w14:paraId="3D666D0B" w14:textId="77777777" w:rsidR="007667AF" w:rsidRPr="005F20F5" w:rsidRDefault="00D20FAA" w:rsidP="00B663C9">
      <w:r w:rsidRPr="005F20F5">
        <w:t>The NDIA will also consult with the Government</w:t>
      </w:r>
      <w:r w:rsidR="0089268A" w:rsidRPr="005F20F5">
        <w:t xml:space="preserve">s of Western Australia, South Australia and Queensland </w:t>
      </w:r>
      <w:r w:rsidRPr="005F20F5">
        <w:t xml:space="preserve">on the economic conditions in </w:t>
      </w:r>
      <w:r w:rsidR="0089268A" w:rsidRPr="005F20F5">
        <w:t>their states</w:t>
      </w:r>
      <w:r w:rsidRPr="005F20F5">
        <w:t xml:space="preserve"> and their implications for the disability sector</w:t>
      </w:r>
      <w:r w:rsidR="00B663C9" w:rsidRPr="005F20F5">
        <w:t>.</w:t>
      </w:r>
    </w:p>
    <w:p w14:paraId="1D721FC5" w14:textId="77777777" w:rsidR="00B663C9" w:rsidRPr="005F20F5" w:rsidRDefault="00B663C9" w:rsidP="00B663C9">
      <w:pPr>
        <w:pStyle w:val="Heading3"/>
      </w:pPr>
      <w:bookmarkStart w:id="8" w:name="_Toc85097235"/>
      <w:r w:rsidRPr="005F20F5">
        <w:t>Further information</w:t>
      </w:r>
      <w:bookmarkEnd w:id="8"/>
    </w:p>
    <w:p w14:paraId="3E397F6A" w14:textId="24A7401B" w:rsidR="00B663C9" w:rsidRPr="005F20F5" w:rsidRDefault="00B663C9" w:rsidP="00B663C9">
      <w:r w:rsidRPr="005F20F5">
        <w:t xml:space="preserve">Further information on the 2021-22 Annual Pricing Review can be found </w:t>
      </w:r>
      <w:r w:rsidR="0089268A" w:rsidRPr="005F20F5">
        <w:t>at t</w:t>
      </w:r>
      <w:r w:rsidRPr="005F20F5">
        <w:t xml:space="preserve">he NDIS </w:t>
      </w:r>
      <w:hyperlink r:id="rId19" w:history="1">
        <w:r w:rsidRPr="005F20F5">
          <w:rPr>
            <w:rStyle w:val="Hyperlink"/>
          </w:rPr>
          <w:t>website</w:t>
        </w:r>
      </w:hyperlink>
      <w:r w:rsidRPr="005F20F5">
        <w:t>.</w:t>
      </w:r>
    </w:p>
    <w:p w14:paraId="3ED9DDD9" w14:textId="77777777" w:rsidR="00C6107F" w:rsidRPr="005F20F5" w:rsidRDefault="00C6107F" w:rsidP="00380CDE">
      <w:pPr>
        <w:pStyle w:val="Heading1"/>
        <w:sectPr w:rsidR="00C6107F" w:rsidRPr="005F20F5" w:rsidSect="00872AF9">
          <w:pgSz w:w="11907" w:h="16839" w:code="9"/>
          <w:pgMar w:top="1440" w:right="1440" w:bottom="1440" w:left="1440" w:header="709" w:footer="709" w:gutter="0"/>
          <w:cols w:space="708"/>
          <w:titlePg/>
          <w:docGrid w:linePitch="360"/>
        </w:sectPr>
      </w:pPr>
    </w:p>
    <w:p w14:paraId="4720AD97" w14:textId="77777777" w:rsidR="00C6107F" w:rsidRPr="005F20F5" w:rsidRDefault="00E147EC" w:rsidP="00380CDE">
      <w:pPr>
        <w:pStyle w:val="Heading1"/>
      </w:pPr>
      <w:bookmarkStart w:id="9" w:name="_Toc85097236"/>
      <w:r w:rsidRPr="005F20F5">
        <w:t>Pricing in the NDIS</w:t>
      </w:r>
      <w:bookmarkEnd w:id="9"/>
    </w:p>
    <w:p w14:paraId="4BB058F0" w14:textId="77777777" w:rsidR="00E24128" w:rsidRPr="005F20F5" w:rsidRDefault="00E24128" w:rsidP="00E24128">
      <w:pPr>
        <w:rPr>
          <w:rFonts w:cs="Arial"/>
        </w:rPr>
      </w:pPr>
      <w:r w:rsidRPr="005F20F5">
        <w:rPr>
          <w:rFonts w:cs="Arial"/>
        </w:rPr>
        <w:t>The provision of supports for participants in the National Disability Insurance Scheme (NDIS</w:t>
      </w:r>
      <w:r w:rsidR="00472A90" w:rsidRPr="005F20F5">
        <w:rPr>
          <w:rFonts w:cs="Arial"/>
        </w:rPr>
        <w:t>, Scheme</w:t>
      </w:r>
      <w:r w:rsidRPr="005F20F5">
        <w:rPr>
          <w:rFonts w:cs="Arial"/>
        </w:rPr>
        <w:t>) is subject to regulation by the National Disability Insurance Agency (NDIA</w:t>
      </w:r>
      <w:r w:rsidR="00472A90" w:rsidRPr="005F20F5">
        <w:rPr>
          <w:rFonts w:cs="Arial"/>
        </w:rPr>
        <w:t>, Agency</w:t>
      </w:r>
      <w:r w:rsidRPr="005F20F5">
        <w:rPr>
          <w:rFonts w:cs="Arial"/>
        </w:rPr>
        <w:t xml:space="preserve">) and the NDIS Quality and Safeguards Commission </w:t>
      </w:r>
      <w:r w:rsidR="00472A90" w:rsidRPr="005F20F5">
        <w:rPr>
          <w:rFonts w:cs="Arial"/>
        </w:rPr>
        <w:t xml:space="preserve">(Commission) </w:t>
      </w:r>
      <w:r w:rsidRPr="005F20F5">
        <w:rPr>
          <w:rFonts w:cs="Arial"/>
        </w:rPr>
        <w:t>through the provisions of the</w:t>
      </w:r>
      <w:r w:rsidRPr="005F20F5">
        <w:rPr>
          <w:rFonts w:cs="Arial"/>
          <w:i/>
        </w:rPr>
        <w:t xml:space="preserve"> National Disability Insurance Scheme Act 2013</w:t>
      </w:r>
      <w:r w:rsidRPr="005F20F5">
        <w:rPr>
          <w:rFonts w:cs="Arial"/>
        </w:rPr>
        <w:t xml:space="preserve"> and its subordinate legislation.</w:t>
      </w:r>
      <w:r w:rsidRPr="005F20F5">
        <w:rPr>
          <w:rStyle w:val="FootnoteReference"/>
        </w:rPr>
        <w:footnoteReference w:id="10"/>
      </w:r>
    </w:p>
    <w:p w14:paraId="4750DC48" w14:textId="77777777" w:rsidR="00E24128" w:rsidRPr="005F20F5" w:rsidRDefault="00E24128" w:rsidP="00E24128">
      <w:pPr>
        <w:rPr>
          <w:rFonts w:cs="Arial"/>
        </w:rPr>
      </w:pPr>
      <w:r w:rsidRPr="005F20F5">
        <w:rPr>
          <w:rFonts w:cs="Arial"/>
        </w:rPr>
        <w:t xml:space="preserve">The objects of the </w:t>
      </w:r>
      <w:r w:rsidRPr="005F20F5">
        <w:rPr>
          <w:rFonts w:cs="Arial"/>
          <w:i/>
        </w:rPr>
        <w:t>National Disability Insurance Scheme Act 2013</w:t>
      </w:r>
      <w:r w:rsidRPr="005F20F5">
        <w:rPr>
          <w:rFonts w:cs="Arial"/>
        </w:rPr>
        <w:t xml:space="preserve"> </w:t>
      </w:r>
      <w:r w:rsidR="00467368" w:rsidRPr="005F20F5">
        <w:rPr>
          <w:rFonts w:cs="Arial"/>
        </w:rPr>
        <w:t>include</w:t>
      </w:r>
      <w:r w:rsidRPr="005F20F5">
        <w:rPr>
          <w:rFonts w:cs="Arial"/>
        </w:rPr>
        <w:t xml:space="preserve"> to:</w:t>
      </w:r>
    </w:p>
    <w:p w14:paraId="041FA1FB" w14:textId="77777777" w:rsidR="00E24128" w:rsidRPr="005F20F5" w:rsidRDefault="00E24128" w:rsidP="00B55DCE">
      <w:pPr>
        <w:pStyle w:val="ListParagraph"/>
        <w:numPr>
          <w:ilvl w:val="0"/>
          <w:numId w:val="13"/>
        </w:numPr>
      </w:pPr>
      <w:r w:rsidRPr="005F20F5">
        <w:t>support the independence and social and economic participation of people with disability; and</w:t>
      </w:r>
    </w:p>
    <w:p w14:paraId="4C95DC45" w14:textId="77777777" w:rsidR="00E24128" w:rsidRPr="005F20F5" w:rsidRDefault="00E24128" w:rsidP="00B55DCE">
      <w:pPr>
        <w:pStyle w:val="ListParagraph"/>
        <w:numPr>
          <w:ilvl w:val="0"/>
          <w:numId w:val="13"/>
        </w:numPr>
      </w:pPr>
      <w:r w:rsidRPr="005F20F5">
        <w:t xml:space="preserve">provide reasonable and necessary supports, including early intervention supports, for participants in the </w:t>
      </w:r>
      <w:r w:rsidR="00101D33" w:rsidRPr="005F20F5">
        <w:t>NDIS</w:t>
      </w:r>
      <w:r w:rsidRPr="005F20F5">
        <w:t>; and</w:t>
      </w:r>
    </w:p>
    <w:p w14:paraId="2C3024D9" w14:textId="77777777" w:rsidR="00E24128" w:rsidRPr="005F20F5" w:rsidRDefault="00E24128" w:rsidP="00B55DCE">
      <w:pPr>
        <w:pStyle w:val="ListParagraph"/>
        <w:numPr>
          <w:ilvl w:val="0"/>
          <w:numId w:val="13"/>
        </w:numPr>
      </w:pPr>
      <w:r w:rsidRPr="005F20F5">
        <w:t>enable people with disability to exercise choice and control in the pursuit of their goals and the planning and delivery of their supports; and</w:t>
      </w:r>
    </w:p>
    <w:p w14:paraId="4E02743E" w14:textId="77777777" w:rsidR="00E24128" w:rsidRPr="005F20F5" w:rsidRDefault="00E24128" w:rsidP="00B55DCE">
      <w:pPr>
        <w:pStyle w:val="ListParagraph"/>
        <w:numPr>
          <w:ilvl w:val="0"/>
          <w:numId w:val="13"/>
        </w:numPr>
      </w:pPr>
      <w:r w:rsidRPr="005F20F5">
        <w:t>promote the provision of high quality and innovative supports that enable people with disability to maximise independent lifestyles and full inclusion in the community; and</w:t>
      </w:r>
    </w:p>
    <w:p w14:paraId="4F325F71" w14:textId="77777777" w:rsidR="00E24128" w:rsidRPr="005F20F5" w:rsidRDefault="00472A90" w:rsidP="00B55DCE">
      <w:pPr>
        <w:pStyle w:val="ListParagraph"/>
        <w:numPr>
          <w:ilvl w:val="0"/>
          <w:numId w:val="13"/>
        </w:numPr>
      </w:pPr>
      <w:r w:rsidRPr="005F20F5">
        <w:t>p</w:t>
      </w:r>
      <w:r w:rsidR="00E24128" w:rsidRPr="005F20F5">
        <w:t xml:space="preserve">rotect and prevent people with disability from experiencing harm arising from poor quality or unsafe supports or services provided under the </w:t>
      </w:r>
      <w:r w:rsidR="00101D33" w:rsidRPr="005F20F5">
        <w:t>NDIS</w:t>
      </w:r>
    </w:p>
    <w:p w14:paraId="5A8441A0" w14:textId="77777777" w:rsidR="00E24128" w:rsidRPr="005F20F5" w:rsidRDefault="00E24128" w:rsidP="00E24128">
      <w:pPr>
        <w:rPr>
          <w:rFonts w:cs="Arial"/>
        </w:rPr>
      </w:pPr>
      <w:r w:rsidRPr="005F20F5">
        <w:rPr>
          <w:rFonts w:cs="Arial"/>
        </w:rPr>
        <w:t>The Act further provides that these objects are to be achieved by:</w:t>
      </w:r>
    </w:p>
    <w:p w14:paraId="1ED66D38" w14:textId="77777777" w:rsidR="00E24128" w:rsidRPr="005F20F5" w:rsidRDefault="00E24128" w:rsidP="00B55DCE">
      <w:pPr>
        <w:pStyle w:val="ListParagraph"/>
        <w:numPr>
          <w:ilvl w:val="0"/>
          <w:numId w:val="13"/>
        </w:numPr>
      </w:pPr>
      <w:r w:rsidRPr="005F20F5">
        <w:t xml:space="preserve">providing the foundation for governments to work together to develop and implement the </w:t>
      </w:r>
      <w:r w:rsidR="00004224" w:rsidRPr="005F20F5">
        <w:t>NDIS</w:t>
      </w:r>
      <w:r w:rsidRPr="005F20F5">
        <w:t>; and</w:t>
      </w:r>
    </w:p>
    <w:p w14:paraId="2328CBDF" w14:textId="77777777" w:rsidR="00E24128" w:rsidRPr="005F20F5" w:rsidRDefault="00E24128" w:rsidP="00B55DCE">
      <w:pPr>
        <w:pStyle w:val="ListParagraph"/>
        <w:numPr>
          <w:ilvl w:val="0"/>
          <w:numId w:val="13"/>
        </w:numPr>
      </w:pPr>
      <w:r w:rsidRPr="005F20F5">
        <w:t>adopting an insurance</w:t>
      </w:r>
      <w:r w:rsidRPr="005F20F5">
        <w:rPr>
          <w:rFonts w:ascii="Cambria Math" w:hAnsi="Cambria Math" w:cs="Cambria Math"/>
        </w:rPr>
        <w:t>‑</w:t>
      </w:r>
      <w:r w:rsidRPr="005F20F5">
        <w:t>based approach, informed by actuarial analysis, to the provision and funding of supports for people with disability; and</w:t>
      </w:r>
    </w:p>
    <w:p w14:paraId="6F21EB46" w14:textId="77777777" w:rsidR="00E24128" w:rsidRPr="005F20F5" w:rsidRDefault="00E24128" w:rsidP="00B55DCE">
      <w:pPr>
        <w:pStyle w:val="ListParagraph"/>
        <w:numPr>
          <w:ilvl w:val="0"/>
          <w:numId w:val="13"/>
        </w:numPr>
      </w:pPr>
      <w:r w:rsidRPr="005F20F5">
        <w:t xml:space="preserve">establishing a national regulatory framework for persons and entities who provide supports and services to people with disability, including certain supports and services provided outside the </w:t>
      </w:r>
      <w:r w:rsidR="00004224" w:rsidRPr="005F20F5">
        <w:t>NDIS</w:t>
      </w:r>
      <w:r w:rsidRPr="005F20F5">
        <w:t>.</w:t>
      </w:r>
    </w:p>
    <w:p w14:paraId="034BBE4A" w14:textId="77777777" w:rsidR="00E24128" w:rsidRPr="005F20F5" w:rsidRDefault="00E24128" w:rsidP="00E24128">
      <w:pPr>
        <w:rPr>
          <w:rFonts w:cs="Arial"/>
        </w:rPr>
      </w:pPr>
      <w:r w:rsidRPr="005F20F5">
        <w:rPr>
          <w:rFonts w:cs="Arial"/>
        </w:rPr>
        <w:t>In giving effect to its objects, the Act also requires that regard is to be had to:</w:t>
      </w:r>
    </w:p>
    <w:p w14:paraId="0BCFD90E" w14:textId="77777777" w:rsidR="00E24128" w:rsidRPr="005F20F5" w:rsidRDefault="00E24128" w:rsidP="00B55DCE">
      <w:pPr>
        <w:pStyle w:val="ListParagraph"/>
        <w:numPr>
          <w:ilvl w:val="0"/>
          <w:numId w:val="13"/>
        </w:numPr>
      </w:pPr>
      <w:r w:rsidRPr="005F20F5">
        <w:t>the need to ensure the financial sustainability of the National Disability Insurance Scheme; and</w:t>
      </w:r>
    </w:p>
    <w:p w14:paraId="3FC69C18" w14:textId="77777777" w:rsidR="00E24128" w:rsidRPr="005F20F5" w:rsidRDefault="00E24128" w:rsidP="00B55DCE">
      <w:pPr>
        <w:pStyle w:val="ListParagraph"/>
        <w:numPr>
          <w:ilvl w:val="0"/>
          <w:numId w:val="13"/>
        </w:numPr>
      </w:pPr>
      <w:r w:rsidRPr="005F20F5">
        <w:t xml:space="preserve">the broad context of disability reform provided for in the National Disability Strategy and the </w:t>
      </w:r>
      <w:r w:rsidRPr="005F20F5">
        <w:rPr>
          <w:i/>
        </w:rPr>
        <w:t>Carer Recognition Act 2010</w:t>
      </w:r>
      <w:r w:rsidRPr="005F20F5">
        <w:t>; and</w:t>
      </w:r>
    </w:p>
    <w:p w14:paraId="415F236B" w14:textId="77777777" w:rsidR="00724752" w:rsidRPr="005F20F5" w:rsidRDefault="00E24128" w:rsidP="00B55DCE">
      <w:pPr>
        <w:pStyle w:val="ListParagraph"/>
        <w:numPr>
          <w:ilvl w:val="0"/>
          <w:numId w:val="13"/>
        </w:numPr>
        <w:rPr>
          <w:szCs w:val="22"/>
        </w:rPr>
      </w:pPr>
      <w:r w:rsidRPr="005F20F5">
        <w:t>the provision of services by other agencies, Departments or organisations and the need for interaction between the provision of mainstream services and the provision of supports under the National Disability Insurance Scheme.</w:t>
      </w:r>
      <w:r w:rsidRPr="005F20F5">
        <w:rPr>
          <w:szCs w:val="22"/>
        </w:rPr>
        <w:t xml:space="preserve"> </w:t>
      </w:r>
    </w:p>
    <w:p w14:paraId="79DEA133" w14:textId="77777777" w:rsidR="00E24128" w:rsidRPr="005F20F5" w:rsidRDefault="00E24128" w:rsidP="00E24128">
      <w:pPr>
        <w:rPr>
          <w:szCs w:val="22"/>
        </w:rPr>
      </w:pPr>
      <w:r w:rsidRPr="005F20F5">
        <w:rPr>
          <w:szCs w:val="22"/>
        </w:rPr>
        <w:t>Supports are funded by the NDIS if they are reasonable and necessary. That is,</w:t>
      </w:r>
      <w:r w:rsidR="00467368" w:rsidRPr="005F20F5">
        <w:rPr>
          <w:szCs w:val="22"/>
        </w:rPr>
        <w:t xml:space="preserve"> according to the NDIS Act, </w:t>
      </w:r>
      <w:r w:rsidR="00004224" w:rsidRPr="005F20F5">
        <w:rPr>
          <w:szCs w:val="22"/>
        </w:rPr>
        <w:t>if they:</w:t>
      </w:r>
    </w:p>
    <w:p w14:paraId="6CDB1FDB" w14:textId="77777777" w:rsidR="00E24128" w:rsidRPr="005F20F5" w:rsidRDefault="00E24128" w:rsidP="00B55DCE">
      <w:pPr>
        <w:pStyle w:val="ListParagraph"/>
        <w:numPr>
          <w:ilvl w:val="0"/>
          <w:numId w:val="13"/>
        </w:numPr>
      </w:pPr>
      <w:r w:rsidRPr="005F20F5">
        <w:t>assist the participant to pursue the goals, objectives and aspirations included in the participant’s statement of goals and aspirations; and</w:t>
      </w:r>
    </w:p>
    <w:p w14:paraId="2D61F7FD" w14:textId="77777777" w:rsidR="00E24128" w:rsidRPr="005F20F5" w:rsidRDefault="00E24128" w:rsidP="00B55DCE">
      <w:pPr>
        <w:pStyle w:val="ListParagraph"/>
        <w:numPr>
          <w:ilvl w:val="0"/>
          <w:numId w:val="13"/>
        </w:numPr>
      </w:pPr>
      <w:r w:rsidRPr="005F20F5">
        <w:t>assist the participant to undertake activities, so as to facilitate the participant’s social and economic participation; and</w:t>
      </w:r>
    </w:p>
    <w:p w14:paraId="22738040" w14:textId="77777777" w:rsidR="00E24128" w:rsidRPr="005F20F5" w:rsidRDefault="00E24128" w:rsidP="00B55DCE">
      <w:pPr>
        <w:pStyle w:val="ListParagraph"/>
        <w:numPr>
          <w:ilvl w:val="0"/>
          <w:numId w:val="13"/>
        </w:numPr>
      </w:pPr>
      <w:r w:rsidRPr="005F20F5">
        <w:t>represent value for money in that the costs of the support are reasonable, relative to both the benefits achieved and the cost of alternative support; and</w:t>
      </w:r>
    </w:p>
    <w:p w14:paraId="440BDAD6" w14:textId="77777777" w:rsidR="00E24128" w:rsidRPr="005F20F5" w:rsidRDefault="00E24128" w:rsidP="00B55DCE">
      <w:pPr>
        <w:pStyle w:val="ListParagraph"/>
        <w:numPr>
          <w:ilvl w:val="0"/>
          <w:numId w:val="13"/>
        </w:numPr>
      </w:pPr>
      <w:r w:rsidRPr="005F20F5">
        <w:t>be, or be likely to be, effective and beneficial for the participant, having regard to current good practice.</w:t>
      </w:r>
    </w:p>
    <w:p w14:paraId="15D71771" w14:textId="77777777" w:rsidR="00E24128" w:rsidRPr="005F20F5" w:rsidRDefault="00E24128" w:rsidP="00724752">
      <w:r w:rsidRPr="005F20F5">
        <w:rPr>
          <w:szCs w:val="22"/>
        </w:rPr>
        <w:t>The decision to fund a support must also take into account</w:t>
      </w:r>
      <w:r w:rsidR="00724752" w:rsidRPr="005F20F5">
        <w:rPr>
          <w:szCs w:val="22"/>
        </w:rPr>
        <w:t xml:space="preserve"> </w:t>
      </w:r>
      <w:r w:rsidRPr="005F20F5">
        <w:t>what it is reasonable to expect families, carers, informal networks and the community to provide; and</w:t>
      </w:r>
      <w:r w:rsidR="00724752" w:rsidRPr="005F20F5">
        <w:t xml:space="preserve"> </w:t>
      </w:r>
      <w:r w:rsidRPr="005F20F5">
        <w:t xml:space="preserve">whether the support is most appropriately funded or provided through the National Disability Insurance Scheme, </w:t>
      </w:r>
      <w:r w:rsidR="00467368" w:rsidRPr="005F20F5">
        <w:t xml:space="preserve">or </w:t>
      </w:r>
      <w:r w:rsidRPr="005F20F5">
        <w:t>is not more appropriately funded or provided through other general systems of service delivery or support services.</w:t>
      </w:r>
    </w:p>
    <w:p w14:paraId="77AAF967" w14:textId="602AC0B7" w:rsidR="00E24128" w:rsidRPr="005F20F5" w:rsidRDefault="007F2E84" w:rsidP="00E24128">
      <w:pPr>
        <w:rPr>
          <w:szCs w:val="22"/>
        </w:rPr>
      </w:pPr>
      <w:r w:rsidRPr="005F20F5">
        <w:rPr>
          <w:szCs w:val="22"/>
        </w:rPr>
        <w:fldChar w:fldCharType="begin"/>
      </w:r>
      <w:r w:rsidRPr="005F20F5">
        <w:rPr>
          <w:szCs w:val="22"/>
        </w:rPr>
        <w:instrText xml:space="preserve"> REF _Ref83300878 \h </w:instrText>
      </w:r>
      <w:r w:rsidR="007A0655" w:rsidRPr="005F20F5">
        <w:rPr>
          <w:szCs w:val="22"/>
        </w:rPr>
        <w:instrText xml:space="preserve"> \* MERGEFORMAT </w:instrText>
      </w:r>
      <w:r w:rsidRPr="005F20F5">
        <w:rPr>
          <w:szCs w:val="22"/>
        </w:rPr>
      </w:r>
      <w:r w:rsidRPr="005F20F5">
        <w:rPr>
          <w:szCs w:val="22"/>
        </w:rPr>
        <w:fldChar w:fldCharType="separate"/>
      </w:r>
      <w:r w:rsidR="009D3AFE" w:rsidRPr="005F20F5">
        <w:t xml:space="preserve">Exhibit </w:t>
      </w:r>
      <w:r w:rsidR="009D3AFE">
        <w:rPr>
          <w:noProof/>
        </w:rPr>
        <w:t>1</w:t>
      </w:r>
      <w:r w:rsidRPr="005F20F5">
        <w:rPr>
          <w:szCs w:val="22"/>
        </w:rPr>
        <w:fldChar w:fldCharType="end"/>
      </w:r>
      <w:r w:rsidRPr="005F20F5">
        <w:rPr>
          <w:szCs w:val="22"/>
        </w:rPr>
        <w:t xml:space="preserve"> </w:t>
      </w:r>
      <w:r w:rsidR="00E24128" w:rsidRPr="005F20F5">
        <w:rPr>
          <w:szCs w:val="22"/>
        </w:rPr>
        <w:t>schematises how these objects and principles guide the NDIS pricing arrangements. Underpinning these objects is the principle that a funded support must represent value for money. There are two elements in determining value for money under the NDIS Act, whether the costs of support are reasonable relative to the benefits achieved and the cost of alternative support</w:t>
      </w:r>
    </w:p>
    <w:p w14:paraId="752EDCD3" w14:textId="7BA23EF9" w:rsidR="00E24128" w:rsidRPr="005F20F5" w:rsidRDefault="00E24128" w:rsidP="00153368">
      <w:pPr>
        <w:pStyle w:val="Caption"/>
      </w:pPr>
      <w:bookmarkStart w:id="10" w:name="_Ref83300878"/>
      <w:bookmarkStart w:id="11" w:name="_Toc83292071"/>
      <w:r w:rsidRPr="005F20F5">
        <w:t xml:space="preserve">Exhibit </w:t>
      </w:r>
      <w:r w:rsidR="009D3AFE">
        <w:fldChar w:fldCharType="begin"/>
      </w:r>
      <w:r w:rsidR="009D3AFE">
        <w:instrText xml:space="preserve"> SEQ</w:instrText>
      </w:r>
      <w:r w:rsidR="009D3AFE">
        <w:instrText xml:space="preserve"> Exhibit \* ARABIC </w:instrText>
      </w:r>
      <w:r w:rsidR="009D3AFE">
        <w:fldChar w:fldCharType="separate"/>
      </w:r>
      <w:r w:rsidR="009D3AFE">
        <w:rPr>
          <w:noProof/>
        </w:rPr>
        <w:t>1</w:t>
      </w:r>
      <w:r w:rsidR="009D3AFE">
        <w:rPr>
          <w:noProof/>
        </w:rPr>
        <w:fldChar w:fldCharType="end"/>
      </w:r>
      <w:bookmarkEnd w:id="10"/>
      <w:r w:rsidRPr="005F20F5">
        <w:t>: NDIS objectives and elements for determining value for money</w:t>
      </w:r>
      <w:bookmarkEnd w:id="11"/>
    </w:p>
    <w:p w14:paraId="21DA86F6" w14:textId="77777777" w:rsidR="00E24128" w:rsidRPr="005F20F5" w:rsidRDefault="00E24128" w:rsidP="00E24128">
      <w:r w:rsidRPr="005F20F5">
        <w:rPr>
          <w:noProof/>
          <w:lang w:eastAsia="en-AU"/>
        </w:rPr>
        <w:drawing>
          <wp:inline distT="0" distB="0" distL="0" distR="0" wp14:anchorId="1B2222EB" wp14:editId="41773114">
            <wp:extent cx="5747751" cy="2262215"/>
            <wp:effectExtent l="0" t="0" r="5715" b="5080"/>
            <wp:docPr id="1" name="Picture 1" descr="Flow chart outlines how the NDIS objectives flow into the NDIS pricing principles" title="EXHIBIT 1: NDIS OBJECTIVES AND ELEMENTS FOR DETERMINING VALUE FOR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0394" cy="2278999"/>
                    </a:xfrm>
                    <a:prstGeom prst="rect">
                      <a:avLst/>
                    </a:prstGeom>
                    <a:noFill/>
                  </pic:spPr>
                </pic:pic>
              </a:graphicData>
            </a:graphic>
          </wp:inline>
        </w:drawing>
      </w:r>
    </w:p>
    <w:p w14:paraId="57784C07" w14:textId="77777777" w:rsidR="00E24128" w:rsidRPr="005F20F5" w:rsidRDefault="00E24128" w:rsidP="00E24128">
      <w:pPr>
        <w:pStyle w:val="Heading2"/>
      </w:pPr>
      <w:bookmarkStart w:id="12" w:name="_Toc4756416"/>
      <w:bookmarkStart w:id="13" w:name="_Toc85097237"/>
      <w:r w:rsidRPr="005F20F5">
        <w:t>How does the Scheme operate?</w:t>
      </w:r>
      <w:bookmarkEnd w:id="12"/>
      <w:bookmarkEnd w:id="13"/>
    </w:p>
    <w:p w14:paraId="3D099F61" w14:textId="77777777" w:rsidR="00E24128" w:rsidRPr="005F20F5" w:rsidRDefault="00E24128" w:rsidP="00E24128">
      <w:r w:rsidRPr="005F20F5">
        <w:t>The Scheme provides funding to eligible individuals (“participants”) so that they can purchase, in the open market, the disability related goods and services (“supports”) that they need. It is administered by an independent national government agency, which has responsibility for determining whether or not an individual is eligible for assistance, and the level of that assistance – the participant’s personalised budget.</w:t>
      </w:r>
    </w:p>
    <w:p w14:paraId="3534293A" w14:textId="77777777" w:rsidR="00E24128" w:rsidRPr="005F20F5" w:rsidRDefault="00E24128" w:rsidP="00E24128">
      <w:r w:rsidRPr="005F20F5">
        <w:t>One of the principal objects of the Scheme is that participants have choice and control over how, and with which providers, they spend their available budgets. If the Agency agrees that the participant has the requisite capacity, then the participant can self-manage their budget, in which case they pay providers directly for the services that they receive and are reimbursed by the Agency from their budget. Participants who are not self-managing can choose to appoint (and use some of the funds in their personalised budget to pay for) a plan manager. In this case, the plan manager pays the providers who deliver services to the participants (with the participant retaining choice of service provider) and is reimbursed by the Agency from the participant’s budget. All other participants have their budgets managed by the Agency. In this case, the participant’s providers are paid directly by the Agency from the participant’s budget, while the participant still chooses their providers and the supports that they purchase.</w:t>
      </w:r>
    </w:p>
    <w:p w14:paraId="2D1E5982" w14:textId="77777777" w:rsidR="00E24128" w:rsidRPr="005F20F5" w:rsidRDefault="00E24128" w:rsidP="00E24128">
      <w:r w:rsidRPr="005F20F5">
        <w:t xml:space="preserve">Where a provider </w:t>
      </w:r>
      <w:r w:rsidR="005033E4" w:rsidRPr="005F20F5">
        <w:t>is paid directly by the Agency</w:t>
      </w:r>
      <w:r w:rsidR="00C91ACA" w:rsidRPr="005F20F5">
        <w:t>,</w:t>
      </w:r>
      <w:r w:rsidR="005033E4" w:rsidRPr="005F20F5">
        <w:t xml:space="preserve"> </w:t>
      </w:r>
      <w:r w:rsidRPr="005F20F5">
        <w:t xml:space="preserve">the provider is required to be registered with the </w:t>
      </w:r>
      <w:r w:rsidR="005033E4" w:rsidRPr="005F20F5">
        <w:t xml:space="preserve">Commission </w:t>
      </w:r>
      <w:r w:rsidRPr="005F20F5">
        <w:t xml:space="preserve">and </w:t>
      </w:r>
      <w:r w:rsidR="005033E4" w:rsidRPr="005F20F5">
        <w:t>abide by the pricing arrangements, including price limits</w:t>
      </w:r>
      <w:r w:rsidRPr="005F20F5">
        <w:t>. These restrictions do not apply to providers who are paid directly by self-managing participants</w:t>
      </w:r>
      <w:r w:rsidR="005033E4" w:rsidRPr="005F20F5">
        <w:t xml:space="preserve">. Providers who are paid </w:t>
      </w:r>
      <w:r w:rsidRPr="005F20F5">
        <w:t>by plan-managers on behalf of participants</w:t>
      </w:r>
      <w:r w:rsidR="005033E4" w:rsidRPr="005F20F5">
        <w:t xml:space="preserve"> are not required to be registered but are required to abide by the pricing arrangements, including price limits</w:t>
      </w:r>
      <w:r w:rsidRPr="005F20F5">
        <w:t>.</w:t>
      </w:r>
    </w:p>
    <w:p w14:paraId="005C95FD" w14:textId="77777777" w:rsidR="00E24128" w:rsidRPr="005F20F5" w:rsidRDefault="007E5A17" w:rsidP="00E24128">
      <w:pPr>
        <w:pStyle w:val="Heading2"/>
      </w:pPr>
      <w:bookmarkStart w:id="14" w:name="_Toc4756417"/>
      <w:bookmarkStart w:id="15" w:name="_Toc85097238"/>
      <w:r w:rsidRPr="005F20F5">
        <w:t>Why does the NDIA</w:t>
      </w:r>
      <w:r w:rsidR="00E24128" w:rsidRPr="005F20F5">
        <w:t xml:space="preserve"> regulate prices?</w:t>
      </w:r>
      <w:bookmarkEnd w:id="14"/>
      <w:bookmarkEnd w:id="15"/>
    </w:p>
    <w:p w14:paraId="7AF2C281" w14:textId="77777777" w:rsidR="00C6107F" w:rsidRPr="005F20F5" w:rsidRDefault="00724752" w:rsidP="00C6107F">
      <w:r w:rsidRPr="005F20F5">
        <w:t>The</w:t>
      </w:r>
      <w:r w:rsidR="00C6107F" w:rsidRPr="005F20F5">
        <w:t xml:space="preserve"> NDIA has a role, as market steward, to create an efficient and sustainable marketplace through a diverse and competitive range of suppliers who are able to meet the structural changes created by a consumer-driven market. </w:t>
      </w:r>
      <w:r w:rsidRPr="005F20F5">
        <w:t>The</w:t>
      </w:r>
      <w:r w:rsidR="00C6107F" w:rsidRPr="005F20F5">
        <w:t xml:space="preserve"> NDIA has responsibility for:</w:t>
      </w:r>
    </w:p>
    <w:p w14:paraId="4E1CC686" w14:textId="77777777" w:rsidR="00C6107F" w:rsidRPr="005F20F5" w:rsidRDefault="00C6107F" w:rsidP="00B55DCE">
      <w:pPr>
        <w:pStyle w:val="ListParagraph"/>
        <w:numPr>
          <w:ilvl w:val="0"/>
          <w:numId w:val="12"/>
        </w:numPr>
      </w:pPr>
      <w:r w:rsidRPr="005F20F5">
        <w:t xml:space="preserve">empowering people supported by the NDIS to exercise choice and control; </w:t>
      </w:r>
    </w:p>
    <w:p w14:paraId="40F8EE0D" w14:textId="77777777" w:rsidR="00C6107F" w:rsidRPr="005F20F5" w:rsidRDefault="00C6107F" w:rsidP="00B55DCE">
      <w:pPr>
        <w:pStyle w:val="ListParagraph"/>
        <w:numPr>
          <w:ilvl w:val="0"/>
          <w:numId w:val="12"/>
        </w:numPr>
      </w:pPr>
      <w:r w:rsidRPr="005F20F5">
        <w:t xml:space="preserve">maintaining and expanding the supply of high quality disability supports; </w:t>
      </w:r>
    </w:p>
    <w:p w14:paraId="28D14DBA" w14:textId="77777777" w:rsidR="00C6107F" w:rsidRPr="005F20F5" w:rsidRDefault="00C6107F" w:rsidP="00B55DCE">
      <w:pPr>
        <w:pStyle w:val="ListParagraph"/>
        <w:numPr>
          <w:ilvl w:val="0"/>
          <w:numId w:val="12"/>
        </w:numPr>
      </w:pPr>
      <w:r w:rsidRPr="005F20F5">
        <w:t xml:space="preserve">driving efficiency and innovation in the market for those supports; and </w:t>
      </w:r>
    </w:p>
    <w:p w14:paraId="009FACB8" w14:textId="77777777" w:rsidR="00C6107F" w:rsidRPr="005F20F5" w:rsidRDefault="00C6107F" w:rsidP="00B55DCE">
      <w:pPr>
        <w:pStyle w:val="ListParagraph"/>
        <w:numPr>
          <w:ilvl w:val="0"/>
          <w:numId w:val="12"/>
        </w:numPr>
      </w:pPr>
      <w:r w:rsidRPr="005F20F5">
        <w:t>supporting the transition of the NDIS over the longer term to a more deregulated outcomes-based approach.</w:t>
      </w:r>
    </w:p>
    <w:p w14:paraId="08B1C1A6" w14:textId="4DF42D28" w:rsidR="00E147EC" w:rsidRPr="005F20F5" w:rsidRDefault="007F2E84" w:rsidP="00E147EC">
      <w:r w:rsidRPr="005F20F5">
        <w:fldChar w:fldCharType="begin"/>
      </w:r>
      <w:r w:rsidRPr="005F20F5">
        <w:instrText xml:space="preserve"> REF _Ref83300885 \h </w:instrText>
      </w:r>
      <w:r w:rsidR="007A0655" w:rsidRPr="005F20F5">
        <w:instrText xml:space="preserve"> \* MERGEFORMAT </w:instrText>
      </w:r>
      <w:r w:rsidRPr="005F20F5">
        <w:fldChar w:fldCharType="separate"/>
      </w:r>
      <w:r w:rsidR="009D3AFE" w:rsidRPr="005F20F5">
        <w:t xml:space="preserve">Exhibit </w:t>
      </w:r>
      <w:r w:rsidR="009D3AFE">
        <w:rPr>
          <w:noProof/>
        </w:rPr>
        <w:t>2</w:t>
      </w:r>
      <w:r w:rsidRPr="005F20F5">
        <w:fldChar w:fldCharType="end"/>
      </w:r>
      <w:r w:rsidR="00E147EC" w:rsidRPr="005F20F5">
        <w:t xml:space="preserve"> demonstrates </w:t>
      </w:r>
      <w:r w:rsidR="00724752" w:rsidRPr="005F20F5">
        <w:t xml:space="preserve">the NDIS transition strategy for pricing – </w:t>
      </w:r>
      <w:r w:rsidR="00E147EC" w:rsidRPr="005F20F5">
        <w:t>the stages through which price regulation in supports needs to move in order</w:t>
      </w:r>
      <w:r w:rsidR="00724752" w:rsidRPr="005F20F5">
        <w:t xml:space="preserve"> to achieve deregulation.</w:t>
      </w:r>
    </w:p>
    <w:p w14:paraId="265EB6A1" w14:textId="5FA1C3F0" w:rsidR="00E147EC" w:rsidRPr="005F20F5" w:rsidRDefault="00E147EC" w:rsidP="00153368">
      <w:pPr>
        <w:pStyle w:val="Caption"/>
      </w:pPr>
      <w:bookmarkStart w:id="16" w:name="_Ref83300885"/>
      <w:bookmarkStart w:id="17" w:name="_Toc83292072"/>
      <w:r w:rsidRPr="005F20F5">
        <w:t xml:space="preserve">Exhibit </w:t>
      </w:r>
      <w:r w:rsidR="009D3AFE">
        <w:fldChar w:fldCharType="begin"/>
      </w:r>
      <w:r w:rsidR="009D3AFE">
        <w:instrText xml:space="preserve"> SEQ Exhibit \* ARABIC </w:instrText>
      </w:r>
      <w:r w:rsidR="009D3AFE">
        <w:fldChar w:fldCharType="separate"/>
      </w:r>
      <w:r w:rsidR="009D3AFE">
        <w:rPr>
          <w:noProof/>
        </w:rPr>
        <w:t>2</w:t>
      </w:r>
      <w:r w:rsidR="009D3AFE">
        <w:rPr>
          <w:noProof/>
        </w:rPr>
        <w:fldChar w:fldCharType="end"/>
      </w:r>
      <w:bookmarkEnd w:id="16"/>
      <w:r w:rsidRPr="005F20F5">
        <w:t>: NDIS Transition strategy for pricing</w:t>
      </w:r>
      <w:bookmarkEnd w:id="17"/>
    </w:p>
    <w:tbl>
      <w:tblPr>
        <w:tblStyle w:val="GridTable4"/>
        <w:tblW w:w="0" w:type="auto"/>
        <w:tblLook w:val="04A0" w:firstRow="1" w:lastRow="0" w:firstColumn="1" w:lastColumn="0" w:noHBand="0" w:noVBand="1"/>
        <w:tblCaption w:val="EXHIBIT 2: NDIS TRANSITION STRATEGY FOR PRICING"/>
        <w:tblDescription w:val="Table outlining the strategic actions for NDIS pricing"/>
      </w:tblPr>
      <w:tblGrid>
        <w:gridCol w:w="2689"/>
        <w:gridCol w:w="6327"/>
      </w:tblGrid>
      <w:tr w:rsidR="00E147EC" w:rsidRPr="005F20F5" w14:paraId="4573DD8A" w14:textId="77777777" w:rsidTr="003D1C27">
        <w:trPr>
          <w:cnfStyle w:val="100000000000" w:firstRow="1" w:lastRow="0" w:firstColumn="0" w:lastColumn="0" w:oddVBand="0" w:evenVBand="0" w:oddHBand="0" w:evenHBand="0" w:firstRowFirstColumn="0" w:firstRowLastColumn="0" w:lastRowFirstColumn="0" w:lastRowLastColumn="0"/>
          <w:trHeight w:val="343"/>
          <w:tblHeader/>
        </w:trPr>
        <w:tc>
          <w:tcPr>
            <w:cnfStyle w:val="001000000000" w:firstRow="0" w:lastRow="0" w:firstColumn="1" w:lastColumn="0" w:oddVBand="0" w:evenVBand="0" w:oddHBand="0" w:evenHBand="0" w:firstRowFirstColumn="0" w:firstRowLastColumn="0" w:lastRowFirstColumn="0" w:lastRowLastColumn="0"/>
            <w:tcW w:w="2689" w:type="dxa"/>
          </w:tcPr>
          <w:p w14:paraId="1A90FBBF" w14:textId="77777777" w:rsidR="00E147EC" w:rsidRPr="005F20F5" w:rsidRDefault="00E147EC" w:rsidP="00EB3BC2">
            <w:pPr>
              <w:spacing w:before="40" w:after="40"/>
              <w:rPr>
                <w:sz w:val="16"/>
                <w:szCs w:val="16"/>
              </w:rPr>
            </w:pPr>
            <w:r w:rsidRPr="005F20F5">
              <w:rPr>
                <w:sz w:val="16"/>
                <w:szCs w:val="16"/>
              </w:rPr>
              <w:t>Strategic Actions</w:t>
            </w:r>
          </w:p>
        </w:tc>
        <w:tc>
          <w:tcPr>
            <w:tcW w:w="6327" w:type="dxa"/>
          </w:tcPr>
          <w:p w14:paraId="47168186" w14:textId="77777777" w:rsidR="00E147EC" w:rsidRPr="005F20F5" w:rsidRDefault="00E147EC" w:rsidP="00EB3BC2">
            <w:pPr>
              <w:spacing w:before="40" w:after="40"/>
              <w:cnfStyle w:val="100000000000" w:firstRow="1" w:lastRow="0" w:firstColumn="0" w:lastColumn="0" w:oddVBand="0" w:evenVBand="0" w:oddHBand="0" w:evenHBand="0" w:firstRowFirstColumn="0" w:firstRowLastColumn="0" w:lastRowFirstColumn="0" w:lastRowLastColumn="0"/>
              <w:rPr>
                <w:sz w:val="16"/>
                <w:szCs w:val="16"/>
              </w:rPr>
            </w:pPr>
            <w:r w:rsidRPr="005F20F5">
              <w:rPr>
                <w:sz w:val="16"/>
                <w:szCs w:val="16"/>
              </w:rPr>
              <w:t>Description</w:t>
            </w:r>
          </w:p>
        </w:tc>
      </w:tr>
      <w:tr w:rsidR="00E147EC" w:rsidRPr="005F20F5" w14:paraId="0E54256D" w14:textId="77777777" w:rsidTr="00E14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906CFDA" w14:textId="77777777" w:rsidR="00E147EC" w:rsidRPr="005F20F5" w:rsidRDefault="00E147EC" w:rsidP="00EB3BC2">
            <w:pPr>
              <w:spacing w:before="40" w:after="40"/>
              <w:rPr>
                <w:b w:val="0"/>
                <w:sz w:val="16"/>
                <w:szCs w:val="16"/>
              </w:rPr>
            </w:pPr>
            <w:r w:rsidRPr="005F20F5">
              <w:rPr>
                <w:b w:val="0"/>
                <w:sz w:val="16"/>
                <w:szCs w:val="16"/>
              </w:rPr>
              <w:t>Expand supply and satisfy short term demand during the transition to full scheme</w:t>
            </w:r>
          </w:p>
        </w:tc>
        <w:tc>
          <w:tcPr>
            <w:tcW w:w="6327" w:type="dxa"/>
          </w:tcPr>
          <w:p w14:paraId="65609411" w14:textId="77777777" w:rsidR="00E147EC" w:rsidRPr="005F20F5" w:rsidRDefault="00E147EC" w:rsidP="00EB3BC2">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5F20F5">
              <w:rPr>
                <w:sz w:val="16"/>
                <w:szCs w:val="16"/>
              </w:rPr>
              <w:t>Set price limits at transitional price levels, as the best measure of the average cost of supply, in recognition of the timeframe providers require to adjust to the new market arrangements</w:t>
            </w:r>
          </w:p>
          <w:p w14:paraId="451D4105" w14:textId="77777777" w:rsidR="00E147EC" w:rsidRPr="005F20F5" w:rsidRDefault="00E147EC" w:rsidP="00EB3BC2">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5F20F5">
              <w:rPr>
                <w:sz w:val="16"/>
                <w:szCs w:val="16"/>
              </w:rPr>
              <w:t>Set funding levels in line with sustainable price levels, as the best measure of the efficient cost of supply</w:t>
            </w:r>
          </w:p>
        </w:tc>
      </w:tr>
      <w:tr w:rsidR="00E147EC" w:rsidRPr="005F20F5" w14:paraId="3BC5D20E" w14:textId="77777777" w:rsidTr="00E147EC">
        <w:tc>
          <w:tcPr>
            <w:cnfStyle w:val="001000000000" w:firstRow="0" w:lastRow="0" w:firstColumn="1" w:lastColumn="0" w:oddVBand="0" w:evenVBand="0" w:oddHBand="0" w:evenHBand="0" w:firstRowFirstColumn="0" w:firstRowLastColumn="0" w:lastRowFirstColumn="0" w:lastRowLastColumn="0"/>
            <w:tcW w:w="2689" w:type="dxa"/>
          </w:tcPr>
          <w:p w14:paraId="4D2C7A73" w14:textId="77777777" w:rsidR="00E147EC" w:rsidRPr="005F20F5" w:rsidRDefault="00E147EC" w:rsidP="00EB3BC2">
            <w:pPr>
              <w:spacing w:before="40" w:after="40"/>
              <w:rPr>
                <w:b w:val="0"/>
                <w:sz w:val="16"/>
                <w:szCs w:val="16"/>
              </w:rPr>
            </w:pPr>
            <w:r w:rsidRPr="005F20F5">
              <w:rPr>
                <w:b w:val="0"/>
                <w:sz w:val="16"/>
                <w:szCs w:val="16"/>
              </w:rPr>
              <w:t>Invest in the information infrastructure needed to support the operation of the market</w:t>
            </w:r>
          </w:p>
        </w:tc>
        <w:tc>
          <w:tcPr>
            <w:tcW w:w="6327" w:type="dxa"/>
          </w:tcPr>
          <w:p w14:paraId="3E625BEE" w14:textId="77777777" w:rsidR="00E147EC" w:rsidRPr="005F20F5" w:rsidRDefault="00E147EC" w:rsidP="00EB3BC2">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5F20F5">
              <w:rPr>
                <w:sz w:val="16"/>
                <w:szCs w:val="16"/>
              </w:rPr>
              <w:t>Address information asymmetries by collecting and publishing additional supply and demand information down to a local level, including pricing and high-level financial data</w:t>
            </w:r>
          </w:p>
          <w:p w14:paraId="5E6D7E3E" w14:textId="77777777" w:rsidR="00E147EC" w:rsidRPr="005F20F5" w:rsidRDefault="00E147EC" w:rsidP="00EB3BC2">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5F20F5">
              <w:rPr>
                <w:sz w:val="16"/>
                <w:szCs w:val="16"/>
              </w:rPr>
              <w:t>Assist providers to become more efficient by funding a confidential financial benchmarking survey</w:t>
            </w:r>
          </w:p>
          <w:p w14:paraId="299106FD" w14:textId="77777777" w:rsidR="00E147EC" w:rsidRPr="005F20F5" w:rsidRDefault="00E147EC" w:rsidP="00EB3BC2">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5F20F5">
              <w:rPr>
                <w:sz w:val="16"/>
                <w:szCs w:val="16"/>
              </w:rPr>
              <w:t>Incentivise providers to provide information to consumers and innovate by making access to transitional price levels contingent on the provider's participation in data collection</w:t>
            </w:r>
          </w:p>
        </w:tc>
      </w:tr>
      <w:tr w:rsidR="00E147EC" w:rsidRPr="005F20F5" w14:paraId="356F0F5D" w14:textId="77777777" w:rsidTr="00E14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F183B21" w14:textId="77777777" w:rsidR="00E147EC" w:rsidRPr="005F20F5" w:rsidRDefault="00E147EC" w:rsidP="00EB3BC2">
            <w:pPr>
              <w:spacing w:before="40" w:after="40"/>
              <w:rPr>
                <w:b w:val="0"/>
                <w:sz w:val="16"/>
                <w:szCs w:val="16"/>
              </w:rPr>
            </w:pPr>
            <w:r w:rsidRPr="005F20F5">
              <w:rPr>
                <w:b w:val="0"/>
                <w:sz w:val="16"/>
                <w:szCs w:val="16"/>
              </w:rPr>
              <w:t>Monitor markets closely for signs of shortages and other market failures</w:t>
            </w:r>
          </w:p>
        </w:tc>
        <w:tc>
          <w:tcPr>
            <w:tcW w:w="6327" w:type="dxa"/>
          </w:tcPr>
          <w:p w14:paraId="4FA124DF" w14:textId="5BFFFF36" w:rsidR="00E147EC" w:rsidRPr="005F20F5" w:rsidRDefault="00E147EC" w:rsidP="00EB3BC2">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5F20F5">
              <w:rPr>
                <w:sz w:val="16"/>
                <w:szCs w:val="16"/>
              </w:rPr>
              <w:t>Monitor markets for eviden</w:t>
            </w:r>
            <w:r w:rsidR="00C91ACA" w:rsidRPr="005F20F5">
              <w:rPr>
                <w:sz w:val="16"/>
                <w:szCs w:val="16"/>
              </w:rPr>
              <w:t>ce</w:t>
            </w:r>
            <w:r w:rsidRPr="005F20F5">
              <w:rPr>
                <w:sz w:val="16"/>
                <w:szCs w:val="16"/>
              </w:rPr>
              <w:t xml:space="preserve"> of both shortages and expansion of supply. If there are shortages and no evidence of increasing supply, then price limits should be maintained at transitional levels. If expansion is meeting demand, price limits can shift from transitional to efficient price levels.</w:t>
            </w:r>
          </w:p>
          <w:p w14:paraId="74106E94" w14:textId="77777777" w:rsidR="00E147EC" w:rsidRPr="005F20F5" w:rsidRDefault="00E147EC" w:rsidP="00EB3BC2">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5F20F5">
              <w:rPr>
                <w:sz w:val="16"/>
                <w:szCs w:val="16"/>
              </w:rPr>
              <w:t>Funding levels should continue to be set in line with sustainable price levels, and indexed in line with movements in the input costs of efficient providers</w:t>
            </w:r>
          </w:p>
        </w:tc>
      </w:tr>
      <w:tr w:rsidR="00E147EC" w:rsidRPr="005F20F5" w14:paraId="13C22533" w14:textId="77777777" w:rsidTr="00E147EC">
        <w:tc>
          <w:tcPr>
            <w:cnfStyle w:val="001000000000" w:firstRow="0" w:lastRow="0" w:firstColumn="1" w:lastColumn="0" w:oddVBand="0" w:evenVBand="0" w:oddHBand="0" w:evenHBand="0" w:firstRowFirstColumn="0" w:firstRowLastColumn="0" w:lastRowFirstColumn="0" w:lastRowLastColumn="0"/>
            <w:tcW w:w="2689" w:type="dxa"/>
          </w:tcPr>
          <w:p w14:paraId="00AD3656" w14:textId="77777777" w:rsidR="00E147EC" w:rsidRPr="005F20F5" w:rsidRDefault="00E147EC" w:rsidP="00EB3BC2">
            <w:pPr>
              <w:spacing w:before="40" w:after="40"/>
              <w:rPr>
                <w:b w:val="0"/>
                <w:sz w:val="16"/>
                <w:szCs w:val="16"/>
              </w:rPr>
            </w:pPr>
            <w:r w:rsidRPr="005F20F5">
              <w:rPr>
                <w:b w:val="0"/>
                <w:sz w:val="16"/>
                <w:szCs w:val="16"/>
              </w:rPr>
              <w:t>Deregulate as appropriate, including removing price limits when they are no longer binding</w:t>
            </w:r>
          </w:p>
        </w:tc>
        <w:tc>
          <w:tcPr>
            <w:tcW w:w="6327" w:type="dxa"/>
          </w:tcPr>
          <w:p w14:paraId="100A22AA" w14:textId="77777777" w:rsidR="00E147EC" w:rsidRPr="005F20F5" w:rsidRDefault="00E147EC" w:rsidP="00EB3BC2">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5F20F5">
              <w:rPr>
                <w:sz w:val="16"/>
                <w:szCs w:val="16"/>
              </w:rPr>
              <w:t>Non-binding price limits indicate that there is sufficient market competition, indicating that the market is a potential candidate for deregulation.</w:t>
            </w:r>
          </w:p>
          <w:p w14:paraId="6FE087AF" w14:textId="77777777" w:rsidR="00E147EC" w:rsidRPr="005F20F5" w:rsidRDefault="00E147EC" w:rsidP="00EB3BC2">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5F20F5">
              <w:rPr>
                <w:sz w:val="16"/>
                <w:szCs w:val="16"/>
              </w:rPr>
              <w:t>Funding levels should be set at efficient price levels, and indexed in line with movements in the input costs of efficient providers</w:t>
            </w:r>
          </w:p>
        </w:tc>
      </w:tr>
    </w:tbl>
    <w:p w14:paraId="1A19BE84" w14:textId="77777777" w:rsidR="00E24128" w:rsidRPr="005F20F5" w:rsidRDefault="00E24128" w:rsidP="00E24128">
      <w:pPr>
        <w:pStyle w:val="Heading2"/>
      </w:pPr>
      <w:bookmarkStart w:id="18" w:name="_Toc85097239"/>
      <w:r w:rsidRPr="005F20F5">
        <w:t>How does the NDIA regulate prices?</w:t>
      </w:r>
      <w:bookmarkEnd w:id="18"/>
    </w:p>
    <w:p w14:paraId="68AE8F23" w14:textId="7B705CDA" w:rsidR="00C6107F" w:rsidRPr="005F20F5" w:rsidRDefault="00C6107F" w:rsidP="00C6107F">
      <w:pPr>
        <w:rPr>
          <w:rFonts w:cs="Arial"/>
        </w:rPr>
      </w:pPr>
      <w:r w:rsidRPr="005F20F5">
        <w:rPr>
          <w:rFonts w:cs="Arial"/>
        </w:rPr>
        <w:t>As part of its oversight of the Scheme and its role as market steward for the developing markets for disability goods and services</w:t>
      </w:r>
      <w:r w:rsidR="00C91ACA" w:rsidRPr="005F20F5">
        <w:rPr>
          <w:rFonts w:cs="Arial"/>
        </w:rPr>
        <w:t xml:space="preserve">, </w:t>
      </w:r>
      <w:r w:rsidRPr="005F20F5">
        <w:rPr>
          <w:rFonts w:cs="Arial"/>
        </w:rPr>
        <w:t>the NDIA regulates the commercial relationships between providers and participants, including through price regulation. The NDIS pricing arrangements are set out in the following documents:</w:t>
      </w:r>
    </w:p>
    <w:p w14:paraId="0BB632F8" w14:textId="77777777" w:rsidR="00C6107F" w:rsidRPr="005F20F5" w:rsidRDefault="00C6107F" w:rsidP="00B55DCE">
      <w:pPr>
        <w:pStyle w:val="ListParagraph"/>
        <w:numPr>
          <w:ilvl w:val="0"/>
          <w:numId w:val="12"/>
        </w:numPr>
      </w:pPr>
      <w:r w:rsidRPr="005F20F5">
        <w:rPr>
          <w:i/>
        </w:rPr>
        <w:t>NDIS Pricing Arrangements and Price Limits</w:t>
      </w:r>
      <w:r w:rsidRPr="005F20F5">
        <w:t xml:space="preserve"> – This document sets out the general pricing arrangements that apply to all supports in the NDIS and the specific arrangements that apply to individual supports. </w:t>
      </w:r>
    </w:p>
    <w:p w14:paraId="67CE143B" w14:textId="77777777" w:rsidR="00C6107F" w:rsidRPr="005F20F5" w:rsidRDefault="00C6107F" w:rsidP="00B55DCE">
      <w:pPr>
        <w:pStyle w:val="ListParagraph"/>
        <w:numPr>
          <w:ilvl w:val="0"/>
          <w:numId w:val="12"/>
        </w:numPr>
      </w:pPr>
      <w:r w:rsidRPr="005F20F5">
        <w:rPr>
          <w:i/>
        </w:rPr>
        <w:t>NDIS Support Catalogue</w:t>
      </w:r>
      <w:r w:rsidRPr="005F20F5">
        <w:t xml:space="preserve"> – This document provides information on the current price limits for each support item and indicates for each price-limited support item the claim types (Travel, non-face-to-face, etc.) that can be used. Requirements specified in the Support Catalogue are part of the pricing arrangements and price limits that the NDIA has determined should apply to NDIS.</w:t>
      </w:r>
    </w:p>
    <w:p w14:paraId="67EB07DA" w14:textId="77777777" w:rsidR="00C6107F" w:rsidRPr="005F20F5" w:rsidRDefault="00C6107F" w:rsidP="00B55DCE">
      <w:pPr>
        <w:pStyle w:val="ListParagraph"/>
        <w:numPr>
          <w:ilvl w:val="0"/>
          <w:numId w:val="12"/>
        </w:numPr>
      </w:pPr>
      <w:r w:rsidRPr="005F20F5">
        <w:rPr>
          <w:i/>
        </w:rPr>
        <w:t>Addenda to the NDIS Pricing Arrangements and Price Limits</w:t>
      </w:r>
      <w:r w:rsidRPr="005F20F5">
        <w:t xml:space="preserve"> – These documents allow the NDIA to respond to changing market conditions in an efficient manner. They are used to make temporary changes to some of the support items and arrangements listed in the NDIS Pricing Arrangements and Price Limits. Each Addendum is not a stand-alone document and must be read in conjunction with the NDIS Pricing Arrangements and Price Limits. Requirements specified in Addenda are part of the pricing arrangements and price limits that the NDIA has determined will apply to NDIS.</w:t>
      </w:r>
    </w:p>
    <w:p w14:paraId="3E993007" w14:textId="77777777" w:rsidR="00C6107F" w:rsidRPr="005F20F5" w:rsidRDefault="00C6107F" w:rsidP="00B55DCE">
      <w:pPr>
        <w:pStyle w:val="ListParagraph"/>
        <w:numPr>
          <w:ilvl w:val="0"/>
          <w:numId w:val="12"/>
        </w:numPr>
      </w:pPr>
      <w:r w:rsidRPr="005F20F5">
        <w:rPr>
          <w:i/>
        </w:rPr>
        <w:t>NDIS Pricing Arrangements for Specialist Disability Accommodation</w:t>
      </w:r>
      <w:r w:rsidRPr="005F20F5">
        <w:t xml:space="preserve"> – This document sets out the specific pricing arrangements that apply for Specialist Disability Accommodation (SDA). Providers of SDA supports are also subject to the general arrangements set out in the NDIS Pricing Arrangements and Price Limits.</w:t>
      </w:r>
    </w:p>
    <w:p w14:paraId="15D463B9" w14:textId="77777777" w:rsidR="00C6107F" w:rsidRPr="005F20F5" w:rsidRDefault="00C6107F" w:rsidP="00B55DCE">
      <w:pPr>
        <w:pStyle w:val="ListParagraph"/>
        <w:numPr>
          <w:ilvl w:val="0"/>
          <w:numId w:val="12"/>
        </w:numPr>
      </w:pPr>
      <w:r w:rsidRPr="005F20F5">
        <w:rPr>
          <w:i/>
        </w:rPr>
        <w:t>NDIS Assistive Technology, Home Modifications and Consumables Code Guide</w:t>
      </w:r>
      <w:r w:rsidRPr="005F20F5">
        <w:t xml:space="preserve"> – This document gives further information on the specific pricing arrangements that apply for these types of support. Providers of these supports are also subject to the general arrangements set out in the NDIS Pricing Arrangements and Price Limits.</w:t>
      </w:r>
    </w:p>
    <w:p w14:paraId="10026842" w14:textId="42C9587A" w:rsidR="00C6107F" w:rsidRPr="005F20F5" w:rsidRDefault="00C6107F" w:rsidP="00C6107F">
      <w:r w:rsidRPr="005F20F5">
        <w:t xml:space="preserve">These documents are updated from time to time and are published on the NDIS </w:t>
      </w:r>
      <w:hyperlink r:id="rId21" w:history="1">
        <w:r w:rsidRPr="005F20F5">
          <w:rPr>
            <w:rStyle w:val="Hyperlink"/>
            <w:rFonts w:cs="Arial"/>
          </w:rPr>
          <w:t>website</w:t>
        </w:r>
      </w:hyperlink>
      <w:r w:rsidRPr="005F20F5">
        <w:t xml:space="preserve">. </w:t>
      </w:r>
    </w:p>
    <w:p w14:paraId="47665A5B" w14:textId="77777777" w:rsidR="00C6107F" w:rsidRPr="005F20F5" w:rsidRDefault="00C6107F" w:rsidP="00C6107F">
      <w:r w:rsidRPr="005F20F5">
        <w:t xml:space="preserve">Price controls are in place to ensure that participants receive value for money in the supports that they receive. In the short to medium term, price controls are required for some disability supports because the markets for disability goods and services are not yet fully developed. The longer-term goal of the NDIA is to remove regulatory mechanisms from the markets for disability supports. The NDIA continually monitors and reviews its price control framework and other market settings to determine whether they are still appropriate. Annual Pricing Reviews an important part of that monitoring and review process. </w:t>
      </w:r>
    </w:p>
    <w:p w14:paraId="3CA53F9B" w14:textId="77777777" w:rsidR="00E147EC" w:rsidRPr="005F20F5" w:rsidRDefault="00E147EC" w:rsidP="004F4EAB">
      <w:pPr>
        <w:pStyle w:val="Heading2"/>
      </w:pPr>
      <w:bookmarkStart w:id="19" w:name="_Toc83221936"/>
      <w:bookmarkStart w:id="20" w:name="_Toc85097240"/>
      <w:r w:rsidRPr="005F20F5">
        <w:t>Price Regulation Framework</w:t>
      </w:r>
      <w:bookmarkEnd w:id="19"/>
      <w:bookmarkEnd w:id="20"/>
    </w:p>
    <w:p w14:paraId="2A860263" w14:textId="77777777" w:rsidR="00E147EC" w:rsidRPr="005F20F5" w:rsidRDefault="00E147EC" w:rsidP="00E147EC">
      <w:pPr>
        <w:rPr>
          <w:szCs w:val="22"/>
        </w:rPr>
      </w:pPr>
      <w:r w:rsidRPr="005F20F5">
        <w:rPr>
          <w:szCs w:val="22"/>
        </w:rPr>
        <w:t xml:space="preserve">Where possible, the NDIA utilises market mechanisms to deliver the level of supply required to meet participant demand at market clearing (efficient) prices. In underdeveloped markets (due to factors such as imperfect and asymmetric information or reduced competition), regulating the market is necessary to ensure that participant demand is met, the required mix of supports is supplied by providers, and the Scheme moves towards efficient prices. </w:t>
      </w:r>
    </w:p>
    <w:p w14:paraId="72166B13" w14:textId="77777777" w:rsidR="00E147EC" w:rsidRPr="005F20F5" w:rsidRDefault="00E147EC" w:rsidP="00E147EC">
      <w:pPr>
        <w:rPr>
          <w:szCs w:val="22"/>
        </w:rPr>
      </w:pPr>
      <w:r w:rsidRPr="005F20F5">
        <w:rPr>
          <w:szCs w:val="22"/>
        </w:rPr>
        <w:t xml:space="preserve">A broad suite of levers are available to the NDIA to help to find the demand and supply balance at an efficient price: </w:t>
      </w:r>
    </w:p>
    <w:p w14:paraId="6116B34F" w14:textId="77777777" w:rsidR="00E147EC" w:rsidRPr="005F20F5" w:rsidRDefault="00E147EC" w:rsidP="00B55DCE">
      <w:pPr>
        <w:pStyle w:val="ListParagraph"/>
        <w:numPr>
          <w:ilvl w:val="0"/>
          <w:numId w:val="12"/>
        </w:numPr>
      </w:pPr>
      <w:r w:rsidRPr="005F20F5">
        <w:t>providing information to the market so that participants and providers can make informed choices (market facilitation);</w:t>
      </w:r>
    </w:p>
    <w:p w14:paraId="3EE9BDD5" w14:textId="77777777" w:rsidR="00E147EC" w:rsidRPr="005F20F5" w:rsidRDefault="00E147EC" w:rsidP="00B55DCE">
      <w:pPr>
        <w:pStyle w:val="ListParagraph"/>
        <w:numPr>
          <w:ilvl w:val="0"/>
          <w:numId w:val="12"/>
        </w:numPr>
      </w:pPr>
      <w:r w:rsidRPr="005F20F5">
        <w:t>deepening the supply of providers to improve participant access to supports (market deepening);</w:t>
      </w:r>
    </w:p>
    <w:p w14:paraId="28246FF1" w14:textId="77777777" w:rsidR="00E147EC" w:rsidRPr="005F20F5" w:rsidRDefault="00E147EC" w:rsidP="00B55DCE">
      <w:pPr>
        <w:pStyle w:val="ListParagraph"/>
        <w:numPr>
          <w:ilvl w:val="0"/>
          <w:numId w:val="12"/>
        </w:numPr>
      </w:pPr>
      <w:r w:rsidRPr="005F20F5">
        <w:t>regulating prices (price controls) and market access to signal to the market what is an efficient price and include a suite of options ranging</w:t>
      </w:r>
      <w:r w:rsidR="0089268A" w:rsidRPr="005F20F5">
        <w:t xml:space="preserve"> from price setting through to </w:t>
      </w:r>
      <w:r w:rsidRPr="005F20F5">
        <w:t>market regulation; and</w:t>
      </w:r>
    </w:p>
    <w:p w14:paraId="18E7490B" w14:textId="77777777" w:rsidR="00E147EC" w:rsidRPr="005F20F5" w:rsidRDefault="00E147EC" w:rsidP="00B55DCE">
      <w:pPr>
        <w:pStyle w:val="ListParagraph"/>
        <w:numPr>
          <w:ilvl w:val="0"/>
          <w:numId w:val="12"/>
        </w:numPr>
      </w:pPr>
      <w:r w:rsidRPr="005F20F5">
        <w:t>considering alternative commissioning models where markets are underserved and carry risk (commissioning).</w:t>
      </w:r>
    </w:p>
    <w:p w14:paraId="7BE9F253" w14:textId="77777777" w:rsidR="00E147EC" w:rsidRPr="005F20F5" w:rsidRDefault="00E147EC" w:rsidP="005C0413">
      <w:pPr>
        <w:pStyle w:val="Heading3"/>
      </w:pPr>
      <w:bookmarkStart w:id="21" w:name="_Toc85097241"/>
      <w:r w:rsidRPr="005F20F5">
        <w:t>Characteristics of a well-functioning market</w:t>
      </w:r>
      <w:bookmarkEnd w:id="21"/>
    </w:p>
    <w:p w14:paraId="5902575B" w14:textId="7AC279C6" w:rsidR="00E147EC" w:rsidRPr="005F20F5" w:rsidRDefault="00E147EC" w:rsidP="00E147EC">
      <w:r w:rsidRPr="005F20F5">
        <w:t>Higher levels of regulation and market intervention are typically used to address inefficiencies in the market and lower intervention is required in a well-functioning market. Therefore, it is critical to determine how well a market is functioning in order to determine what an appropriate level of regulation and market intervention is.</w:t>
      </w:r>
      <w:r w:rsidR="004F4EAB" w:rsidRPr="005F20F5">
        <w:t xml:space="preserve"> </w:t>
      </w:r>
      <w:r w:rsidR="007F2E84" w:rsidRPr="005F20F5">
        <w:fldChar w:fldCharType="begin"/>
      </w:r>
      <w:r w:rsidR="007F2E84" w:rsidRPr="005F20F5">
        <w:instrText xml:space="preserve"> REF _Ref83300911 \h </w:instrText>
      </w:r>
      <w:r w:rsidR="007A0655" w:rsidRPr="005F20F5">
        <w:instrText xml:space="preserve"> \* MERGEFORMAT </w:instrText>
      </w:r>
      <w:r w:rsidR="007F2E84" w:rsidRPr="005F20F5">
        <w:fldChar w:fldCharType="separate"/>
      </w:r>
      <w:r w:rsidR="009D3AFE" w:rsidRPr="005F20F5">
        <w:t xml:space="preserve">Exhibit </w:t>
      </w:r>
      <w:r w:rsidR="009D3AFE">
        <w:rPr>
          <w:noProof/>
        </w:rPr>
        <w:t>3</w:t>
      </w:r>
      <w:r w:rsidR="007F2E84" w:rsidRPr="005F20F5">
        <w:fldChar w:fldCharType="end"/>
      </w:r>
      <w:r w:rsidR="0089268A" w:rsidRPr="005F20F5">
        <w:t xml:space="preserve"> sets </w:t>
      </w:r>
      <w:r w:rsidRPr="005F20F5">
        <w:t>out a schematic of the characteristics that need to be considered in determining how well a market is functioning.</w:t>
      </w:r>
    </w:p>
    <w:p w14:paraId="49DE2BFA" w14:textId="23BD2EF3" w:rsidR="00E147EC" w:rsidRPr="005F20F5" w:rsidRDefault="00E147EC" w:rsidP="005C0413">
      <w:pPr>
        <w:pStyle w:val="Caption"/>
      </w:pPr>
      <w:bookmarkStart w:id="22" w:name="_Ref83300911"/>
      <w:bookmarkStart w:id="23" w:name="_Toc83292074"/>
      <w:r w:rsidRPr="005F20F5">
        <w:t xml:space="preserve">Exhibit </w:t>
      </w:r>
      <w:r w:rsidR="009D3AFE">
        <w:fldChar w:fldCharType="begin"/>
      </w:r>
      <w:r w:rsidR="009D3AFE">
        <w:instrText xml:space="preserve"> SEQ Exhibit \* ARABIC </w:instrText>
      </w:r>
      <w:r w:rsidR="009D3AFE">
        <w:fldChar w:fldCharType="separate"/>
      </w:r>
      <w:r w:rsidR="009D3AFE">
        <w:rPr>
          <w:noProof/>
        </w:rPr>
        <w:t>3</w:t>
      </w:r>
      <w:r w:rsidR="009D3AFE">
        <w:rPr>
          <w:noProof/>
        </w:rPr>
        <w:fldChar w:fldCharType="end"/>
      </w:r>
      <w:bookmarkEnd w:id="22"/>
      <w:r w:rsidRPr="005F20F5">
        <w:t>: Characteristics of a well-functioning market</w:t>
      </w:r>
      <w:bookmarkEnd w:id="23"/>
    </w:p>
    <w:tbl>
      <w:tblPr>
        <w:tblW w:w="8958" w:type="dxa"/>
        <w:tblInd w:w="-45" w:type="dxa"/>
        <w:tblBorders>
          <w:top w:val="single" w:sz="4" w:space="0" w:color="auto"/>
          <w:left w:val="single" w:sz="4" w:space="0" w:color="auto"/>
          <w:bottom w:val="single" w:sz="4" w:space="0" w:color="auto"/>
          <w:right w:val="single" w:sz="4" w:space="0" w:color="auto"/>
          <w:insideH w:val="single" w:sz="36" w:space="0" w:color="FEFFFF" w:themeColor="background1"/>
          <w:insideV w:val="single" w:sz="36" w:space="0" w:color="FEFFFF" w:themeColor="background1"/>
        </w:tblBorders>
        <w:tblLook w:val="04A0" w:firstRow="1" w:lastRow="0" w:firstColumn="1" w:lastColumn="0" w:noHBand="0" w:noVBand="1"/>
      </w:tblPr>
      <w:tblGrid>
        <w:gridCol w:w="4479"/>
        <w:gridCol w:w="4479"/>
      </w:tblGrid>
      <w:tr w:rsidR="00E147EC" w:rsidRPr="005F20F5" w14:paraId="112AF929" w14:textId="77777777" w:rsidTr="004F4EAB">
        <w:trPr>
          <w:trHeight w:val="283"/>
        </w:trPr>
        <w:tc>
          <w:tcPr>
            <w:tcW w:w="8958" w:type="dxa"/>
            <w:gridSpan w:val="2"/>
            <w:shd w:val="clear" w:color="auto" w:fill="6B2976" w:themeFill="background2"/>
          </w:tcPr>
          <w:p w14:paraId="6B4A0191"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Demand-side characteristics</w:t>
            </w:r>
          </w:p>
        </w:tc>
      </w:tr>
      <w:tr w:rsidR="00E147EC" w:rsidRPr="005F20F5" w14:paraId="6571B74D" w14:textId="77777777" w:rsidTr="004F4EAB">
        <w:trPr>
          <w:trHeight w:val="283"/>
        </w:trPr>
        <w:tc>
          <w:tcPr>
            <w:tcW w:w="4479" w:type="dxa"/>
            <w:shd w:val="clear" w:color="auto" w:fill="6B2976" w:themeFill="background2"/>
          </w:tcPr>
          <w:p w14:paraId="38A55982"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 xml:space="preserve">Participants are able to exercise </w:t>
            </w:r>
          </w:p>
          <w:p w14:paraId="3A67B23C"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informed choice</w:t>
            </w:r>
          </w:p>
        </w:tc>
        <w:tc>
          <w:tcPr>
            <w:tcW w:w="4479" w:type="dxa"/>
            <w:shd w:val="clear" w:color="auto" w:fill="6B2976" w:themeFill="background2"/>
          </w:tcPr>
          <w:p w14:paraId="372D71C1"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Participants are sufficiently incentivised and supported to make purchasing decisions</w:t>
            </w:r>
          </w:p>
        </w:tc>
      </w:tr>
      <w:tr w:rsidR="00E147EC" w:rsidRPr="005F20F5" w14:paraId="2F31E915" w14:textId="77777777" w:rsidTr="004F4EAB">
        <w:trPr>
          <w:trHeight w:val="283"/>
        </w:trPr>
        <w:tc>
          <w:tcPr>
            <w:tcW w:w="4479" w:type="dxa"/>
          </w:tcPr>
          <w:p w14:paraId="5691FC08" w14:textId="77777777" w:rsidR="00E147EC" w:rsidRPr="005F20F5" w:rsidRDefault="00E147EC" w:rsidP="00EB3BC2">
            <w:pPr>
              <w:spacing w:before="40" w:after="40" w:line="240" w:lineRule="auto"/>
              <w:rPr>
                <w:sz w:val="16"/>
                <w:szCs w:val="16"/>
              </w:rPr>
            </w:pPr>
            <w:r w:rsidRPr="005F20F5">
              <w:rPr>
                <w:sz w:val="16"/>
                <w:szCs w:val="16"/>
              </w:rPr>
              <w:t>Participants have the ability to make purchase decisions in their best interests</w:t>
            </w:r>
          </w:p>
          <w:p w14:paraId="397EB0CC" w14:textId="77777777" w:rsidR="00E147EC" w:rsidRPr="005F20F5" w:rsidRDefault="00E147EC" w:rsidP="00EB3BC2">
            <w:pPr>
              <w:spacing w:before="40" w:after="40" w:line="240" w:lineRule="auto"/>
              <w:rPr>
                <w:sz w:val="16"/>
                <w:szCs w:val="16"/>
              </w:rPr>
            </w:pPr>
            <w:r w:rsidRPr="005F20F5">
              <w:rPr>
                <w:sz w:val="16"/>
                <w:szCs w:val="16"/>
              </w:rPr>
              <w:t>In cases where participants are unable to make decisions in their best interests, capacity may be provided by a third party who has obligation to act in the participant’s best interests</w:t>
            </w:r>
          </w:p>
        </w:tc>
        <w:tc>
          <w:tcPr>
            <w:tcW w:w="4479" w:type="dxa"/>
          </w:tcPr>
          <w:p w14:paraId="4C515F8B" w14:textId="77777777" w:rsidR="00E147EC" w:rsidRPr="005F20F5" w:rsidRDefault="00E147EC" w:rsidP="00EB3BC2">
            <w:pPr>
              <w:spacing w:before="40" w:after="40" w:line="240" w:lineRule="auto"/>
              <w:rPr>
                <w:sz w:val="16"/>
                <w:szCs w:val="16"/>
              </w:rPr>
            </w:pPr>
            <w:r w:rsidRPr="005F20F5">
              <w:rPr>
                <w:sz w:val="16"/>
                <w:szCs w:val="16"/>
              </w:rPr>
              <w:t xml:space="preserve">Participants have appropriate incentives to make decisions that are financially sustainable </w:t>
            </w:r>
            <w:r w:rsidR="00C91ACA" w:rsidRPr="005F20F5">
              <w:rPr>
                <w:sz w:val="16"/>
                <w:szCs w:val="16"/>
              </w:rPr>
              <w:t>for themselves and for the Scheme</w:t>
            </w:r>
          </w:p>
          <w:p w14:paraId="68CB44BD" w14:textId="77777777" w:rsidR="00E147EC" w:rsidRPr="005F20F5" w:rsidRDefault="00E147EC" w:rsidP="00EB3BC2">
            <w:pPr>
              <w:spacing w:before="40" w:after="40" w:line="240" w:lineRule="auto"/>
              <w:rPr>
                <w:sz w:val="16"/>
                <w:szCs w:val="16"/>
              </w:rPr>
            </w:pPr>
            <w:r w:rsidRPr="005F20F5">
              <w:rPr>
                <w:sz w:val="16"/>
                <w:szCs w:val="16"/>
              </w:rPr>
              <w:t xml:space="preserve">Includes having the information and support (where needed) to navigate market options </w:t>
            </w:r>
          </w:p>
          <w:p w14:paraId="5919006B" w14:textId="77777777" w:rsidR="00E147EC" w:rsidRPr="005F20F5" w:rsidRDefault="00E147EC" w:rsidP="00EB3BC2">
            <w:pPr>
              <w:spacing w:before="40" w:after="40" w:line="240" w:lineRule="auto"/>
              <w:rPr>
                <w:sz w:val="16"/>
                <w:szCs w:val="16"/>
              </w:rPr>
            </w:pPr>
            <w:r w:rsidRPr="005F20F5">
              <w:rPr>
                <w:sz w:val="16"/>
                <w:szCs w:val="16"/>
              </w:rPr>
              <w:t>Flexibility in funding within participant plans to allow ease of provider switching where that is practical</w:t>
            </w:r>
          </w:p>
        </w:tc>
      </w:tr>
      <w:tr w:rsidR="00E147EC" w:rsidRPr="005F20F5" w14:paraId="098B147B" w14:textId="77777777" w:rsidTr="004F4EAB">
        <w:trPr>
          <w:trHeight w:val="283"/>
        </w:trPr>
        <w:tc>
          <w:tcPr>
            <w:tcW w:w="8958" w:type="dxa"/>
            <w:gridSpan w:val="2"/>
            <w:shd w:val="clear" w:color="auto" w:fill="8AC640" w:themeFill="text2"/>
          </w:tcPr>
          <w:p w14:paraId="28C786CC"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Supply-side characteristics</w:t>
            </w:r>
          </w:p>
        </w:tc>
      </w:tr>
      <w:tr w:rsidR="00E147EC" w:rsidRPr="005F20F5" w14:paraId="0B325ACE" w14:textId="77777777" w:rsidTr="004F4EAB">
        <w:trPr>
          <w:trHeight w:val="283"/>
        </w:trPr>
        <w:tc>
          <w:tcPr>
            <w:tcW w:w="4479" w:type="dxa"/>
            <w:shd w:val="clear" w:color="auto" w:fill="8AC640" w:themeFill="text2"/>
          </w:tcPr>
          <w:p w14:paraId="379D7A64"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 xml:space="preserve">Sufficient availability </w:t>
            </w:r>
          </w:p>
          <w:p w14:paraId="2F6D21A6"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of supports</w:t>
            </w:r>
          </w:p>
        </w:tc>
        <w:tc>
          <w:tcPr>
            <w:tcW w:w="4479" w:type="dxa"/>
            <w:shd w:val="clear" w:color="auto" w:fill="8AC640" w:themeFill="text2"/>
          </w:tcPr>
          <w:p w14:paraId="08B0B68C"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 xml:space="preserve">Sufficient competition </w:t>
            </w:r>
          </w:p>
          <w:p w14:paraId="7E57D925"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between providers</w:t>
            </w:r>
          </w:p>
        </w:tc>
      </w:tr>
      <w:tr w:rsidR="00E147EC" w:rsidRPr="005F20F5" w14:paraId="46970E6D" w14:textId="77777777" w:rsidTr="004F4EAB">
        <w:trPr>
          <w:trHeight w:val="283"/>
        </w:trPr>
        <w:tc>
          <w:tcPr>
            <w:tcW w:w="4479" w:type="dxa"/>
          </w:tcPr>
          <w:p w14:paraId="25D235C7" w14:textId="77777777" w:rsidR="00E147EC" w:rsidRPr="005F20F5" w:rsidRDefault="00E147EC" w:rsidP="00EB3BC2">
            <w:pPr>
              <w:spacing w:before="40" w:after="40" w:line="240" w:lineRule="auto"/>
              <w:rPr>
                <w:sz w:val="16"/>
                <w:szCs w:val="16"/>
              </w:rPr>
            </w:pPr>
            <w:r w:rsidRPr="005F20F5">
              <w:rPr>
                <w:sz w:val="16"/>
                <w:szCs w:val="16"/>
              </w:rPr>
              <w:t>A wide range of support providers should be available to participants, across the spectrum of price</w:t>
            </w:r>
          </w:p>
          <w:p w14:paraId="0C65DBD4" w14:textId="77777777" w:rsidR="00E147EC" w:rsidRPr="005F20F5" w:rsidRDefault="00E147EC" w:rsidP="00EB3BC2">
            <w:pPr>
              <w:spacing w:before="40" w:after="40" w:line="240" w:lineRule="auto"/>
              <w:rPr>
                <w:sz w:val="16"/>
                <w:szCs w:val="16"/>
              </w:rPr>
            </w:pPr>
            <w:r w:rsidRPr="005F20F5">
              <w:rPr>
                <w:sz w:val="16"/>
                <w:szCs w:val="16"/>
              </w:rPr>
              <w:t>Providers are able to operate sustainably in a price deregulated environment</w:t>
            </w:r>
          </w:p>
        </w:tc>
        <w:tc>
          <w:tcPr>
            <w:tcW w:w="4479" w:type="dxa"/>
          </w:tcPr>
          <w:p w14:paraId="3AAF00E6" w14:textId="77777777" w:rsidR="00E147EC" w:rsidRPr="005F20F5" w:rsidRDefault="00E147EC" w:rsidP="00EB3BC2">
            <w:pPr>
              <w:spacing w:before="40" w:after="40" w:line="240" w:lineRule="auto"/>
              <w:rPr>
                <w:sz w:val="16"/>
                <w:szCs w:val="16"/>
              </w:rPr>
            </w:pPr>
            <w:r w:rsidRPr="005F20F5">
              <w:rPr>
                <w:sz w:val="16"/>
                <w:szCs w:val="16"/>
              </w:rPr>
              <w:t>Competition between suppliers exists to provide discipline to pricing behaviour and drive quality</w:t>
            </w:r>
          </w:p>
          <w:p w14:paraId="66C249D3" w14:textId="77777777" w:rsidR="00E147EC" w:rsidRPr="005F20F5" w:rsidRDefault="00E147EC" w:rsidP="00EB3BC2">
            <w:pPr>
              <w:spacing w:before="40" w:after="40" w:line="240" w:lineRule="auto"/>
              <w:rPr>
                <w:sz w:val="16"/>
                <w:szCs w:val="16"/>
              </w:rPr>
            </w:pPr>
            <w:r w:rsidRPr="005F20F5">
              <w:rPr>
                <w:sz w:val="16"/>
                <w:szCs w:val="16"/>
              </w:rPr>
              <w:t>In some cases, competition may need to be fostered through government led processes – for example in thin markets, or where direct competition and switching is impractical or detrimental to service outcomes</w:t>
            </w:r>
          </w:p>
        </w:tc>
      </w:tr>
      <w:tr w:rsidR="00E147EC" w:rsidRPr="005F20F5" w14:paraId="2CB31618" w14:textId="77777777" w:rsidTr="004F4EAB">
        <w:trPr>
          <w:trHeight w:val="283"/>
        </w:trPr>
        <w:tc>
          <w:tcPr>
            <w:tcW w:w="8958" w:type="dxa"/>
            <w:gridSpan w:val="2"/>
            <w:shd w:val="clear" w:color="auto" w:fill="8AC640" w:themeFill="accent2"/>
          </w:tcPr>
          <w:p w14:paraId="2C113F38"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General characteristics</w:t>
            </w:r>
          </w:p>
        </w:tc>
      </w:tr>
      <w:tr w:rsidR="00E147EC" w:rsidRPr="005F20F5" w14:paraId="0152AC55" w14:textId="77777777" w:rsidTr="004F4EAB">
        <w:trPr>
          <w:trHeight w:val="283"/>
        </w:trPr>
        <w:tc>
          <w:tcPr>
            <w:tcW w:w="4479" w:type="dxa"/>
            <w:shd w:val="clear" w:color="auto" w:fill="8AC640" w:themeFill="accent2"/>
          </w:tcPr>
          <w:p w14:paraId="6D636CE2"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 xml:space="preserve">Scheme can maintain stability </w:t>
            </w:r>
          </w:p>
          <w:p w14:paraId="1A5515F6"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while withstanding change</w:t>
            </w:r>
          </w:p>
        </w:tc>
        <w:tc>
          <w:tcPr>
            <w:tcW w:w="4479" w:type="dxa"/>
            <w:shd w:val="clear" w:color="auto" w:fill="8AC640" w:themeFill="accent2"/>
          </w:tcPr>
          <w:p w14:paraId="4D383B95" w14:textId="77777777" w:rsidR="00E147EC" w:rsidRPr="005F20F5" w:rsidRDefault="00E147EC" w:rsidP="00EB3BC2">
            <w:pPr>
              <w:spacing w:before="40" w:after="40" w:line="240" w:lineRule="auto"/>
              <w:jc w:val="center"/>
              <w:rPr>
                <w:b/>
                <w:color w:val="FEFFFF" w:themeColor="background1"/>
                <w:sz w:val="16"/>
                <w:szCs w:val="16"/>
              </w:rPr>
            </w:pPr>
            <w:r w:rsidRPr="005F20F5">
              <w:rPr>
                <w:b/>
                <w:color w:val="FEFFFF" w:themeColor="background1"/>
                <w:sz w:val="16"/>
                <w:szCs w:val="16"/>
              </w:rPr>
              <w:t>Sufficient safeguards are in place to protect participant outcomes</w:t>
            </w:r>
          </w:p>
        </w:tc>
      </w:tr>
      <w:tr w:rsidR="00E147EC" w:rsidRPr="005F20F5" w14:paraId="1D728007" w14:textId="77777777" w:rsidTr="004F4EAB">
        <w:trPr>
          <w:trHeight w:val="283"/>
        </w:trPr>
        <w:tc>
          <w:tcPr>
            <w:tcW w:w="4479" w:type="dxa"/>
          </w:tcPr>
          <w:p w14:paraId="5BA9ED41" w14:textId="10F9BDBE" w:rsidR="00E147EC" w:rsidRPr="005F20F5" w:rsidRDefault="00E147EC" w:rsidP="00C91ACA">
            <w:pPr>
              <w:spacing w:before="40" w:after="40" w:line="240" w:lineRule="auto"/>
              <w:rPr>
                <w:sz w:val="16"/>
                <w:szCs w:val="16"/>
              </w:rPr>
            </w:pPr>
            <w:r w:rsidRPr="005F20F5">
              <w:rPr>
                <w:sz w:val="16"/>
                <w:szCs w:val="16"/>
              </w:rPr>
              <w:t xml:space="preserve">The NDIA is confident that the Scheme will stay stable and broadly achieve objectives of improving participant outcomes while maintaining </w:t>
            </w:r>
            <w:r w:rsidR="00C91ACA" w:rsidRPr="005F20F5">
              <w:rPr>
                <w:sz w:val="16"/>
                <w:szCs w:val="16"/>
              </w:rPr>
              <w:t xml:space="preserve">financial </w:t>
            </w:r>
            <w:r w:rsidRPr="005F20F5">
              <w:rPr>
                <w:sz w:val="16"/>
                <w:szCs w:val="16"/>
              </w:rPr>
              <w:t>sustainability</w:t>
            </w:r>
          </w:p>
        </w:tc>
        <w:tc>
          <w:tcPr>
            <w:tcW w:w="4479" w:type="dxa"/>
          </w:tcPr>
          <w:p w14:paraId="20FFAF2F" w14:textId="77777777" w:rsidR="00E147EC" w:rsidRPr="005F20F5" w:rsidRDefault="00E147EC" w:rsidP="00EB3BC2">
            <w:pPr>
              <w:spacing w:before="40" w:after="40" w:line="240" w:lineRule="auto"/>
              <w:rPr>
                <w:sz w:val="16"/>
                <w:szCs w:val="16"/>
              </w:rPr>
            </w:pPr>
            <w:r w:rsidRPr="005F20F5">
              <w:rPr>
                <w:sz w:val="16"/>
                <w:szCs w:val="16"/>
              </w:rPr>
              <w:t>Quality safeguards implemented to ensure participants receive high quality services in a price deregulated environment</w:t>
            </w:r>
          </w:p>
          <w:p w14:paraId="0BF0517B" w14:textId="77777777" w:rsidR="00E147EC" w:rsidRPr="005F20F5" w:rsidRDefault="00E147EC" w:rsidP="00EB3BC2">
            <w:pPr>
              <w:spacing w:before="40" w:after="40" w:line="240" w:lineRule="auto"/>
              <w:rPr>
                <w:sz w:val="16"/>
                <w:szCs w:val="16"/>
              </w:rPr>
            </w:pPr>
            <w:r w:rsidRPr="005F20F5">
              <w:rPr>
                <w:sz w:val="16"/>
                <w:szCs w:val="16"/>
              </w:rPr>
              <w:t xml:space="preserve">Safeguards protect against certain risks associated with price deregulation; e.g. participant budgets are </w:t>
            </w:r>
            <w:r w:rsidR="00C91ACA" w:rsidRPr="005F20F5">
              <w:rPr>
                <w:sz w:val="16"/>
                <w:szCs w:val="16"/>
              </w:rPr>
              <w:t xml:space="preserve">not </w:t>
            </w:r>
            <w:r w:rsidRPr="005F20F5">
              <w:rPr>
                <w:sz w:val="16"/>
                <w:szCs w:val="16"/>
              </w:rPr>
              <w:t>exhausted leading to critical service gaps.</w:t>
            </w:r>
          </w:p>
        </w:tc>
      </w:tr>
    </w:tbl>
    <w:p w14:paraId="4CA643B1" w14:textId="77777777" w:rsidR="00E147EC" w:rsidRPr="005F20F5" w:rsidRDefault="00E147EC" w:rsidP="00E147EC">
      <w:r w:rsidRPr="005F20F5">
        <w:t>These characteristics can be used as indicators, whereby all or almost of these indicators being met would indicate that the market is functioning as intended and does not require greater market intervention (or requires less). Similarly, where some or most of these indicators are not met suggests the market is not functioning as intended and requires greater market intervention.</w:t>
      </w:r>
    </w:p>
    <w:p w14:paraId="217FAB27" w14:textId="1713C832" w:rsidR="00E147EC" w:rsidRPr="005F20F5" w:rsidRDefault="00E147EC" w:rsidP="00E147EC">
      <w:r w:rsidRPr="005F20F5">
        <w:t>To assist with the asses</w:t>
      </w:r>
      <w:r w:rsidR="007F2E84" w:rsidRPr="005F20F5">
        <w:t xml:space="preserve">sment of the options, </w:t>
      </w:r>
      <w:r w:rsidR="007F2E84" w:rsidRPr="005F20F5">
        <w:fldChar w:fldCharType="begin"/>
      </w:r>
      <w:r w:rsidR="007F2E84" w:rsidRPr="005F20F5">
        <w:instrText xml:space="preserve"> REF _Ref83300927 \h </w:instrText>
      </w:r>
      <w:r w:rsidR="007A0655" w:rsidRPr="005F20F5">
        <w:instrText xml:space="preserve"> \* MERGEFORMAT </w:instrText>
      </w:r>
      <w:r w:rsidR="007F2E84" w:rsidRPr="005F20F5">
        <w:fldChar w:fldCharType="separate"/>
      </w:r>
      <w:r w:rsidR="009D3AFE" w:rsidRPr="005F20F5">
        <w:t xml:space="preserve">Exhibit </w:t>
      </w:r>
      <w:r w:rsidR="009D3AFE">
        <w:rPr>
          <w:noProof/>
        </w:rPr>
        <w:t>4</w:t>
      </w:r>
      <w:r w:rsidR="007F2E84" w:rsidRPr="005F20F5">
        <w:fldChar w:fldCharType="end"/>
      </w:r>
      <w:r w:rsidR="007F2E84" w:rsidRPr="005F20F5">
        <w:t xml:space="preserve"> </w:t>
      </w:r>
      <w:r w:rsidRPr="005F20F5">
        <w:t>provides a summary of the key considerations for the four main stakeholder groups in the market. The emphasis is on the risk of negative impacts of any approach for these stakeholders</w:t>
      </w:r>
    </w:p>
    <w:p w14:paraId="39D5C671" w14:textId="1E225D39" w:rsidR="00E147EC" w:rsidRPr="005F20F5" w:rsidRDefault="00E147EC" w:rsidP="005C0413">
      <w:pPr>
        <w:pStyle w:val="Caption"/>
      </w:pPr>
      <w:bookmarkStart w:id="24" w:name="_Ref83300927"/>
      <w:bookmarkStart w:id="25" w:name="_Toc83292075"/>
      <w:r w:rsidRPr="005F20F5">
        <w:t xml:space="preserve">Exhibit </w:t>
      </w:r>
      <w:r w:rsidR="009D3AFE">
        <w:fldChar w:fldCharType="begin"/>
      </w:r>
      <w:r w:rsidR="009D3AFE">
        <w:instrText xml:space="preserve"> SEQ Exhibit \* ARABIC </w:instrText>
      </w:r>
      <w:r w:rsidR="009D3AFE">
        <w:fldChar w:fldCharType="separate"/>
      </w:r>
      <w:r w:rsidR="009D3AFE">
        <w:rPr>
          <w:noProof/>
        </w:rPr>
        <w:t>4</w:t>
      </w:r>
      <w:r w:rsidR="009D3AFE">
        <w:rPr>
          <w:noProof/>
        </w:rPr>
        <w:fldChar w:fldCharType="end"/>
      </w:r>
      <w:bookmarkEnd w:id="24"/>
      <w:r w:rsidRPr="005F20F5">
        <w:t>: Key stakeholder considerations in regulating markets</w:t>
      </w:r>
      <w:bookmarkEnd w:id="25"/>
    </w:p>
    <w:tbl>
      <w:tblPr>
        <w:tblStyle w:val="GridTable4"/>
        <w:tblW w:w="0" w:type="auto"/>
        <w:tblLook w:val="0420" w:firstRow="1" w:lastRow="0" w:firstColumn="0" w:lastColumn="0" w:noHBand="0" w:noVBand="1"/>
        <w:tblCaption w:val="EXHIBIT 4: KEY STAKEHOLDER CONSIDERATIONS IN REGULATING MARKETS"/>
        <w:tblDescription w:val="Table outlining what considerations are made for participants, providers, professionals and government"/>
      </w:tblPr>
      <w:tblGrid>
        <w:gridCol w:w="2254"/>
        <w:gridCol w:w="2254"/>
        <w:gridCol w:w="2254"/>
        <w:gridCol w:w="2255"/>
      </w:tblGrid>
      <w:tr w:rsidR="004F4EAB" w:rsidRPr="005F20F5" w14:paraId="1ED5120D" w14:textId="77777777" w:rsidTr="003D1C27">
        <w:trPr>
          <w:cnfStyle w:val="100000000000" w:firstRow="1" w:lastRow="0" w:firstColumn="0" w:lastColumn="0" w:oddVBand="0" w:evenVBand="0" w:oddHBand="0" w:evenHBand="0" w:firstRowFirstColumn="0" w:firstRowLastColumn="0" w:lastRowFirstColumn="0" w:lastRowLastColumn="0"/>
          <w:trHeight w:val="283"/>
          <w:tblHeader/>
        </w:trPr>
        <w:tc>
          <w:tcPr>
            <w:tcW w:w="2254" w:type="dxa"/>
          </w:tcPr>
          <w:p w14:paraId="592ABDA2" w14:textId="77777777" w:rsidR="004F4EAB" w:rsidRPr="005F20F5" w:rsidRDefault="004F4EAB" w:rsidP="00EB3BC2">
            <w:pPr>
              <w:spacing w:before="40" w:after="40"/>
              <w:rPr>
                <w:sz w:val="16"/>
                <w:szCs w:val="16"/>
              </w:rPr>
            </w:pPr>
            <w:r w:rsidRPr="005F20F5">
              <w:rPr>
                <w:sz w:val="16"/>
                <w:szCs w:val="16"/>
              </w:rPr>
              <w:t>Participants</w:t>
            </w:r>
          </w:p>
        </w:tc>
        <w:tc>
          <w:tcPr>
            <w:tcW w:w="2254" w:type="dxa"/>
          </w:tcPr>
          <w:p w14:paraId="57B9CEDC" w14:textId="77777777" w:rsidR="004F4EAB" w:rsidRPr="005F20F5" w:rsidRDefault="004F4EAB" w:rsidP="00EB3BC2">
            <w:pPr>
              <w:spacing w:before="40" w:after="40"/>
              <w:rPr>
                <w:sz w:val="16"/>
                <w:szCs w:val="16"/>
              </w:rPr>
            </w:pPr>
            <w:r w:rsidRPr="005F20F5">
              <w:rPr>
                <w:sz w:val="16"/>
                <w:szCs w:val="16"/>
              </w:rPr>
              <w:t>Providers</w:t>
            </w:r>
          </w:p>
        </w:tc>
        <w:tc>
          <w:tcPr>
            <w:tcW w:w="2254" w:type="dxa"/>
          </w:tcPr>
          <w:p w14:paraId="0E41B40D" w14:textId="77777777" w:rsidR="004F4EAB" w:rsidRPr="005F20F5" w:rsidRDefault="004F4EAB" w:rsidP="00EB3BC2">
            <w:pPr>
              <w:spacing w:before="40" w:after="40"/>
              <w:rPr>
                <w:sz w:val="16"/>
                <w:szCs w:val="16"/>
              </w:rPr>
            </w:pPr>
            <w:r w:rsidRPr="005F20F5">
              <w:rPr>
                <w:sz w:val="16"/>
                <w:szCs w:val="16"/>
              </w:rPr>
              <w:t>Professionals / Workers</w:t>
            </w:r>
          </w:p>
        </w:tc>
        <w:tc>
          <w:tcPr>
            <w:tcW w:w="2255" w:type="dxa"/>
          </w:tcPr>
          <w:p w14:paraId="09A5204E" w14:textId="77777777" w:rsidR="004F4EAB" w:rsidRPr="005F20F5" w:rsidRDefault="004F4EAB" w:rsidP="00EB3BC2">
            <w:pPr>
              <w:spacing w:before="40" w:after="40"/>
              <w:rPr>
                <w:sz w:val="16"/>
                <w:szCs w:val="16"/>
              </w:rPr>
            </w:pPr>
            <w:r w:rsidRPr="005F20F5">
              <w:rPr>
                <w:sz w:val="16"/>
                <w:szCs w:val="16"/>
              </w:rPr>
              <w:t>Governments / NDIA</w:t>
            </w:r>
          </w:p>
        </w:tc>
      </w:tr>
      <w:tr w:rsidR="004F4EAB" w:rsidRPr="005F20F5" w14:paraId="7EC1705C" w14:textId="77777777" w:rsidTr="004F4EAB">
        <w:trPr>
          <w:cnfStyle w:val="000000100000" w:firstRow="0" w:lastRow="0" w:firstColumn="0" w:lastColumn="0" w:oddVBand="0" w:evenVBand="0" w:oddHBand="1" w:evenHBand="0" w:firstRowFirstColumn="0" w:firstRowLastColumn="0" w:lastRowFirstColumn="0" w:lastRowLastColumn="0"/>
        </w:trPr>
        <w:tc>
          <w:tcPr>
            <w:tcW w:w="2254" w:type="dxa"/>
          </w:tcPr>
          <w:p w14:paraId="6F223BA9" w14:textId="77777777" w:rsidR="004F4EAB" w:rsidRPr="005F20F5" w:rsidRDefault="004F4EAB" w:rsidP="00EB3BC2">
            <w:pPr>
              <w:spacing w:before="40" w:after="40"/>
              <w:rPr>
                <w:sz w:val="16"/>
                <w:szCs w:val="16"/>
              </w:rPr>
            </w:pPr>
            <w:r w:rsidRPr="005F20F5">
              <w:rPr>
                <w:sz w:val="16"/>
                <w:szCs w:val="16"/>
              </w:rPr>
              <w:t>Market access</w:t>
            </w:r>
          </w:p>
          <w:p w14:paraId="0F57B26A" w14:textId="77777777" w:rsidR="004F4EAB" w:rsidRPr="005F20F5" w:rsidRDefault="004F4EAB" w:rsidP="00EB3BC2">
            <w:pPr>
              <w:spacing w:before="40" w:after="40"/>
              <w:rPr>
                <w:b/>
                <w:sz w:val="16"/>
                <w:szCs w:val="16"/>
              </w:rPr>
            </w:pPr>
            <w:r w:rsidRPr="005F20F5">
              <w:rPr>
                <w:sz w:val="16"/>
                <w:szCs w:val="16"/>
              </w:rPr>
              <w:t>Service quality</w:t>
            </w:r>
          </w:p>
        </w:tc>
        <w:tc>
          <w:tcPr>
            <w:tcW w:w="2254" w:type="dxa"/>
          </w:tcPr>
          <w:p w14:paraId="32645544" w14:textId="77777777" w:rsidR="004F4EAB" w:rsidRPr="005F20F5" w:rsidRDefault="004F4EAB" w:rsidP="00EB3BC2">
            <w:pPr>
              <w:spacing w:before="40" w:after="40"/>
              <w:rPr>
                <w:sz w:val="16"/>
                <w:szCs w:val="16"/>
              </w:rPr>
            </w:pPr>
            <w:r w:rsidRPr="005F20F5">
              <w:rPr>
                <w:sz w:val="16"/>
                <w:szCs w:val="16"/>
              </w:rPr>
              <w:t>Market development</w:t>
            </w:r>
          </w:p>
          <w:p w14:paraId="4E27D37D" w14:textId="77777777" w:rsidR="004F4EAB" w:rsidRPr="005F20F5" w:rsidRDefault="004F4EAB" w:rsidP="00EB3BC2">
            <w:pPr>
              <w:spacing w:before="40" w:after="40"/>
              <w:rPr>
                <w:sz w:val="16"/>
                <w:szCs w:val="16"/>
              </w:rPr>
            </w:pPr>
            <w:r w:rsidRPr="005F20F5">
              <w:rPr>
                <w:sz w:val="16"/>
                <w:szCs w:val="16"/>
              </w:rPr>
              <w:t>Service quality</w:t>
            </w:r>
          </w:p>
        </w:tc>
        <w:tc>
          <w:tcPr>
            <w:tcW w:w="2254" w:type="dxa"/>
          </w:tcPr>
          <w:p w14:paraId="68E94EAE" w14:textId="77777777" w:rsidR="004F4EAB" w:rsidRPr="005F20F5" w:rsidRDefault="004F4EAB" w:rsidP="00EB3BC2">
            <w:pPr>
              <w:spacing w:before="40" w:after="40"/>
              <w:rPr>
                <w:sz w:val="16"/>
                <w:szCs w:val="16"/>
              </w:rPr>
            </w:pPr>
            <w:r w:rsidRPr="005F20F5">
              <w:rPr>
                <w:sz w:val="16"/>
                <w:szCs w:val="16"/>
              </w:rPr>
              <w:t>Workforce development</w:t>
            </w:r>
          </w:p>
          <w:p w14:paraId="597C551B" w14:textId="77777777" w:rsidR="004F4EAB" w:rsidRPr="005F20F5" w:rsidRDefault="004F4EAB" w:rsidP="00EB3BC2">
            <w:pPr>
              <w:spacing w:before="40" w:after="40"/>
              <w:rPr>
                <w:sz w:val="16"/>
                <w:szCs w:val="16"/>
              </w:rPr>
            </w:pPr>
            <w:r w:rsidRPr="005F20F5">
              <w:rPr>
                <w:sz w:val="16"/>
                <w:szCs w:val="16"/>
              </w:rPr>
              <w:t>Workforce pipeline</w:t>
            </w:r>
          </w:p>
        </w:tc>
        <w:tc>
          <w:tcPr>
            <w:tcW w:w="2255" w:type="dxa"/>
          </w:tcPr>
          <w:p w14:paraId="11D9DC3B" w14:textId="77777777" w:rsidR="004F4EAB" w:rsidRPr="005F20F5" w:rsidRDefault="004F4EAB" w:rsidP="00EB3BC2">
            <w:pPr>
              <w:spacing w:before="40" w:after="40"/>
              <w:rPr>
                <w:sz w:val="16"/>
                <w:szCs w:val="16"/>
              </w:rPr>
            </w:pPr>
            <w:r w:rsidRPr="005F20F5">
              <w:rPr>
                <w:sz w:val="16"/>
                <w:szCs w:val="16"/>
              </w:rPr>
              <w:t>Insurance principles and scheme objects</w:t>
            </w:r>
          </w:p>
          <w:p w14:paraId="6DE27ABA" w14:textId="77777777" w:rsidR="004F4EAB" w:rsidRPr="005F20F5" w:rsidRDefault="004F4EAB" w:rsidP="00EB3BC2">
            <w:pPr>
              <w:numPr>
                <w:ilvl w:val="1"/>
                <w:numId w:val="3"/>
              </w:numPr>
              <w:spacing w:before="40" w:after="40"/>
              <w:rPr>
                <w:sz w:val="16"/>
                <w:szCs w:val="16"/>
              </w:rPr>
            </w:pPr>
            <w:r w:rsidRPr="005F20F5">
              <w:rPr>
                <w:sz w:val="16"/>
                <w:szCs w:val="16"/>
              </w:rPr>
              <w:t>Market access</w:t>
            </w:r>
          </w:p>
          <w:p w14:paraId="248B33B9" w14:textId="77777777" w:rsidR="004F4EAB" w:rsidRPr="005F20F5" w:rsidRDefault="004F4EAB" w:rsidP="00EB3BC2">
            <w:pPr>
              <w:numPr>
                <w:ilvl w:val="1"/>
                <w:numId w:val="3"/>
              </w:numPr>
              <w:spacing w:before="40" w:after="40"/>
              <w:rPr>
                <w:sz w:val="16"/>
                <w:szCs w:val="16"/>
              </w:rPr>
            </w:pPr>
            <w:r w:rsidRPr="005F20F5">
              <w:rPr>
                <w:sz w:val="16"/>
                <w:szCs w:val="16"/>
              </w:rPr>
              <w:t>Service quality</w:t>
            </w:r>
          </w:p>
          <w:p w14:paraId="0B4C0751" w14:textId="77777777" w:rsidR="004F4EAB" w:rsidRPr="005F20F5" w:rsidRDefault="004F4EAB" w:rsidP="00EB3BC2">
            <w:pPr>
              <w:numPr>
                <w:ilvl w:val="1"/>
                <w:numId w:val="3"/>
              </w:numPr>
              <w:spacing w:before="40" w:after="40"/>
              <w:rPr>
                <w:sz w:val="16"/>
                <w:szCs w:val="16"/>
              </w:rPr>
            </w:pPr>
            <w:r w:rsidRPr="005F20F5">
              <w:rPr>
                <w:sz w:val="16"/>
                <w:szCs w:val="16"/>
              </w:rPr>
              <w:t>Sustainability</w:t>
            </w:r>
          </w:p>
        </w:tc>
      </w:tr>
    </w:tbl>
    <w:p w14:paraId="5E0073A1" w14:textId="77777777" w:rsidR="00E147EC" w:rsidRPr="005F20F5" w:rsidRDefault="00E147EC" w:rsidP="00E147EC">
      <w:pPr>
        <w:pStyle w:val="Heading3"/>
      </w:pPr>
      <w:bookmarkStart w:id="26" w:name="_Toc85097242"/>
      <w:r w:rsidRPr="005F20F5">
        <w:t>Market intervention options</w:t>
      </w:r>
      <w:bookmarkEnd w:id="26"/>
    </w:p>
    <w:p w14:paraId="5260CB38" w14:textId="6D375AF2" w:rsidR="00E147EC" w:rsidRPr="005F20F5" w:rsidRDefault="00E147EC" w:rsidP="00E147EC">
      <w:r w:rsidRPr="005F20F5">
        <w:t xml:space="preserve">There is a spectrum of market intervention options available to the NDIA, which are outlined in </w:t>
      </w:r>
      <w:r w:rsidR="007F2E84" w:rsidRPr="005F20F5">
        <w:fldChar w:fldCharType="begin"/>
      </w:r>
      <w:r w:rsidR="007F2E84" w:rsidRPr="005F20F5">
        <w:instrText xml:space="preserve"> REF _Ref83300943 \h </w:instrText>
      </w:r>
      <w:r w:rsidR="007A0655" w:rsidRPr="005F20F5">
        <w:instrText xml:space="preserve"> \* MERGEFORMAT </w:instrText>
      </w:r>
      <w:r w:rsidR="007F2E84" w:rsidRPr="005F20F5">
        <w:fldChar w:fldCharType="separate"/>
      </w:r>
      <w:r w:rsidR="009D3AFE" w:rsidRPr="005F20F5">
        <w:t xml:space="preserve">Exhibit </w:t>
      </w:r>
      <w:r w:rsidR="009D3AFE">
        <w:rPr>
          <w:noProof/>
        </w:rPr>
        <w:t>5</w:t>
      </w:r>
      <w:r w:rsidR="007F2E84" w:rsidRPr="005F20F5">
        <w:fldChar w:fldCharType="end"/>
      </w:r>
      <w:r w:rsidRPr="005F20F5">
        <w:t>. Whether to use each of these options depends on the characteristics of the market and how well it is functioning.</w:t>
      </w:r>
      <w:r w:rsidR="004F4EAB" w:rsidRPr="005F20F5">
        <w:t xml:space="preserve"> </w:t>
      </w:r>
      <w:r w:rsidRPr="005F20F5">
        <w:t>A market that is considered well-functioning requires less intervention and the options to the left of the spectrum may be most appropriate. The options to the right of the spectrum may be more appropriate for a market that still has inefficiency and characteristics that suggest it is still not well-functioning.</w:t>
      </w:r>
    </w:p>
    <w:p w14:paraId="6660F41D" w14:textId="079E8390" w:rsidR="00E147EC" w:rsidRPr="005F20F5" w:rsidRDefault="00E147EC" w:rsidP="005C0413">
      <w:pPr>
        <w:pStyle w:val="Caption"/>
      </w:pPr>
      <w:bookmarkStart w:id="27" w:name="_Ref83300943"/>
      <w:bookmarkStart w:id="28" w:name="_Toc83292076"/>
      <w:r w:rsidRPr="005F20F5">
        <w:t xml:space="preserve">Exhibit </w:t>
      </w:r>
      <w:r w:rsidR="009D3AFE">
        <w:fldChar w:fldCharType="begin"/>
      </w:r>
      <w:r w:rsidR="009D3AFE">
        <w:instrText xml:space="preserve"> SEQ Exhibit \* ARABIC </w:instrText>
      </w:r>
      <w:r w:rsidR="009D3AFE">
        <w:fldChar w:fldCharType="separate"/>
      </w:r>
      <w:r w:rsidR="009D3AFE">
        <w:rPr>
          <w:noProof/>
        </w:rPr>
        <w:t>5</w:t>
      </w:r>
      <w:r w:rsidR="009D3AFE">
        <w:rPr>
          <w:noProof/>
        </w:rPr>
        <w:fldChar w:fldCharType="end"/>
      </w:r>
      <w:bookmarkEnd w:id="27"/>
      <w:r w:rsidRPr="005F20F5">
        <w:t>: Spectrum of market intervention options</w:t>
      </w:r>
      <w:bookmarkEnd w:id="28"/>
      <w:r w:rsidRPr="005F20F5">
        <w:t xml:space="preserve"> </w:t>
      </w:r>
    </w:p>
    <w:tbl>
      <w:tblPr>
        <w:tblStyle w:val="GridTable4"/>
        <w:tblW w:w="0" w:type="auto"/>
        <w:tblLook w:val="04A0" w:firstRow="1" w:lastRow="0" w:firstColumn="1" w:lastColumn="0" w:noHBand="0" w:noVBand="1"/>
        <w:tblCaption w:val="EXHIBIT 5: SPECTRUM OF MARKET INTERVENTION OPTIONS "/>
        <w:tblDescription w:val="Table outlining the risk of market facilitation, market deepening, regulation and commissioning"/>
      </w:tblPr>
      <w:tblGrid>
        <w:gridCol w:w="2219"/>
        <w:gridCol w:w="2213"/>
        <w:gridCol w:w="2213"/>
        <w:gridCol w:w="2372"/>
      </w:tblGrid>
      <w:tr w:rsidR="00E147EC" w:rsidRPr="005F20F5" w14:paraId="5FB0A9D9" w14:textId="77777777" w:rsidTr="003D1C2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219" w:type="dxa"/>
          </w:tcPr>
          <w:p w14:paraId="3081F565" w14:textId="77777777" w:rsidR="00E147EC" w:rsidRPr="005F20F5" w:rsidRDefault="00E147EC" w:rsidP="00EB3BC2">
            <w:pPr>
              <w:spacing w:before="40" w:after="40"/>
              <w:jc w:val="center"/>
              <w:rPr>
                <w:b w:val="0"/>
                <w:sz w:val="16"/>
                <w:szCs w:val="16"/>
              </w:rPr>
            </w:pPr>
            <w:r w:rsidRPr="005F20F5">
              <w:rPr>
                <w:b w:val="0"/>
                <w:sz w:val="16"/>
                <w:szCs w:val="16"/>
              </w:rPr>
              <w:t xml:space="preserve">Market </w:t>
            </w:r>
          </w:p>
          <w:p w14:paraId="04AFFD03" w14:textId="77777777" w:rsidR="00E147EC" w:rsidRPr="005F20F5" w:rsidRDefault="00E147EC" w:rsidP="00EB3BC2">
            <w:pPr>
              <w:spacing w:before="40" w:after="40"/>
              <w:jc w:val="center"/>
              <w:rPr>
                <w:b w:val="0"/>
                <w:sz w:val="16"/>
                <w:szCs w:val="16"/>
              </w:rPr>
            </w:pPr>
            <w:r w:rsidRPr="005F20F5">
              <w:rPr>
                <w:b w:val="0"/>
                <w:sz w:val="16"/>
                <w:szCs w:val="16"/>
              </w:rPr>
              <w:t>Facilitation</w:t>
            </w:r>
          </w:p>
        </w:tc>
        <w:tc>
          <w:tcPr>
            <w:tcW w:w="2214" w:type="dxa"/>
          </w:tcPr>
          <w:p w14:paraId="6E89FCFB" w14:textId="77777777" w:rsidR="00E147EC" w:rsidRPr="005F20F5" w:rsidRDefault="00E147EC" w:rsidP="00EB3BC2">
            <w:pPr>
              <w:spacing w:before="40" w:after="4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5F20F5">
              <w:rPr>
                <w:b w:val="0"/>
                <w:sz w:val="16"/>
                <w:szCs w:val="16"/>
              </w:rPr>
              <w:t xml:space="preserve">Market </w:t>
            </w:r>
          </w:p>
          <w:p w14:paraId="3EBB1F6C" w14:textId="77777777" w:rsidR="00E147EC" w:rsidRPr="005F20F5" w:rsidRDefault="00E147EC" w:rsidP="00EB3BC2">
            <w:pPr>
              <w:spacing w:before="40" w:after="4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5F20F5">
              <w:rPr>
                <w:b w:val="0"/>
                <w:sz w:val="16"/>
                <w:szCs w:val="16"/>
              </w:rPr>
              <w:t>Deepening</w:t>
            </w:r>
          </w:p>
        </w:tc>
        <w:tc>
          <w:tcPr>
            <w:tcW w:w="2214" w:type="dxa"/>
          </w:tcPr>
          <w:p w14:paraId="2BB13DFD" w14:textId="77777777" w:rsidR="00E147EC" w:rsidRPr="005F20F5" w:rsidRDefault="00E147EC" w:rsidP="00EB3BC2">
            <w:pPr>
              <w:spacing w:before="40" w:after="4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5F20F5">
              <w:rPr>
                <w:b w:val="0"/>
                <w:sz w:val="16"/>
                <w:szCs w:val="16"/>
              </w:rPr>
              <w:t xml:space="preserve">Market </w:t>
            </w:r>
          </w:p>
          <w:p w14:paraId="49A3DEE3" w14:textId="77777777" w:rsidR="00E147EC" w:rsidRPr="005F20F5" w:rsidRDefault="00E147EC" w:rsidP="00EB3BC2">
            <w:pPr>
              <w:spacing w:before="40" w:after="4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5F20F5">
              <w:rPr>
                <w:b w:val="0"/>
                <w:sz w:val="16"/>
                <w:szCs w:val="16"/>
              </w:rPr>
              <w:t>Regulation</w:t>
            </w:r>
          </w:p>
        </w:tc>
        <w:tc>
          <w:tcPr>
            <w:tcW w:w="2373" w:type="dxa"/>
          </w:tcPr>
          <w:p w14:paraId="2EAA8B59" w14:textId="77777777" w:rsidR="00E147EC" w:rsidRPr="005F20F5" w:rsidRDefault="00E147EC" w:rsidP="00EB3BC2">
            <w:pPr>
              <w:spacing w:before="40" w:after="40"/>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5F20F5">
              <w:rPr>
                <w:b w:val="0"/>
                <w:sz w:val="16"/>
                <w:szCs w:val="16"/>
              </w:rPr>
              <w:t>Alternative Commissioning</w:t>
            </w:r>
          </w:p>
        </w:tc>
      </w:tr>
      <w:tr w:rsidR="00E147EC" w:rsidRPr="005F20F5" w14:paraId="5C1DE261" w14:textId="77777777" w:rsidTr="00E147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9" w:type="dxa"/>
          </w:tcPr>
          <w:p w14:paraId="1770E5D7" w14:textId="77777777" w:rsidR="00E147EC" w:rsidRPr="005F20F5" w:rsidRDefault="00E147EC" w:rsidP="00EB3BC2">
            <w:pPr>
              <w:spacing w:before="40" w:after="40"/>
              <w:jc w:val="center"/>
              <w:rPr>
                <w:b w:val="0"/>
                <w:sz w:val="16"/>
                <w:szCs w:val="16"/>
              </w:rPr>
            </w:pPr>
            <w:r w:rsidRPr="005F20F5">
              <w:rPr>
                <w:b w:val="0"/>
                <w:sz w:val="16"/>
                <w:szCs w:val="16"/>
              </w:rPr>
              <w:t>Providing more information about demand or options available to participants, or matching supply and demand</w:t>
            </w:r>
          </w:p>
        </w:tc>
        <w:tc>
          <w:tcPr>
            <w:tcW w:w="2214" w:type="dxa"/>
          </w:tcPr>
          <w:p w14:paraId="612E342F" w14:textId="77777777" w:rsidR="00E147EC" w:rsidRPr="005F20F5" w:rsidRDefault="00E147EC" w:rsidP="00EB3BC2">
            <w:pPr>
              <w:spacing w:before="40" w:after="40"/>
              <w:jc w:val="center"/>
              <w:cnfStyle w:val="000000100000" w:firstRow="0" w:lastRow="0" w:firstColumn="0" w:lastColumn="0" w:oddVBand="0" w:evenVBand="0" w:oddHBand="1" w:evenHBand="0" w:firstRowFirstColumn="0" w:firstRowLastColumn="0" w:lastRowFirstColumn="0" w:lastRowLastColumn="0"/>
              <w:rPr>
                <w:sz w:val="16"/>
                <w:szCs w:val="16"/>
              </w:rPr>
            </w:pPr>
            <w:r w:rsidRPr="005F20F5">
              <w:rPr>
                <w:sz w:val="16"/>
                <w:szCs w:val="16"/>
              </w:rPr>
              <w:t>Facilitating supply to meet needs by ‘pooling’ demand to create additional economies of scale</w:t>
            </w:r>
          </w:p>
        </w:tc>
        <w:tc>
          <w:tcPr>
            <w:tcW w:w="2214" w:type="dxa"/>
          </w:tcPr>
          <w:p w14:paraId="4494C910" w14:textId="77777777" w:rsidR="00E147EC" w:rsidRPr="005F20F5" w:rsidRDefault="00E147EC" w:rsidP="00EB3BC2">
            <w:pPr>
              <w:spacing w:before="40" w:after="40"/>
              <w:jc w:val="center"/>
              <w:cnfStyle w:val="000000100000" w:firstRow="0" w:lastRow="0" w:firstColumn="0" w:lastColumn="0" w:oddVBand="0" w:evenVBand="0" w:oddHBand="1" w:evenHBand="0" w:firstRowFirstColumn="0" w:firstRowLastColumn="0" w:lastRowFirstColumn="0" w:lastRowLastColumn="0"/>
              <w:rPr>
                <w:sz w:val="16"/>
                <w:szCs w:val="16"/>
              </w:rPr>
            </w:pPr>
            <w:r w:rsidRPr="005F20F5">
              <w:rPr>
                <w:sz w:val="16"/>
                <w:szCs w:val="16"/>
              </w:rPr>
              <w:t>Controlling market operations through regulating or setting prices, or controlling market access</w:t>
            </w:r>
          </w:p>
        </w:tc>
        <w:tc>
          <w:tcPr>
            <w:tcW w:w="2373" w:type="dxa"/>
          </w:tcPr>
          <w:p w14:paraId="1AF24A6C" w14:textId="77777777" w:rsidR="00E147EC" w:rsidRPr="005F20F5" w:rsidRDefault="00E147EC" w:rsidP="00EB3BC2">
            <w:pPr>
              <w:spacing w:before="40" w:after="40"/>
              <w:jc w:val="center"/>
              <w:cnfStyle w:val="000000100000" w:firstRow="0" w:lastRow="0" w:firstColumn="0" w:lastColumn="0" w:oddVBand="0" w:evenVBand="0" w:oddHBand="1" w:evenHBand="0" w:firstRowFirstColumn="0" w:firstRowLastColumn="0" w:lastRowFirstColumn="0" w:lastRowLastColumn="0"/>
              <w:rPr>
                <w:sz w:val="16"/>
                <w:szCs w:val="16"/>
              </w:rPr>
            </w:pPr>
            <w:r w:rsidRPr="005F20F5">
              <w:rPr>
                <w:sz w:val="16"/>
                <w:szCs w:val="16"/>
              </w:rPr>
              <w:t>Directly funding a provider in return for a service, or delivering services ‘in-house’ with public sector provision</w:t>
            </w:r>
          </w:p>
        </w:tc>
      </w:tr>
      <w:tr w:rsidR="00E147EC" w:rsidRPr="005F20F5" w14:paraId="6AFD7498" w14:textId="77777777" w:rsidTr="00E147EC">
        <w:trPr>
          <w:trHeight w:val="20"/>
        </w:trPr>
        <w:tc>
          <w:tcPr>
            <w:cnfStyle w:val="001000000000" w:firstRow="0" w:lastRow="0" w:firstColumn="1" w:lastColumn="0" w:oddVBand="0" w:evenVBand="0" w:oddHBand="0" w:evenHBand="0" w:firstRowFirstColumn="0" w:firstRowLastColumn="0" w:lastRowFirstColumn="0" w:lastRowLastColumn="0"/>
            <w:tcW w:w="2219" w:type="dxa"/>
          </w:tcPr>
          <w:p w14:paraId="01829895" w14:textId="77777777" w:rsidR="00E147EC" w:rsidRPr="005F20F5" w:rsidRDefault="00E147EC" w:rsidP="00EB3BC2">
            <w:pPr>
              <w:spacing w:before="40" w:after="40"/>
              <w:jc w:val="center"/>
              <w:rPr>
                <w:b w:val="0"/>
                <w:sz w:val="16"/>
                <w:szCs w:val="16"/>
              </w:rPr>
            </w:pPr>
            <w:r w:rsidRPr="005F20F5">
              <w:rPr>
                <w:b w:val="0"/>
                <w:sz w:val="16"/>
                <w:szCs w:val="16"/>
              </w:rPr>
              <w:t>Low</w:t>
            </w:r>
          </w:p>
        </w:tc>
        <w:tc>
          <w:tcPr>
            <w:tcW w:w="2214" w:type="dxa"/>
          </w:tcPr>
          <w:p w14:paraId="0A242A7A" w14:textId="77777777" w:rsidR="00E147EC" w:rsidRPr="005F20F5" w:rsidRDefault="00E147EC" w:rsidP="00EB3BC2">
            <w:pPr>
              <w:spacing w:before="40" w:after="40"/>
              <w:jc w:val="center"/>
              <w:cnfStyle w:val="000000000000" w:firstRow="0" w:lastRow="0" w:firstColumn="0" w:lastColumn="0" w:oddVBand="0" w:evenVBand="0" w:oddHBand="0" w:evenHBand="0" w:firstRowFirstColumn="0" w:firstRowLastColumn="0" w:lastRowFirstColumn="0" w:lastRowLastColumn="0"/>
              <w:rPr>
                <w:sz w:val="16"/>
                <w:szCs w:val="16"/>
              </w:rPr>
            </w:pPr>
            <w:r w:rsidRPr="005F20F5">
              <w:rPr>
                <w:sz w:val="16"/>
                <w:szCs w:val="16"/>
              </w:rPr>
              <w:t>Medium</w:t>
            </w:r>
          </w:p>
        </w:tc>
        <w:tc>
          <w:tcPr>
            <w:tcW w:w="2214" w:type="dxa"/>
          </w:tcPr>
          <w:p w14:paraId="287E5374" w14:textId="77777777" w:rsidR="00E147EC" w:rsidRPr="005F20F5" w:rsidRDefault="00E147EC" w:rsidP="00EB3BC2">
            <w:pPr>
              <w:spacing w:before="40" w:after="40"/>
              <w:jc w:val="center"/>
              <w:cnfStyle w:val="000000000000" w:firstRow="0" w:lastRow="0" w:firstColumn="0" w:lastColumn="0" w:oddVBand="0" w:evenVBand="0" w:oddHBand="0" w:evenHBand="0" w:firstRowFirstColumn="0" w:firstRowLastColumn="0" w:lastRowFirstColumn="0" w:lastRowLastColumn="0"/>
              <w:rPr>
                <w:sz w:val="16"/>
                <w:szCs w:val="16"/>
              </w:rPr>
            </w:pPr>
            <w:r w:rsidRPr="005F20F5">
              <w:rPr>
                <w:sz w:val="16"/>
                <w:szCs w:val="16"/>
              </w:rPr>
              <w:t>High</w:t>
            </w:r>
          </w:p>
        </w:tc>
        <w:tc>
          <w:tcPr>
            <w:tcW w:w="2373" w:type="dxa"/>
          </w:tcPr>
          <w:p w14:paraId="115452E9" w14:textId="77777777" w:rsidR="00E147EC" w:rsidRPr="005F20F5" w:rsidRDefault="00E147EC" w:rsidP="00EB3BC2">
            <w:pPr>
              <w:spacing w:before="40" w:after="40"/>
              <w:jc w:val="center"/>
              <w:cnfStyle w:val="000000000000" w:firstRow="0" w:lastRow="0" w:firstColumn="0" w:lastColumn="0" w:oddVBand="0" w:evenVBand="0" w:oddHBand="0" w:evenHBand="0" w:firstRowFirstColumn="0" w:firstRowLastColumn="0" w:lastRowFirstColumn="0" w:lastRowLastColumn="0"/>
              <w:rPr>
                <w:sz w:val="16"/>
                <w:szCs w:val="16"/>
              </w:rPr>
            </w:pPr>
            <w:r w:rsidRPr="005F20F5">
              <w:rPr>
                <w:sz w:val="16"/>
                <w:szCs w:val="16"/>
              </w:rPr>
              <w:t>High</w:t>
            </w:r>
          </w:p>
        </w:tc>
      </w:tr>
    </w:tbl>
    <w:p w14:paraId="186ED967" w14:textId="77777777" w:rsidR="00E147EC" w:rsidRPr="005F20F5" w:rsidRDefault="00E147EC" w:rsidP="005C0413">
      <w:r w:rsidRPr="005F20F5">
        <w:rPr>
          <w:b/>
          <w:bCs/>
        </w:rPr>
        <w:t xml:space="preserve">Market facilitation: </w:t>
      </w:r>
      <w:r w:rsidRPr="005F20F5">
        <w:t xml:space="preserve">can take the form of </w:t>
      </w:r>
      <w:r w:rsidRPr="005F20F5">
        <w:rPr>
          <w:szCs w:val="22"/>
        </w:rPr>
        <w:t>information provision; demand-supply matching; and/ or supply</w:t>
      </w:r>
      <w:r w:rsidRPr="005F20F5">
        <w:t xml:space="preserve"> partnerships. The rationale/pre-conditions for limiting market intervention to these types of intervention are:</w:t>
      </w:r>
    </w:p>
    <w:p w14:paraId="6F970F1E" w14:textId="77777777" w:rsidR="00E147EC" w:rsidRPr="005F20F5" w:rsidRDefault="00E147EC" w:rsidP="00B55DCE">
      <w:pPr>
        <w:pStyle w:val="ListParagraph"/>
        <w:numPr>
          <w:ilvl w:val="0"/>
          <w:numId w:val="12"/>
        </w:numPr>
      </w:pPr>
      <w:r w:rsidRPr="005F20F5">
        <w:t>Participants are able to make well informed choices;</w:t>
      </w:r>
    </w:p>
    <w:p w14:paraId="112BF5C7" w14:textId="77777777" w:rsidR="00E147EC" w:rsidRPr="005F20F5" w:rsidRDefault="00E147EC" w:rsidP="00B55DCE">
      <w:pPr>
        <w:pStyle w:val="ListParagraph"/>
        <w:numPr>
          <w:ilvl w:val="0"/>
          <w:numId w:val="12"/>
        </w:numPr>
      </w:pPr>
      <w:r w:rsidRPr="005F20F5">
        <w:t>Current market issues are transitory;</w:t>
      </w:r>
    </w:p>
    <w:p w14:paraId="5E807AC7" w14:textId="77777777" w:rsidR="00E147EC" w:rsidRPr="005F20F5" w:rsidRDefault="00E147EC" w:rsidP="00B55DCE">
      <w:pPr>
        <w:pStyle w:val="ListParagraph"/>
        <w:numPr>
          <w:ilvl w:val="0"/>
          <w:numId w:val="12"/>
        </w:numPr>
      </w:pPr>
      <w:r w:rsidRPr="005F20F5">
        <w:t>Participants are willing to engage with trusted platforms;</w:t>
      </w:r>
    </w:p>
    <w:p w14:paraId="01F319EF" w14:textId="77777777" w:rsidR="00E147EC" w:rsidRPr="005F20F5" w:rsidRDefault="00E147EC" w:rsidP="00B55DCE">
      <w:pPr>
        <w:pStyle w:val="ListParagraph"/>
        <w:numPr>
          <w:ilvl w:val="0"/>
          <w:numId w:val="12"/>
        </w:numPr>
      </w:pPr>
      <w:r w:rsidRPr="005F20F5">
        <w:t>Providers are able to accept demand risk;</w:t>
      </w:r>
    </w:p>
    <w:p w14:paraId="6636A00B" w14:textId="77777777" w:rsidR="00E147EC" w:rsidRPr="005F20F5" w:rsidRDefault="00E147EC" w:rsidP="00B55DCE">
      <w:pPr>
        <w:pStyle w:val="ListParagraph"/>
        <w:numPr>
          <w:ilvl w:val="0"/>
          <w:numId w:val="12"/>
        </w:numPr>
      </w:pPr>
      <w:r w:rsidRPr="005F20F5">
        <w:t>Barriers to entry are low; and</w:t>
      </w:r>
    </w:p>
    <w:p w14:paraId="58A6A502" w14:textId="77777777" w:rsidR="00E147EC" w:rsidRPr="005F20F5" w:rsidRDefault="00E147EC" w:rsidP="00B55DCE">
      <w:pPr>
        <w:pStyle w:val="ListParagraph"/>
        <w:numPr>
          <w:ilvl w:val="0"/>
          <w:numId w:val="12"/>
        </w:numPr>
      </w:pPr>
      <w:r w:rsidRPr="005F20F5">
        <w:t>Competition can be sustained in the market.</w:t>
      </w:r>
    </w:p>
    <w:p w14:paraId="0C15147F" w14:textId="77777777" w:rsidR="00E147EC" w:rsidRPr="005F20F5" w:rsidRDefault="00E147EC" w:rsidP="005C0413">
      <w:r w:rsidRPr="005F20F5">
        <w:rPr>
          <w:b/>
          <w:bCs/>
        </w:rPr>
        <w:t>Market deepening:</w:t>
      </w:r>
      <w:r w:rsidRPr="005F20F5">
        <w:t xml:space="preserve"> can be done either through input market deepening – for example, attracting /training workers; or participant-led linking or bundling.</w:t>
      </w:r>
    </w:p>
    <w:p w14:paraId="1FC00CA7" w14:textId="77777777" w:rsidR="00E147EC" w:rsidRPr="005F20F5" w:rsidRDefault="00E147EC" w:rsidP="005C0413">
      <w:r w:rsidRPr="005F20F5">
        <w:t>The rationale/pre-conditions for limiting market intervention to these types of intervention are:</w:t>
      </w:r>
    </w:p>
    <w:p w14:paraId="25B22535" w14:textId="77777777" w:rsidR="00E147EC" w:rsidRPr="005F20F5" w:rsidRDefault="00E147EC" w:rsidP="00B55DCE">
      <w:pPr>
        <w:pStyle w:val="ListParagraph"/>
        <w:numPr>
          <w:ilvl w:val="0"/>
          <w:numId w:val="12"/>
        </w:numPr>
      </w:pPr>
      <w:r w:rsidRPr="005F20F5">
        <w:t>Participants can make well informed choices;</w:t>
      </w:r>
    </w:p>
    <w:p w14:paraId="3E4A211F" w14:textId="77777777" w:rsidR="00E147EC" w:rsidRPr="005F20F5" w:rsidRDefault="00E147EC" w:rsidP="00B55DCE">
      <w:pPr>
        <w:pStyle w:val="ListParagraph"/>
        <w:numPr>
          <w:ilvl w:val="0"/>
          <w:numId w:val="12"/>
        </w:numPr>
      </w:pPr>
      <w:r w:rsidRPr="005F20F5">
        <w:t>Current market issues are transitory;</w:t>
      </w:r>
    </w:p>
    <w:p w14:paraId="3CE564F3" w14:textId="77777777" w:rsidR="00E147EC" w:rsidRPr="005F20F5" w:rsidRDefault="00E147EC" w:rsidP="00B55DCE">
      <w:pPr>
        <w:pStyle w:val="ListParagraph"/>
        <w:numPr>
          <w:ilvl w:val="0"/>
          <w:numId w:val="12"/>
        </w:numPr>
      </w:pPr>
      <w:r w:rsidRPr="005F20F5">
        <w:t>Workforce deepening required to enhance trusted engagement; and</w:t>
      </w:r>
    </w:p>
    <w:p w14:paraId="475E8B14" w14:textId="77777777" w:rsidR="00E147EC" w:rsidRPr="005F20F5" w:rsidRDefault="00E147EC" w:rsidP="00B55DCE">
      <w:pPr>
        <w:pStyle w:val="ListParagraph"/>
        <w:numPr>
          <w:ilvl w:val="0"/>
          <w:numId w:val="12"/>
        </w:numPr>
      </w:pPr>
      <w:r w:rsidRPr="005F20F5">
        <w:t>Participant pooling required to increase market depth.</w:t>
      </w:r>
    </w:p>
    <w:p w14:paraId="110A5F13" w14:textId="77777777" w:rsidR="00E147EC" w:rsidRPr="005F20F5" w:rsidRDefault="00E147EC" w:rsidP="005C0413">
      <w:r w:rsidRPr="005F20F5">
        <w:rPr>
          <w:b/>
          <w:bCs/>
        </w:rPr>
        <w:t>Market regulation:</w:t>
      </w:r>
      <w:r w:rsidRPr="005F20F5">
        <w:t xml:space="preserve"> can take the form of either or both price regulation; or the regulation of market access. The rationale/pre-conditions for these types of intervention are:</w:t>
      </w:r>
    </w:p>
    <w:p w14:paraId="55EE2974" w14:textId="77777777" w:rsidR="00E147EC" w:rsidRPr="005F20F5" w:rsidRDefault="00E147EC" w:rsidP="00B55DCE">
      <w:pPr>
        <w:pStyle w:val="ListParagraph"/>
        <w:numPr>
          <w:ilvl w:val="0"/>
          <w:numId w:val="12"/>
        </w:numPr>
      </w:pPr>
      <w:r w:rsidRPr="005F20F5">
        <w:t>Monopoly power may drive undesirable pricing outcomes;</w:t>
      </w:r>
    </w:p>
    <w:p w14:paraId="2CB920E8" w14:textId="77777777" w:rsidR="00E147EC" w:rsidRPr="005F20F5" w:rsidRDefault="00E147EC" w:rsidP="00B55DCE">
      <w:pPr>
        <w:pStyle w:val="ListParagraph"/>
        <w:numPr>
          <w:ilvl w:val="0"/>
          <w:numId w:val="12"/>
        </w:numPr>
      </w:pPr>
      <w:r w:rsidRPr="005F20F5">
        <w:t>Participants cannot manage certain market risks;</w:t>
      </w:r>
    </w:p>
    <w:p w14:paraId="55302EFC" w14:textId="77777777" w:rsidR="00E147EC" w:rsidRPr="005F20F5" w:rsidRDefault="00E147EC" w:rsidP="00B55DCE">
      <w:pPr>
        <w:pStyle w:val="ListParagraph"/>
        <w:numPr>
          <w:ilvl w:val="0"/>
          <w:numId w:val="12"/>
        </w:numPr>
      </w:pPr>
      <w:r w:rsidRPr="005F20F5">
        <w:t>Market is overly fragmented;</w:t>
      </w:r>
    </w:p>
    <w:p w14:paraId="3487570F" w14:textId="77777777" w:rsidR="00E147EC" w:rsidRPr="005F20F5" w:rsidRDefault="00E147EC" w:rsidP="00B55DCE">
      <w:pPr>
        <w:pStyle w:val="ListParagraph"/>
        <w:numPr>
          <w:ilvl w:val="0"/>
          <w:numId w:val="12"/>
        </w:numPr>
      </w:pPr>
      <w:r w:rsidRPr="005F20F5">
        <w:t>Market access restrictions are required to ensure engagement and quality;</w:t>
      </w:r>
    </w:p>
    <w:p w14:paraId="4723A84D" w14:textId="77777777" w:rsidR="00E147EC" w:rsidRPr="005F20F5" w:rsidRDefault="00E147EC" w:rsidP="00B55DCE">
      <w:pPr>
        <w:pStyle w:val="ListParagraph"/>
        <w:numPr>
          <w:ilvl w:val="0"/>
          <w:numId w:val="12"/>
        </w:numPr>
      </w:pPr>
      <w:r w:rsidRPr="005F20F5">
        <w:t>Prices do not reflect efficient cost of providing supports;</w:t>
      </w:r>
    </w:p>
    <w:p w14:paraId="3DFC613F" w14:textId="77777777" w:rsidR="00E147EC" w:rsidRPr="005F20F5" w:rsidRDefault="00E147EC" w:rsidP="00B55DCE">
      <w:pPr>
        <w:pStyle w:val="ListParagraph"/>
        <w:numPr>
          <w:ilvl w:val="0"/>
          <w:numId w:val="12"/>
        </w:numPr>
      </w:pPr>
      <w:r w:rsidRPr="005F20F5">
        <w:t>Prices need to be increased to generate sufficient market size for providers; and</w:t>
      </w:r>
    </w:p>
    <w:p w14:paraId="162B8E79" w14:textId="77777777" w:rsidR="00E147EC" w:rsidRPr="005F20F5" w:rsidRDefault="00E147EC" w:rsidP="00B55DCE">
      <w:pPr>
        <w:pStyle w:val="ListParagraph"/>
        <w:numPr>
          <w:ilvl w:val="0"/>
          <w:numId w:val="12"/>
        </w:numPr>
      </w:pPr>
      <w:r w:rsidRPr="005F20F5">
        <w:t>Providers willing and able to compete but resulting in perverse outcomes.</w:t>
      </w:r>
    </w:p>
    <w:p w14:paraId="2005709B" w14:textId="77777777" w:rsidR="00E147EC" w:rsidRPr="005F20F5" w:rsidRDefault="00E147EC" w:rsidP="005C0413">
      <w:r w:rsidRPr="005F20F5">
        <w:rPr>
          <w:b/>
          <w:bCs/>
        </w:rPr>
        <w:t>Alternative commissioning</w:t>
      </w:r>
      <w:r w:rsidRPr="005F20F5">
        <w:t>: which can run alongside other forms of market regulation, can take a number of forms: direct procurement; government provision; and strategic commissioning. The rationale/pre-conditions for these types of intervention are:</w:t>
      </w:r>
    </w:p>
    <w:p w14:paraId="0BBDAA13" w14:textId="77777777" w:rsidR="00E147EC" w:rsidRPr="005F20F5" w:rsidRDefault="00E147EC" w:rsidP="00B55DCE">
      <w:pPr>
        <w:pStyle w:val="ListParagraph"/>
        <w:numPr>
          <w:ilvl w:val="0"/>
          <w:numId w:val="12"/>
        </w:numPr>
      </w:pPr>
      <w:r w:rsidRPr="005F20F5">
        <w:t>Competition in the market either not possible or appropriate;</w:t>
      </w:r>
    </w:p>
    <w:p w14:paraId="0632647C" w14:textId="77777777" w:rsidR="00E147EC" w:rsidRPr="005F20F5" w:rsidRDefault="00E147EC" w:rsidP="00B55DCE">
      <w:pPr>
        <w:pStyle w:val="ListParagraph"/>
        <w:numPr>
          <w:ilvl w:val="0"/>
          <w:numId w:val="12"/>
        </w:numPr>
      </w:pPr>
      <w:r w:rsidRPr="005F20F5">
        <w:t>Limited or no choice;</w:t>
      </w:r>
    </w:p>
    <w:p w14:paraId="5645AAC2" w14:textId="77777777" w:rsidR="00E147EC" w:rsidRPr="005F20F5" w:rsidRDefault="00E147EC" w:rsidP="00B55DCE">
      <w:pPr>
        <w:pStyle w:val="ListParagraph"/>
        <w:numPr>
          <w:ilvl w:val="0"/>
          <w:numId w:val="12"/>
        </w:numPr>
      </w:pPr>
      <w:r w:rsidRPr="005F20F5">
        <w:t>Participants will only engage with certain trusted providers;</w:t>
      </w:r>
    </w:p>
    <w:p w14:paraId="49B4B9C8" w14:textId="77777777" w:rsidR="00E147EC" w:rsidRPr="005F20F5" w:rsidRDefault="00E147EC" w:rsidP="00B55DCE">
      <w:pPr>
        <w:pStyle w:val="ListParagraph"/>
        <w:numPr>
          <w:ilvl w:val="0"/>
          <w:numId w:val="12"/>
        </w:numPr>
      </w:pPr>
      <w:r w:rsidRPr="005F20F5">
        <w:t>The individualise model results in risk allocation issues;</w:t>
      </w:r>
    </w:p>
    <w:p w14:paraId="3547F750" w14:textId="77777777" w:rsidR="00E147EC" w:rsidRPr="005F20F5" w:rsidRDefault="00E147EC" w:rsidP="00B55DCE">
      <w:pPr>
        <w:pStyle w:val="ListParagraph"/>
        <w:numPr>
          <w:ilvl w:val="0"/>
          <w:numId w:val="12"/>
        </w:numPr>
      </w:pPr>
      <w:r w:rsidRPr="005F20F5">
        <w:t>Barriers to entry are high; and</w:t>
      </w:r>
    </w:p>
    <w:p w14:paraId="24E780BF" w14:textId="77777777" w:rsidR="00E147EC" w:rsidRPr="005F20F5" w:rsidRDefault="00E147EC" w:rsidP="00B55DCE">
      <w:pPr>
        <w:pStyle w:val="ListParagraph"/>
        <w:numPr>
          <w:ilvl w:val="0"/>
          <w:numId w:val="12"/>
        </w:numPr>
      </w:pPr>
      <w:r w:rsidRPr="005F20F5">
        <w:t>Higher prices do not overcome a lack of market depth.</w:t>
      </w:r>
    </w:p>
    <w:p w14:paraId="6042DA34" w14:textId="77777777" w:rsidR="00E147EC" w:rsidRPr="005F20F5" w:rsidRDefault="00E147EC" w:rsidP="00E147EC">
      <w:pPr>
        <w:pStyle w:val="Heading3"/>
      </w:pPr>
      <w:bookmarkStart w:id="29" w:name="_Toc85097243"/>
      <w:r w:rsidRPr="005F20F5">
        <w:t>Price regulation options</w:t>
      </w:r>
      <w:bookmarkEnd w:id="29"/>
    </w:p>
    <w:p w14:paraId="7FB9ED48" w14:textId="77777777" w:rsidR="00E147EC" w:rsidRPr="005F20F5" w:rsidRDefault="00295C13" w:rsidP="00E147EC">
      <w:r w:rsidRPr="005F20F5">
        <w:t>There</w:t>
      </w:r>
      <w:r w:rsidR="007F2E84" w:rsidRPr="005F20F5">
        <w:t xml:space="preserve"> are two key regulatory options available for markets that require</w:t>
      </w:r>
      <w:r w:rsidR="00E147EC" w:rsidRPr="005F20F5">
        <w:t xml:space="preserve"> a higher level of regulation to enable it </w:t>
      </w:r>
      <w:r w:rsidR="007F2E84" w:rsidRPr="005F20F5">
        <w:t>to function more efficiently:</w:t>
      </w:r>
    </w:p>
    <w:p w14:paraId="1AD0CEAE" w14:textId="77777777" w:rsidR="00295C13" w:rsidRPr="005F20F5" w:rsidRDefault="00295C13" w:rsidP="00295C13">
      <w:pPr>
        <w:pStyle w:val="ListParagraph"/>
        <w:numPr>
          <w:ilvl w:val="0"/>
          <w:numId w:val="12"/>
        </w:numPr>
      </w:pPr>
      <w:r w:rsidRPr="005F20F5">
        <w:rPr>
          <w:b/>
        </w:rPr>
        <w:t>Market access regulation:</w:t>
      </w:r>
      <w:r w:rsidRPr="005F20F5">
        <w:t xml:space="preserve"> The NDIS Commission has primary responsibility for market access regulation for registered providers (responsible for the registration and regulation of these NDIS providers); and</w:t>
      </w:r>
    </w:p>
    <w:p w14:paraId="5795B5DD" w14:textId="77777777" w:rsidR="007F2E84" w:rsidRPr="005F20F5" w:rsidRDefault="007F2E84" w:rsidP="007F2E84">
      <w:pPr>
        <w:pStyle w:val="ListParagraph"/>
        <w:numPr>
          <w:ilvl w:val="0"/>
          <w:numId w:val="12"/>
        </w:numPr>
      </w:pPr>
      <w:r w:rsidRPr="005F20F5">
        <w:rPr>
          <w:b/>
        </w:rPr>
        <w:t>Price regulation:</w:t>
      </w:r>
      <w:r w:rsidRPr="005F20F5">
        <w:t xml:space="preserve"> The NDIA has a range of price regulation tools available to it (see figure below), which can be deployed ind</w:t>
      </w:r>
      <w:r w:rsidR="00295C13" w:rsidRPr="005F20F5">
        <w:t>ividually or in combination.</w:t>
      </w:r>
    </w:p>
    <w:p w14:paraId="256EB228" w14:textId="77777777" w:rsidR="007F2E84" w:rsidRPr="005F20F5" w:rsidRDefault="007F2E84" w:rsidP="007F2E84">
      <w:r w:rsidRPr="005F20F5">
        <w:t>Price regulation can take several forms:</w:t>
      </w:r>
    </w:p>
    <w:p w14:paraId="22B57E54" w14:textId="599E658C" w:rsidR="00E147EC" w:rsidRPr="005F20F5" w:rsidRDefault="00E147EC" w:rsidP="007F2E84">
      <w:pPr>
        <w:pStyle w:val="ListParagraph"/>
        <w:numPr>
          <w:ilvl w:val="0"/>
          <w:numId w:val="12"/>
        </w:numPr>
      </w:pPr>
      <w:r w:rsidRPr="005F20F5">
        <w:rPr>
          <w:b/>
          <w:bCs/>
        </w:rPr>
        <w:t>Price information:</w:t>
      </w:r>
      <w:r w:rsidRPr="005F20F5">
        <w:t xml:space="preserve"> </w:t>
      </w:r>
      <w:r w:rsidR="00C91ACA" w:rsidRPr="005F20F5">
        <w:t xml:space="preserve">This information can </w:t>
      </w:r>
      <w:r w:rsidRPr="005F20F5">
        <w:t>help consumers with decision-making and can help with providing discipline on provider pricing behaviour. It is a relatively low level of regulatory intrusion. However, it has limited impact on the level of supply in the market and there are no repercussions for providers who do not act appropriately.</w:t>
      </w:r>
    </w:p>
    <w:p w14:paraId="27BC0F2B" w14:textId="4E80D429" w:rsidR="00E147EC" w:rsidRPr="005F20F5" w:rsidRDefault="00E147EC" w:rsidP="007F2E84">
      <w:pPr>
        <w:pStyle w:val="ListParagraph"/>
        <w:numPr>
          <w:ilvl w:val="0"/>
          <w:numId w:val="12"/>
        </w:numPr>
      </w:pPr>
      <w:r w:rsidRPr="005F20F5">
        <w:rPr>
          <w:b/>
          <w:bCs/>
        </w:rPr>
        <w:t>Price monitoring</w:t>
      </w:r>
      <w:r w:rsidRPr="005F20F5">
        <w:t>:</w:t>
      </w:r>
      <w:r w:rsidR="00C91ACA" w:rsidRPr="005F20F5">
        <w:t xml:space="preserve"> Regular</w:t>
      </w:r>
      <w:r w:rsidRPr="005F20F5">
        <w:t xml:space="preserve"> monitor</w:t>
      </w:r>
      <w:r w:rsidR="00C91ACA" w:rsidRPr="005F20F5">
        <w:t xml:space="preserve">ing </w:t>
      </w:r>
      <w:r w:rsidRPr="005F20F5">
        <w:t>and report</w:t>
      </w:r>
      <w:r w:rsidR="00C91ACA" w:rsidRPr="005F20F5">
        <w:t>ing</w:t>
      </w:r>
      <w:r w:rsidRPr="005F20F5">
        <w:t xml:space="preserve"> on actual market transaction prices and market activity</w:t>
      </w:r>
      <w:r w:rsidR="00C91ACA" w:rsidRPr="005F20F5">
        <w:t xml:space="preserve"> can provide more information for stakeholders, but increases the reporting burden on providers</w:t>
      </w:r>
      <w:r w:rsidRPr="005F20F5">
        <w:t xml:space="preserve">. This </w:t>
      </w:r>
      <w:r w:rsidR="00C91ACA" w:rsidRPr="005F20F5">
        <w:t xml:space="preserve">approach requires </w:t>
      </w:r>
      <w:r w:rsidRPr="005F20F5">
        <w:t>less regulatory oversight than price setting and price approval. It also helps to measure progress against expected outcomes without interfering with the market. However, there are limited repercussions for providers who do not act appropriately and high administrative costs.</w:t>
      </w:r>
    </w:p>
    <w:p w14:paraId="749EB65D" w14:textId="6B5459DC" w:rsidR="00E147EC" w:rsidRPr="005F20F5" w:rsidRDefault="00E147EC" w:rsidP="007F2E84">
      <w:pPr>
        <w:pStyle w:val="ListParagraph"/>
        <w:numPr>
          <w:ilvl w:val="0"/>
          <w:numId w:val="12"/>
        </w:numPr>
      </w:pPr>
      <w:r w:rsidRPr="005F20F5">
        <w:rPr>
          <w:b/>
          <w:bCs/>
        </w:rPr>
        <w:t>Price approval</w:t>
      </w:r>
      <w:r w:rsidRPr="005F20F5">
        <w:t xml:space="preserve">: </w:t>
      </w:r>
      <w:r w:rsidR="00C91ACA" w:rsidRPr="005F20F5">
        <w:t>Under this arrangements, businesses</w:t>
      </w:r>
      <w:r w:rsidRPr="005F20F5">
        <w:t xml:space="preserve"> are required to submit their prices to the regulator for approval. Given the existence of </w:t>
      </w:r>
      <w:r w:rsidR="00C91ACA" w:rsidRPr="005F20F5">
        <w:t xml:space="preserve">thousands </w:t>
      </w:r>
      <w:r w:rsidRPr="005F20F5">
        <w:t>of NDIS providers of supports, this form of price regulation is not practical as it would involve high administrative and compliance costs. The advantage of this arrangement is that providers able to charge at a rate that aligns with their cost of service. However, it can be difficult to evaluate the</w:t>
      </w:r>
      <w:r w:rsidR="00C91ACA" w:rsidRPr="005F20F5">
        <w:t xml:space="preserve"> reasonableness of the</w:t>
      </w:r>
      <w:r w:rsidRPr="005F20F5">
        <w:t xml:space="preserve"> cost</w:t>
      </w:r>
      <w:r w:rsidR="00C91ACA" w:rsidRPr="005F20F5">
        <w:t xml:space="preserve"> estimates</w:t>
      </w:r>
      <w:r w:rsidRPr="005F20F5">
        <w:t xml:space="preserve"> of providers. This approach requires significant oversight and resources to process all applications and has high administrative costs for providers.</w:t>
      </w:r>
    </w:p>
    <w:p w14:paraId="07C71483" w14:textId="01E06364" w:rsidR="00E147EC" w:rsidRPr="005F20F5" w:rsidRDefault="00E147EC" w:rsidP="007F2E84">
      <w:pPr>
        <w:pStyle w:val="ListParagraph"/>
        <w:numPr>
          <w:ilvl w:val="0"/>
          <w:numId w:val="12"/>
        </w:numPr>
      </w:pPr>
      <w:r w:rsidRPr="005F20F5">
        <w:rPr>
          <w:b/>
          <w:bCs/>
        </w:rPr>
        <w:t>Price setting:</w:t>
      </w:r>
      <w:r w:rsidR="00C91ACA" w:rsidRPr="005F20F5">
        <w:rPr>
          <w:b/>
          <w:bCs/>
        </w:rPr>
        <w:t xml:space="preserve"> </w:t>
      </w:r>
      <w:r w:rsidR="00C91ACA" w:rsidRPr="005F20F5">
        <w:t xml:space="preserve">This approach directly determines the </w:t>
      </w:r>
      <w:r w:rsidRPr="005F20F5">
        <w:t>prices</w:t>
      </w:r>
      <w:r w:rsidR="00C91ACA" w:rsidRPr="005F20F5">
        <w:t xml:space="preserve"> that businesses can charge</w:t>
      </w:r>
      <w:r w:rsidRPr="005F20F5">
        <w:t xml:space="preserve">. This is the most stringent form of price regulation. The advantages of this approach are that it can ensure providers are adequately compensated for their services and simplifies the market for participants. However, it does not allow flexibility for extraordinary circumstances, tends to </w:t>
      </w:r>
      <w:r w:rsidR="00C91ACA" w:rsidRPr="005F20F5">
        <w:t xml:space="preserve">reduce </w:t>
      </w:r>
      <w:r w:rsidRPr="005F20F5">
        <w:t>innovation and has high administrative costs for providers.</w:t>
      </w:r>
    </w:p>
    <w:p w14:paraId="7B6A897A" w14:textId="7CDDBA6A" w:rsidR="004F4EAB" w:rsidRPr="005F20F5" w:rsidRDefault="00E147EC" w:rsidP="007F2E84">
      <w:pPr>
        <w:pStyle w:val="ListParagraph"/>
        <w:numPr>
          <w:ilvl w:val="0"/>
          <w:numId w:val="12"/>
        </w:numPr>
      </w:pPr>
      <w:r w:rsidRPr="005F20F5">
        <w:rPr>
          <w:b/>
          <w:bCs/>
        </w:rPr>
        <w:t>Price limits:</w:t>
      </w:r>
      <w:r w:rsidRPr="005F20F5">
        <w:t xml:space="preserve"> </w:t>
      </w:r>
      <w:r w:rsidR="00C91ACA" w:rsidRPr="005F20F5">
        <w:t xml:space="preserve">This approach </w:t>
      </w:r>
      <w:r w:rsidRPr="005F20F5">
        <w:t>involve</w:t>
      </w:r>
      <w:r w:rsidR="00C91ACA" w:rsidRPr="005F20F5">
        <w:t>s</w:t>
      </w:r>
      <w:r w:rsidRPr="005F20F5">
        <w:t xml:space="preserve"> determining the maximum </w:t>
      </w:r>
      <w:r w:rsidR="007B7475" w:rsidRPr="005F20F5">
        <w:t>p</w:t>
      </w:r>
      <w:r w:rsidRPr="005F20F5">
        <w:t>rice that providers can charge. It is a form of price approval – but has some of the advantages of price setting. This is the current approach adopted by the NDIA.</w:t>
      </w:r>
    </w:p>
    <w:p w14:paraId="41290DBF" w14:textId="78C12DB3" w:rsidR="00E147EC" w:rsidRPr="005F20F5" w:rsidRDefault="007F2E84" w:rsidP="00E147EC">
      <w:r w:rsidRPr="005F20F5">
        <w:fldChar w:fldCharType="begin"/>
      </w:r>
      <w:r w:rsidRPr="005F20F5">
        <w:instrText xml:space="preserve"> REF _Ref83301149 \h </w:instrText>
      </w:r>
      <w:r w:rsidR="007A0655" w:rsidRPr="005F20F5">
        <w:instrText xml:space="preserve"> \* MERGEFORMAT </w:instrText>
      </w:r>
      <w:r w:rsidRPr="005F20F5">
        <w:fldChar w:fldCharType="separate"/>
      </w:r>
      <w:r w:rsidR="009D3AFE" w:rsidRPr="005F20F5">
        <w:t xml:space="preserve">Exhibit </w:t>
      </w:r>
      <w:r w:rsidR="009D3AFE">
        <w:rPr>
          <w:noProof/>
        </w:rPr>
        <w:t>6</w:t>
      </w:r>
      <w:r w:rsidRPr="005F20F5">
        <w:fldChar w:fldCharType="end"/>
      </w:r>
      <w:r w:rsidR="00E147EC" w:rsidRPr="005F20F5">
        <w:t xml:space="preserve"> examines the pros and cons of the different mechanisms of price approval/setting.</w:t>
      </w:r>
    </w:p>
    <w:p w14:paraId="5F013F1D" w14:textId="55F3CDF0" w:rsidR="00E147EC" w:rsidRPr="005F20F5" w:rsidRDefault="00E147EC" w:rsidP="00153368">
      <w:pPr>
        <w:pStyle w:val="Caption"/>
      </w:pPr>
      <w:bookmarkStart w:id="30" w:name="_Ref83301149"/>
      <w:bookmarkStart w:id="31" w:name="_Toc83292078"/>
      <w:r w:rsidRPr="005F20F5">
        <w:t xml:space="preserve">Exhibit </w:t>
      </w:r>
      <w:r w:rsidR="009D3AFE">
        <w:fldChar w:fldCharType="begin"/>
      </w:r>
      <w:r w:rsidR="009D3AFE">
        <w:instrText xml:space="preserve"> SEQ Exhibit \* ARABIC </w:instrText>
      </w:r>
      <w:r w:rsidR="009D3AFE">
        <w:fldChar w:fldCharType="separate"/>
      </w:r>
      <w:r w:rsidR="009D3AFE">
        <w:rPr>
          <w:noProof/>
        </w:rPr>
        <w:t>6</w:t>
      </w:r>
      <w:r w:rsidR="009D3AFE">
        <w:rPr>
          <w:noProof/>
        </w:rPr>
        <w:fldChar w:fldCharType="end"/>
      </w:r>
      <w:bookmarkEnd w:id="30"/>
      <w:r w:rsidRPr="005F20F5">
        <w:t>: Pros and Cons of pricing Approval/Setting options</w:t>
      </w:r>
      <w:bookmarkEnd w:id="31"/>
    </w:p>
    <w:tbl>
      <w:tblPr>
        <w:tblStyle w:val="GridTable4"/>
        <w:tblW w:w="0" w:type="auto"/>
        <w:tblLook w:val="0420" w:firstRow="1" w:lastRow="0" w:firstColumn="0" w:lastColumn="0" w:noHBand="0" w:noVBand="1"/>
        <w:tblCaption w:val="EXHIBIT 6: PROS AND CONS OF PRICING APPROVAL/SETTING OPTIONS"/>
        <w:tblDescription w:val="Table outlining the pros and cons of price approvals, hard price limit and price settings"/>
      </w:tblPr>
      <w:tblGrid>
        <w:gridCol w:w="3005"/>
        <w:gridCol w:w="3005"/>
        <w:gridCol w:w="3006"/>
      </w:tblGrid>
      <w:tr w:rsidR="00E147EC" w:rsidRPr="005F20F5" w14:paraId="73D45984" w14:textId="77777777" w:rsidTr="003D1C27">
        <w:trPr>
          <w:cnfStyle w:val="100000000000" w:firstRow="1" w:lastRow="0" w:firstColumn="0" w:lastColumn="0" w:oddVBand="0" w:evenVBand="0" w:oddHBand="0" w:evenHBand="0" w:firstRowFirstColumn="0" w:firstRowLastColumn="0" w:lastRowFirstColumn="0" w:lastRowLastColumn="0"/>
          <w:trHeight w:val="283"/>
          <w:tblHeader/>
        </w:trPr>
        <w:tc>
          <w:tcPr>
            <w:tcW w:w="3005" w:type="dxa"/>
          </w:tcPr>
          <w:p w14:paraId="4DDF167F" w14:textId="77777777" w:rsidR="00E147EC" w:rsidRPr="005F20F5" w:rsidRDefault="00E147EC" w:rsidP="00EB3BC2">
            <w:pPr>
              <w:spacing w:before="40" w:after="40"/>
              <w:jc w:val="center"/>
              <w:rPr>
                <w:b w:val="0"/>
                <w:sz w:val="16"/>
                <w:szCs w:val="16"/>
              </w:rPr>
            </w:pPr>
            <w:r w:rsidRPr="005F20F5">
              <w:rPr>
                <w:b w:val="0"/>
                <w:sz w:val="16"/>
                <w:szCs w:val="16"/>
              </w:rPr>
              <w:t>Price Approval (Soft Price Limit)</w:t>
            </w:r>
          </w:p>
        </w:tc>
        <w:tc>
          <w:tcPr>
            <w:tcW w:w="3005" w:type="dxa"/>
          </w:tcPr>
          <w:p w14:paraId="026EF39C" w14:textId="77777777" w:rsidR="00E147EC" w:rsidRPr="005F20F5" w:rsidRDefault="00E147EC" w:rsidP="00EB3BC2">
            <w:pPr>
              <w:spacing w:before="40" w:after="40"/>
              <w:jc w:val="center"/>
              <w:rPr>
                <w:b w:val="0"/>
                <w:sz w:val="16"/>
                <w:szCs w:val="16"/>
              </w:rPr>
            </w:pPr>
            <w:r w:rsidRPr="005F20F5">
              <w:rPr>
                <w:b w:val="0"/>
                <w:sz w:val="16"/>
                <w:szCs w:val="16"/>
              </w:rPr>
              <w:t>Hard Price Limit</w:t>
            </w:r>
          </w:p>
        </w:tc>
        <w:tc>
          <w:tcPr>
            <w:tcW w:w="3006" w:type="dxa"/>
          </w:tcPr>
          <w:p w14:paraId="7584699B" w14:textId="77777777" w:rsidR="00E147EC" w:rsidRPr="005F20F5" w:rsidRDefault="00E147EC" w:rsidP="00EB3BC2">
            <w:pPr>
              <w:spacing w:before="40" w:after="40"/>
              <w:jc w:val="center"/>
              <w:rPr>
                <w:b w:val="0"/>
                <w:sz w:val="16"/>
                <w:szCs w:val="16"/>
              </w:rPr>
            </w:pPr>
            <w:r w:rsidRPr="005F20F5">
              <w:rPr>
                <w:b w:val="0"/>
                <w:sz w:val="16"/>
                <w:szCs w:val="16"/>
              </w:rPr>
              <w:t>Price Setting</w:t>
            </w:r>
          </w:p>
        </w:tc>
      </w:tr>
      <w:tr w:rsidR="00E147EC" w:rsidRPr="005F20F5" w14:paraId="7145A2D8" w14:textId="77777777" w:rsidTr="004F4EAB">
        <w:trPr>
          <w:cnfStyle w:val="000000100000" w:firstRow="0" w:lastRow="0" w:firstColumn="0" w:lastColumn="0" w:oddVBand="0" w:evenVBand="0" w:oddHBand="1" w:evenHBand="0" w:firstRowFirstColumn="0" w:firstRowLastColumn="0" w:lastRowFirstColumn="0" w:lastRowLastColumn="0"/>
          <w:trHeight w:val="283"/>
        </w:trPr>
        <w:tc>
          <w:tcPr>
            <w:tcW w:w="9016" w:type="dxa"/>
            <w:gridSpan w:val="3"/>
          </w:tcPr>
          <w:p w14:paraId="347B179D" w14:textId="77777777" w:rsidR="00E147EC" w:rsidRPr="005F20F5" w:rsidRDefault="007E5A17" w:rsidP="00EB3BC2">
            <w:pPr>
              <w:spacing w:before="40" w:after="40"/>
              <w:rPr>
                <w:b/>
                <w:sz w:val="16"/>
                <w:szCs w:val="16"/>
              </w:rPr>
            </w:pPr>
            <w:r w:rsidRPr="005F20F5">
              <w:rPr>
                <w:b/>
                <w:sz w:val="16"/>
                <w:szCs w:val="16"/>
              </w:rPr>
              <w:t>Pro</w:t>
            </w:r>
            <w:r w:rsidR="00E147EC" w:rsidRPr="005F20F5">
              <w:rPr>
                <w:b/>
                <w:sz w:val="16"/>
                <w:szCs w:val="16"/>
              </w:rPr>
              <w:t>s:</w:t>
            </w:r>
          </w:p>
        </w:tc>
      </w:tr>
      <w:tr w:rsidR="00E147EC" w:rsidRPr="005F20F5" w14:paraId="47228177" w14:textId="77777777" w:rsidTr="004F4EAB">
        <w:trPr>
          <w:trHeight w:val="283"/>
        </w:trPr>
        <w:tc>
          <w:tcPr>
            <w:tcW w:w="3005" w:type="dxa"/>
          </w:tcPr>
          <w:p w14:paraId="17853D3F" w14:textId="77777777" w:rsidR="00E147EC" w:rsidRPr="005F20F5" w:rsidRDefault="00E147EC" w:rsidP="00EB3BC2">
            <w:pPr>
              <w:spacing w:before="40" w:after="40"/>
              <w:rPr>
                <w:sz w:val="16"/>
                <w:szCs w:val="16"/>
              </w:rPr>
            </w:pPr>
            <w:r w:rsidRPr="005F20F5">
              <w:rPr>
                <w:sz w:val="16"/>
                <w:szCs w:val="16"/>
              </w:rPr>
              <w:t>Price most reflective of specifics of the participant / provider</w:t>
            </w:r>
          </w:p>
        </w:tc>
        <w:tc>
          <w:tcPr>
            <w:tcW w:w="3005" w:type="dxa"/>
          </w:tcPr>
          <w:p w14:paraId="6D8B4844" w14:textId="77777777" w:rsidR="00E147EC" w:rsidRPr="005F20F5" w:rsidRDefault="00E147EC" w:rsidP="00EB3BC2">
            <w:pPr>
              <w:spacing w:before="40" w:after="40"/>
              <w:rPr>
                <w:sz w:val="16"/>
                <w:szCs w:val="16"/>
              </w:rPr>
            </w:pPr>
            <w:r w:rsidRPr="005F20F5">
              <w:rPr>
                <w:sz w:val="16"/>
                <w:szCs w:val="16"/>
              </w:rPr>
              <w:t>Providers compete on price, creating downward pressure and better value for money</w:t>
            </w:r>
          </w:p>
          <w:p w14:paraId="13604341" w14:textId="77777777" w:rsidR="00E147EC" w:rsidRPr="005F20F5" w:rsidRDefault="00E147EC" w:rsidP="00EB3BC2">
            <w:pPr>
              <w:spacing w:before="40" w:after="40"/>
              <w:rPr>
                <w:sz w:val="16"/>
                <w:szCs w:val="16"/>
              </w:rPr>
            </w:pPr>
            <w:r w:rsidRPr="005F20F5">
              <w:rPr>
                <w:sz w:val="16"/>
                <w:szCs w:val="16"/>
              </w:rPr>
              <w:t>Price can reflect specifics of the participant / provider</w:t>
            </w:r>
          </w:p>
        </w:tc>
        <w:tc>
          <w:tcPr>
            <w:tcW w:w="3006" w:type="dxa"/>
          </w:tcPr>
          <w:p w14:paraId="6F00D37A" w14:textId="77777777" w:rsidR="00E147EC" w:rsidRPr="005F20F5" w:rsidRDefault="00E147EC" w:rsidP="00EB3BC2">
            <w:pPr>
              <w:spacing w:before="40" w:after="40"/>
              <w:rPr>
                <w:sz w:val="16"/>
                <w:szCs w:val="16"/>
              </w:rPr>
            </w:pPr>
            <w:r w:rsidRPr="005F20F5">
              <w:rPr>
                <w:sz w:val="16"/>
                <w:szCs w:val="16"/>
              </w:rPr>
              <w:t xml:space="preserve">Greatest certainty on price </w:t>
            </w:r>
          </w:p>
          <w:p w14:paraId="0DBDD860" w14:textId="77777777" w:rsidR="00E147EC" w:rsidRPr="005F20F5" w:rsidRDefault="00E147EC" w:rsidP="00EB3BC2">
            <w:pPr>
              <w:spacing w:before="40" w:after="40"/>
              <w:rPr>
                <w:sz w:val="16"/>
                <w:szCs w:val="16"/>
              </w:rPr>
            </w:pPr>
            <w:r w:rsidRPr="005F20F5">
              <w:rPr>
                <w:sz w:val="16"/>
                <w:szCs w:val="16"/>
              </w:rPr>
              <w:t>Ease of budgeting once established</w:t>
            </w:r>
          </w:p>
        </w:tc>
      </w:tr>
      <w:tr w:rsidR="00E147EC" w:rsidRPr="005F20F5" w14:paraId="12E59E59" w14:textId="77777777" w:rsidTr="004F4EAB">
        <w:trPr>
          <w:cnfStyle w:val="000000100000" w:firstRow="0" w:lastRow="0" w:firstColumn="0" w:lastColumn="0" w:oddVBand="0" w:evenVBand="0" w:oddHBand="1" w:evenHBand="0" w:firstRowFirstColumn="0" w:firstRowLastColumn="0" w:lastRowFirstColumn="0" w:lastRowLastColumn="0"/>
          <w:trHeight w:val="283"/>
        </w:trPr>
        <w:tc>
          <w:tcPr>
            <w:tcW w:w="9016" w:type="dxa"/>
            <w:gridSpan w:val="3"/>
          </w:tcPr>
          <w:p w14:paraId="11CD7A9D" w14:textId="77777777" w:rsidR="00E147EC" w:rsidRPr="005F20F5" w:rsidRDefault="007E5A17" w:rsidP="00EB3BC2">
            <w:pPr>
              <w:spacing w:before="40" w:after="40"/>
              <w:rPr>
                <w:b/>
                <w:sz w:val="16"/>
                <w:szCs w:val="16"/>
              </w:rPr>
            </w:pPr>
            <w:r w:rsidRPr="005F20F5">
              <w:rPr>
                <w:b/>
                <w:sz w:val="16"/>
                <w:szCs w:val="16"/>
              </w:rPr>
              <w:t>Con</w:t>
            </w:r>
            <w:r w:rsidR="00E147EC" w:rsidRPr="005F20F5">
              <w:rPr>
                <w:b/>
                <w:sz w:val="16"/>
                <w:szCs w:val="16"/>
              </w:rPr>
              <w:t>s:</w:t>
            </w:r>
          </w:p>
        </w:tc>
      </w:tr>
      <w:tr w:rsidR="00E147EC" w:rsidRPr="005F20F5" w14:paraId="57C1D5CC" w14:textId="77777777" w:rsidTr="004F4EAB">
        <w:trPr>
          <w:trHeight w:val="283"/>
        </w:trPr>
        <w:tc>
          <w:tcPr>
            <w:tcW w:w="3005" w:type="dxa"/>
          </w:tcPr>
          <w:p w14:paraId="0DF8707C" w14:textId="77777777" w:rsidR="00E147EC" w:rsidRPr="005F20F5" w:rsidRDefault="00E147EC" w:rsidP="00EB3BC2">
            <w:pPr>
              <w:spacing w:before="40" w:after="40"/>
              <w:rPr>
                <w:sz w:val="16"/>
                <w:szCs w:val="16"/>
              </w:rPr>
            </w:pPr>
            <w:r w:rsidRPr="005F20F5">
              <w:rPr>
                <w:sz w:val="16"/>
                <w:szCs w:val="16"/>
              </w:rPr>
              <w:t>Significant administrative burden for NDIA and providers to run the process</w:t>
            </w:r>
          </w:p>
        </w:tc>
        <w:tc>
          <w:tcPr>
            <w:tcW w:w="3005" w:type="dxa"/>
          </w:tcPr>
          <w:p w14:paraId="0F0008B6" w14:textId="77777777" w:rsidR="00E147EC" w:rsidRPr="005F20F5" w:rsidRDefault="00E147EC" w:rsidP="00EB3BC2">
            <w:pPr>
              <w:spacing w:before="40" w:after="40"/>
              <w:rPr>
                <w:sz w:val="16"/>
                <w:szCs w:val="16"/>
              </w:rPr>
            </w:pPr>
            <w:r w:rsidRPr="005F20F5">
              <w:rPr>
                <w:sz w:val="16"/>
                <w:szCs w:val="16"/>
              </w:rPr>
              <w:t>Some participants / contexts may be uneconomical to service</w:t>
            </w:r>
          </w:p>
          <w:p w14:paraId="0F5AE26C" w14:textId="77777777" w:rsidR="00E147EC" w:rsidRPr="005F20F5" w:rsidRDefault="00E147EC" w:rsidP="00EB3BC2">
            <w:pPr>
              <w:spacing w:before="40" w:after="40"/>
              <w:rPr>
                <w:sz w:val="16"/>
                <w:szCs w:val="16"/>
              </w:rPr>
            </w:pPr>
            <w:r w:rsidRPr="005F20F5">
              <w:rPr>
                <w:sz w:val="16"/>
                <w:szCs w:val="16"/>
              </w:rPr>
              <w:t>Advantages large providers with economies of scale and lower cost bases</w:t>
            </w:r>
          </w:p>
        </w:tc>
        <w:tc>
          <w:tcPr>
            <w:tcW w:w="3006" w:type="dxa"/>
          </w:tcPr>
          <w:p w14:paraId="2CACF478" w14:textId="77777777" w:rsidR="00E147EC" w:rsidRPr="005F20F5" w:rsidRDefault="00E147EC" w:rsidP="00EB3BC2">
            <w:pPr>
              <w:spacing w:before="40" w:after="40"/>
              <w:rPr>
                <w:sz w:val="16"/>
                <w:szCs w:val="16"/>
              </w:rPr>
            </w:pPr>
            <w:r w:rsidRPr="005F20F5">
              <w:rPr>
                <w:sz w:val="16"/>
                <w:szCs w:val="16"/>
              </w:rPr>
              <w:t>Limited downward pressure on price / ensuring value for money</w:t>
            </w:r>
          </w:p>
          <w:p w14:paraId="022B7205" w14:textId="77777777" w:rsidR="00E147EC" w:rsidRPr="005F20F5" w:rsidRDefault="00E147EC" w:rsidP="00EB3BC2">
            <w:pPr>
              <w:spacing w:before="40" w:after="40"/>
              <w:rPr>
                <w:sz w:val="16"/>
                <w:szCs w:val="16"/>
              </w:rPr>
            </w:pPr>
            <w:r w:rsidRPr="005F20F5">
              <w:rPr>
                <w:sz w:val="16"/>
                <w:szCs w:val="16"/>
              </w:rPr>
              <w:t>Price doesn’t reflect specifics of the participant / provider</w:t>
            </w:r>
          </w:p>
        </w:tc>
      </w:tr>
    </w:tbl>
    <w:p w14:paraId="4233E4DA" w14:textId="77777777" w:rsidR="00C6107F" w:rsidRPr="005F20F5" w:rsidRDefault="00C6107F" w:rsidP="00380CDE">
      <w:pPr>
        <w:pStyle w:val="Heading1"/>
        <w:sectPr w:rsidR="00C6107F" w:rsidRPr="005F20F5" w:rsidSect="00872AF9">
          <w:pgSz w:w="11907" w:h="16839" w:code="9"/>
          <w:pgMar w:top="1440" w:right="1440" w:bottom="1440" w:left="1440" w:header="709" w:footer="709" w:gutter="0"/>
          <w:cols w:space="708"/>
          <w:titlePg/>
          <w:docGrid w:linePitch="360"/>
        </w:sectPr>
      </w:pPr>
    </w:p>
    <w:p w14:paraId="5BDF65B2" w14:textId="77777777" w:rsidR="007667AF" w:rsidRPr="005F20F5" w:rsidRDefault="00380CDE" w:rsidP="00380CDE">
      <w:pPr>
        <w:pStyle w:val="Heading1"/>
      </w:pPr>
      <w:bookmarkStart w:id="32" w:name="_Toc85097244"/>
      <w:r w:rsidRPr="005F20F5">
        <w:t>Simplifying the NDIS Pricing Arrangements</w:t>
      </w:r>
      <w:bookmarkEnd w:id="32"/>
    </w:p>
    <w:p w14:paraId="244D4A16" w14:textId="285D9E1D" w:rsidR="007667AF" w:rsidRPr="005F20F5" w:rsidRDefault="0057648F" w:rsidP="00380CDE">
      <w:r w:rsidRPr="005F20F5">
        <w:t xml:space="preserve">The 2021-22 Annual Pricing Review is required </w:t>
      </w:r>
      <w:r w:rsidR="00D32A62" w:rsidRPr="005F20F5">
        <w:t xml:space="preserve">by its Terms of Reference </w:t>
      </w:r>
      <w:r w:rsidRPr="005F20F5">
        <w:t>to e</w:t>
      </w:r>
      <w:r w:rsidR="007667AF" w:rsidRPr="005F20F5">
        <w:t xml:space="preserve">xamine options to simplify, where possible, the NDIS price control framework to better support participants to exercise choice and control, and to reduce, as far as possible, the </w:t>
      </w:r>
      <w:r w:rsidR="000958B5" w:rsidRPr="005F20F5">
        <w:t xml:space="preserve">administrative </w:t>
      </w:r>
      <w:r w:rsidR="007667AF" w:rsidRPr="005F20F5">
        <w:t>burden that the pricing arrangements impose on participants and providers.</w:t>
      </w:r>
    </w:p>
    <w:p w14:paraId="44200176" w14:textId="77777777" w:rsidR="00872AF9" w:rsidRPr="005F20F5" w:rsidRDefault="00872AF9" w:rsidP="00872AF9">
      <w:pPr>
        <w:pStyle w:val="Heading2"/>
      </w:pPr>
      <w:bookmarkStart w:id="33" w:name="_Toc85097245"/>
      <w:r w:rsidRPr="005F20F5">
        <w:t>Issues</w:t>
      </w:r>
      <w:bookmarkEnd w:id="33"/>
    </w:p>
    <w:p w14:paraId="1AE4F30C" w14:textId="77777777" w:rsidR="007667AF" w:rsidRPr="005F20F5" w:rsidRDefault="007667AF" w:rsidP="00380CDE">
      <w:r w:rsidRPr="005F20F5">
        <w:t>Two of the fundament</w:t>
      </w:r>
      <w:r w:rsidR="00721A0E" w:rsidRPr="005F20F5">
        <w:t xml:space="preserve">al principles underlying the </w:t>
      </w:r>
      <w:r w:rsidR="00872AF9" w:rsidRPr="005F20F5">
        <w:t xml:space="preserve">Agency’s </w:t>
      </w:r>
      <w:r w:rsidRPr="005F20F5">
        <w:t>approach to price controls are:</w:t>
      </w:r>
    </w:p>
    <w:p w14:paraId="5C4CCB68" w14:textId="77777777" w:rsidR="007667AF" w:rsidRPr="005F20F5" w:rsidRDefault="00A52B74" w:rsidP="00B55DCE">
      <w:pPr>
        <w:pStyle w:val="ListParagraph"/>
        <w:numPr>
          <w:ilvl w:val="0"/>
          <w:numId w:val="12"/>
        </w:numPr>
      </w:pPr>
      <w:r w:rsidRPr="005F20F5">
        <w:t>t</w:t>
      </w:r>
      <w:r w:rsidR="00721A0E" w:rsidRPr="005F20F5">
        <w:t>o minimise</w:t>
      </w:r>
      <w:r w:rsidR="007667AF" w:rsidRPr="005F20F5">
        <w:t xml:space="preserve"> restrictions on </w:t>
      </w:r>
      <w:r w:rsidRPr="005F20F5">
        <w:t>participant choice and control; and</w:t>
      </w:r>
    </w:p>
    <w:p w14:paraId="09242987" w14:textId="77777777" w:rsidR="007667AF" w:rsidRPr="005F20F5" w:rsidRDefault="00A52B74" w:rsidP="00B55DCE">
      <w:pPr>
        <w:pStyle w:val="ListParagraph"/>
        <w:numPr>
          <w:ilvl w:val="0"/>
          <w:numId w:val="12"/>
        </w:numPr>
      </w:pPr>
      <w:r w:rsidRPr="005F20F5">
        <w:t>t</w:t>
      </w:r>
      <w:r w:rsidR="00721A0E" w:rsidRPr="005F20F5">
        <w:t>o minimise</w:t>
      </w:r>
      <w:r w:rsidR="007667AF" w:rsidRPr="005F20F5">
        <w:t xml:space="preserve"> complexity and bureaucracy for providers. </w:t>
      </w:r>
    </w:p>
    <w:p w14:paraId="4B59E43A" w14:textId="6089121C" w:rsidR="00721A0E" w:rsidRPr="005F20F5" w:rsidRDefault="007667AF" w:rsidP="00721A0E">
      <w:r w:rsidRPr="005F20F5">
        <w:t xml:space="preserve">The Agency is aware that price control frameworks can impose administrative burdens on providers, and wishes to explore ways to reduce transaction costs through ease and simplicity in </w:t>
      </w:r>
      <w:r w:rsidR="00C91ACA" w:rsidRPr="005F20F5">
        <w:t xml:space="preserve">the </w:t>
      </w:r>
      <w:r w:rsidRPr="005F20F5">
        <w:t>design of price control arrangements. Equally, the Agency must ensure that participants are fully informed and empowered to achieve maximum flexibility to use their budgets to meet their goals as they see fit.</w:t>
      </w:r>
      <w:r w:rsidR="00295C13" w:rsidRPr="005F20F5">
        <w:t xml:space="preserve"> Ideally these two principles can work together to improve outcomes for participants. </w:t>
      </w:r>
      <w:r w:rsidR="00721A0E" w:rsidRPr="005F20F5">
        <w:t xml:space="preserve">Currently, the </w:t>
      </w:r>
      <w:r w:rsidR="00721A0E" w:rsidRPr="005F20F5">
        <w:rPr>
          <w:i/>
        </w:rPr>
        <w:t>NDIS Pricing Arrangements and Price Limits</w:t>
      </w:r>
      <w:r w:rsidR="00721A0E" w:rsidRPr="005F20F5">
        <w:t xml:space="preserve"> is 111 pages long. Providers regularly report that it can be difficult to understand. Consultations with participants also indicate that the current material is very difficult to understand and that it should be translated into </w:t>
      </w:r>
      <w:r w:rsidR="007E5A17" w:rsidRPr="005F20F5">
        <w:t>p</w:t>
      </w:r>
      <w:r w:rsidR="00721A0E" w:rsidRPr="005F20F5">
        <w:t xml:space="preserve">lain English. The </w:t>
      </w:r>
      <w:r w:rsidR="00872AF9" w:rsidRPr="005F20F5">
        <w:t>Agency</w:t>
      </w:r>
      <w:r w:rsidR="00721A0E" w:rsidRPr="005F20F5">
        <w:t xml:space="preserve"> is committed to improving the quality and detail of information and guidance that it provides, but needs to ensure</w:t>
      </w:r>
      <w:r w:rsidR="00C91ACA" w:rsidRPr="005F20F5">
        <w:t xml:space="preserve"> at the same time</w:t>
      </w:r>
      <w:r w:rsidR="00721A0E" w:rsidRPr="005F20F5">
        <w:t xml:space="preserve"> that the information is </w:t>
      </w:r>
      <w:r w:rsidR="00A52B74" w:rsidRPr="005F20F5">
        <w:t xml:space="preserve">both </w:t>
      </w:r>
      <w:r w:rsidR="00721A0E" w:rsidRPr="005F20F5">
        <w:t xml:space="preserve">sufficiently precise </w:t>
      </w:r>
      <w:r w:rsidR="00A52B74" w:rsidRPr="005F20F5">
        <w:t xml:space="preserve">to cover all possible provider situations </w:t>
      </w:r>
      <w:r w:rsidR="00627062" w:rsidRPr="005F20F5">
        <w:t>and</w:t>
      </w:r>
      <w:r w:rsidR="00F4542A" w:rsidRPr="005F20F5">
        <w:t xml:space="preserve"> </w:t>
      </w:r>
      <w:r w:rsidR="00721A0E" w:rsidRPr="005F20F5">
        <w:t xml:space="preserve">sufficiently broad so as to encompass a variety of </w:t>
      </w:r>
      <w:r w:rsidR="00A52B74" w:rsidRPr="005F20F5">
        <w:t xml:space="preserve">participant </w:t>
      </w:r>
      <w:r w:rsidR="00721A0E" w:rsidRPr="005F20F5">
        <w:t>circumstances.</w:t>
      </w:r>
    </w:p>
    <w:p w14:paraId="52956A26" w14:textId="77777777" w:rsidR="00D835E6" w:rsidRPr="005F20F5" w:rsidRDefault="00D835E6" w:rsidP="00380CDE">
      <w:r w:rsidRPr="005F20F5">
        <w:t>The A</w:t>
      </w:r>
      <w:r w:rsidR="007667AF" w:rsidRPr="005F20F5">
        <w:t>gency is also aware that the current arrangements (documents downloadable from the NDIS website) can make it hard for people to find the most recent information – or to be sure that the information that they have is up to date. The current documentation is not easy to update – or to ensure that everyone is aware of the most recent documentation. Moving to a web based system might help address this.</w:t>
      </w:r>
    </w:p>
    <w:p w14:paraId="49160EEB" w14:textId="77777777" w:rsidR="00721A0E" w:rsidRPr="005F20F5" w:rsidRDefault="00872AF9" w:rsidP="00380CDE">
      <w:r w:rsidRPr="005F20F5">
        <w:t xml:space="preserve">The Agency is interested in understanding whether </w:t>
      </w:r>
      <w:r w:rsidR="00861004" w:rsidRPr="005F20F5">
        <w:t xml:space="preserve">the current documentation would be improved by moving to </w:t>
      </w:r>
      <w:r w:rsidRPr="005F20F5">
        <w:t>a</w:t>
      </w:r>
      <w:r w:rsidR="00721A0E" w:rsidRPr="005F20F5">
        <w:t xml:space="preserve"> more interactive and automated guide</w:t>
      </w:r>
      <w:r w:rsidRPr="005F20F5">
        <w:t xml:space="preserve">, </w:t>
      </w:r>
      <w:r w:rsidR="00721A0E" w:rsidRPr="005F20F5">
        <w:t>which might include search functionality and update alerts</w:t>
      </w:r>
      <w:r w:rsidR="00861004" w:rsidRPr="005F20F5">
        <w:t>. What would be the essential features of any new arrangements</w:t>
      </w:r>
      <w:r w:rsidR="0089268A" w:rsidRPr="005F20F5">
        <w:t xml:space="preserve"> for participants and providers?</w:t>
      </w:r>
    </w:p>
    <w:p w14:paraId="6E47226A" w14:textId="77777777" w:rsidR="00A52B74" w:rsidRPr="005F20F5" w:rsidRDefault="00D835E6" w:rsidP="00380CDE">
      <w:r w:rsidRPr="005F20F5">
        <w:t>The current pricing a</w:t>
      </w:r>
      <w:r w:rsidR="007667AF" w:rsidRPr="005F20F5">
        <w:t>rrangements also</w:t>
      </w:r>
      <w:r w:rsidR="00A52B74" w:rsidRPr="005F20F5">
        <w:t xml:space="preserve"> require</w:t>
      </w:r>
      <w:r w:rsidR="007667AF" w:rsidRPr="005F20F5">
        <w:t xml:space="preserve"> providers to distinguish </w:t>
      </w:r>
      <w:r w:rsidR="00A52B74" w:rsidRPr="005F20F5">
        <w:t xml:space="preserve">their claims for support items </w:t>
      </w:r>
      <w:r w:rsidR="007667AF" w:rsidRPr="005F20F5">
        <w:t xml:space="preserve">between </w:t>
      </w:r>
      <w:r w:rsidR="00A52B74" w:rsidRPr="005F20F5">
        <w:t xml:space="preserve">five </w:t>
      </w:r>
      <w:r w:rsidR="007667AF" w:rsidRPr="005F20F5">
        <w:t xml:space="preserve">broad purposes: </w:t>
      </w:r>
    </w:p>
    <w:p w14:paraId="3A001C91" w14:textId="77777777" w:rsidR="00A52B74" w:rsidRPr="005F20F5" w:rsidRDefault="00A52B74" w:rsidP="00A52B74">
      <w:pPr>
        <w:pStyle w:val="ListParagraph"/>
        <w:numPr>
          <w:ilvl w:val="0"/>
          <w:numId w:val="12"/>
        </w:numPr>
      </w:pPr>
      <w:r w:rsidRPr="005F20F5">
        <w:t>claiming for the provision of a s</w:t>
      </w:r>
      <w:r w:rsidR="007667AF" w:rsidRPr="005F20F5">
        <w:t>upport</w:t>
      </w:r>
      <w:r w:rsidRPr="005F20F5">
        <w:t xml:space="preserve"> in person;</w:t>
      </w:r>
    </w:p>
    <w:p w14:paraId="3154BB6C" w14:textId="77777777" w:rsidR="00A52B74" w:rsidRPr="005F20F5" w:rsidRDefault="00A52B74" w:rsidP="00A52B74">
      <w:pPr>
        <w:pStyle w:val="ListParagraph"/>
        <w:numPr>
          <w:ilvl w:val="0"/>
          <w:numId w:val="12"/>
        </w:numPr>
      </w:pPr>
      <w:r w:rsidRPr="005F20F5">
        <w:t>claiming for</w:t>
      </w:r>
      <w:r w:rsidR="00D835E6" w:rsidRPr="005F20F5">
        <w:t xml:space="preserve"> </w:t>
      </w:r>
      <w:r w:rsidRPr="005F20F5">
        <w:t>the provision of a support by telehealth;</w:t>
      </w:r>
    </w:p>
    <w:p w14:paraId="1AA6E26C" w14:textId="77777777" w:rsidR="00A52B74" w:rsidRPr="005F20F5" w:rsidRDefault="00A52B74" w:rsidP="00A52B74">
      <w:pPr>
        <w:pStyle w:val="ListParagraph"/>
        <w:numPr>
          <w:ilvl w:val="0"/>
          <w:numId w:val="12"/>
        </w:numPr>
      </w:pPr>
      <w:r w:rsidRPr="005F20F5">
        <w:t>claiming for non-face to face activity associated with the provision of a support;</w:t>
      </w:r>
    </w:p>
    <w:p w14:paraId="0F4907F4" w14:textId="77777777" w:rsidR="00A52B74" w:rsidRPr="005F20F5" w:rsidRDefault="00A52B74" w:rsidP="00A52B74">
      <w:pPr>
        <w:pStyle w:val="ListParagraph"/>
        <w:numPr>
          <w:ilvl w:val="0"/>
          <w:numId w:val="12"/>
        </w:numPr>
      </w:pPr>
      <w:r w:rsidRPr="005F20F5">
        <w:t>claiming for any provider travel costs associated with the provision of a support;</w:t>
      </w:r>
    </w:p>
    <w:p w14:paraId="7FC2D063" w14:textId="77777777" w:rsidR="00A52B74" w:rsidRPr="005F20F5" w:rsidRDefault="00A52B74" w:rsidP="00A52B74">
      <w:pPr>
        <w:pStyle w:val="ListParagraph"/>
        <w:numPr>
          <w:ilvl w:val="0"/>
          <w:numId w:val="12"/>
        </w:numPr>
      </w:pPr>
      <w:r w:rsidRPr="005F20F5">
        <w:t>claiming for supports that are cancelled without sufficient notice; and</w:t>
      </w:r>
    </w:p>
    <w:p w14:paraId="6FC1615F" w14:textId="77777777" w:rsidR="00A52B74" w:rsidRPr="005F20F5" w:rsidRDefault="00A52B74" w:rsidP="00A52B74">
      <w:pPr>
        <w:pStyle w:val="ListParagraph"/>
        <w:numPr>
          <w:ilvl w:val="0"/>
          <w:numId w:val="12"/>
        </w:numPr>
      </w:pPr>
      <w:r w:rsidRPr="005F20F5">
        <w:t>claiming for the writing of reports requested by the Agency.</w:t>
      </w:r>
      <w:r w:rsidR="00D835E6" w:rsidRPr="005F20F5">
        <w:t xml:space="preserve"> </w:t>
      </w:r>
    </w:p>
    <w:p w14:paraId="68C159A4" w14:textId="77777777" w:rsidR="00EC4726" w:rsidRPr="005F20F5" w:rsidRDefault="00EC4726" w:rsidP="00380CDE">
      <w:r w:rsidRPr="005F20F5">
        <w:t>Providers also have to claim separately for the non-labour costs of any provider travel and for the participant transport costs associated with the provision of a support.</w:t>
      </w:r>
    </w:p>
    <w:p w14:paraId="5C98EA94" w14:textId="77777777" w:rsidR="007667AF" w:rsidRPr="005F20F5" w:rsidRDefault="007667AF" w:rsidP="00380CDE">
      <w:r w:rsidRPr="005F20F5">
        <w:t>This can mean providers need to claim more than once for a support – for example, the travel to and from a support is claimed separately to the support. Although there may be some use to the Agency in knowing what funds are being spent on</w:t>
      </w:r>
      <w:r w:rsidR="00C91ACA" w:rsidRPr="005F20F5">
        <w:t>,</w:t>
      </w:r>
      <w:r w:rsidRPr="005F20F5">
        <w:t xml:space="preserve"> it is unlikely this information is being provided though the current arrangements.</w:t>
      </w:r>
    </w:p>
    <w:p w14:paraId="716C0F39" w14:textId="77777777" w:rsidR="00721A0E" w:rsidRPr="005F20F5" w:rsidRDefault="00872AF9" w:rsidP="00721A0E">
      <w:pPr>
        <w:rPr>
          <w:i/>
        </w:rPr>
      </w:pPr>
      <w:r w:rsidRPr="005F20F5">
        <w:t>Many support items are also differentiated by time of day and day of week, the profession of the worker delivering the support or the specifics of the piece of capital equipment,. As a result t</w:t>
      </w:r>
      <w:r w:rsidR="00721A0E" w:rsidRPr="005F20F5">
        <w:t xml:space="preserve">here are also currently 848 support items in the </w:t>
      </w:r>
      <w:r w:rsidR="00721A0E" w:rsidRPr="005F20F5">
        <w:rPr>
          <w:i/>
        </w:rPr>
        <w:t xml:space="preserve">NDIS Support </w:t>
      </w:r>
      <w:r w:rsidR="00721A0E" w:rsidRPr="005F20F5">
        <w:t>Catalogue. Many of these items are rarely used and many are duplicates of other support items.</w:t>
      </w:r>
      <w:r w:rsidR="00721A0E" w:rsidRPr="005F20F5">
        <w:rPr>
          <w:i/>
        </w:rPr>
        <w:t xml:space="preserve"> </w:t>
      </w:r>
    </w:p>
    <w:p w14:paraId="5990E748" w14:textId="77777777" w:rsidR="00872AF9" w:rsidRPr="005F20F5" w:rsidRDefault="00861004" w:rsidP="00721A0E">
      <w:pPr>
        <w:rPr>
          <w:i/>
        </w:rPr>
      </w:pPr>
      <w:r w:rsidRPr="005F20F5">
        <w:t>The Agency is interested in examining</w:t>
      </w:r>
      <w:r w:rsidR="00872AF9" w:rsidRPr="005F20F5">
        <w:t xml:space="preserve"> options to streamline claiming while providing accountability and ensuring participant choice and control.</w:t>
      </w:r>
    </w:p>
    <w:p w14:paraId="27058C73" w14:textId="77777777" w:rsidR="00872AF9" w:rsidRPr="005F20F5" w:rsidRDefault="00872AF9" w:rsidP="00872AF9">
      <w:pPr>
        <w:pStyle w:val="Heading2"/>
      </w:pPr>
      <w:bookmarkStart w:id="34" w:name="_Toc85097246"/>
      <w:r w:rsidRPr="005F20F5">
        <w:t>Call for submissions</w:t>
      </w:r>
      <w:bookmarkEnd w:id="34"/>
    </w:p>
    <w:p w14:paraId="1AE9E2B5" w14:textId="77777777" w:rsidR="00861004" w:rsidRPr="005F20F5" w:rsidRDefault="00872AF9" w:rsidP="00380CDE">
      <w:r w:rsidRPr="005F20F5">
        <w:t xml:space="preserve">The 2021-22 Annual Pricing Review is seeking submissions from </w:t>
      </w:r>
      <w:r w:rsidR="00861004" w:rsidRPr="005F20F5">
        <w:t>stakeholders</w:t>
      </w:r>
      <w:r w:rsidRPr="005F20F5">
        <w:t xml:space="preserve"> on the issues raised </w:t>
      </w:r>
      <w:r w:rsidR="00861004" w:rsidRPr="005F20F5">
        <w:t>in this chapter</w:t>
      </w:r>
      <w:r w:rsidRPr="005F20F5">
        <w:t xml:space="preserve"> and on any other </w:t>
      </w:r>
      <w:r w:rsidR="00861004" w:rsidRPr="005F20F5">
        <w:t>options to simplify the NDIS pricing arrangements to:</w:t>
      </w:r>
    </w:p>
    <w:p w14:paraId="19AB05CF" w14:textId="77777777" w:rsidR="00861004" w:rsidRPr="005F20F5" w:rsidRDefault="00861004" w:rsidP="00B55DCE">
      <w:pPr>
        <w:pStyle w:val="ListParagraph"/>
        <w:numPr>
          <w:ilvl w:val="0"/>
          <w:numId w:val="12"/>
        </w:numPr>
      </w:pPr>
      <w:r w:rsidRPr="005F20F5">
        <w:t>improve outcomes for participants; and/or</w:t>
      </w:r>
    </w:p>
    <w:p w14:paraId="510A97B0" w14:textId="77777777" w:rsidR="00861004" w:rsidRPr="005F20F5" w:rsidRDefault="00861004" w:rsidP="00B55DCE">
      <w:pPr>
        <w:pStyle w:val="ListParagraph"/>
        <w:numPr>
          <w:ilvl w:val="0"/>
          <w:numId w:val="12"/>
        </w:numPr>
      </w:pPr>
      <w:r w:rsidRPr="005F20F5">
        <w:t>reduce administrative burden for participants and providers; and/or</w:t>
      </w:r>
    </w:p>
    <w:p w14:paraId="1E6A0B57" w14:textId="77777777" w:rsidR="00861004" w:rsidRPr="005F20F5" w:rsidRDefault="00861004" w:rsidP="00B55DCE">
      <w:pPr>
        <w:pStyle w:val="ListParagraph"/>
        <w:numPr>
          <w:ilvl w:val="0"/>
          <w:numId w:val="12"/>
        </w:numPr>
        <w:rPr>
          <w:i/>
        </w:rPr>
      </w:pPr>
      <w:r w:rsidRPr="005F20F5">
        <w:t>support innovation</w:t>
      </w:r>
    </w:p>
    <w:p w14:paraId="6541B842" w14:textId="77777777" w:rsidR="0057648F" w:rsidRPr="005F20F5" w:rsidRDefault="00861004" w:rsidP="00861004">
      <w:pPr>
        <w:rPr>
          <w:i/>
        </w:rPr>
      </w:pPr>
      <w:r w:rsidRPr="005F20F5">
        <w:t>while maintaining appropriate levels of accountability.</w:t>
      </w:r>
    </w:p>
    <w:tbl>
      <w:tblPr>
        <w:tblStyle w:val="GUIDEQUESTION"/>
        <w:tblW w:w="0" w:type="auto"/>
        <w:tblLook w:val="04A0" w:firstRow="1" w:lastRow="0" w:firstColumn="1" w:lastColumn="0" w:noHBand="0" w:noVBand="1"/>
        <w:tblCaption w:val="Guide questions"/>
        <w:tblDescription w:val="3 questions to consider for the APR"/>
      </w:tblPr>
      <w:tblGrid>
        <w:gridCol w:w="9017"/>
      </w:tblGrid>
      <w:tr w:rsidR="0057648F" w:rsidRPr="005F20F5" w14:paraId="203D2C38" w14:textId="77777777" w:rsidTr="003D1C27">
        <w:trPr>
          <w:tblHeader/>
        </w:trPr>
        <w:tc>
          <w:tcPr>
            <w:tcW w:w="9017" w:type="dxa"/>
          </w:tcPr>
          <w:p w14:paraId="2546A9E6" w14:textId="77777777" w:rsidR="0057648F" w:rsidRPr="005F20F5" w:rsidRDefault="00872AF9" w:rsidP="00380CDE">
            <w:pPr>
              <w:spacing w:before="160" w:after="160" w:line="320" w:lineRule="atLeast"/>
              <w:jc w:val="center"/>
              <w:rPr>
                <w:b/>
              </w:rPr>
            </w:pPr>
            <w:r w:rsidRPr="005F20F5">
              <w:rPr>
                <w:b/>
              </w:rPr>
              <w:t>Guide Question</w:t>
            </w:r>
          </w:p>
          <w:p w14:paraId="22F0A1F1" w14:textId="77777777" w:rsidR="0057648F" w:rsidRPr="005F20F5" w:rsidRDefault="0057648F" w:rsidP="00D75A91">
            <w:pPr>
              <w:pStyle w:val="QUESTION"/>
            </w:pPr>
            <w:r w:rsidRPr="005F20F5">
              <w:t>What cha</w:t>
            </w:r>
            <w:r w:rsidR="00627062" w:rsidRPr="005F20F5">
              <w:t>nges could be made to the NDIS pricing a</w:t>
            </w:r>
            <w:r w:rsidRPr="005F20F5">
              <w:t>rrangements</w:t>
            </w:r>
            <w:r w:rsidR="00EE13F0" w:rsidRPr="005F20F5">
              <w:t xml:space="preserve"> </w:t>
            </w:r>
            <w:r w:rsidR="00627062" w:rsidRPr="005F20F5">
              <w:t>to</w:t>
            </w:r>
            <w:r w:rsidR="00D835E6" w:rsidRPr="005F20F5">
              <w:t xml:space="preserve"> </w:t>
            </w:r>
            <w:r w:rsidRPr="005F20F5">
              <w:t>increase choice and control for participants;</w:t>
            </w:r>
            <w:r w:rsidR="00D835E6" w:rsidRPr="005F20F5">
              <w:t xml:space="preserve"> and/or </w:t>
            </w:r>
            <w:r w:rsidRPr="005F20F5">
              <w:t>reduce transactional costs for providers;</w:t>
            </w:r>
            <w:r w:rsidR="00D835E6" w:rsidRPr="005F20F5">
              <w:t xml:space="preserve"> and/or </w:t>
            </w:r>
            <w:r w:rsidRPr="005F20F5">
              <w:t>support innovation in the delivery of supports</w:t>
            </w:r>
            <w:r w:rsidR="00D835E6" w:rsidRPr="005F20F5">
              <w:t>.</w:t>
            </w:r>
          </w:p>
          <w:p w14:paraId="048155AC" w14:textId="77777777" w:rsidR="007C4C47" w:rsidRPr="005F20F5" w:rsidRDefault="007C4C47" w:rsidP="000B3214">
            <w:pPr>
              <w:pStyle w:val="QUESTION"/>
            </w:pPr>
            <w:r w:rsidRPr="005F20F5">
              <w:t>How can the content and structure of pricing arrangements be simplified, while maintaining their integrity?</w:t>
            </w:r>
          </w:p>
          <w:p w14:paraId="70C06705" w14:textId="77777777" w:rsidR="00627062" w:rsidRPr="005F20F5" w:rsidRDefault="007C4C47" w:rsidP="007C4C47">
            <w:pPr>
              <w:pStyle w:val="QUESTION"/>
            </w:pPr>
            <w:r w:rsidRPr="005F20F5">
              <w:t>How can the pricing arrangements be communicated in a simpler way?</w:t>
            </w:r>
          </w:p>
        </w:tc>
      </w:tr>
    </w:tbl>
    <w:p w14:paraId="65D62E7E" w14:textId="77777777" w:rsidR="0057648F" w:rsidRPr="005F20F5" w:rsidRDefault="0057648F" w:rsidP="00380CDE">
      <w:pPr>
        <w:pStyle w:val="Heading1"/>
        <w:sectPr w:rsidR="0057648F" w:rsidRPr="005F20F5" w:rsidSect="00872AF9">
          <w:pgSz w:w="11907" w:h="16839" w:code="9"/>
          <w:pgMar w:top="1440" w:right="1440" w:bottom="1440" w:left="1440" w:header="709" w:footer="709" w:gutter="0"/>
          <w:cols w:space="708"/>
          <w:titlePg/>
          <w:docGrid w:linePitch="360"/>
        </w:sectPr>
      </w:pPr>
      <w:bookmarkStart w:id="35" w:name="_Ref25057609"/>
      <w:bookmarkStart w:id="36" w:name="_Toc25182171"/>
    </w:p>
    <w:p w14:paraId="64C282EB" w14:textId="77777777" w:rsidR="007667AF" w:rsidRPr="005F20F5" w:rsidRDefault="007667AF" w:rsidP="00380CDE">
      <w:pPr>
        <w:pStyle w:val="Heading1"/>
      </w:pPr>
      <w:bookmarkStart w:id="37" w:name="_Toc85097247"/>
      <w:r w:rsidRPr="005F20F5">
        <w:t>Price limits for 1:1 core supports</w:t>
      </w:r>
      <w:bookmarkEnd w:id="35"/>
      <w:bookmarkEnd w:id="36"/>
      <w:bookmarkEnd w:id="37"/>
    </w:p>
    <w:p w14:paraId="152567D6" w14:textId="77777777" w:rsidR="007667AF" w:rsidRPr="005F20F5" w:rsidRDefault="00380CDE" w:rsidP="00861004">
      <w:bookmarkStart w:id="38" w:name="_Toc25182172"/>
      <w:r w:rsidRPr="005F20F5">
        <w:t>The 2021-22 Annual Pricing R</w:t>
      </w:r>
      <w:r w:rsidR="007667AF" w:rsidRPr="005F20F5">
        <w:t xml:space="preserve">eview </w:t>
      </w:r>
      <w:r w:rsidR="00A32E1E" w:rsidRPr="005F20F5">
        <w:t xml:space="preserve">is required </w:t>
      </w:r>
      <w:r w:rsidR="00D32A62" w:rsidRPr="005F20F5">
        <w:t xml:space="preserve">by its Terms of Reference </w:t>
      </w:r>
      <w:r w:rsidR="00A32E1E" w:rsidRPr="005F20F5">
        <w:t xml:space="preserve">to review </w:t>
      </w:r>
      <w:r w:rsidR="007667AF" w:rsidRPr="005F20F5">
        <w:t xml:space="preserve">the pricing arrangements and price limits for core supports, by examining the ongoing appropriateness of the methodology and parameters used in the </w:t>
      </w:r>
      <w:r w:rsidR="007667AF" w:rsidRPr="005F20F5">
        <w:rPr>
          <w:i/>
        </w:rPr>
        <w:t>NDIS Cost Model for Disability Support Worker</w:t>
      </w:r>
      <w:r w:rsidR="007667AF" w:rsidRPr="005F20F5">
        <w:t>, including</w:t>
      </w:r>
      <w:r w:rsidR="007667AF" w:rsidRPr="005F20F5">
        <w:rPr>
          <w:i/>
        </w:rPr>
        <w:t xml:space="preserve"> </w:t>
      </w:r>
      <w:r w:rsidR="007667AF" w:rsidRPr="005F20F5">
        <w:t>through analysis of the most recent financial benchmarking data, paying particular regard to the outcomes</w:t>
      </w:r>
      <w:r w:rsidRPr="005F20F5">
        <w:t xml:space="preserve"> of the Fair Work Commission’s four</w:t>
      </w:r>
      <w:r w:rsidR="007667AF" w:rsidRPr="005F20F5">
        <w:t xml:space="preserve"> yearly review of modern awards—Social, Community, Home Care and Disability </w:t>
      </w:r>
      <w:r w:rsidR="007C4C47" w:rsidRPr="005F20F5">
        <w:t>Services Award 2010 (AM2018/26).</w:t>
      </w:r>
    </w:p>
    <w:p w14:paraId="570D36E3" w14:textId="77777777" w:rsidR="00830928" w:rsidRPr="005F20F5" w:rsidRDefault="00830928" w:rsidP="00830928">
      <w:pPr>
        <w:pStyle w:val="Heading2"/>
      </w:pPr>
      <w:bookmarkStart w:id="39" w:name="_Toc85097248"/>
      <w:r w:rsidRPr="005F20F5">
        <w:t>Background</w:t>
      </w:r>
      <w:bookmarkEnd w:id="39"/>
    </w:p>
    <w:p w14:paraId="30FF7A82" w14:textId="77777777" w:rsidR="00775E71" w:rsidRPr="005F20F5" w:rsidRDefault="00775E71" w:rsidP="00830928">
      <w:r w:rsidRPr="005F20F5">
        <w:t>The NDIA uses the NDIS Disability Support Worker Cost Model</w:t>
      </w:r>
      <w:r w:rsidRPr="005F20F5">
        <w:rPr>
          <w:rStyle w:val="FootnoteReference"/>
        </w:rPr>
        <w:footnoteReference w:id="11"/>
      </w:r>
      <w:r w:rsidRPr="005F20F5">
        <w:t xml:space="preserve"> to determine the price limits for </w:t>
      </w:r>
      <w:r w:rsidR="0008603F" w:rsidRPr="005F20F5">
        <w:t>most</w:t>
      </w:r>
      <w:r w:rsidRPr="005F20F5">
        <w:t xml:space="preserve"> supports in the Activity of Daily Life support category and the </w:t>
      </w:r>
      <w:r w:rsidR="00A44409" w:rsidRPr="005F20F5">
        <w:t xml:space="preserve">Assistance with Social </w:t>
      </w:r>
      <w:r w:rsidRPr="005F20F5">
        <w:t>and Community Participation support category</w:t>
      </w:r>
      <w:r w:rsidR="0008603F" w:rsidRPr="005F20F5">
        <w:t xml:space="preserve">. These supports </w:t>
      </w:r>
      <w:r w:rsidRPr="005F20F5">
        <w:t>are delivered by providers in the following registration groups:</w:t>
      </w:r>
    </w:p>
    <w:p w14:paraId="540B911C" w14:textId="77777777" w:rsidR="00775E71" w:rsidRPr="005F20F5" w:rsidRDefault="00775E71" w:rsidP="00421128">
      <w:pPr>
        <w:pStyle w:val="ListParagraph"/>
        <w:numPr>
          <w:ilvl w:val="0"/>
          <w:numId w:val="12"/>
        </w:numPr>
        <w:tabs>
          <w:tab w:val="left" w:pos="567"/>
        </w:tabs>
        <w:ind w:left="1276" w:hanging="992"/>
      </w:pPr>
      <w:r w:rsidRPr="005F20F5">
        <w:t>0104 – High Intensity Daily Personal Activities</w:t>
      </w:r>
      <w:r w:rsidR="00421128" w:rsidRPr="005F20F5">
        <w:t xml:space="preserve"> (2,437 active providers in Q4 2020-21)</w:t>
      </w:r>
      <w:r w:rsidRPr="005F20F5">
        <w:t>;</w:t>
      </w:r>
    </w:p>
    <w:p w14:paraId="5ACACEBD" w14:textId="77777777" w:rsidR="00775E71" w:rsidRPr="005F20F5" w:rsidRDefault="00775E71" w:rsidP="00421128">
      <w:pPr>
        <w:pStyle w:val="ListParagraph"/>
        <w:numPr>
          <w:ilvl w:val="0"/>
          <w:numId w:val="12"/>
        </w:numPr>
        <w:tabs>
          <w:tab w:val="left" w:pos="567"/>
        </w:tabs>
        <w:ind w:left="1276" w:hanging="992"/>
      </w:pPr>
      <w:r w:rsidRPr="005F20F5">
        <w:t>0107 – Daily Personal Activities</w:t>
      </w:r>
      <w:r w:rsidR="00421128" w:rsidRPr="005F20F5">
        <w:t xml:space="preserve"> (3,266 active providers)</w:t>
      </w:r>
      <w:r w:rsidRPr="005F20F5">
        <w:t>;</w:t>
      </w:r>
    </w:p>
    <w:p w14:paraId="316A1442" w14:textId="77777777" w:rsidR="00775E71" w:rsidRPr="005F20F5" w:rsidRDefault="00775E71" w:rsidP="00421128">
      <w:pPr>
        <w:pStyle w:val="ListParagraph"/>
        <w:numPr>
          <w:ilvl w:val="0"/>
          <w:numId w:val="12"/>
        </w:numPr>
        <w:tabs>
          <w:tab w:val="left" w:pos="567"/>
        </w:tabs>
        <w:ind w:left="1276" w:hanging="992"/>
      </w:pPr>
      <w:r w:rsidRPr="005F20F5">
        <w:t>0115 – Assistance with Daily Life Tasks in a Group or Shared Living Arrangement</w:t>
      </w:r>
      <w:r w:rsidR="00421128" w:rsidRPr="005F20F5">
        <w:t xml:space="preserve"> (2,127 active providers)</w:t>
      </w:r>
      <w:r w:rsidRPr="005F20F5">
        <w:t>;</w:t>
      </w:r>
    </w:p>
    <w:p w14:paraId="4D97FB85" w14:textId="77777777" w:rsidR="00775E71" w:rsidRPr="005F20F5" w:rsidRDefault="00775E71" w:rsidP="00421128">
      <w:pPr>
        <w:pStyle w:val="ListParagraph"/>
        <w:numPr>
          <w:ilvl w:val="0"/>
          <w:numId w:val="12"/>
        </w:numPr>
        <w:tabs>
          <w:tab w:val="left" w:pos="567"/>
        </w:tabs>
        <w:ind w:left="1276" w:hanging="992"/>
      </w:pPr>
      <w:r w:rsidRPr="005F20F5">
        <w:t xml:space="preserve">0125 </w:t>
      </w:r>
      <w:r w:rsidRPr="005F20F5">
        <w:softHyphen/>
        <w:t>– Participation in Community, Social and Civic Activities</w:t>
      </w:r>
      <w:r w:rsidR="00421128" w:rsidRPr="005F20F5">
        <w:t xml:space="preserve"> (3553 active providers)</w:t>
      </w:r>
      <w:r w:rsidRPr="005F20F5">
        <w:t>;</w:t>
      </w:r>
    </w:p>
    <w:p w14:paraId="5A990B76" w14:textId="77777777" w:rsidR="00775E71" w:rsidRPr="005F20F5" w:rsidRDefault="00775E71" w:rsidP="00421128">
      <w:pPr>
        <w:pStyle w:val="ListParagraph"/>
        <w:numPr>
          <w:ilvl w:val="0"/>
          <w:numId w:val="12"/>
        </w:numPr>
        <w:tabs>
          <w:tab w:val="left" w:pos="567"/>
        </w:tabs>
        <w:ind w:left="1276" w:hanging="992"/>
      </w:pPr>
      <w:r w:rsidRPr="005F20F5">
        <w:t>0133 – Specialised Supported Employment</w:t>
      </w:r>
      <w:r w:rsidR="00421128" w:rsidRPr="005F20F5">
        <w:t xml:space="preserve"> (826 active providers)</w:t>
      </w:r>
      <w:r w:rsidRPr="005F20F5">
        <w:t>; and</w:t>
      </w:r>
    </w:p>
    <w:p w14:paraId="3C598828" w14:textId="77777777" w:rsidR="00775E71" w:rsidRPr="005F20F5" w:rsidRDefault="00775E71" w:rsidP="00421128">
      <w:pPr>
        <w:pStyle w:val="ListParagraph"/>
        <w:numPr>
          <w:ilvl w:val="0"/>
          <w:numId w:val="12"/>
        </w:numPr>
        <w:tabs>
          <w:tab w:val="left" w:pos="567"/>
        </w:tabs>
        <w:ind w:left="1276" w:hanging="992"/>
      </w:pPr>
      <w:r w:rsidRPr="005F20F5">
        <w:t xml:space="preserve">0136 </w:t>
      </w:r>
      <w:r w:rsidRPr="005F20F5">
        <w:softHyphen/>
        <w:t>– Group and Centre Based Activities</w:t>
      </w:r>
      <w:r w:rsidR="00421128" w:rsidRPr="005F20F5">
        <w:t xml:space="preserve"> (2,318 active providers)</w:t>
      </w:r>
      <w:r w:rsidRPr="005F20F5">
        <w:t>.</w:t>
      </w:r>
    </w:p>
    <w:p w14:paraId="51C93BA6" w14:textId="77777777" w:rsidR="00830928" w:rsidRPr="005F20F5" w:rsidRDefault="0008603F" w:rsidP="00830928">
      <w:r w:rsidRPr="005F20F5">
        <w:t xml:space="preserve">The Cost Model </w:t>
      </w:r>
      <w:r w:rsidR="00830928" w:rsidRPr="005F20F5">
        <w:t>estimates the efficient cost of delivering supports</w:t>
      </w:r>
      <w:r w:rsidRPr="005F20F5">
        <w:t xml:space="preserve"> and is informed by the annual financial benchmarking studies that are undertaken for the NDIA</w:t>
      </w:r>
      <w:r w:rsidR="00775E71" w:rsidRPr="005F20F5">
        <w:t>.</w:t>
      </w:r>
      <w:r w:rsidRPr="005F20F5">
        <w:rPr>
          <w:rStyle w:val="FootnoteReference"/>
        </w:rPr>
        <w:footnoteReference w:id="12"/>
      </w:r>
      <w:r w:rsidR="00775E71" w:rsidRPr="005F20F5">
        <w:t xml:space="preserve"> </w:t>
      </w:r>
      <w:r w:rsidRPr="005F20F5">
        <w:t>The Cost Model</w:t>
      </w:r>
      <w:r w:rsidR="00775E71" w:rsidRPr="005F20F5">
        <w:t xml:space="preserve"> takes </w:t>
      </w:r>
      <w:r w:rsidR="00830928" w:rsidRPr="005F20F5">
        <w:t>into account</w:t>
      </w:r>
      <w:r w:rsidR="00775E71" w:rsidRPr="005F20F5">
        <w:t xml:space="preserve"> all of the costs that providers incur in delivering supports</w:t>
      </w:r>
      <w:r w:rsidR="00830928" w:rsidRPr="005F20F5">
        <w:t>:</w:t>
      </w:r>
    </w:p>
    <w:p w14:paraId="30023655" w14:textId="77777777" w:rsidR="00830928" w:rsidRPr="005F20F5" w:rsidRDefault="00830928" w:rsidP="00830928">
      <w:pPr>
        <w:pStyle w:val="ListParagraph"/>
        <w:numPr>
          <w:ilvl w:val="0"/>
          <w:numId w:val="12"/>
        </w:numPr>
      </w:pPr>
      <w:r w:rsidRPr="005F20F5">
        <w:t xml:space="preserve">The costs of employing a Disability Support Worker, including </w:t>
      </w:r>
    </w:p>
    <w:p w14:paraId="5FEB2B5A" w14:textId="77777777" w:rsidR="00830928" w:rsidRPr="005F20F5" w:rsidRDefault="00830928" w:rsidP="00830928">
      <w:pPr>
        <w:numPr>
          <w:ilvl w:val="1"/>
          <w:numId w:val="5"/>
        </w:numPr>
      </w:pPr>
      <w:r w:rsidRPr="005F20F5">
        <w:t>Salary-related costs, including base salary, shift loadings and the costs of annual leave, personal leave and long service leave;</w:t>
      </w:r>
    </w:p>
    <w:p w14:paraId="5BEAF8AE" w14:textId="77777777" w:rsidR="00830928" w:rsidRPr="005F20F5" w:rsidRDefault="00830928" w:rsidP="00830928">
      <w:pPr>
        <w:numPr>
          <w:ilvl w:val="1"/>
          <w:numId w:val="5"/>
        </w:numPr>
      </w:pPr>
      <w:r w:rsidRPr="005F20F5">
        <w:t>Salary-related on-costs, including superannuation and workers compensation; and</w:t>
      </w:r>
    </w:p>
    <w:p w14:paraId="60531502" w14:textId="77777777" w:rsidR="00830928" w:rsidRPr="005F20F5" w:rsidRDefault="00830928" w:rsidP="00830928">
      <w:pPr>
        <w:numPr>
          <w:ilvl w:val="1"/>
          <w:numId w:val="5"/>
        </w:numPr>
      </w:pPr>
      <w:r w:rsidRPr="005F20F5">
        <w:t>Utilisation costs, as not all the DSW’s work hours are billable hours.</w:t>
      </w:r>
    </w:p>
    <w:p w14:paraId="6E59D9D8" w14:textId="77777777" w:rsidR="00830928" w:rsidRPr="005F20F5" w:rsidRDefault="00830928" w:rsidP="00830928">
      <w:pPr>
        <w:numPr>
          <w:ilvl w:val="0"/>
          <w:numId w:val="5"/>
        </w:numPr>
      </w:pPr>
      <w:r w:rsidRPr="005F20F5">
        <w:t xml:space="preserve">The costs of employing the DSW’s supervisor, including </w:t>
      </w:r>
    </w:p>
    <w:p w14:paraId="080737CC" w14:textId="77777777" w:rsidR="00830928" w:rsidRPr="005F20F5" w:rsidRDefault="00830928" w:rsidP="00830928">
      <w:pPr>
        <w:numPr>
          <w:ilvl w:val="1"/>
          <w:numId w:val="5"/>
        </w:numPr>
      </w:pPr>
      <w:r w:rsidRPr="005F20F5">
        <w:t>Salary-related costs, including base salary, shift loadings, and the costs of annual leave, personal leave and long service leave;</w:t>
      </w:r>
    </w:p>
    <w:p w14:paraId="17F43832" w14:textId="77777777" w:rsidR="00830928" w:rsidRPr="005F20F5" w:rsidRDefault="00830928" w:rsidP="00830928">
      <w:pPr>
        <w:numPr>
          <w:ilvl w:val="1"/>
          <w:numId w:val="5"/>
        </w:numPr>
      </w:pPr>
      <w:r w:rsidRPr="005F20F5">
        <w:t>Salary-related on-costs, including superannu</w:t>
      </w:r>
      <w:r w:rsidR="0008603F" w:rsidRPr="005F20F5">
        <w:t>ation and workers compensation;</w:t>
      </w:r>
      <w:r w:rsidR="00A44409" w:rsidRPr="005F20F5">
        <w:t xml:space="preserve"> and</w:t>
      </w:r>
    </w:p>
    <w:p w14:paraId="0F1C9AA7" w14:textId="77777777" w:rsidR="00830928" w:rsidRPr="005F20F5" w:rsidRDefault="00830928" w:rsidP="00830928">
      <w:pPr>
        <w:numPr>
          <w:ilvl w:val="1"/>
          <w:numId w:val="5"/>
        </w:numPr>
      </w:pPr>
      <w:r w:rsidRPr="005F20F5">
        <w:t>Utilisation costs, as not all of the supervisor’s work hours will be spent directly supervising staff engaged in billable hours;</w:t>
      </w:r>
    </w:p>
    <w:p w14:paraId="5765ACE4" w14:textId="77777777" w:rsidR="0008603F" w:rsidRPr="005F20F5" w:rsidRDefault="0008603F" w:rsidP="00A44409">
      <w:pPr>
        <w:numPr>
          <w:ilvl w:val="0"/>
          <w:numId w:val="5"/>
        </w:numPr>
      </w:pPr>
      <w:r w:rsidRPr="005F20F5">
        <w:t>Supervision ratio;</w:t>
      </w:r>
    </w:p>
    <w:p w14:paraId="72A697D1" w14:textId="77777777" w:rsidR="00830928" w:rsidRPr="005F20F5" w:rsidRDefault="00830928" w:rsidP="000B3214">
      <w:pPr>
        <w:numPr>
          <w:ilvl w:val="0"/>
          <w:numId w:val="5"/>
        </w:numPr>
      </w:pPr>
      <w:r w:rsidRPr="005F20F5">
        <w:t xml:space="preserve">Overheads, including the cost of non-service level staff; insurance premiums (other than workers compensation); </w:t>
      </w:r>
      <w:r w:rsidR="002E59DD" w:rsidRPr="005F20F5">
        <w:t xml:space="preserve">non-labour costs associated with the quality and safeguarding requirements, </w:t>
      </w:r>
      <w:r w:rsidRPr="005F20F5">
        <w:t>rent and fittings; fleet costs; marketing costs; accounting and audit costs; IT and other costs; depreciation; and interest; and</w:t>
      </w:r>
    </w:p>
    <w:p w14:paraId="7C1B29D4" w14:textId="77777777" w:rsidR="00830928" w:rsidRPr="005F20F5" w:rsidRDefault="00830928" w:rsidP="00830928">
      <w:pPr>
        <w:numPr>
          <w:ilvl w:val="0"/>
          <w:numId w:val="5"/>
        </w:numPr>
      </w:pPr>
      <w:r w:rsidRPr="005F20F5">
        <w:t>Pre-tax margin.</w:t>
      </w:r>
    </w:p>
    <w:p w14:paraId="3920A26D" w14:textId="0AA1CF7E" w:rsidR="00A44409" w:rsidRPr="005F20F5" w:rsidRDefault="00A44409" w:rsidP="00A44409">
      <w:r w:rsidRPr="005F20F5">
        <w:fldChar w:fldCharType="begin"/>
      </w:r>
      <w:r w:rsidRPr="005F20F5">
        <w:instrText xml:space="preserve"> REF _Ref83984221 \h </w:instrText>
      </w:r>
      <w:r w:rsidR="00A52B74" w:rsidRPr="005F20F5">
        <w:instrText xml:space="preserve"> \* MERGEFORMAT </w:instrText>
      </w:r>
      <w:r w:rsidRPr="005F20F5">
        <w:fldChar w:fldCharType="separate"/>
      </w:r>
      <w:r w:rsidR="009D3AFE" w:rsidRPr="005F20F5">
        <w:t xml:space="preserve">Exhibit </w:t>
      </w:r>
      <w:r w:rsidR="009D3AFE">
        <w:rPr>
          <w:noProof/>
        </w:rPr>
        <w:t>7</w:t>
      </w:r>
      <w:r w:rsidRPr="005F20F5">
        <w:fldChar w:fldCharType="end"/>
      </w:r>
      <w:r w:rsidRPr="005F20F5">
        <w:t xml:space="preserve"> sets out the resulting price limits per hour for standard supports for 2021-22. </w:t>
      </w:r>
    </w:p>
    <w:p w14:paraId="3404058B" w14:textId="778ADFA6" w:rsidR="0008603F" w:rsidRPr="005F20F5" w:rsidRDefault="00A44409" w:rsidP="00A44409">
      <w:pPr>
        <w:pStyle w:val="Caption"/>
      </w:pPr>
      <w:bookmarkStart w:id="40" w:name="_Ref83984221"/>
      <w:r w:rsidRPr="005F20F5">
        <w:t xml:space="preserve">Exhibit </w:t>
      </w:r>
      <w:r w:rsidR="009D3AFE">
        <w:fldChar w:fldCharType="begin"/>
      </w:r>
      <w:r w:rsidR="009D3AFE">
        <w:instrText xml:space="preserve"> SEQ Exhibit \* ARABIC </w:instrText>
      </w:r>
      <w:r w:rsidR="009D3AFE">
        <w:fldChar w:fldCharType="separate"/>
      </w:r>
      <w:r w:rsidR="009D3AFE">
        <w:rPr>
          <w:noProof/>
        </w:rPr>
        <w:t>7</w:t>
      </w:r>
      <w:r w:rsidR="009D3AFE">
        <w:rPr>
          <w:noProof/>
        </w:rPr>
        <w:fldChar w:fldCharType="end"/>
      </w:r>
      <w:bookmarkEnd w:id="40"/>
      <w:r w:rsidRPr="005F20F5">
        <w:t>: Price limits per hour for standard supports, 2021-22</w:t>
      </w:r>
    </w:p>
    <w:tbl>
      <w:tblPr>
        <w:tblStyle w:val="GridTable4-Accent1"/>
        <w:tblW w:w="8814" w:type="dxa"/>
        <w:tblLook w:val="0420" w:firstRow="1" w:lastRow="0" w:firstColumn="0" w:lastColumn="0" w:noHBand="0" w:noVBand="1"/>
        <w:tblCaption w:val="EXHIBIT 7: PRICE LIMITS PER HOUR FOR STANDARD SUPPORTS, 2021-22"/>
        <w:tblDescription w:val="Outlines the national, remote and very remote prices for weekday and weekends"/>
      </w:tblPr>
      <w:tblGrid>
        <w:gridCol w:w="2203"/>
        <w:gridCol w:w="2204"/>
        <w:gridCol w:w="2203"/>
        <w:gridCol w:w="2204"/>
      </w:tblGrid>
      <w:tr w:rsidR="00A44409" w:rsidRPr="005F20F5" w14:paraId="21615A8F" w14:textId="77777777" w:rsidTr="003D1C27">
        <w:trPr>
          <w:cnfStyle w:val="100000000000" w:firstRow="1" w:lastRow="0" w:firstColumn="0" w:lastColumn="0" w:oddVBand="0" w:evenVBand="0" w:oddHBand="0" w:evenHBand="0" w:firstRowFirstColumn="0" w:firstRowLastColumn="0" w:lastRowFirstColumn="0" w:lastRowLastColumn="0"/>
          <w:tblHeader/>
        </w:trPr>
        <w:tc>
          <w:tcPr>
            <w:tcW w:w="2203" w:type="dxa"/>
            <w:vAlign w:val="center"/>
          </w:tcPr>
          <w:p w14:paraId="19556616" w14:textId="77777777" w:rsidR="00A44409" w:rsidRPr="005F20F5" w:rsidRDefault="00A44409" w:rsidP="00EB3BC2">
            <w:pPr>
              <w:pStyle w:val="NoSpacing"/>
              <w:spacing w:before="40" w:after="40"/>
              <w:rPr>
                <w:rFonts w:asciiTheme="majorHAnsi" w:hAnsiTheme="majorHAnsi" w:cstheme="majorHAnsi"/>
                <w:sz w:val="16"/>
                <w:szCs w:val="16"/>
                <w:lang w:val="en-AU"/>
              </w:rPr>
            </w:pPr>
          </w:p>
        </w:tc>
        <w:tc>
          <w:tcPr>
            <w:tcW w:w="2204" w:type="dxa"/>
            <w:vAlign w:val="center"/>
          </w:tcPr>
          <w:p w14:paraId="7C3A237E"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National</w:t>
            </w:r>
          </w:p>
        </w:tc>
        <w:tc>
          <w:tcPr>
            <w:tcW w:w="2203" w:type="dxa"/>
            <w:vAlign w:val="center"/>
          </w:tcPr>
          <w:p w14:paraId="5D70A03E"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Remote</w:t>
            </w:r>
          </w:p>
        </w:tc>
        <w:tc>
          <w:tcPr>
            <w:tcW w:w="2204" w:type="dxa"/>
            <w:vAlign w:val="center"/>
          </w:tcPr>
          <w:p w14:paraId="44C053F3"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Very Remote</w:t>
            </w:r>
          </w:p>
        </w:tc>
      </w:tr>
      <w:tr w:rsidR="00A44409" w:rsidRPr="005F20F5" w14:paraId="3B52659B" w14:textId="77777777" w:rsidTr="00A44409">
        <w:trPr>
          <w:cnfStyle w:val="000000100000" w:firstRow="0" w:lastRow="0" w:firstColumn="0" w:lastColumn="0" w:oddVBand="0" w:evenVBand="0" w:oddHBand="1" w:evenHBand="0" w:firstRowFirstColumn="0" w:firstRowLastColumn="0" w:lastRowFirstColumn="0" w:lastRowLastColumn="0"/>
        </w:trPr>
        <w:tc>
          <w:tcPr>
            <w:tcW w:w="2203" w:type="dxa"/>
            <w:vAlign w:val="center"/>
          </w:tcPr>
          <w:p w14:paraId="2EDBEC27" w14:textId="77777777" w:rsidR="00A44409" w:rsidRPr="005F20F5" w:rsidRDefault="00A44409" w:rsidP="00EB3BC2">
            <w:pPr>
              <w:pStyle w:val="NoSpacing"/>
              <w:spacing w:before="40" w:after="40"/>
              <w:rPr>
                <w:rFonts w:asciiTheme="majorHAnsi" w:hAnsiTheme="majorHAnsi" w:cstheme="majorHAnsi"/>
                <w:b/>
                <w:sz w:val="16"/>
                <w:szCs w:val="16"/>
                <w:lang w:val="en-AU"/>
              </w:rPr>
            </w:pPr>
            <w:r w:rsidRPr="005F20F5">
              <w:rPr>
                <w:rFonts w:asciiTheme="majorHAnsi" w:hAnsiTheme="majorHAnsi" w:cstheme="majorHAnsi"/>
                <w:sz w:val="16"/>
                <w:szCs w:val="16"/>
                <w:lang w:val="en-AU"/>
              </w:rPr>
              <w:t>Weekday</w:t>
            </w:r>
          </w:p>
        </w:tc>
        <w:tc>
          <w:tcPr>
            <w:tcW w:w="2204" w:type="dxa"/>
            <w:vAlign w:val="center"/>
          </w:tcPr>
          <w:p w14:paraId="45FF6398"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$57.10</w:t>
            </w:r>
          </w:p>
        </w:tc>
        <w:tc>
          <w:tcPr>
            <w:tcW w:w="2203" w:type="dxa"/>
            <w:vAlign w:val="center"/>
          </w:tcPr>
          <w:p w14:paraId="719C865F"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$79.94</w:t>
            </w:r>
          </w:p>
        </w:tc>
        <w:tc>
          <w:tcPr>
            <w:tcW w:w="2204" w:type="dxa"/>
            <w:vAlign w:val="center"/>
          </w:tcPr>
          <w:p w14:paraId="1CDBE7A5"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$85.65</w:t>
            </w:r>
          </w:p>
        </w:tc>
      </w:tr>
      <w:tr w:rsidR="00A44409" w:rsidRPr="005F20F5" w14:paraId="4B8E63AC" w14:textId="77777777" w:rsidTr="00A44409">
        <w:tc>
          <w:tcPr>
            <w:tcW w:w="2203" w:type="dxa"/>
            <w:vAlign w:val="center"/>
          </w:tcPr>
          <w:p w14:paraId="6310BBC8" w14:textId="77777777" w:rsidR="00A44409" w:rsidRPr="005F20F5" w:rsidRDefault="00A44409" w:rsidP="00EB3BC2">
            <w:pPr>
              <w:pStyle w:val="NoSpacing"/>
              <w:spacing w:before="40" w:after="40"/>
              <w:rPr>
                <w:rFonts w:asciiTheme="majorHAnsi" w:hAnsiTheme="majorHAnsi" w:cstheme="majorHAnsi"/>
                <w:b/>
                <w:sz w:val="16"/>
                <w:szCs w:val="16"/>
                <w:lang w:val="en-AU"/>
              </w:rPr>
            </w:pPr>
            <w:r w:rsidRPr="005F20F5">
              <w:rPr>
                <w:rFonts w:asciiTheme="majorHAnsi" w:hAnsiTheme="majorHAnsi" w:cstheme="majorHAnsi"/>
                <w:sz w:val="16"/>
                <w:szCs w:val="16"/>
                <w:lang w:val="en-AU"/>
              </w:rPr>
              <w:t>Weekday Evening</w:t>
            </w:r>
          </w:p>
        </w:tc>
        <w:tc>
          <w:tcPr>
            <w:tcW w:w="2204" w:type="dxa"/>
            <w:vAlign w:val="center"/>
          </w:tcPr>
          <w:p w14:paraId="1400C4A5"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$62.85</w:t>
            </w:r>
          </w:p>
        </w:tc>
        <w:tc>
          <w:tcPr>
            <w:tcW w:w="2203" w:type="dxa"/>
            <w:vAlign w:val="center"/>
          </w:tcPr>
          <w:p w14:paraId="7C84B160"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$87.99</w:t>
            </w:r>
          </w:p>
        </w:tc>
        <w:tc>
          <w:tcPr>
            <w:tcW w:w="2204" w:type="dxa"/>
            <w:vAlign w:val="center"/>
          </w:tcPr>
          <w:p w14:paraId="09959C00"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$94.28</w:t>
            </w:r>
          </w:p>
        </w:tc>
      </w:tr>
      <w:tr w:rsidR="00A44409" w:rsidRPr="005F20F5" w14:paraId="1392AAB7" w14:textId="77777777" w:rsidTr="00A44409">
        <w:trPr>
          <w:cnfStyle w:val="000000100000" w:firstRow="0" w:lastRow="0" w:firstColumn="0" w:lastColumn="0" w:oddVBand="0" w:evenVBand="0" w:oddHBand="1" w:evenHBand="0" w:firstRowFirstColumn="0" w:firstRowLastColumn="0" w:lastRowFirstColumn="0" w:lastRowLastColumn="0"/>
        </w:trPr>
        <w:tc>
          <w:tcPr>
            <w:tcW w:w="2203" w:type="dxa"/>
            <w:vAlign w:val="center"/>
          </w:tcPr>
          <w:p w14:paraId="309295C0" w14:textId="77777777" w:rsidR="00A44409" w:rsidRPr="005F20F5" w:rsidRDefault="00A44409"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Weekday Night</w:t>
            </w:r>
          </w:p>
        </w:tc>
        <w:tc>
          <w:tcPr>
            <w:tcW w:w="2204" w:type="dxa"/>
            <w:vAlign w:val="center"/>
          </w:tcPr>
          <w:p w14:paraId="0287BF8B"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$64.00</w:t>
            </w:r>
          </w:p>
        </w:tc>
        <w:tc>
          <w:tcPr>
            <w:tcW w:w="2203" w:type="dxa"/>
            <w:vAlign w:val="center"/>
          </w:tcPr>
          <w:p w14:paraId="2CCBF457"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$89.60</w:t>
            </w:r>
          </w:p>
        </w:tc>
        <w:tc>
          <w:tcPr>
            <w:tcW w:w="2204" w:type="dxa"/>
            <w:vAlign w:val="center"/>
          </w:tcPr>
          <w:p w14:paraId="276973F8"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$96.00</w:t>
            </w:r>
          </w:p>
        </w:tc>
      </w:tr>
      <w:tr w:rsidR="00A44409" w:rsidRPr="005F20F5" w14:paraId="39404042" w14:textId="77777777" w:rsidTr="00A44409">
        <w:tc>
          <w:tcPr>
            <w:tcW w:w="2203" w:type="dxa"/>
            <w:vAlign w:val="center"/>
          </w:tcPr>
          <w:p w14:paraId="7CABFC1A" w14:textId="77777777" w:rsidR="00A44409" w:rsidRPr="005F20F5" w:rsidRDefault="00A44409"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Saturday</w:t>
            </w:r>
          </w:p>
        </w:tc>
        <w:tc>
          <w:tcPr>
            <w:tcW w:w="2204" w:type="dxa"/>
            <w:vAlign w:val="center"/>
          </w:tcPr>
          <w:p w14:paraId="6CF3788A"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$80.10</w:t>
            </w:r>
          </w:p>
        </w:tc>
        <w:tc>
          <w:tcPr>
            <w:tcW w:w="2203" w:type="dxa"/>
            <w:vAlign w:val="center"/>
          </w:tcPr>
          <w:p w14:paraId="53643327"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$112.14</w:t>
            </w:r>
          </w:p>
        </w:tc>
        <w:tc>
          <w:tcPr>
            <w:tcW w:w="2204" w:type="dxa"/>
            <w:vAlign w:val="center"/>
          </w:tcPr>
          <w:p w14:paraId="460B4419"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$120.15</w:t>
            </w:r>
          </w:p>
        </w:tc>
      </w:tr>
      <w:tr w:rsidR="00A44409" w:rsidRPr="005F20F5" w14:paraId="7F49303E" w14:textId="77777777" w:rsidTr="00A44409">
        <w:trPr>
          <w:cnfStyle w:val="000000100000" w:firstRow="0" w:lastRow="0" w:firstColumn="0" w:lastColumn="0" w:oddVBand="0" w:evenVBand="0" w:oddHBand="1" w:evenHBand="0" w:firstRowFirstColumn="0" w:firstRowLastColumn="0" w:lastRowFirstColumn="0" w:lastRowLastColumn="0"/>
        </w:trPr>
        <w:tc>
          <w:tcPr>
            <w:tcW w:w="2203" w:type="dxa"/>
            <w:vAlign w:val="center"/>
          </w:tcPr>
          <w:p w14:paraId="70EE0142" w14:textId="77777777" w:rsidR="00A44409" w:rsidRPr="005F20F5" w:rsidRDefault="00A44409"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Sunday</w:t>
            </w:r>
          </w:p>
        </w:tc>
        <w:tc>
          <w:tcPr>
            <w:tcW w:w="2204" w:type="dxa"/>
            <w:vAlign w:val="center"/>
          </w:tcPr>
          <w:p w14:paraId="75B346A5"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$103.11</w:t>
            </w:r>
          </w:p>
        </w:tc>
        <w:tc>
          <w:tcPr>
            <w:tcW w:w="2203" w:type="dxa"/>
            <w:vAlign w:val="center"/>
          </w:tcPr>
          <w:p w14:paraId="79AA29F0"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$144.35</w:t>
            </w:r>
          </w:p>
        </w:tc>
        <w:tc>
          <w:tcPr>
            <w:tcW w:w="2204" w:type="dxa"/>
            <w:vAlign w:val="center"/>
          </w:tcPr>
          <w:p w14:paraId="1017E216"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$154.67</w:t>
            </w:r>
          </w:p>
        </w:tc>
      </w:tr>
      <w:tr w:rsidR="00A44409" w:rsidRPr="005F20F5" w14:paraId="2A54BD23" w14:textId="77777777" w:rsidTr="00A44409">
        <w:tc>
          <w:tcPr>
            <w:tcW w:w="2203" w:type="dxa"/>
            <w:vAlign w:val="center"/>
          </w:tcPr>
          <w:p w14:paraId="35CCBAF4" w14:textId="77777777" w:rsidR="00A44409" w:rsidRPr="005F20F5" w:rsidRDefault="00A44409"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Public Holiday</w:t>
            </w:r>
          </w:p>
        </w:tc>
        <w:tc>
          <w:tcPr>
            <w:tcW w:w="2204" w:type="dxa"/>
            <w:vAlign w:val="center"/>
          </w:tcPr>
          <w:p w14:paraId="0A2CE302"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$126.11</w:t>
            </w:r>
          </w:p>
        </w:tc>
        <w:tc>
          <w:tcPr>
            <w:tcW w:w="2203" w:type="dxa"/>
            <w:vAlign w:val="center"/>
          </w:tcPr>
          <w:p w14:paraId="770D7853"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$176.55</w:t>
            </w:r>
          </w:p>
        </w:tc>
        <w:tc>
          <w:tcPr>
            <w:tcW w:w="2204" w:type="dxa"/>
            <w:vAlign w:val="center"/>
          </w:tcPr>
          <w:p w14:paraId="5ACDF59F" w14:textId="77777777" w:rsidR="00A44409" w:rsidRPr="005F20F5" w:rsidRDefault="00A44409" w:rsidP="00EB3BC2">
            <w:pPr>
              <w:pStyle w:val="NoSpacing"/>
              <w:spacing w:before="40" w:after="40"/>
              <w:jc w:val="center"/>
              <w:rPr>
                <w:rFonts w:asciiTheme="majorHAnsi" w:hAnsiTheme="majorHAnsi" w:cstheme="majorHAnsi"/>
                <w:sz w:val="16"/>
                <w:szCs w:val="16"/>
                <w:lang w:val="en-AU"/>
              </w:rPr>
            </w:pPr>
            <w:r w:rsidRPr="005F20F5">
              <w:rPr>
                <w:rFonts w:asciiTheme="majorHAnsi" w:hAnsiTheme="majorHAnsi" w:cstheme="majorHAnsi"/>
                <w:sz w:val="16"/>
                <w:szCs w:val="16"/>
                <w:lang w:val="en-AU"/>
              </w:rPr>
              <w:t>$189.17</w:t>
            </w:r>
          </w:p>
        </w:tc>
      </w:tr>
    </w:tbl>
    <w:p w14:paraId="0FE8C288" w14:textId="5A5EA085" w:rsidR="00830928" w:rsidRPr="005F20F5" w:rsidRDefault="00830928" w:rsidP="00830928">
      <w:r w:rsidRPr="005F20F5">
        <w:t xml:space="preserve">In brief, the cost model results in a price limit that is 84.5% higher than the base pay rate received by the disability support worker. </w:t>
      </w:r>
      <w:r w:rsidRPr="005F20F5">
        <w:fldChar w:fldCharType="begin"/>
      </w:r>
      <w:r w:rsidRPr="005F20F5">
        <w:instrText xml:space="preserve"> REF _Ref83741231 \h  \* MERGEFORMAT </w:instrText>
      </w:r>
      <w:r w:rsidRPr="005F20F5">
        <w:fldChar w:fldCharType="separate"/>
      </w:r>
      <w:r w:rsidR="009D3AFE" w:rsidRPr="005F20F5">
        <w:t xml:space="preserve">Exhibit </w:t>
      </w:r>
      <w:r w:rsidR="009D3AFE">
        <w:rPr>
          <w:noProof/>
        </w:rPr>
        <w:t>8</w:t>
      </w:r>
      <w:r w:rsidRPr="005F20F5">
        <w:fldChar w:fldCharType="end"/>
      </w:r>
      <w:r w:rsidRPr="005F20F5">
        <w:t xml:space="preserve"> illustrates the theoretic model of efficient providers used by the Cost Model.</w:t>
      </w:r>
    </w:p>
    <w:p w14:paraId="6F7B9493" w14:textId="70AB186C" w:rsidR="00830928" w:rsidRPr="005F20F5" w:rsidRDefault="00830928" w:rsidP="00830928">
      <w:pPr>
        <w:pStyle w:val="Caption"/>
      </w:pPr>
      <w:bookmarkStart w:id="41" w:name="_Ref83741231"/>
      <w:r w:rsidRPr="005F20F5">
        <w:t xml:space="preserve">Exhibit </w:t>
      </w:r>
      <w:r w:rsidR="009D3AFE">
        <w:fldChar w:fldCharType="begin"/>
      </w:r>
      <w:r w:rsidR="009D3AFE">
        <w:instrText xml:space="preserve"> SEQ Exhibit \* ARABIC </w:instrText>
      </w:r>
      <w:r w:rsidR="009D3AFE">
        <w:fldChar w:fldCharType="separate"/>
      </w:r>
      <w:r w:rsidR="009D3AFE">
        <w:rPr>
          <w:noProof/>
        </w:rPr>
        <w:t>8</w:t>
      </w:r>
      <w:r w:rsidR="009D3AFE">
        <w:rPr>
          <w:noProof/>
        </w:rPr>
        <w:fldChar w:fldCharType="end"/>
      </w:r>
      <w:bookmarkEnd w:id="41"/>
      <w:r w:rsidRPr="005F20F5">
        <w:t>: Theoretic Cost Model of Efficient provider</w:t>
      </w:r>
    </w:p>
    <w:p w14:paraId="72FFBBF1" w14:textId="77777777" w:rsidR="00830928" w:rsidRPr="005F20F5" w:rsidRDefault="00830928" w:rsidP="00830928">
      <w:pPr>
        <w:jc w:val="center"/>
      </w:pPr>
      <w:r w:rsidRPr="005F20F5">
        <w:rPr>
          <w:noProof/>
          <w:lang w:eastAsia="en-AU"/>
        </w:rPr>
        <w:drawing>
          <wp:inline distT="0" distB="0" distL="0" distR="0" wp14:anchorId="77FB81B5" wp14:editId="61AF1A54">
            <wp:extent cx="4680000" cy="3060000"/>
            <wp:effectExtent l="0" t="0" r="6350" b="7620"/>
            <wp:docPr id="3" name="Picture 3" descr="Pie chart outlinines the cost model for efficient providers" title="EXHIBIT 8: THEORETIC COST MODEL OF EFFICIENT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80000" cy="3060000"/>
                    </a:xfrm>
                    <a:prstGeom prst="rect">
                      <a:avLst/>
                    </a:prstGeom>
                    <a:noFill/>
                  </pic:spPr>
                </pic:pic>
              </a:graphicData>
            </a:graphic>
          </wp:inline>
        </w:drawing>
      </w:r>
    </w:p>
    <w:p w14:paraId="57DA0629" w14:textId="77777777" w:rsidR="00830928" w:rsidRPr="005F20F5" w:rsidRDefault="00830928" w:rsidP="00830928">
      <w:r w:rsidRPr="005F20F5">
        <w:t>In 2020-21, NDIA-managed and plan-managed participants made 17.3 million claims for core supports whose price limits were determined by the NDIS DSW Cost Model. The total value of these supports was $13.5 billion.</w:t>
      </w:r>
    </w:p>
    <w:p w14:paraId="622B253D" w14:textId="77777777" w:rsidR="007667AF" w:rsidRPr="005F20F5" w:rsidRDefault="00380CDE" w:rsidP="004E6B4B">
      <w:pPr>
        <w:pStyle w:val="Heading2"/>
      </w:pPr>
      <w:bookmarkStart w:id="42" w:name="_Toc85097249"/>
      <w:bookmarkEnd w:id="38"/>
      <w:r w:rsidRPr="005F20F5">
        <w:t>Current Arrangements</w:t>
      </w:r>
      <w:bookmarkEnd w:id="42"/>
    </w:p>
    <w:p w14:paraId="2C4086E7" w14:textId="77777777" w:rsidR="007667AF" w:rsidRPr="005F20F5" w:rsidRDefault="007667AF" w:rsidP="00861004">
      <w:r w:rsidRPr="005F20F5">
        <w:t xml:space="preserve">The National Disability Insurance Scheme (NDIS) price limits for 1:1 supports delivered by Disability Support Workers (DSWs) and their equivalents in the Assistance with Daily Life (Daily Activities) Support Category and the Assistance with Social and Community Participation (Community Participation) Support Category vary according to several factors. </w:t>
      </w:r>
    </w:p>
    <w:p w14:paraId="42841B6B" w14:textId="77777777" w:rsidR="00E222FC" w:rsidRPr="005F20F5" w:rsidRDefault="007667AF" w:rsidP="00B55DCE">
      <w:pPr>
        <w:pStyle w:val="ListParagraph"/>
        <w:numPr>
          <w:ilvl w:val="0"/>
          <w:numId w:val="12"/>
        </w:numPr>
      </w:pPr>
      <w:r w:rsidRPr="005F20F5">
        <w:t xml:space="preserve">Price limits vary according to the </w:t>
      </w:r>
      <w:r w:rsidRPr="005F20F5">
        <w:rPr>
          <w:b/>
        </w:rPr>
        <w:t>intensity of the support</w:t>
      </w:r>
      <w:r w:rsidRPr="005F20F5">
        <w:t xml:space="preserve">. There are different price limits for Standard Intensity supports and High Intensity supports. </w:t>
      </w:r>
    </w:p>
    <w:p w14:paraId="611CA6FE" w14:textId="77777777" w:rsidR="007667AF" w:rsidRPr="005F20F5" w:rsidRDefault="007667AF" w:rsidP="00E222FC">
      <w:pPr>
        <w:pStyle w:val="ListParagraph"/>
        <w:numPr>
          <w:ilvl w:val="1"/>
          <w:numId w:val="12"/>
        </w:numPr>
      </w:pPr>
      <w:r w:rsidRPr="005F20F5">
        <w:t>Providers in Registration Group 0104 (High Intensity Daily Personal Activities)</w:t>
      </w:r>
      <w:r w:rsidR="00421128" w:rsidRPr="005F20F5">
        <w:t xml:space="preserve"> deliver high Intensity supports</w:t>
      </w:r>
      <w:r w:rsidRPr="005F20F5">
        <w:t>.</w:t>
      </w:r>
    </w:p>
    <w:p w14:paraId="233F5749" w14:textId="77777777" w:rsidR="00E222FC" w:rsidRPr="005F20F5" w:rsidRDefault="007667AF" w:rsidP="00B55DCE">
      <w:pPr>
        <w:pStyle w:val="ListParagraph"/>
        <w:numPr>
          <w:ilvl w:val="0"/>
          <w:numId w:val="12"/>
        </w:numPr>
      </w:pPr>
      <w:r w:rsidRPr="005F20F5">
        <w:t xml:space="preserve">For High Intensity supports, price limits also vary depending on the </w:t>
      </w:r>
      <w:r w:rsidRPr="005F20F5">
        <w:rPr>
          <w:b/>
        </w:rPr>
        <w:t>level of skills and experience of the worker</w:t>
      </w:r>
      <w:r w:rsidRPr="005F20F5">
        <w:t xml:space="preserve"> delivering the support. There are three different High Intensity price limits – Level 1 (Standard), Level 2 (High intensity) and Lev</w:t>
      </w:r>
      <w:r w:rsidR="00E222FC" w:rsidRPr="005F20F5">
        <w:t xml:space="preserve">el 3 (Very High Intensity). </w:t>
      </w:r>
    </w:p>
    <w:p w14:paraId="50044C68" w14:textId="77777777" w:rsidR="007667AF" w:rsidRPr="005F20F5" w:rsidRDefault="00E222FC" w:rsidP="00E222FC">
      <w:pPr>
        <w:pStyle w:val="ListParagraph"/>
        <w:numPr>
          <w:ilvl w:val="1"/>
          <w:numId w:val="12"/>
        </w:numPr>
      </w:pPr>
      <w:r w:rsidRPr="005F20F5">
        <w:t>The</w:t>
      </w:r>
      <w:r w:rsidR="007667AF" w:rsidRPr="005F20F5">
        <w:t xml:space="preserve"> Level 1 (Standard) price limit is the same as the price limit for Standard Intensity supports.</w:t>
      </w:r>
    </w:p>
    <w:p w14:paraId="4FF41729" w14:textId="77777777" w:rsidR="00E222FC" w:rsidRPr="005F20F5" w:rsidRDefault="007667AF" w:rsidP="00B55DCE">
      <w:pPr>
        <w:pStyle w:val="ListParagraph"/>
        <w:numPr>
          <w:ilvl w:val="0"/>
          <w:numId w:val="12"/>
        </w:numPr>
      </w:pPr>
      <w:r w:rsidRPr="005F20F5">
        <w:t xml:space="preserve">Price limits also vary according to </w:t>
      </w:r>
      <w:r w:rsidRPr="005F20F5">
        <w:rPr>
          <w:b/>
        </w:rPr>
        <w:t>whether the worker is permitted to sleep</w:t>
      </w:r>
      <w:r w:rsidRPr="005F20F5">
        <w:t xml:space="preserve"> when they are not delivering the support. </w:t>
      </w:r>
    </w:p>
    <w:p w14:paraId="62295084" w14:textId="77777777" w:rsidR="007667AF" w:rsidRPr="005F20F5" w:rsidRDefault="007667AF" w:rsidP="00E222FC">
      <w:pPr>
        <w:pStyle w:val="ListParagraph"/>
        <w:numPr>
          <w:ilvl w:val="1"/>
          <w:numId w:val="12"/>
        </w:numPr>
      </w:pPr>
      <w:r w:rsidRPr="005F20F5">
        <w:t xml:space="preserve">There </w:t>
      </w:r>
      <w:r w:rsidR="00E222FC" w:rsidRPr="005F20F5">
        <w:t>is a</w:t>
      </w:r>
      <w:r w:rsidRPr="005F20F5">
        <w:t xml:space="preserve"> separate price limit</w:t>
      </w:r>
      <w:r w:rsidR="00E222FC" w:rsidRPr="005F20F5">
        <w:t xml:space="preserve"> for Night-time Sleepover s</w:t>
      </w:r>
      <w:r w:rsidRPr="005F20F5">
        <w:t>upport</w:t>
      </w:r>
      <w:r w:rsidR="00E222FC" w:rsidRPr="005F20F5">
        <w:t>s</w:t>
      </w:r>
      <w:r w:rsidRPr="005F20F5">
        <w:t>.</w:t>
      </w:r>
      <w:r w:rsidR="00E222FC" w:rsidRPr="005F20F5">
        <w:t xml:space="preserve"> This support applies to any day of the week and on public holidays. Its price limit includes up to two hours of active supports provided to the participant for the duration of the period. Providers may claim for the third or additional hour at Saturday rates on weekdays, or at applicable rates on other days (Saturday, Sunday or Public Holidays).</w:t>
      </w:r>
    </w:p>
    <w:p w14:paraId="6602C2E0" w14:textId="77777777" w:rsidR="00E222FC" w:rsidRPr="005F20F5" w:rsidRDefault="007667AF" w:rsidP="00B55DCE">
      <w:pPr>
        <w:pStyle w:val="ListParagraph"/>
        <w:numPr>
          <w:ilvl w:val="0"/>
          <w:numId w:val="12"/>
        </w:numPr>
      </w:pPr>
      <w:r w:rsidRPr="005F20F5">
        <w:t xml:space="preserve">For supports where the worker is not permitted to sleep when they are not delivering the support, price limits also vary depending on the </w:t>
      </w:r>
      <w:r w:rsidRPr="005F20F5">
        <w:rPr>
          <w:b/>
        </w:rPr>
        <w:t>time of day and day of week</w:t>
      </w:r>
      <w:r w:rsidRPr="005F20F5">
        <w:t xml:space="preserve"> that the support is delivered. </w:t>
      </w:r>
    </w:p>
    <w:p w14:paraId="12FAECEF" w14:textId="77777777" w:rsidR="007667AF" w:rsidRPr="005F20F5" w:rsidRDefault="007667AF" w:rsidP="00E222FC">
      <w:pPr>
        <w:pStyle w:val="ListParagraph"/>
        <w:numPr>
          <w:ilvl w:val="1"/>
          <w:numId w:val="12"/>
        </w:numPr>
      </w:pPr>
      <w:r w:rsidRPr="005F20F5">
        <w:t>There are different price limits for Public Holiday Supports, Saturday Supports, Sunday Supports, Weekday Daytime Supports, Weekday Afternoon Supports and Weekday Active Overnight Supports.</w:t>
      </w:r>
    </w:p>
    <w:p w14:paraId="3F605355" w14:textId="77777777" w:rsidR="007667AF" w:rsidRPr="005F20F5" w:rsidRDefault="007667AF" w:rsidP="00B55DCE">
      <w:pPr>
        <w:pStyle w:val="ListParagraph"/>
        <w:numPr>
          <w:ilvl w:val="0"/>
          <w:numId w:val="12"/>
        </w:numPr>
        <w:rPr>
          <w:rFonts w:asciiTheme="minorHAnsi" w:hAnsiTheme="minorHAnsi"/>
        </w:rPr>
      </w:pPr>
      <w:r w:rsidRPr="005F20F5">
        <w:t xml:space="preserve">Price limits also vary depending on whether or not the provider claims </w:t>
      </w:r>
      <w:r w:rsidRPr="005F20F5">
        <w:rPr>
          <w:b/>
        </w:rPr>
        <w:t xml:space="preserve">Temporary Transformation Payment </w:t>
      </w:r>
      <w:r w:rsidRPr="005F20F5">
        <w:t>(TTP), subject to meeting the eligibility criteria.</w:t>
      </w:r>
    </w:p>
    <w:p w14:paraId="6D69BACB" w14:textId="77777777" w:rsidR="003F4CC1" w:rsidRPr="005F20F5" w:rsidRDefault="003F4CC1" w:rsidP="003F4CC1">
      <w:pPr>
        <w:pStyle w:val="Heading2"/>
      </w:pPr>
      <w:bookmarkStart w:id="43" w:name="_Toc85097250"/>
      <w:r w:rsidRPr="005F20F5">
        <w:t>Issues</w:t>
      </w:r>
      <w:bookmarkEnd w:id="43"/>
    </w:p>
    <w:p w14:paraId="0C2FF290" w14:textId="6200CCFD" w:rsidR="00206483" w:rsidRPr="005F20F5" w:rsidRDefault="00483234" w:rsidP="00861004">
      <w:r w:rsidRPr="005F20F5">
        <w:t xml:space="preserve">The key parameters of the NDIS Disability Support Worker Cost Model are informed by Financial Benchmarking Surveys undertaken for the Agency. The results of these benchmarking studies can be found at on the NDIS </w:t>
      </w:r>
      <w:hyperlink r:id="rId23" w:history="1">
        <w:r w:rsidRPr="005F20F5">
          <w:rPr>
            <w:rStyle w:val="Hyperlink"/>
          </w:rPr>
          <w:t>website</w:t>
        </w:r>
      </w:hyperlink>
      <w:r w:rsidRPr="005F20F5">
        <w:t>.</w:t>
      </w:r>
    </w:p>
    <w:p w14:paraId="267938AF" w14:textId="77777777" w:rsidR="00483234" w:rsidRPr="005F20F5" w:rsidRDefault="00483234" w:rsidP="00861004">
      <w:r w:rsidRPr="005F20F5">
        <w:t>The NDIA will be commissioning a further Financial Benchmarking Survey covering the 2020-21 financial year. The results of this survey will be taken into account by the 2021-22 Annual Pricing Review.</w:t>
      </w:r>
    </w:p>
    <w:p w14:paraId="13805829" w14:textId="77777777" w:rsidR="006F5CE1" w:rsidRPr="005F20F5" w:rsidRDefault="006F5CE1" w:rsidP="00421128">
      <w:pPr>
        <w:pStyle w:val="Heading3"/>
      </w:pPr>
      <w:bookmarkStart w:id="44" w:name="_Toc85097251"/>
      <w:r w:rsidRPr="005F20F5">
        <w:t>Changes in the Award Conditions</w:t>
      </w:r>
      <w:bookmarkEnd w:id="44"/>
    </w:p>
    <w:p w14:paraId="3DC2D46B" w14:textId="77777777" w:rsidR="00421128" w:rsidRPr="005F20F5" w:rsidRDefault="003F4CC1" w:rsidP="00861004">
      <w:r w:rsidRPr="005F20F5">
        <w:t xml:space="preserve">The NDIA is aware that changes that are proposed for the </w:t>
      </w:r>
      <w:r w:rsidR="00206483" w:rsidRPr="005F20F5">
        <w:t xml:space="preserve">Social, Community, Home Care and Disability Services Award 2010 </w:t>
      </w:r>
      <w:r w:rsidRPr="005F20F5">
        <w:t xml:space="preserve">award </w:t>
      </w:r>
      <w:r w:rsidR="00206483" w:rsidRPr="005F20F5">
        <w:t xml:space="preserve">as a result of the </w:t>
      </w:r>
      <w:r w:rsidR="00421128" w:rsidRPr="005F20F5">
        <w:rPr>
          <w:rFonts w:cstheme="minorHAnsi"/>
        </w:rPr>
        <w:t>Fair Work Commission’s four</w:t>
      </w:r>
      <w:r w:rsidR="00206483" w:rsidRPr="005F20F5">
        <w:rPr>
          <w:rFonts w:cstheme="minorHAnsi"/>
        </w:rPr>
        <w:t xml:space="preserve"> yearly review of modern awards—Social, Community, Home Care and Disability Services Award 2010 (AM2018/26) </w:t>
      </w:r>
      <w:r w:rsidRPr="005F20F5">
        <w:t xml:space="preserve">may increase cost for providers and would therefore have to be accounted for in the NDIS Disability Support Worker Cost Model. </w:t>
      </w:r>
    </w:p>
    <w:p w14:paraId="765BD732" w14:textId="77777777" w:rsidR="003F4CC1" w:rsidRPr="005F20F5" w:rsidRDefault="003F4CC1" w:rsidP="00861004">
      <w:r w:rsidRPr="005F20F5">
        <w:t>The material changes to the Award that require consideration include:</w:t>
      </w:r>
    </w:p>
    <w:p w14:paraId="3C5BA08F" w14:textId="77777777" w:rsidR="003F4CC1" w:rsidRPr="005F20F5" w:rsidRDefault="003F4CC1" w:rsidP="00B55DCE">
      <w:pPr>
        <w:numPr>
          <w:ilvl w:val="0"/>
          <w:numId w:val="5"/>
        </w:numPr>
      </w:pPr>
      <w:r w:rsidRPr="005F20F5">
        <w:t>A 2 hour minimum engagement for part-time employees (previously only for casuals);</w:t>
      </w:r>
    </w:p>
    <w:p w14:paraId="222B707B" w14:textId="1357941C" w:rsidR="003F4CC1" w:rsidRPr="005F20F5" w:rsidRDefault="003F4CC1" w:rsidP="00B55DCE">
      <w:pPr>
        <w:numPr>
          <w:ilvl w:val="0"/>
          <w:numId w:val="5"/>
        </w:numPr>
      </w:pPr>
      <w:r w:rsidRPr="005F20F5">
        <w:t>Allowances for broken shifts;</w:t>
      </w:r>
      <w:r w:rsidR="00B334DC" w:rsidRPr="005F20F5">
        <w:t xml:space="preserve"> and</w:t>
      </w:r>
    </w:p>
    <w:p w14:paraId="7786F30D" w14:textId="607F6F4B" w:rsidR="003F4CC1" w:rsidRPr="005F20F5" w:rsidRDefault="003F4CC1" w:rsidP="00B55DCE">
      <w:pPr>
        <w:numPr>
          <w:ilvl w:val="0"/>
          <w:numId w:val="5"/>
        </w:numPr>
      </w:pPr>
      <w:r w:rsidRPr="005F20F5">
        <w:t>Travel time</w:t>
      </w:r>
      <w:r w:rsidR="00B334DC" w:rsidRPr="005F20F5">
        <w:t xml:space="preserve"> between clients should be paid.</w:t>
      </w:r>
    </w:p>
    <w:p w14:paraId="6C2E6A24" w14:textId="77777777" w:rsidR="006F5CE1" w:rsidRPr="005F20F5" w:rsidRDefault="006F5CE1" w:rsidP="00421128">
      <w:pPr>
        <w:pStyle w:val="Heading3"/>
      </w:pPr>
      <w:bookmarkStart w:id="45" w:name="_Toc85097252"/>
      <w:r w:rsidRPr="005F20F5">
        <w:t>Regulatory Costs</w:t>
      </w:r>
      <w:bookmarkEnd w:id="45"/>
    </w:p>
    <w:p w14:paraId="4BAAC749" w14:textId="32E12290" w:rsidR="002E59DD" w:rsidRPr="005F20F5" w:rsidRDefault="00421128" w:rsidP="006F5CE1">
      <w:r w:rsidRPr="005F20F5">
        <w:t>Providers of NDIS supports incur a</w:t>
      </w:r>
      <w:r w:rsidR="006F5CE1" w:rsidRPr="005F20F5">
        <w:t xml:space="preserve"> range of regula</w:t>
      </w:r>
      <w:r w:rsidRPr="005F20F5">
        <w:t>tory and other costs</w:t>
      </w:r>
      <w:r w:rsidR="006F5CE1" w:rsidRPr="005F20F5">
        <w:t xml:space="preserve">, including the cost of registering with the NDIS Quality and Safeguards Commission and costs associated with ensuring quality and safety of supports for people </w:t>
      </w:r>
      <w:r w:rsidR="0043636A" w:rsidRPr="005F20F5">
        <w:t xml:space="preserve">with disability. These include </w:t>
      </w:r>
      <w:r w:rsidR="006F5CE1" w:rsidRPr="005F20F5">
        <w:t>professional registration (in the case of specialised services, like therapeutic supports);</w:t>
      </w:r>
      <w:r w:rsidR="0043636A" w:rsidRPr="005F20F5">
        <w:t xml:space="preserve"> </w:t>
      </w:r>
      <w:r w:rsidR="006F5CE1" w:rsidRPr="005F20F5">
        <w:t>working with children checks;</w:t>
      </w:r>
      <w:r w:rsidR="0043636A" w:rsidRPr="005F20F5">
        <w:t xml:space="preserve"> </w:t>
      </w:r>
      <w:r w:rsidR="006F5CE1" w:rsidRPr="005F20F5">
        <w:t>third party verification; and</w:t>
      </w:r>
      <w:r w:rsidR="0043636A" w:rsidRPr="005F20F5">
        <w:t xml:space="preserve"> </w:t>
      </w:r>
      <w:r w:rsidR="006F5CE1" w:rsidRPr="005F20F5">
        <w:t>police checks. These costs are necessary to ensure safe and high quality supports for NDIS participants</w:t>
      </w:r>
      <w:r w:rsidR="002E59DD" w:rsidRPr="005F20F5">
        <w:t>.</w:t>
      </w:r>
    </w:p>
    <w:p w14:paraId="7309AD17" w14:textId="189F38DB" w:rsidR="006F5CE1" w:rsidRPr="005F20F5" w:rsidRDefault="000A763C" w:rsidP="006F5CE1">
      <w:r w:rsidRPr="005F20F5">
        <w:t>The Review recognises that providers</w:t>
      </w:r>
      <w:r w:rsidR="00122748" w:rsidRPr="005F20F5">
        <w:t xml:space="preserve"> also</w:t>
      </w:r>
      <w:r w:rsidRPr="005F20F5">
        <w:t xml:space="preserve"> incur costs in adjusting and continuously improving their practice in line with the NDIS Practice Standards, including ensuring compliance with the Code by the provider themselves and their workforce. Training, appropriate and adequate supervision, and record keeping are all important to quality and safety. </w:t>
      </w:r>
      <w:r w:rsidR="002E59DD" w:rsidRPr="005F20F5">
        <w:t xml:space="preserve">These costs are accounted for in the NDIS Cost Model through the </w:t>
      </w:r>
      <w:r w:rsidRPr="005F20F5">
        <w:t xml:space="preserve">parameters for </w:t>
      </w:r>
      <w:r w:rsidR="002E59DD" w:rsidRPr="005F20F5">
        <w:t xml:space="preserve">utilisation provision for training for support workers, supervision costs, and in the general overheads allowance. </w:t>
      </w:r>
      <w:r w:rsidR="006F5CE1" w:rsidRPr="005F20F5">
        <w:t>Some stake</w:t>
      </w:r>
      <w:r w:rsidRPr="005F20F5">
        <w:t xml:space="preserve">holders have indicated that these costs </w:t>
      </w:r>
      <w:r w:rsidR="006F5CE1" w:rsidRPr="005F20F5">
        <w:t>hav</w:t>
      </w:r>
      <w:r w:rsidRPr="005F20F5">
        <w:t xml:space="preserve">e substantially increased </w:t>
      </w:r>
      <w:r w:rsidR="006F5CE1" w:rsidRPr="005F20F5">
        <w:t xml:space="preserve">and that the NDIS Disability Support Worker Cost Model should be adjusted to account for these costs. At the same time, the introduction of a single national system </w:t>
      </w:r>
      <w:r w:rsidRPr="005F20F5">
        <w:t>may have reduced compliance costs for some providers operating across multiple jurisdictions.</w:t>
      </w:r>
    </w:p>
    <w:p w14:paraId="55423993" w14:textId="77777777" w:rsidR="006F5CE1" w:rsidRPr="005F20F5" w:rsidRDefault="006F5CE1" w:rsidP="00421128">
      <w:pPr>
        <w:pStyle w:val="Heading3"/>
      </w:pPr>
      <w:bookmarkStart w:id="46" w:name="_Toc85097253"/>
      <w:r w:rsidRPr="005F20F5">
        <w:t>Other issues</w:t>
      </w:r>
      <w:bookmarkEnd w:id="46"/>
    </w:p>
    <w:p w14:paraId="68A79DBB" w14:textId="77777777" w:rsidR="003F4CC1" w:rsidRPr="005F20F5" w:rsidRDefault="00483234" w:rsidP="00861004">
      <w:r w:rsidRPr="005F20F5">
        <w:t>As well as issues with the NDIS Disability Support Worker Cost Model, s</w:t>
      </w:r>
      <w:r w:rsidR="003F4CC1" w:rsidRPr="005F20F5">
        <w:t>takeholders have also reported</w:t>
      </w:r>
      <w:r w:rsidRPr="005F20F5">
        <w:t xml:space="preserve"> difficulties in</w:t>
      </w:r>
      <w:r w:rsidR="003F4CC1" w:rsidRPr="005F20F5">
        <w:t>:</w:t>
      </w:r>
    </w:p>
    <w:p w14:paraId="015B0D44" w14:textId="77777777" w:rsidR="003F4CC1" w:rsidRPr="005F20F5" w:rsidRDefault="00483234" w:rsidP="00B55DCE">
      <w:pPr>
        <w:numPr>
          <w:ilvl w:val="0"/>
          <w:numId w:val="5"/>
        </w:numPr>
      </w:pPr>
      <w:r w:rsidRPr="005F20F5">
        <w:t>D</w:t>
      </w:r>
      <w:r w:rsidR="003F4CC1" w:rsidRPr="005F20F5">
        <w:t xml:space="preserve">etermining if </w:t>
      </w:r>
      <w:r w:rsidRPr="005F20F5">
        <w:t>a</w:t>
      </w:r>
      <w:r w:rsidR="003F4CC1" w:rsidRPr="005F20F5">
        <w:t xml:space="preserve"> support provided to a parti</w:t>
      </w:r>
      <w:r w:rsidR="00861004" w:rsidRPr="005F20F5">
        <w:t xml:space="preserve">cipant should be classified as </w:t>
      </w:r>
      <w:r w:rsidR="003F4CC1" w:rsidRPr="005F20F5">
        <w:t>High Intensity or Standard Intensity; and for High Intensity Support, when it is appropriate to claim for the Level 1</w:t>
      </w:r>
      <w:r w:rsidR="00861004" w:rsidRPr="005F20F5">
        <w:t>, Level 2 and Level 3 support it</w:t>
      </w:r>
      <w:r w:rsidR="003F4CC1" w:rsidRPr="005F20F5">
        <w:t xml:space="preserve">ems. </w:t>
      </w:r>
    </w:p>
    <w:p w14:paraId="1D18A69F" w14:textId="77777777" w:rsidR="00483234" w:rsidRPr="005F20F5" w:rsidRDefault="00483234" w:rsidP="00B55DCE">
      <w:pPr>
        <w:numPr>
          <w:ilvl w:val="0"/>
          <w:numId w:val="5"/>
        </w:numPr>
      </w:pPr>
      <w:r w:rsidRPr="005F20F5">
        <w:t>D</w:t>
      </w:r>
      <w:r w:rsidR="003F4CC1" w:rsidRPr="005F20F5">
        <w:t>etermining whether the Public Holiday, Saturday, Sunday, Weekday Daytime, Weekday Afternoon or Weekday Night price l</w:t>
      </w:r>
      <w:r w:rsidRPr="005F20F5">
        <w:t>imit applies to a given support.</w:t>
      </w:r>
    </w:p>
    <w:p w14:paraId="55BCEF16" w14:textId="77777777" w:rsidR="00483234" w:rsidRPr="005F20F5" w:rsidRDefault="00483234" w:rsidP="00B55DCE">
      <w:pPr>
        <w:numPr>
          <w:ilvl w:val="0"/>
          <w:numId w:val="5"/>
        </w:numPr>
      </w:pPr>
      <w:r w:rsidRPr="005F20F5">
        <w:t>Determining what activities can be billed as non-face-to-face supports.</w:t>
      </w:r>
    </w:p>
    <w:p w14:paraId="4C2D15B7" w14:textId="77777777" w:rsidR="003F4CC1" w:rsidRPr="005F20F5" w:rsidRDefault="00483234" w:rsidP="00B55DCE">
      <w:pPr>
        <w:numPr>
          <w:ilvl w:val="0"/>
          <w:numId w:val="5"/>
        </w:numPr>
      </w:pPr>
      <w:r w:rsidRPr="005F20F5">
        <w:t>Determining when a claim for activity based transpor</w:t>
      </w:r>
      <w:r w:rsidR="00331BAD" w:rsidRPr="005F20F5">
        <w:t xml:space="preserve">t can be made, and how the claim </w:t>
      </w:r>
      <w:r w:rsidRPr="005F20F5">
        <w:t>sh</w:t>
      </w:r>
      <w:r w:rsidR="00331BAD" w:rsidRPr="005F20F5">
        <w:t>o</w:t>
      </w:r>
      <w:r w:rsidRPr="005F20F5">
        <w:t>uld be made</w:t>
      </w:r>
      <w:r w:rsidR="00331BAD" w:rsidRPr="005F20F5">
        <w:t>.</w:t>
      </w:r>
    </w:p>
    <w:p w14:paraId="78A6F33B" w14:textId="77777777" w:rsidR="00331BAD" w:rsidRPr="005F20F5" w:rsidRDefault="00331BAD" w:rsidP="00B55DCE">
      <w:pPr>
        <w:numPr>
          <w:ilvl w:val="0"/>
          <w:numId w:val="5"/>
        </w:numPr>
      </w:pPr>
      <w:r w:rsidRPr="005F20F5">
        <w:t>Determining when a claim for provider travel can be made, and how the claim should be made. Stakeholders have also argued the current restrictions on when provider travel can be claimed are not in line with the relevant award conditions.</w:t>
      </w:r>
    </w:p>
    <w:p w14:paraId="37CE11E6" w14:textId="77777777" w:rsidR="002E59DD" w:rsidRPr="005F20F5" w:rsidRDefault="002E59DD" w:rsidP="007B7475">
      <w:r w:rsidRPr="005F20F5">
        <w:t>Some providers of supported independent living also report that the current pricing arrangements do not fully account for all of the costs that they face, including costs associated with vacancy management.</w:t>
      </w:r>
    </w:p>
    <w:p w14:paraId="77917AF2" w14:textId="77777777" w:rsidR="00206483" w:rsidRPr="005F20F5" w:rsidRDefault="00206483" w:rsidP="00206483">
      <w:pPr>
        <w:pStyle w:val="Heading2"/>
      </w:pPr>
      <w:bookmarkStart w:id="47" w:name="_Toc85097254"/>
      <w:r w:rsidRPr="005F20F5">
        <w:t>Call for submissions</w:t>
      </w:r>
      <w:bookmarkEnd w:id="47"/>
    </w:p>
    <w:p w14:paraId="23268050" w14:textId="77777777" w:rsidR="00331BAD" w:rsidRPr="005F20F5" w:rsidRDefault="007667AF" w:rsidP="00861004">
      <w:r w:rsidRPr="005F20F5">
        <w:t xml:space="preserve">The </w:t>
      </w:r>
      <w:r w:rsidR="00380CDE" w:rsidRPr="005F20F5">
        <w:t>2021-22 Annual Pricing Review</w:t>
      </w:r>
      <w:r w:rsidRPr="005F20F5">
        <w:t xml:space="preserve"> is seeking th</w:t>
      </w:r>
      <w:r w:rsidR="00380CDE" w:rsidRPr="005F20F5">
        <w:t>e views of stakehol</w:t>
      </w:r>
      <w:r w:rsidR="00331BAD" w:rsidRPr="005F20F5">
        <w:t>ders on:</w:t>
      </w:r>
    </w:p>
    <w:p w14:paraId="17155435" w14:textId="77777777" w:rsidR="00331BAD" w:rsidRPr="005F20F5" w:rsidRDefault="00206483" w:rsidP="00B55DCE">
      <w:pPr>
        <w:pStyle w:val="ListParagraph"/>
        <w:numPr>
          <w:ilvl w:val="0"/>
          <w:numId w:val="18"/>
        </w:numPr>
      </w:pPr>
      <w:r w:rsidRPr="005F20F5">
        <w:t xml:space="preserve">the methodology that the Agency </w:t>
      </w:r>
      <w:r w:rsidR="00380CDE" w:rsidRPr="005F20F5">
        <w:t>uses to set the price limits for core supports</w:t>
      </w:r>
      <w:r w:rsidR="00331BAD" w:rsidRPr="005F20F5">
        <w:t>;</w:t>
      </w:r>
      <w:r w:rsidR="00483234" w:rsidRPr="005F20F5">
        <w:t xml:space="preserve"> and</w:t>
      </w:r>
    </w:p>
    <w:p w14:paraId="284C323F" w14:textId="77777777" w:rsidR="007667AF" w:rsidRPr="005F20F5" w:rsidRDefault="00331BAD" w:rsidP="00B55DCE">
      <w:pPr>
        <w:pStyle w:val="ListParagraph"/>
        <w:numPr>
          <w:ilvl w:val="0"/>
          <w:numId w:val="18"/>
        </w:numPr>
      </w:pPr>
      <w:r w:rsidRPr="005F20F5">
        <w:t>difficulties with the claiming rules of core supports.</w:t>
      </w:r>
    </w:p>
    <w:tbl>
      <w:tblPr>
        <w:tblStyle w:val="GUIDEQUESTION"/>
        <w:tblW w:w="0" w:type="auto"/>
        <w:tblLook w:val="04A0" w:firstRow="1" w:lastRow="0" w:firstColumn="1" w:lastColumn="0" w:noHBand="0" w:noVBand="1"/>
        <w:tblCaption w:val="Guide questions"/>
        <w:tblDescription w:val="4 questions to consider for the APR"/>
      </w:tblPr>
      <w:tblGrid>
        <w:gridCol w:w="9017"/>
      </w:tblGrid>
      <w:tr w:rsidR="00D835E6" w:rsidRPr="005F20F5" w14:paraId="0986E100" w14:textId="77777777" w:rsidTr="003D1C27">
        <w:trPr>
          <w:tblHeader/>
        </w:trPr>
        <w:tc>
          <w:tcPr>
            <w:tcW w:w="9017" w:type="dxa"/>
          </w:tcPr>
          <w:p w14:paraId="0E306F2F" w14:textId="77777777" w:rsidR="00D835E6" w:rsidRPr="005F20F5" w:rsidRDefault="00861004" w:rsidP="00D835E6">
            <w:pPr>
              <w:spacing w:before="160" w:after="160" w:line="320" w:lineRule="atLeast"/>
              <w:jc w:val="center"/>
              <w:rPr>
                <w:b/>
              </w:rPr>
            </w:pPr>
            <w:r w:rsidRPr="005F20F5">
              <w:rPr>
                <w:b/>
              </w:rPr>
              <w:t>Guide Question</w:t>
            </w:r>
            <w:r w:rsidR="001244AA" w:rsidRPr="005F20F5">
              <w:rPr>
                <w:b/>
              </w:rPr>
              <w:t>s</w:t>
            </w:r>
          </w:p>
          <w:p w14:paraId="73261ECF" w14:textId="77777777" w:rsidR="003F4CC1" w:rsidRPr="005F20F5" w:rsidRDefault="003F4CC1" w:rsidP="00D75A91">
            <w:pPr>
              <w:pStyle w:val="QUESTION"/>
            </w:pPr>
            <w:r w:rsidRPr="005F20F5">
              <w:t>Are the methodology and key parameters the NDIS Disability Support Worke</w:t>
            </w:r>
            <w:r w:rsidR="00004224" w:rsidRPr="005F20F5">
              <w:t>r Cost Model appropriate? If no</w:t>
            </w:r>
            <w:r w:rsidRPr="005F20F5">
              <w:t>, why not? Please provide evidence.</w:t>
            </w:r>
          </w:p>
          <w:p w14:paraId="1878E902" w14:textId="77777777" w:rsidR="00861004" w:rsidRPr="005F20F5" w:rsidRDefault="00004224" w:rsidP="00D75A91">
            <w:pPr>
              <w:pStyle w:val="QUESTION"/>
            </w:pPr>
            <w:r w:rsidRPr="005F20F5">
              <w:t xml:space="preserve">Are any adjustments </w:t>
            </w:r>
            <w:r w:rsidR="00861004" w:rsidRPr="005F20F5">
              <w:t>to the NDIS Disability Support Worker Cost Model</w:t>
            </w:r>
            <w:r w:rsidR="00206483" w:rsidRPr="005F20F5">
              <w:t xml:space="preserve"> </w:t>
            </w:r>
            <w:r w:rsidRPr="005F20F5">
              <w:t xml:space="preserve">required </w:t>
            </w:r>
            <w:r w:rsidR="00206483" w:rsidRPr="005F20F5">
              <w:t xml:space="preserve">as a result of the changes proposed in the Fair Work Commission’s 4 yearly review of </w:t>
            </w:r>
            <w:r w:rsidR="0043636A" w:rsidRPr="005F20F5">
              <w:t xml:space="preserve">the </w:t>
            </w:r>
            <w:r w:rsidR="00206483" w:rsidRPr="005F20F5">
              <w:t>Social, Community, Home Care and Disability Services Award 2010 (AM2018/26</w:t>
            </w:r>
            <w:r w:rsidRPr="005F20F5">
              <w:t>)? If yes, what adjustments are required? Please provide evidence.</w:t>
            </w:r>
          </w:p>
          <w:p w14:paraId="718FA44D" w14:textId="626C0E8D" w:rsidR="007F70FA" w:rsidRPr="005F20F5" w:rsidRDefault="005127A8">
            <w:pPr>
              <w:pStyle w:val="QUESTION"/>
            </w:pPr>
            <w:r w:rsidRPr="005F20F5">
              <w:t>Does the NDIS Disability Support Worker Cost Model</w:t>
            </w:r>
            <w:r w:rsidR="007F70FA" w:rsidRPr="005F20F5">
              <w:t xml:space="preserve"> properly account for the costs associated with </w:t>
            </w:r>
            <w:r w:rsidR="000A763C" w:rsidRPr="005F20F5">
              <w:t>the delivery of high quality and safe services</w:t>
            </w:r>
            <w:r w:rsidR="007F70FA" w:rsidRPr="005F20F5">
              <w:t xml:space="preserve">? </w:t>
            </w:r>
            <w:r w:rsidR="00004224" w:rsidRPr="005F20F5">
              <w:t xml:space="preserve">If no, how should the Cost Model be adjusted to better account for these costs? </w:t>
            </w:r>
            <w:r w:rsidR="007F70FA" w:rsidRPr="005F20F5">
              <w:t>Please provide evidence.</w:t>
            </w:r>
          </w:p>
          <w:p w14:paraId="2E9F0F1E" w14:textId="77777777" w:rsidR="00331BAD" w:rsidRPr="005F20F5" w:rsidRDefault="00331BAD" w:rsidP="00D75A91">
            <w:pPr>
              <w:pStyle w:val="QUESTION"/>
            </w:pPr>
            <w:r w:rsidRPr="005F20F5">
              <w:t>Do the claiming</w:t>
            </w:r>
            <w:r w:rsidR="001244AA" w:rsidRPr="005F20F5">
              <w:t xml:space="preserve"> rules for:</w:t>
            </w:r>
          </w:p>
          <w:p w14:paraId="2713B02A" w14:textId="77777777" w:rsidR="001244AA" w:rsidRPr="005F20F5" w:rsidRDefault="001244AA" w:rsidP="00D75A91">
            <w:pPr>
              <w:pStyle w:val="QUESTION"/>
              <w:numPr>
                <w:ilvl w:val="0"/>
                <w:numId w:val="26"/>
              </w:numPr>
            </w:pPr>
            <w:r w:rsidRPr="005F20F5">
              <w:t xml:space="preserve">Activity Based Transport (NDIS </w:t>
            </w:r>
            <w:r w:rsidRPr="005F20F5">
              <w:rPr>
                <w:i/>
              </w:rPr>
              <w:t>Pricing Arrangements and Price Limits</w:t>
            </w:r>
            <w:r w:rsidRPr="005F20F5">
              <w:t>, p.23)</w:t>
            </w:r>
          </w:p>
          <w:p w14:paraId="395A12ED" w14:textId="77777777" w:rsidR="001244AA" w:rsidRPr="005F20F5" w:rsidRDefault="001244AA" w:rsidP="00D75A91">
            <w:pPr>
              <w:pStyle w:val="QUESTION"/>
              <w:numPr>
                <w:ilvl w:val="0"/>
                <w:numId w:val="26"/>
              </w:numPr>
            </w:pPr>
            <w:r w:rsidRPr="005F20F5">
              <w:t>Centre Capital Costs (p.29)</w:t>
            </w:r>
          </w:p>
          <w:p w14:paraId="4F94D581" w14:textId="77777777" w:rsidR="001244AA" w:rsidRPr="005F20F5" w:rsidRDefault="001244AA" w:rsidP="00D75A91">
            <w:pPr>
              <w:pStyle w:val="QUESTION"/>
              <w:numPr>
                <w:ilvl w:val="0"/>
                <w:numId w:val="26"/>
              </w:numPr>
            </w:pPr>
            <w:r w:rsidRPr="005F20F5">
              <w:t>Claiming for more than one worker or therapist (p.31)</w:t>
            </w:r>
          </w:p>
          <w:p w14:paraId="78C43167" w14:textId="77777777" w:rsidR="001244AA" w:rsidRPr="005F20F5" w:rsidRDefault="001244AA" w:rsidP="00D75A91">
            <w:pPr>
              <w:pStyle w:val="QUESTION"/>
              <w:numPr>
                <w:ilvl w:val="0"/>
                <w:numId w:val="26"/>
              </w:numPr>
            </w:pPr>
            <w:r w:rsidRPr="005F20F5">
              <w:t>High Intensity Supports (p.35)</w:t>
            </w:r>
          </w:p>
          <w:p w14:paraId="19A844DD" w14:textId="77777777" w:rsidR="001244AA" w:rsidRPr="005F20F5" w:rsidRDefault="001244AA" w:rsidP="00D75A91">
            <w:pPr>
              <w:pStyle w:val="QUESTION"/>
              <w:numPr>
                <w:ilvl w:val="0"/>
                <w:numId w:val="26"/>
              </w:numPr>
            </w:pPr>
            <w:r w:rsidRPr="005F20F5">
              <w:t>Non-face-to-face supports (p.17)</w:t>
            </w:r>
          </w:p>
          <w:p w14:paraId="6766A348" w14:textId="77777777" w:rsidR="001244AA" w:rsidRPr="005F20F5" w:rsidRDefault="001244AA" w:rsidP="00D75A91">
            <w:pPr>
              <w:pStyle w:val="QUESTION"/>
              <w:numPr>
                <w:ilvl w:val="0"/>
                <w:numId w:val="26"/>
              </w:numPr>
            </w:pPr>
            <w:r w:rsidRPr="005F20F5">
              <w:t>Programs of support (p.28)</w:t>
            </w:r>
          </w:p>
          <w:p w14:paraId="6792E88E" w14:textId="77777777" w:rsidR="001244AA" w:rsidRPr="005F20F5" w:rsidRDefault="001244AA" w:rsidP="00D75A91">
            <w:pPr>
              <w:pStyle w:val="QUESTION"/>
              <w:numPr>
                <w:ilvl w:val="0"/>
                <w:numId w:val="26"/>
              </w:numPr>
            </w:pPr>
            <w:r w:rsidRPr="005F20F5">
              <w:t>Provider Travel (p.18)</w:t>
            </w:r>
          </w:p>
          <w:p w14:paraId="09F082E7" w14:textId="77777777" w:rsidR="001244AA" w:rsidRPr="005F20F5" w:rsidRDefault="001244AA" w:rsidP="00D75A91">
            <w:pPr>
              <w:pStyle w:val="QUESTION"/>
              <w:numPr>
                <w:ilvl w:val="0"/>
                <w:numId w:val="26"/>
              </w:numPr>
            </w:pPr>
            <w:r w:rsidRPr="005F20F5">
              <w:t>Short Notice Cancellations (p.22)</w:t>
            </w:r>
          </w:p>
          <w:p w14:paraId="6ADAA04C" w14:textId="77777777" w:rsidR="001244AA" w:rsidRPr="005F20F5" w:rsidRDefault="001244AA" w:rsidP="00D75A91">
            <w:pPr>
              <w:pStyle w:val="QUESTION"/>
              <w:numPr>
                <w:ilvl w:val="0"/>
                <w:numId w:val="26"/>
              </w:numPr>
            </w:pPr>
            <w:r w:rsidRPr="005F20F5">
              <w:t>Telehealth Services (p.17)</w:t>
            </w:r>
          </w:p>
          <w:p w14:paraId="60446F48" w14:textId="77777777" w:rsidR="001244AA" w:rsidRPr="005F20F5" w:rsidRDefault="001244AA" w:rsidP="00D75A91">
            <w:pPr>
              <w:pStyle w:val="QUESTION"/>
              <w:numPr>
                <w:ilvl w:val="0"/>
                <w:numId w:val="26"/>
              </w:numPr>
            </w:pPr>
            <w:r w:rsidRPr="005F20F5">
              <w:t>Time and Day of Week (p.15)</w:t>
            </w:r>
          </w:p>
          <w:p w14:paraId="3C6DF7BF" w14:textId="77777777" w:rsidR="00331BAD" w:rsidRPr="005F20F5" w:rsidRDefault="00D32A62" w:rsidP="00D75A91">
            <w:pPr>
              <w:pStyle w:val="QUESTION"/>
              <w:numPr>
                <w:ilvl w:val="0"/>
                <w:numId w:val="0"/>
              </w:numPr>
              <w:ind w:left="567"/>
            </w:pPr>
            <w:r w:rsidRPr="005F20F5">
              <w:tab/>
            </w:r>
            <w:r w:rsidR="00331BAD" w:rsidRPr="005F20F5">
              <w:t>require modification</w:t>
            </w:r>
            <w:r w:rsidR="001244AA" w:rsidRPr="005F20F5">
              <w:t>?</w:t>
            </w:r>
            <w:r w:rsidR="00331BAD" w:rsidRPr="005F20F5">
              <w:t xml:space="preserve"> If Yes, why and how?</w:t>
            </w:r>
            <w:r w:rsidR="007F70FA" w:rsidRPr="005F20F5">
              <w:t xml:space="preserve"> </w:t>
            </w:r>
            <w:r w:rsidR="00331BAD" w:rsidRPr="005F20F5">
              <w:t>Please provide evidence.</w:t>
            </w:r>
          </w:p>
          <w:p w14:paraId="61C62503" w14:textId="77777777" w:rsidR="00A32E1E" w:rsidRPr="005F20F5" w:rsidRDefault="00A32E1E" w:rsidP="00614050">
            <w:pPr>
              <w:pStyle w:val="QUESTION"/>
            </w:pPr>
            <w:r w:rsidRPr="005F20F5">
              <w:t>Are there any other issues with the pricing arrangements for 1:1 core supports?</w:t>
            </w:r>
          </w:p>
        </w:tc>
      </w:tr>
    </w:tbl>
    <w:p w14:paraId="1672689C" w14:textId="77777777" w:rsidR="00D835E6" w:rsidRPr="005F20F5" w:rsidRDefault="00D835E6" w:rsidP="00D835E6">
      <w:pPr>
        <w:pStyle w:val="Heading1"/>
        <w:sectPr w:rsidR="00D835E6" w:rsidRPr="005F20F5" w:rsidSect="00872AF9">
          <w:pgSz w:w="11907" w:h="16839" w:code="9"/>
          <w:pgMar w:top="1440" w:right="1440" w:bottom="1440" w:left="1440" w:header="709" w:footer="709" w:gutter="0"/>
          <w:cols w:space="708"/>
          <w:titlePg/>
          <w:docGrid w:linePitch="360"/>
        </w:sectPr>
      </w:pPr>
    </w:p>
    <w:p w14:paraId="3E23F792" w14:textId="77777777" w:rsidR="007667AF" w:rsidRPr="005F20F5" w:rsidRDefault="007667AF" w:rsidP="00380CDE">
      <w:pPr>
        <w:pStyle w:val="Heading1"/>
      </w:pPr>
      <w:bookmarkStart w:id="48" w:name="_Toc5290939"/>
      <w:bookmarkStart w:id="49" w:name="_Ref23256506"/>
      <w:bookmarkStart w:id="50" w:name="_Toc25182174"/>
      <w:bookmarkStart w:id="51" w:name="_Toc85097255"/>
      <w:r w:rsidRPr="005F20F5">
        <w:t>Price limits for group-based core supports</w:t>
      </w:r>
      <w:bookmarkEnd w:id="48"/>
      <w:bookmarkEnd w:id="49"/>
      <w:bookmarkEnd w:id="50"/>
      <w:bookmarkEnd w:id="51"/>
    </w:p>
    <w:p w14:paraId="04DD8026" w14:textId="77777777" w:rsidR="007667AF" w:rsidRPr="005F20F5" w:rsidRDefault="00A32E1E" w:rsidP="005E42A5">
      <w:r w:rsidRPr="005F20F5">
        <w:t xml:space="preserve">The 2021-22 Annual Pricing Review is required </w:t>
      </w:r>
      <w:r w:rsidR="00D32A62" w:rsidRPr="005F20F5">
        <w:t xml:space="preserve">by its Terms of Reference </w:t>
      </w:r>
      <w:r w:rsidRPr="005F20F5">
        <w:t xml:space="preserve">to review </w:t>
      </w:r>
      <w:r w:rsidR="007667AF" w:rsidRPr="005F20F5">
        <w:t xml:space="preserve">the pricing arrangements and price limits for </w:t>
      </w:r>
      <w:r w:rsidRPr="005F20F5">
        <w:t xml:space="preserve">group based </w:t>
      </w:r>
      <w:r w:rsidR="007667AF" w:rsidRPr="005F20F5">
        <w:t>core supports, by identifying any unintended consequences of the new pricing arrangements for group based community participation supports that were introduced on 1 July 2020, including the extent to which the arrangements impact on overhead costs and administrative complexity for</w:t>
      </w:r>
      <w:r w:rsidRPr="005F20F5">
        <w:t xml:space="preserve"> providers and participants.</w:t>
      </w:r>
    </w:p>
    <w:p w14:paraId="4089D8B1" w14:textId="77777777" w:rsidR="00614050" w:rsidRPr="005F20F5" w:rsidRDefault="00614050" w:rsidP="004E6B4B">
      <w:pPr>
        <w:pStyle w:val="Heading2"/>
      </w:pPr>
      <w:bookmarkStart w:id="52" w:name="_Toc25182175"/>
      <w:bookmarkStart w:id="53" w:name="_Toc85097256"/>
      <w:r w:rsidRPr="005F20F5">
        <w:t>Background</w:t>
      </w:r>
      <w:bookmarkEnd w:id="53"/>
    </w:p>
    <w:p w14:paraId="034AE28F" w14:textId="77777777" w:rsidR="00614050" w:rsidRPr="005F20F5" w:rsidRDefault="00614050" w:rsidP="00614050">
      <w:r w:rsidRPr="005F20F5">
        <w:t>Group-based core supports are delivered by providers in the following registration groups:</w:t>
      </w:r>
    </w:p>
    <w:p w14:paraId="6AE23CC5" w14:textId="77777777" w:rsidR="00614050" w:rsidRPr="005F20F5" w:rsidRDefault="00614050" w:rsidP="00614050">
      <w:pPr>
        <w:pStyle w:val="ListParagraph"/>
        <w:numPr>
          <w:ilvl w:val="0"/>
          <w:numId w:val="12"/>
        </w:numPr>
        <w:tabs>
          <w:tab w:val="left" w:pos="567"/>
        </w:tabs>
        <w:ind w:left="1276" w:hanging="992"/>
      </w:pPr>
      <w:r w:rsidRPr="005F20F5">
        <w:t>0104 – High Intensity Daily Personal Activities (2,437 active providers in Q4 2020-21);</w:t>
      </w:r>
    </w:p>
    <w:p w14:paraId="044253F3" w14:textId="77777777" w:rsidR="00614050" w:rsidRPr="005F20F5" w:rsidRDefault="00614050" w:rsidP="00614050">
      <w:pPr>
        <w:pStyle w:val="ListParagraph"/>
        <w:numPr>
          <w:ilvl w:val="0"/>
          <w:numId w:val="12"/>
        </w:numPr>
        <w:tabs>
          <w:tab w:val="left" w:pos="567"/>
        </w:tabs>
        <w:ind w:left="1276" w:hanging="992"/>
      </w:pPr>
      <w:r w:rsidRPr="005F20F5">
        <w:t xml:space="preserve">0136 </w:t>
      </w:r>
      <w:r w:rsidRPr="005F20F5">
        <w:softHyphen/>
        <w:t>– Group and Centre Based Activities (2,318 active providers).</w:t>
      </w:r>
    </w:p>
    <w:p w14:paraId="7F9B3790" w14:textId="77777777" w:rsidR="00A167DB" w:rsidRPr="005F20F5" w:rsidRDefault="00A167DB" w:rsidP="00A167DB">
      <w:r w:rsidRPr="005F20F5">
        <w:t>In 2020-21, NDIA-managed and plan-managed participants made 2.2 million claims for groups-based supports. The total value of these supports was $726 million. Almost all of these supports (86.7%) were delivered as weekday daytime supports.</w:t>
      </w:r>
    </w:p>
    <w:p w14:paraId="00AF888D" w14:textId="77777777" w:rsidR="007667AF" w:rsidRPr="005F20F5" w:rsidRDefault="007667AF" w:rsidP="004E6B4B">
      <w:pPr>
        <w:pStyle w:val="Heading2"/>
      </w:pPr>
      <w:bookmarkStart w:id="54" w:name="_Toc85097257"/>
      <w:r w:rsidRPr="005F20F5">
        <w:t>Current arrangements</w:t>
      </w:r>
      <w:bookmarkEnd w:id="52"/>
      <w:bookmarkEnd w:id="54"/>
    </w:p>
    <w:p w14:paraId="691638CD" w14:textId="77777777" w:rsidR="00CA472D" w:rsidRPr="005F20F5" w:rsidRDefault="00CA472D" w:rsidP="005E42A5">
      <w:r w:rsidRPr="005F20F5">
        <w:t xml:space="preserve">When a support item is delivered to more than one participant at the same time (a group of participants) then, unless the </w:t>
      </w:r>
      <w:r w:rsidRPr="005F20F5">
        <w:rPr>
          <w:i/>
        </w:rPr>
        <w:t>NDIS Pricing Arrangements and Price Limits</w:t>
      </w:r>
      <w:r w:rsidRPr="005F20F5">
        <w:t xml:space="preserve"> states otherwise,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148DF76E" w14:textId="77777777" w:rsidR="00CA472D" w:rsidRPr="005F20F5" w:rsidRDefault="00CA472D" w:rsidP="00CA472D">
      <w:r w:rsidRPr="005F20F5">
        <w:t>Providers can only claim for supports that are related to the reasonable and necessary needs of a participant. Where a participant attends a group-based session then a provider should only claim for the time of more than one worker against that participant’s plan if all those workers were involved in the direct support of the participant for the time claimed.</w:t>
      </w:r>
    </w:p>
    <w:p w14:paraId="2559E591" w14:textId="77777777" w:rsidR="00CA472D" w:rsidRPr="005F20F5" w:rsidRDefault="00CA472D" w:rsidP="00CA472D">
      <w:r w:rsidRPr="005F20F5">
        <w:rPr>
          <w:rFonts w:cs="Arial"/>
        </w:rPr>
        <w:t xml:space="preserve">There are transitional arrangements in place for group-based supports in the </w:t>
      </w:r>
      <w:r w:rsidRPr="005F20F5" w:rsidDel="008B66DD">
        <w:rPr>
          <w:rFonts w:cs="Arial"/>
          <w:i/>
        </w:rPr>
        <w:t>Assistance with Social, Economic and Community Participation</w:t>
      </w:r>
      <w:r w:rsidRPr="005F20F5" w:rsidDel="008B66DD">
        <w:rPr>
          <w:rFonts w:cs="Arial"/>
        </w:rPr>
        <w:t xml:space="preserve"> </w:t>
      </w:r>
      <w:r w:rsidRPr="005F20F5">
        <w:rPr>
          <w:rFonts w:cs="Arial"/>
        </w:rPr>
        <w:t>Support Category.</w:t>
      </w:r>
      <w:r w:rsidR="00A167DB" w:rsidRPr="005F20F5">
        <w:rPr>
          <w:rFonts w:cs="Arial"/>
        </w:rPr>
        <w:t xml:space="preserve"> </w:t>
      </w:r>
      <w:r w:rsidRPr="005F20F5">
        <w:t>The transitional arrangements mean that providers delivering group or centre based supports in the Assistance with Social, Economic and Community Participation Support Category who require time to transition to the new group-based pricing arrangements set out on page 28 can choose to continue to use the pricing arrangements and support items that were in place in 2019-20.</w:t>
      </w:r>
      <w:r w:rsidR="00D32A62" w:rsidRPr="005F20F5">
        <w:t xml:space="preserve"> </w:t>
      </w:r>
      <w:r w:rsidRPr="005F20F5">
        <w:t>The transitional arrangements have price limits that are inclusive of Non-Face-to-Face Support Provision and Centre Capital Costs, and so these components cannot be claimed separately by providers using the transitional support items.</w:t>
      </w:r>
    </w:p>
    <w:p w14:paraId="04C8C4C5" w14:textId="77777777" w:rsidR="00CA472D" w:rsidRPr="005F20F5" w:rsidRDefault="00CA472D" w:rsidP="00CA472D">
      <w:r w:rsidRPr="005F20F5">
        <w:t>A provider can either continue to use the transitional pricing arrangements for group and centre based supports or they can choose to switch to the new pricing arrangements for group and centre based supports. A provider must use the same approach (transitional or new) for all the group and centre based supports that they deliver. Once a provider commences to use the new pricing arrangements they may no longer use the transitional pricing arrangements.</w:t>
      </w:r>
    </w:p>
    <w:p w14:paraId="25316BEC" w14:textId="77777777" w:rsidR="00480E87" w:rsidRPr="005F20F5" w:rsidRDefault="00CA472D" w:rsidP="00CA472D">
      <w:pPr>
        <w:pStyle w:val="Heading2"/>
      </w:pPr>
      <w:bookmarkStart w:id="55" w:name="_Toc85097258"/>
      <w:r w:rsidRPr="005F20F5">
        <w:t>Issues</w:t>
      </w:r>
      <w:bookmarkEnd w:id="55"/>
    </w:p>
    <w:p w14:paraId="7405F29B" w14:textId="77777777" w:rsidR="007667AF" w:rsidRPr="005F20F5" w:rsidRDefault="00CA472D" w:rsidP="00380CDE">
      <w:r w:rsidRPr="005F20F5">
        <w:t>Prior to 1 July 2020, the</w:t>
      </w:r>
      <w:r w:rsidR="007667AF" w:rsidRPr="005F20F5">
        <w:t xml:space="preserve"> price limit</w:t>
      </w:r>
      <w:r w:rsidRPr="005F20F5">
        <w:t>s</w:t>
      </w:r>
      <w:r w:rsidR="007667AF" w:rsidRPr="005F20F5">
        <w:t xml:space="preserve"> for community-based group supports </w:t>
      </w:r>
      <w:r w:rsidRPr="005F20F5">
        <w:t xml:space="preserve">were </w:t>
      </w:r>
      <w:r w:rsidR="007667AF" w:rsidRPr="005F20F5">
        <w:t xml:space="preserve">based on the price limit of the relevant 1:1 community participation support (for each level of support and time of day and day of week). The price limit for the relevant 1:1 support </w:t>
      </w:r>
      <w:r w:rsidRPr="005F20F5">
        <w:t>was</w:t>
      </w:r>
      <w:r w:rsidR="007667AF" w:rsidRPr="005F20F5">
        <w:t xml:space="preserve"> P then the price limit P</w:t>
      </w:r>
      <w:r w:rsidR="007667AF" w:rsidRPr="005F20F5">
        <w:rPr>
          <w:vertAlign w:val="subscript"/>
        </w:rPr>
        <w:t>n</w:t>
      </w:r>
      <w:r w:rsidR="007667AF" w:rsidRPr="005F20F5">
        <w:t xml:space="preserve"> for the 1:n community based support </w:t>
      </w:r>
      <w:r w:rsidRPr="005F20F5">
        <w:t>was:</w:t>
      </w:r>
    </w:p>
    <w:p w14:paraId="23391527" w14:textId="77777777" w:rsidR="00CA472D" w:rsidRPr="005F20F5" w:rsidRDefault="009D3AFE" w:rsidP="00380CDE">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P+(n-1)×0.12×P</m:t>
              </m:r>
            </m:num>
            <m:den>
              <m:r>
                <w:rPr>
                  <w:rFonts w:ascii="Cambria Math" w:hAnsi="Cambria Math"/>
                </w:rPr>
                <m:t>n</m:t>
              </m:r>
            </m:den>
          </m:f>
        </m:oMath>
      </m:oMathPara>
    </w:p>
    <w:p w14:paraId="5FED41EC" w14:textId="77777777" w:rsidR="00CA472D" w:rsidRPr="005F20F5" w:rsidRDefault="007667AF" w:rsidP="00380CDE">
      <w:r w:rsidRPr="005F20F5">
        <w:t>For each additional person in the group (after the first) an additional 12</w:t>
      </w:r>
      <w:r w:rsidR="003A2B76" w:rsidRPr="005F20F5">
        <w:t>%</w:t>
      </w:r>
      <w:r w:rsidRPr="005F20F5">
        <w:t xml:space="preserve"> of the 1:1 price limit (essentially seven minutes) </w:t>
      </w:r>
      <w:r w:rsidR="00CA472D" w:rsidRPr="005F20F5">
        <w:t>was</w:t>
      </w:r>
      <w:r w:rsidRPr="005F20F5">
        <w:t xml:space="preserve"> added to the price limit. This </w:t>
      </w:r>
      <w:r w:rsidR="00CA472D" w:rsidRPr="005F20F5">
        <w:t xml:space="preserve">was intended to </w:t>
      </w:r>
      <w:r w:rsidRPr="005F20F5">
        <w:t xml:space="preserve">reflect the time that the provider </w:t>
      </w:r>
      <w:r w:rsidR="00CA472D" w:rsidRPr="005F20F5">
        <w:t>might</w:t>
      </w:r>
      <w:r w:rsidRPr="005F20F5">
        <w:t xml:space="preserve"> need to spend writing a report on each participant in the group after the group has finished. Because of this built-in loading, providers of group based supports </w:t>
      </w:r>
      <w:r w:rsidR="00CA472D" w:rsidRPr="005F20F5">
        <w:t>were</w:t>
      </w:r>
      <w:r w:rsidRPr="005F20F5">
        <w:t xml:space="preserve"> not permitted to bill for non-face-to-face time. </w:t>
      </w:r>
    </w:p>
    <w:p w14:paraId="2C06E2E3" w14:textId="77777777" w:rsidR="007667AF" w:rsidRPr="005F20F5" w:rsidRDefault="00CA472D" w:rsidP="00380CDE">
      <w:r w:rsidRPr="005F20F5">
        <w:t>The 2020-21 Review considered that the pricing arrangements that were in place before 1 </w:t>
      </w:r>
      <w:r w:rsidR="00480E87" w:rsidRPr="005F20F5">
        <w:t xml:space="preserve">July 2020 </w:t>
      </w:r>
      <w:r w:rsidR="007667AF" w:rsidRPr="005F20F5">
        <w:t>provide</w:t>
      </w:r>
      <w:r w:rsidR="00480E87" w:rsidRPr="005F20F5">
        <w:t>d</w:t>
      </w:r>
      <w:r w:rsidR="007667AF" w:rsidRPr="005F20F5">
        <w:t xml:space="preserve"> an unintended incentive for larger groups. </w:t>
      </w:r>
      <w:r w:rsidRPr="005F20F5">
        <w:t>It considered that the</w:t>
      </w:r>
      <w:r w:rsidR="007667AF" w:rsidRPr="005F20F5">
        <w:t xml:space="preserve"> “built-in” allowance for non-face to face time, while possibly appropriate for supports that are only one hour long, </w:t>
      </w:r>
      <w:r w:rsidR="00480E87" w:rsidRPr="005F20F5">
        <w:t>was</w:t>
      </w:r>
      <w:r w:rsidR="007667AF" w:rsidRPr="005F20F5">
        <w:t xml:space="preserve"> not appropriate for longer support. A provider delivering a 1:5 support to five participants for four hours, for example, </w:t>
      </w:r>
      <w:r w:rsidRPr="005F20F5">
        <w:t>was</w:t>
      </w:r>
      <w:r w:rsidR="007667AF" w:rsidRPr="005F20F5">
        <w:t xml:space="preserve"> effectively paid for 5.9 hours of work, as the </w:t>
      </w:r>
      <w:r w:rsidRPr="005F20F5">
        <w:t>pricing</w:t>
      </w:r>
      <w:r w:rsidR="007667AF" w:rsidRPr="005F20F5">
        <w:t xml:space="preserve"> arrangements assume</w:t>
      </w:r>
      <w:r w:rsidRPr="005F20F5">
        <w:t>d</w:t>
      </w:r>
      <w:r w:rsidR="007667AF" w:rsidRPr="005F20F5">
        <w:t xml:space="preserve"> that they </w:t>
      </w:r>
      <w:r w:rsidRPr="005F20F5">
        <w:t>had spent</w:t>
      </w:r>
      <w:r w:rsidR="007667AF" w:rsidRPr="005F20F5">
        <w:t xml:space="preserve"> 28.8 minutes of non-face-to-face time for every participant in the group (after the first participant).</w:t>
      </w:r>
    </w:p>
    <w:p w14:paraId="1F3AE460" w14:textId="77777777" w:rsidR="003E67E2" w:rsidRPr="005F20F5" w:rsidRDefault="003E67E2" w:rsidP="00380CDE">
      <w:r w:rsidRPr="005F20F5">
        <w:t xml:space="preserve">Stakeholders had expressed concerns that the larger groups that were incentivised by the pricing arrangements were reducing the opportunity for participants to exercise choice and control and to improve outcomes by varying their activities from week to week. </w:t>
      </w:r>
    </w:p>
    <w:p w14:paraId="3157FC69" w14:textId="77777777" w:rsidR="003E67E2" w:rsidRPr="005F20F5" w:rsidRDefault="003E67E2" w:rsidP="003E67E2">
      <w:r w:rsidRPr="005F20F5">
        <w:t>The 2020-21 Annual Pricing Review considered that there was considerable merit in replacing the current group based pricing arrangements with simplified arrangements, whereby providers can claim for both direct service provision and non-face-to-face supports as they are provided. Providers would divide the number of worker hours by the number of participant hours to derive their own fractions of hours to charge participants and would claim for these hours against the 1:1 support item and subject to the standard price limit. For example, one worker to three participants for a one-hour session would be claimed as 1/3 of an hour per participant subject to the 1:1 price limit rather than as currently where the hour is claimed for each participant but subject to a reduced 1:3 price limit. Providers would also be able to bill for any non-face-to-face supports that they actually provided. Providers of centre based care would claim for the fixed capital allowance for each participant through a separate support item.</w:t>
      </w:r>
    </w:p>
    <w:p w14:paraId="177B1134" w14:textId="77777777" w:rsidR="00A167DB" w:rsidRPr="005F20F5" w:rsidRDefault="00D32A62" w:rsidP="00D32A62">
      <w:r w:rsidRPr="005F20F5">
        <w:t>Since the new arrangements were introduced some providers have raised concerns that the new arrangements had impacted on overhead costs and administrative complexity for providers and participants.</w:t>
      </w:r>
      <w:r w:rsidR="00A167DB" w:rsidRPr="005F20F5">
        <w:t xml:space="preserve"> Very few providers have transitioned to the new group based pricing arrangements. In 2020-21, only 9.2% of claims for, and 8.6% of expenditure on, group based supports were made under the new arrangements.</w:t>
      </w:r>
    </w:p>
    <w:p w14:paraId="674FAF30" w14:textId="77777777" w:rsidR="00A167DB" w:rsidRPr="005F20F5" w:rsidRDefault="00A167DB" w:rsidP="00D32A62">
      <w:r w:rsidRPr="005F20F5">
        <w:t>Of the supports claimed under the transitional arrangements:</w:t>
      </w:r>
    </w:p>
    <w:p w14:paraId="7700A039" w14:textId="78B73713" w:rsidR="00A167DB" w:rsidRPr="005F20F5" w:rsidRDefault="00071197" w:rsidP="00071197">
      <w:pPr>
        <w:numPr>
          <w:ilvl w:val="0"/>
          <w:numId w:val="5"/>
        </w:numPr>
      </w:pPr>
      <w:r w:rsidRPr="005F20F5">
        <w:t>$191 million was for 1:1 supports – these supports would have been able to be claimed identically u</w:t>
      </w:r>
      <w:r w:rsidR="00F17CD8" w:rsidRPr="005F20F5">
        <w:t>nder the new arrangements; and</w:t>
      </w:r>
    </w:p>
    <w:p w14:paraId="6E0F981A" w14:textId="77777777" w:rsidR="00071197" w:rsidRPr="005F20F5" w:rsidRDefault="00071197" w:rsidP="00071197">
      <w:pPr>
        <w:numPr>
          <w:ilvl w:val="0"/>
          <w:numId w:val="5"/>
        </w:numPr>
      </w:pPr>
      <w:r w:rsidRPr="005F20F5">
        <w:t>$59 million was for 1:4 or higher ratio supports.</w:t>
      </w:r>
    </w:p>
    <w:p w14:paraId="674AFEC6" w14:textId="77777777" w:rsidR="00A32E1E" w:rsidRPr="005F20F5" w:rsidRDefault="00A32E1E" w:rsidP="00A32E1E">
      <w:pPr>
        <w:pStyle w:val="Heading2"/>
      </w:pPr>
      <w:bookmarkStart w:id="56" w:name="_Ref24369119"/>
      <w:bookmarkStart w:id="57" w:name="_Toc25182177"/>
      <w:bookmarkStart w:id="58" w:name="_Toc85097259"/>
      <w:r w:rsidRPr="005F20F5">
        <w:t>Call for submissions</w:t>
      </w:r>
      <w:bookmarkEnd w:id="58"/>
    </w:p>
    <w:p w14:paraId="431CF055" w14:textId="77777777" w:rsidR="00A32E1E" w:rsidRPr="005F20F5" w:rsidRDefault="00A32E1E" w:rsidP="00A32E1E">
      <w:r w:rsidRPr="005F20F5">
        <w:t xml:space="preserve">The 2021-22 Annual Pricing Review is seeking the views of stakeholders on </w:t>
      </w:r>
      <w:r w:rsidR="00D32A62" w:rsidRPr="005F20F5">
        <w:t>these issues.</w:t>
      </w:r>
    </w:p>
    <w:tbl>
      <w:tblPr>
        <w:tblStyle w:val="GUIDEQUESTION"/>
        <w:tblW w:w="0" w:type="auto"/>
        <w:tblLook w:val="04A0" w:firstRow="1" w:lastRow="0" w:firstColumn="1" w:lastColumn="0" w:noHBand="0" w:noVBand="1"/>
        <w:tblCaption w:val="Guide questions"/>
        <w:tblDescription w:val="3 questions to consider for the APR"/>
      </w:tblPr>
      <w:tblGrid>
        <w:gridCol w:w="9017"/>
      </w:tblGrid>
      <w:tr w:rsidR="00A32E1E" w:rsidRPr="005F20F5" w14:paraId="2C7ED0BA" w14:textId="77777777" w:rsidTr="003D1C27">
        <w:trPr>
          <w:tblHeader/>
        </w:trPr>
        <w:tc>
          <w:tcPr>
            <w:tcW w:w="9017" w:type="dxa"/>
          </w:tcPr>
          <w:p w14:paraId="483CD721" w14:textId="77777777" w:rsidR="00A32E1E" w:rsidRPr="005F20F5" w:rsidRDefault="00A32E1E" w:rsidP="00CA472D">
            <w:pPr>
              <w:spacing w:before="160" w:after="160" w:line="320" w:lineRule="atLeast"/>
              <w:jc w:val="center"/>
              <w:rPr>
                <w:b/>
              </w:rPr>
            </w:pPr>
            <w:r w:rsidRPr="005F20F5">
              <w:rPr>
                <w:b/>
              </w:rPr>
              <w:t>Guide Questions</w:t>
            </w:r>
          </w:p>
          <w:p w14:paraId="6115D631" w14:textId="77777777" w:rsidR="00A32E1E" w:rsidRPr="005F20F5" w:rsidRDefault="00295C13" w:rsidP="00D75A91">
            <w:pPr>
              <w:pStyle w:val="QUESTION"/>
            </w:pPr>
            <w:r w:rsidRPr="005F20F5">
              <w:t>Have</w:t>
            </w:r>
            <w:r w:rsidR="00A32E1E" w:rsidRPr="005F20F5">
              <w:t xml:space="preserve"> the new pricing arrangements for group based community participation supports that were introduced on 1 July 2020</w:t>
            </w:r>
            <w:r w:rsidRPr="005F20F5">
              <w:t xml:space="preserve"> increased </w:t>
            </w:r>
            <w:r w:rsidR="00A32E1E" w:rsidRPr="005F20F5">
              <w:t>overhead costs and administrative complexity</w:t>
            </w:r>
            <w:r w:rsidR="00D32A62" w:rsidRPr="005F20F5">
              <w:t xml:space="preserve"> for providers and participants?</w:t>
            </w:r>
            <w:r w:rsidR="00A32E1E" w:rsidRPr="005F20F5">
              <w:t xml:space="preserve"> If yes, </w:t>
            </w:r>
            <w:r w:rsidRPr="005F20F5">
              <w:t xml:space="preserve">why and by how much? </w:t>
            </w:r>
            <w:r w:rsidR="00A32E1E" w:rsidRPr="005F20F5">
              <w:t>Please provide evidence.</w:t>
            </w:r>
          </w:p>
          <w:p w14:paraId="1DC70166" w14:textId="77777777" w:rsidR="00295C13" w:rsidRPr="005F20F5" w:rsidRDefault="00295C13" w:rsidP="00D75A91">
            <w:pPr>
              <w:pStyle w:val="QUESTION"/>
            </w:pPr>
            <w:r w:rsidRPr="005F20F5">
              <w:t xml:space="preserve">How well do group programs provide for individual choice and control? How can their pricing arrangements </w:t>
            </w:r>
            <w:r w:rsidR="00004224" w:rsidRPr="005F20F5">
              <w:t xml:space="preserve">for group supports </w:t>
            </w:r>
            <w:r w:rsidRPr="005F20F5">
              <w:t>be changed to improve participant outcomes?</w:t>
            </w:r>
          </w:p>
          <w:p w14:paraId="768D7999" w14:textId="77777777" w:rsidR="00A32E1E" w:rsidRPr="005F20F5" w:rsidRDefault="00A32E1E" w:rsidP="00D75A91">
            <w:pPr>
              <w:pStyle w:val="QUESTION"/>
            </w:pPr>
            <w:r w:rsidRPr="005F20F5">
              <w:t>Are there any other issues with the price limits for group based core supports?</w:t>
            </w:r>
          </w:p>
        </w:tc>
      </w:tr>
    </w:tbl>
    <w:p w14:paraId="181A4A03" w14:textId="77777777" w:rsidR="00A32E1E" w:rsidRPr="005F20F5" w:rsidRDefault="00A32E1E" w:rsidP="00380CDE">
      <w:pPr>
        <w:sectPr w:rsidR="00A32E1E" w:rsidRPr="005F20F5" w:rsidSect="00872AF9">
          <w:pgSz w:w="11907" w:h="16839" w:code="9"/>
          <w:pgMar w:top="1440" w:right="1440" w:bottom="1440" w:left="1440" w:header="709" w:footer="709" w:gutter="0"/>
          <w:cols w:space="708"/>
          <w:titlePg/>
          <w:docGrid w:linePitch="360"/>
        </w:sectPr>
      </w:pPr>
    </w:p>
    <w:p w14:paraId="439611C8" w14:textId="77777777" w:rsidR="007667AF" w:rsidRPr="005F20F5" w:rsidRDefault="007667AF" w:rsidP="00380CDE">
      <w:pPr>
        <w:pStyle w:val="Heading1"/>
      </w:pPr>
      <w:bookmarkStart w:id="59" w:name="_Toc85097260"/>
      <w:r w:rsidRPr="005F20F5">
        <w:t>T</w:t>
      </w:r>
      <w:r w:rsidR="003F2371" w:rsidRPr="005F20F5">
        <w:t>emporary Transformation Payment</w:t>
      </w:r>
      <w:bookmarkEnd w:id="59"/>
    </w:p>
    <w:p w14:paraId="6F350470" w14:textId="77777777" w:rsidR="007667AF" w:rsidRPr="005F20F5" w:rsidRDefault="00D32A62" w:rsidP="005E42A5">
      <w:r w:rsidRPr="005F20F5">
        <w:t>The 2021-22 Annual Pricing Review is required by its Terms of Reference to r</w:t>
      </w:r>
      <w:r w:rsidR="007667AF" w:rsidRPr="005F20F5">
        <w:t>eview the pricing arrangements and price limits for core supports, by examining the extent to which the Temporary Transformation Payment arrangements have achieved their purpose and continue to provide value for money.</w:t>
      </w:r>
    </w:p>
    <w:p w14:paraId="5FF83445" w14:textId="77777777" w:rsidR="007667AF" w:rsidRPr="005F20F5" w:rsidRDefault="00E91117" w:rsidP="004E6B4B">
      <w:pPr>
        <w:pStyle w:val="Heading2"/>
      </w:pPr>
      <w:bookmarkStart w:id="60" w:name="_Toc85097261"/>
      <w:r w:rsidRPr="005F20F5">
        <w:t>Background</w:t>
      </w:r>
      <w:bookmarkEnd w:id="60"/>
    </w:p>
    <w:p w14:paraId="4FFA375F" w14:textId="77777777" w:rsidR="007667AF" w:rsidRPr="005F20F5" w:rsidRDefault="007667AF" w:rsidP="00380CDE">
      <w:r w:rsidRPr="005F20F5">
        <w:t>The Temporar</w:t>
      </w:r>
      <w:r w:rsidR="00EC4726" w:rsidRPr="005F20F5">
        <w:t>y Transformation Payment (TTP) l</w:t>
      </w:r>
      <w:r w:rsidRPr="005F20F5">
        <w:t>oading was introduced on 1 July 2019 to assist providers to continue transforming their businesses in the move towards a more competitive marketplace. It applies to 149 support items in the Assistance with Daily Activities and Community Participation Support Categories. It is estimated that these items account</w:t>
      </w:r>
      <w:r w:rsidR="006A00F6" w:rsidRPr="005F20F5">
        <w:t>ed</w:t>
      </w:r>
      <w:r w:rsidRPr="005F20F5">
        <w:t xml:space="preserve"> for about $3.8 billion of Scheme expenditure in 2020-21.</w:t>
      </w:r>
    </w:p>
    <w:p w14:paraId="4D2B1E76" w14:textId="77777777" w:rsidR="00E91117" w:rsidRPr="005F20F5" w:rsidRDefault="00E91117" w:rsidP="00E91117">
      <w:pPr>
        <w:pStyle w:val="Heading2"/>
      </w:pPr>
      <w:bookmarkStart w:id="61" w:name="_Toc85097262"/>
      <w:r w:rsidRPr="005F20F5">
        <w:t>Current arrangements</w:t>
      </w:r>
      <w:bookmarkEnd w:id="61"/>
    </w:p>
    <w:p w14:paraId="0A3C84BD" w14:textId="77777777" w:rsidR="007667AF" w:rsidRPr="005F20F5" w:rsidRDefault="007667AF" w:rsidP="00380CDE">
      <w:r w:rsidRPr="005F20F5">
        <w:t>Providers wh</w:t>
      </w:r>
      <w:r w:rsidR="00E91117" w:rsidRPr="005F20F5">
        <w:t xml:space="preserve">o meet certain conditions </w:t>
      </w:r>
      <w:r w:rsidRPr="005F20F5">
        <w:t>have access to higher price limits than other providers, with the higher price limit for each support item determined by adding the TTP loading to the usual price limit for the support item. The TTP eligibility conditions are that:</w:t>
      </w:r>
    </w:p>
    <w:p w14:paraId="4EBD0167" w14:textId="77777777" w:rsidR="007667AF" w:rsidRPr="005F20F5" w:rsidRDefault="007667AF" w:rsidP="005E42A5">
      <w:pPr>
        <w:pStyle w:val="ListParagraph"/>
        <w:numPr>
          <w:ilvl w:val="0"/>
          <w:numId w:val="32"/>
        </w:numPr>
      </w:pPr>
      <w:r w:rsidRPr="005F20F5">
        <w:t>the provider publish their service prices;</w:t>
      </w:r>
    </w:p>
    <w:p w14:paraId="43EBB5D8" w14:textId="77777777" w:rsidR="007667AF" w:rsidRPr="005F20F5" w:rsidRDefault="007667AF" w:rsidP="005E42A5">
      <w:pPr>
        <w:pStyle w:val="ListParagraph"/>
        <w:numPr>
          <w:ilvl w:val="0"/>
          <w:numId w:val="32"/>
        </w:numPr>
      </w:pPr>
      <w:r w:rsidRPr="005F20F5">
        <w:t>the provider list their business contact details in the Provider Finder and ensure those details are kept up-to-date; and</w:t>
      </w:r>
    </w:p>
    <w:p w14:paraId="44ABE8C0" w14:textId="77777777" w:rsidR="007667AF" w:rsidRPr="005F20F5" w:rsidRDefault="007667AF" w:rsidP="005E42A5">
      <w:pPr>
        <w:pStyle w:val="ListParagraph"/>
        <w:numPr>
          <w:ilvl w:val="0"/>
          <w:numId w:val="32"/>
        </w:numPr>
      </w:pPr>
      <w:r w:rsidRPr="005F20F5">
        <w:t>the provider participate annually in an approved market benchmarking survey.</w:t>
      </w:r>
    </w:p>
    <w:p w14:paraId="120CD9F5" w14:textId="77777777" w:rsidR="007667AF" w:rsidRPr="005F20F5" w:rsidRDefault="007667AF" w:rsidP="00380CDE">
      <w:r w:rsidRPr="005F20F5">
        <w:t>The loading was initially set at 7.5%. It was redu</w:t>
      </w:r>
      <w:r w:rsidR="00E91117" w:rsidRPr="005F20F5">
        <w:t xml:space="preserve">ced to 6% on 1 July 2020 and </w:t>
      </w:r>
      <w:r w:rsidRPr="005F20F5">
        <w:t xml:space="preserve">to </w:t>
      </w:r>
      <w:r w:rsidR="00E91117" w:rsidRPr="005F20F5">
        <w:t xml:space="preserve">4.5% on 1 July 2021. It is scheduled to be further reduced to </w:t>
      </w:r>
      <w:r w:rsidRPr="005F20F5">
        <w:t xml:space="preserve">3% </w:t>
      </w:r>
      <w:r w:rsidR="00E91117" w:rsidRPr="005F20F5">
        <w:t xml:space="preserve">on 1 July 2022 and to 1.5% on 1 July 2023. The </w:t>
      </w:r>
      <w:r w:rsidRPr="005F20F5">
        <w:t>loading will not apply from 1 July 2024.</w:t>
      </w:r>
    </w:p>
    <w:p w14:paraId="12123511" w14:textId="77777777" w:rsidR="007667AF" w:rsidRPr="005F20F5" w:rsidRDefault="006A00F6" w:rsidP="006A00F6">
      <w:pPr>
        <w:pStyle w:val="Heading2"/>
      </w:pPr>
      <w:bookmarkStart w:id="62" w:name="_Toc85097263"/>
      <w:r w:rsidRPr="005F20F5">
        <w:t>Issues</w:t>
      </w:r>
      <w:bookmarkEnd w:id="62"/>
    </w:p>
    <w:p w14:paraId="5F8A9555" w14:textId="77777777" w:rsidR="005B6716" w:rsidRPr="005F20F5" w:rsidRDefault="005B6716" w:rsidP="005B6716">
      <w:pPr>
        <w:rPr>
          <w:rFonts w:asciiTheme="minorHAnsi" w:eastAsiaTheme="minorHAnsi" w:hAnsiTheme="minorHAnsi"/>
          <w:szCs w:val="22"/>
          <w:lang w:eastAsia="en-US"/>
        </w:rPr>
      </w:pPr>
      <w:r w:rsidRPr="005F20F5">
        <w:t>The NDIS Pricing Strategy is best understood in terms of four different concepts of pricing:</w:t>
      </w:r>
    </w:p>
    <w:p w14:paraId="628FB4A5" w14:textId="0F01E566" w:rsidR="005B6716" w:rsidRPr="005F20F5" w:rsidRDefault="005B6716" w:rsidP="005B6716">
      <w:pPr>
        <w:pStyle w:val="ListParagraph"/>
        <w:numPr>
          <w:ilvl w:val="0"/>
          <w:numId w:val="43"/>
        </w:numPr>
        <w:jc w:val="both"/>
      </w:pPr>
      <w:r w:rsidRPr="005F20F5">
        <w:rPr>
          <w:b/>
        </w:rPr>
        <w:t>Efficient price levels</w:t>
      </w:r>
      <w:r w:rsidRPr="005F20F5">
        <w:t xml:space="preserve"> – Price levels that represent the long run minimum cost of production. Sufficient </w:t>
      </w:r>
      <w:r w:rsidR="002E59DD" w:rsidRPr="005F20F5">
        <w:t xml:space="preserve">supply </w:t>
      </w:r>
      <w:r w:rsidRPr="005F20F5">
        <w:t>at efficient price level is only expected to be achievable in the long run in mature markets, with strong competition between providers.</w:t>
      </w:r>
    </w:p>
    <w:p w14:paraId="3E1204D2" w14:textId="77777777" w:rsidR="005B6716" w:rsidRPr="005F20F5" w:rsidRDefault="005B6716" w:rsidP="005B6716">
      <w:pPr>
        <w:pStyle w:val="ListParagraph"/>
        <w:numPr>
          <w:ilvl w:val="0"/>
          <w:numId w:val="43"/>
        </w:numPr>
        <w:jc w:val="both"/>
      </w:pPr>
      <w:r w:rsidRPr="005F20F5">
        <w:rPr>
          <w:b/>
        </w:rPr>
        <w:t>Sustainable price levels</w:t>
      </w:r>
      <w:r w:rsidRPr="005F20F5">
        <w:t xml:space="preserve"> – Price levels that represent, at a given time, the price at which the average current firm is viable (even if inefficient). In the short term, prices at or above sustainable levels are required to ensure that current supply levels remain stable and providers with costs somewhat above the most efficient level remain viable. </w:t>
      </w:r>
    </w:p>
    <w:p w14:paraId="544FAED3" w14:textId="77777777" w:rsidR="005B6716" w:rsidRPr="005F20F5" w:rsidRDefault="005B6716" w:rsidP="005B6716">
      <w:pPr>
        <w:pStyle w:val="ListParagraph"/>
        <w:numPr>
          <w:ilvl w:val="0"/>
          <w:numId w:val="43"/>
        </w:numPr>
        <w:jc w:val="both"/>
      </w:pPr>
      <w:r w:rsidRPr="005F20F5">
        <w:rPr>
          <w:b/>
        </w:rPr>
        <w:t>Transitional price levels</w:t>
      </w:r>
      <w:r w:rsidRPr="005F20F5">
        <w:t xml:space="preserve"> – Price levels that represent, at a given time, the price necessary to attract new providers to enter the market or to reduce exits from the market. Transitional price levels represent the price required to attract economic resources from other parts of the economy to expand provider supply.. </w:t>
      </w:r>
    </w:p>
    <w:p w14:paraId="0FF2B9E2" w14:textId="77777777" w:rsidR="005B6716" w:rsidRPr="005F20F5" w:rsidRDefault="005B6716" w:rsidP="005B6716">
      <w:pPr>
        <w:pStyle w:val="ListParagraph"/>
        <w:numPr>
          <w:ilvl w:val="0"/>
          <w:numId w:val="43"/>
        </w:numPr>
        <w:jc w:val="both"/>
      </w:pPr>
      <w:r w:rsidRPr="005F20F5">
        <w:rPr>
          <w:b/>
        </w:rPr>
        <w:t>Price caps</w:t>
      </w:r>
      <w:r w:rsidRPr="005F20F5">
        <w:t xml:space="preserve"> – Upper limits on prices, used to reduce the potential exercise of market power.</w:t>
      </w:r>
    </w:p>
    <w:p w14:paraId="6DD1D5C9" w14:textId="30C5BFE7" w:rsidR="005B6716" w:rsidRPr="005F20F5" w:rsidRDefault="005B6716" w:rsidP="005B6716">
      <w:r w:rsidRPr="005F20F5">
        <w:t xml:space="preserve">Schematically, the efficient cost in the Scheme </w:t>
      </w:r>
      <w:r w:rsidR="000A2131" w:rsidRPr="005F20F5">
        <w:t>is</w:t>
      </w:r>
      <w:r w:rsidRPr="005F20F5">
        <w:t xml:space="preserve"> expected to follow the trajectory of the red arrow in </w:t>
      </w:r>
      <w:r w:rsidRPr="005F20F5">
        <w:fldChar w:fldCharType="begin"/>
      </w:r>
      <w:r w:rsidRPr="005F20F5">
        <w:instrText xml:space="preserve"> REF _Ref83302571 \h  \* MERGEFORMAT </w:instrText>
      </w:r>
      <w:r w:rsidRPr="005F20F5">
        <w:fldChar w:fldCharType="separate"/>
      </w:r>
      <w:r w:rsidR="009D3AFE" w:rsidRPr="005F20F5">
        <w:t xml:space="preserve">Exhibit </w:t>
      </w:r>
      <w:r w:rsidR="009D3AFE">
        <w:rPr>
          <w:noProof/>
        </w:rPr>
        <w:t>9</w:t>
      </w:r>
      <w:r w:rsidRPr="005F20F5">
        <w:fldChar w:fldCharType="end"/>
      </w:r>
      <w:r w:rsidRPr="005F20F5">
        <w:t xml:space="preserve">, while the average cost was expected to follow the green arrow. </w:t>
      </w:r>
    </w:p>
    <w:p w14:paraId="26037330" w14:textId="5E9E5924" w:rsidR="005B6716" w:rsidRPr="005F20F5" w:rsidRDefault="005B6716" w:rsidP="00324822">
      <w:pPr>
        <w:pStyle w:val="Caption"/>
      </w:pPr>
      <w:bookmarkStart w:id="63" w:name="_Ref83302571"/>
      <w:r w:rsidRPr="005F20F5">
        <w:t xml:space="preserve">Exhibit </w:t>
      </w:r>
      <w:r w:rsidR="009D3AFE">
        <w:fldChar w:fldCharType="begin"/>
      </w:r>
      <w:r w:rsidR="009D3AFE">
        <w:instrText xml:space="preserve"> SEQ Exhibit \* ARABIC </w:instrText>
      </w:r>
      <w:r w:rsidR="009D3AFE">
        <w:fldChar w:fldCharType="separate"/>
      </w:r>
      <w:r w:rsidR="009D3AFE">
        <w:rPr>
          <w:noProof/>
        </w:rPr>
        <w:t>9</w:t>
      </w:r>
      <w:r w:rsidR="009D3AFE">
        <w:rPr>
          <w:noProof/>
        </w:rPr>
        <w:fldChar w:fldCharType="end"/>
      </w:r>
      <w:bookmarkEnd w:id="63"/>
      <w:r w:rsidRPr="005F20F5">
        <w:t>: Transition Path for Efficient Costs</w:t>
      </w:r>
    </w:p>
    <w:p w14:paraId="6D66B2F4" w14:textId="77777777" w:rsidR="005B6716" w:rsidRPr="005F20F5" w:rsidRDefault="005B6716" w:rsidP="00324822">
      <w:pPr>
        <w:jc w:val="center"/>
      </w:pPr>
      <w:r w:rsidRPr="005F20F5">
        <w:rPr>
          <w:noProof/>
          <w:lang w:eastAsia="en-AU"/>
        </w:rPr>
        <w:drawing>
          <wp:inline distT="0" distB="0" distL="0" distR="0" wp14:anchorId="0D4269B4" wp14:editId="6C554D8E">
            <wp:extent cx="4320000" cy="2592000"/>
            <wp:effectExtent l="0" t="0" r="0" b="0"/>
            <wp:docPr id="2" name="Picture 2" descr="Line graph outlining the path for efficient costs&#10;" title="EXHIBIT 9: TRANSITION PATH FOR EFFICIENT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0000" cy="2592000"/>
                    </a:xfrm>
                    <a:prstGeom prst="rect">
                      <a:avLst/>
                    </a:prstGeom>
                    <a:noFill/>
                    <a:ln>
                      <a:noFill/>
                    </a:ln>
                  </pic:spPr>
                </pic:pic>
              </a:graphicData>
            </a:graphic>
          </wp:inline>
        </w:drawing>
      </w:r>
    </w:p>
    <w:p w14:paraId="17EC3587" w14:textId="77777777" w:rsidR="005B6716" w:rsidRPr="005F20F5" w:rsidRDefault="005B6716" w:rsidP="000A2131">
      <w:r w:rsidRPr="005F20F5">
        <w:t>The TTP loading on the price limit was intended to allow the price limit to gradually move from the green path to the red path in order to balance the drive to efficiency and the maintenance of supply.</w:t>
      </w:r>
      <w:r w:rsidR="000A2131" w:rsidRPr="005F20F5">
        <w:t xml:space="preserve"> </w:t>
      </w:r>
      <w:r w:rsidRPr="005F20F5">
        <w:t>The level of the Loading was initially set at an amount equal to the difference between the estimated efficient cost of delivery and the observed average cost of delivery. It was intended to be reduced over</w:t>
      </w:r>
      <w:r w:rsidR="002E59DD" w:rsidRPr="005F20F5">
        <w:t xml:space="preserve"> </w:t>
      </w:r>
      <w:r w:rsidRPr="005F20F5">
        <w:t>time to provide an incentive for increasing efficiency while recognising that existing supply needed to be maintained and provided an opportunity to become more efficient given the grown nature of the Scheme.</w:t>
      </w:r>
    </w:p>
    <w:p w14:paraId="5BCE2B52" w14:textId="20D31CBF" w:rsidR="007667AF" w:rsidRPr="005F20F5" w:rsidRDefault="000A2131" w:rsidP="000A2131">
      <w:r w:rsidRPr="005F20F5">
        <w:t>In 2020-21, more</w:t>
      </w:r>
      <w:r w:rsidR="006A00F6" w:rsidRPr="005F20F5">
        <w:t xml:space="preserve"> than half of all expenditure on supports that are eligible for the Temporary Transformation Payment Loading are being claimed at a price that is at or below the base price limit (without the loading). This suggests that average costs in the sector have reduced significantly in the last few years, as providers no longer need to use the loading to lif</w:t>
      </w:r>
      <w:r w:rsidR="00E25106" w:rsidRPr="005F20F5">
        <w:t>t</w:t>
      </w:r>
      <w:r w:rsidR="006A00F6" w:rsidRPr="005F20F5">
        <w:t xml:space="preserve"> their </w:t>
      </w:r>
      <w:r w:rsidR="00B334DC" w:rsidRPr="005F20F5">
        <w:t>price above the efficient level, or that the cost of accessing the Temporary Transformation Payment loading outweighs the benefit of maintaining eligibility.</w:t>
      </w:r>
      <w:r w:rsidRPr="005F20F5">
        <w:t xml:space="preserve"> </w:t>
      </w:r>
    </w:p>
    <w:p w14:paraId="0F60DA3C" w14:textId="3D7032BD" w:rsidR="00480E87" w:rsidRPr="005F20F5" w:rsidRDefault="006A00F6" w:rsidP="00380CDE">
      <w:r w:rsidRPr="005F20F5">
        <w:t xml:space="preserve">It is therefore </w:t>
      </w:r>
      <w:r w:rsidR="002E59DD" w:rsidRPr="005F20F5">
        <w:t xml:space="preserve">a matter for discussion as to </w:t>
      </w:r>
      <w:r w:rsidRPr="005F20F5">
        <w:t>whether the Temporary Transformation Payment Arrangements</w:t>
      </w:r>
      <w:r w:rsidR="00B334DC" w:rsidRPr="005F20F5">
        <w:t>, and the eligibility requirements for providers to be able to access the payment set by the NDIA,</w:t>
      </w:r>
      <w:r w:rsidRPr="005F20F5">
        <w:t xml:space="preserve"> continue to provide value for money for participants, as supply </w:t>
      </w:r>
      <w:r w:rsidR="00F91A46" w:rsidRPr="005F20F5">
        <w:t>may be</w:t>
      </w:r>
      <w:r w:rsidRPr="005F20F5">
        <w:t xml:space="preserve"> being maintained without access to the loading.</w:t>
      </w:r>
    </w:p>
    <w:p w14:paraId="11A0E36D" w14:textId="77777777" w:rsidR="005E42A5" w:rsidRPr="005F20F5" w:rsidRDefault="005E42A5" w:rsidP="005E42A5">
      <w:pPr>
        <w:pStyle w:val="Heading2"/>
      </w:pPr>
      <w:bookmarkStart w:id="64" w:name="_Toc85097264"/>
      <w:r w:rsidRPr="005F20F5">
        <w:t>Call for submissions</w:t>
      </w:r>
      <w:bookmarkEnd w:id="64"/>
    </w:p>
    <w:p w14:paraId="644185D7" w14:textId="77777777" w:rsidR="005E42A5" w:rsidRPr="005F20F5" w:rsidRDefault="005E42A5" w:rsidP="005E42A5">
      <w:r w:rsidRPr="005F20F5">
        <w:t>The 2021-22 Annual Pricing Review is seeking the views of stakeholders on these issues.</w:t>
      </w:r>
    </w:p>
    <w:tbl>
      <w:tblPr>
        <w:tblStyle w:val="GUIDEQUESTION"/>
        <w:tblW w:w="0" w:type="auto"/>
        <w:tblLook w:val="04A0" w:firstRow="1" w:lastRow="0" w:firstColumn="1" w:lastColumn="0" w:noHBand="0" w:noVBand="1"/>
        <w:tblCaption w:val="Guide questions"/>
        <w:tblDescription w:val="2 questions to consider for the APR"/>
      </w:tblPr>
      <w:tblGrid>
        <w:gridCol w:w="9017"/>
      </w:tblGrid>
      <w:tr w:rsidR="005E42A5" w:rsidRPr="005F20F5" w14:paraId="26964AA0" w14:textId="77777777" w:rsidTr="003D1C27">
        <w:trPr>
          <w:tblHeader/>
        </w:trPr>
        <w:tc>
          <w:tcPr>
            <w:tcW w:w="9017" w:type="dxa"/>
          </w:tcPr>
          <w:p w14:paraId="40B8809E" w14:textId="77777777" w:rsidR="005E42A5" w:rsidRPr="005F20F5" w:rsidRDefault="005E42A5" w:rsidP="005E42A5">
            <w:pPr>
              <w:spacing w:before="160" w:after="160" w:line="320" w:lineRule="atLeast"/>
              <w:jc w:val="center"/>
              <w:rPr>
                <w:b/>
              </w:rPr>
            </w:pPr>
            <w:r w:rsidRPr="005F20F5">
              <w:rPr>
                <w:b/>
              </w:rPr>
              <w:t>Guide Questions</w:t>
            </w:r>
          </w:p>
          <w:p w14:paraId="012AFC61" w14:textId="77777777" w:rsidR="005E42A5" w:rsidRPr="005F20F5" w:rsidRDefault="005E42A5" w:rsidP="005E42A5">
            <w:pPr>
              <w:pStyle w:val="QUESTION"/>
            </w:pPr>
            <w:r w:rsidRPr="005F20F5">
              <w:t>To what extent have the Temporary Transformation Payment arrangements achieved their purpose?</w:t>
            </w:r>
          </w:p>
          <w:p w14:paraId="6920B395" w14:textId="77777777" w:rsidR="005E42A5" w:rsidRPr="005F20F5" w:rsidRDefault="005E42A5" w:rsidP="005E42A5">
            <w:pPr>
              <w:pStyle w:val="QUESTION"/>
            </w:pPr>
            <w:r w:rsidRPr="005F20F5">
              <w:t>Do the Temporary Transformation Payment arrangements continue to provide value for money?</w:t>
            </w:r>
          </w:p>
        </w:tc>
      </w:tr>
    </w:tbl>
    <w:p w14:paraId="6EB9A5DA" w14:textId="77777777" w:rsidR="005E42A5" w:rsidRPr="005F20F5" w:rsidRDefault="005E42A5" w:rsidP="00380CDE">
      <w:pPr>
        <w:sectPr w:rsidR="005E42A5" w:rsidRPr="005F20F5" w:rsidSect="00872AF9">
          <w:pgSz w:w="11907" w:h="16839" w:code="9"/>
          <w:pgMar w:top="1440" w:right="1440" w:bottom="1440" w:left="1440" w:header="709" w:footer="709" w:gutter="0"/>
          <w:cols w:space="708"/>
          <w:titlePg/>
          <w:docGrid w:linePitch="360"/>
        </w:sectPr>
      </w:pPr>
    </w:p>
    <w:p w14:paraId="631C9235" w14:textId="77777777" w:rsidR="007667AF" w:rsidRPr="005F20F5" w:rsidRDefault="00C6107F" w:rsidP="00380CDE">
      <w:pPr>
        <w:pStyle w:val="Heading1"/>
      </w:pPr>
      <w:bookmarkStart w:id="65" w:name="_Toc85097265"/>
      <w:r w:rsidRPr="005F20F5">
        <w:t>Therapy</w:t>
      </w:r>
      <w:r w:rsidR="007667AF" w:rsidRPr="005F20F5">
        <w:t xml:space="preserve"> Supports</w:t>
      </w:r>
      <w:bookmarkEnd w:id="56"/>
      <w:bookmarkEnd w:id="57"/>
      <w:bookmarkEnd w:id="65"/>
    </w:p>
    <w:p w14:paraId="5A21D863" w14:textId="7EB2D109" w:rsidR="007667AF" w:rsidRPr="005F20F5" w:rsidRDefault="00B57DDA" w:rsidP="00C6107F">
      <w:r w:rsidRPr="005F20F5">
        <w:t xml:space="preserve">The </w:t>
      </w:r>
      <w:r w:rsidR="007A0655" w:rsidRPr="005F20F5">
        <w:t xml:space="preserve">2021-22 </w:t>
      </w:r>
      <w:r w:rsidRPr="005F20F5">
        <w:t xml:space="preserve">Annual Pricing </w:t>
      </w:r>
      <w:r w:rsidR="007667AF" w:rsidRPr="005F20F5">
        <w:t xml:space="preserve">Review </w:t>
      </w:r>
      <w:r w:rsidRPr="005F20F5">
        <w:t xml:space="preserve">is required by its Terms of Reference to review </w:t>
      </w:r>
      <w:r w:rsidR="007667AF" w:rsidRPr="005F20F5">
        <w:t>the pricing arrangements for therapy and nursing supports, including whether the NDIS pricing arrangements are appropriately aligned with those in comparable Australian Government and state schemes, and with the private market for therapy supports</w:t>
      </w:r>
      <w:r w:rsidR="00F91A46" w:rsidRPr="005F20F5">
        <w:t>.</w:t>
      </w:r>
    </w:p>
    <w:p w14:paraId="5F7745B3" w14:textId="77777777" w:rsidR="007667AF" w:rsidRPr="005F20F5" w:rsidRDefault="000A00F0" w:rsidP="004E6B4B">
      <w:pPr>
        <w:pStyle w:val="Heading2"/>
      </w:pPr>
      <w:bookmarkStart w:id="66" w:name="_Toc85097266"/>
      <w:r w:rsidRPr="005F20F5">
        <w:t>Background</w:t>
      </w:r>
      <w:bookmarkEnd w:id="66"/>
    </w:p>
    <w:p w14:paraId="7DB9C7E7" w14:textId="77777777" w:rsidR="007667AF" w:rsidRPr="005F20F5" w:rsidRDefault="007667AF" w:rsidP="00380CDE">
      <w:r w:rsidRPr="005F20F5">
        <w:rPr>
          <w:szCs w:val="22"/>
        </w:rPr>
        <w:t xml:space="preserve">Therapy services are among the crucial supports available to NDIS participants, </w:t>
      </w:r>
      <w:r w:rsidR="00B57DDA" w:rsidRPr="005F20F5">
        <w:rPr>
          <w:szCs w:val="22"/>
        </w:rPr>
        <w:t xml:space="preserve">including services delivered by </w:t>
      </w:r>
      <w:r w:rsidRPr="005F20F5">
        <w:t>Art therapists</w:t>
      </w:r>
      <w:r w:rsidR="00B57DDA" w:rsidRPr="005F20F5">
        <w:t xml:space="preserve">, </w:t>
      </w:r>
      <w:r w:rsidRPr="005F20F5">
        <w:t>Audiologists</w:t>
      </w:r>
      <w:r w:rsidR="00B57DDA" w:rsidRPr="005F20F5">
        <w:t xml:space="preserve">, </w:t>
      </w:r>
      <w:r w:rsidRPr="005F20F5">
        <w:t>Audiometrists</w:t>
      </w:r>
      <w:r w:rsidR="00B57DDA" w:rsidRPr="005F20F5">
        <w:t xml:space="preserve">, </w:t>
      </w:r>
      <w:r w:rsidRPr="005F20F5">
        <w:t>Counsellors</w:t>
      </w:r>
      <w:r w:rsidR="00B57DDA" w:rsidRPr="005F20F5">
        <w:t xml:space="preserve">, </w:t>
      </w:r>
      <w:r w:rsidRPr="005F20F5">
        <w:t>Developmental educators</w:t>
      </w:r>
      <w:r w:rsidR="00B57DDA" w:rsidRPr="005F20F5">
        <w:t xml:space="preserve">, </w:t>
      </w:r>
      <w:r w:rsidRPr="005F20F5">
        <w:t>Dieticians</w:t>
      </w:r>
      <w:r w:rsidR="00B57DDA" w:rsidRPr="005F20F5">
        <w:t xml:space="preserve">, </w:t>
      </w:r>
      <w:r w:rsidRPr="005F20F5">
        <w:t>Exercise Physiologists</w:t>
      </w:r>
      <w:r w:rsidR="00B57DDA" w:rsidRPr="005F20F5">
        <w:t xml:space="preserve">, </w:t>
      </w:r>
      <w:r w:rsidRPr="005F20F5">
        <w:t>Music therapists</w:t>
      </w:r>
      <w:r w:rsidR="00B57DDA" w:rsidRPr="005F20F5">
        <w:t xml:space="preserve">, </w:t>
      </w:r>
      <w:r w:rsidRPr="005F20F5">
        <w:t>Occupational therapists</w:t>
      </w:r>
      <w:r w:rsidR="00B57DDA" w:rsidRPr="005F20F5">
        <w:t xml:space="preserve">, </w:t>
      </w:r>
      <w:r w:rsidRPr="005F20F5">
        <w:t>Orthoptists</w:t>
      </w:r>
      <w:r w:rsidR="00B57DDA" w:rsidRPr="005F20F5">
        <w:t xml:space="preserve">, </w:t>
      </w:r>
      <w:r w:rsidRPr="005F20F5">
        <w:t>Physiotherapists</w:t>
      </w:r>
      <w:r w:rsidR="00B57DDA" w:rsidRPr="005F20F5">
        <w:t xml:space="preserve">, </w:t>
      </w:r>
      <w:r w:rsidRPr="005F20F5">
        <w:t>Podiatrists</w:t>
      </w:r>
      <w:r w:rsidR="00B57DDA" w:rsidRPr="005F20F5">
        <w:t xml:space="preserve">, </w:t>
      </w:r>
      <w:r w:rsidRPr="005F20F5">
        <w:t>Psychologists</w:t>
      </w:r>
      <w:r w:rsidR="00B57DDA" w:rsidRPr="005F20F5">
        <w:t xml:space="preserve">, </w:t>
      </w:r>
      <w:r w:rsidRPr="005F20F5">
        <w:t>Rehabilitation counsellors</w:t>
      </w:r>
      <w:r w:rsidR="00B57DDA" w:rsidRPr="005F20F5">
        <w:t xml:space="preserve">, </w:t>
      </w:r>
      <w:r w:rsidRPr="005F20F5">
        <w:t>Social workers</w:t>
      </w:r>
      <w:r w:rsidR="00B57DDA" w:rsidRPr="005F20F5">
        <w:t xml:space="preserve">, </w:t>
      </w:r>
      <w:r w:rsidRPr="005F20F5">
        <w:t>Speech pathologists</w:t>
      </w:r>
      <w:r w:rsidR="00B57DDA" w:rsidRPr="005F20F5">
        <w:t xml:space="preserve">, </w:t>
      </w:r>
      <w:r w:rsidRPr="005F20F5">
        <w:t>Teachers</w:t>
      </w:r>
      <w:r w:rsidR="00B57DDA" w:rsidRPr="005F20F5">
        <w:t xml:space="preserve"> and </w:t>
      </w:r>
      <w:r w:rsidRPr="005F20F5">
        <w:t>Therapy Assistants</w:t>
      </w:r>
    </w:p>
    <w:p w14:paraId="5B36EDFD" w14:textId="77777777" w:rsidR="007667AF" w:rsidRPr="005F20F5" w:rsidRDefault="007667AF" w:rsidP="00380CDE">
      <w:r w:rsidRPr="005F20F5">
        <w:t xml:space="preserve">Within the NDIS, therapists deliver supports under seven provider registration groups: </w:t>
      </w:r>
    </w:p>
    <w:p w14:paraId="6554F387" w14:textId="7909F3E5" w:rsidR="007667AF" w:rsidRPr="005F20F5" w:rsidRDefault="007667AF" w:rsidP="00837807">
      <w:pPr>
        <w:pStyle w:val="ListParagraph"/>
        <w:numPr>
          <w:ilvl w:val="0"/>
          <w:numId w:val="32"/>
        </w:numPr>
      </w:pPr>
      <w:r w:rsidRPr="005F20F5">
        <w:rPr>
          <w:b/>
        </w:rPr>
        <w:t>Therapeutic Supports (0128)</w:t>
      </w:r>
      <w:r w:rsidRPr="005F20F5">
        <w:t xml:space="preserve">: </w:t>
      </w:r>
      <w:r w:rsidR="007B7475" w:rsidRPr="005F20F5">
        <w:t xml:space="preserve">Provision of a mix of therapies, </w:t>
      </w:r>
      <w:r w:rsidRPr="005F20F5">
        <w:t>to assist participants aged from 7 years to apply their functional skills to improve participation and independence in daily, practical activities in areas such as language and communication, personal care, mobility and movement, interpersonal interactions and community living.</w:t>
      </w:r>
    </w:p>
    <w:p w14:paraId="070F5C1C" w14:textId="0DDE957A" w:rsidR="007667AF" w:rsidRPr="005F20F5" w:rsidRDefault="007667AF" w:rsidP="00837807">
      <w:pPr>
        <w:pStyle w:val="ListParagraph"/>
        <w:numPr>
          <w:ilvl w:val="0"/>
          <w:numId w:val="32"/>
        </w:numPr>
      </w:pPr>
      <w:r w:rsidRPr="005F20F5">
        <w:rPr>
          <w:b/>
        </w:rPr>
        <w:t>Early Intervention Supports for Early Childhood (0118)</w:t>
      </w:r>
      <w:r w:rsidRPr="005F20F5">
        <w:t>: Provision of a mix of therapies, and a key worker for the family. Supports children 0-6 years with developmental delay or disability and their families to achieve better long-term outcomes, regardless of diagnosis.</w:t>
      </w:r>
    </w:p>
    <w:p w14:paraId="734D5E62" w14:textId="77777777" w:rsidR="007667AF" w:rsidRPr="005F20F5" w:rsidRDefault="007667AF" w:rsidP="00837807">
      <w:pPr>
        <w:pStyle w:val="ListParagraph"/>
        <w:numPr>
          <w:ilvl w:val="0"/>
          <w:numId w:val="32"/>
        </w:numPr>
      </w:pPr>
      <w:r w:rsidRPr="005F20F5">
        <w:rPr>
          <w:b/>
        </w:rPr>
        <w:t>Specialist Positive Behaviour Support (0110)</w:t>
      </w:r>
      <w:r w:rsidRPr="005F20F5">
        <w:t>: Includes support items provided by allied health professionals with specialist skills in positive behaviour support including assessment and the development of a comprehensive plan that aims to reduce and manage behaviours of concern.</w:t>
      </w:r>
    </w:p>
    <w:p w14:paraId="7A2AC8FD" w14:textId="77777777" w:rsidR="007667AF" w:rsidRPr="005F20F5" w:rsidRDefault="007667AF" w:rsidP="00837807">
      <w:pPr>
        <w:pStyle w:val="ListParagraph"/>
        <w:numPr>
          <w:ilvl w:val="0"/>
          <w:numId w:val="32"/>
        </w:numPr>
      </w:pPr>
      <w:r w:rsidRPr="005F20F5">
        <w:rPr>
          <w:b/>
        </w:rPr>
        <w:t>Exercise Physiology &amp; Personal Well-being Activities (0126):</w:t>
      </w:r>
      <w:r w:rsidRPr="005F20F5">
        <w:t xml:space="preserve"> Physical wellbeing activities promote and encourage physical well-being, including exercise.</w:t>
      </w:r>
    </w:p>
    <w:p w14:paraId="566D879F" w14:textId="77777777" w:rsidR="007667AF" w:rsidRPr="005F20F5" w:rsidRDefault="007667AF" w:rsidP="00837807">
      <w:pPr>
        <w:pStyle w:val="ListParagraph"/>
        <w:numPr>
          <w:ilvl w:val="0"/>
          <w:numId w:val="32"/>
        </w:numPr>
      </w:pPr>
      <w:r w:rsidRPr="005F20F5">
        <w:rPr>
          <w:b/>
        </w:rPr>
        <w:t>Custom Prostheses and Orthoses (0135)</w:t>
      </w:r>
      <w:r w:rsidRPr="005F20F5">
        <w:t>: Prescription and manufacture of customised prostheses or orthoses requiring specialist skills.</w:t>
      </w:r>
    </w:p>
    <w:p w14:paraId="42F8C663" w14:textId="77777777" w:rsidR="007667AF" w:rsidRPr="005F20F5" w:rsidRDefault="007667AF" w:rsidP="00837807">
      <w:pPr>
        <w:pStyle w:val="ListParagraph"/>
        <w:numPr>
          <w:ilvl w:val="0"/>
          <w:numId w:val="32"/>
        </w:numPr>
      </w:pPr>
      <w:r w:rsidRPr="005F20F5">
        <w:rPr>
          <w:b/>
        </w:rPr>
        <w:t>Specialised Hearing Services (0119):</w:t>
      </w:r>
      <w:r w:rsidRPr="005F20F5">
        <w:t xml:space="preserve"> Specialised hearing services for children and adults with complex needs. </w:t>
      </w:r>
    </w:p>
    <w:p w14:paraId="5CDFA5D2" w14:textId="77777777" w:rsidR="007667AF" w:rsidRPr="005F20F5" w:rsidRDefault="007667AF" w:rsidP="00837807">
      <w:pPr>
        <w:pStyle w:val="ListParagraph"/>
        <w:numPr>
          <w:ilvl w:val="0"/>
          <w:numId w:val="32"/>
        </w:numPr>
      </w:pPr>
      <w:r w:rsidRPr="005F20F5">
        <w:rPr>
          <w:b/>
        </w:rPr>
        <w:t>Hearing Services (0134):</w:t>
      </w:r>
      <w:r w:rsidRPr="005F20F5">
        <w:t xml:space="preserve"> Hearing services for children and adults.</w:t>
      </w:r>
    </w:p>
    <w:p w14:paraId="0AE94BAC" w14:textId="77777777" w:rsidR="000A00F0" w:rsidRPr="005F20F5" w:rsidRDefault="007667AF" w:rsidP="00380CDE">
      <w:pPr>
        <w:rPr>
          <w:szCs w:val="22"/>
        </w:rPr>
      </w:pPr>
      <w:r w:rsidRPr="005F20F5">
        <w:rPr>
          <w:szCs w:val="22"/>
        </w:rPr>
        <w:t>In 2019-20, over 300,000 participants received therapy supports through the NDIS at a total cost of $1.9 billion. That is, about 12% of all expenditure by NDIS participants is on therapy supports and about 83% of all participants have some therapy expenditure, with an average expenditure on therapy by those who received therapy support of about $6,494 in 2019-20.</w:t>
      </w:r>
      <w:r w:rsidRPr="005F20F5">
        <w:rPr>
          <w:rStyle w:val="FootnoteReference"/>
          <w:szCs w:val="22"/>
        </w:rPr>
        <w:footnoteReference w:id="13"/>
      </w:r>
    </w:p>
    <w:p w14:paraId="3308CBEB" w14:textId="4AA32FAD" w:rsidR="007667AF" w:rsidRPr="005F20F5" w:rsidRDefault="007667AF" w:rsidP="00380CDE">
      <w:pPr>
        <w:rPr>
          <w:szCs w:val="22"/>
        </w:rPr>
      </w:pPr>
      <w:r w:rsidRPr="005F20F5">
        <w:rPr>
          <w:szCs w:val="22"/>
        </w:rPr>
        <w:t>In the trial phase of the NDIS, price limits were in most cases determined using a ‘cost-plus’ inputs-based pricing based on block funding allocations made to providers prior to the NDIS. As the NDIS transitioned to</w:t>
      </w:r>
      <w:r w:rsidR="00472A90" w:rsidRPr="005F20F5">
        <w:rPr>
          <w:szCs w:val="22"/>
        </w:rPr>
        <w:t>wards full rollout, annual pricing</w:t>
      </w:r>
      <w:r w:rsidRPr="005F20F5">
        <w:rPr>
          <w:szCs w:val="22"/>
        </w:rPr>
        <w:t xml:space="preserve"> reviews were conducted, whereby the unit price limits introduced were indexed annually based on updates to the costing methodology and consultations. As the number of participants in the NDIS grew, the supply requirements rapidly increased. Pricing needed to respond to provide the right market signals to deliver on the Scheme’s objectives and led to the NDIA Board commissioning the Independent Pricing Review (IPR) in 2017. In March 2018, the Board of the NDIA released the IPR Report undertaken by McKinsey &amp; Company </w:t>
      </w:r>
      <w:r w:rsidR="00F91A46" w:rsidRPr="005F20F5">
        <w:rPr>
          <w:szCs w:val="22"/>
        </w:rPr>
        <w:t xml:space="preserve">with some recommendations from the report subsequently being </w:t>
      </w:r>
      <w:r w:rsidRPr="005F20F5">
        <w:rPr>
          <w:szCs w:val="22"/>
        </w:rPr>
        <w:t>implemented.</w:t>
      </w:r>
      <w:r w:rsidRPr="005F20F5">
        <w:rPr>
          <w:rStyle w:val="FootnoteReference"/>
          <w:szCs w:val="22"/>
        </w:rPr>
        <w:footnoteReference w:id="14"/>
      </w:r>
    </w:p>
    <w:p w14:paraId="7383C651" w14:textId="3B499639" w:rsidR="007667AF" w:rsidRPr="005F20F5" w:rsidRDefault="00F91A46" w:rsidP="00C46E2E">
      <w:r w:rsidRPr="005F20F5">
        <w:rPr>
          <w:szCs w:val="22"/>
        </w:rPr>
        <w:t>In 2019</w:t>
      </w:r>
      <w:r w:rsidR="007667AF" w:rsidRPr="005F20F5">
        <w:rPr>
          <w:szCs w:val="22"/>
        </w:rPr>
        <w:t xml:space="preserve">, through the Pricing Reference Group, </w:t>
      </w:r>
      <w:r w:rsidRPr="005F20F5">
        <w:rPr>
          <w:szCs w:val="22"/>
        </w:rPr>
        <w:t xml:space="preserve">the NDIA </w:t>
      </w:r>
      <w:r w:rsidR="007667AF" w:rsidRPr="005F20F5">
        <w:rPr>
          <w:szCs w:val="22"/>
        </w:rPr>
        <w:t>conducted a review of the price control arrangements and other market settings for therapy services under the NDIS (2019 Review of Therapy Pricing Arrangements).</w:t>
      </w:r>
      <w:r w:rsidR="007667AF" w:rsidRPr="005F20F5">
        <w:rPr>
          <w:rStyle w:val="FootnoteReference"/>
          <w:szCs w:val="22"/>
        </w:rPr>
        <w:footnoteReference w:id="15"/>
      </w:r>
      <w:r w:rsidR="007667AF" w:rsidRPr="005F20F5">
        <w:rPr>
          <w:szCs w:val="22"/>
        </w:rPr>
        <w:t xml:space="preserve"> </w:t>
      </w:r>
      <w:r w:rsidRPr="005F20F5">
        <w:rPr>
          <w:szCs w:val="22"/>
        </w:rPr>
        <w:t>As a consequence</w:t>
      </w:r>
      <w:r w:rsidR="007667AF" w:rsidRPr="005F20F5">
        <w:rPr>
          <w:szCs w:val="22"/>
        </w:rPr>
        <w:t>, several key recommendations were implemented including increasing the price limit to the 75</w:t>
      </w:r>
      <w:r w:rsidR="007667AF" w:rsidRPr="005F20F5">
        <w:rPr>
          <w:szCs w:val="22"/>
          <w:vertAlign w:val="superscript"/>
        </w:rPr>
        <w:t>th</w:t>
      </w:r>
      <w:r w:rsidR="007667AF" w:rsidRPr="005F20F5">
        <w:rPr>
          <w:szCs w:val="22"/>
        </w:rPr>
        <w:t xml:space="preserve"> percentile of the observed private billing distribution, based on a perceived lack of power to influence prices in the therapy market, and in or</w:t>
      </w:r>
      <w:r w:rsidR="00C46E2E" w:rsidRPr="005F20F5">
        <w:rPr>
          <w:szCs w:val="22"/>
        </w:rPr>
        <w:t>der to strike a balance between e</w:t>
      </w:r>
      <w:r w:rsidR="007667AF" w:rsidRPr="005F20F5">
        <w:t>nsuring participants’ ability to choose and fund different providers in the market</w:t>
      </w:r>
      <w:r w:rsidR="00C46E2E" w:rsidRPr="005F20F5">
        <w:t xml:space="preserve"> and d</w:t>
      </w:r>
      <w:r w:rsidR="007667AF" w:rsidRPr="005F20F5">
        <w:t>elivering value for money.</w:t>
      </w:r>
    </w:p>
    <w:p w14:paraId="215C0A5D" w14:textId="0BFC4EF5" w:rsidR="007667AF" w:rsidRPr="005F20F5" w:rsidRDefault="007667AF" w:rsidP="00380CDE">
      <w:r w:rsidRPr="005F20F5">
        <w:t>The 2020 Annual Pricing Review recommended that the price limits for therapy supports should not be indexed on 1 July 2020</w:t>
      </w:r>
      <w:r w:rsidR="00F91A46" w:rsidRPr="005F20F5">
        <w:t>,</w:t>
      </w:r>
      <w:r w:rsidRPr="005F20F5">
        <w:t xml:space="preserve"> pending a comprehensive review of therapy pricing arrangements.</w:t>
      </w:r>
      <w:r w:rsidRPr="005F20F5">
        <w:rPr>
          <w:rStyle w:val="FootnoteReference"/>
        </w:rPr>
        <w:footnoteReference w:id="16"/>
      </w:r>
    </w:p>
    <w:p w14:paraId="63064BDA" w14:textId="38F01296" w:rsidR="00837807" w:rsidRPr="005F20F5" w:rsidRDefault="00837807" w:rsidP="00837807">
      <w:r w:rsidRPr="005F20F5">
        <w:fldChar w:fldCharType="begin"/>
      </w:r>
      <w:r w:rsidRPr="005F20F5">
        <w:instrText xml:space="preserve"> REF _Ref83303742 \h </w:instrText>
      </w:r>
      <w:r w:rsidR="007A0655" w:rsidRPr="005F20F5">
        <w:instrText xml:space="preserve"> \* MERGEFORMAT </w:instrText>
      </w:r>
      <w:r w:rsidRPr="005F20F5">
        <w:fldChar w:fldCharType="separate"/>
      </w:r>
      <w:r w:rsidR="009D3AFE" w:rsidRPr="005F20F5">
        <w:t xml:space="preserve">Exhibit </w:t>
      </w:r>
      <w:r w:rsidR="009D3AFE">
        <w:rPr>
          <w:noProof/>
        </w:rPr>
        <w:t>10</w:t>
      </w:r>
      <w:r w:rsidRPr="005F20F5">
        <w:fldChar w:fldCharType="end"/>
      </w:r>
      <w:r w:rsidRPr="005F20F5">
        <w:t xml:space="preserve"> provides an overview of the historical price limits for therapy supports in the NDIS.</w:t>
      </w:r>
    </w:p>
    <w:p w14:paraId="0398E1A3" w14:textId="6BF27C71" w:rsidR="00837807" w:rsidRPr="005F20F5" w:rsidRDefault="00837807" w:rsidP="00837807">
      <w:pPr>
        <w:pStyle w:val="Caption"/>
      </w:pPr>
      <w:bookmarkStart w:id="67" w:name="_Ref83303742"/>
      <w:bookmarkStart w:id="68" w:name="_Toc83292081"/>
      <w:r w:rsidRPr="005F20F5">
        <w:t xml:space="preserve">Exhibit </w:t>
      </w:r>
      <w:r w:rsidR="009D3AFE">
        <w:fldChar w:fldCharType="begin"/>
      </w:r>
      <w:r w:rsidR="009D3AFE">
        <w:instrText xml:space="preserve"> SEQ Exhibit \* ARABIC </w:instrText>
      </w:r>
      <w:r w:rsidR="009D3AFE">
        <w:fldChar w:fldCharType="separate"/>
      </w:r>
      <w:r w:rsidR="009D3AFE">
        <w:rPr>
          <w:noProof/>
        </w:rPr>
        <w:t>10</w:t>
      </w:r>
      <w:r w:rsidR="009D3AFE">
        <w:rPr>
          <w:noProof/>
        </w:rPr>
        <w:fldChar w:fldCharType="end"/>
      </w:r>
      <w:bookmarkEnd w:id="67"/>
      <w:r w:rsidRPr="005F20F5">
        <w:t>: Therapy support price limits by geography from FY16 to FY21</w:t>
      </w:r>
      <w:bookmarkEnd w:id="68"/>
    </w:p>
    <w:p w14:paraId="1B14CBDC" w14:textId="77777777" w:rsidR="00837807" w:rsidRPr="005F20F5" w:rsidRDefault="00837807" w:rsidP="00837807">
      <w:pPr>
        <w:jc w:val="center"/>
      </w:pPr>
      <w:r w:rsidRPr="005F20F5">
        <w:rPr>
          <w:noProof/>
          <w:lang w:eastAsia="en-AU"/>
        </w:rPr>
        <w:drawing>
          <wp:inline distT="0" distB="0" distL="0" distR="0" wp14:anchorId="27133D6E" wp14:editId="64826CB1">
            <wp:extent cx="5760000" cy="2768400"/>
            <wp:effectExtent l="0" t="0" r="0" b="0"/>
            <wp:docPr id="457" name="Picture 457" descr="Line chart outlining the price limits by state or territory" title="EXHIBIT 10: THERAPY SUPPORT PRICE LIMITS BY GEOGRAPHY FROM FY16 TO FY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000" cy="2768400"/>
                    </a:xfrm>
                    <a:prstGeom prst="rect">
                      <a:avLst/>
                    </a:prstGeom>
                    <a:noFill/>
                  </pic:spPr>
                </pic:pic>
              </a:graphicData>
            </a:graphic>
          </wp:inline>
        </w:drawing>
      </w:r>
    </w:p>
    <w:p w14:paraId="07DD7FC2" w14:textId="77777777" w:rsidR="00837807" w:rsidRPr="005F20F5" w:rsidRDefault="00837807" w:rsidP="00837807">
      <w:pPr>
        <w:pStyle w:val="Heading2"/>
      </w:pPr>
      <w:bookmarkStart w:id="69" w:name="_Toc85097267"/>
      <w:r w:rsidRPr="005F20F5">
        <w:t>Issues</w:t>
      </w:r>
      <w:bookmarkEnd w:id="69"/>
    </w:p>
    <w:p w14:paraId="577AD7DE" w14:textId="19C8DF9A" w:rsidR="000B3214" w:rsidRPr="005F20F5" w:rsidRDefault="000B3214" w:rsidP="000B3214">
      <w:r w:rsidRPr="005F20F5">
        <w:t xml:space="preserve">The Review estimates that Australians spent more than $7.8 billion on therapy supports in 2019-20, including expenditure by the NDIS, the Medical Benefits Scheme and private health insurance (including related out-of-pocket costs). The NDIS accounted for about 24% of this expenditure. Over the two years to 30 June 2020, it is estimated that the allied health services market grew by about 10% per annum, predominantly driven by NDIS therapy spend. Over this period, NDIS therapy spend grew by 106% per annum (see </w:t>
      </w:r>
      <w:r w:rsidRPr="005F20F5">
        <w:fldChar w:fldCharType="begin"/>
      </w:r>
      <w:r w:rsidRPr="005F20F5">
        <w:instrText xml:space="preserve"> REF _Ref83990349 \h </w:instrText>
      </w:r>
      <w:r w:rsidR="00C72E88" w:rsidRPr="005F20F5">
        <w:instrText xml:space="preserve"> \* MERGEFORMAT </w:instrText>
      </w:r>
      <w:r w:rsidRPr="005F20F5">
        <w:fldChar w:fldCharType="separate"/>
      </w:r>
      <w:r w:rsidR="009D3AFE" w:rsidRPr="005F20F5">
        <w:t xml:space="preserve">Exhibit </w:t>
      </w:r>
      <w:r w:rsidR="009D3AFE">
        <w:rPr>
          <w:noProof/>
        </w:rPr>
        <w:t>11</w:t>
      </w:r>
      <w:r w:rsidRPr="005F20F5">
        <w:fldChar w:fldCharType="end"/>
      </w:r>
      <w:r w:rsidRPr="005F20F5">
        <w:t>).</w:t>
      </w:r>
    </w:p>
    <w:p w14:paraId="1EB847CD" w14:textId="1D08C419" w:rsidR="000B3214" w:rsidRPr="005F20F5" w:rsidRDefault="000B3214" w:rsidP="000B3214">
      <w:pPr>
        <w:pStyle w:val="Caption"/>
      </w:pPr>
      <w:bookmarkStart w:id="70" w:name="_Ref83990349"/>
      <w:r w:rsidRPr="005F20F5">
        <w:t xml:space="preserve">Exhibit </w:t>
      </w:r>
      <w:r w:rsidR="009D3AFE">
        <w:fldChar w:fldCharType="begin"/>
      </w:r>
      <w:r w:rsidR="009D3AFE">
        <w:instrText xml:space="preserve"> SEQ Exhibit \* ARABIC </w:instrText>
      </w:r>
      <w:r w:rsidR="009D3AFE">
        <w:fldChar w:fldCharType="separate"/>
      </w:r>
      <w:r w:rsidR="009D3AFE">
        <w:rPr>
          <w:noProof/>
        </w:rPr>
        <w:t>11</w:t>
      </w:r>
      <w:r w:rsidR="009D3AFE">
        <w:rPr>
          <w:noProof/>
        </w:rPr>
        <w:fldChar w:fldCharType="end"/>
      </w:r>
      <w:bookmarkEnd w:id="70"/>
      <w:r w:rsidRPr="005F20F5">
        <w:t>: Australian Expenditure on Allied Health, FY17 to FY20</w:t>
      </w:r>
    </w:p>
    <w:p w14:paraId="1EA74962" w14:textId="77777777" w:rsidR="000B3214" w:rsidRPr="005F20F5" w:rsidRDefault="000B3214" w:rsidP="000B3214">
      <w:pPr>
        <w:jc w:val="center"/>
      </w:pPr>
      <w:r w:rsidRPr="005F20F5">
        <w:rPr>
          <w:noProof/>
          <w:lang w:eastAsia="en-AU"/>
        </w:rPr>
        <w:drawing>
          <wp:inline distT="0" distB="0" distL="0" distR="0" wp14:anchorId="31C99059" wp14:editId="60E3D824">
            <wp:extent cx="4320000" cy="2325600"/>
            <wp:effectExtent l="0" t="0" r="4445" b="0"/>
            <wp:docPr id="4" name="Picture 4" descr="Chart outlining the expenditure on allied health" title="EXHIBIT 11: AUSTRALIAN EXPENDITURE ON ALLIED HEALTH, FY17 TO F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0000" cy="2325600"/>
                    </a:xfrm>
                    <a:prstGeom prst="rect">
                      <a:avLst/>
                    </a:prstGeom>
                    <a:noFill/>
                  </pic:spPr>
                </pic:pic>
              </a:graphicData>
            </a:graphic>
          </wp:inline>
        </w:drawing>
      </w:r>
    </w:p>
    <w:p w14:paraId="12B6FA23" w14:textId="77777777" w:rsidR="000B3214" w:rsidRPr="005F20F5" w:rsidRDefault="000B3214" w:rsidP="000B3214">
      <w:r w:rsidRPr="005F20F5">
        <w:t xml:space="preserve">In the NDIS, there has been substantial growth in the number of registered providers delivering therapy supports. This number grew by 29% per annum between 2016-17 </w:t>
      </w:r>
      <w:r w:rsidR="00EC4726" w:rsidRPr="005F20F5">
        <w:t>and</w:t>
      </w:r>
      <w:r w:rsidRPr="005F20F5">
        <w:t xml:space="preserve"> 2019-20. The ratio for therapy participants to suppliers also increased since 2016-17 across all metro, regional and remote areas of Australia. However, despite this growth there remains an undersupply of providers in some areas, particularly in specific geographies as well as for some therapy types. </w:t>
      </w:r>
    </w:p>
    <w:p w14:paraId="10A6D9C6" w14:textId="77777777" w:rsidR="000B3214" w:rsidRPr="005F20F5" w:rsidRDefault="000B3214" w:rsidP="000B3214">
      <w:r w:rsidRPr="005F20F5">
        <w:t>Mo</w:t>
      </w:r>
      <w:r w:rsidR="00A47884" w:rsidRPr="005F20F5">
        <w:t>reover, mo</w:t>
      </w:r>
      <w:r w:rsidRPr="005F20F5">
        <w:t xml:space="preserve">st registered therapy providers (more than 60%) deliver supports to 10 or fewer NDIS participants. This in an indication of a fragmented market, which may impact on economies of scale of a provider and their long-term viability. </w:t>
      </w:r>
    </w:p>
    <w:p w14:paraId="6BFD3839" w14:textId="2F9F95CE" w:rsidR="00A47884" w:rsidRPr="005F20F5" w:rsidRDefault="00A47884" w:rsidP="000B3214">
      <w:r w:rsidRPr="005F20F5">
        <w:t xml:space="preserve">There is some concern that the NDIS price limits for therapy supports are not functioning as expected. </w:t>
      </w:r>
      <w:r w:rsidR="002F21A5" w:rsidRPr="005F20F5">
        <w:t>As</w:t>
      </w:r>
      <w:r w:rsidRPr="005F20F5">
        <w:t xml:space="preserve"> </w:t>
      </w:r>
      <w:r w:rsidRPr="005F20F5">
        <w:fldChar w:fldCharType="begin"/>
      </w:r>
      <w:r w:rsidRPr="005F20F5">
        <w:instrText xml:space="preserve"> REF _Ref83990992 \h </w:instrText>
      </w:r>
      <w:r w:rsidR="00C72E88" w:rsidRPr="005F20F5">
        <w:instrText xml:space="preserve"> \* MERGEFORMAT </w:instrText>
      </w:r>
      <w:r w:rsidRPr="005F20F5">
        <w:fldChar w:fldCharType="separate"/>
      </w:r>
      <w:r w:rsidR="009D3AFE" w:rsidRPr="005F20F5">
        <w:t xml:space="preserve">Exhibit </w:t>
      </w:r>
      <w:r w:rsidR="009D3AFE">
        <w:rPr>
          <w:noProof/>
        </w:rPr>
        <w:t>12</w:t>
      </w:r>
      <w:r w:rsidRPr="005F20F5">
        <w:fldChar w:fldCharType="end"/>
      </w:r>
      <w:r w:rsidRPr="005F20F5">
        <w:t xml:space="preserve"> illustrates, some 48% of direct therapy claims were charged at or close to the price cap</w:t>
      </w:r>
      <w:r w:rsidR="002F21A5" w:rsidRPr="005F20F5">
        <w:t xml:space="preserve"> and a further 20% of direct therapy claims were charged between 90% and 99% of the price limit. For </w:t>
      </w:r>
      <w:r w:rsidRPr="005F20F5">
        <w:t>indirect therapy claims</w:t>
      </w:r>
      <w:r w:rsidR="002F21A5" w:rsidRPr="005F20F5">
        <w:t>, some 47%</w:t>
      </w:r>
      <w:r w:rsidRPr="005F20F5">
        <w:t xml:space="preserve"> were charged at or close to the price cap. Furthermore, only 11% of direct therapy claims were charged at 50% or less of the price cap relative to 14% of indirect therapy claims.</w:t>
      </w:r>
    </w:p>
    <w:p w14:paraId="6C62E4DB" w14:textId="61EC74E3" w:rsidR="002F21A5" w:rsidRPr="005F20F5" w:rsidRDefault="002F21A5" w:rsidP="002F21A5">
      <w:r w:rsidRPr="005F20F5">
        <w:t xml:space="preserve">With such a significant proportion of providers charging at or close to the price limit, this suggests that there is limited competition across the market for therapy supports and as a result there is limited incentive within the market to reduce prices organically, and for providers to become more innovative and efficient. The current therapy price limits were set based on the 75th percentile of the observed private market on the assumption that there was a competitive market for these services and that the NDIA only needed to concern itself with ensuring access by participants. The evidence now appears to indicate that </w:t>
      </w:r>
      <w:r w:rsidR="00F91A46" w:rsidRPr="005F20F5">
        <w:t>t</w:t>
      </w:r>
      <w:r w:rsidRPr="005F20F5">
        <w:t xml:space="preserve">he price limit </w:t>
      </w:r>
      <w:r w:rsidR="00F91A46" w:rsidRPr="005F20F5">
        <w:t xml:space="preserve">may </w:t>
      </w:r>
      <w:r w:rsidRPr="005F20F5">
        <w:t xml:space="preserve">instead </w:t>
      </w:r>
      <w:r w:rsidR="00F91A46" w:rsidRPr="005F20F5">
        <w:t>have</w:t>
      </w:r>
      <w:r w:rsidRPr="005F20F5">
        <w:t xml:space="preserve"> distorted prices upwards.</w:t>
      </w:r>
    </w:p>
    <w:p w14:paraId="28F29308" w14:textId="12D68E4D" w:rsidR="00A47884" w:rsidRPr="005F20F5" w:rsidRDefault="00A47884" w:rsidP="00A47884">
      <w:pPr>
        <w:pStyle w:val="Caption"/>
      </w:pPr>
      <w:bookmarkStart w:id="71" w:name="_Ref83990992"/>
      <w:r w:rsidRPr="005F20F5">
        <w:t xml:space="preserve">Exhibit </w:t>
      </w:r>
      <w:r w:rsidR="009D3AFE">
        <w:fldChar w:fldCharType="begin"/>
      </w:r>
      <w:r w:rsidR="009D3AFE">
        <w:instrText xml:space="preserve"> SEQ Exhibit \* ARABIC </w:instrText>
      </w:r>
      <w:r w:rsidR="009D3AFE">
        <w:fldChar w:fldCharType="separate"/>
      </w:r>
      <w:r w:rsidR="009D3AFE">
        <w:rPr>
          <w:noProof/>
        </w:rPr>
        <w:t>12</w:t>
      </w:r>
      <w:r w:rsidR="009D3AFE">
        <w:rPr>
          <w:noProof/>
        </w:rPr>
        <w:fldChar w:fldCharType="end"/>
      </w:r>
      <w:bookmarkEnd w:id="71"/>
      <w:r w:rsidRPr="005F20F5">
        <w:t>: Price Distribution of NDIS therapy claims as proportion of 2019-20 price cap</w:t>
      </w:r>
    </w:p>
    <w:p w14:paraId="7CFF5BEA" w14:textId="77777777" w:rsidR="00A47884" w:rsidRPr="005F20F5" w:rsidRDefault="00A47884" w:rsidP="00A47884">
      <w:pPr>
        <w:jc w:val="center"/>
      </w:pPr>
      <w:r w:rsidRPr="005F20F5">
        <w:rPr>
          <w:noProof/>
          <w:lang w:eastAsia="en-AU"/>
        </w:rPr>
        <w:drawing>
          <wp:inline distT="0" distB="0" distL="0" distR="0" wp14:anchorId="2BC4DB1E" wp14:editId="44D2FB86">
            <wp:extent cx="3682800" cy="3600000"/>
            <wp:effectExtent l="0" t="0" r="0" b="0"/>
            <wp:docPr id="7" name="Picture 7" descr="Line chart outlining direct therapy supports and indirect therapy supports" title="EXHIBIT 12: PRICE DISTRIBUTION OF NDIS THERAPY CLAIMS AS PROPORTION OF 2019-20 PRIC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2800" cy="3600000"/>
                    </a:xfrm>
                    <a:prstGeom prst="rect">
                      <a:avLst/>
                    </a:prstGeom>
                    <a:noFill/>
                  </pic:spPr>
                </pic:pic>
              </a:graphicData>
            </a:graphic>
          </wp:inline>
        </w:drawing>
      </w:r>
    </w:p>
    <w:p w14:paraId="6B76212F" w14:textId="33290C58" w:rsidR="002F21A5" w:rsidRPr="005F20F5" w:rsidRDefault="002F21A5" w:rsidP="002F21A5">
      <w:r w:rsidRPr="005F20F5">
        <w:t xml:space="preserve">Concerns have also been raised by stakeholders that some providers have differential pricing regimes, with higher prices for NDIS clients than for </w:t>
      </w:r>
      <w:r w:rsidR="00F91A46" w:rsidRPr="005F20F5">
        <w:t>other</w:t>
      </w:r>
      <w:r w:rsidRPr="005F20F5">
        <w:t xml:space="preserve"> clients. </w:t>
      </w:r>
    </w:p>
    <w:p w14:paraId="1B3915EE" w14:textId="0E8BCA08" w:rsidR="00C94854" w:rsidRPr="005F20F5" w:rsidRDefault="002F21A5" w:rsidP="00015B07">
      <w:r w:rsidRPr="005F20F5">
        <w:t xml:space="preserve">Another important source of information is the approaches taken by other insurance schemes. In general, the average NDIS price limit is higher than comparable insurance schemes for therapy supports (see </w:t>
      </w:r>
      <w:r w:rsidRPr="005F20F5">
        <w:fldChar w:fldCharType="begin"/>
      </w:r>
      <w:r w:rsidRPr="005F20F5">
        <w:instrText xml:space="preserve"> REF _Ref71468679 \h </w:instrText>
      </w:r>
      <w:r w:rsidR="00C72E88" w:rsidRPr="005F20F5">
        <w:instrText xml:space="preserve"> \* MERGEFORMAT </w:instrText>
      </w:r>
      <w:r w:rsidRPr="005F20F5">
        <w:fldChar w:fldCharType="separate"/>
      </w:r>
      <w:r w:rsidR="009D3AFE" w:rsidRPr="005F20F5">
        <w:t xml:space="preserve">Exhibit </w:t>
      </w:r>
      <w:r w:rsidR="009D3AFE">
        <w:rPr>
          <w:noProof/>
        </w:rPr>
        <w:t>13</w:t>
      </w:r>
      <w:r w:rsidRPr="005F20F5">
        <w:fldChar w:fldCharType="end"/>
      </w:r>
      <w:r w:rsidRPr="005F20F5">
        <w:t xml:space="preserve">). </w:t>
      </w:r>
    </w:p>
    <w:p w14:paraId="780AFF29" w14:textId="784CA51F" w:rsidR="002F21A5" w:rsidRPr="005F20F5" w:rsidRDefault="002F21A5" w:rsidP="002F21A5">
      <w:pPr>
        <w:pStyle w:val="Labels"/>
        <w:rPr>
          <w:lang w:val="en-AU"/>
        </w:rPr>
      </w:pPr>
      <w:bookmarkStart w:id="72" w:name="_Ref71468679"/>
      <w:bookmarkStart w:id="73" w:name="_Toc71465338"/>
      <w:r w:rsidRPr="005F20F5">
        <w:rPr>
          <w:lang w:val="en-AU"/>
        </w:rPr>
        <w:t xml:space="preserve">Exhibit </w:t>
      </w:r>
      <w:r w:rsidRPr="005F20F5">
        <w:rPr>
          <w:lang w:val="en-AU"/>
        </w:rPr>
        <w:fldChar w:fldCharType="begin"/>
      </w:r>
      <w:r w:rsidRPr="005F20F5">
        <w:rPr>
          <w:lang w:val="en-AU"/>
        </w:rPr>
        <w:instrText xml:space="preserve"> SEQ Exhibit \* ARABIC </w:instrText>
      </w:r>
      <w:r w:rsidRPr="005F20F5">
        <w:rPr>
          <w:lang w:val="en-AU"/>
        </w:rPr>
        <w:fldChar w:fldCharType="separate"/>
      </w:r>
      <w:r w:rsidR="009D3AFE">
        <w:rPr>
          <w:noProof/>
          <w:lang w:val="en-AU"/>
        </w:rPr>
        <w:t>13</w:t>
      </w:r>
      <w:r w:rsidRPr="005F20F5">
        <w:rPr>
          <w:lang w:val="en-AU"/>
        </w:rPr>
        <w:fldChar w:fldCharType="end"/>
      </w:r>
      <w:bookmarkStart w:id="74" w:name="_Toc71453412"/>
      <w:bookmarkEnd w:id="72"/>
      <w:r w:rsidRPr="005F20F5">
        <w:rPr>
          <w:lang w:val="en-AU"/>
        </w:rPr>
        <w:t xml:space="preserve">: Estimated price per hour across schemes compared to NDIS price </w:t>
      </w:r>
      <w:bookmarkEnd w:id="73"/>
      <w:bookmarkEnd w:id="74"/>
      <w:r w:rsidRPr="005F20F5">
        <w:rPr>
          <w:lang w:val="en-AU"/>
        </w:rPr>
        <w:t>Limit</w:t>
      </w:r>
    </w:p>
    <w:p w14:paraId="58EBAE78" w14:textId="77777777" w:rsidR="002F21A5" w:rsidRPr="005F20F5" w:rsidRDefault="002F21A5" w:rsidP="002F21A5">
      <w:pPr>
        <w:jc w:val="center"/>
      </w:pPr>
      <w:r w:rsidRPr="005F20F5">
        <w:rPr>
          <w:noProof/>
          <w:lang w:eastAsia="en-AU"/>
        </w:rPr>
        <w:drawing>
          <wp:inline distT="0" distB="0" distL="0" distR="0" wp14:anchorId="18D6D117" wp14:editId="2DD057AE">
            <wp:extent cx="4118400" cy="3240000"/>
            <wp:effectExtent l="0" t="0" r="0" b="0"/>
            <wp:docPr id="10" name="Picture 10" descr="Line chart outlinine the pyshio, psychology, exercise, speech and community nursing in each state and territory" title="EXHIBIT 13: ESTIMATED PRICE PER HOUR ACROSS SCHEMES COMPARED TO NDIS PRICE LI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18400" cy="3240000"/>
                    </a:xfrm>
                    <a:prstGeom prst="rect">
                      <a:avLst/>
                    </a:prstGeom>
                    <a:noFill/>
                  </pic:spPr>
                </pic:pic>
              </a:graphicData>
            </a:graphic>
          </wp:inline>
        </w:drawing>
      </w:r>
    </w:p>
    <w:p w14:paraId="569BDA57" w14:textId="77777777" w:rsidR="00015B07" w:rsidRPr="005F20F5" w:rsidRDefault="00015B07" w:rsidP="00015B07">
      <w:r w:rsidRPr="005F20F5">
        <w:t>Based on the cost of a standard in-room consultation, the NDIS average price limit in 2019-20 was 36% higher compared to other schemes for speech pathology. It was also higher for physiotherapy (+19%), psychology (+16%) and exercise physiology (+17%). For physiotherapy, psychology and speech pathology, the NDIS is the second highest priced scheme, with the NDIS psychology price for NSW, VIC and QLD being at least 10% higher than other states.</w:t>
      </w:r>
    </w:p>
    <w:p w14:paraId="34141FEF" w14:textId="77777777" w:rsidR="00015B07" w:rsidRPr="005F20F5" w:rsidRDefault="00015B07" w:rsidP="00015B07">
      <w:r w:rsidRPr="005F20F5">
        <w:t>Some difficulties exist in comparing the NDIS with other Schemes as they have different billing and purchasing arrangements. For example, many schemes charge on a “per consultation, rather than a “per hour” basis. Providers may also face different costs under the NDIS.</w:t>
      </w:r>
    </w:p>
    <w:p w14:paraId="6491250E" w14:textId="48F525E3" w:rsidR="00EB3BC2" w:rsidRPr="005F20F5" w:rsidRDefault="00EB3BC2" w:rsidP="00EB3BC2">
      <w:pPr>
        <w:pStyle w:val="Heading3"/>
      </w:pPr>
      <w:bookmarkStart w:id="75" w:name="_Toc85097268"/>
      <w:r w:rsidRPr="005F20F5">
        <w:t>Nursing</w:t>
      </w:r>
      <w:bookmarkEnd w:id="75"/>
    </w:p>
    <w:p w14:paraId="2F4786C5" w14:textId="0D217901" w:rsidR="00EB3BC2" w:rsidRPr="005F20F5" w:rsidRDefault="00EB3BC2" w:rsidP="00EB3BC2">
      <w:pPr>
        <w:rPr>
          <w:rFonts w:cstheme="minorHAnsi"/>
        </w:rPr>
      </w:pPr>
      <w:r w:rsidRPr="005F20F5">
        <w:rPr>
          <w:rFonts w:cstheme="minorHAnsi"/>
        </w:rPr>
        <w:t xml:space="preserve">There are 62 nursing supports in the NDIS which together account for $86 million in </w:t>
      </w:r>
      <w:r w:rsidRPr="005F20F5">
        <w:t>expenditure</w:t>
      </w:r>
      <w:r w:rsidRPr="005F20F5">
        <w:rPr>
          <w:rFonts w:cstheme="minorHAnsi"/>
        </w:rPr>
        <w:t xml:space="preserve"> in 2020-21. These supports were delivered to 15,883 participants by 443 providers of whom only 121 saw 10 or more participants. Some stakeholders have questioned whether the current arrangements ar</w:t>
      </w:r>
      <w:r w:rsidR="00C94854" w:rsidRPr="005F20F5">
        <w:rPr>
          <w:rFonts w:cstheme="minorHAnsi"/>
        </w:rPr>
        <w:t>e too complex</w:t>
      </w:r>
      <w:r w:rsidR="00F91A46" w:rsidRPr="005F20F5">
        <w:rPr>
          <w:rFonts w:cstheme="minorHAnsi"/>
        </w:rPr>
        <w:t>.</w:t>
      </w:r>
    </w:p>
    <w:p w14:paraId="6609F0A2" w14:textId="77777777" w:rsidR="00C46E2E" w:rsidRPr="005F20F5" w:rsidRDefault="00C46E2E" w:rsidP="00C46E2E">
      <w:pPr>
        <w:pStyle w:val="Heading2"/>
      </w:pPr>
      <w:bookmarkStart w:id="76" w:name="_Toc85097269"/>
      <w:r w:rsidRPr="005F20F5">
        <w:t>Call for submissions</w:t>
      </w:r>
      <w:bookmarkEnd w:id="76"/>
    </w:p>
    <w:p w14:paraId="2661521E" w14:textId="0C38CCA3" w:rsidR="00EB3BC2" w:rsidRPr="005F20F5" w:rsidRDefault="00EB3BC2" w:rsidP="00C94854">
      <w:r w:rsidRPr="005F20F5">
        <w:t xml:space="preserve">As part of the 2021-22 Annual Pricing Review, the </w:t>
      </w:r>
      <w:r w:rsidR="009C7771" w:rsidRPr="005F20F5">
        <w:t>NDIA</w:t>
      </w:r>
      <w:r w:rsidRPr="005F20F5">
        <w:t xml:space="preserve"> is seeking to</w:t>
      </w:r>
      <w:r w:rsidR="00C94854" w:rsidRPr="005F20F5">
        <w:t xml:space="preserve"> </w:t>
      </w:r>
      <w:r w:rsidRPr="005F20F5">
        <w:t xml:space="preserve">understand how the market is responding to </w:t>
      </w:r>
      <w:r w:rsidR="00C94854" w:rsidRPr="005F20F5">
        <w:t>price regulation and to i</w:t>
      </w:r>
      <w:r w:rsidRPr="005F20F5">
        <w:t>dentify potential changes to price regulation that may be required to address residual challenges affecting the development of an effici</w:t>
      </w:r>
      <w:r w:rsidR="00C94854" w:rsidRPr="005F20F5">
        <w:t>ent therapy supports market.</w:t>
      </w:r>
      <w:r w:rsidRPr="005F20F5">
        <w:t xml:space="preserve"> </w:t>
      </w:r>
    </w:p>
    <w:p w14:paraId="7E980583" w14:textId="77777777" w:rsidR="00C46E2E" w:rsidRPr="005F20F5" w:rsidRDefault="00C46E2E" w:rsidP="00C46E2E">
      <w:r w:rsidRPr="005F20F5">
        <w:t>The Review is seeking the views of stakeholders on the following issues.</w:t>
      </w:r>
    </w:p>
    <w:tbl>
      <w:tblPr>
        <w:tblStyle w:val="GUIDEQUESTION"/>
        <w:tblW w:w="0" w:type="auto"/>
        <w:tblLook w:val="04A0" w:firstRow="1" w:lastRow="0" w:firstColumn="1" w:lastColumn="0" w:noHBand="0" w:noVBand="1"/>
        <w:tblCaption w:val="Guide questions"/>
        <w:tblDescription w:val="4 questions to consider for the APR"/>
      </w:tblPr>
      <w:tblGrid>
        <w:gridCol w:w="9017"/>
      </w:tblGrid>
      <w:tr w:rsidR="00C46E2E" w:rsidRPr="005F20F5" w14:paraId="059A9C18" w14:textId="77777777" w:rsidTr="003D1C27">
        <w:trPr>
          <w:tblHeader/>
        </w:trPr>
        <w:tc>
          <w:tcPr>
            <w:tcW w:w="9017" w:type="dxa"/>
          </w:tcPr>
          <w:p w14:paraId="291870C5" w14:textId="77777777" w:rsidR="00C46E2E" w:rsidRPr="005F20F5" w:rsidRDefault="00C46E2E" w:rsidP="007A0655">
            <w:pPr>
              <w:spacing w:before="160" w:after="160" w:line="320" w:lineRule="atLeast"/>
              <w:jc w:val="center"/>
              <w:rPr>
                <w:b/>
              </w:rPr>
            </w:pPr>
            <w:r w:rsidRPr="005F20F5">
              <w:rPr>
                <w:b/>
              </w:rPr>
              <w:t>Guide Questions</w:t>
            </w:r>
          </w:p>
          <w:p w14:paraId="29AB0AE9" w14:textId="060E4641" w:rsidR="00C46E2E" w:rsidRPr="005F20F5" w:rsidRDefault="00C46E2E" w:rsidP="00C46E2E">
            <w:pPr>
              <w:pStyle w:val="QUESTION"/>
            </w:pPr>
            <w:r w:rsidRPr="005F20F5">
              <w:t xml:space="preserve">Are the current price limits for </w:t>
            </w:r>
            <w:r w:rsidR="00015B07" w:rsidRPr="005F20F5">
              <w:t>t</w:t>
            </w:r>
            <w:r w:rsidR="001B16F3" w:rsidRPr="005F20F5">
              <w:t>herapy</w:t>
            </w:r>
            <w:r w:rsidRPr="005F20F5">
              <w:t xml:space="preserve"> supports appropriate? If not, why not? Please provide evidence. </w:t>
            </w:r>
          </w:p>
          <w:p w14:paraId="0A687468" w14:textId="1EFF6041" w:rsidR="00015B07" w:rsidRPr="005F20F5" w:rsidRDefault="00015B07" w:rsidP="00015B07">
            <w:pPr>
              <w:pStyle w:val="QUESTION"/>
            </w:pPr>
            <w:r w:rsidRPr="005F20F5">
              <w:t xml:space="preserve">Are the current price limits for nursing supports appropriate? If not, why not? Please provide evidence. </w:t>
            </w:r>
          </w:p>
          <w:p w14:paraId="461C4FE4" w14:textId="25AC9EE5" w:rsidR="00015B07" w:rsidRPr="005F20F5" w:rsidRDefault="00015B07" w:rsidP="00015B07">
            <w:pPr>
              <w:pStyle w:val="QUESTION"/>
            </w:pPr>
            <w:r w:rsidRPr="005F20F5">
              <w:t>What considerations should be taken into account when comparing NDIS arrangements for therapy and nursing supports to Australian Government and state government schemes and the private market?</w:t>
            </w:r>
          </w:p>
          <w:p w14:paraId="21CE6237" w14:textId="77777777" w:rsidR="00C46E2E" w:rsidRPr="005F20F5" w:rsidRDefault="00C46E2E" w:rsidP="00C94854">
            <w:pPr>
              <w:pStyle w:val="QUESTION"/>
            </w:pPr>
            <w:r w:rsidRPr="005F20F5">
              <w:t>Are there</w:t>
            </w:r>
            <w:r w:rsidR="001B16F3" w:rsidRPr="005F20F5">
              <w:t xml:space="preserve"> any other issues with the pricing arrangements for therapy supports</w:t>
            </w:r>
            <w:r w:rsidRPr="005F20F5">
              <w:t>?</w:t>
            </w:r>
            <w:r w:rsidR="00C94854" w:rsidRPr="005F20F5">
              <w:t xml:space="preserve"> For example, would a “per consultation” billing approach be more appropriate for therapy supports? Are the travel and non-face-for billing arrangements appropriate for therapy supports?</w:t>
            </w:r>
            <w:r w:rsidR="00004224" w:rsidRPr="005F20F5">
              <w:t xml:space="preserve"> Please provide evidence.</w:t>
            </w:r>
          </w:p>
        </w:tc>
      </w:tr>
    </w:tbl>
    <w:p w14:paraId="1762FC78" w14:textId="77777777" w:rsidR="007667AF" w:rsidRPr="005F20F5" w:rsidRDefault="007667AF" w:rsidP="00380CDE">
      <w:pPr>
        <w:sectPr w:rsidR="007667AF" w:rsidRPr="005F20F5" w:rsidSect="00872AF9">
          <w:headerReference w:type="default" r:id="rId29"/>
          <w:headerReference w:type="first" r:id="rId30"/>
          <w:pgSz w:w="11907" w:h="16839" w:code="9"/>
          <w:pgMar w:top="1440" w:right="1440" w:bottom="1440" w:left="1440" w:header="709" w:footer="709" w:gutter="0"/>
          <w:cols w:space="708"/>
          <w:titlePg/>
          <w:docGrid w:linePitch="360"/>
        </w:sectPr>
      </w:pPr>
      <w:bookmarkStart w:id="77" w:name="_Ref23256544"/>
      <w:bookmarkStart w:id="78" w:name="_Ref24369092"/>
    </w:p>
    <w:p w14:paraId="4B7C4077" w14:textId="77777777" w:rsidR="007667AF" w:rsidRPr="005F20F5" w:rsidRDefault="007667AF" w:rsidP="00380CDE">
      <w:pPr>
        <w:pStyle w:val="Heading1"/>
      </w:pPr>
      <w:bookmarkStart w:id="79" w:name="_Toc85097270"/>
      <w:r w:rsidRPr="005F20F5">
        <w:t>Support Coordination</w:t>
      </w:r>
      <w:bookmarkEnd w:id="79"/>
    </w:p>
    <w:p w14:paraId="78C1E9E5" w14:textId="77777777" w:rsidR="007667AF" w:rsidRPr="005F20F5" w:rsidRDefault="00B933E9" w:rsidP="007A0655">
      <w:r w:rsidRPr="005F20F5">
        <w:t>The 2021</w:t>
      </w:r>
      <w:r w:rsidR="007A0655" w:rsidRPr="005F20F5">
        <w:t>-22</w:t>
      </w:r>
      <w:r w:rsidRPr="005F20F5">
        <w:t xml:space="preserve"> Annual Pricing </w:t>
      </w:r>
      <w:r w:rsidR="007667AF" w:rsidRPr="005F20F5">
        <w:t>Review</w:t>
      </w:r>
      <w:r w:rsidRPr="005F20F5">
        <w:t xml:space="preserve"> is required by its Terms of Reference to review</w:t>
      </w:r>
      <w:r w:rsidR="007667AF" w:rsidRPr="005F20F5">
        <w:t xml:space="preserve"> the pricing arrangements for support coordination to encourage innovation, improve quality of service and ensure value for money.</w:t>
      </w:r>
    </w:p>
    <w:p w14:paraId="42370022" w14:textId="77777777" w:rsidR="00EB3BC2" w:rsidRPr="005F20F5" w:rsidRDefault="00EB3BC2" w:rsidP="00EB3BC2">
      <w:pPr>
        <w:pStyle w:val="Heading2"/>
      </w:pPr>
      <w:bookmarkStart w:id="80" w:name="_Toc85097271"/>
      <w:r w:rsidRPr="005F20F5">
        <w:t>Background</w:t>
      </w:r>
      <w:bookmarkEnd w:id="80"/>
    </w:p>
    <w:p w14:paraId="530D01A0" w14:textId="77777777" w:rsidR="00EB3BC2" w:rsidRPr="005F20F5" w:rsidRDefault="00EB3BC2" w:rsidP="00EB3BC2">
      <w:r w:rsidRPr="005F20F5">
        <w:t>In 2019-20, some 140,262 participants made claims for support coordination. These claims totalled $431.7 million. Supports were delivered by 2,171 different providers. On average, each eligible participant received 31.2 hours of support coordination in 2019-20 at an annual cost of $3,078.</w:t>
      </w:r>
    </w:p>
    <w:p w14:paraId="350438D5" w14:textId="77777777" w:rsidR="00EB3BC2" w:rsidRPr="005F20F5" w:rsidRDefault="00EB3BC2" w:rsidP="00EB3BC2">
      <w:r w:rsidRPr="005F20F5">
        <w:t>In the first nine months of 2020-21, some 166,708 participants made claims for support coordination. These claims totalled $461.3 million. Supports were delivered by 2,433 different providers. On average, each eligible participant received 28.0 hours of support coordination in the nine months (annualised as 37.3 hours) at a cost of $2,767 (annualised as $3,690).</w:t>
      </w:r>
    </w:p>
    <w:p w14:paraId="7E0517D2" w14:textId="77777777" w:rsidR="00EB3BC2" w:rsidRPr="005F20F5" w:rsidRDefault="00EB3BC2" w:rsidP="00EB3BC2">
      <w:r w:rsidRPr="005F20F5">
        <w:t>Of the 2,433 providers who delivered supports in the first nine months of 2020-21:</w:t>
      </w:r>
    </w:p>
    <w:p w14:paraId="246FC854" w14:textId="77777777" w:rsidR="00EB3BC2" w:rsidRPr="005F20F5" w:rsidRDefault="00EB3BC2" w:rsidP="00EB3BC2">
      <w:pPr>
        <w:pStyle w:val="ListParagraph"/>
        <w:numPr>
          <w:ilvl w:val="0"/>
          <w:numId w:val="32"/>
        </w:numPr>
      </w:pPr>
      <w:r w:rsidRPr="005F20F5">
        <w:t>522 delivered Level 1: Support Connection (Registration Group 0106);</w:t>
      </w:r>
    </w:p>
    <w:p w14:paraId="6F650DDD" w14:textId="77777777" w:rsidR="00EB3BC2" w:rsidRPr="005F20F5" w:rsidRDefault="00EB3BC2" w:rsidP="00EB3BC2">
      <w:pPr>
        <w:pStyle w:val="ListParagraph"/>
        <w:numPr>
          <w:ilvl w:val="0"/>
          <w:numId w:val="32"/>
        </w:numPr>
      </w:pPr>
      <w:r w:rsidRPr="005F20F5">
        <w:t>2,380 delivered Level 2: Coordination of Supports (Registration Group 0106); and</w:t>
      </w:r>
    </w:p>
    <w:p w14:paraId="12D1BED7" w14:textId="77777777" w:rsidR="00EB3BC2" w:rsidRPr="005F20F5" w:rsidRDefault="00EB3BC2" w:rsidP="00EB3BC2">
      <w:pPr>
        <w:pStyle w:val="ListParagraph"/>
        <w:numPr>
          <w:ilvl w:val="0"/>
          <w:numId w:val="32"/>
        </w:numPr>
      </w:pPr>
      <w:r w:rsidRPr="005F20F5">
        <w:t>712 delivered Level 3: Specialist Support Coordination supports (Registration Group 0132) - with only about 300 of these not also delivering Level 1 or Level 2 supports.</w:t>
      </w:r>
    </w:p>
    <w:p w14:paraId="1392F2C8" w14:textId="77777777" w:rsidR="00EB3BC2" w:rsidRPr="005F20F5" w:rsidRDefault="00EB3BC2" w:rsidP="00EB3BC2">
      <w:r w:rsidRPr="005F20F5">
        <w:t>The following Table provides more detailed information for 2019-20</w:t>
      </w:r>
    </w:p>
    <w:tbl>
      <w:tblPr>
        <w:tblStyle w:val="GridTable4-Accent1"/>
        <w:tblW w:w="0" w:type="auto"/>
        <w:tblLook w:val="0420" w:firstRow="1" w:lastRow="0" w:firstColumn="0" w:lastColumn="0" w:noHBand="0" w:noVBand="1"/>
        <w:tblCaption w:val="Level 1, 2 and 3 price limits"/>
        <w:tblDescription w:val="Table outlining the level 1, 2 and 3 price limits for share of participants, hours, expenditure and average number of hours and annual costs"/>
      </w:tblPr>
      <w:tblGrid>
        <w:gridCol w:w="4531"/>
        <w:gridCol w:w="1495"/>
        <w:gridCol w:w="1495"/>
        <w:gridCol w:w="1495"/>
      </w:tblGrid>
      <w:tr w:rsidR="00EB3BC2" w:rsidRPr="005F20F5" w14:paraId="74793672" w14:textId="77777777" w:rsidTr="003D1C27">
        <w:trPr>
          <w:cnfStyle w:val="100000000000" w:firstRow="1" w:lastRow="0" w:firstColumn="0" w:lastColumn="0" w:oddVBand="0" w:evenVBand="0" w:oddHBand="0" w:evenHBand="0" w:firstRowFirstColumn="0" w:firstRowLastColumn="0" w:lastRowFirstColumn="0" w:lastRowLastColumn="0"/>
          <w:tblHeader/>
        </w:trPr>
        <w:tc>
          <w:tcPr>
            <w:tcW w:w="4531" w:type="dxa"/>
          </w:tcPr>
          <w:p w14:paraId="0778B0BC" w14:textId="77777777" w:rsidR="00EB3BC2" w:rsidRPr="005F20F5" w:rsidRDefault="00EB3BC2" w:rsidP="00EB3BC2">
            <w:pPr>
              <w:spacing w:before="40" w:after="40"/>
              <w:rPr>
                <w:rFonts w:cs="Arial"/>
                <w:sz w:val="16"/>
                <w:szCs w:val="16"/>
              </w:rPr>
            </w:pPr>
          </w:p>
        </w:tc>
        <w:tc>
          <w:tcPr>
            <w:tcW w:w="1495" w:type="dxa"/>
            <w:hideMark/>
          </w:tcPr>
          <w:p w14:paraId="3C20DA1D" w14:textId="77777777" w:rsidR="00EB3BC2" w:rsidRPr="005F20F5" w:rsidRDefault="00EB3BC2" w:rsidP="00EB3BC2">
            <w:pPr>
              <w:spacing w:before="40" w:after="40"/>
              <w:jc w:val="center"/>
              <w:rPr>
                <w:rFonts w:cs="Arial"/>
                <w:sz w:val="16"/>
                <w:szCs w:val="16"/>
              </w:rPr>
            </w:pPr>
            <w:r w:rsidRPr="005F20F5">
              <w:rPr>
                <w:rFonts w:cs="Arial"/>
                <w:sz w:val="16"/>
                <w:szCs w:val="16"/>
              </w:rPr>
              <w:t>Level 1</w:t>
            </w:r>
          </w:p>
        </w:tc>
        <w:tc>
          <w:tcPr>
            <w:tcW w:w="1495" w:type="dxa"/>
            <w:hideMark/>
          </w:tcPr>
          <w:p w14:paraId="535C5EC1" w14:textId="07DDFC1D" w:rsidR="00EB3BC2" w:rsidRPr="005F20F5" w:rsidRDefault="00EB3BC2" w:rsidP="00EB3BC2">
            <w:pPr>
              <w:spacing w:before="40" w:after="40"/>
              <w:jc w:val="center"/>
              <w:rPr>
                <w:rFonts w:cs="Arial"/>
                <w:sz w:val="16"/>
                <w:szCs w:val="16"/>
              </w:rPr>
            </w:pPr>
            <w:r w:rsidRPr="005F20F5">
              <w:rPr>
                <w:rFonts w:cs="Arial"/>
                <w:sz w:val="16"/>
                <w:szCs w:val="16"/>
              </w:rPr>
              <w:t>Level</w:t>
            </w:r>
            <w:r w:rsidR="003D1C27" w:rsidRPr="005F20F5">
              <w:rPr>
                <w:rFonts w:cs="Arial"/>
                <w:sz w:val="16"/>
                <w:szCs w:val="16"/>
              </w:rPr>
              <w:t xml:space="preserve"> </w:t>
            </w:r>
            <w:r w:rsidRPr="005F20F5">
              <w:rPr>
                <w:rFonts w:cs="Arial"/>
                <w:sz w:val="16"/>
                <w:szCs w:val="16"/>
              </w:rPr>
              <w:t>2</w:t>
            </w:r>
          </w:p>
        </w:tc>
        <w:tc>
          <w:tcPr>
            <w:tcW w:w="1495" w:type="dxa"/>
            <w:hideMark/>
          </w:tcPr>
          <w:p w14:paraId="19ABF240" w14:textId="77777777" w:rsidR="00EB3BC2" w:rsidRPr="005F20F5" w:rsidRDefault="00EB3BC2" w:rsidP="00EB3BC2">
            <w:pPr>
              <w:spacing w:before="40" w:after="40"/>
              <w:jc w:val="center"/>
              <w:rPr>
                <w:rFonts w:cs="Arial"/>
                <w:sz w:val="16"/>
                <w:szCs w:val="16"/>
              </w:rPr>
            </w:pPr>
            <w:r w:rsidRPr="005F20F5">
              <w:rPr>
                <w:rFonts w:cs="Arial"/>
                <w:sz w:val="16"/>
                <w:szCs w:val="16"/>
              </w:rPr>
              <w:t>Level 3</w:t>
            </w:r>
          </w:p>
        </w:tc>
      </w:tr>
      <w:tr w:rsidR="00EB3BC2" w:rsidRPr="005F20F5" w14:paraId="4932B040" w14:textId="77777777" w:rsidTr="00A52B74">
        <w:trPr>
          <w:cnfStyle w:val="000000100000" w:firstRow="0" w:lastRow="0" w:firstColumn="0" w:lastColumn="0" w:oddVBand="0" w:evenVBand="0" w:oddHBand="1" w:evenHBand="0" w:firstRowFirstColumn="0" w:firstRowLastColumn="0" w:lastRowFirstColumn="0" w:lastRowLastColumn="0"/>
        </w:trPr>
        <w:tc>
          <w:tcPr>
            <w:tcW w:w="4531"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692AB244" w14:textId="77777777" w:rsidR="00EB3BC2" w:rsidRPr="005F20F5" w:rsidRDefault="00EB3BC2" w:rsidP="00EB3BC2">
            <w:pPr>
              <w:spacing w:before="40" w:after="40"/>
              <w:rPr>
                <w:rFonts w:cs="Arial"/>
                <w:sz w:val="16"/>
                <w:szCs w:val="16"/>
              </w:rPr>
            </w:pPr>
            <w:r w:rsidRPr="005F20F5">
              <w:rPr>
                <w:rFonts w:cs="Arial"/>
                <w:sz w:val="16"/>
                <w:szCs w:val="16"/>
              </w:rPr>
              <w:t>Price Limit (per hour)</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2605C87A" w14:textId="77777777" w:rsidR="00EB3BC2" w:rsidRPr="005F20F5" w:rsidRDefault="00EB3BC2" w:rsidP="00EB3BC2">
            <w:pPr>
              <w:spacing w:before="40" w:after="40"/>
              <w:jc w:val="center"/>
              <w:rPr>
                <w:rFonts w:cs="Arial"/>
                <w:sz w:val="16"/>
                <w:szCs w:val="16"/>
              </w:rPr>
            </w:pPr>
            <w:r w:rsidRPr="005F20F5">
              <w:rPr>
                <w:rFonts w:cs="Arial"/>
                <w:sz w:val="16"/>
                <w:szCs w:val="16"/>
              </w:rPr>
              <w:t>$63.21</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46E8A7C4" w14:textId="77777777" w:rsidR="00EB3BC2" w:rsidRPr="005F20F5" w:rsidRDefault="00EB3BC2" w:rsidP="00EB3BC2">
            <w:pPr>
              <w:spacing w:before="40" w:after="40"/>
              <w:jc w:val="center"/>
              <w:rPr>
                <w:rFonts w:cs="Arial"/>
                <w:sz w:val="16"/>
                <w:szCs w:val="16"/>
              </w:rPr>
            </w:pPr>
            <w:r w:rsidRPr="005F20F5">
              <w:rPr>
                <w:rFonts w:cs="Arial"/>
                <w:sz w:val="16"/>
                <w:szCs w:val="16"/>
              </w:rPr>
              <w:t>$100.14</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6678F3ED" w14:textId="77777777" w:rsidR="00EB3BC2" w:rsidRPr="005F20F5" w:rsidRDefault="00EB3BC2" w:rsidP="00EB3BC2">
            <w:pPr>
              <w:spacing w:before="40" w:after="40"/>
              <w:jc w:val="center"/>
              <w:rPr>
                <w:rFonts w:cs="Arial"/>
                <w:sz w:val="16"/>
                <w:szCs w:val="16"/>
              </w:rPr>
            </w:pPr>
            <w:r w:rsidRPr="005F20F5">
              <w:rPr>
                <w:rFonts w:cs="Arial"/>
                <w:sz w:val="16"/>
                <w:szCs w:val="16"/>
              </w:rPr>
              <w:t>$190.54</w:t>
            </w:r>
          </w:p>
        </w:tc>
      </w:tr>
      <w:tr w:rsidR="00EB3BC2" w:rsidRPr="005F20F5" w14:paraId="11D33E03" w14:textId="77777777" w:rsidTr="00A52B74">
        <w:tc>
          <w:tcPr>
            <w:tcW w:w="4531"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38A06955" w14:textId="77777777" w:rsidR="00EB3BC2" w:rsidRPr="005F20F5" w:rsidRDefault="00EB3BC2" w:rsidP="00EB3BC2">
            <w:pPr>
              <w:spacing w:before="40" w:after="40"/>
              <w:rPr>
                <w:rFonts w:cs="Arial"/>
                <w:sz w:val="16"/>
                <w:szCs w:val="16"/>
              </w:rPr>
            </w:pPr>
            <w:r w:rsidRPr="005F20F5">
              <w:rPr>
                <w:rFonts w:cs="Arial"/>
                <w:sz w:val="16"/>
                <w:szCs w:val="16"/>
              </w:rPr>
              <w:t>Share of participants who receive support coordination</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7CF5B2CC" w14:textId="77777777" w:rsidR="00EB3BC2" w:rsidRPr="005F20F5" w:rsidRDefault="00EB3BC2" w:rsidP="00EB3BC2">
            <w:pPr>
              <w:spacing w:before="40" w:after="40"/>
              <w:jc w:val="center"/>
              <w:rPr>
                <w:rFonts w:cs="Arial"/>
                <w:sz w:val="16"/>
                <w:szCs w:val="16"/>
              </w:rPr>
            </w:pPr>
            <w:r w:rsidRPr="005F20F5">
              <w:rPr>
                <w:rFonts w:cs="Arial"/>
                <w:sz w:val="16"/>
                <w:szCs w:val="16"/>
              </w:rPr>
              <w:t>1.7%</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78D942E7" w14:textId="77777777" w:rsidR="00EB3BC2" w:rsidRPr="005F20F5" w:rsidRDefault="00EB3BC2" w:rsidP="00EB3BC2">
            <w:pPr>
              <w:spacing w:before="40" w:after="40"/>
              <w:jc w:val="center"/>
              <w:rPr>
                <w:rFonts w:cs="Arial"/>
                <w:sz w:val="16"/>
                <w:szCs w:val="16"/>
              </w:rPr>
            </w:pPr>
            <w:r w:rsidRPr="005F20F5">
              <w:rPr>
                <w:rFonts w:cs="Arial"/>
                <w:sz w:val="16"/>
                <w:szCs w:val="16"/>
              </w:rPr>
              <w:t>97.8%</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41E88F6E" w14:textId="77777777" w:rsidR="00EB3BC2" w:rsidRPr="005F20F5" w:rsidRDefault="00EB3BC2" w:rsidP="00EB3BC2">
            <w:pPr>
              <w:spacing w:before="40" w:after="40"/>
              <w:jc w:val="center"/>
              <w:rPr>
                <w:rFonts w:cs="Arial"/>
                <w:sz w:val="16"/>
                <w:szCs w:val="16"/>
              </w:rPr>
            </w:pPr>
            <w:r w:rsidRPr="005F20F5">
              <w:rPr>
                <w:rFonts w:cs="Arial"/>
                <w:sz w:val="16"/>
                <w:szCs w:val="16"/>
              </w:rPr>
              <w:t>3.9%</w:t>
            </w:r>
          </w:p>
        </w:tc>
      </w:tr>
      <w:tr w:rsidR="00EB3BC2" w:rsidRPr="005F20F5" w14:paraId="4483AE28" w14:textId="77777777" w:rsidTr="00A52B74">
        <w:trPr>
          <w:cnfStyle w:val="000000100000" w:firstRow="0" w:lastRow="0" w:firstColumn="0" w:lastColumn="0" w:oddVBand="0" w:evenVBand="0" w:oddHBand="1" w:evenHBand="0" w:firstRowFirstColumn="0" w:firstRowLastColumn="0" w:lastRowFirstColumn="0" w:lastRowLastColumn="0"/>
        </w:trPr>
        <w:tc>
          <w:tcPr>
            <w:tcW w:w="4531"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6FFEC4C4" w14:textId="77777777" w:rsidR="00EB3BC2" w:rsidRPr="005F20F5" w:rsidRDefault="00EB3BC2" w:rsidP="00EB3BC2">
            <w:pPr>
              <w:spacing w:before="40" w:after="40"/>
              <w:rPr>
                <w:rFonts w:cs="Arial"/>
                <w:sz w:val="16"/>
                <w:szCs w:val="16"/>
              </w:rPr>
            </w:pPr>
            <w:r w:rsidRPr="005F20F5">
              <w:rPr>
                <w:rFonts w:cs="Arial"/>
                <w:sz w:val="16"/>
                <w:szCs w:val="16"/>
              </w:rPr>
              <w:t>Share of hours of support coordination</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1BCF7E94" w14:textId="77777777" w:rsidR="00EB3BC2" w:rsidRPr="005F20F5" w:rsidRDefault="00EB3BC2" w:rsidP="00EB3BC2">
            <w:pPr>
              <w:spacing w:before="40" w:after="40"/>
              <w:jc w:val="center"/>
              <w:rPr>
                <w:rFonts w:cs="Arial"/>
                <w:sz w:val="16"/>
                <w:szCs w:val="16"/>
              </w:rPr>
            </w:pPr>
            <w:r w:rsidRPr="005F20F5">
              <w:rPr>
                <w:rFonts w:cs="Arial"/>
                <w:sz w:val="16"/>
                <w:szCs w:val="16"/>
              </w:rPr>
              <w:t>0.5%</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0237B27C" w14:textId="77777777" w:rsidR="00EB3BC2" w:rsidRPr="005F20F5" w:rsidRDefault="00EB3BC2" w:rsidP="00EB3BC2">
            <w:pPr>
              <w:spacing w:before="40" w:after="40"/>
              <w:jc w:val="center"/>
              <w:rPr>
                <w:rFonts w:cs="Arial"/>
                <w:sz w:val="16"/>
                <w:szCs w:val="16"/>
              </w:rPr>
            </w:pPr>
            <w:r w:rsidRPr="005F20F5">
              <w:rPr>
                <w:rFonts w:cs="Arial"/>
                <w:sz w:val="16"/>
                <w:szCs w:val="16"/>
              </w:rPr>
              <w:t>95.5%</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2DC6F3CC" w14:textId="77777777" w:rsidR="00EB3BC2" w:rsidRPr="005F20F5" w:rsidRDefault="00EB3BC2" w:rsidP="00EB3BC2">
            <w:pPr>
              <w:spacing w:before="40" w:after="40"/>
              <w:jc w:val="center"/>
              <w:rPr>
                <w:rFonts w:cs="Arial"/>
                <w:sz w:val="16"/>
                <w:szCs w:val="16"/>
              </w:rPr>
            </w:pPr>
            <w:r w:rsidRPr="005F20F5">
              <w:rPr>
                <w:rFonts w:cs="Arial"/>
                <w:sz w:val="16"/>
                <w:szCs w:val="16"/>
              </w:rPr>
              <w:t>4.0%</w:t>
            </w:r>
          </w:p>
        </w:tc>
      </w:tr>
      <w:tr w:rsidR="00EB3BC2" w:rsidRPr="005F20F5" w14:paraId="302EA03E" w14:textId="77777777" w:rsidTr="00A52B74">
        <w:tc>
          <w:tcPr>
            <w:tcW w:w="4531"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0ABD053C" w14:textId="77777777" w:rsidR="00EB3BC2" w:rsidRPr="005F20F5" w:rsidRDefault="00EB3BC2" w:rsidP="00EB3BC2">
            <w:pPr>
              <w:spacing w:before="40" w:after="40"/>
              <w:rPr>
                <w:rFonts w:cs="Arial"/>
                <w:sz w:val="16"/>
                <w:szCs w:val="16"/>
              </w:rPr>
            </w:pPr>
            <w:r w:rsidRPr="005F20F5">
              <w:rPr>
                <w:rFonts w:cs="Arial"/>
                <w:sz w:val="16"/>
                <w:szCs w:val="16"/>
              </w:rPr>
              <w:t>Share of expenditure on support coordination</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107E73F7" w14:textId="77777777" w:rsidR="00EB3BC2" w:rsidRPr="005F20F5" w:rsidRDefault="00EB3BC2" w:rsidP="00EB3BC2">
            <w:pPr>
              <w:spacing w:before="40" w:after="40"/>
              <w:jc w:val="center"/>
              <w:rPr>
                <w:rFonts w:cs="Arial"/>
                <w:sz w:val="16"/>
                <w:szCs w:val="16"/>
              </w:rPr>
            </w:pPr>
            <w:r w:rsidRPr="005F20F5">
              <w:rPr>
                <w:rFonts w:cs="Arial"/>
                <w:sz w:val="16"/>
                <w:szCs w:val="16"/>
              </w:rPr>
              <w:t>0.3%</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5E3381CD" w14:textId="77777777" w:rsidR="00EB3BC2" w:rsidRPr="005F20F5" w:rsidRDefault="00EB3BC2" w:rsidP="00EB3BC2">
            <w:pPr>
              <w:spacing w:before="40" w:after="40"/>
              <w:jc w:val="center"/>
              <w:rPr>
                <w:rFonts w:cs="Arial"/>
                <w:sz w:val="16"/>
                <w:szCs w:val="16"/>
              </w:rPr>
            </w:pPr>
            <w:r w:rsidRPr="005F20F5">
              <w:rPr>
                <w:rFonts w:cs="Arial"/>
                <w:sz w:val="16"/>
                <w:szCs w:val="16"/>
              </w:rPr>
              <w:t>92.7%</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790782B7" w14:textId="77777777" w:rsidR="00EB3BC2" w:rsidRPr="005F20F5" w:rsidRDefault="00EB3BC2" w:rsidP="00EB3BC2">
            <w:pPr>
              <w:spacing w:before="40" w:after="40"/>
              <w:jc w:val="center"/>
              <w:rPr>
                <w:rFonts w:cs="Arial"/>
                <w:sz w:val="16"/>
                <w:szCs w:val="16"/>
              </w:rPr>
            </w:pPr>
            <w:r w:rsidRPr="005F20F5">
              <w:rPr>
                <w:rFonts w:cs="Arial"/>
                <w:sz w:val="16"/>
                <w:szCs w:val="16"/>
              </w:rPr>
              <w:t>7.0%</w:t>
            </w:r>
          </w:p>
        </w:tc>
      </w:tr>
      <w:tr w:rsidR="00EB3BC2" w:rsidRPr="005F20F5" w14:paraId="292D266F" w14:textId="77777777" w:rsidTr="00A52B74">
        <w:trPr>
          <w:cnfStyle w:val="000000100000" w:firstRow="0" w:lastRow="0" w:firstColumn="0" w:lastColumn="0" w:oddVBand="0" w:evenVBand="0" w:oddHBand="1" w:evenHBand="0" w:firstRowFirstColumn="0" w:firstRowLastColumn="0" w:lastRowFirstColumn="0" w:lastRowLastColumn="0"/>
        </w:trPr>
        <w:tc>
          <w:tcPr>
            <w:tcW w:w="4531"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07C62472" w14:textId="77777777" w:rsidR="00EB3BC2" w:rsidRPr="005F20F5" w:rsidRDefault="00EB3BC2" w:rsidP="00EB3BC2">
            <w:pPr>
              <w:spacing w:before="40" w:after="40"/>
              <w:rPr>
                <w:rFonts w:cs="Arial"/>
                <w:sz w:val="16"/>
                <w:szCs w:val="16"/>
              </w:rPr>
            </w:pPr>
            <w:r w:rsidRPr="005F20F5">
              <w:rPr>
                <w:rFonts w:cs="Arial"/>
                <w:sz w:val="16"/>
                <w:szCs w:val="16"/>
              </w:rPr>
              <w:t>Average number of hours per year at this level of support per participant receiving this level of support</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5770EC8C" w14:textId="77777777" w:rsidR="00EB3BC2" w:rsidRPr="005F20F5" w:rsidRDefault="00EB3BC2" w:rsidP="00EB3BC2">
            <w:pPr>
              <w:spacing w:before="40" w:after="40"/>
              <w:jc w:val="center"/>
              <w:rPr>
                <w:rFonts w:cs="Arial"/>
                <w:sz w:val="16"/>
                <w:szCs w:val="16"/>
              </w:rPr>
            </w:pPr>
            <w:r w:rsidRPr="005F20F5">
              <w:rPr>
                <w:rFonts w:cs="Arial"/>
                <w:sz w:val="16"/>
                <w:szCs w:val="16"/>
              </w:rPr>
              <w:t>9.1</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222FAD79" w14:textId="77777777" w:rsidR="00EB3BC2" w:rsidRPr="005F20F5" w:rsidRDefault="00EB3BC2" w:rsidP="00EB3BC2">
            <w:pPr>
              <w:spacing w:before="40" w:after="40"/>
              <w:jc w:val="center"/>
              <w:rPr>
                <w:rFonts w:cs="Arial"/>
                <w:sz w:val="16"/>
                <w:szCs w:val="16"/>
              </w:rPr>
            </w:pPr>
            <w:r w:rsidRPr="005F20F5">
              <w:rPr>
                <w:rFonts w:cs="Arial"/>
                <w:sz w:val="16"/>
                <w:szCs w:val="16"/>
              </w:rPr>
              <w:t>30.5</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1A1EC30A" w14:textId="77777777" w:rsidR="00EB3BC2" w:rsidRPr="005F20F5" w:rsidRDefault="00EB3BC2" w:rsidP="00EB3BC2">
            <w:pPr>
              <w:spacing w:before="40" w:after="40"/>
              <w:jc w:val="center"/>
              <w:rPr>
                <w:rFonts w:cs="Arial"/>
                <w:sz w:val="16"/>
                <w:szCs w:val="16"/>
              </w:rPr>
            </w:pPr>
            <w:r w:rsidRPr="005F20F5">
              <w:rPr>
                <w:rFonts w:cs="Arial"/>
                <w:sz w:val="16"/>
                <w:szCs w:val="16"/>
              </w:rPr>
              <w:t>31.8</w:t>
            </w:r>
          </w:p>
        </w:tc>
      </w:tr>
      <w:tr w:rsidR="00EB3BC2" w:rsidRPr="005F20F5" w14:paraId="7181AB8F" w14:textId="77777777" w:rsidTr="00A52B74">
        <w:tc>
          <w:tcPr>
            <w:tcW w:w="4531"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442834F5" w14:textId="77777777" w:rsidR="00EB3BC2" w:rsidRPr="005F20F5" w:rsidRDefault="00EB3BC2" w:rsidP="00EB3BC2">
            <w:pPr>
              <w:spacing w:before="40" w:after="40"/>
              <w:rPr>
                <w:rFonts w:cs="Arial"/>
                <w:sz w:val="16"/>
                <w:szCs w:val="16"/>
              </w:rPr>
            </w:pPr>
            <w:r w:rsidRPr="005F20F5">
              <w:rPr>
                <w:rFonts w:cs="Arial"/>
                <w:sz w:val="16"/>
                <w:szCs w:val="16"/>
              </w:rPr>
              <w:t>Average annual cost of this level of support per participant receiving this level of support</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55848387" w14:textId="77777777" w:rsidR="00EB3BC2" w:rsidRPr="005F20F5" w:rsidRDefault="00EB3BC2" w:rsidP="00EB3BC2">
            <w:pPr>
              <w:spacing w:before="40" w:after="40"/>
              <w:jc w:val="center"/>
              <w:rPr>
                <w:rFonts w:cs="Arial"/>
                <w:sz w:val="16"/>
                <w:szCs w:val="16"/>
              </w:rPr>
            </w:pPr>
            <w:r w:rsidRPr="005F20F5">
              <w:rPr>
                <w:rFonts w:cs="Arial"/>
                <w:sz w:val="16"/>
                <w:szCs w:val="16"/>
              </w:rPr>
              <w:t>$538</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57B6BACB" w14:textId="77777777" w:rsidR="00EB3BC2" w:rsidRPr="005F20F5" w:rsidRDefault="00EB3BC2" w:rsidP="00EB3BC2">
            <w:pPr>
              <w:spacing w:before="40" w:after="40"/>
              <w:jc w:val="center"/>
              <w:rPr>
                <w:rFonts w:cs="Arial"/>
                <w:sz w:val="16"/>
                <w:szCs w:val="16"/>
              </w:rPr>
            </w:pPr>
            <w:r w:rsidRPr="005F20F5">
              <w:rPr>
                <w:rFonts w:cs="Arial"/>
                <w:sz w:val="16"/>
                <w:szCs w:val="16"/>
              </w:rPr>
              <w:t>$2,919</w:t>
            </w:r>
          </w:p>
        </w:tc>
        <w:tc>
          <w:tcPr>
            <w:tcW w:w="1495" w:type="dxa"/>
            <w:tc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tcBorders>
            <w:hideMark/>
          </w:tcPr>
          <w:p w14:paraId="1828D50A" w14:textId="77777777" w:rsidR="00EB3BC2" w:rsidRPr="005F20F5" w:rsidRDefault="00EB3BC2" w:rsidP="00EB3BC2">
            <w:pPr>
              <w:spacing w:before="40" w:after="40"/>
              <w:jc w:val="center"/>
              <w:rPr>
                <w:rFonts w:cs="Arial"/>
                <w:sz w:val="16"/>
                <w:szCs w:val="16"/>
              </w:rPr>
            </w:pPr>
            <w:r w:rsidRPr="005F20F5">
              <w:rPr>
                <w:rFonts w:cs="Arial"/>
                <w:sz w:val="16"/>
                <w:szCs w:val="16"/>
              </w:rPr>
              <w:t>$5,439</w:t>
            </w:r>
          </w:p>
        </w:tc>
      </w:tr>
    </w:tbl>
    <w:p w14:paraId="169F7F5E" w14:textId="77777777" w:rsidR="00EB3BC2" w:rsidRPr="005F20F5" w:rsidRDefault="00EB3BC2" w:rsidP="00EB3BC2">
      <w:pPr>
        <w:jc w:val="center"/>
        <w:rPr>
          <w:sz w:val="16"/>
          <w:szCs w:val="16"/>
        </w:rPr>
      </w:pPr>
      <w:r w:rsidRPr="005F20F5">
        <w:rPr>
          <w:sz w:val="16"/>
          <w:szCs w:val="16"/>
        </w:rPr>
        <w:t>Note: The first row adds to more than 100% because a small number of participants receive supports at more than one level.</w:t>
      </w:r>
    </w:p>
    <w:p w14:paraId="7FE5FAB5" w14:textId="77777777" w:rsidR="00592B81" w:rsidRPr="005F20F5" w:rsidRDefault="00592B81" w:rsidP="004E6B4B">
      <w:pPr>
        <w:pStyle w:val="Heading2"/>
      </w:pPr>
      <w:bookmarkStart w:id="81" w:name="_Toc85097272"/>
      <w:r w:rsidRPr="005F20F5">
        <w:t>Current arrangements</w:t>
      </w:r>
      <w:bookmarkEnd w:id="81"/>
    </w:p>
    <w:p w14:paraId="34CFEF7C" w14:textId="77777777" w:rsidR="007A0655" w:rsidRPr="005F20F5" w:rsidRDefault="00D83D51" w:rsidP="007A0655">
      <w:r w:rsidRPr="005F20F5">
        <w:t>There are currently three different support coordination support items</w:t>
      </w:r>
    </w:p>
    <w:p w14:paraId="28233A18" w14:textId="77777777" w:rsidR="007A0655" w:rsidRPr="005F20F5" w:rsidRDefault="007A0655" w:rsidP="00D83D51">
      <w:pPr>
        <w:pStyle w:val="Heading3"/>
      </w:pPr>
      <w:bookmarkStart w:id="82" w:name="_Toc85097273"/>
      <w:r w:rsidRPr="005F20F5">
        <w:t>Level 1: Support Connection</w:t>
      </w:r>
      <w:bookmarkEnd w:id="82"/>
    </w:p>
    <w:p w14:paraId="6A788096" w14:textId="77777777" w:rsidR="007A0655" w:rsidRPr="005F20F5" w:rsidRDefault="007A0655" w:rsidP="007A0655">
      <w:r w:rsidRPr="005F20F5">
        <w:t xml:space="preserve">This support item assists a participant to implement their plan by strengthening their ability to connect with the broader systems of supports and to understand the purpose of the funded supports. Support Connection assists a participant to understand their NDIS plan, connect participants with broader systems of supports, and provide assistance to connect with providers. Support Connection will assist participants to achieve effective utilisation of their NDIS plan and answer questions as they arise. </w:t>
      </w:r>
    </w:p>
    <w:p w14:paraId="2BE9DA7A" w14:textId="77777777" w:rsidR="007A0655" w:rsidRPr="005F20F5" w:rsidRDefault="007A0655" w:rsidP="007A0655">
      <w:r w:rsidRPr="005F20F5">
        <w:t>Support Connection also increases a participant’s capacity to maintain (or in some cases change) support relationships, resolve service delivery issues, and participate independently in NDIA processes. Support Connection includes, but is not limited to:</w:t>
      </w:r>
    </w:p>
    <w:p w14:paraId="456F47F2" w14:textId="77777777" w:rsidR="007A0655" w:rsidRPr="005F20F5" w:rsidRDefault="007A0655" w:rsidP="00D83D51">
      <w:pPr>
        <w:pStyle w:val="ListParagraph"/>
        <w:numPr>
          <w:ilvl w:val="0"/>
          <w:numId w:val="32"/>
        </w:numPr>
      </w:pPr>
      <w:r w:rsidRPr="005F20F5">
        <w:t>Understand the Plan;</w:t>
      </w:r>
    </w:p>
    <w:p w14:paraId="5927EFA5" w14:textId="77777777" w:rsidR="007A0655" w:rsidRPr="005F20F5" w:rsidRDefault="007A0655" w:rsidP="00D83D51">
      <w:pPr>
        <w:pStyle w:val="ListParagraph"/>
        <w:numPr>
          <w:ilvl w:val="0"/>
          <w:numId w:val="32"/>
        </w:numPr>
      </w:pPr>
      <w:r w:rsidRPr="005F20F5">
        <w:t>Connect with Supports and Services;</w:t>
      </w:r>
    </w:p>
    <w:p w14:paraId="6C2179E3" w14:textId="77777777" w:rsidR="007A0655" w:rsidRPr="005F20F5" w:rsidRDefault="007A0655" w:rsidP="00D83D51">
      <w:pPr>
        <w:pStyle w:val="ListParagraph"/>
        <w:numPr>
          <w:ilvl w:val="0"/>
          <w:numId w:val="32"/>
        </w:numPr>
      </w:pPr>
      <w:r w:rsidRPr="005F20F5">
        <w:t>Establish Supports;</w:t>
      </w:r>
    </w:p>
    <w:p w14:paraId="5B4DD759" w14:textId="77777777" w:rsidR="007A0655" w:rsidRPr="005F20F5" w:rsidRDefault="007A0655" w:rsidP="00D83D51">
      <w:pPr>
        <w:pStyle w:val="ListParagraph"/>
        <w:numPr>
          <w:ilvl w:val="0"/>
          <w:numId w:val="32"/>
        </w:numPr>
      </w:pPr>
      <w:r w:rsidRPr="005F20F5">
        <w:t>Coach, Refine, Reflect; and</w:t>
      </w:r>
    </w:p>
    <w:p w14:paraId="544B6219" w14:textId="77777777" w:rsidR="007A0655" w:rsidRPr="005F20F5" w:rsidRDefault="007A0655" w:rsidP="00D83D51">
      <w:pPr>
        <w:pStyle w:val="ListParagraph"/>
        <w:numPr>
          <w:ilvl w:val="0"/>
          <w:numId w:val="32"/>
        </w:numPr>
      </w:pPr>
      <w:r w:rsidRPr="005F20F5">
        <w:t>Report to the NDIA.</w:t>
      </w:r>
    </w:p>
    <w:p w14:paraId="6AFF4115" w14:textId="77777777" w:rsidR="007A0655" w:rsidRPr="005F20F5" w:rsidRDefault="007A0655" w:rsidP="007A0655">
      <w:r w:rsidRPr="005F20F5">
        <w:t>This support item can be delivered to individual participants subject to the rules set out in this NDIS Pricing Arrangements and Price Limits.</w:t>
      </w:r>
    </w:p>
    <w:p w14:paraId="5D70A0F6" w14:textId="77777777" w:rsidR="007A0655" w:rsidRPr="005F20F5" w:rsidRDefault="007A0655" w:rsidP="007A0655">
      <w:pPr>
        <w:rPr>
          <w:b/>
        </w:rPr>
      </w:pPr>
      <w:r w:rsidRPr="005F20F5">
        <w:t>As well as direct service provision, these support items can be used to claim for</w:t>
      </w:r>
      <w:r w:rsidR="00D83D51" w:rsidRPr="005F20F5">
        <w:t xml:space="preserve"> </w:t>
      </w:r>
      <w:r w:rsidRPr="005F20F5">
        <w:t>Non-Face-to-Face Support Provision</w:t>
      </w:r>
      <w:r w:rsidR="00D83D51" w:rsidRPr="005F20F5">
        <w:t xml:space="preserve">, </w:t>
      </w:r>
      <w:r w:rsidRPr="005F20F5">
        <w:t>Provider Travel</w:t>
      </w:r>
      <w:r w:rsidR="00D83D51" w:rsidRPr="005F20F5">
        <w:t xml:space="preserve">, </w:t>
      </w:r>
      <w:r w:rsidRPr="005F20F5">
        <w:t>Short Notice Cancellations</w:t>
      </w:r>
      <w:r w:rsidR="00D83D51" w:rsidRPr="005F20F5">
        <w:t xml:space="preserve">, </w:t>
      </w:r>
      <w:r w:rsidRPr="005F20F5">
        <w:t>NDIA Requested Reports.</w:t>
      </w:r>
      <w:r w:rsidR="00D83D51" w:rsidRPr="005F20F5">
        <w:t xml:space="preserve"> </w:t>
      </w:r>
      <w:r w:rsidRPr="005F20F5">
        <w:t xml:space="preserve">Providers of this support </w:t>
      </w:r>
      <w:r w:rsidR="00D83D51" w:rsidRPr="005F20F5">
        <w:t xml:space="preserve">can also claim for the costs of </w:t>
      </w:r>
      <w:r w:rsidRPr="005F20F5">
        <w:t>Provider Travel - Non-Labour Costs</w:t>
      </w:r>
      <w:r w:rsidR="00D83D51" w:rsidRPr="005F20F5">
        <w:t>.</w:t>
      </w:r>
      <w:r w:rsidR="00004224" w:rsidRPr="005F20F5">
        <w:t xml:space="preserve"> </w:t>
      </w:r>
      <w:r w:rsidR="00D83D51" w:rsidRPr="005F20F5">
        <w:t xml:space="preserve">The price limit for this support item is currently </w:t>
      </w:r>
      <w:r w:rsidRPr="005F20F5">
        <w:t>$65.09</w:t>
      </w:r>
      <w:r w:rsidR="00D83D51" w:rsidRPr="005F20F5">
        <w:t xml:space="preserve"> per hour ($</w:t>
      </w:r>
      <w:r w:rsidRPr="005F20F5">
        <w:t>91.13</w:t>
      </w:r>
      <w:r w:rsidR="00D83D51" w:rsidRPr="005F20F5">
        <w:t xml:space="preserve"> per hour in remote areas and </w:t>
      </w:r>
      <w:r w:rsidRPr="005F20F5">
        <w:t>$97.64</w:t>
      </w:r>
      <w:r w:rsidR="00D83D51" w:rsidRPr="005F20F5">
        <w:t xml:space="preserve"> per hour in very remote areas).</w:t>
      </w:r>
    </w:p>
    <w:p w14:paraId="44DBF195" w14:textId="77777777" w:rsidR="007A0655" w:rsidRPr="005F20F5" w:rsidRDefault="007A0655" w:rsidP="00D83D51">
      <w:pPr>
        <w:pStyle w:val="Heading3"/>
      </w:pPr>
      <w:bookmarkStart w:id="83" w:name="_Toc85097274"/>
      <w:r w:rsidRPr="005F20F5">
        <w:t>Level 2: Coordination of Supports</w:t>
      </w:r>
      <w:bookmarkEnd w:id="83"/>
      <w:r w:rsidRPr="005F20F5">
        <w:t xml:space="preserve"> </w:t>
      </w:r>
    </w:p>
    <w:p w14:paraId="44CFB067" w14:textId="77777777" w:rsidR="007A0655" w:rsidRPr="005F20F5" w:rsidRDefault="007A0655" w:rsidP="007A0655">
      <w:r w:rsidRPr="005F20F5">
        <w:t xml:space="preserve">This support item strengthens a participant’s ability to design and then build their supports with an emphasis on linking the broader systems of support across a complex service delivery environment. Coordination of Supports is to focus on supporting participants to direct their lives, not just their services, and is focussed on assisting participants to build and maintain a resilient network of formal and informal supports. This involves working together with the participant to understand the funding, identify what participants expect from services, and how participants want this designed. Coordination of Supports also includes coaching participants, and working with participants to develop capacity and resilience in their network. </w:t>
      </w:r>
    </w:p>
    <w:p w14:paraId="6EAF3FFF" w14:textId="77777777" w:rsidR="007A0655" w:rsidRPr="005F20F5" w:rsidRDefault="007A0655" w:rsidP="007A0655">
      <w:r w:rsidRPr="005F20F5">
        <w:t>Coordination of Supports includes, but is not limited to</w:t>
      </w:r>
    </w:p>
    <w:p w14:paraId="54371F02" w14:textId="77777777" w:rsidR="007A0655" w:rsidRPr="005F20F5" w:rsidRDefault="007A0655" w:rsidP="00D83D51">
      <w:pPr>
        <w:pStyle w:val="ListParagraph"/>
        <w:numPr>
          <w:ilvl w:val="0"/>
          <w:numId w:val="32"/>
        </w:numPr>
      </w:pPr>
      <w:r w:rsidRPr="005F20F5">
        <w:t>Understand the Plan;</w:t>
      </w:r>
    </w:p>
    <w:p w14:paraId="61AD75DA" w14:textId="77777777" w:rsidR="007A0655" w:rsidRPr="005F20F5" w:rsidRDefault="007A0655" w:rsidP="00D83D51">
      <w:pPr>
        <w:pStyle w:val="ListParagraph"/>
        <w:numPr>
          <w:ilvl w:val="0"/>
          <w:numId w:val="32"/>
        </w:numPr>
      </w:pPr>
      <w:r w:rsidRPr="005F20F5">
        <w:t>Connect with Supports and Services;</w:t>
      </w:r>
    </w:p>
    <w:p w14:paraId="568F1C23" w14:textId="77777777" w:rsidR="007A0655" w:rsidRPr="005F20F5" w:rsidRDefault="007A0655" w:rsidP="00D83D51">
      <w:pPr>
        <w:pStyle w:val="ListParagraph"/>
        <w:numPr>
          <w:ilvl w:val="0"/>
          <w:numId w:val="32"/>
        </w:numPr>
      </w:pPr>
      <w:r w:rsidRPr="005F20F5">
        <w:t>Design Support Approaches;</w:t>
      </w:r>
    </w:p>
    <w:p w14:paraId="4B3752CA" w14:textId="77777777" w:rsidR="007A0655" w:rsidRPr="005F20F5" w:rsidRDefault="007A0655" w:rsidP="00D83D51">
      <w:pPr>
        <w:pStyle w:val="ListParagraph"/>
        <w:numPr>
          <w:ilvl w:val="0"/>
          <w:numId w:val="32"/>
        </w:numPr>
      </w:pPr>
      <w:r w:rsidRPr="005F20F5">
        <w:t>Establish Supports;</w:t>
      </w:r>
    </w:p>
    <w:p w14:paraId="246FF4B0" w14:textId="77777777" w:rsidR="007A0655" w:rsidRPr="005F20F5" w:rsidRDefault="007A0655" w:rsidP="00D83D51">
      <w:pPr>
        <w:pStyle w:val="ListParagraph"/>
        <w:numPr>
          <w:ilvl w:val="0"/>
          <w:numId w:val="32"/>
        </w:numPr>
      </w:pPr>
      <w:r w:rsidRPr="005F20F5">
        <w:t xml:space="preserve">Coach, Refine, Reflect; </w:t>
      </w:r>
    </w:p>
    <w:p w14:paraId="760ACD97" w14:textId="77777777" w:rsidR="007A0655" w:rsidRPr="005F20F5" w:rsidRDefault="007A0655" w:rsidP="00D83D51">
      <w:pPr>
        <w:pStyle w:val="ListParagraph"/>
        <w:numPr>
          <w:ilvl w:val="0"/>
          <w:numId w:val="32"/>
        </w:numPr>
      </w:pPr>
      <w:r w:rsidRPr="005F20F5">
        <w:t xml:space="preserve">Targeted Support Coordination; </w:t>
      </w:r>
    </w:p>
    <w:p w14:paraId="177E08E7" w14:textId="77777777" w:rsidR="007A0655" w:rsidRPr="005F20F5" w:rsidRDefault="007A0655" w:rsidP="00D83D51">
      <w:pPr>
        <w:pStyle w:val="ListParagraph"/>
        <w:numPr>
          <w:ilvl w:val="0"/>
          <w:numId w:val="32"/>
        </w:numPr>
      </w:pPr>
      <w:r w:rsidRPr="005F20F5">
        <w:t xml:space="preserve">Crisis: Planning, Prevention, Mitigation and Action; </w:t>
      </w:r>
    </w:p>
    <w:p w14:paraId="592840E3" w14:textId="77777777" w:rsidR="007A0655" w:rsidRPr="005F20F5" w:rsidRDefault="007A0655" w:rsidP="00D83D51">
      <w:pPr>
        <w:pStyle w:val="ListParagraph"/>
        <w:numPr>
          <w:ilvl w:val="0"/>
          <w:numId w:val="32"/>
        </w:numPr>
      </w:pPr>
      <w:r w:rsidRPr="005F20F5">
        <w:t>Build Capacity and Resilience; and</w:t>
      </w:r>
    </w:p>
    <w:p w14:paraId="784E1C6D" w14:textId="77777777" w:rsidR="007A0655" w:rsidRPr="005F20F5" w:rsidRDefault="007A0655" w:rsidP="00D83D51">
      <w:pPr>
        <w:pStyle w:val="ListParagraph"/>
        <w:numPr>
          <w:ilvl w:val="0"/>
          <w:numId w:val="32"/>
        </w:numPr>
      </w:pPr>
      <w:r w:rsidRPr="005F20F5">
        <w:t>Report to the NDIA.</w:t>
      </w:r>
    </w:p>
    <w:p w14:paraId="67A58B3D" w14:textId="77777777" w:rsidR="007A0655" w:rsidRPr="005F20F5" w:rsidRDefault="007A0655" w:rsidP="007A0655">
      <w:r w:rsidRPr="005F20F5">
        <w:t>This support item can be delivered to individual participants subject to the rules set out in this NDIS Pricing Arrangements and Price Limits</w:t>
      </w:r>
      <w:r w:rsidR="00D83D51" w:rsidRPr="005F20F5">
        <w:t>.</w:t>
      </w:r>
    </w:p>
    <w:p w14:paraId="54DB96EC" w14:textId="77777777" w:rsidR="00D83D51" w:rsidRPr="005F20F5" w:rsidRDefault="00D83D51" w:rsidP="00D83D51">
      <w:pPr>
        <w:rPr>
          <w:b/>
        </w:rPr>
      </w:pPr>
      <w:r w:rsidRPr="005F20F5">
        <w:t>As well as direct service provision, these support items can be used to claim for Non-Face-to-Face Support Provision, Provider Travel, Short Notice Cancellations, NDIA Requested Reports. Providers of this support can also claim for the costs of Provider Travel - Non-Labour Costs.</w:t>
      </w:r>
      <w:r w:rsidR="00004224" w:rsidRPr="005F20F5">
        <w:t xml:space="preserve"> </w:t>
      </w:r>
      <w:r w:rsidRPr="005F20F5">
        <w:t>The price limit for this support item is currently $100.14 per hour ($140.19 per hour in remote areas and $150.21 per hour in very remote areas).</w:t>
      </w:r>
    </w:p>
    <w:p w14:paraId="0739CDEE" w14:textId="77777777" w:rsidR="007A0655" w:rsidRPr="005F20F5" w:rsidRDefault="007A0655" w:rsidP="00D83D51">
      <w:pPr>
        <w:pStyle w:val="Heading3"/>
      </w:pPr>
      <w:bookmarkStart w:id="84" w:name="_Toc85097275"/>
      <w:r w:rsidRPr="005F20F5">
        <w:t>Level 3: Specialist Support Coordination</w:t>
      </w:r>
      <w:bookmarkEnd w:id="84"/>
    </w:p>
    <w:p w14:paraId="4F9DD00B" w14:textId="77777777" w:rsidR="007A0655" w:rsidRPr="005F20F5" w:rsidRDefault="007A0655" w:rsidP="007A0655">
      <w:r w:rsidRPr="005F20F5">
        <w:t xml:space="preserve">This support </w:t>
      </w:r>
      <w:r w:rsidR="00D83D51" w:rsidRPr="005F20F5">
        <w:t xml:space="preserve">item </w:t>
      </w:r>
      <w:r w:rsidRPr="005F20F5">
        <w:t>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Specialist Support Coordination is expected to address complex barriers impacting a participant’s ability to implement their plan and access appropriate supports. Specialist Support Coordinators assist participants to reduce complexity in their support environment, and overcome barriers to connecting with broader systems of supports as well as funded supports.</w:t>
      </w:r>
    </w:p>
    <w:p w14:paraId="744312C1" w14:textId="77777777" w:rsidR="007A0655" w:rsidRPr="005F20F5" w:rsidRDefault="007A0655" w:rsidP="007A0655">
      <w:r w:rsidRPr="005F20F5">
        <w:t>Specialist Support Coordinators are expected to negotiate appropriate support solutions with multiple stakeholders and seek to achieve well-coordinated plan implementation. Specialist Support Coordinators will assist stakeholders with resolving points of crisis for participants, assist to ensure a consistent delivery of service and access to relevant supports during crisis situations.</w:t>
      </w:r>
    </w:p>
    <w:p w14:paraId="4C33715F" w14:textId="77777777" w:rsidR="007A0655" w:rsidRPr="005F20F5" w:rsidRDefault="007A0655" w:rsidP="007A0655">
      <w:r w:rsidRPr="005F20F5">
        <w:t>Specialist Support Coordination is generally delivered through an intensive and time limited period necessitated by the participant’s immediate and significant barriers to plan implementation. Depending on individual circumstances, a Specialist Support Coordinator may also design a complex service plan that focusses on how all the stakeholders in a participant’s life will interact to resolve barriers and promote appropriate plan implementation. Once developed, a Specialist Support Coordinator will continue to monitor the plan, but it may be maintained by one of the participant’s support workers or other care supports.</w:t>
      </w:r>
    </w:p>
    <w:p w14:paraId="6C911BB5" w14:textId="77777777" w:rsidR="007A0655" w:rsidRPr="005F20F5" w:rsidRDefault="007A0655" w:rsidP="007A0655">
      <w:r w:rsidRPr="005F20F5">
        <w:t>Specialist Support Coordination includes, but is not limited to</w:t>
      </w:r>
    </w:p>
    <w:p w14:paraId="15E0D290" w14:textId="77777777" w:rsidR="007A0655" w:rsidRPr="005F20F5" w:rsidRDefault="007A0655" w:rsidP="00D83D51">
      <w:pPr>
        <w:pStyle w:val="ListParagraph"/>
        <w:numPr>
          <w:ilvl w:val="0"/>
          <w:numId w:val="32"/>
        </w:numPr>
      </w:pPr>
      <w:r w:rsidRPr="005F20F5">
        <w:t>Understand the Plan;</w:t>
      </w:r>
    </w:p>
    <w:p w14:paraId="6CFA8FB0" w14:textId="77777777" w:rsidR="007A0655" w:rsidRPr="005F20F5" w:rsidRDefault="007A0655" w:rsidP="00D83D51">
      <w:pPr>
        <w:pStyle w:val="ListParagraph"/>
        <w:numPr>
          <w:ilvl w:val="0"/>
          <w:numId w:val="32"/>
        </w:numPr>
      </w:pPr>
      <w:r w:rsidRPr="005F20F5">
        <w:t>Connect with Supports and Services;</w:t>
      </w:r>
    </w:p>
    <w:p w14:paraId="636747AD" w14:textId="77777777" w:rsidR="007A0655" w:rsidRPr="005F20F5" w:rsidRDefault="007A0655" w:rsidP="00D83D51">
      <w:pPr>
        <w:pStyle w:val="ListParagraph"/>
        <w:numPr>
          <w:ilvl w:val="0"/>
          <w:numId w:val="32"/>
        </w:numPr>
      </w:pPr>
      <w:r w:rsidRPr="005F20F5">
        <w:t>Design Support Approaches;</w:t>
      </w:r>
    </w:p>
    <w:p w14:paraId="0C3591B1" w14:textId="77777777" w:rsidR="007A0655" w:rsidRPr="005F20F5" w:rsidRDefault="007A0655" w:rsidP="00D83D51">
      <w:pPr>
        <w:pStyle w:val="ListParagraph"/>
        <w:numPr>
          <w:ilvl w:val="0"/>
          <w:numId w:val="32"/>
        </w:numPr>
      </w:pPr>
      <w:r w:rsidRPr="005F20F5">
        <w:t>Establish Supports;</w:t>
      </w:r>
    </w:p>
    <w:p w14:paraId="7E22DE9B" w14:textId="77777777" w:rsidR="007A0655" w:rsidRPr="005F20F5" w:rsidRDefault="007A0655" w:rsidP="00D83D51">
      <w:pPr>
        <w:pStyle w:val="ListParagraph"/>
        <w:numPr>
          <w:ilvl w:val="0"/>
          <w:numId w:val="32"/>
        </w:numPr>
      </w:pPr>
      <w:r w:rsidRPr="005F20F5">
        <w:t xml:space="preserve">Coach, Refine, Reflect; </w:t>
      </w:r>
    </w:p>
    <w:p w14:paraId="1AC2E010" w14:textId="77777777" w:rsidR="007A0655" w:rsidRPr="005F20F5" w:rsidRDefault="007A0655" w:rsidP="00D83D51">
      <w:pPr>
        <w:pStyle w:val="ListParagraph"/>
        <w:numPr>
          <w:ilvl w:val="0"/>
          <w:numId w:val="32"/>
        </w:numPr>
      </w:pPr>
      <w:r w:rsidRPr="005F20F5">
        <w:t xml:space="preserve">Targeted Support Coordination; </w:t>
      </w:r>
    </w:p>
    <w:p w14:paraId="411A941D" w14:textId="77777777" w:rsidR="007A0655" w:rsidRPr="005F20F5" w:rsidRDefault="007A0655" w:rsidP="00D83D51">
      <w:pPr>
        <w:pStyle w:val="ListParagraph"/>
        <w:numPr>
          <w:ilvl w:val="0"/>
          <w:numId w:val="32"/>
        </w:numPr>
      </w:pPr>
      <w:r w:rsidRPr="005F20F5">
        <w:t>Crisis: Planning, Prevention, Mitigation and Action;</w:t>
      </w:r>
    </w:p>
    <w:p w14:paraId="33B0EF42" w14:textId="77777777" w:rsidR="007A0655" w:rsidRPr="005F20F5" w:rsidRDefault="007A0655" w:rsidP="00D83D51">
      <w:pPr>
        <w:pStyle w:val="ListParagraph"/>
        <w:numPr>
          <w:ilvl w:val="0"/>
          <w:numId w:val="32"/>
        </w:numPr>
      </w:pPr>
      <w:r w:rsidRPr="005F20F5">
        <w:t>Address Complex Barriers;</w:t>
      </w:r>
    </w:p>
    <w:p w14:paraId="25D77ED6" w14:textId="77777777" w:rsidR="007A0655" w:rsidRPr="005F20F5" w:rsidRDefault="007A0655" w:rsidP="00D83D51">
      <w:pPr>
        <w:pStyle w:val="ListParagraph"/>
        <w:numPr>
          <w:ilvl w:val="0"/>
          <w:numId w:val="32"/>
        </w:numPr>
      </w:pPr>
      <w:r w:rsidRPr="005F20F5">
        <w:t>Design Complex Service Plan;</w:t>
      </w:r>
    </w:p>
    <w:p w14:paraId="572992A2" w14:textId="77777777" w:rsidR="007A0655" w:rsidRPr="005F20F5" w:rsidRDefault="007A0655" w:rsidP="00D83D51">
      <w:pPr>
        <w:pStyle w:val="ListParagraph"/>
        <w:numPr>
          <w:ilvl w:val="0"/>
          <w:numId w:val="32"/>
        </w:numPr>
      </w:pPr>
      <w:r w:rsidRPr="005F20F5">
        <w:t>Build Capacity and Resilience; and</w:t>
      </w:r>
    </w:p>
    <w:p w14:paraId="70EB4836" w14:textId="77777777" w:rsidR="007A0655" w:rsidRPr="005F20F5" w:rsidRDefault="007A0655" w:rsidP="00D83D51">
      <w:pPr>
        <w:pStyle w:val="ListParagraph"/>
        <w:numPr>
          <w:ilvl w:val="0"/>
          <w:numId w:val="32"/>
        </w:numPr>
      </w:pPr>
      <w:r w:rsidRPr="005F20F5">
        <w:t>Report to the NDIA.</w:t>
      </w:r>
    </w:p>
    <w:p w14:paraId="0D3E2706" w14:textId="77777777" w:rsidR="007A0655" w:rsidRPr="005F20F5" w:rsidRDefault="007A0655" w:rsidP="007A0655">
      <w:r w:rsidRPr="005F20F5">
        <w:t>This support item can be delivered to individual participants subject to the rules set out in this NDIS Pricing Arrangements and Price Limits.</w:t>
      </w:r>
    </w:p>
    <w:p w14:paraId="246BB7C5" w14:textId="77777777" w:rsidR="00D83D51" w:rsidRPr="005F20F5" w:rsidRDefault="00D83D51" w:rsidP="007A0655">
      <w:pPr>
        <w:rPr>
          <w:b/>
        </w:rPr>
      </w:pPr>
      <w:r w:rsidRPr="005F20F5">
        <w:t>As well as direct service provision, these support items can be used to claim for Non-Face-to-Face Support Provision, Provider Travel, Short Notice Cancellations, NDIA Requested Reports. Providers of this support can also claim for the costs of Provider Travel - Non-Labour Costs.</w:t>
      </w:r>
      <w:r w:rsidR="00004224" w:rsidRPr="005F20F5">
        <w:t xml:space="preserve"> </w:t>
      </w:r>
      <w:r w:rsidRPr="005F20F5">
        <w:t>The price limit for this support item is currently $190.54 per hour ($266.75 per hour in remote areas and $285.50 per hour in very remote areas).</w:t>
      </w:r>
    </w:p>
    <w:p w14:paraId="5375C8F2" w14:textId="77777777" w:rsidR="00B55DCE" w:rsidRPr="005F20F5" w:rsidRDefault="00B55DCE" w:rsidP="00B55DCE">
      <w:pPr>
        <w:pStyle w:val="Heading2"/>
      </w:pPr>
      <w:bookmarkStart w:id="85" w:name="_Toc85097276"/>
      <w:r w:rsidRPr="005F20F5">
        <w:t>Issues</w:t>
      </w:r>
      <w:bookmarkEnd w:id="85"/>
    </w:p>
    <w:p w14:paraId="7D1D7001" w14:textId="3BF3B6DD" w:rsidR="00D83D51" w:rsidRPr="005F20F5" w:rsidRDefault="00D83D51" w:rsidP="007B7475">
      <w:r w:rsidRPr="005F20F5">
        <w:t>Stakeholders have raised a number of issues with the current arrangements, including</w:t>
      </w:r>
      <w:r w:rsidR="00123567" w:rsidRPr="005F20F5">
        <w:t xml:space="preserve"> w</w:t>
      </w:r>
      <w:r w:rsidRPr="005F20F5">
        <w:t>hether the price limits for support coordination are reasonable</w:t>
      </w:r>
      <w:r w:rsidR="005A3610" w:rsidRPr="005F20F5">
        <w:t xml:space="preserve">, especially when compared to </w:t>
      </w:r>
      <w:r w:rsidR="000F477A" w:rsidRPr="005F20F5">
        <w:t xml:space="preserve">the </w:t>
      </w:r>
      <w:r w:rsidR="005A3610" w:rsidRPr="005F20F5">
        <w:t>price limits for other services</w:t>
      </w:r>
      <w:r w:rsidRPr="005F20F5">
        <w:t>?</w:t>
      </w:r>
      <w:r w:rsidR="00123567" w:rsidRPr="005F20F5">
        <w:t xml:space="preserve"> Of particular concern is whether the price limits are appropriate for the skills and experience required to deliver these supports and whether the overheads of support coordinators may be necessarily hig</w:t>
      </w:r>
      <w:r w:rsidR="00F17CD8" w:rsidRPr="005F20F5">
        <w:t>her than some other provider.</w:t>
      </w:r>
    </w:p>
    <w:p w14:paraId="6D5EC062" w14:textId="77777777" w:rsidR="00B55DCE" w:rsidRPr="005F20F5" w:rsidRDefault="00B55DCE" w:rsidP="00B55DCE">
      <w:pPr>
        <w:pStyle w:val="Heading2"/>
      </w:pPr>
      <w:bookmarkStart w:id="86" w:name="_Toc85097277"/>
      <w:r w:rsidRPr="005F20F5">
        <w:t>Call for Submissions</w:t>
      </w:r>
      <w:bookmarkEnd w:id="86"/>
    </w:p>
    <w:p w14:paraId="670770B3" w14:textId="77777777" w:rsidR="00B55DCE" w:rsidRPr="005F20F5" w:rsidRDefault="00B55DCE" w:rsidP="00B55DCE">
      <w:r w:rsidRPr="005F20F5">
        <w:t xml:space="preserve">The </w:t>
      </w:r>
      <w:r w:rsidR="007A0655" w:rsidRPr="005F20F5">
        <w:t xml:space="preserve">2021-22 </w:t>
      </w:r>
      <w:r w:rsidRPr="005F20F5">
        <w:t>Annual Pricing Review is seeking the views of stakeholders on these issues and on any other issues that stakeholders wish to raise.</w:t>
      </w:r>
    </w:p>
    <w:tbl>
      <w:tblPr>
        <w:tblStyle w:val="GUIDEQUESTION"/>
        <w:tblW w:w="0" w:type="auto"/>
        <w:tblLook w:val="04A0" w:firstRow="1" w:lastRow="0" w:firstColumn="1" w:lastColumn="0" w:noHBand="0" w:noVBand="1"/>
        <w:tblCaption w:val="Guide question"/>
        <w:tblDescription w:val="1 question to consider for the APR"/>
      </w:tblPr>
      <w:tblGrid>
        <w:gridCol w:w="9017"/>
      </w:tblGrid>
      <w:tr w:rsidR="00B55DCE" w:rsidRPr="005F20F5" w14:paraId="0D4F86F3" w14:textId="77777777" w:rsidTr="003D1C27">
        <w:trPr>
          <w:tblHeader/>
        </w:trPr>
        <w:tc>
          <w:tcPr>
            <w:tcW w:w="9060" w:type="dxa"/>
          </w:tcPr>
          <w:p w14:paraId="237B8208" w14:textId="77777777" w:rsidR="00B55DCE" w:rsidRPr="005F20F5" w:rsidRDefault="00B57DDA" w:rsidP="007F2E84">
            <w:pPr>
              <w:spacing w:before="200"/>
              <w:jc w:val="center"/>
              <w:rPr>
                <w:b/>
              </w:rPr>
            </w:pPr>
            <w:r w:rsidRPr="005F20F5">
              <w:rPr>
                <w:b/>
              </w:rPr>
              <w:t>Guide Question</w:t>
            </w:r>
          </w:p>
          <w:p w14:paraId="5438422C" w14:textId="77777777" w:rsidR="00B55DCE" w:rsidRPr="005F20F5" w:rsidRDefault="00B55DCE" w:rsidP="00D75A91">
            <w:pPr>
              <w:pStyle w:val="QUESTION"/>
            </w:pPr>
            <w:r w:rsidRPr="005F20F5">
              <w:t>Are the current pricing arrangements for support coordination appropriate? If not, why not? Please provide evidence.</w:t>
            </w:r>
          </w:p>
        </w:tc>
      </w:tr>
    </w:tbl>
    <w:p w14:paraId="3EF8E082" w14:textId="77777777" w:rsidR="00B55DCE" w:rsidRPr="005F20F5" w:rsidRDefault="00B55DCE" w:rsidP="00B55DCE"/>
    <w:p w14:paraId="6CC9B8F6" w14:textId="77777777" w:rsidR="007667AF" w:rsidRPr="005F20F5" w:rsidRDefault="007667AF" w:rsidP="00380CDE">
      <w:pPr>
        <w:sectPr w:rsidR="007667AF" w:rsidRPr="005F20F5" w:rsidSect="00872AF9">
          <w:pgSz w:w="11907" w:h="16839" w:code="9"/>
          <w:pgMar w:top="1440" w:right="1440" w:bottom="1440" w:left="1440" w:header="709" w:footer="709" w:gutter="0"/>
          <w:cols w:space="708"/>
          <w:titlePg/>
          <w:docGrid w:linePitch="360"/>
        </w:sectPr>
      </w:pPr>
    </w:p>
    <w:p w14:paraId="11C99820" w14:textId="77777777" w:rsidR="007667AF" w:rsidRPr="005F20F5" w:rsidRDefault="007667AF" w:rsidP="00380CDE">
      <w:pPr>
        <w:pStyle w:val="Heading1"/>
      </w:pPr>
      <w:bookmarkStart w:id="87" w:name="_Toc25182180"/>
      <w:bookmarkStart w:id="88" w:name="_Toc85097278"/>
      <w:r w:rsidRPr="005F20F5">
        <w:t>Plan Management Supports</w:t>
      </w:r>
      <w:bookmarkEnd w:id="77"/>
      <w:bookmarkEnd w:id="78"/>
      <w:bookmarkEnd w:id="87"/>
      <w:bookmarkEnd w:id="88"/>
    </w:p>
    <w:p w14:paraId="7DDDC6AF" w14:textId="77777777" w:rsidR="007667AF" w:rsidRPr="005F20F5" w:rsidRDefault="00B933E9" w:rsidP="00B933E9">
      <w:r w:rsidRPr="005F20F5">
        <w:t>The 2021-22 Annual Pricing R</w:t>
      </w:r>
      <w:r w:rsidR="0057648F" w:rsidRPr="005F20F5">
        <w:t>eview is required</w:t>
      </w:r>
      <w:r w:rsidRPr="005F20F5">
        <w:t xml:space="preserve"> by its Terms of Reference</w:t>
      </w:r>
      <w:r w:rsidR="0057648F" w:rsidRPr="005F20F5">
        <w:t xml:space="preserve"> to r</w:t>
      </w:r>
      <w:r w:rsidR="007667AF" w:rsidRPr="005F20F5">
        <w:t>eview the pricing arrangements that apply to supports delivered in regional, remote and very remote areas to ensure continued access to appropriate supports for participants living in those areas.</w:t>
      </w:r>
    </w:p>
    <w:p w14:paraId="401C1738" w14:textId="77777777" w:rsidR="0017458E" w:rsidRPr="005F20F5" w:rsidRDefault="0017458E" w:rsidP="00472A90">
      <w:pPr>
        <w:pStyle w:val="Heading2"/>
        <w:spacing w:before="100"/>
      </w:pPr>
      <w:bookmarkStart w:id="89" w:name="_Toc85097279"/>
      <w:r w:rsidRPr="005F20F5">
        <w:t>Background</w:t>
      </w:r>
      <w:bookmarkEnd w:id="89"/>
    </w:p>
    <w:p w14:paraId="10B38BB3" w14:textId="77777777" w:rsidR="0017458E" w:rsidRPr="005F20F5" w:rsidRDefault="0017458E" w:rsidP="0017458E">
      <w:r w:rsidRPr="005F20F5">
        <w:t xml:space="preserve">As at 30 June 2021, almost half of all participants were using a plan manager for some or all of all of their plan and more than a third of all plan budgets (36%) was </w:t>
      </w:r>
      <w:r w:rsidR="00472A90" w:rsidRPr="005F20F5">
        <w:t>plan-managed</w:t>
      </w:r>
      <w:r w:rsidRPr="005F20F5">
        <w:t>. In 2020-21, plan mangers were paid $305 million by participants and processed support payments worth $8.3 billion.</w:t>
      </w:r>
    </w:p>
    <w:p w14:paraId="53030906" w14:textId="0FFD1978" w:rsidR="0017458E" w:rsidRPr="005F20F5" w:rsidRDefault="0017458E" w:rsidP="0017458E">
      <w:r w:rsidRPr="005F20F5">
        <w:t xml:space="preserve">As </w:t>
      </w:r>
      <w:r w:rsidRPr="005F20F5">
        <w:fldChar w:fldCharType="begin"/>
      </w:r>
      <w:r w:rsidRPr="005F20F5">
        <w:instrText xml:space="preserve"> REF _Ref83975949 \h </w:instrText>
      </w:r>
      <w:r w:rsidR="0072126F" w:rsidRPr="005F20F5">
        <w:instrText xml:space="preserve"> \* MERGEFORMAT </w:instrText>
      </w:r>
      <w:r w:rsidRPr="005F20F5">
        <w:fldChar w:fldCharType="separate"/>
      </w:r>
      <w:r w:rsidR="009D3AFE" w:rsidRPr="005F20F5">
        <w:t xml:space="preserve">Exhibit </w:t>
      </w:r>
      <w:r w:rsidR="009D3AFE">
        <w:rPr>
          <w:noProof/>
        </w:rPr>
        <w:t>14</w:t>
      </w:r>
      <w:r w:rsidRPr="005F20F5">
        <w:fldChar w:fldCharType="end"/>
      </w:r>
      <w:r w:rsidRPr="005F20F5">
        <w:t xml:space="preserve"> illustrates, both the share of participants choosing to be </w:t>
      </w:r>
      <w:r w:rsidR="00472A90" w:rsidRPr="005F20F5">
        <w:t>plan-managed</w:t>
      </w:r>
      <w:r w:rsidRPr="005F20F5">
        <w:t xml:space="preserve"> (in part or in full) and the share of payments processed by plan mangers increased significantly in the last three years.</w:t>
      </w:r>
    </w:p>
    <w:p w14:paraId="367E1175" w14:textId="4CA4A3ED" w:rsidR="0017458E" w:rsidRPr="005F20F5" w:rsidRDefault="0017458E" w:rsidP="0017458E">
      <w:pPr>
        <w:pStyle w:val="Caption"/>
      </w:pPr>
      <w:bookmarkStart w:id="90" w:name="_Ref83975949"/>
      <w:r w:rsidRPr="005F20F5">
        <w:t xml:space="preserve">Exhibit </w:t>
      </w:r>
      <w:r w:rsidR="009D3AFE">
        <w:fldChar w:fldCharType="begin"/>
      </w:r>
      <w:r w:rsidR="009D3AFE">
        <w:instrText xml:space="preserve"> SEQ Exhibit \* ARABIC </w:instrText>
      </w:r>
      <w:r w:rsidR="009D3AFE">
        <w:fldChar w:fldCharType="separate"/>
      </w:r>
      <w:r w:rsidR="009D3AFE">
        <w:rPr>
          <w:noProof/>
        </w:rPr>
        <w:t>14</w:t>
      </w:r>
      <w:r w:rsidR="009D3AFE">
        <w:rPr>
          <w:noProof/>
        </w:rPr>
        <w:fldChar w:fldCharType="end"/>
      </w:r>
      <w:bookmarkEnd w:id="90"/>
      <w:r w:rsidRPr="005F20F5">
        <w:t xml:space="preserve">: </w:t>
      </w:r>
      <w:r w:rsidR="00982B47" w:rsidRPr="005F20F5">
        <w:t>DistriBution of participants (left hand chart) and Payments (right hand chart) by method of plan management, June 2018 to June 2021</w:t>
      </w:r>
    </w:p>
    <w:p w14:paraId="1D708D06" w14:textId="77777777" w:rsidR="00982B47" w:rsidRPr="005F20F5" w:rsidRDefault="00982B47" w:rsidP="00472A90">
      <w:r w:rsidRPr="005F20F5">
        <w:rPr>
          <w:noProof/>
          <w:lang w:eastAsia="en-AU"/>
        </w:rPr>
        <w:drawing>
          <wp:inline distT="0" distB="0" distL="0" distR="0" wp14:anchorId="5DA4A55E" wp14:editId="31052EF7">
            <wp:extent cx="2732400" cy="2142000"/>
            <wp:effectExtent l="0" t="0" r="0" b="0"/>
            <wp:docPr id="5" name="Picture 5" descr="Line graph outlining the distribution of participants by plan management method" title="EXHIBIT 14: DISTRIBUTION OF PARTICIPANTS (LEFT HAND CHART) AND PAYMENTS (RIGHT HAND CHART) BY METHOD OF PLAN MANAGEMENT, JUNE 2018 TO JUN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32400" cy="2142000"/>
                    </a:xfrm>
                    <a:prstGeom prst="rect">
                      <a:avLst/>
                    </a:prstGeom>
                    <a:noFill/>
                  </pic:spPr>
                </pic:pic>
              </a:graphicData>
            </a:graphic>
          </wp:inline>
        </w:drawing>
      </w:r>
      <w:r w:rsidRPr="005F20F5">
        <w:rPr>
          <w:noProof/>
          <w:lang w:eastAsia="en-AU"/>
        </w:rPr>
        <w:drawing>
          <wp:inline distT="0" distB="0" distL="0" distR="0" wp14:anchorId="25F31466" wp14:editId="3C7831F5">
            <wp:extent cx="2700000" cy="2124000"/>
            <wp:effectExtent l="0" t="0" r="5715" b="0"/>
            <wp:docPr id="6" name="Picture 6" descr="Line graph outlining the distribution of payments by method of plan management" title="EXHIBIT 14: DISTRIBUTION OF PARTICIPANTS (LEFT HAND CHART) AND PAYMENTS (RIGHT HAND CHART) BY METHOD OF PLAN MANAGEMENT, JUNE 2018 TO JUN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0000" cy="2124000"/>
                    </a:xfrm>
                    <a:prstGeom prst="rect">
                      <a:avLst/>
                    </a:prstGeom>
                    <a:noFill/>
                  </pic:spPr>
                </pic:pic>
              </a:graphicData>
            </a:graphic>
          </wp:inline>
        </w:drawing>
      </w:r>
    </w:p>
    <w:p w14:paraId="01DED8A7" w14:textId="77777777" w:rsidR="0017458E" w:rsidRPr="005F20F5" w:rsidRDefault="0017458E" w:rsidP="00472A90">
      <w:pPr>
        <w:jc w:val="center"/>
      </w:pPr>
    </w:p>
    <w:p w14:paraId="5D2A3E5B" w14:textId="77777777" w:rsidR="0017458E" w:rsidRPr="005F20F5" w:rsidRDefault="0017458E" w:rsidP="0017458E">
      <w:r w:rsidRPr="005F20F5">
        <w:t xml:space="preserve">Currently, there are about 1,200 providers delivering plan management services. Of these providers, </w:t>
      </w:r>
      <w:r w:rsidR="009F0813" w:rsidRPr="005F20F5">
        <w:t>more than half (</w:t>
      </w:r>
      <w:r w:rsidRPr="005F20F5">
        <w:t>57%</w:t>
      </w:r>
      <w:r w:rsidR="009F0813" w:rsidRPr="005F20F5">
        <w:t>)</w:t>
      </w:r>
      <w:r w:rsidRPr="005F20F5">
        <w:t xml:space="preserve"> also deliver support coordination services and </w:t>
      </w:r>
      <w:r w:rsidR="009F0813" w:rsidRPr="005F20F5">
        <w:t>more than a third (</w:t>
      </w:r>
      <w:r w:rsidRPr="005F20F5">
        <w:t>37%</w:t>
      </w:r>
      <w:r w:rsidR="009F0813" w:rsidRPr="005F20F5">
        <w:t>)</w:t>
      </w:r>
      <w:r w:rsidRPr="005F20F5">
        <w:t xml:space="preserve"> </w:t>
      </w:r>
      <w:r w:rsidR="009F0813" w:rsidRPr="005F20F5">
        <w:t>also deliver</w:t>
      </w:r>
      <w:r w:rsidRPr="005F20F5">
        <w:t xml:space="preserve"> supports other than plan management &amp; support coordination</w:t>
      </w:r>
      <w:r w:rsidR="009F0813" w:rsidRPr="005F20F5">
        <w:t>.</w:t>
      </w:r>
    </w:p>
    <w:p w14:paraId="38A71209" w14:textId="77777777" w:rsidR="0017458E" w:rsidRPr="005F20F5" w:rsidRDefault="009F0813" w:rsidP="003A2B76">
      <w:r w:rsidRPr="005F20F5">
        <w:t>The 10 largest plan managers service</w:t>
      </w:r>
      <w:r w:rsidR="0017458E" w:rsidRPr="005F20F5">
        <w:t xml:space="preserve"> 42% of </w:t>
      </w:r>
      <w:r w:rsidRPr="005F20F5">
        <w:t xml:space="preserve">all plan-managing participants. Another </w:t>
      </w:r>
      <w:r w:rsidR="0017458E" w:rsidRPr="005F20F5">
        <w:t xml:space="preserve">200 </w:t>
      </w:r>
      <w:r w:rsidRPr="005F20F5">
        <w:t xml:space="preserve">or so </w:t>
      </w:r>
      <w:r w:rsidR="0017458E" w:rsidRPr="005F20F5">
        <w:t>medium-sized plan managers deliv</w:t>
      </w:r>
      <w:r w:rsidRPr="005F20F5">
        <w:t>er services to 47% participants and c</w:t>
      </w:r>
      <w:r w:rsidR="0017458E" w:rsidRPr="005F20F5">
        <w:t xml:space="preserve">lose to 1,000 small plan managers deliver services to the remaining 11% </w:t>
      </w:r>
      <w:r w:rsidRPr="005F20F5">
        <w:t xml:space="preserve">of </w:t>
      </w:r>
      <w:r w:rsidR="0017458E" w:rsidRPr="005F20F5">
        <w:t>participants.</w:t>
      </w:r>
      <w:r w:rsidR="0072126F" w:rsidRPr="005F20F5">
        <w:t xml:space="preserve"> The number of plan managers continues to grow, with 52 new plan management providers commencing operations in 2020-21. </w:t>
      </w:r>
    </w:p>
    <w:p w14:paraId="7C6BC01A" w14:textId="77777777" w:rsidR="007667AF" w:rsidRPr="005F20F5" w:rsidRDefault="007667AF" w:rsidP="00B933E9">
      <w:pPr>
        <w:pStyle w:val="Heading2"/>
        <w:spacing w:before="100"/>
      </w:pPr>
      <w:bookmarkStart w:id="91" w:name="_Toc25182181"/>
      <w:bookmarkStart w:id="92" w:name="_Toc85097280"/>
      <w:r w:rsidRPr="005F20F5">
        <w:t>Current arrangements</w:t>
      </w:r>
      <w:bookmarkEnd w:id="91"/>
      <w:bookmarkEnd w:id="92"/>
    </w:p>
    <w:p w14:paraId="4CB5A7AC" w14:textId="77777777" w:rsidR="007667AF" w:rsidRPr="005F20F5" w:rsidRDefault="007667AF" w:rsidP="00B933E9">
      <w:r w:rsidRPr="005F20F5">
        <w:t xml:space="preserve">Participants can choose to have a registered Plan Management provider to manage their funding and budget for the supports in their </w:t>
      </w:r>
      <w:r w:rsidR="0057648F" w:rsidRPr="005F20F5">
        <w:t>NDIS</w:t>
      </w:r>
      <w:r w:rsidRPr="005F20F5">
        <w:t xml:space="preserve"> plan. Plan Mana</w:t>
      </w:r>
      <w:r w:rsidR="006B14EB" w:rsidRPr="005F20F5">
        <w:t>gers are bound to the NDIS Pricing</w:t>
      </w:r>
      <w:r w:rsidRPr="005F20F5">
        <w:t xml:space="preserve"> </w:t>
      </w:r>
      <w:r w:rsidR="006B14EB" w:rsidRPr="005F20F5">
        <w:t>Arrangements and P</w:t>
      </w:r>
      <w:r w:rsidR="0057648F" w:rsidRPr="005F20F5">
        <w:t>rice Limits</w:t>
      </w:r>
      <w:r w:rsidRPr="005F20F5">
        <w:t xml:space="preserve"> and are able to connect participants with both NDIS registered providers and providers that are not registered with the NDIS. </w:t>
      </w:r>
    </w:p>
    <w:p w14:paraId="6FEE3FA2" w14:textId="77777777" w:rsidR="001D6AD3" w:rsidRPr="005F20F5" w:rsidRDefault="001D6AD3" w:rsidP="001D6AD3">
      <w:r w:rsidRPr="005F20F5">
        <w:t xml:space="preserve">The role of the Plan Manager, as defined by Section 42(1) of the National Disability Insurance Scheme Act, defines managing the funding for supports under a participant’s plan to mean: </w:t>
      </w:r>
    </w:p>
    <w:p w14:paraId="220C1500" w14:textId="77777777" w:rsidR="001D6AD3" w:rsidRPr="005F20F5" w:rsidRDefault="001D6AD3" w:rsidP="001D6AD3">
      <w:pPr>
        <w:pStyle w:val="ListParagraph"/>
        <w:numPr>
          <w:ilvl w:val="0"/>
          <w:numId w:val="32"/>
        </w:numPr>
      </w:pPr>
      <w:r w:rsidRPr="005F20F5">
        <w:t xml:space="preserve">purchasing the supports identified in the plan (including paying any applicable indirect costs, such as taxes, associated with the supports); and </w:t>
      </w:r>
    </w:p>
    <w:p w14:paraId="448E7140" w14:textId="77777777" w:rsidR="001D6AD3" w:rsidRPr="005F20F5" w:rsidRDefault="001D6AD3" w:rsidP="001D6AD3">
      <w:pPr>
        <w:pStyle w:val="ListParagraph"/>
        <w:numPr>
          <w:ilvl w:val="0"/>
          <w:numId w:val="32"/>
        </w:numPr>
      </w:pPr>
      <w:r w:rsidRPr="005F20F5">
        <w:t xml:space="preserve">receiving and managing any funding provided by the Agency; and </w:t>
      </w:r>
    </w:p>
    <w:p w14:paraId="279B6C55" w14:textId="77777777" w:rsidR="001D6AD3" w:rsidRPr="005F20F5" w:rsidRDefault="001D6AD3" w:rsidP="001D6AD3">
      <w:pPr>
        <w:pStyle w:val="ListParagraph"/>
        <w:numPr>
          <w:ilvl w:val="0"/>
          <w:numId w:val="32"/>
        </w:numPr>
      </w:pPr>
      <w:r w:rsidRPr="005F20F5">
        <w:t>acquitting any funding provided by the Agency.</w:t>
      </w:r>
      <w:r w:rsidR="007F70FA" w:rsidRPr="005F20F5">
        <w:t xml:space="preserve"> </w:t>
      </w:r>
    </w:p>
    <w:p w14:paraId="1097C8AE" w14:textId="77777777" w:rsidR="001D6AD3" w:rsidRPr="005F20F5" w:rsidRDefault="001D6AD3" w:rsidP="001D6AD3">
      <w:r w:rsidRPr="005F20F5">
        <w:t>The NDIA has provided further guidance around the role of a plan manager on the NDIS website. Plan managers can assist participants by:</w:t>
      </w:r>
    </w:p>
    <w:p w14:paraId="29FA7FD9" w14:textId="77777777" w:rsidR="001D6AD3" w:rsidRPr="005F20F5" w:rsidRDefault="001D6AD3" w:rsidP="001D6AD3">
      <w:pPr>
        <w:pStyle w:val="ListParagraph"/>
        <w:numPr>
          <w:ilvl w:val="0"/>
          <w:numId w:val="32"/>
        </w:numPr>
      </w:pPr>
      <w:r w:rsidRPr="005F20F5">
        <w:t>claiming directly from the budgets in a participant’s plan to pay providers on their behalf;</w:t>
      </w:r>
    </w:p>
    <w:p w14:paraId="0A0769FF" w14:textId="77777777" w:rsidR="001D6AD3" w:rsidRPr="005F20F5" w:rsidRDefault="001D6AD3" w:rsidP="001D6AD3">
      <w:pPr>
        <w:pStyle w:val="ListParagraph"/>
        <w:numPr>
          <w:ilvl w:val="0"/>
          <w:numId w:val="32"/>
        </w:numPr>
      </w:pPr>
      <w:r w:rsidRPr="005F20F5">
        <w:t>paying providers for the supports participant’s purchase;</w:t>
      </w:r>
    </w:p>
    <w:p w14:paraId="597A1E06" w14:textId="77777777" w:rsidR="001D6AD3" w:rsidRPr="005F20F5" w:rsidRDefault="001D6AD3" w:rsidP="001D6AD3">
      <w:pPr>
        <w:pStyle w:val="ListParagraph"/>
        <w:numPr>
          <w:ilvl w:val="0"/>
          <w:numId w:val="32"/>
        </w:numPr>
      </w:pPr>
      <w:r w:rsidRPr="005F20F5">
        <w:t>helping participants keep track of their funds;</w:t>
      </w:r>
    </w:p>
    <w:p w14:paraId="3CDEA379" w14:textId="77777777" w:rsidR="001D6AD3" w:rsidRPr="005F20F5" w:rsidRDefault="001D6AD3" w:rsidP="001D6AD3">
      <w:pPr>
        <w:pStyle w:val="ListParagraph"/>
        <w:numPr>
          <w:ilvl w:val="0"/>
          <w:numId w:val="32"/>
        </w:numPr>
      </w:pPr>
      <w:r w:rsidRPr="005F20F5">
        <w:t>taking care of financial reporting for participants; and</w:t>
      </w:r>
    </w:p>
    <w:p w14:paraId="443223E3" w14:textId="77777777" w:rsidR="001D6AD3" w:rsidRPr="005F20F5" w:rsidRDefault="001D6AD3" w:rsidP="001D6AD3">
      <w:pPr>
        <w:pStyle w:val="ListParagraph"/>
        <w:numPr>
          <w:ilvl w:val="0"/>
          <w:numId w:val="32"/>
        </w:numPr>
      </w:pPr>
      <w:r w:rsidRPr="005F20F5">
        <w:t>depending on circumstances, they can also help participants choose their providers.</w:t>
      </w:r>
    </w:p>
    <w:p w14:paraId="52978784" w14:textId="77777777" w:rsidR="007667AF" w:rsidRPr="005F20F5" w:rsidRDefault="007667AF" w:rsidP="00B933E9">
      <w:r w:rsidRPr="005F20F5">
        <w:t>Plan managers are currently able to claim for three types of services. These are:</w:t>
      </w:r>
    </w:p>
    <w:p w14:paraId="1A36BACE" w14:textId="76BB53AD" w:rsidR="007667AF" w:rsidRPr="005F20F5" w:rsidRDefault="007667AF" w:rsidP="001D6AD3">
      <w:pPr>
        <w:pStyle w:val="ListParagraph"/>
        <w:numPr>
          <w:ilvl w:val="0"/>
          <w:numId w:val="32"/>
        </w:numPr>
      </w:pPr>
      <w:r w:rsidRPr="005F20F5">
        <w:t xml:space="preserve">A one-off (per plan) establishment fee for setting up of the financial management arrangements for managing of funding of supports – support item 14_033_0127_8_3, with a current price limit of </w:t>
      </w:r>
      <w:r w:rsidR="00B965A2" w:rsidRPr="005F20F5">
        <w:t>$232.35</w:t>
      </w:r>
      <w:r w:rsidRPr="005F20F5">
        <w:t xml:space="preserve">; </w:t>
      </w:r>
    </w:p>
    <w:p w14:paraId="40A9413C" w14:textId="6574C115" w:rsidR="007667AF" w:rsidRPr="005F20F5" w:rsidRDefault="007667AF" w:rsidP="001D6AD3">
      <w:pPr>
        <w:pStyle w:val="ListParagraph"/>
        <w:numPr>
          <w:ilvl w:val="0"/>
          <w:numId w:val="32"/>
        </w:numPr>
      </w:pPr>
      <w:r w:rsidRPr="005F20F5">
        <w:t xml:space="preserve">A monthly fee for the ongoing maintenance of the financial management arrangements for managing of funding of supports – support item 14_034_0127_8_3 with a current price limit of </w:t>
      </w:r>
      <w:r w:rsidR="00B965A2" w:rsidRPr="005F20F5">
        <w:t>$104.45</w:t>
      </w:r>
      <w:r w:rsidRPr="005F20F5">
        <w:t xml:space="preserve">; and </w:t>
      </w:r>
    </w:p>
    <w:p w14:paraId="383870D1" w14:textId="1D7F01F7" w:rsidR="007667AF" w:rsidRPr="005F20F5" w:rsidRDefault="007667AF" w:rsidP="001D6AD3">
      <w:pPr>
        <w:pStyle w:val="ListParagraph"/>
        <w:numPr>
          <w:ilvl w:val="0"/>
          <w:numId w:val="32"/>
        </w:numPr>
      </w:pPr>
      <w:r w:rsidRPr="005F20F5">
        <w:t xml:space="preserve">Capacity building and training in plan administration and management with a participant to strengthen their ability to undertake tasks associated with the management of their supports – support item 14_031_0127_8_3 with a current price limit of </w:t>
      </w:r>
      <w:r w:rsidR="00B965A2" w:rsidRPr="005F20F5">
        <w:t>$65.09</w:t>
      </w:r>
      <w:r w:rsidRPr="005F20F5">
        <w:t xml:space="preserve"> per hour. </w:t>
      </w:r>
    </w:p>
    <w:p w14:paraId="684CC97B" w14:textId="77777777" w:rsidR="007667AF" w:rsidRPr="005F20F5" w:rsidRDefault="007667AF" w:rsidP="00B933E9">
      <w:r w:rsidRPr="005F20F5">
        <w:t>Currently, plan man</w:t>
      </w:r>
      <w:r w:rsidR="003A2B76" w:rsidRPr="005F20F5">
        <w:t>a</w:t>
      </w:r>
      <w:r w:rsidRPr="005F20F5">
        <w:t>gers are not permitted to claim for provider travel and non-face-to-face activities with respect to support item 14_031_0127_8_3. They are permitted to claim for short notice cancellations.</w:t>
      </w:r>
    </w:p>
    <w:p w14:paraId="64DA5F6E" w14:textId="77777777" w:rsidR="007667AF" w:rsidRPr="005F20F5" w:rsidRDefault="007667AF" w:rsidP="00B933E9">
      <w:pPr>
        <w:pStyle w:val="Heading2"/>
        <w:spacing w:before="100"/>
      </w:pPr>
      <w:bookmarkStart w:id="93" w:name="_Toc25182182"/>
      <w:bookmarkStart w:id="94" w:name="_Toc85097281"/>
      <w:r w:rsidRPr="005F20F5">
        <w:t>Issues</w:t>
      </w:r>
      <w:bookmarkEnd w:id="93"/>
      <w:bookmarkEnd w:id="94"/>
    </w:p>
    <w:p w14:paraId="288BE072" w14:textId="23ABD0EB" w:rsidR="0072126F" w:rsidRPr="005F20F5" w:rsidRDefault="00A500FA" w:rsidP="001B16F3">
      <w:r w:rsidRPr="005F20F5">
        <w:t>The NDIA is continuing to improve the way participants are able to make claims. The existing portal approach will be augmented over time with a mobile app (currently in extended pilot program) and a POS system which is in the early stages of planning. These new systems would be additions to a participant’s choice and control. Claims could be made through any and all of those means.</w:t>
      </w:r>
    </w:p>
    <w:p w14:paraId="192E34F5" w14:textId="77777777" w:rsidR="00322EBF" w:rsidRPr="005F20F5" w:rsidRDefault="00322EBF" w:rsidP="00322EBF">
      <w:r w:rsidRPr="005F20F5">
        <w:t>The automated process flow for claims initiated by the real time claims solution is expected to change the role that plan managers currently play in the processing of those claims. The introduction of a CPOS system, and the Agency’s broader digital strategy, may therefore impact on the service offerings of plan mangers and the costs of delivering those services.</w:t>
      </w:r>
    </w:p>
    <w:p w14:paraId="1CB24FAE" w14:textId="77777777" w:rsidR="00EB6B4D" w:rsidRPr="005F20F5" w:rsidRDefault="00EB6B4D" w:rsidP="00EB6B4D">
      <w:r w:rsidRPr="005F20F5">
        <w:t>Stakeholders have also raised a number of issues with the current arrangements, including:</w:t>
      </w:r>
    </w:p>
    <w:p w14:paraId="7FA79448" w14:textId="77777777" w:rsidR="00EB6B4D" w:rsidRPr="005F20F5" w:rsidRDefault="00EB6B4D" w:rsidP="00EB6B4D">
      <w:pPr>
        <w:numPr>
          <w:ilvl w:val="0"/>
          <w:numId w:val="5"/>
        </w:numPr>
      </w:pPr>
      <w:r w:rsidRPr="005F20F5">
        <w:t>Whether the price limit for the establishment fee is reasonable?</w:t>
      </w:r>
    </w:p>
    <w:p w14:paraId="5AF098B3" w14:textId="77777777" w:rsidR="00EB6B4D" w:rsidRPr="005F20F5" w:rsidRDefault="00EB6B4D" w:rsidP="00EB6B4D">
      <w:pPr>
        <w:numPr>
          <w:ilvl w:val="0"/>
          <w:numId w:val="5"/>
        </w:numPr>
      </w:pPr>
      <w:r w:rsidRPr="005F20F5">
        <w:t>Whether the price limit for the monthly fee for the ongoing maintenance of the financial management arrangements is reasonable?</w:t>
      </w:r>
    </w:p>
    <w:p w14:paraId="5B1EDF52" w14:textId="77777777" w:rsidR="00B933E9" w:rsidRPr="005F20F5" w:rsidRDefault="00B933E9" w:rsidP="00B933E9">
      <w:pPr>
        <w:pStyle w:val="Heading2"/>
      </w:pPr>
      <w:bookmarkStart w:id="95" w:name="_Toc85097282"/>
      <w:r w:rsidRPr="005F20F5">
        <w:t>Call for Submissions</w:t>
      </w:r>
      <w:bookmarkEnd w:id="95"/>
    </w:p>
    <w:p w14:paraId="4A6A33E4" w14:textId="77777777" w:rsidR="00980F79" w:rsidRPr="005F20F5" w:rsidRDefault="007667AF" w:rsidP="00B933E9">
      <w:r w:rsidRPr="005F20F5">
        <w:t xml:space="preserve">The </w:t>
      </w:r>
      <w:r w:rsidR="007A0655" w:rsidRPr="005F20F5">
        <w:t xml:space="preserve">2021-22 Annual Pricing Review </w:t>
      </w:r>
      <w:r w:rsidRPr="005F20F5">
        <w:t>is seeking the views of stakeholders on these issues and on any other issues that stakeholders wish to raise.</w:t>
      </w:r>
    </w:p>
    <w:tbl>
      <w:tblPr>
        <w:tblStyle w:val="GUIDEQUESTION"/>
        <w:tblW w:w="0" w:type="auto"/>
        <w:tblLook w:val="04A0" w:firstRow="1" w:lastRow="0" w:firstColumn="1" w:lastColumn="0" w:noHBand="0" w:noVBand="1"/>
        <w:tblCaption w:val="Guide question"/>
        <w:tblDescription w:val="1 question to consider for the APR"/>
      </w:tblPr>
      <w:tblGrid>
        <w:gridCol w:w="9017"/>
      </w:tblGrid>
      <w:tr w:rsidR="00980F79" w:rsidRPr="005F20F5" w14:paraId="62E438A2" w14:textId="77777777" w:rsidTr="003D1C27">
        <w:trPr>
          <w:tblHeader/>
        </w:trPr>
        <w:tc>
          <w:tcPr>
            <w:tcW w:w="9060" w:type="dxa"/>
          </w:tcPr>
          <w:p w14:paraId="67558944" w14:textId="77777777" w:rsidR="00980F79" w:rsidRPr="005F20F5" w:rsidRDefault="00B57DDA" w:rsidP="00980F79">
            <w:pPr>
              <w:spacing w:before="200"/>
              <w:jc w:val="center"/>
              <w:rPr>
                <w:b/>
              </w:rPr>
            </w:pPr>
            <w:r w:rsidRPr="005F20F5">
              <w:rPr>
                <w:b/>
              </w:rPr>
              <w:t>Guide Question</w:t>
            </w:r>
          </w:p>
          <w:p w14:paraId="577FF4EE" w14:textId="77777777" w:rsidR="00980F79" w:rsidRPr="005F20F5" w:rsidRDefault="00980F79" w:rsidP="00D75A91">
            <w:pPr>
              <w:pStyle w:val="QUESTION"/>
            </w:pPr>
            <w:r w:rsidRPr="005F20F5">
              <w:t>Are the current pricing arrangements for plan management appropriate? If not, why not? Please provide evidence.</w:t>
            </w:r>
          </w:p>
        </w:tc>
      </w:tr>
    </w:tbl>
    <w:p w14:paraId="685D8773" w14:textId="77777777" w:rsidR="00FA66D6" w:rsidRPr="005F20F5" w:rsidRDefault="00FA66D6" w:rsidP="00380CDE"/>
    <w:p w14:paraId="6722367E" w14:textId="77777777" w:rsidR="00FA66D6" w:rsidRPr="005F20F5" w:rsidRDefault="00FA66D6" w:rsidP="00380CDE">
      <w:pPr>
        <w:sectPr w:rsidR="00FA66D6" w:rsidRPr="005F20F5" w:rsidSect="00872AF9">
          <w:pgSz w:w="11907" w:h="16839" w:code="9"/>
          <w:pgMar w:top="1440" w:right="1440" w:bottom="1440" w:left="1440" w:header="709" w:footer="709" w:gutter="0"/>
          <w:cols w:space="708"/>
          <w:titlePg/>
          <w:docGrid w:linePitch="360"/>
        </w:sectPr>
      </w:pPr>
    </w:p>
    <w:p w14:paraId="2691794F" w14:textId="77777777" w:rsidR="00FA66D6" w:rsidRPr="005F20F5" w:rsidRDefault="00DE55E6" w:rsidP="005103D6">
      <w:pPr>
        <w:pStyle w:val="Heading1"/>
      </w:pPr>
      <w:bookmarkStart w:id="96" w:name="_Toc85097283"/>
      <w:r w:rsidRPr="005F20F5">
        <w:t>Regional, Remote and Very Remote Areas</w:t>
      </w:r>
      <w:bookmarkEnd w:id="96"/>
      <w:r w:rsidRPr="005F20F5">
        <w:t xml:space="preserve"> </w:t>
      </w:r>
    </w:p>
    <w:p w14:paraId="35E79701" w14:textId="77777777" w:rsidR="00FA66D6" w:rsidRPr="005F20F5" w:rsidRDefault="00440434" w:rsidP="00440434">
      <w:r w:rsidRPr="005F20F5">
        <w:t xml:space="preserve">The 2021-22 Annual Pricing Review is required </w:t>
      </w:r>
      <w:r w:rsidR="00B933E9" w:rsidRPr="005F20F5">
        <w:t xml:space="preserve">by its Terms of Reference </w:t>
      </w:r>
      <w:r w:rsidRPr="005F20F5">
        <w:t xml:space="preserve">to review the </w:t>
      </w:r>
      <w:r w:rsidR="00FA66D6" w:rsidRPr="005F20F5">
        <w:t>pricing arrangements that apply to supports delivered in regional, remote and very remote areas to ensure continued access to appropriate supports for participants living in those areas.</w:t>
      </w:r>
    </w:p>
    <w:p w14:paraId="1098C9E6" w14:textId="77777777" w:rsidR="00FA66D6" w:rsidRPr="005F20F5" w:rsidRDefault="00FA66D6" w:rsidP="004E6B4B">
      <w:pPr>
        <w:pStyle w:val="Heading2"/>
      </w:pPr>
      <w:bookmarkStart w:id="97" w:name="_Toc85097284"/>
      <w:r w:rsidRPr="005F20F5">
        <w:t>Current arrangements</w:t>
      </w:r>
      <w:bookmarkEnd w:id="97"/>
    </w:p>
    <w:p w14:paraId="50862970" w14:textId="7464EF57" w:rsidR="00DE55E6" w:rsidRPr="005F20F5" w:rsidRDefault="00754F95" w:rsidP="00DE55E6">
      <w:r w:rsidRPr="005F20F5">
        <w:t>In the NDIS, d</w:t>
      </w:r>
      <w:r w:rsidR="00267493" w:rsidRPr="005F20F5">
        <w:t>ifferent pricing arrangements apply depending on whether a support is delivered in a regional</w:t>
      </w:r>
      <w:r w:rsidRPr="005F20F5">
        <w:t>,</w:t>
      </w:r>
      <w:r w:rsidR="00267493" w:rsidRPr="005F20F5">
        <w:t xml:space="preserve"> remote or very remote area. To determine whether a support is being delivered in a regional</w:t>
      </w:r>
      <w:r w:rsidRPr="005F20F5">
        <w:t>,</w:t>
      </w:r>
      <w:r w:rsidR="00267493" w:rsidRPr="005F20F5">
        <w:t xml:space="preserve"> remote or very remote area the NDIA uses a modification of the Modified Monash Model (MMM). The MMM determines regional, remote and very remote areas using a scale based on populat</w:t>
      </w:r>
      <w:r w:rsidR="00B933E9" w:rsidRPr="005F20F5">
        <w:t xml:space="preserve">ion size and locality (see </w:t>
      </w:r>
      <w:r w:rsidR="00B933E9" w:rsidRPr="005F20F5">
        <w:fldChar w:fldCharType="begin"/>
      </w:r>
      <w:r w:rsidR="00B933E9" w:rsidRPr="005F20F5">
        <w:instrText xml:space="preserve"> REF _Ref83299694 \h </w:instrText>
      </w:r>
      <w:r w:rsidR="007A0655" w:rsidRPr="005F20F5">
        <w:instrText xml:space="preserve"> \* MERGEFORMAT </w:instrText>
      </w:r>
      <w:r w:rsidR="00B933E9" w:rsidRPr="005F20F5">
        <w:fldChar w:fldCharType="separate"/>
      </w:r>
      <w:r w:rsidR="009D3AFE" w:rsidRPr="005F20F5">
        <w:t xml:space="preserve">Exhibit </w:t>
      </w:r>
      <w:r w:rsidR="009D3AFE">
        <w:rPr>
          <w:noProof/>
        </w:rPr>
        <w:t>15</w:t>
      </w:r>
      <w:r w:rsidR="00B933E9" w:rsidRPr="005F20F5">
        <w:fldChar w:fldCharType="end"/>
      </w:r>
      <w:r w:rsidR="00267493" w:rsidRPr="005F20F5">
        <w:t>).</w:t>
      </w:r>
    </w:p>
    <w:p w14:paraId="45F07FF5" w14:textId="1C6D90B2" w:rsidR="00B933E9" w:rsidRPr="005F20F5" w:rsidRDefault="00B933E9" w:rsidP="00B933E9">
      <w:pPr>
        <w:pStyle w:val="Caption"/>
      </w:pPr>
      <w:bookmarkStart w:id="98" w:name="_Ref83299694"/>
      <w:r w:rsidRPr="005F20F5">
        <w:t xml:space="preserve">Exhibit </w:t>
      </w:r>
      <w:r w:rsidR="009D3AFE">
        <w:fldChar w:fldCharType="begin"/>
      </w:r>
      <w:r w:rsidR="009D3AFE">
        <w:instrText xml:space="preserve"> SEQ Exhibit \* ARABIC </w:instrText>
      </w:r>
      <w:r w:rsidR="009D3AFE">
        <w:fldChar w:fldCharType="separate"/>
      </w:r>
      <w:r w:rsidR="009D3AFE">
        <w:rPr>
          <w:noProof/>
        </w:rPr>
        <w:t>15</w:t>
      </w:r>
      <w:r w:rsidR="009D3AFE">
        <w:rPr>
          <w:noProof/>
        </w:rPr>
        <w:fldChar w:fldCharType="end"/>
      </w:r>
      <w:bookmarkEnd w:id="98"/>
      <w:r w:rsidRPr="005F20F5">
        <w:t>: Modified Monash Model</w:t>
      </w:r>
    </w:p>
    <w:tbl>
      <w:tblPr>
        <w:tblStyle w:val="GridTable4-Accent1"/>
        <w:tblW w:w="8814" w:type="dxa"/>
        <w:tblLook w:val="0420" w:firstRow="1" w:lastRow="0" w:firstColumn="0" w:lastColumn="0" w:noHBand="0" w:noVBand="1"/>
        <w:tblCaption w:val="MMM Descriptions"/>
        <w:tblDescription w:val="This table gives a breakdown of the different classifications and zones for the Modified Monash Model."/>
      </w:tblPr>
      <w:tblGrid>
        <w:gridCol w:w="1666"/>
        <w:gridCol w:w="1023"/>
        <w:gridCol w:w="739"/>
        <w:gridCol w:w="5386"/>
      </w:tblGrid>
      <w:tr w:rsidR="00DE55E6" w:rsidRPr="005F20F5" w14:paraId="14FA2B70" w14:textId="77777777" w:rsidTr="003D1C27">
        <w:trPr>
          <w:cnfStyle w:val="100000000000" w:firstRow="1" w:lastRow="0" w:firstColumn="0" w:lastColumn="0" w:oddVBand="0" w:evenVBand="0" w:oddHBand="0" w:evenHBand="0" w:firstRowFirstColumn="0" w:firstRowLastColumn="0" w:lastRowFirstColumn="0" w:lastRowLastColumn="0"/>
          <w:tblHeader/>
        </w:trPr>
        <w:tc>
          <w:tcPr>
            <w:tcW w:w="1666" w:type="dxa"/>
          </w:tcPr>
          <w:p w14:paraId="3669C4C7"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Description</w:t>
            </w:r>
          </w:p>
        </w:tc>
        <w:tc>
          <w:tcPr>
            <w:tcW w:w="1023" w:type="dxa"/>
          </w:tcPr>
          <w:p w14:paraId="12AED9EB"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Zones</w:t>
            </w:r>
          </w:p>
        </w:tc>
        <w:tc>
          <w:tcPr>
            <w:tcW w:w="739" w:type="dxa"/>
          </w:tcPr>
          <w:p w14:paraId="58EAB4C2"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MMM</w:t>
            </w:r>
          </w:p>
        </w:tc>
        <w:tc>
          <w:tcPr>
            <w:tcW w:w="5386" w:type="dxa"/>
          </w:tcPr>
          <w:p w14:paraId="3F254CA5"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color w:val="6B2976"/>
                <w:sz w:val="16"/>
                <w:szCs w:val="16"/>
                <w:lang w:val="en-AU"/>
              </w:rPr>
              <w:t>Inclusion</w:t>
            </w:r>
          </w:p>
        </w:tc>
      </w:tr>
      <w:tr w:rsidR="00DE55E6" w:rsidRPr="005F20F5" w14:paraId="5ED5E896" w14:textId="77777777" w:rsidTr="006B14EB">
        <w:trPr>
          <w:cnfStyle w:val="000000100000" w:firstRow="0" w:lastRow="0" w:firstColumn="0" w:lastColumn="0" w:oddVBand="0" w:evenVBand="0" w:oddHBand="1" w:evenHBand="0" w:firstRowFirstColumn="0" w:firstRowLastColumn="0" w:lastRowFirstColumn="0" w:lastRowLastColumn="0"/>
        </w:trPr>
        <w:tc>
          <w:tcPr>
            <w:tcW w:w="1666" w:type="dxa"/>
          </w:tcPr>
          <w:p w14:paraId="5C6124D4" w14:textId="77777777" w:rsidR="00DE55E6" w:rsidRPr="005F20F5" w:rsidRDefault="00DE55E6" w:rsidP="00EB3BC2">
            <w:pPr>
              <w:pStyle w:val="NoSpacing"/>
              <w:spacing w:before="40" w:after="40"/>
              <w:rPr>
                <w:rFonts w:asciiTheme="majorHAnsi" w:hAnsiTheme="majorHAnsi" w:cstheme="majorHAnsi"/>
                <w:b/>
                <w:sz w:val="16"/>
                <w:szCs w:val="16"/>
                <w:lang w:val="en-AU"/>
              </w:rPr>
            </w:pPr>
            <w:r w:rsidRPr="005F20F5">
              <w:rPr>
                <w:rFonts w:asciiTheme="majorHAnsi" w:hAnsiTheme="majorHAnsi" w:cstheme="majorHAnsi"/>
                <w:sz w:val="16"/>
                <w:szCs w:val="16"/>
                <w:lang w:val="en-AU"/>
              </w:rPr>
              <w:t>Metropolitan</w:t>
            </w:r>
          </w:p>
        </w:tc>
        <w:tc>
          <w:tcPr>
            <w:tcW w:w="1023" w:type="dxa"/>
          </w:tcPr>
          <w:p w14:paraId="15CEBB40"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MMM1-3</w:t>
            </w:r>
          </w:p>
        </w:tc>
        <w:tc>
          <w:tcPr>
            <w:tcW w:w="739" w:type="dxa"/>
          </w:tcPr>
          <w:p w14:paraId="36F23EBF"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1</w:t>
            </w:r>
          </w:p>
        </w:tc>
        <w:tc>
          <w:tcPr>
            <w:tcW w:w="5386" w:type="dxa"/>
          </w:tcPr>
          <w:p w14:paraId="065DFD95"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All areas categorised as Major Cities of Australia.</w:t>
            </w:r>
          </w:p>
        </w:tc>
      </w:tr>
      <w:tr w:rsidR="00DE55E6" w:rsidRPr="005F20F5" w14:paraId="67B99182" w14:textId="77777777" w:rsidTr="006B14EB">
        <w:tc>
          <w:tcPr>
            <w:tcW w:w="1666" w:type="dxa"/>
          </w:tcPr>
          <w:p w14:paraId="4F48A9D1" w14:textId="77777777" w:rsidR="00DE55E6" w:rsidRPr="005F20F5" w:rsidRDefault="00DE55E6" w:rsidP="00EB3BC2">
            <w:pPr>
              <w:pStyle w:val="NoSpacing"/>
              <w:spacing w:before="40" w:after="40"/>
              <w:rPr>
                <w:rFonts w:asciiTheme="majorHAnsi" w:hAnsiTheme="majorHAnsi" w:cstheme="majorHAnsi"/>
                <w:b/>
                <w:sz w:val="16"/>
                <w:szCs w:val="16"/>
                <w:lang w:val="en-AU"/>
              </w:rPr>
            </w:pPr>
            <w:r w:rsidRPr="005F20F5">
              <w:rPr>
                <w:rFonts w:asciiTheme="majorHAnsi" w:hAnsiTheme="majorHAnsi" w:cstheme="majorHAnsi"/>
                <w:sz w:val="16"/>
                <w:szCs w:val="16"/>
                <w:lang w:val="en-AU"/>
              </w:rPr>
              <w:t>Regional Centres</w:t>
            </w:r>
          </w:p>
        </w:tc>
        <w:tc>
          <w:tcPr>
            <w:tcW w:w="1023" w:type="dxa"/>
          </w:tcPr>
          <w:p w14:paraId="31A7A346"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MMM1-3</w:t>
            </w:r>
          </w:p>
        </w:tc>
        <w:tc>
          <w:tcPr>
            <w:tcW w:w="739" w:type="dxa"/>
          </w:tcPr>
          <w:p w14:paraId="072F80EF"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2</w:t>
            </w:r>
          </w:p>
        </w:tc>
        <w:tc>
          <w:tcPr>
            <w:tcW w:w="5386" w:type="dxa"/>
          </w:tcPr>
          <w:p w14:paraId="447215C2"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Areas categorised as Inner Regional Australia or Outer Regional Australia that are in, or within 20km road distance, of a town with population &gt;50,000.</w:t>
            </w:r>
          </w:p>
        </w:tc>
      </w:tr>
      <w:tr w:rsidR="00DE55E6" w:rsidRPr="005F20F5" w14:paraId="1C57E7C2" w14:textId="77777777" w:rsidTr="006B14EB">
        <w:trPr>
          <w:cnfStyle w:val="000000100000" w:firstRow="0" w:lastRow="0" w:firstColumn="0" w:lastColumn="0" w:oddVBand="0" w:evenVBand="0" w:oddHBand="1" w:evenHBand="0" w:firstRowFirstColumn="0" w:firstRowLastColumn="0" w:lastRowFirstColumn="0" w:lastRowLastColumn="0"/>
        </w:trPr>
        <w:tc>
          <w:tcPr>
            <w:tcW w:w="1666" w:type="dxa"/>
          </w:tcPr>
          <w:p w14:paraId="551026DB" w14:textId="77777777" w:rsidR="00DE55E6" w:rsidRPr="005F20F5" w:rsidRDefault="00DE55E6" w:rsidP="00EB3BC2">
            <w:pPr>
              <w:pStyle w:val="NoSpacing"/>
              <w:spacing w:before="40" w:after="40"/>
              <w:rPr>
                <w:rFonts w:asciiTheme="majorHAnsi" w:hAnsiTheme="majorHAnsi" w:cstheme="majorHAnsi"/>
                <w:b/>
                <w:sz w:val="16"/>
                <w:szCs w:val="16"/>
                <w:lang w:val="en-AU"/>
              </w:rPr>
            </w:pPr>
            <w:r w:rsidRPr="005F20F5">
              <w:rPr>
                <w:rFonts w:asciiTheme="majorHAnsi" w:hAnsiTheme="majorHAnsi" w:cstheme="majorHAnsi"/>
                <w:sz w:val="16"/>
                <w:szCs w:val="16"/>
                <w:lang w:val="en-AU"/>
              </w:rPr>
              <w:t>Regional Centres</w:t>
            </w:r>
          </w:p>
        </w:tc>
        <w:tc>
          <w:tcPr>
            <w:tcW w:w="1023" w:type="dxa"/>
          </w:tcPr>
          <w:p w14:paraId="67AF7859"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MMM1-3</w:t>
            </w:r>
          </w:p>
        </w:tc>
        <w:tc>
          <w:tcPr>
            <w:tcW w:w="739" w:type="dxa"/>
          </w:tcPr>
          <w:p w14:paraId="51A8D189"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3</w:t>
            </w:r>
          </w:p>
        </w:tc>
        <w:tc>
          <w:tcPr>
            <w:tcW w:w="5386" w:type="dxa"/>
          </w:tcPr>
          <w:p w14:paraId="547B617D"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Areas categorised as Inner Regional Australia or Outer Regional Australia that are not in MMM 2 and are in, or within 15km road distance, of a town with population between 15,000 and 50,000.</w:t>
            </w:r>
          </w:p>
        </w:tc>
      </w:tr>
      <w:tr w:rsidR="00DE55E6" w:rsidRPr="005F20F5" w14:paraId="6B359C8D" w14:textId="77777777" w:rsidTr="006B14EB">
        <w:tc>
          <w:tcPr>
            <w:tcW w:w="1666" w:type="dxa"/>
          </w:tcPr>
          <w:p w14:paraId="7362ADCD" w14:textId="77777777" w:rsidR="00DE55E6" w:rsidRPr="005F20F5" w:rsidRDefault="00DE55E6" w:rsidP="00EB3BC2">
            <w:pPr>
              <w:pStyle w:val="NoSpacing"/>
              <w:spacing w:before="40" w:after="40"/>
              <w:rPr>
                <w:rFonts w:asciiTheme="majorHAnsi" w:hAnsiTheme="majorHAnsi" w:cstheme="majorHAnsi"/>
                <w:b/>
                <w:sz w:val="16"/>
                <w:szCs w:val="16"/>
                <w:lang w:val="en-AU"/>
              </w:rPr>
            </w:pPr>
            <w:r w:rsidRPr="005F20F5">
              <w:rPr>
                <w:rFonts w:asciiTheme="majorHAnsi" w:hAnsiTheme="majorHAnsi" w:cstheme="majorHAnsi"/>
                <w:sz w:val="16"/>
                <w:szCs w:val="16"/>
                <w:lang w:val="en-AU"/>
              </w:rPr>
              <w:t>Regional Areas</w:t>
            </w:r>
          </w:p>
        </w:tc>
        <w:tc>
          <w:tcPr>
            <w:tcW w:w="1023" w:type="dxa"/>
          </w:tcPr>
          <w:p w14:paraId="2BB297BF"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MMM4-5</w:t>
            </w:r>
          </w:p>
        </w:tc>
        <w:tc>
          <w:tcPr>
            <w:tcW w:w="739" w:type="dxa"/>
          </w:tcPr>
          <w:p w14:paraId="7D74410A"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4</w:t>
            </w:r>
          </w:p>
        </w:tc>
        <w:tc>
          <w:tcPr>
            <w:tcW w:w="5386" w:type="dxa"/>
          </w:tcPr>
          <w:p w14:paraId="6FF027D9"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Areas categorised as Inner Regional Australia or Outer Regional Australia that are not in MMM 2 or MMM 3, and are in, or within 10km road distance, of a town with population between 5,000 and 15,000.</w:t>
            </w:r>
          </w:p>
        </w:tc>
      </w:tr>
      <w:tr w:rsidR="00DE55E6" w:rsidRPr="005F20F5" w14:paraId="7FF83587" w14:textId="77777777" w:rsidTr="006B14EB">
        <w:trPr>
          <w:cnfStyle w:val="000000100000" w:firstRow="0" w:lastRow="0" w:firstColumn="0" w:lastColumn="0" w:oddVBand="0" w:evenVBand="0" w:oddHBand="1" w:evenHBand="0" w:firstRowFirstColumn="0" w:firstRowLastColumn="0" w:lastRowFirstColumn="0" w:lastRowLastColumn="0"/>
        </w:trPr>
        <w:tc>
          <w:tcPr>
            <w:tcW w:w="1666" w:type="dxa"/>
          </w:tcPr>
          <w:p w14:paraId="02C3BCA5" w14:textId="77777777" w:rsidR="00DE55E6" w:rsidRPr="005F20F5" w:rsidRDefault="00DE55E6" w:rsidP="00EB3BC2">
            <w:pPr>
              <w:pStyle w:val="NoSpacing"/>
              <w:spacing w:before="40" w:after="40"/>
              <w:rPr>
                <w:rFonts w:asciiTheme="majorHAnsi" w:hAnsiTheme="majorHAnsi" w:cstheme="majorHAnsi"/>
                <w:b/>
                <w:sz w:val="16"/>
                <w:szCs w:val="16"/>
                <w:lang w:val="en-AU"/>
              </w:rPr>
            </w:pPr>
            <w:r w:rsidRPr="005F20F5">
              <w:rPr>
                <w:rFonts w:asciiTheme="majorHAnsi" w:hAnsiTheme="majorHAnsi" w:cstheme="majorHAnsi"/>
                <w:sz w:val="16"/>
                <w:szCs w:val="16"/>
                <w:lang w:val="en-AU"/>
              </w:rPr>
              <w:t>Regional Areas</w:t>
            </w:r>
          </w:p>
        </w:tc>
        <w:tc>
          <w:tcPr>
            <w:tcW w:w="1023" w:type="dxa"/>
          </w:tcPr>
          <w:p w14:paraId="2A28BD51"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MMM4-5</w:t>
            </w:r>
          </w:p>
        </w:tc>
        <w:tc>
          <w:tcPr>
            <w:tcW w:w="739" w:type="dxa"/>
          </w:tcPr>
          <w:p w14:paraId="77F388D1"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5</w:t>
            </w:r>
          </w:p>
        </w:tc>
        <w:tc>
          <w:tcPr>
            <w:tcW w:w="5386" w:type="dxa"/>
          </w:tcPr>
          <w:p w14:paraId="54D4BA34"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All other areas in Inner Regional Australia or Outer Regional Australia.</w:t>
            </w:r>
          </w:p>
        </w:tc>
      </w:tr>
      <w:tr w:rsidR="00DE55E6" w:rsidRPr="005F20F5" w14:paraId="3AECD012" w14:textId="77777777" w:rsidTr="006B14EB">
        <w:tc>
          <w:tcPr>
            <w:tcW w:w="1666" w:type="dxa"/>
          </w:tcPr>
          <w:p w14:paraId="702A77AC" w14:textId="77777777" w:rsidR="00DE55E6" w:rsidRPr="005F20F5" w:rsidRDefault="00DE55E6" w:rsidP="00EB3BC2">
            <w:pPr>
              <w:pStyle w:val="NoSpacing"/>
              <w:spacing w:before="40" w:after="40"/>
              <w:rPr>
                <w:rFonts w:asciiTheme="majorHAnsi" w:hAnsiTheme="majorHAnsi" w:cstheme="majorHAnsi"/>
                <w:b/>
                <w:sz w:val="16"/>
                <w:szCs w:val="16"/>
                <w:lang w:val="en-AU"/>
              </w:rPr>
            </w:pPr>
            <w:r w:rsidRPr="005F20F5">
              <w:rPr>
                <w:rFonts w:asciiTheme="majorHAnsi" w:hAnsiTheme="majorHAnsi" w:cstheme="majorHAnsi"/>
                <w:sz w:val="16"/>
                <w:szCs w:val="16"/>
                <w:lang w:val="en-AU"/>
              </w:rPr>
              <w:t>Remote</w:t>
            </w:r>
          </w:p>
        </w:tc>
        <w:tc>
          <w:tcPr>
            <w:tcW w:w="1023" w:type="dxa"/>
          </w:tcPr>
          <w:p w14:paraId="283DF699"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MMM6</w:t>
            </w:r>
          </w:p>
        </w:tc>
        <w:tc>
          <w:tcPr>
            <w:tcW w:w="739" w:type="dxa"/>
          </w:tcPr>
          <w:p w14:paraId="6C2A21D2"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6</w:t>
            </w:r>
          </w:p>
        </w:tc>
        <w:tc>
          <w:tcPr>
            <w:tcW w:w="5386" w:type="dxa"/>
          </w:tcPr>
          <w:p w14:paraId="2760781E"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All areas categorised Remote Australia that are not on a populated island that is separated from the mainland and is more than 5km offshore.</w:t>
            </w:r>
          </w:p>
        </w:tc>
      </w:tr>
      <w:tr w:rsidR="00DE55E6" w:rsidRPr="005F20F5" w14:paraId="3ACDACC5" w14:textId="77777777" w:rsidTr="006B14EB">
        <w:trPr>
          <w:cnfStyle w:val="000000100000" w:firstRow="0" w:lastRow="0" w:firstColumn="0" w:lastColumn="0" w:oddVBand="0" w:evenVBand="0" w:oddHBand="1" w:evenHBand="0" w:firstRowFirstColumn="0" w:firstRowLastColumn="0" w:lastRowFirstColumn="0" w:lastRowLastColumn="0"/>
        </w:trPr>
        <w:tc>
          <w:tcPr>
            <w:tcW w:w="1666" w:type="dxa"/>
          </w:tcPr>
          <w:p w14:paraId="29F70CB8" w14:textId="77777777" w:rsidR="00DE55E6" w:rsidRPr="005F20F5" w:rsidRDefault="00DE55E6" w:rsidP="00EB3BC2">
            <w:pPr>
              <w:pStyle w:val="NoSpacing"/>
              <w:spacing w:before="40" w:after="40"/>
              <w:rPr>
                <w:rFonts w:asciiTheme="majorHAnsi" w:hAnsiTheme="majorHAnsi" w:cstheme="majorHAnsi"/>
                <w:b/>
                <w:sz w:val="16"/>
                <w:szCs w:val="16"/>
                <w:lang w:val="en-AU"/>
              </w:rPr>
            </w:pPr>
            <w:r w:rsidRPr="005F20F5">
              <w:rPr>
                <w:rFonts w:asciiTheme="majorHAnsi" w:hAnsiTheme="majorHAnsi" w:cstheme="majorHAnsi"/>
                <w:sz w:val="16"/>
                <w:szCs w:val="16"/>
                <w:lang w:val="en-AU"/>
              </w:rPr>
              <w:t>Very Remote</w:t>
            </w:r>
          </w:p>
        </w:tc>
        <w:tc>
          <w:tcPr>
            <w:tcW w:w="1023" w:type="dxa"/>
          </w:tcPr>
          <w:p w14:paraId="05AFC1F1"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MMM7</w:t>
            </w:r>
          </w:p>
        </w:tc>
        <w:tc>
          <w:tcPr>
            <w:tcW w:w="739" w:type="dxa"/>
          </w:tcPr>
          <w:p w14:paraId="42AFFEE3"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7</w:t>
            </w:r>
          </w:p>
        </w:tc>
        <w:tc>
          <w:tcPr>
            <w:tcW w:w="5386" w:type="dxa"/>
          </w:tcPr>
          <w:p w14:paraId="74D2171D" w14:textId="77777777" w:rsidR="00DE55E6" w:rsidRPr="005F20F5" w:rsidRDefault="00DE55E6" w:rsidP="00EB3BC2">
            <w:pPr>
              <w:pStyle w:val="NoSpacing"/>
              <w:spacing w:before="40" w:after="40"/>
              <w:rPr>
                <w:rFonts w:asciiTheme="majorHAnsi" w:hAnsiTheme="majorHAnsi" w:cstheme="majorHAnsi"/>
                <w:sz w:val="16"/>
                <w:szCs w:val="16"/>
                <w:lang w:val="en-AU"/>
              </w:rPr>
            </w:pPr>
            <w:r w:rsidRPr="005F20F5">
              <w:rPr>
                <w:rFonts w:asciiTheme="majorHAnsi" w:hAnsiTheme="majorHAnsi" w:cstheme="majorHAnsi"/>
                <w:sz w:val="16"/>
                <w:szCs w:val="16"/>
                <w:lang w:val="en-AU"/>
              </w:rPr>
              <w:t>All other areas – that being Very Remote Australia and areas on a populated island that is separated from the mainland in the ABS geography and is more than 5km offshore.</w:t>
            </w:r>
          </w:p>
        </w:tc>
      </w:tr>
    </w:tbl>
    <w:p w14:paraId="7F69D781" w14:textId="0CC94D9D" w:rsidR="00440434" w:rsidRPr="005F20F5" w:rsidRDefault="00267493" w:rsidP="00D935A3">
      <w:bookmarkStart w:id="99" w:name="_Toc41159064"/>
      <w:bookmarkStart w:id="100" w:name="IsolatedTowns"/>
      <w:r w:rsidRPr="005F20F5">
        <w:rPr>
          <w:rFonts w:cs="Arial"/>
        </w:rPr>
        <w:t xml:space="preserve">Providers and participants can determine the MMM rating of a location using the Health Workforce Locator tool on the Department of Health’s </w:t>
      </w:r>
      <w:hyperlink r:id="rId33" w:anchor="hwc-map" w:history="1">
        <w:r w:rsidRPr="005F20F5">
          <w:rPr>
            <w:rStyle w:val="Hyperlink"/>
            <w:rFonts w:cs="Arial"/>
          </w:rPr>
          <w:t>website</w:t>
        </w:r>
      </w:hyperlink>
      <w:r w:rsidRPr="005F20F5">
        <w:rPr>
          <w:rFonts w:cs="Arial"/>
        </w:rPr>
        <w:t>.</w:t>
      </w:r>
      <w:bookmarkEnd w:id="99"/>
      <w:bookmarkEnd w:id="100"/>
    </w:p>
    <w:p w14:paraId="1A7D7D2E" w14:textId="77777777" w:rsidR="00EB3BC2" w:rsidRPr="005F20F5" w:rsidRDefault="00EB3BC2" w:rsidP="00EB3BC2">
      <w:pPr>
        <w:rPr>
          <w:rFonts w:cs="Arial"/>
        </w:rPr>
      </w:pPr>
      <w:r w:rsidRPr="005F20F5">
        <w:rPr>
          <w:rFonts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Pr="005F20F5">
        <w:rPr>
          <w:rFonts w:cs="Arial"/>
          <w:i/>
        </w:rPr>
        <w:t>NDIS Pricing Arrangements and Price Limits.</w:t>
      </w:r>
    </w:p>
    <w:p w14:paraId="5B38175D" w14:textId="549B03B7" w:rsidR="00440434" w:rsidRPr="005F20F5" w:rsidRDefault="00440434" w:rsidP="00440434">
      <w:pPr>
        <w:rPr>
          <w:rFonts w:cs="Arial"/>
        </w:rPr>
      </w:pPr>
      <w:r w:rsidRPr="005F20F5">
        <w:rPr>
          <w:rFonts w:cs="Arial"/>
        </w:rPr>
        <w:t xml:space="preserve">The NDIA </w:t>
      </w:r>
      <w:r w:rsidR="00B933E9" w:rsidRPr="005F20F5">
        <w:rPr>
          <w:rFonts w:cs="Arial"/>
        </w:rPr>
        <w:t>adjusts</w:t>
      </w:r>
      <w:r w:rsidRPr="005F20F5">
        <w:rPr>
          <w:rFonts w:cs="Arial"/>
        </w:rPr>
        <w:t xml:space="preserve"> the Modified Monash Model classification of some locations. Where a location is surrounded by Remote or Very Remote areas then the NDIA designates the enclave an Isolated Town and classifies that enclave as a Remote area for planning and pricing purposes. </w:t>
      </w:r>
      <w:r w:rsidR="00B933E9" w:rsidRPr="005F20F5">
        <w:rPr>
          <w:rFonts w:cs="Arial"/>
        </w:rPr>
        <w:fldChar w:fldCharType="begin"/>
      </w:r>
      <w:r w:rsidR="00B933E9" w:rsidRPr="005F20F5">
        <w:rPr>
          <w:rFonts w:cs="Arial"/>
        </w:rPr>
        <w:instrText xml:space="preserve"> REF _Ref83299766 \h </w:instrText>
      </w:r>
      <w:r w:rsidR="007A0655" w:rsidRPr="005F20F5">
        <w:rPr>
          <w:rFonts w:cs="Arial"/>
        </w:rPr>
        <w:instrText xml:space="preserve"> \* MERGEFORMAT </w:instrText>
      </w:r>
      <w:r w:rsidR="00B933E9" w:rsidRPr="005F20F5">
        <w:rPr>
          <w:rFonts w:cs="Arial"/>
        </w:rPr>
      </w:r>
      <w:r w:rsidR="00B933E9" w:rsidRPr="005F20F5">
        <w:rPr>
          <w:rFonts w:cs="Arial"/>
        </w:rPr>
        <w:fldChar w:fldCharType="separate"/>
      </w:r>
      <w:r w:rsidR="009D3AFE" w:rsidRPr="005F20F5">
        <w:t xml:space="preserve">Exhibit </w:t>
      </w:r>
      <w:r w:rsidR="009D3AFE">
        <w:rPr>
          <w:noProof/>
        </w:rPr>
        <w:t>16</w:t>
      </w:r>
      <w:r w:rsidR="00B933E9" w:rsidRPr="005F20F5">
        <w:rPr>
          <w:rFonts w:cs="Arial"/>
        </w:rPr>
        <w:fldChar w:fldCharType="end"/>
      </w:r>
      <w:r w:rsidR="00797D22" w:rsidRPr="005F20F5">
        <w:rPr>
          <w:rFonts w:cs="Arial"/>
        </w:rPr>
        <w:t xml:space="preserve"> </w:t>
      </w:r>
      <w:r w:rsidRPr="005F20F5">
        <w:rPr>
          <w:rFonts w:cs="Arial"/>
        </w:rPr>
        <w:t>sets out the enclaves that the NDIA has reclassified.</w:t>
      </w:r>
    </w:p>
    <w:p w14:paraId="11E539D5" w14:textId="6924B520" w:rsidR="00B933E9" w:rsidRPr="005F20F5" w:rsidRDefault="00B933E9" w:rsidP="00B933E9">
      <w:pPr>
        <w:pStyle w:val="Caption"/>
      </w:pPr>
      <w:bookmarkStart w:id="101" w:name="_Ref83299766"/>
      <w:r w:rsidRPr="005F20F5">
        <w:t xml:space="preserve">Exhibit </w:t>
      </w:r>
      <w:r w:rsidR="009D3AFE">
        <w:fldChar w:fldCharType="begin"/>
      </w:r>
      <w:r w:rsidR="009D3AFE">
        <w:instrText xml:space="preserve"> SEQ Exhibit \* ARABIC </w:instrText>
      </w:r>
      <w:r w:rsidR="009D3AFE">
        <w:fldChar w:fldCharType="separate"/>
      </w:r>
      <w:r w:rsidR="009D3AFE">
        <w:rPr>
          <w:noProof/>
        </w:rPr>
        <w:t>16</w:t>
      </w:r>
      <w:r w:rsidR="009D3AFE">
        <w:rPr>
          <w:noProof/>
        </w:rPr>
        <w:fldChar w:fldCharType="end"/>
      </w:r>
      <w:bookmarkEnd w:id="101"/>
      <w:r w:rsidRPr="005F20F5">
        <w:t>: Isolated Towns in the NDIS Adjusted Modified Monash Model</w:t>
      </w:r>
    </w:p>
    <w:tbl>
      <w:tblPr>
        <w:tblStyle w:val="GridTable4-Accent1"/>
        <w:tblW w:w="5000" w:type="pct"/>
        <w:tblLook w:val="0420" w:firstRow="1" w:lastRow="0" w:firstColumn="0" w:lastColumn="0" w:noHBand="0" w:noVBand="1"/>
        <w:tblCaption w:val="List of reclassified locations"/>
      </w:tblPr>
      <w:tblGrid>
        <w:gridCol w:w="2109"/>
        <w:gridCol w:w="1517"/>
        <w:gridCol w:w="1622"/>
        <w:gridCol w:w="1201"/>
        <w:gridCol w:w="1284"/>
        <w:gridCol w:w="1284"/>
      </w:tblGrid>
      <w:tr w:rsidR="006B14EB" w:rsidRPr="005F20F5" w14:paraId="725DB7C4" w14:textId="77777777" w:rsidTr="00B933E9">
        <w:trPr>
          <w:cnfStyle w:val="100000000000" w:firstRow="1" w:lastRow="0" w:firstColumn="0" w:lastColumn="0" w:oddVBand="0" w:evenVBand="0" w:oddHBand="0" w:evenHBand="0" w:firstRowFirstColumn="0" w:firstRowLastColumn="0" w:lastRowFirstColumn="0" w:lastRowLastColumn="0"/>
          <w:tblHeader/>
        </w:trPr>
        <w:tc>
          <w:tcPr>
            <w:tcW w:w="2109" w:type="dxa"/>
            <w:vAlign w:val="center"/>
          </w:tcPr>
          <w:p w14:paraId="21E85B33" w14:textId="77777777" w:rsidR="006B14EB" w:rsidRPr="005F20F5" w:rsidRDefault="006B14EB"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NDIA Enclave</w:t>
            </w:r>
          </w:p>
        </w:tc>
        <w:tc>
          <w:tcPr>
            <w:tcW w:w="1517" w:type="dxa"/>
            <w:vAlign w:val="center"/>
            <w:hideMark/>
          </w:tcPr>
          <w:p w14:paraId="69FF7D8E" w14:textId="77777777" w:rsidR="006B14EB" w:rsidRPr="005F20F5" w:rsidRDefault="006B14EB"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Postcodes</w:t>
            </w:r>
          </w:p>
        </w:tc>
        <w:tc>
          <w:tcPr>
            <w:tcW w:w="1622" w:type="dxa"/>
            <w:vAlign w:val="center"/>
            <w:hideMark/>
          </w:tcPr>
          <w:p w14:paraId="09809C1D" w14:textId="77777777" w:rsidR="006B14EB" w:rsidRPr="005F20F5" w:rsidRDefault="006B14EB"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Locations</w:t>
            </w:r>
          </w:p>
        </w:tc>
        <w:tc>
          <w:tcPr>
            <w:tcW w:w="1201" w:type="dxa"/>
            <w:vAlign w:val="center"/>
            <w:hideMark/>
          </w:tcPr>
          <w:p w14:paraId="25F1AAC0" w14:textId="77777777" w:rsidR="006B14EB" w:rsidRPr="005F20F5" w:rsidRDefault="006B14EB"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State</w:t>
            </w:r>
          </w:p>
        </w:tc>
        <w:tc>
          <w:tcPr>
            <w:tcW w:w="1284" w:type="dxa"/>
            <w:vAlign w:val="center"/>
            <w:hideMark/>
          </w:tcPr>
          <w:p w14:paraId="433053A7" w14:textId="77777777" w:rsidR="006B14EB" w:rsidRPr="005F20F5" w:rsidRDefault="006B14EB"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MMM Rating</w:t>
            </w:r>
          </w:p>
        </w:tc>
        <w:tc>
          <w:tcPr>
            <w:tcW w:w="1284" w:type="dxa"/>
            <w:vAlign w:val="center"/>
            <w:hideMark/>
          </w:tcPr>
          <w:p w14:paraId="30060795" w14:textId="77777777" w:rsidR="006B14EB" w:rsidRPr="005F20F5" w:rsidRDefault="006B14EB"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 xml:space="preserve">NDIS </w:t>
            </w:r>
            <w:r w:rsidR="00B933E9" w:rsidRPr="005F20F5">
              <w:rPr>
                <w:rFonts w:asciiTheme="minorHAnsi" w:hAnsiTheme="minorHAnsi" w:cstheme="minorHAnsi"/>
                <w:sz w:val="16"/>
                <w:szCs w:val="16"/>
              </w:rPr>
              <w:t xml:space="preserve">Adjusted </w:t>
            </w:r>
            <w:r w:rsidRPr="005F20F5">
              <w:rPr>
                <w:rFonts w:asciiTheme="minorHAnsi" w:hAnsiTheme="minorHAnsi" w:cstheme="minorHAnsi"/>
                <w:sz w:val="16"/>
                <w:szCs w:val="16"/>
              </w:rPr>
              <w:t>MMM Rating</w:t>
            </w:r>
          </w:p>
        </w:tc>
      </w:tr>
      <w:tr w:rsidR="006B14EB" w:rsidRPr="005F20F5" w14:paraId="3912F43C" w14:textId="77777777" w:rsidTr="00B933E9">
        <w:trPr>
          <w:cnfStyle w:val="000000100000" w:firstRow="0" w:lastRow="0" w:firstColumn="0" w:lastColumn="0" w:oddVBand="0" w:evenVBand="0" w:oddHBand="1" w:evenHBand="0" w:firstRowFirstColumn="0" w:firstRowLastColumn="0" w:lastRowFirstColumn="0" w:lastRowLastColumn="0"/>
        </w:trPr>
        <w:tc>
          <w:tcPr>
            <w:tcW w:w="2109" w:type="dxa"/>
            <w:vAlign w:val="center"/>
          </w:tcPr>
          <w:p w14:paraId="105FD5D7"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Hay</w:t>
            </w:r>
          </w:p>
        </w:tc>
        <w:tc>
          <w:tcPr>
            <w:tcW w:w="1517" w:type="dxa"/>
            <w:vAlign w:val="center"/>
            <w:hideMark/>
          </w:tcPr>
          <w:p w14:paraId="479B417E"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2711</w:t>
            </w:r>
          </w:p>
        </w:tc>
        <w:tc>
          <w:tcPr>
            <w:tcW w:w="1622" w:type="dxa"/>
            <w:vAlign w:val="center"/>
            <w:hideMark/>
          </w:tcPr>
          <w:p w14:paraId="2A2C54F1" w14:textId="77777777" w:rsidR="00EF6AB0"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Hay</w:t>
            </w:r>
          </w:p>
          <w:p w14:paraId="01C3770C"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Hay South</w:t>
            </w:r>
          </w:p>
        </w:tc>
        <w:tc>
          <w:tcPr>
            <w:tcW w:w="1201" w:type="dxa"/>
            <w:vAlign w:val="center"/>
            <w:hideMark/>
          </w:tcPr>
          <w:p w14:paraId="42BAC480"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NSW</w:t>
            </w:r>
          </w:p>
        </w:tc>
        <w:tc>
          <w:tcPr>
            <w:tcW w:w="1284" w:type="dxa"/>
            <w:vAlign w:val="center"/>
            <w:hideMark/>
          </w:tcPr>
          <w:p w14:paraId="121144BD"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5</w:t>
            </w:r>
          </w:p>
        </w:tc>
        <w:tc>
          <w:tcPr>
            <w:tcW w:w="1284" w:type="dxa"/>
            <w:vAlign w:val="center"/>
            <w:hideMark/>
          </w:tcPr>
          <w:p w14:paraId="3B86AFCC"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r>
      <w:tr w:rsidR="006B14EB" w:rsidRPr="005F20F5" w14:paraId="5BEA7C56" w14:textId="77777777" w:rsidTr="00B933E9">
        <w:tc>
          <w:tcPr>
            <w:tcW w:w="2109" w:type="dxa"/>
            <w:vAlign w:val="center"/>
          </w:tcPr>
          <w:p w14:paraId="27307472" w14:textId="77777777" w:rsidR="006B14EB" w:rsidRPr="005F20F5" w:rsidRDefault="006B14EB" w:rsidP="00EB3BC2">
            <w:pPr>
              <w:tabs>
                <w:tab w:val="left" w:pos="1215"/>
              </w:tabs>
              <w:spacing w:before="40" w:after="40"/>
              <w:jc w:val="center"/>
              <w:rPr>
                <w:rFonts w:asciiTheme="minorHAnsi" w:hAnsiTheme="minorHAnsi" w:cstheme="minorHAnsi"/>
                <w:b/>
                <w:sz w:val="16"/>
                <w:szCs w:val="16"/>
              </w:rPr>
            </w:pPr>
            <w:r w:rsidRPr="005F20F5">
              <w:rPr>
                <w:rFonts w:asciiTheme="minorHAnsi" w:hAnsiTheme="minorHAnsi" w:cstheme="minorHAnsi"/>
                <w:sz w:val="16"/>
                <w:szCs w:val="16"/>
              </w:rPr>
              <w:t>Balranald</w:t>
            </w:r>
          </w:p>
        </w:tc>
        <w:tc>
          <w:tcPr>
            <w:tcW w:w="1517" w:type="dxa"/>
            <w:vAlign w:val="center"/>
            <w:hideMark/>
          </w:tcPr>
          <w:p w14:paraId="08EFFA4E"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2715</w:t>
            </w:r>
          </w:p>
        </w:tc>
        <w:tc>
          <w:tcPr>
            <w:tcW w:w="1622" w:type="dxa"/>
            <w:vAlign w:val="center"/>
            <w:hideMark/>
          </w:tcPr>
          <w:p w14:paraId="79624159"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Balranald</w:t>
            </w:r>
          </w:p>
        </w:tc>
        <w:tc>
          <w:tcPr>
            <w:tcW w:w="1201" w:type="dxa"/>
            <w:vAlign w:val="center"/>
            <w:hideMark/>
          </w:tcPr>
          <w:p w14:paraId="4971EA51"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NSW</w:t>
            </w:r>
          </w:p>
        </w:tc>
        <w:tc>
          <w:tcPr>
            <w:tcW w:w="1284" w:type="dxa"/>
            <w:vAlign w:val="center"/>
            <w:hideMark/>
          </w:tcPr>
          <w:p w14:paraId="3237105A"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5</w:t>
            </w:r>
          </w:p>
        </w:tc>
        <w:tc>
          <w:tcPr>
            <w:tcW w:w="1284" w:type="dxa"/>
            <w:vAlign w:val="center"/>
            <w:hideMark/>
          </w:tcPr>
          <w:p w14:paraId="057B07E4"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r>
      <w:tr w:rsidR="006B14EB" w:rsidRPr="005F20F5" w14:paraId="477DDF2A" w14:textId="77777777" w:rsidTr="00B933E9">
        <w:trPr>
          <w:cnfStyle w:val="000000100000" w:firstRow="0" w:lastRow="0" w:firstColumn="0" w:lastColumn="0" w:oddVBand="0" w:evenVBand="0" w:oddHBand="1" w:evenHBand="0" w:firstRowFirstColumn="0" w:firstRowLastColumn="0" w:lastRowFirstColumn="0" w:lastRowLastColumn="0"/>
        </w:trPr>
        <w:tc>
          <w:tcPr>
            <w:tcW w:w="2109" w:type="dxa"/>
            <w:vAlign w:val="center"/>
          </w:tcPr>
          <w:p w14:paraId="4DB0C629" w14:textId="77777777" w:rsidR="006B14EB" w:rsidRPr="005F20F5" w:rsidRDefault="006B14EB" w:rsidP="00EB3BC2">
            <w:pPr>
              <w:tabs>
                <w:tab w:val="left" w:pos="1215"/>
              </w:tabs>
              <w:spacing w:before="40" w:after="40"/>
              <w:jc w:val="center"/>
              <w:rPr>
                <w:rFonts w:asciiTheme="minorHAnsi" w:hAnsiTheme="minorHAnsi" w:cstheme="minorHAnsi"/>
                <w:b/>
                <w:sz w:val="16"/>
                <w:szCs w:val="16"/>
              </w:rPr>
            </w:pPr>
            <w:r w:rsidRPr="005F20F5">
              <w:rPr>
                <w:rFonts w:asciiTheme="minorHAnsi" w:hAnsiTheme="minorHAnsi" w:cstheme="minorHAnsi"/>
                <w:sz w:val="16"/>
                <w:szCs w:val="16"/>
              </w:rPr>
              <w:t>Broken Hill</w:t>
            </w:r>
          </w:p>
        </w:tc>
        <w:tc>
          <w:tcPr>
            <w:tcW w:w="1517" w:type="dxa"/>
            <w:vAlign w:val="center"/>
            <w:hideMark/>
          </w:tcPr>
          <w:p w14:paraId="11AEE159"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2880</w:t>
            </w:r>
          </w:p>
        </w:tc>
        <w:tc>
          <w:tcPr>
            <w:tcW w:w="1622" w:type="dxa"/>
            <w:vAlign w:val="center"/>
            <w:hideMark/>
          </w:tcPr>
          <w:p w14:paraId="7D07CD9F"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Broken Hill</w:t>
            </w:r>
          </w:p>
        </w:tc>
        <w:tc>
          <w:tcPr>
            <w:tcW w:w="1201" w:type="dxa"/>
            <w:vAlign w:val="center"/>
            <w:hideMark/>
          </w:tcPr>
          <w:p w14:paraId="2F68591B"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NSW</w:t>
            </w:r>
          </w:p>
        </w:tc>
        <w:tc>
          <w:tcPr>
            <w:tcW w:w="1284" w:type="dxa"/>
            <w:vAlign w:val="center"/>
            <w:hideMark/>
          </w:tcPr>
          <w:p w14:paraId="512F1C87"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3</w:t>
            </w:r>
          </w:p>
        </w:tc>
        <w:tc>
          <w:tcPr>
            <w:tcW w:w="1284" w:type="dxa"/>
            <w:vAlign w:val="center"/>
            <w:hideMark/>
          </w:tcPr>
          <w:p w14:paraId="176637F8"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r>
      <w:tr w:rsidR="006B14EB" w:rsidRPr="005F20F5" w14:paraId="0581305C" w14:textId="77777777" w:rsidTr="00B933E9">
        <w:tc>
          <w:tcPr>
            <w:tcW w:w="2109" w:type="dxa"/>
            <w:vAlign w:val="center"/>
          </w:tcPr>
          <w:p w14:paraId="42E71F55" w14:textId="77777777" w:rsidR="006B14EB" w:rsidRPr="005F20F5" w:rsidRDefault="006B14EB" w:rsidP="00EB3BC2">
            <w:pPr>
              <w:tabs>
                <w:tab w:val="left" w:pos="1215"/>
              </w:tabs>
              <w:spacing w:before="40" w:after="40"/>
              <w:jc w:val="center"/>
              <w:rPr>
                <w:rFonts w:asciiTheme="minorHAnsi" w:hAnsiTheme="minorHAnsi" w:cstheme="minorHAnsi"/>
                <w:b/>
                <w:bCs/>
                <w:sz w:val="16"/>
                <w:szCs w:val="16"/>
              </w:rPr>
            </w:pPr>
            <w:r w:rsidRPr="005F20F5">
              <w:rPr>
                <w:rFonts w:asciiTheme="minorHAnsi" w:hAnsiTheme="minorHAnsi" w:cstheme="minorHAnsi"/>
                <w:sz w:val="16"/>
                <w:szCs w:val="16"/>
              </w:rPr>
              <w:t>Ravenswood/Warren</w:t>
            </w:r>
          </w:p>
        </w:tc>
        <w:tc>
          <w:tcPr>
            <w:tcW w:w="1517" w:type="dxa"/>
            <w:vAlign w:val="center"/>
            <w:hideMark/>
          </w:tcPr>
          <w:p w14:paraId="37A9C7E3"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2824</w:t>
            </w:r>
          </w:p>
        </w:tc>
        <w:tc>
          <w:tcPr>
            <w:tcW w:w="1622" w:type="dxa"/>
            <w:vAlign w:val="center"/>
            <w:hideMark/>
          </w:tcPr>
          <w:p w14:paraId="0766184D"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Ravenswood</w:t>
            </w:r>
            <w:r w:rsidR="00EF6AB0" w:rsidRPr="005F20F5">
              <w:rPr>
                <w:rFonts w:asciiTheme="minorHAnsi" w:hAnsiTheme="minorHAnsi" w:cstheme="minorHAnsi"/>
                <w:sz w:val="16"/>
                <w:szCs w:val="16"/>
              </w:rPr>
              <w:t xml:space="preserve"> Warren</w:t>
            </w:r>
          </w:p>
        </w:tc>
        <w:tc>
          <w:tcPr>
            <w:tcW w:w="1201" w:type="dxa"/>
            <w:vAlign w:val="center"/>
            <w:hideMark/>
          </w:tcPr>
          <w:p w14:paraId="72BEE45D"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NSW</w:t>
            </w:r>
          </w:p>
        </w:tc>
        <w:tc>
          <w:tcPr>
            <w:tcW w:w="1284" w:type="dxa"/>
            <w:vAlign w:val="center"/>
            <w:hideMark/>
          </w:tcPr>
          <w:p w14:paraId="204BABF0"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5</w:t>
            </w:r>
          </w:p>
        </w:tc>
        <w:tc>
          <w:tcPr>
            <w:tcW w:w="1284" w:type="dxa"/>
            <w:vAlign w:val="center"/>
            <w:hideMark/>
          </w:tcPr>
          <w:p w14:paraId="120FDC40"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r>
      <w:tr w:rsidR="006B14EB" w:rsidRPr="005F20F5" w14:paraId="243F277F" w14:textId="77777777" w:rsidTr="00B933E9">
        <w:trPr>
          <w:cnfStyle w:val="000000100000" w:firstRow="0" w:lastRow="0" w:firstColumn="0" w:lastColumn="0" w:oddVBand="0" w:evenVBand="0" w:oddHBand="1" w:evenHBand="0" w:firstRowFirstColumn="0" w:firstRowLastColumn="0" w:lastRowFirstColumn="0" w:lastRowLastColumn="0"/>
        </w:trPr>
        <w:tc>
          <w:tcPr>
            <w:tcW w:w="2109" w:type="dxa"/>
            <w:vAlign w:val="center"/>
          </w:tcPr>
          <w:p w14:paraId="4828FA3C"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Roma</w:t>
            </w:r>
          </w:p>
        </w:tc>
        <w:tc>
          <w:tcPr>
            <w:tcW w:w="1517" w:type="dxa"/>
            <w:vAlign w:val="center"/>
            <w:hideMark/>
          </w:tcPr>
          <w:p w14:paraId="6714AE34"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4455</w:t>
            </w:r>
          </w:p>
        </w:tc>
        <w:tc>
          <w:tcPr>
            <w:tcW w:w="1622" w:type="dxa"/>
            <w:vAlign w:val="center"/>
            <w:hideMark/>
          </w:tcPr>
          <w:p w14:paraId="1F6BFC00"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Blythdale</w:t>
            </w:r>
          </w:p>
          <w:p w14:paraId="0CAF5030"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Euthulla</w:t>
            </w:r>
          </w:p>
          <w:p w14:paraId="3CA40027" w14:textId="77777777" w:rsidR="006B14EB"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Orange Hill</w:t>
            </w:r>
          </w:p>
          <w:p w14:paraId="7AA6B347"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Roma</w:t>
            </w:r>
          </w:p>
        </w:tc>
        <w:tc>
          <w:tcPr>
            <w:tcW w:w="1201" w:type="dxa"/>
            <w:vAlign w:val="center"/>
            <w:hideMark/>
          </w:tcPr>
          <w:p w14:paraId="6838A633"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QLD</w:t>
            </w:r>
          </w:p>
        </w:tc>
        <w:tc>
          <w:tcPr>
            <w:tcW w:w="1284" w:type="dxa"/>
            <w:vAlign w:val="center"/>
            <w:hideMark/>
          </w:tcPr>
          <w:p w14:paraId="604CD2A9"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4</w:t>
            </w:r>
          </w:p>
        </w:tc>
        <w:tc>
          <w:tcPr>
            <w:tcW w:w="1284" w:type="dxa"/>
            <w:vAlign w:val="center"/>
            <w:hideMark/>
          </w:tcPr>
          <w:p w14:paraId="7E3A78F4"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r>
      <w:tr w:rsidR="006B14EB" w:rsidRPr="005F20F5" w14:paraId="7F5130A9" w14:textId="77777777" w:rsidTr="00B933E9">
        <w:tc>
          <w:tcPr>
            <w:tcW w:w="2109" w:type="dxa"/>
            <w:vAlign w:val="center"/>
          </w:tcPr>
          <w:p w14:paraId="25DAFA8C" w14:textId="77777777" w:rsidR="006B14EB" w:rsidRPr="005F20F5" w:rsidRDefault="006B14EB"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Emerald</w:t>
            </w:r>
          </w:p>
        </w:tc>
        <w:tc>
          <w:tcPr>
            <w:tcW w:w="1517" w:type="dxa"/>
            <w:vAlign w:val="center"/>
            <w:hideMark/>
          </w:tcPr>
          <w:p w14:paraId="5CCA844E" w14:textId="77777777" w:rsidR="006B14EB" w:rsidRPr="005F20F5" w:rsidRDefault="006B14EB"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4702</w:t>
            </w:r>
            <w:r w:rsidR="00EF6AB0" w:rsidRPr="005F20F5">
              <w:rPr>
                <w:rFonts w:asciiTheme="minorHAnsi" w:hAnsiTheme="minorHAnsi" w:cstheme="minorHAnsi"/>
                <w:sz w:val="16"/>
                <w:szCs w:val="16"/>
              </w:rPr>
              <w:t>, 4717, 4720</w:t>
            </w:r>
          </w:p>
        </w:tc>
        <w:tc>
          <w:tcPr>
            <w:tcW w:w="1622" w:type="dxa"/>
            <w:vAlign w:val="center"/>
            <w:hideMark/>
          </w:tcPr>
          <w:p w14:paraId="60428E0F" w14:textId="77777777" w:rsidR="00EF6AB0" w:rsidRPr="005F20F5" w:rsidRDefault="00EF6AB0"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Blackwater</w:t>
            </w:r>
          </w:p>
          <w:p w14:paraId="7450BA99" w14:textId="77777777" w:rsidR="00EF6AB0" w:rsidRPr="005F20F5" w:rsidRDefault="006B14EB"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Bluff</w:t>
            </w:r>
          </w:p>
          <w:p w14:paraId="58138806" w14:textId="77777777" w:rsidR="00EF6AB0" w:rsidRPr="005F20F5" w:rsidRDefault="00EF6AB0"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Comet</w:t>
            </w:r>
          </w:p>
          <w:p w14:paraId="0056458B" w14:textId="77777777" w:rsidR="00EF6AB0" w:rsidRPr="005F20F5" w:rsidRDefault="00EF6AB0"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Emerald</w:t>
            </w:r>
          </w:p>
          <w:p w14:paraId="08B6A68A" w14:textId="77777777" w:rsidR="006B14EB" w:rsidRPr="005F20F5" w:rsidRDefault="00EF6AB0"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Jellinbah</w:t>
            </w:r>
          </w:p>
        </w:tc>
        <w:tc>
          <w:tcPr>
            <w:tcW w:w="1201" w:type="dxa"/>
            <w:vAlign w:val="center"/>
            <w:hideMark/>
          </w:tcPr>
          <w:p w14:paraId="621FA2B8" w14:textId="77777777" w:rsidR="006B14EB" w:rsidRPr="005F20F5" w:rsidRDefault="006B14EB"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QLD</w:t>
            </w:r>
          </w:p>
        </w:tc>
        <w:tc>
          <w:tcPr>
            <w:tcW w:w="1284" w:type="dxa"/>
            <w:vAlign w:val="center"/>
            <w:hideMark/>
          </w:tcPr>
          <w:p w14:paraId="72B269F6" w14:textId="77777777" w:rsidR="006B14EB" w:rsidRPr="005F20F5" w:rsidRDefault="006B14EB"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5</w:t>
            </w:r>
          </w:p>
        </w:tc>
        <w:tc>
          <w:tcPr>
            <w:tcW w:w="1284" w:type="dxa"/>
            <w:vAlign w:val="center"/>
            <w:hideMark/>
          </w:tcPr>
          <w:p w14:paraId="41980052" w14:textId="77777777" w:rsidR="006B14EB" w:rsidRPr="005F20F5" w:rsidRDefault="006B14EB" w:rsidP="00EB3BC2">
            <w:pPr>
              <w:keepNext/>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r>
      <w:tr w:rsidR="006B14EB" w:rsidRPr="005F20F5" w14:paraId="673F35A6" w14:textId="77777777" w:rsidTr="00B933E9">
        <w:trPr>
          <w:cnfStyle w:val="000000100000" w:firstRow="0" w:lastRow="0" w:firstColumn="0" w:lastColumn="0" w:oddVBand="0" w:evenVBand="0" w:oddHBand="1" w:evenHBand="0" w:firstRowFirstColumn="0" w:firstRowLastColumn="0" w:lastRowFirstColumn="0" w:lastRowLastColumn="0"/>
        </w:trPr>
        <w:tc>
          <w:tcPr>
            <w:tcW w:w="2109" w:type="dxa"/>
            <w:vAlign w:val="center"/>
          </w:tcPr>
          <w:p w14:paraId="68C4D2A8"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Moranbah</w:t>
            </w:r>
          </w:p>
        </w:tc>
        <w:tc>
          <w:tcPr>
            <w:tcW w:w="1517" w:type="dxa"/>
            <w:vAlign w:val="center"/>
            <w:hideMark/>
          </w:tcPr>
          <w:p w14:paraId="61D25C42"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4741</w:t>
            </w:r>
            <w:r w:rsidR="00EF6AB0" w:rsidRPr="005F20F5">
              <w:rPr>
                <w:rFonts w:asciiTheme="minorHAnsi" w:hAnsiTheme="minorHAnsi" w:cstheme="minorHAnsi"/>
                <w:sz w:val="16"/>
                <w:szCs w:val="16"/>
              </w:rPr>
              <w:t>, 4744</w:t>
            </w:r>
          </w:p>
        </w:tc>
        <w:tc>
          <w:tcPr>
            <w:tcW w:w="1622" w:type="dxa"/>
            <w:vAlign w:val="center"/>
            <w:hideMark/>
          </w:tcPr>
          <w:p w14:paraId="5E2A3906" w14:textId="77777777" w:rsidR="00EF6AB0"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Coppabella</w:t>
            </w:r>
          </w:p>
          <w:p w14:paraId="14DA8E59" w14:textId="77777777" w:rsidR="006B14EB"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Moranbah</w:t>
            </w:r>
          </w:p>
        </w:tc>
        <w:tc>
          <w:tcPr>
            <w:tcW w:w="1201" w:type="dxa"/>
            <w:vAlign w:val="center"/>
            <w:hideMark/>
          </w:tcPr>
          <w:p w14:paraId="1F93A6C7"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QLD</w:t>
            </w:r>
          </w:p>
        </w:tc>
        <w:tc>
          <w:tcPr>
            <w:tcW w:w="1284" w:type="dxa"/>
            <w:vAlign w:val="center"/>
            <w:hideMark/>
          </w:tcPr>
          <w:p w14:paraId="7E71EDD7"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5</w:t>
            </w:r>
          </w:p>
        </w:tc>
        <w:tc>
          <w:tcPr>
            <w:tcW w:w="1284" w:type="dxa"/>
            <w:vAlign w:val="center"/>
            <w:hideMark/>
          </w:tcPr>
          <w:p w14:paraId="73BE513B"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r>
      <w:tr w:rsidR="00EF6AB0" w:rsidRPr="005F20F5" w14:paraId="28E6720D" w14:textId="77777777" w:rsidTr="00B933E9">
        <w:tc>
          <w:tcPr>
            <w:tcW w:w="2109" w:type="dxa"/>
            <w:vAlign w:val="center"/>
          </w:tcPr>
          <w:p w14:paraId="7EFA0CD3" w14:textId="77777777" w:rsidR="006B14EB" w:rsidRPr="005F20F5" w:rsidRDefault="006B14EB" w:rsidP="00EB3BC2">
            <w:pPr>
              <w:tabs>
                <w:tab w:val="left" w:pos="1215"/>
              </w:tabs>
              <w:spacing w:before="40" w:after="40"/>
              <w:jc w:val="center"/>
              <w:rPr>
                <w:rFonts w:asciiTheme="minorHAnsi" w:hAnsiTheme="minorHAnsi" w:cstheme="minorHAnsi"/>
                <w:b/>
                <w:sz w:val="16"/>
                <w:szCs w:val="16"/>
              </w:rPr>
            </w:pPr>
            <w:r w:rsidRPr="005F20F5">
              <w:rPr>
                <w:rFonts w:asciiTheme="minorHAnsi" w:hAnsiTheme="minorHAnsi" w:cstheme="minorHAnsi"/>
                <w:sz w:val="16"/>
                <w:szCs w:val="16"/>
              </w:rPr>
              <w:t>Dysart</w:t>
            </w:r>
          </w:p>
        </w:tc>
        <w:tc>
          <w:tcPr>
            <w:tcW w:w="1517" w:type="dxa"/>
            <w:vAlign w:val="center"/>
            <w:hideMark/>
          </w:tcPr>
          <w:p w14:paraId="59CAED97"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4745</w:t>
            </w:r>
          </w:p>
        </w:tc>
        <w:tc>
          <w:tcPr>
            <w:tcW w:w="1622" w:type="dxa"/>
            <w:vAlign w:val="center"/>
            <w:hideMark/>
          </w:tcPr>
          <w:p w14:paraId="5909AC45"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Dysart</w:t>
            </w:r>
          </w:p>
        </w:tc>
        <w:tc>
          <w:tcPr>
            <w:tcW w:w="1201" w:type="dxa"/>
            <w:vAlign w:val="center"/>
            <w:hideMark/>
          </w:tcPr>
          <w:p w14:paraId="6322BAEA"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QLD</w:t>
            </w:r>
          </w:p>
        </w:tc>
        <w:tc>
          <w:tcPr>
            <w:tcW w:w="1284" w:type="dxa"/>
            <w:vAlign w:val="center"/>
            <w:hideMark/>
          </w:tcPr>
          <w:p w14:paraId="466999C5"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5</w:t>
            </w:r>
          </w:p>
        </w:tc>
        <w:tc>
          <w:tcPr>
            <w:tcW w:w="1284" w:type="dxa"/>
            <w:vAlign w:val="center"/>
            <w:hideMark/>
          </w:tcPr>
          <w:p w14:paraId="5C3CF095" w14:textId="77777777" w:rsidR="006B14EB" w:rsidRPr="005F20F5" w:rsidRDefault="006B14EB"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r>
      <w:tr w:rsidR="00EF6AB0" w:rsidRPr="005F20F5" w14:paraId="3994BC0D" w14:textId="77777777" w:rsidTr="00B933E9">
        <w:trPr>
          <w:cnfStyle w:val="000000100000" w:firstRow="0" w:lastRow="0" w:firstColumn="0" w:lastColumn="0" w:oddVBand="0" w:evenVBand="0" w:oddHBand="1" w:evenHBand="0" w:firstRowFirstColumn="0" w:firstRowLastColumn="0" w:lastRowFirstColumn="0" w:lastRowLastColumn="0"/>
        </w:trPr>
        <w:tc>
          <w:tcPr>
            <w:tcW w:w="2109" w:type="dxa"/>
            <w:vAlign w:val="center"/>
          </w:tcPr>
          <w:p w14:paraId="2BB2221C" w14:textId="77777777" w:rsidR="00EF6AB0" w:rsidRPr="005F20F5" w:rsidRDefault="00EF6AB0" w:rsidP="00EB3BC2">
            <w:pPr>
              <w:tabs>
                <w:tab w:val="left" w:pos="1215"/>
              </w:tabs>
              <w:spacing w:before="40" w:after="40"/>
              <w:jc w:val="center"/>
              <w:rPr>
                <w:rFonts w:asciiTheme="minorHAnsi" w:hAnsiTheme="minorHAnsi" w:cstheme="minorHAnsi"/>
                <w:b/>
                <w:sz w:val="16"/>
                <w:szCs w:val="16"/>
              </w:rPr>
            </w:pPr>
            <w:r w:rsidRPr="005F20F5">
              <w:rPr>
                <w:rFonts w:asciiTheme="minorHAnsi" w:hAnsiTheme="minorHAnsi" w:cstheme="minorHAnsi"/>
                <w:sz w:val="16"/>
                <w:szCs w:val="16"/>
              </w:rPr>
              <w:t>Charters Towers</w:t>
            </w:r>
          </w:p>
        </w:tc>
        <w:tc>
          <w:tcPr>
            <w:tcW w:w="1517" w:type="dxa"/>
            <w:vAlign w:val="center"/>
            <w:hideMark/>
          </w:tcPr>
          <w:p w14:paraId="6BD3474A"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4820</w:t>
            </w:r>
          </w:p>
        </w:tc>
        <w:tc>
          <w:tcPr>
            <w:tcW w:w="1622" w:type="dxa"/>
            <w:vAlign w:val="center"/>
            <w:hideMark/>
          </w:tcPr>
          <w:p w14:paraId="2362C7CA"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Alabama Hill</w:t>
            </w:r>
          </w:p>
          <w:p w14:paraId="1F97450F"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Breddan</w:t>
            </w:r>
          </w:p>
          <w:p w14:paraId="09411E87"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Broughton</w:t>
            </w:r>
          </w:p>
          <w:p w14:paraId="223CDEDC"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Charters Towers</w:t>
            </w:r>
          </w:p>
          <w:p w14:paraId="143E7225"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Grand Secret</w:t>
            </w:r>
          </w:p>
          <w:p w14:paraId="3AADAF36"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Millchester</w:t>
            </w:r>
          </w:p>
          <w:p w14:paraId="3427862E"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Mosman Park</w:t>
            </w:r>
          </w:p>
          <w:p w14:paraId="6B536B33"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Queenton</w:t>
            </w:r>
          </w:p>
          <w:p w14:paraId="7A447138"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Richmond Hill</w:t>
            </w:r>
          </w:p>
          <w:p w14:paraId="2EB86E8D"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Southern Cross</w:t>
            </w:r>
          </w:p>
          <w:p w14:paraId="7475DEC7"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Toll</w:t>
            </w:r>
          </w:p>
          <w:p w14:paraId="68F0640A"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Towers Hill</w:t>
            </w:r>
          </w:p>
        </w:tc>
        <w:tc>
          <w:tcPr>
            <w:tcW w:w="1201" w:type="dxa"/>
            <w:vAlign w:val="center"/>
            <w:hideMark/>
          </w:tcPr>
          <w:p w14:paraId="693AB543"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QLD</w:t>
            </w:r>
          </w:p>
        </w:tc>
        <w:tc>
          <w:tcPr>
            <w:tcW w:w="1284" w:type="dxa"/>
            <w:vAlign w:val="center"/>
            <w:hideMark/>
          </w:tcPr>
          <w:p w14:paraId="0C48BF2F"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4</w:t>
            </w:r>
          </w:p>
        </w:tc>
        <w:tc>
          <w:tcPr>
            <w:tcW w:w="1284" w:type="dxa"/>
            <w:vAlign w:val="center"/>
            <w:hideMark/>
          </w:tcPr>
          <w:p w14:paraId="5DDB1A81"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r>
      <w:tr w:rsidR="00EF6AB0" w:rsidRPr="005F20F5" w14:paraId="275EC562" w14:textId="77777777" w:rsidTr="00B933E9">
        <w:tc>
          <w:tcPr>
            <w:tcW w:w="2109" w:type="dxa"/>
            <w:vAlign w:val="center"/>
          </w:tcPr>
          <w:p w14:paraId="19FF1BDC" w14:textId="77777777" w:rsidR="00EF6AB0" w:rsidRPr="005F20F5" w:rsidRDefault="00EF6AB0" w:rsidP="00EB3BC2">
            <w:pPr>
              <w:tabs>
                <w:tab w:val="left" w:pos="1215"/>
              </w:tabs>
              <w:spacing w:before="40" w:after="40"/>
              <w:jc w:val="center"/>
              <w:rPr>
                <w:rFonts w:asciiTheme="minorHAnsi" w:hAnsiTheme="minorHAnsi" w:cstheme="minorHAnsi"/>
                <w:b/>
                <w:sz w:val="16"/>
                <w:szCs w:val="16"/>
              </w:rPr>
            </w:pPr>
            <w:r w:rsidRPr="005F20F5">
              <w:rPr>
                <w:rFonts w:asciiTheme="minorHAnsi" w:hAnsiTheme="minorHAnsi" w:cstheme="minorHAnsi"/>
                <w:sz w:val="16"/>
                <w:szCs w:val="16"/>
              </w:rPr>
              <w:t>Merredin</w:t>
            </w:r>
          </w:p>
        </w:tc>
        <w:tc>
          <w:tcPr>
            <w:tcW w:w="1517" w:type="dxa"/>
            <w:vAlign w:val="center"/>
            <w:hideMark/>
          </w:tcPr>
          <w:p w14:paraId="6ADC984B"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6415</w:t>
            </w:r>
          </w:p>
        </w:tc>
        <w:tc>
          <w:tcPr>
            <w:tcW w:w="1622" w:type="dxa"/>
            <w:vAlign w:val="center"/>
            <w:hideMark/>
          </w:tcPr>
          <w:p w14:paraId="2BCB5921"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Merredin</w:t>
            </w:r>
          </w:p>
        </w:tc>
        <w:tc>
          <w:tcPr>
            <w:tcW w:w="1201" w:type="dxa"/>
            <w:vAlign w:val="center"/>
            <w:hideMark/>
          </w:tcPr>
          <w:p w14:paraId="3326FF69"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WA</w:t>
            </w:r>
          </w:p>
        </w:tc>
        <w:tc>
          <w:tcPr>
            <w:tcW w:w="1284" w:type="dxa"/>
            <w:vAlign w:val="center"/>
            <w:hideMark/>
          </w:tcPr>
          <w:p w14:paraId="7A21305D"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5</w:t>
            </w:r>
          </w:p>
        </w:tc>
        <w:tc>
          <w:tcPr>
            <w:tcW w:w="1284" w:type="dxa"/>
            <w:vAlign w:val="center"/>
            <w:hideMark/>
          </w:tcPr>
          <w:p w14:paraId="66495C17"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r>
      <w:tr w:rsidR="00EF6AB0" w:rsidRPr="005F20F5" w14:paraId="23A8F5C4" w14:textId="77777777" w:rsidTr="00B933E9">
        <w:trPr>
          <w:cnfStyle w:val="000000100000" w:firstRow="0" w:lastRow="0" w:firstColumn="0" w:lastColumn="0" w:oddVBand="0" w:evenVBand="0" w:oddHBand="1" w:evenHBand="0" w:firstRowFirstColumn="0" w:firstRowLastColumn="0" w:lastRowFirstColumn="0" w:lastRowLastColumn="0"/>
        </w:trPr>
        <w:tc>
          <w:tcPr>
            <w:tcW w:w="2109" w:type="dxa"/>
            <w:vAlign w:val="center"/>
          </w:tcPr>
          <w:p w14:paraId="79C71112" w14:textId="77777777" w:rsidR="00EF6AB0" w:rsidRPr="005F20F5" w:rsidRDefault="00EF6AB0" w:rsidP="00EB3BC2">
            <w:pPr>
              <w:tabs>
                <w:tab w:val="left" w:pos="1215"/>
              </w:tabs>
              <w:spacing w:before="40" w:after="40"/>
              <w:jc w:val="center"/>
              <w:rPr>
                <w:rFonts w:asciiTheme="minorHAnsi" w:hAnsiTheme="minorHAnsi" w:cstheme="minorHAnsi"/>
                <w:b/>
                <w:sz w:val="16"/>
                <w:szCs w:val="16"/>
              </w:rPr>
            </w:pPr>
            <w:r w:rsidRPr="005F20F5">
              <w:rPr>
                <w:rFonts w:asciiTheme="minorHAnsi" w:hAnsiTheme="minorHAnsi" w:cstheme="minorHAnsi"/>
                <w:sz w:val="16"/>
                <w:szCs w:val="16"/>
              </w:rPr>
              <w:t>Kalgoorlie</w:t>
            </w:r>
          </w:p>
        </w:tc>
        <w:tc>
          <w:tcPr>
            <w:tcW w:w="1517" w:type="dxa"/>
            <w:vAlign w:val="center"/>
            <w:hideMark/>
          </w:tcPr>
          <w:p w14:paraId="64E6E2E3"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6430, 6432</w:t>
            </w:r>
          </w:p>
        </w:tc>
        <w:tc>
          <w:tcPr>
            <w:tcW w:w="1622" w:type="dxa"/>
            <w:vAlign w:val="center"/>
            <w:hideMark/>
          </w:tcPr>
          <w:p w14:paraId="089B0858"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Boulder</w:t>
            </w:r>
          </w:p>
          <w:p w14:paraId="3E9BBE55"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Broadwood</w:t>
            </w:r>
          </w:p>
          <w:p w14:paraId="77E19CB7"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Hannans</w:t>
            </w:r>
          </w:p>
          <w:p w14:paraId="25461084"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Kalgoorlie</w:t>
            </w:r>
          </w:p>
          <w:p w14:paraId="0BF4717F"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Karlkurla</w:t>
            </w:r>
          </w:p>
          <w:p w14:paraId="3BB2CAF0"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Lamington</w:t>
            </w:r>
          </w:p>
          <w:p w14:paraId="55201CB2"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Mullingar</w:t>
            </w:r>
          </w:p>
          <w:p w14:paraId="4BF9CBC1"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Piccadilly</w:t>
            </w:r>
          </w:p>
          <w:p w14:paraId="490A84F4"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Somerville</w:t>
            </w:r>
          </w:p>
          <w:p w14:paraId="339B5650"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South Boulder</w:t>
            </w:r>
          </w:p>
          <w:p w14:paraId="694B1473"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South Kalgoorlie</w:t>
            </w:r>
          </w:p>
          <w:p w14:paraId="005C745F"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Victory Heights</w:t>
            </w:r>
          </w:p>
          <w:p w14:paraId="75E905E6"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West Kalgoorlie</w:t>
            </w:r>
          </w:p>
          <w:p w14:paraId="07943AE7"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West Lamington</w:t>
            </w:r>
          </w:p>
          <w:p w14:paraId="5CA45275"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Williamstown</w:t>
            </w:r>
          </w:p>
        </w:tc>
        <w:tc>
          <w:tcPr>
            <w:tcW w:w="1201" w:type="dxa"/>
            <w:vAlign w:val="center"/>
            <w:hideMark/>
          </w:tcPr>
          <w:p w14:paraId="26FC4898"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WA</w:t>
            </w:r>
          </w:p>
        </w:tc>
        <w:tc>
          <w:tcPr>
            <w:tcW w:w="1284" w:type="dxa"/>
            <w:vAlign w:val="center"/>
            <w:hideMark/>
          </w:tcPr>
          <w:p w14:paraId="3779ACE3"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3</w:t>
            </w:r>
          </w:p>
        </w:tc>
        <w:tc>
          <w:tcPr>
            <w:tcW w:w="1284" w:type="dxa"/>
            <w:vAlign w:val="center"/>
            <w:hideMark/>
          </w:tcPr>
          <w:p w14:paraId="51EA46BF"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r>
      <w:tr w:rsidR="00EF6AB0" w:rsidRPr="005F20F5" w14:paraId="2F07163F" w14:textId="77777777" w:rsidTr="00B933E9">
        <w:tc>
          <w:tcPr>
            <w:tcW w:w="2109" w:type="dxa"/>
            <w:vAlign w:val="center"/>
          </w:tcPr>
          <w:p w14:paraId="23E914A8"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Kambalda</w:t>
            </w:r>
          </w:p>
        </w:tc>
        <w:tc>
          <w:tcPr>
            <w:tcW w:w="1517" w:type="dxa"/>
            <w:vAlign w:val="center"/>
            <w:hideMark/>
          </w:tcPr>
          <w:p w14:paraId="3FCA2A34"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6442</w:t>
            </w:r>
          </w:p>
        </w:tc>
        <w:tc>
          <w:tcPr>
            <w:tcW w:w="1622" w:type="dxa"/>
            <w:vAlign w:val="center"/>
            <w:hideMark/>
          </w:tcPr>
          <w:p w14:paraId="49C1D712"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Kambalda West Kambalda East</w:t>
            </w:r>
          </w:p>
        </w:tc>
        <w:tc>
          <w:tcPr>
            <w:tcW w:w="1201" w:type="dxa"/>
            <w:vAlign w:val="center"/>
            <w:hideMark/>
          </w:tcPr>
          <w:p w14:paraId="2C64A0A3"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WA</w:t>
            </w:r>
          </w:p>
        </w:tc>
        <w:tc>
          <w:tcPr>
            <w:tcW w:w="1284" w:type="dxa"/>
            <w:vAlign w:val="center"/>
            <w:hideMark/>
          </w:tcPr>
          <w:p w14:paraId="2B73518D"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5</w:t>
            </w:r>
          </w:p>
        </w:tc>
        <w:tc>
          <w:tcPr>
            <w:tcW w:w="1284" w:type="dxa"/>
            <w:vAlign w:val="center"/>
            <w:hideMark/>
          </w:tcPr>
          <w:p w14:paraId="020C5AE1"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r>
      <w:tr w:rsidR="00EF6AB0" w:rsidRPr="005F20F5" w14:paraId="5FF9F658" w14:textId="77777777" w:rsidTr="00B933E9">
        <w:trPr>
          <w:cnfStyle w:val="000000100000" w:firstRow="0" w:lastRow="0" w:firstColumn="0" w:lastColumn="0" w:oddVBand="0" w:evenVBand="0" w:oddHBand="1" w:evenHBand="0" w:firstRowFirstColumn="0" w:firstRowLastColumn="0" w:lastRowFirstColumn="0" w:lastRowLastColumn="0"/>
        </w:trPr>
        <w:tc>
          <w:tcPr>
            <w:tcW w:w="2109" w:type="dxa"/>
            <w:vAlign w:val="center"/>
          </w:tcPr>
          <w:p w14:paraId="3DED44AF"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Gunbalanya</w:t>
            </w:r>
          </w:p>
        </w:tc>
        <w:tc>
          <w:tcPr>
            <w:tcW w:w="1517" w:type="dxa"/>
            <w:vAlign w:val="center"/>
            <w:hideMark/>
          </w:tcPr>
          <w:p w14:paraId="5270B73A"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0822</w:t>
            </w:r>
          </w:p>
        </w:tc>
        <w:tc>
          <w:tcPr>
            <w:tcW w:w="1622" w:type="dxa"/>
            <w:vAlign w:val="center"/>
            <w:hideMark/>
          </w:tcPr>
          <w:p w14:paraId="49321B1D"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Gunbalanya</w:t>
            </w:r>
          </w:p>
        </w:tc>
        <w:tc>
          <w:tcPr>
            <w:tcW w:w="1201" w:type="dxa"/>
            <w:vAlign w:val="center"/>
            <w:hideMark/>
          </w:tcPr>
          <w:p w14:paraId="224708B8"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NT</w:t>
            </w:r>
          </w:p>
        </w:tc>
        <w:tc>
          <w:tcPr>
            <w:tcW w:w="1284" w:type="dxa"/>
            <w:vAlign w:val="center"/>
            <w:hideMark/>
          </w:tcPr>
          <w:p w14:paraId="1A2644E0"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6</w:t>
            </w:r>
          </w:p>
        </w:tc>
        <w:tc>
          <w:tcPr>
            <w:tcW w:w="1284" w:type="dxa"/>
            <w:vAlign w:val="center"/>
            <w:hideMark/>
          </w:tcPr>
          <w:p w14:paraId="492D0A89" w14:textId="77777777" w:rsidR="00EF6AB0" w:rsidRPr="005F20F5" w:rsidRDefault="00EF6AB0" w:rsidP="00EB3BC2">
            <w:pPr>
              <w:tabs>
                <w:tab w:val="left" w:pos="1215"/>
              </w:tabs>
              <w:spacing w:before="40" w:after="40"/>
              <w:jc w:val="center"/>
              <w:rPr>
                <w:rFonts w:asciiTheme="minorHAnsi" w:hAnsiTheme="minorHAnsi" w:cstheme="minorHAnsi"/>
                <w:sz w:val="16"/>
                <w:szCs w:val="16"/>
              </w:rPr>
            </w:pPr>
            <w:r w:rsidRPr="005F20F5">
              <w:rPr>
                <w:rFonts w:asciiTheme="minorHAnsi" w:hAnsiTheme="minorHAnsi" w:cstheme="minorHAnsi"/>
                <w:sz w:val="16"/>
                <w:szCs w:val="16"/>
              </w:rPr>
              <w:t>7</w:t>
            </w:r>
          </w:p>
        </w:tc>
      </w:tr>
    </w:tbl>
    <w:p w14:paraId="136C803D" w14:textId="77777777" w:rsidR="00267493" w:rsidRPr="005F20F5" w:rsidRDefault="00267493" w:rsidP="00267493">
      <w:pPr>
        <w:rPr>
          <w:rFonts w:cs="Arial"/>
        </w:rPr>
      </w:pPr>
      <w:r w:rsidRPr="005F20F5">
        <w:rPr>
          <w:rFonts w:cs="Arial"/>
        </w:rPr>
        <w:t xml:space="preserve">When a support is provided directly to a participant, and the worker delivering the support is at the same location as the participant, the price limit that applies to the support is determined by the location of the participant at the time of service delivery. When a support is provided directly to a participant via telehealth, the price limit that applies to the support should, in general, be the price limit that would apply if the participant was receiving the support at the place that the person who is delivering the support is located at the time of service delivery. When a support is not </w:t>
      </w:r>
      <w:r w:rsidR="00440434" w:rsidRPr="005F20F5">
        <w:rPr>
          <w:rFonts w:cs="Arial"/>
        </w:rPr>
        <w:t xml:space="preserve">provided directly (for example, Non-Face-to-Face Support Provision or NDIA Requested Reports) then </w:t>
      </w:r>
      <w:r w:rsidRPr="005F20F5">
        <w:rPr>
          <w:rFonts w:cs="Arial"/>
        </w:rPr>
        <w:t>the price limit that applies to the support is the price limit that would apply if the participant was receiving the support at the place that the person who is delivering the support is located at the time of service delivery.</w:t>
      </w:r>
    </w:p>
    <w:p w14:paraId="448057B6" w14:textId="77777777" w:rsidR="00DE55E6" w:rsidRPr="005F20F5" w:rsidRDefault="00440434" w:rsidP="004E6B4B">
      <w:pPr>
        <w:pStyle w:val="Heading2"/>
      </w:pPr>
      <w:bookmarkStart w:id="102" w:name="_Toc85097285"/>
      <w:r w:rsidRPr="005F20F5">
        <w:t>Issues</w:t>
      </w:r>
      <w:bookmarkEnd w:id="102"/>
    </w:p>
    <w:p w14:paraId="0AB1B9C3" w14:textId="77777777" w:rsidR="00440434" w:rsidRPr="005F20F5" w:rsidRDefault="00440434" w:rsidP="008E486C">
      <w:r w:rsidRPr="005F20F5">
        <w:t>The 2019 NDIS Western Australian Market Review found that costs in remote and very remote areas were substantially higher than those in other areas. As a result, the NDIS increased the price limit and plan funding loadings for remote and very remote areas from 20</w:t>
      </w:r>
      <w:r w:rsidR="003A2B76" w:rsidRPr="005F20F5">
        <w:t>%</w:t>
      </w:r>
      <w:r w:rsidRPr="005F20F5">
        <w:t xml:space="preserve"> and 25</w:t>
      </w:r>
      <w:r w:rsidR="003A2B76" w:rsidRPr="005F20F5">
        <w:t>%</w:t>
      </w:r>
      <w:r w:rsidRPr="005F20F5">
        <w:t xml:space="preserve"> to 40</w:t>
      </w:r>
      <w:r w:rsidR="003A2B76" w:rsidRPr="005F20F5">
        <w:t>%</w:t>
      </w:r>
      <w:r w:rsidRPr="005F20F5">
        <w:t xml:space="preserve"> and 50</w:t>
      </w:r>
      <w:r w:rsidR="003A2B76" w:rsidRPr="005F20F5">
        <w:t>%</w:t>
      </w:r>
      <w:r w:rsidRPr="005F20F5">
        <w:t>, respectively. The Western Australian Market Review also found that costs did not suddenly rise when a provider crossed the boundary from an outer regional area, Modified Monash Model (MMM) regions 4 and 5, to a remote area. Rather, costs rose in line with the distance from capital cities – although not necessarily in a linear manner.</w:t>
      </w:r>
    </w:p>
    <w:p w14:paraId="5F301CBE" w14:textId="77777777" w:rsidR="00B933E9" w:rsidRPr="005F20F5" w:rsidRDefault="00B933E9" w:rsidP="00B933E9">
      <w:pPr>
        <w:pStyle w:val="Heading2"/>
      </w:pPr>
      <w:bookmarkStart w:id="103" w:name="_Toc85097286"/>
      <w:r w:rsidRPr="005F20F5">
        <w:t>Call for Submissions</w:t>
      </w:r>
      <w:bookmarkEnd w:id="103"/>
    </w:p>
    <w:p w14:paraId="53CB99FC" w14:textId="2860DCC7" w:rsidR="00DE55E6" w:rsidRPr="005F20F5" w:rsidRDefault="000F477A" w:rsidP="008E486C">
      <w:r w:rsidRPr="005F20F5">
        <w:t xml:space="preserve">The NDIA has a broad role as market steward to ensure continued access to appropriate supports for participants in regional, remote and very remote areas. Pricing is one of the levers available to achieve this. </w:t>
      </w:r>
      <w:r w:rsidR="00472A90" w:rsidRPr="005F20F5">
        <w:t>The Annual Pricing</w:t>
      </w:r>
      <w:r w:rsidR="00440434" w:rsidRPr="005F20F5">
        <w:t xml:space="preserve"> Review 2021-22 is seeking the views of stakeholders on the relative costs of delivering supports </w:t>
      </w:r>
      <w:r w:rsidR="00DE55E6" w:rsidRPr="005F20F5">
        <w:t>into outer regional</w:t>
      </w:r>
      <w:r w:rsidR="00440434" w:rsidRPr="005F20F5">
        <w:t>, remote and very remote</w:t>
      </w:r>
      <w:r w:rsidR="00DE55E6" w:rsidRPr="005F20F5">
        <w:t xml:space="preserve"> areas</w:t>
      </w:r>
      <w:r w:rsidR="00754F95" w:rsidRPr="005F20F5">
        <w:t xml:space="preserve"> (compared to the delivery of supports in metropolitan areas)</w:t>
      </w:r>
      <w:r w:rsidR="00DE55E6" w:rsidRPr="005F20F5">
        <w:t>.</w:t>
      </w:r>
    </w:p>
    <w:tbl>
      <w:tblPr>
        <w:tblStyle w:val="GUIDEQUESTION"/>
        <w:tblW w:w="0" w:type="auto"/>
        <w:tblLook w:val="04A0" w:firstRow="1" w:lastRow="0" w:firstColumn="1" w:lastColumn="0" w:noHBand="0" w:noVBand="1"/>
        <w:tblCaption w:val="Guide questions"/>
        <w:tblDescription w:val="3 questions to consider for the APR"/>
      </w:tblPr>
      <w:tblGrid>
        <w:gridCol w:w="9017"/>
      </w:tblGrid>
      <w:tr w:rsidR="00DE55E6" w:rsidRPr="005F20F5" w14:paraId="19BB4FBD" w14:textId="77777777" w:rsidTr="003D1C27">
        <w:trPr>
          <w:tblHeader/>
        </w:trPr>
        <w:tc>
          <w:tcPr>
            <w:tcW w:w="9060" w:type="dxa"/>
          </w:tcPr>
          <w:p w14:paraId="44DF4724" w14:textId="77777777" w:rsidR="00DE55E6" w:rsidRPr="005F20F5" w:rsidRDefault="00DE55E6" w:rsidP="0057648F">
            <w:pPr>
              <w:spacing w:before="160" w:after="160" w:line="320" w:lineRule="atLeast"/>
              <w:jc w:val="center"/>
              <w:rPr>
                <w:b/>
              </w:rPr>
            </w:pPr>
            <w:r w:rsidRPr="005F20F5">
              <w:rPr>
                <w:b/>
              </w:rPr>
              <w:t>Guide Questions</w:t>
            </w:r>
          </w:p>
          <w:p w14:paraId="44B90DD0" w14:textId="77777777" w:rsidR="00DE55E6" w:rsidRPr="005F20F5" w:rsidRDefault="00DE55E6" w:rsidP="00D75A91">
            <w:pPr>
              <w:pStyle w:val="QUESTION"/>
            </w:pPr>
            <w:r w:rsidRPr="005F20F5">
              <w:t xml:space="preserve">Are the costs of delivering supports in outer regional, remote and very remote areas higher than in metropolitan areas? If </w:t>
            </w:r>
            <w:r w:rsidR="00004224" w:rsidRPr="005F20F5">
              <w:t>y</w:t>
            </w:r>
            <w:r w:rsidRPr="005F20F5">
              <w:t>es, why and by how much? Please provide evidence.</w:t>
            </w:r>
          </w:p>
          <w:p w14:paraId="0A53C752" w14:textId="2870B99E" w:rsidR="006B14EB" w:rsidRPr="005F20F5" w:rsidRDefault="006B14EB" w:rsidP="00015B07">
            <w:pPr>
              <w:pStyle w:val="QUESTION"/>
            </w:pPr>
            <w:r w:rsidRPr="005F20F5">
              <w:t>Are any amendments required to the NDIS pricing arrangements to better recognise the costs of delivering services in regiona</w:t>
            </w:r>
            <w:r w:rsidR="00004224" w:rsidRPr="005F20F5">
              <w:t>l, remote and very remote areas?</w:t>
            </w:r>
            <w:r w:rsidRPr="005F20F5">
              <w:t xml:space="preserve"> If yes, please provide details and evidence.</w:t>
            </w:r>
          </w:p>
          <w:p w14:paraId="4B1257B3" w14:textId="77777777" w:rsidR="005B6B44" w:rsidRPr="005F20F5" w:rsidRDefault="005B6B44" w:rsidP="00101D33">
            <w:pPr>
              <w:pStyle w:val="QUESTION"/>
            </w:pPr>
            <w:r w:rsidRPr="005F20F5">
              <w:t>Are there any other enclaves that the NDIS should classify as Isolated Towns for planning and pricing purposes? If yes, please identify the enclave(s) and provide evidence of why, and by how much, the cost of delivering supports in the enclave</w:t>
            </w:r>
            <w:r w:rsidR="00101D33" w:rsidRPr="005F20F5">
              <w:t>(s)</w:t>
            </w:r>
            <w:r w:rsidRPr="005F20F5">
              <w:t xml:space="preserve"> is higher than in other similar</w:t>
            </w:r>
            <w:r w:rsidR="00101D33" w:rsidRPr="005F20F5">
              <w:t xml:space="preserve">ly classified </w:t>
            </w:r>
            <w:r w:rsidRPr="005F20F5">
              <w:t>areas.</w:t>
            </w:r>
          </w:p>
        </w:tc>
      </w:tr>
    </w:tbl>
    <w:p w14:paraId="41EEB3BE" w14:textId="77777777" w:rsidR="00FA66D6" w:rsidRPr="005F20F5" w:rsidRDefault="00FA66D6" w:rsidP="00480E87">
      <w:pPr>
        <w:sectPr w:rsidR="00FA66D6" w:rsidRPr="005F20F5" w:rsidSect="00872AF9">
          <w:pgSz w:w="11907" w:h="16839" w:code="9"/>
          <w:pgMar w:top="1440" w:right="1440" w:bottom="1440" w:left="1440" w:header="709" w:footer="709" w:gutter="0"/>
          <w:cols w:space="708"/>
          <w:titlePg/>
          <w:docGrid w:linePitch="360"/>
        </w:sectPr>
      </w:pPr>
    </w:p>
    <w:p w14:paraId="7D724EB2" w14:textId="77777777" w:rsidR="007667AF" w:rsidRPr="005F20F5" w:rsidRDefault="007667AF" w:rsidP="0089268A">
      <w:pPr>
        <w:pStyle w:val="Heading1"/>
        <w:ind w:left="851" w:hanging="851"/>
      </w:pPr>
      <w:bookmarkStart w:id="104" w:name="_Toc85097287"/>
      <w:r w:rsidRPr="005F20F5">
        <w:t>Western Australia</w:t>
      </w:r>
      <w:r w:rsidR="0089268A" w:rsidRPr="005F20F5">
        <w:t>, South Australia and Queensland</w:t>
      </w:r>
      <w:bookmarkEnd w:id="104"/>
    </w:p>
    <w:p w14:paraId="2541F83A" w14:textId="77777777" w:rsidR="007667AF" w:rsidRPr="005F20F5" w:rsidRDefault="00754F95" w:rsidP="0057648F">
      <w:r w:rsidRPr="005F20F5">
        <w:t xml:space="preserve">The 2021-22 Annual Pricing Review is required </w:t>
      </w:r>
      <w:r w:rsidR="00D32A62" w:rsidRPr="005F20F5">
        <w:t xml:space="preserve">by its Terms of Reference </w:t>
      </w:r>
      <w:r w:rsidRPr="005F20F5">
        <w:t>to examine</w:t>
      </w:r>
      <w:r w:rsidR="007667AF" w:rsidRPr="005F20F5">
        <w:t xml:space="preserve"> whether the current economic conditions in states where economic trends are often counter cyclical to the trends in other states and territories (and, in particular, in Western Australia, Queensland and South Australia) are such as to require temporary adjustments to price controls in those states in order to proactively manage any potential impacts on the supply of disability goods and services.</w:t>
      </w:r>
    </w:p>
    <w:p w14:paraId="6EDCA2C2" w14:textId="77777777" w:rsidR="007667AF" w:rsidRPr="005F20F5" w:rsidRDefault="007667AF" w:rsidP="004E6B4B">
      <w:pPr>
        <w:pStyle w:val="Heading2"/>
      </w:pPr>
      <w:bookmarkStart w:id="105" w:name="_Toc25182184"/>
      <w:bookmarkStart w:id="106" w:name="_Toc85097288"/>
      <w:r w:rsidRPr="005F20F5">
        <w:t>Current arrangements</w:t>
      </w:r>
      <w:bookmarkEnd w:id="105"/>
      <w:bookmarkEnd w:id="106"/>
    </w:p>
    <w:p w14:paraId="215CD694" w14:textId="77777777" w:rsidR="009A6AE5" w:rsidRPr="005F20F5" w:rsidRDefault="007667AF" w:rsidP="009A6AE5">
      <w:r w:rsidRPr="005F20F5">
        <w:t xml:space="preserve">In 2019, the NDIA undertook a Review to establish if there were any issues in the markets for disability goods and services that so differentiated </w:t>
      </w:r>
      <w:r w:rsidR="00906E85" w:rsidRPr="005F20F5">
        <w:t>Western Australia</w:t>
      </w:r>
      <w:r w:rsidRPr="005F20F5">
        <w:t xml:space="preserve"> from the other jurisdictions as to require alternative price control arrangements. </w:t>
      </w:r>
    </w:p>
    <w:p w14:paraId="01A0A70A" w14:textId="77777777" w:rsidR="007667AF" w:rsidRPr="005F20F5" w:rsidRDefault="007667AF" w:rsidP="00480E87">
      <w:r w:rsidRPr="005F20F5">
        <w:t>The Review found there was:</w:t>
      </w:r>
    </w:p>
    <w:p w14:paraId="0B34D1C0" w14:textId="77777777" w:rsidR="007667AF" w:rsidRPr="005F20F5" w:rsidRDefault="007667AF" w:rsidP="00B55DCE">
      <w:pPr>
        <w:pStyle w:val="ListParagraph"/>
        <w:numPr>
          <w:ilvl w:val="0"/>
          <w:numId w:val="9"/>
        </w:numPr>
      </w:pPr>
      <w:r w:rsidRPr="005F20F5">
        <w:t xml:space="preserve">little evidence of substantial differences in the markets for delivery of disability goods and services in </w:t>
      </w:r>
      <w:r w:rsidR="00906E85" w:rsidRPr="005F20F5">
        <w:t xml:space="preserve">Western Australia </w:t>
      </w:r>
      <w:r w:rsidRPr="005F20F5">
        <w:t>compared to other jurisdictions, in terms of levels of competition, market con</w:t>
      </w:r>
      <w:r w:rsidR="00906E85" w:rsidRPr="005F20F5">
        <w:t>centration, and efficient costs;</w:t>
      </w:r>
    </w:p>
    <w:p w14:paraId="045F5F30" w14:textId="77777777" w:rsidR="007667AF" w:rsidRPr="005F20F5" w:rsidRDefault="007667AF" w:rsidP="00B55DCE">
      <w:pPr>
        <w:pStyle w:val="ListParagraph"/>
        <w:numPr>
          <w:ilvl w:val="0"/>
          <w:numId w:val="9"/>
        </w:numPr>
      </w:pPr>
      <w:r w:rsidRPr="005F20F5">
        <w:t>no significant evidence that the delivery of disability goods and services was inadequate i</w:t>
      </w:r>
      <w:r w:rsidR="00906E85" w:rsidRPr="005F20F5">
        <w:t>n urban and regional areas –</w:t>
      </w:r>
      <w:r w:rsidR="00906E85" w:rsidRPr="005F20F5">
        <w:softHyphen/>
        <w:t xml:space="preserve"> h</w:t>
      </w:r>
      <w:r w:rsidRPr="005F20F5">
        <w:t xml:space="preserve">owever, as with other jurisdictions, there was evidence that supply is an issue </w:t>
      </w:r>
      <w:r w:rsidR="00906E85" w:rsidRPr="005F20F5">
        <w:t>in remote and very remote areas;</w:t>
      </w:r>
    </w:p>
    <w:p w14:paraId="59D36866" w14:textId="77777777" w:rsidR="007667AF" w:rsidRPr="005F20F5" w:rsidRDefault="007667AF" w:rsidP="00B55DCE">
      <w:pPr>
        <w:pStyle w:val="ListParagraph"/>
        <w:numPr>
          <w:ilvl w:val="0"/>
          <w:numId w:val="9"/>
        </w:numPr>
      </w:pPr>
      <w:r w:rsidRPr="005F20F5">
        <w:t xml:space="preserve">no evidence of substantial differences in efficient labour costs, labour related regulatory imposts and other costs of delivery in </w:t>
      </w:r>
      <w:r w:rsidR="00906E85" w:rsidRPr="005F20F5">
        <w:t xml:space="preserve">Western Australia </w:t>
      </w:r>
      <w:r w:rsidRPr="005F20F5">
        <w:t>relative to other jurisdic</w:t>
      </w:r>
      <w:r w:rsidR="00906E85" w:rsidRPr="005F20F5">
        <w:t>tions at the time of the Review;</w:t>
      </w:r>
      <w:r w:rsidRPr="005F20F5">
        <w:t xml:space="preserve"> and</w:t>
      </w:r>
    </w:p>
    <w:p w14:paraId="1E58FCD7" w14:textId="77777777" w:rsidR="007667AF" w:rsidRPr="005F20F5" w:rsidRDefault="007667AF" w:rsidP="00B55DCE">
      <w:pPr>
        <w:pStyle w:val="ListParagraph"/>
        <w:numPr>
          <w:ilvl w:val="0"/>
          <w:numId w:val="9"/>
        </w:numPr>
      </w:pPr>
      <w:r w:rsidRPr="005F20F5">
        <w:t xml:space="preserve">no significant evidence that the new national price limits published on 30 March 2019 to take effect from 1 July 2019 would not support the sustainable, efficient delivery of disability supports in metropolitan </w:t>
      </w:r>
      <w:r w:rsidR="00906E85" w:rsidRPr="005F20F5">
        <w:t>Western Australia</w:t>
      </w:r>
      <w:r w:rsidRPr="005F20F5">
        <w:t>.</w:t>
      </w:r>
    </w:p>
    <w:p w14:paraId="56E895ED" w14:textId="77777777" w:rsidR="007667AF" w:rsidRPr="005F20F5" w:rsidRDefault="007667AF" w:rsidP="00480E87">
      <w:r w:rsidRPr="005F20F5">
        <w:t xml:space="preserve">The 2019 Review recommended that, from 1 July 2019, the new national price limits for supports other than therapy supports published on 30 March 2019 should apply to </w:t>
      </w:r>
      <w:r w:rsidR="00FA66D6" w:rsidRPr="005F20F5">
        <w:t>Western Australia</w:t>
      </w:r>
      <w:r w:rsidRPr="005F20F5">
        <w:t xml:space="preserve">. For therapy supports, the price limits that apply to South Australia, Tasmania and the Northern Territory should apply to </w:t>
      </w:r>
      <w:r w:rsidR="00FA66D6" w:rsidRPr="005F20F5">
        <w:t>Western Australia</w:t>
      </w:r>
      <w:r w:rsidRPr="005F20F5">
        <w:t>.</w:t>
      </w:r>
    </w:p>
    <w:p w14:paraId="33CC8C6D" w14:textId="77777777" w:rsidR="00754F95" w:rsidRPr="005F20F5" w:rsidRDefault="00754F95" w:rsidP="004E6B4B">
      <w:pPr>
        <w:pStyle w:val="Heading2"/>
      </w:pPr>
      <w:bookmarkStart w:id="107" w:name="_Toc85097289"/>
      <w:r w:rsidRPr="005F20F5">
        <w:t>Issues</w:t>
      </w:r>
      <w:bookmarkEnd w:id="107"/>
    </w:p>
    <w:p w14:paraId="4933F795" w14:textId="77777777" w:rsidR="007667AF" w:rsidRPr="005F20F5" w:rsidRDefault="007667AF" w:rsidP="00480E87">
      <w:r w:rsidRPr="005F20F5">
        <w:t xml:space="preserve">Although the 2019 Review found that there was no need at that time for differential price controls for </w:t>
      </w:r>
      <w:r w:rsidR="00906E85" w:rsidRPr="005F20F5">
        <w:t>Western Australia</w:t>
      </w:r>
      <w:r w:rsidRPr="005F20F5">
        <w:t xml:space="preserve">, it also found that the </w:t>
      </w:r>
      <w:r w:rsidR="00906E85" w:rsidRPr="005F20F5">
        <w:t xml:space="preserve">Western Australian </w:t>
      </w:r>
      <w:r w:rsidRPr="005F20F5">
        <w:t xml:space="preserve">economy is driven substantially more by commodity exports than the rest of Australia. Commodity exports are volatile, in terms of both volumes and values. Accordingly, </w:t>
      </w:r>
      <w:r w:rsidR="00906E85" w:rsidRPr="005F20F5">
        <w:t xml:space="preserve">Western Australia </w:t>
      </w:r>
      <w:r w:rsidRPr="005F20F5">
        <w:t xml:space="preserve">is more characterised by boom/bust cycles than Australia as a whole. This means that disability providers in </w:t>
      </w:r>
      <w:r w:rsidR="00906E85" w:rsidRPr="005F20F5">
        <w:t>Western Australia</w:t>
      </w:r>
      <w:r w:rsidRPr="005F20F5">
        <w:t xml:space="preserve">, compared to the rest of Australia, will more often face boom conditions that may make it more difficult to retain workers. At present, price control changes are reviewed on a national basis. However, the boom and bust cycles experienced in </w:t>
      </w:r>
      <w:r w:rsidR="00906E85" w:rsidRPr="005F20F5">
        <w:t xml:space="preserve">Western Australia </w:t>
      </w:r>
      <w:r w:rsidRPr="005F20F5">
        <w:t>raise the question as to whether there should be provision for price control changes to differ across states and territories and for them to be able to be reviewed more rapidly when required.</w:t>
      </w:r>
    </w:p>
    <w:p w14:paraId="69ADDBA1" w14:textId="77777777" w:rsidR="007667AF" w:rsidRPr="005F20F5" w:rsidRDefault="007667AF" w:rsidP="00480E87">
      <w:r w:rsidRPr="005F20F5">
        <w:t xml:space="preserve">Moreover, while this volatility arguably affects </w:t>
      </w:r>
      <w:r w:rsidR="00906E85" w:rsidRPr="005F20F5">
        <w:t xml:space="preserve">Western Australia </w:t>
      </w:r>
      <w:r w:rsidRPr="005F20F5">
        <w:t xml:space="preserve">more than other jurisdictions, it is not unique to </w:t>
      </w:r>
      <w:r w:rsidR="00906E85" w:rsidRPr="005F20F5">
        <w:t>Western Australia</w:t>
      </w:r>
      <w:r w:rsidRPr="005F20F5">
        <w:t>. The other mining states (South Australia and Queensland) also experience boom/bust cycles.</w:t>
      </w:r>
    </w:p>
    <w:p w14:paraId="4DCF9AC9" w14:textId="77777777" w:rsidR="00FA66D6" w:rsidRPr="005F20F5" w:rsidRDefault="007667AF" w:rsidP="00480E87">
      <w:r w:rsidRPr="005F20F5">
        <w:t xml:space="preserve">At a broad level, the current NDIA approach of national labour price limits may not fit well with a large and diverse economy. Australia is well known as a “two speed economy” because on occasion some states – </w:t>
      </w:r>
      <w:r w:rsidR="001842CD" w:rsidRPr="005F20F5">
        <w:t>Western Australia</w:t>
      </w:r>
      <w:r w:rsidRPr="005F20F5">
        <w:t>, Queensland and South Australia – are in a mining boom, while others are languishing; or these states are experiencing a mining bust while the ot</w:t>
      </w:r>
      <w:r w:rsidR="001842CD" w:rsidRPr="005F20F5">
        <w:t xml:space="preserve">hers are enjoying rapid growth. </w:t>
      </w:r>
    </w:p>
    <w:p w14:paraId="3071EF0E" w14:textId="77777777" w:rsidR="007667AF" w:rsidRPr="005F20F5" w:rsidRDefault="001842CD" w:rsidP="00480E87">
      <w:r w:rsidRPr="005F20F5">
        <w:t xml:space="preserve">The 2019 </w:t>
      </w:r>
      <w:r w:rsidR="007667AF" w:rsidRPr="005F20F5">
        <w:t xml:space="preserve">Review </w:t>
      </w:r>
      <w:r w:rsidRPr="005F20F5">
        <w:t xml:space="preserve">therefore </w:t>
      </w:r>
      <w:r w:rsidR="007667AF" w:rsidRPr="005F20F5">
        <w:t xml:space="preserve">recommended that the NDIA should work with the relevant Commonwealth and State/Territory Departments to monitor the economic conditions in </w:t>
      </w:r>
      <w:r w:rsidRPr="005F20F5">
        <w:t xml:space="preserve">Western Australia </w:t>
      </w:r>
      <w:r w:rsidR="007667AF" w:rsidRPr="005F20F5">
        <w:t>(and Queensland and South Australia) with a view to making temporary adjustments to price controls when necessary, in order to proactively manage any potential impacts on the supply of disability goods and services from economic trends in those states that were counter cyclical to the trends in other states and territories.</w:t>
      </w:r>
    </w:p>
    <w:p w14:paraId="1DECC45B" w14:textId="77777777" w:rsidR="00B933E9" w:rsidRPr="005F20F5" w:rsidRDefault="00B933E9" w:rsidP="00B933E9">
      <w:pPr>
        <w:pStyle w:val="Heading2"/>
      </w:pPr>
      <w:bookmarkStart w:id="108" w:name="_Toc85097290"/>
      <w:r w:rsidRPr="005F20F5">
        <w:t>Call for Submissions</w:t>
      </w:r>
      <w:bookmarkEnd w:id="108"/>
    </w:p>
    <w:p w14:paraId="1F35897D" w14:textId="77777777" w:rsidR="00906E85" w:rsidRPr="005F20F5" w:rsidRDefault="001842CD" w:rsidP="00592B81">
      <w:r w:rsidRPr="005F20F5">
        <w:t xml:space="preserve">The 2021-22 Annual Pricing Review is </w:t>
      </w:r>
      <w:r w:rsidR="00754F95" w:rsidRPr="005F20F5">
        <w:t xml:space="preserve">therefore </w:t>
      </w:r>
      <w:r w:rsidRPr="005F20F5">
        <w:t>seekin</w:t>
      </w:r>
      <w:r w:rsidR="00FA66D6" w:rsidRPr="005F20F5">
        <w:t xml:space="preserve">g evidence from stakeholders </w:t>
      </w:r>
      <w:r w:rsidR="00592B81" w:rsidRPr="005F20F5">
        <w:t xml:space="preserve">on </w:t>
      </w:r>
      <w:r w:rsidR="00906E85" w:rsidRPr="005F20F5">
        <w:t>labour costs and regulatory imposts (such as workers compensation and leave entitlements) in Western Australia,</w:t>
      </w:r>
      <w:r w:rsidR="0089268A" w:rsidRPr="005F20F5">
        <w:t xml:space="preserve"> South Australia and Queensland</w:t>
      </w:r>
      <w:r w:rsidR="00906E85" w:rsidRPr="005F20F5">
        <w:t xml:space="preserve"> relative to other jurisdictions.</w:t>
      </w:r>
    </w:p>
    <w:tbl>
      <w:tblPr>
        <w:tblStyle w:val="GUIDEQUESTION"/>
        <w:tblW w:w="0" w:type="auto"/>
        <w:tblLook w:val="04A0" w:firstRow="1" w:lastRow="0" w:firstColumn="1" w:lastColumn="0" w:noHBand="0" w:noVBand="1"/>
        <w:tblCaption w:val="Guide questions"/>
        <w:tblDescription w:val="3 questions to consider for the APR"/>
      </w:tblPr>
      <w:tblGrid>
        <w:gridCol w:w="9017"/>
      </w:tblGrid>
      <w:tr w:rsidR="00FA66D6" w:rsidRPr="00976651" w14:paraId="10302926" w14:textId="77777777" w:rsidTr="003D1C27">
        <w:trPr>
          <w:tblHeader/>
        </w:trPr>
        <w:tc>
          <w:tcPr>
            <w:tcW w:w="9060" w:type="dxa"/>
          </w:tcPr>
          <w:p w14:paraId="63E83D40" w14:textId="77777777" w:rsidR="00FA66D6" w:rsidRPr="005F20F5" w:rsidRDefault="00FA66D6" w:rsidP="00427897">
            <w:pPr>
              <w:spacing w:before="200"/>
              <w:jc w:val="center"/>
              <w:rPr>
                <w:b/>
              </w:rPr>
            </w:pPr>
            <w:r w:rsidRPr="005F20F5">
              <w:rPr>
                <w:b/>
              </w:rPr>
              <w:t>Guide Questions</w:t>
            </w:r>
          </w:p>
          <w:p w14:paraId="5F82ACF8" w14:textId="77777777" w:rsidR="00EF6AB0" w:rsidRPr="005F20F5" w:rsidRDefault="00FA66D6" w:rsidP="00D75A91">
            <w:pPr>
              <w:pStyle w:val="QUESTION"/>
            </w:pPr>
            <w:r w:rsidRPr="005F20F5">
              <w:t>Are the conditions of employment (for example, wages, leave entitlements, shift loadings, breaks, superannuation, minimum shift requirements, minimum weekend callout durations) of workers in the Wester</w:t>
            </w:r>
            <w:r w:rsidR="007E5A17" w:rsidRPr="005F20F5">
              <w:t>n Australia</w:t>
            </w:r>
            <w:r w:rsidR="0089268A" w:rsidRPr="005F20F5">
              <w:t xml:space="preserve">, South Australian </w:t>
            </w:r>
            <w:r w:rsidR="00101D33" w:rsidRPr="005F20F5">
              <w:t>or</w:t>
            </w:r>
            <w:r w:rsidR="0089268A" w:rsidRPr="005F20F5">
              <w:t xml:space="preserve"> Queensland</w:t>
            </w:r>
            <w:r w:rsidRPr="005F20F5">
              <w:t xml:space="preserve"> disability sector workforce substantially different from those that apply in other jurisdictions?</w:t>
            </w:r>
            <w:r w:rsidR="00DE55E6" w:rsidRPr="005F20F5">
              <w:t xml:space="preserve"> If yes, why and by how much? Please provide evidence.</w:t>
            </w:r>
          </w:p>
          <w:p w14:paraId="33329570" w14:textId="77777777" w:rsidR="00FA66D6" w:rsidRPr="005F20F5" w:rsidRDefault="00FA66D6" w:rsidP="00D75A91">
            <w:pPr>
              <w:pStyle w:val="QUESTION"/>
            </w:pPr>
            <w:r w:rsidRPr="005F20F5">
              <w:t>Are there shortages of particul</w:t>
            </w:r>
            <w:r w:rsidR="0089268A" w:rsidRPr="005F20F5">
              <w:t xml:space="preserve">ar skills in Western Australia, South Australia </w:t>
            </w:r>
            <w:r w:rsidR="00101D33" w:rsidRPr="005F20F5">
              <w:t>or</w:t>
            </w:r>
            <w:r w:rsidR="0089268A" w:rsidRPr="005F20F5">
              <w:t xml:space="preserve"> Queensland, </w:t>
            </w:r>
            <w:r w:rsidRPr="005F20F5">
              <w:t>relative to other jurisdictions?</w:t>
            </w:r>
            <w:r w:rsidR="00DE55E6" w:rsidRPr="005F20F5">
              <w:t xml:space="preserve"> If yes, why? Please provide evidence.</w:t>
            </w:r>
          </w:p>
          <w:p w14:paraId="369BC061" w14:textId="77777777" w:rsidR="00FA66D6" w:rsidRPr="005F20F5" w:rsidRDefault="00FA66D6" w:rsidP="00004224">
            <w:pPr>
              <w:pStyle w:val="QUESTION"/>
            </w:pPr>
            <w:r w:rsidRPr="005F20F5">
              <w:t>Do providers of disability goods an</w:t>
            </w:r>
            <w:r w:rsidR="0089268A" w:rsidRPr="005F20F5">
              <w:t xml:space="preserve">d services in Western Australia, South Australia </w:t>
            </w:r>
            <w:r w:rsidR="00101D33" w:rsidRPr="005F20F5">
              <w:t>or</w:t>
            </w:r>
            <w:r w:rsidR="0089268A" w:rsidRPr="005F20F5">
              <w:t xml:space="preserve"> Queensland</w:t>
            </w:r>
            <w:r w:rsidRPr="005F20F5">
              <w:t xml:space="preserve"> face higher </w:t>
            </w:r>
            <w:r w:rsidR="00004224" w:rsidRPr="005F20F5">
              <w:t xml:space="preserve">non-labour </w:t>
            </w:r>
            <w:r w:rsidRPr="005F20F5">
              <w:t>input costs</w:t>
            </w:r>
            <w:r w:rsidR="00004224" w:rsidRPr="005F20F5">
              <w:t xml:space="preserve"> (including government charges)</w:t>
            </w:r>
            <w:r w:rsidRPr="005F20F5">
              <w:t xml:space="preserve"> than providers in other jurisdictions?</w:t>
            </w:r>
            <w:r w:rsidR="00DE55E6" w:rsidRPr="005F20F5">
              <w:t xml:space="preserve"> If yes, why and by how much? Please provide evidence.</w:t>
            </w:r>
          </w:p>
        </w:tc>
      </w:tr>
    </w:tbl>
    <w:p w14:paraId="22A75D77" w14:textId="77777777" w:rsidR="00906E85" w:rsidRPr="00976651" w:rsidRDefault="00906E85" w:rsidP="00906E85"/>
    <w:sectPr w:rsidR="00906E85" w:rsidRPr="00976651" w:rsidSect="00872AF9">
      <w:pgSz w:w="11907" w:h="16839" w:code="9"/>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E33B3" w16cid:durableId="2443B74D"/>
  <w16cid:commentId w16cid:paraId="410B0055" w16cid:durableId="2443B7AB"/>
  <w16cid:commentId w16cid:paraId="0211A225" w16cid:durableId="24438DFC"/>
  <w16cid:commentId w16cid:paraId="4A3B667E" w16cid:durableId="24438E79"/>
  <w16cid:commentId w16cid:paraId="114F70DF" w16cid:durableId="2443F01B"/>
  <w16cid:commentId w16cid:paraId="29453330" w16cid:durableId="24438ED7"/>
  <w16cid:commentId w16cid:paraId="3543F124" w16cid:durableId="2443BA89"/>
  <w16cid:commentId w16cid:paraId="1B4179E2" w16cid:durableId="2443EDFB"/>
  <w16cid:commentId w16cid:paraId="31CC1822" w16cid:durableId="244390AF"/>
  <w16cid:commentId w16cid:paraId="5A82AA58" w16cid:durableId="2443CE9E"/>
  <w16cid:commentId w16cid:paraId="6AE70916" w16cid:durableId="2443EF1A"/>
  <w16cid:commentId w16cid:paraId="4555949D" w16cid:durableId="2443EF78"/>
  <w16cid:commentId w16cid:paraId="03C207C7" w16cid:durableId="2443ED7D"/>
  <w16cid:commentId w16cid:paraId="1D3629BD" w16cid:durableId="2442E6AF"/>
  <w16cid:commentId w16cid:paraId="4F2F6963" w16cid:durableId="2443927E"/>
  <w16cid:commentId w16cid:paraId="5695D85C" w16cid:durableId="2443DF1E"/>
  <w16cid:commentId w16cid:paraId="6BA07433" w16cid:durableId="2443DF84"/>
  <w16cid:commentId w16cid:paraId="4319BACD" w16cid:durableId="244391FE"/>
  <w16cid:commentId w16cid:paraId="73C1EAE3" w16cid:durableId="2443F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4026A" w14:textId="77777777" w:rsidR="009C7771" w:rsidRDefault="009C7771" w:rsidP="007219F1">
      <w:pPr>
        <w:spacing w:after="0" w:line="240" w:lineRule="auto"/>
      </w:pPr>
      <w:r>
        <w:separator/>
      </w:r>
    </w:p>
    <w:p w14:paraId="023D8436" w14:textId="77777777" w:rsidR="009C7771" w:rsidRDefault="009C7771"/>
    <w:p w14:paraId="0D05CE15" w14:textId="77777777" w:rsidR="009C7771" w:rsidRDefault="009C7771"/>
    <w:p w14:paraId="32BFB387" w14:textId="77777777" w:rsidR="009C7771" w:rsidRDefault="009C7771"/>
    <w:p w14:paraId="7F571FD7" w14:textId="77777777" w:rsidR="009C7771" w:rsidRDefault="009C7771"/>
    <w:p w14:paraId="4C6D7BF2" w14:textId="77777777" w:rsidR="009C7771" w:rsidRDefault="009C7771"/>
  </w:endnote>
  <w:endnote w:type="continuationSeparator" w:id="0">
    <w:p w14:paraId="601CA4E8" w14:textId="77777777" w:rsidR="009C7771" w:rsidRDefault="009C7771" w:rsidP="007219F1">
      <w:pPr>
        <w:spacing w:after="0" w:line="240" w:lineRule="auto"/>
      </w:pPr>
      <w:r>
        <w:continuationSeparator/>
      </w:r>
    </w:p>
    <w:p w14:paraId="45EF3AD0" w14:textId="77777777" w:rsidR="009C7771" w:rsidRDefault="009C7771"/>
    <w:p w14:paraId="05B011F0" w14:textId="77777777" w:rsidR="009C7771" w:rsidRDefault="009C7771"/>
    <w:p w14:paraId="4EACC588" w14:textId="77777777" w:rsidR="009C7771" w:rsidRDefault="009C7771"/>
    <w:p w14:paraId="5522C5BA" w14:textId="77777777" w:rsidR="009C7771" w:rsidRDefault="009C7771"/>
    <w:p w14:paraId="320849D0" w14:textId="77777777" w:rsidR="009C7771" w:rsidRDefault="009C7771"/>
  </w:endnote>
  <w:endnote w:type="continuationNotice" w:id="1">
    <w:p w14:paraId="5C6A2F30" w14:textId="77777777" w:rsidR="009C7771" w:rsidRDefault="009C7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20100"/>
      <w:docPartObj>
        <w:docPartGallery w:val="Page Numbers (Bottom of Page)"/>
        <w:docPartUnique/>
      </w:docPartObj>
    </w:sdtPr>
    <w:sdtEndPr>
      <w:rPr>
        <w:noProof/>
      </w:rPr>
    </w:sdtEndPr>
    <w:sdtContent>
      <w:p w14:paraId="05755784" w14:textId="3EF67CDE" w:rsidR="009C7771" w:rsidRDefault="009C7771" w:rsidP="00827017">
        <w:pPr>
          <w:pStyle w:val="Footer"/>
          <w:jc w:val="center"/>
        </w:pPr>
        <w:r>
          <w:fldChar w:fldCharType="begin"/>
        </w:r>
        <w:r>
          <w:instrText xml:space="preserve"> PAGE   \* MERGEFORMAT </w:instrText>
        </w:r>
        <w:r>
          <w:fldChar w:fldCharType="separate"/>
        </w:r>
        <w:r w:rsidR="009D3AFE">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4AA8" w14:textId="77777777" w:rsidR="009C7771" w:rsidRDefault="009C7771" w:rsidP="00827017">
    <w:r w:rsidRPr="00321F81">
      <w:rPr>
        <w:noProof/>
        <w:lang w:eastAsia="en-AU"/>
      </w:rPr>
      <w:drawing>
        <wp:inline distT="0" distB="0" distL="0" distR="0" wp14:anchorId="36CC65E8" wp14:editId="5A6E3A97">
          <wp:extent cx="2275200" cy="540000"/>
          <wp:effectExtent l="0" t="0" r="0" b="0"/>
          <wp:docPr id="205" name="Picture 20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47536"/>
      <w:docPartObj>
        <w:docPartGallery w:val="Page Numbers (Bottom of Page)"/>
        <w:docPartUnique/>
      </w:docPartObj>
    </w:sdtPr>
    <w:sdtEndPr>
      <w:rPr>
        <w:noProof/>
      </w:rPr>
    </w:sdtEndPr>
    <w:sdtContent>
      <w:p w14:paraId="164A227F" w14:textId="2106836D" w:rsidR="009C7771" w:rsidRDefault="009C7771" w:rsidP="00206483">
        <w:pPr>
          <w:pStyle w:val="Footer"/>
          <w:jc w:val="center"/>
        </w:pPr>
        <w:r>
          <w:fldChar w:fldCharType="begin"/>
        </w:r>
        <w:r>
          <w:instrText xml:space="preserve"> PAGE   \* MERGEFORMAT </w:instrText>
        </w:r>
        <w:r>
          <w:fldChar w:fldCharType="separate"/>
        </w:r>
        <w:r w:rsidR="009D3AF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0E24" w14:textId="77777777" w:rsidR="009C7771" w:rsidRDefault="009C7771">
      <w:r>
        <w:separator/>
      </w:r>
    </w:p>
  </w:footnote>
  <w:footnote w:type="continuationSeparator" w:id="0">
    <w:p w14:paraId="0FD57532" w14:textId="77777777" w:rsidR="009C7771" w:rsidRDefault="009C7771" w:rsidP="007219F1">
      <w:pPr>
        <w:spacing w:after="0" w:line="240" w:lineRule="auto"/>
      </w:pPr>
      <w:r>
        <w:continuationSeparator/>
      </w:r>
    </w:p>
    <w:p w14:paraId="0AFDA95A" w14:textId="77777777" w:rsidR="009C7771" w:rsidRDefault="009C7771"/>
    <w:p w14:paraId="40569F49" w14:textId="77777777" w:rsidR="009C7771" w:rsidRDefault="009C7771"/>
    <w:p w14:paraId="56299932" w14:textId="77777777" w:rsidR="009C7771" w:rsidRDefault="009C7771"/>
    <w:p w14:paraId="14E6FFAA" w14:textId="77777777" w:rsidR="009C7771" w:rsidRDefault="009C7771"/>
    <w:p w14:paraId="7CEAD0D4" w14:textId="77777777" w:rsidR="009C7771" w:rsidRDefault="009C7771"/>
  </w:footnote>
  <w:footnote w:type="continuationNotice" w:id="1">
    <w:p w14:paraId="40E5A742" w14:textId="77777777" w:rsidR="009C7771" w:rsidRDefault="009C7771">
      <w:pPr>
        <w:spacing w:after="0" w:line="240" w:lineRule="auto"/>
      </w:pPr>
    </w:p>
  </w:footnote>
  <w:footnote w:id="2">
    <w:p w14:paraId="629E392C" w14:textId="1345DCE4" w:rsidR="009C7771" w:rsidRPr="005F20F5" w:rsidRDefault="009C7771">
      <w:pPr>
        <w:pStyle w:val="FootnoteText"/>
      </w:pPr>
      <w:r w:rsidRPr="005F20F5">
        <w:rPr>
          <w:rStyle w:val="FootnoteReference"/>
        </w:rPr>
        <w:footnoteRef/>
      </w:r>
      <w:r w:rsidRPr="005F20F5">
        <w:t xml:space="preserve"> </w:t>
      </w:r>
      <w:r w:rsidRPr="005F20F5">
        <w:tab/>
        <w:t xml:space="preserve">NDIA. (2021). </w:t>
      </w:r>
      <w:r w:rsidR="00E0309C" w:rsidRPr="005F20F5">
        <w:rPr>
          <w:i/>
        </w:rPr>
        <w:t xml:space="preserve">NDIS </w:t>
      </w:r>
      <w:hyperlink r:id="rId1" w:history="1">
        <w:r w:rsidR="00E0309C" w:rsidRPr="005F20F5">
          <w:rPr>
            <w:rStyle w:val="Hyperlink"/>
            <w:i/>
          </w:rPr>
          <w:t>Report to disability ministers for Q4 of Y8 Full Report</w:t>
        </w:r>
      </w:hyperlink>
      <w:r w:rsidR="00E0309C" w:rsidRPr="005F20F5">
        <w:rPr>
          <w:i/>
        </w:rPr>
        <w:t>, 30 June 2021, p.6.</w:t>
      </w:r>
    </w:p>
  </w:footnote>
  <w:footnote w:id="3">
    <w:p w14:paraId="6B0427A5" w14:textId="77777777" w:rsidR="009C7771" w:rsidRPr="005F20F5" w:rsidRDefault="009C7771">
      <w:pPr>
        <w:pStyle w:val="FootnoteText"/>
      </w:pPr>
      <w:r w:rsidRPr="005F20F5">
        <w:rPr>
          <w:rStyle w:val="FootnoteReference"/>
        </w:rPr>
        <w:footnoteRef/>
      </w:r>
      <w:r w:rsidRPr="005F20F5">
        <w:t xml:space="preserve"> </w:t>
      </w:r>
      <w:r w:rsidRPr="005F20F5">
        <w:tab/>
        <w:t>Ibid. pp.40-1.</w:t>
      </w:r>
    </w:p>
  </w:footnote>
  <w:footnote w:id="4">
    <w:p w14:paraId="1971DCE7" w14:textId="7F5B1781" w:rsidR="009C7771" w:rsidRPr="005F20F5" w:rsidRDefault="009C7771">
      <w:pPr>
        <w:pStyle w:val="FootnoteText"/>
      </w:pPr>
      <w:r w:rsidRPr="005F20F5">
        <w:rPr>
          <w:rStyle w:val="FootnoteReference"/>
        </w:rPr>
        <w:footnoteRef/>
      </w:r>
      <w:r w:rsidRPr="005F20F5">
        <w:t xml:space="preserve"> </w:t>
      </w:r>
      <w:r w:rsidRPr="005F20F5">
        <w:tab/>
      </w:r>
      <w:r w:rsidR="006F7BD9" w:rsidRPr="004D39F3">
        <w:t>Ibid.</w:t>
      </w:r>
      <w:r w:rsidR="00E0309C" w:rsidRPr="004D39F3">
        <w:t xml:space="preserve"> pp.77-8.</w:t>
      </w:r>
    </w:p>
  </w:footnote>
  <w:footnote w:id="5">
    <w:p w14:paraId="40345C6A" w14:textId="77777777" w:rsidR="009C7771" w:rsidRPr="005F20F5" w:rsidRDefault="009C7771">
      <w:pPr>
        <w:pStyle w:val="FootnoteText"/>
      </w:pPr>
      <w:r w:rsidRPr="005F20F5">
        <w:rPr>
          <w:rStyle w:val="FootnoteReference"/>
        </w:rPr>
        <w:footnoteRef/>
      </w:r>
      <w:r w:rsidRPr="005F20F5">
        <w:t xml:space="preserve"> </w:t>
      </w:r>
      <w:r w:rsidRPr="005F20F5">
        <w:tab/>
        <w:t>Ibid. p.73.</w:t>
      </w:r>
    </w:p>
  </w:footnote>
  <w:footnote w:id="6">
    <w:p w14:paraId="33CA27D3" w14:textId="7C027268" w:rsidR="009C7771" w:rsidRPr="005F20F5" w:rsidRDefault="009C7771">
      <w:pPr>
        <w:pStyle w:val="FootnoteText"/>
      </w:pPr>
      <w:r w:rsidRPr="005F20F5">
        <w:rPr>
          <w:rStyle w:val="FootnoteReference"/>
        </w:rPr>
        <w:footnoteRef/>
      </w:r>
      <w:r w:rsidRPr="005F20F5">
        <w:t xml:space="preserve"> </w:t>
      </w:r>
      <w:r w:rsidRPr="005F20F5">
        <w:tab/>
        <w:t xml:space="preserve">NDIS Scheme Actuary. (2021). </w:t>
      </w:r>
      <w:r w:rsidRPr="005F20F5">
        <w:rPr>
          <w:i/>
        </w:rPr>
        <w:t xml:space="preserve">National Disability Insurance Scheme: </w:t>
      </w:r>
      <w:hyperlink r:id="rId2" w:history="1">
        <w:r w:rsidRPr="005F20F5">
          <w:rPr>
            <w:rStyle w:val="Hyperlink"/>
            <w:i/>
          </w:rPr>
          <w:t>Annual Financial Sustainability Report 2020-21</w:t>
        </w:r>
      </w:hyperlink>
      <w:r w:rsidRPr="005F20F5">
        <w:t>, p. 14.</w:t>
      </w:r>
    </w:p>
  </w:footnote>
  <w:footnote w:id="7">
    <w:p w14:paraId="6D6690E8" w14:textId="08B996E0" w:rsidR="009C7771" w:rsidRPr="005F20F5" w:rsidRDefault="009C7771">
      <w:pPr>
        <w:pStyle w:val="FootnoteText"/>
      </w:pPr>
      <w:r w:rsidRPr="005F20F5">
        <w:rPr>
          <w:rStyle w:val="FootnoteReference"/>
        </w:rPr>
        <w:footnoteRef/>
      </w:r>
      <w:r w:rsidRPr="005F20F5">
        <w:t xml:space="preserve"> </w:t>
      </w:r>
      <w:r w:rsidRPr="005F20F5">
        <w:tab/>
        <w:t xml:space="preserve">NDIA. (2021). </w:t>
      </w:r>
      <w:r w:rsidR="00E0309C" w:rsidRPr="005F20F5">
        <w:rPr>
          <w:i/>
        </w:rPr>
        <w:t xml:space="preserve">NDIS </w:t>
      </w:r>
      <w:hyperlink r:id="rId3" w:history="1">
        <w:r w:rsidR="00E0309C" w:rsidRPr="005F20F5">
          <w:rPr>
            <w:rStyle w:val="Hyperlink"/>
            <w:i/>
          </w:rPr>
          <w:t>Report to disability ministers for Q4 of Y8 Full Report</w:t>
        </w:r>
      </w:hyperlink>
      <w:r w:rsidR="00E0309C" w:rsidRPr="005F20F5">
        <w:rPr>
          <w:i/>
        </w:rPr>
        <w:t>, 30 June 2021, p.76.</w:t>
      </w:r>
    </w:p>
  </w:footnote>
  <w:footnote w:id="8">
    <w:p w14:paraId="12D20A85" w14:textId="53E7A1B5" w:rsidR="009C7771" w:rsidRPr="005F20F5" w:rsidRDefault="009C7771" w:rsidP="00B663C9">
      <w:pPr>
        <w:pStyle w:val="FootnoteText"/>
      </w:pPr>
      <w:r w:rsidRPr="005F20F5">
        <w:rPr>
          <w:rStyle w:val="FootnoteReference"/>
        </w:rPr>
        <w:footnoteRef/>
      </w:r>
      <w:r w:rsidRPr="005F20F5">
        <w:t xml:space="preserve"> </w:t>
      </w:r>
      <w:r w:rsidRPr="005F20F5">
        <w:tab/>
        <w:t>NDIA. (</w:t>
      </w:r>
      <w:r w:rsidR="00E0309C" w:rsidRPr="005F20F5">
        <w:t>2019</w:t>
      </w:r>
      <w:r w:rsidRPr="005F20F5">
        <w:t xml:space="preserve">). </w:t>
      </w:r>
      <w:hyperlink r:id="rId4" w:history="1">
        <w:r w:rsidRPr="005F20F5">
          <w:rPr>
            <w:rStyle w:val="Hyperlink"/>
          </w:rPr>
          <w:t>NDIS Pricing Strategy</w:t>
        </w:r>
      </w:hyperlink>
    </w:p>
  </w:footnote>
  <w:footnote w:id="9">
    <w:p w14:paraId="1EEA5C12" w14:textId="77777777" w:rsidR="009C7771" w:rsidRPr="005F20F5" w:rsidRDefault="009C7771">
      <w:pPr>
        <w:pStyle w:val="FootnoteText"/>
      </w:pPr>
      <w:r w:rsidRPr="005F20F5">
        <w:rPr>
          <w:rStyle w:val="FootnoteReference"/>
        </w:rPr>
        <w:footnoteRef/>
      </w:r>
      <w:r w:rsidRPr="005F20F5">
        <w:t xml:space="preserve"> </w:t>
      </w:r>
      <w:r w:rsidRPr="005F20F5">
        <w:tab/>
        <w:t xml:space="preserve">NDIA. (2019). </w:t>
      </w:r>
      <w:hyperlink r:id="rId5" w:history="1">
        <w:r w:rsidRPr="005F20F5">
          <w:rPr>
            <w:rStyle w:val="Hyperlink"/>
          </w:rPr>
          <w:t>NDIS Western Australia Market Review</w:t>
        </w:r>
      </w:hyperlink>
      <w:r w:rsidRPr="005F20F5">
        <w:t xml:space="preserve">. </w:t>
      </w:r>
    </w:p>
  </w:footnote>
  <w:footnote w:id="10">
    <w:p w14:paraId="1FDAEA85" w14:textId="77777777" w:rsidR="009C7771" w:rsidRPr="005F20F5" w:rsidRDefault="009C7771" w:rsidP="00E24128">
      <w:pPr>
        <w:pStyle w:val="FootnoteText"/>
      </w:pPr>
      <w:r w:rsidRPr="005F20F5">
        <w:rPr>
          <w:rStyle w:val="FootnoteReference"/>
          <w:sz w:val="16"/>
          <w:szCs w:val="16"/>
        </w:rPr>
        <w:footnoteRef/>
      </w:r>
      <w:r w:rsidRPr="005F20F5">
        <w:rPr>
          <w:sz w:val="16"/>
          <w:szCs w:val="16"/>
        </w:rPr>
        <w:t xml:space="preserve"> </w:t>
      </w:r>
      <w:r w:rsidRPr="005F20F5">
        <w:rPr>
          <w:sz w:val="16"/>
          <w:szCs w:val="16"/>
        </w:rPr>
        <w:tab/>
        <w:t xml:space="preserve">Details of the Act and the Rules made under the Act can be found on the NDIS </w:t>
      </w:r>
      <w:hyperlink r:id="rId6" w:history="1">
        <w:r w:rsidRPr="005F20F5">
          <w:rPr>
            <w:rStyle w:val="Hyperlink"/>
            <w:sz w:val="16"/>
            <w:szCs w:val="16"/>
          </w:rPr>
          <w:t>website</w:t>
        </w:r>
      </w:hyperlink>
      <w:r w:rsidRPr="005F20F5">
        <w:rPr>
          <w:sz w:val="16"/>
          <w:szCs w:val="16"/>
        </w:rPr>
        <w:t xml:space="preserve">. </w:t>
      </w:r>
    </w:p>
  </w:footnote>
  <w:footnote w:id="11">
    <w:p w14:paraId="2C63AAD6" w14:textId="77777777" w:rsidR="009C7771" w:rsidRPr="005F20F5" w:rsidRDefault="009C7771" w:rsidP="00775E71">
      <w:pPr>
        <w:pStyle w:val="FootnoteText"/>
      </w:pPr>
      <w:r w:rsidRPr="005F20F5">
        <w:rPr>
          <w:rStyle w:val="FootnoteReference"/>
        </w:rPr>
        <w:footnoteRef/>
      </w:r>
      <w:r w:rsidRPr="005F20F5">
        <w:t xml:space="preserve"> </w:t>
      </w:r>
      <w:r w:rsidRPr="005F20F5">
        <w:tab/>
        <w:t xml:space="preserve">NDIA. (2021). </w:t>
      </w:r>
      <w:hyperlink r:id="rId7" w:history="1">
        <w:r w:rsidRPr="005F20F5">
          <w:rPr>
            <w:rStyle w:val="Hyperlink"/>
          </w:rPr>
          <w:t>NDIS Disability Support Worker Cost Model 2021-22: Assumptions and Methodology</w:t>
        </w:r>
      </w:hyperlink>
      <w:r w:rsidRPr="005F20F5">
        <w:t>.</w:t>
      </w:r>
    </w:p>
  </w:footnote>
  <w:footnote w:id="12">
    <w:p w14:paraId="069DA844" w14:textId="77777777" w:rsidR="009C7771" w:rsidRPr="005F20F5" w:rsidRDefault="009C7771" w:rsidP="0008603F">
      <w:pPr>
        <w:pStyle w:val="FootnoteText"/>
      </w:pPr>
      <w:r w:rsidRPr="005F20F5">
        <w:rPr>
          <w:rStyle w:val="FootnoteReference"/>
        </w:rPr>
        <w:footnoteRef/>
      </w:r>
      <w:r w:rsidRPr="005F20F5">
        <w:t xml:space="preserve"> </w:t>
      </w:r>
      <w:r w:rsidRPr="005F20F5">
        <w:tab/>
        <w:t xml:space="preserve">Copies of the results of the financial benchmarking surveys can be found at the NDIS </w:t>
      </w:r>
      <w:hyperlink r:id="rId8" w:history="1">
        <w:r w:rsidRPr="005F20F5">
          <w:rPr>
            <w:rStyle w:val="Hyperlink"/>
          </w:rPr>
          <w:t>website</w:t>
        </w:r>
      </w:hyperlink>
      <w:r w:rsidRPr="005F20F5">
        <w:t>.</w:t>
      </w:r>
    </w:p>
  </w:footnote>
  <w:footnote w:id="13">
    <w:p w14:paraId="694CE7FB" w14:textId="77777777" w:rsidR="009C7771" w:rsidRPr="005F20F5" w:rsidRDefault="009C7771" w:rsidP="007667AF">
      <w:pPr>
        <w:pStyle w:val="FootnoteText"/>
      </w:pPr>
      <w:r w:rsidRPr="005F20F5">
        <w:rPr>
          <w:rStyle w:val="FootnoteReference"/>
        </w:rPr>
        <w:footnoteRef/>
      </w:r>
      <w:r w:rsidRPr="005F20F5">
        <w:t xml:space="preserve"> </w:t>
      </w:r>
      <w:r w:rsidRPr="005F20F5">
        <w:tab/>
        <w:t>This includes NDIA-managed, plan-managed and self-managed participants.</w:t>
      </w:r>
    </w:p>
  </w:footnote>
  <w:footnote w:id="14">
    <w:p w14:paraId="466C79A0" w14:textId="77777777" w:rsidR="009C7771" w:rsidRPr="005F20F5" w:rsidRDefault="009C7771" w:rsidP="007667AF">
      <w:pPr>
        <w:pStyle w:val="FootnoteText"/>
      </w:pPr>
      <w:r w:rsidRPr="005F20F5">
        <w:rPr>
          <w:rStyle w:val="FootnoteReference"/>
        </w:rPr>
        <w:footnoteRef/>
      </w:r>
      <w:r w:rsidRPr="005F20F5">
        <w:t xml:space="preserve"> </w:t>
      </w:r>
      <w:r w:rsidRPr="005F20F5">
        <w:tab/>
        <w:t xml:space="preserve">McKinsey &amp; Company. (2018). </w:t>
      </w:r>
      <w:hyperlink r:id="rId9" w:history="1">
        <w:r w:rsidRPr="005F20F5">
          <w:rPr>
            <w:rStyle w:val="Hyperlink"/>
          </w:rPr>
          <w:t>Independent Pricing Review of the NDIS</w:t>
        </w:r>
      </w:hyperlink>
      <w:r w:rsidRPr="005F20F5">
        <w:t>.</w:t>
      </w:r>
    </w:p>
    <w:p w14:paraId="4A82C91D" w14:textId="77777777" w:rsidR="009C7771" w:rsidRPr="005F20F5" w:rsidRDefault="009C7771" w:rsidP="007667AF">
      <w:pPr>
        <w:pStyle w:val="FootnoteText"/>
        <w:ind w:firstLine="0"/>
      </w:pPr>
      <w:r w:rsidRPr="005F20F5">
        <w:t xml:space="preserve">NDIA. (2018). </w:t>
      </w:r>
      <w:hyperlink r:id="rId10" w:history="1">
        <w:r w:rsidRPr="005F20F5">
          <w:rPr>
            <w:rStyle w:val="Hyperlink"/>
          </w:rPr>
          <w:t>Response to the Independent Pricing Review</w:t>
        </w:r>
      </w:hyperlink>
      <w:r w:rsidRPr="005F20F5">
        <w:t>.</w:t>
      </w:r>
    </w:p>
  </w:footnote>
  <w:footnote w:id="15">
    <w:p w14:paraId="166A3D26" w14:textId="77777777" w:rsidR="009C7771" w:rsidRPr="005F20F5" w:rsidRDefault="009C7771" w:rsidP="007667AF">
      <w:pPr>
        <w:pStyle w:val="FootnoteText"/>
      </w:pPr>
      <w:r w:rsidRPr="005F20F5">
        <w:rPr>
          <w:rStyle w:val="FootnoteReference"/>
        </w:rPr>
        <w:footnoteRef/>
      </w:r>
      <w:r w:rsidRPr="005F20F5">
        <w:t xml:space="preserve"> </w:t>
      </w:r>
      <w:r w:rsidRPr="005F20F5">
        <w:tab/>
        <w:t xml:space="preserve">NDIA. (2019). </w:t>
      </w:r>
      <w:hyperlink r:id="rId11" w:history="1">
        <w:r w:rsidRPr="005F20F5">
          <w:rPr>
            <w:rStyle w:val="Hyperlink"/>
          </w:rPr>
          <w:t>Review of Therapy Pricing Arrangements in the NDIS</w:t>
        </w:r>
      </w:hyperlink>
      <w:r w:rsidRPr="005F20F5">
        <w:t>.</w:t>
      </w:r>
    </w:p>
  </w:footnote>
  <w:footnote w:id="16">
    <w:p w14:paraId="04B88598" w14:textId="77777777" w:rsidR="009C7771" w:rsidRPr="0086483F" w:rsidRDefault="009C7771" w:rsidP="007667AF">
      <w:pPr>
        <w:pStyle w:val="FootnoteText"/>
      </w:pPr>
      <w:r w:rsidRPr="005F20F5">
        <w:rPr>
          <w:rStyle w:val="FootnoteReference"/>
        </w:rPr>
        <w:footnoteRef/>
      </w:r>
      <w:r w:rsidRPr="005F20F5">
        <w:t xml:space="preserve"> </w:t>
      </w:r>
      <w:r w:rsidRPr="005F20F5">
        <w:tab/>
        <w:t xml:space="preserve">NDIA. (2020). </w:t>
      </w:r>
      <w:hyperlink r:id="rId12" w:history="1">
        <w:r w:rsidRPr="005F20F5">
          <w:rPr>
            <w:rStyle w:val="Hyperlink"/>
          </w:rPr>
          <w:t>Annual Review of Pricing Arrangements</w:t>
        </w:r>
      </w:hyperlink>
      <w:r w:rsidRPr="005F20F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A978" w14:textId="2D982246" w:rsidR="009C7771" w:rsidRPr="00E24128" w:rsidRDefault="009C7771" w:rsidP="00E24128">
    <w:pPr>
      <w:pStyle w:val="Header"/>
      <w:jc w:val="center"/>
      <w:rPr>
        <w:b/>
        <w:szCs w:val="18"/>
      </w:rPr>
    </w:pPr>
    <w:r>
      <w:rPr>
        <w:b/>
        <w:szCs w:val="18"/>
      </w:rPr>
      <w:t>2021-22 Annual Pricing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89674" w14:textId="77777777" w:rsidR="009C7771" w:rsidRPr="00C6107F" w:rsidRDefault="009C7771" w:rsidP="00C61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E5FE" w14:textId="77777777" w:rsidR="009C7771" w:rsidRPr="009A6AE5" w:rsidRDefault="009C7771" w:rsidP="003F2371">
    <w:pPr>
      <w:pStyle w:val="Header"/>
      <w:jc w:val="center"/>
      <w:rPr>
        <w:b/>
        <w:szCs w:val="18"/>
      </w:rPr>
    </w:pPr>
    <w:r>
      <w:rPr>
        <w:b/>
        <w:szCs w:val="18"/>
      </w:rPr>
      <w:t>2021-22 Annual Review of Pricing Arrangements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8C68" w14:textId="4EB88729" w:rsidR="009C7771" w:rsidRPr="00F950E9" w:rsidRDefault="009C7771" w:rsidP="00F95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380"/>
    <w:multiLevelType w:val="hybridMultilevel"/>
    <w:tmpl w:val="2C90F368"/>
    <w:lvl w:ilvl="0" w:tplc="50AADA88">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272FE7"/>
    <w:multiLevelType w:val="hybridMultilevel"/>
    <w:tmpl w:val="A5D2F988"/>
    <w:lvl w:ilvl="0" w:tplc="A590FD8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401582"/>
    <w:multiLevelType w:val="hybridMultilevel"/>
    <w:tmpl w:val="C748B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607C7"/>
    <w:multiLevelType w:val="hybridMultilevel"/>
    <w:tmpl w:val="03EE0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E5813"/>
    <w:multiLevelType w:val="hybridMultilevel"/>
    <w:tmpl w:val="B96C0F4A"/>
    <w:lvl w:ilvl="0" w:tplc="2CBEEB2C">
      <w:start w:val="1"/>
      <w:numFmt w:val="bullet"/>
      <w:lvlText w:val=""/>
      <w:lvlJc w:val="left"/>
      <w:pPr>
        <w:ind w:left="567" w:hanging="283"/>
      </w:pPr>
      <w:rPr>
        <w:rFonts w:ascii="Symbol" w:hAnsi="Symbol" w:hint="default"/>
      </w:rPr>
    </w:lvl>
    <w:lvl w:ilvl="1" w:tplc="CCAEE06C">
      <w:start w:val="1"/>
      <w:numFmt w:val="bullet"/>
      <w:lvlText w:val="o"/>
      <w:lvlJc w:val="left"/>
      <w:pPr>
        <w:ind w:left="851" w:hanging="284"/>
      </w:pPr>
      <w:rPr>
        <w:rFonts w:ascii="Courier New" w:hAnsi="Courier New" w:hint="default"/>
      </w:rPr>
    </w:lvl>
    <w:lvl w:ilvl="2" w:tplc="7270BE44">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8C5C95"/>
    <w:multiLevelType w:val="hybridMultilevel"/>
    <w:tmpl w:val="523C4C8A"/>
    <w:lvl w:ilvl="0" w:tplc="F9FE0FB0">
      <w:start w:val="1"/>
      <w:numFmt w:val="bulle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3110D0"/>
    <w:multiLevelType w:val="hybridMultilevel"/>
    <w:tmpl w:val="2DAC8E42"/>
    <w:lvl w:ilvl="0" w:tplc="BB60E552">
      <w:start w:val="1"/>
      <w:numFmt w:val="bullet"/>
      <w:lvlText w:val=""/>
      <w:lvlJc w:val="left"/>
      <w:pPr>
        <w:ind w:left="567" w:hanging="283"/>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2244446E"/>
    <w:multiLevelType w:val="hybridMultilevel"/>
    <w:tmpl w:val="2DCA1E80"/>
    <w:lvl w:ilvl="0" w:tplc="E9A01C76">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41D146C"/>
    <w:multiLevelType w:val="hybridMultilevel"/>
    <w:tmpl w:val="BC4E949E"/>
    <w:lvl w:ilvl="0" w:tplc="0C090001">
      <w:start w:val="1"/>
      <w:numFmt w:val="bullet"/>
      <w:lvlText w:val=""/>
      <w:lvlJc w:val="left"/>
      <w:pPr>
        <w:ind w:left="284" w:hanging="284"/>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24F46F46"/>
    <w:multiLevelType w:val="multilevel"/>
    <w:tmpl w:val="A852D1E6"/>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i w:val="0"/>
      </w:rPr>
    </w:lvl>
    <w:lvl w:ilvl="2">
      <w:start w:val="1"/>
      <w:numFmt w:val="lowerLetter"/>
      <w:lvlText w:val="(%3)"/>
      <w:lvlJc w:val="left"/>
      <w:pPr>
        <w:ind w:left="851" w:hanging="426"/>
      </w:pPr>
      <w:rPr>
        <w:rFonts w:hint="default"/>
      </w:rPr>
    </w:lvl>
    <w:lvl w:ilvl="3">
      <w:start w:val="1"/>
      <w:numFmt w:val="bullet"/>
      <w:lvlText w:val="•"/>
      <w:lvlJc w:val="left"/>
      <w:pPr>
        <w:ind w:left="1276" w:hanging="425"/>
      </w:pPr>
      <w:rPr>
        <w:rFonts w:ascii="Verdana" w:hAnsi="Verdana"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5765D1"/>
    <w:multiLevelType w:val="multilevel"/>
    <w:tmpl w:val="1D1E81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E291239"/>
    <w:multiLevelType w:val="hybridMultilevel"/>
    <w:tmpl w:val="F86C0FE8"/>
    <w:lvl w:ilvl="0" w:tplc="A776DF44">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6371832"/>
    <w:multiLevelType w:val="hybridMultilevel"/>
    <w:tmpl w:val="56A2D9C2"/>
    <w:lvl w:ilvl="0" w:tplc="8076A17C">
      <w:start w:val="1"/>
      <w:numFmt w:val="decimal"/>
      <w:pStyle w:val="QUESTION"/>
      <w:lvlText w:val="%1."/>
      <w:lvlJc w:val="left"/>
      <w:pPr>
        <w:ind w:left="567" w:hanging="283"/>
      </w:pPr>
      <w:rPr>
        <w:rFonts w:hint="default"/>
      </w:rPr>
    </w:lvl>
    <w:lvl w:ilvl="1" w:tplc="8BA0E6D6">
      <w:start w:val="1"/>
      <w:numFmt w:val="bullet"/>
      <w:lvlText w:val="o"/>
      <w:lvlJc w:val="left"/>
      <w:pPr>
        <w:ind w:left="709"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8D3DF9"/>
    <w:multiLevelType w:val="hybridMultilevel"/>
    <w:tmpl w:val="8C483BEE"/>
    <w:lvl w:ilvl="0" w:tplc="ACB4ECFE">
      <w:start w:val="1"/>
      <w:numFmt w:val="bullet"/>
      <w:lvlText w:val="•"/>
      <w:lvlJc w:val="left"/>
      <w:pPr>
        <w:tabs>
          <w:tab w:val="num" w:pos="360"/>
        </w:tabs>
        <w:ind w:left="360" w:hanging="360"/>
      </w:pPr>
      <w:rPr>
        <w:rFonts w:ascii="Arial" w:hAnsi="Arial" w:hint="default"/>
      </w:rPr>
    </w:lvl>
    <w:lvl w:ilvl="1" w:tplc="8E3C313A" w:tentative="1">
      <w:start w:val="1"/>
      <w:numFmt w:val="bullet"/>
      <w:lvlText w:val="•"/>
      <w:lvlJc w:val="left"/>
      <w:pPr>
        <w:tabs>
          <w:tab w:val="num" w:pos="1080"/>
        </w:tabs>
        <w:ind w:left="1080" w:hanging="360"/>
      </w:pPr>
      <w:rPr>
        <w:rFonts w:ascii="Arial" w:hAnsi="Arial" w:hint="default"/>
      </w:rPr>
    </w:lvl>
    <w:lvl w:ilvl="2" w:tplc="C8ECA5DA" w:tentative="1">
      <w:start w:val="1"/>
      <w:numFmt w:val="bullet"/>
      <w:lvlText w:val="•"/>
      <w:lvlJc w:val="left"/>
      <w:pPr>
        <w:tabs>
          <w:tab w:val="num" w:pos="1800"/>
        </w:tabs>
        <w:ind w:left="1800" w:hanging="360"/>
      </w:pPr>
      <w:rPr>
        <w:rFonts w:ascii="Arial" w:hAnsi="Arial" w:hint="default"/>
      </w:rPr>
    </w:lvl>
    <w:lvl w:ilvl="3" w:tplc="143A47CE" w:tentative="1">
      <w:start w:val="1"/>
      <w:numFmt w:val="bullet"/>
      <w:lvlText w:val="•"/>
      <w:lvlJc w:val="left"/>
      <w:pPr>
        <w:tabs>
          <w:tab w:val="num" w:pos="2520"/>
        </w:tabs>
        <w:ind w:left="2520" w:hanging="360"/>
      </w:pPr>
      <w:rPr>
        <w:rFonts w:ascii="Arial" w:hAnsi="Arial" w:hint="default"/>
      </w:rPr>
    </w:lvl>
    <w:lvl w:ilvl="4" w:tplc="2674B33C" w:tentative="1">
      <w:start w:val="1"/>
      <w:numFmt w:val="bullet"/>
      <w:lvlText w:val="•"/>
      <w:lvlJc w:val="left"/>
      <w:pPr>
        <w:tabs>
          <w:tab w:val="num" w:pos="3240"/>
        </w:tabs>
        <w:ind w:left="3240" w:hanging="360"/>
      </w:pPr>
      <w:rPr>
        <w:rFonts w:ascii="Arial" w:hAnsi="Arial" w:hint="default"/>
      </w:rPr>
    </w:lvl>
    <w:lvl w:ilvl="5" w:tplc="A7FE3C2A" w:tentative="1">
      <w:start w:val="1"/>
      <w:numFmt w:val="bullet"/>
      <w:lvlText w:val="•"/>
      <w:lvlJc w:val="left"/>
      <w:pPr>
        <w:tabs>
          <w:tab w:val="num" w:pos="3960"/>
        </w:tabs>
        <w:ind w:left="3960" w:hanging="360"/>
      </w:pPr>
      <w:rPr>
        <w:rFonts w:ascii="Arial" w:hAnsi="Arial" w:hint="default"/>
      </w:rPr>
    </w:lvl>
    <w:lvl w:ilvl="6" w:tplc="6110FCB0" w:tentative="1">
      <w:start w:val="1"/>
      <w:numFmt w:val="bullet"/>
      <w:lvlText w:val="•"/>
      <w:lvlJc w:val="left"/>
      <w:pPr>
        <w:tabs>
          <w:tab w:val="num" w:pos="4680"/>
        </w:tabs>
        <w:ind w:left="4680" w:hanging="360"/>
      </w:pPr>
      <w:rPr>
        <w:rFonts w:ascii="Arial" w:hAnsi="Arial" w:hint="default"/>
      </w:rPr>
    </w:lvl>
    <w:lvl w:ilvl="7" w:tplc="A634B344" w:tentative="1">
      <w:start w:val="1"/>
      <w:numFmt w:val="bullet"/>
      <w:lvlText w:val="•"/>
      <w:lvlJc w:val="left"/>
      <w:pPr>
        <w:tabs>
          <w:tab w:val="num" w:pos="5400"/>
        </w:tabs>
        <w:ind w:left="5400" w:hanging="360"/>
      </w:pPr>
      <w:rPr>
        <w:rFonts w:ascii="Arial" w:hAnsi="Arial" w:hint="default"/>
      </w:rPr>
    </w:lvl>
    <w:lvl w:ilvl="8" w:tplc="D30E77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D6C19AB"/>
    <w:multiLevelType w:val="hybridMultilevel"/>
    <w:tmpl w:val="CEC4D9A8"/>
    <w:lvl w:ilvl="0" w:tplc="3CACE8BC">
      <w:start w:val="1"/>
      <w:numFmt w:val="bullet"/>
      <w:lvlText w:val=""/>
      <w:lvlJc w:val="left"/>
      <w:pPr>
        <w:ind w:left="1418" w:hanging="283"/>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44BF1750"/>
    <w:multiLevelType w:val="hybridMultilevel"/>
    <w:tmpl w:val="45AC4038"/>
    <w:lvl w:ilvl="0" w:tplc="324CD504">
      <w:start w:val="1"/>
      <w:numFmt w:val="bullet"/>
      <w:lvlText w:val=""/>
      <w:lvlJc w:val="left"/>
      <w:pPr>
        <w:ind w:left="284" w:hanging="284"/>
      </w:pPr>
      <w:rPr>
        <w:rFonts w:ascii="Symbol" w:hAnsi="Symbol" w:hint="default"/>
      </w:rPr>
    </w:lvl>
    <w:lvl w:ilvl="1" w:tplc="BF70BFA8">
      <w:start w:val="1"/>
      <w:numFmt w:val="bullet"/>
      <w:lvlText w:val="o"/>
      <w:lvlJc w:val="left"/>
      <w:pPr>
        <w:ind w:left="567" w:hanging="283"/>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3B0830"/>
    <w:multiLevelType w:val="hybridMultilevel"/>
    <w:tmpl w:val="EB3AB3AA"/>
    <w:lvl w:ilvl="0" w:tplc="5620620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F66F9C"/>
    <w:multiLevelType w:val="hybridMultilevel"/>
    <w:tmpl w:val="070CA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766BCD"/>
    <w:multiLevelType w:val="hybridMultilevel"/>
    <w:tmpl w:val="E286A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746F49"/>
    <w:multiLevelType w:val="hybridMultilevel"/>
    <w:tmpl w:val="D45C5B34"/>
    <w:lvl w:ilvl="0" w:tplc="F4F854AE">
      <w:start w:val="1"/>
      <w:numFmt w:val="bullet"/>
      <w:lvlText w:val=""/>
      <w:lvlJc w:val="left"/>
      <w:pPr>
        <w:ind w:left="567" w:hanging="283"/>
      </w:pPr>
      <w:rPr>
        <w:rFonts w:ascii="Symbol" w:hAnsi="Symbol" w:hint="default"/>
      </w:rPr>
    </w:lvl>
    <w:lvl w:ilvl="1" w:tplc="40CAD94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C4782B"/>
    <w:multiLevelType w:val="multilevel"/>
    <w:tmpl w:val="AEFEE7C6"/>
    <w:lvl w:ilvl="0">
      <w:start w:val="1"/>
      <w:numFmt w:val="decimal"/>
      <w:suff w:val="space"/>
      <w:lvlText w:val="5.%1."/>
      <w:lvlJc w:val="left"/>
      <w:pPr>
        <w:ind w:left="360" w:hanging="360"/>
      </w:pPr>
      <w:rPr>
        <w:rFonts w:ascii="Arial" w:hAnsi="Arial" w:hint="default"/>
        <w:b w:val="0"/>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0339E2"/>
    <w:multiLevelType w:val="hybridMultilevel"/>
    <w:tmpl w:val="41828906"/>
    <w:lvl w:ilvl="0" w:tplc="CEAAEDAA">
      <w:start w:val="1"/>
      <w:numFmt w:val="bullet"/>
      <w:lvlText w:val="•"/>
      <w:lvlJc w:val="left"/>
      <w:pPr>
        <w:tabs>
          <w:tab w:val="num" w:pos="360"/>
        </w:tabs>
        <w:ind w:left="360" w:hanging="360"/>
      </w:pPr>
      <w:rPr>
        <w:rFonts w:ascii="Arial" w:hAnsi="Arial" w:hint="default"/>
      </w:rPr>
    </w:lvl>
    <w:lvl w:ilvl="1" w:tplc="38881030" w:tentative="1">
      <w:start w:val="1"/>
      <w:numFmt w:val="bullet"/>
      <w:lvlText w:val="•"/>
      <w:lvlJc w:val="left"/>
      <w:pPr>
        <w:tabs>
          <w:tab w:val="num" w:pos="1080"/>
        </w:tabs>
        <w:ind w:left="1080" w:hanging="360"/>
      </w:pPr>
      <w:rPr>
        <w:rFonts w:ascii="Arial" w:hAnsi="Arial" w:hint="default"/>
      </w:rPr>
    </w:lvl>
    <w:lvl w:ilvl="2" w:tplc="4ACA8ADA" w:tentative="1">
      <w:start w:val="1"/>
      <w:numFmt w:val="bullet"/>
      <w:lvlText w:val="•"/>
      <w:lvlJc w:val="left"/>
      <w:pPr>
        <w:tabs>
          <w:tab w:val="num" w:pos="1800"/>
        </w:tabs>
        <w:ind w:left="1800" w:hanging="360"/>
      </w:pPr>
      <w:rPr>
        <w:rFonts w:ascii="Arial" w:hAnsi="Arial" w:hint="default"/>
      </w:rPr>
    </w:lvl>
    <w:lvl w:ilvl="3" w:tplc="32764470" w:tentative="1">
      <w:start w:val="1"/>
      <w:numFmt w:val="bullet"/>
      <w:lvlText w:val="•"/>
      <w:lvlJc w:val="left"/>
      <w:pPr>
        <w:tabs>
          <w:tab w:val="num" w:pos="2520"/>
        </w:tabs>
        <w:ind w:left="2520" w:hanging="360"/>
      </w:pPr>
      <w:rPr>
        <w:rFonts w:ascii="Arial" w:hAnsi="Arial" w:hint="default"/>
      </w:rPr>
    </w:lvl>
    <w:lvl w:ilvl="4" w:tplc="0EF2BC56" w:tentative="1">
      <w:start w:val="1"/>
      <w:numFmt w:val="bullet"/>
      <w:lvlText w:val="•"/>
      <w:lvlJc w:val="left"/>
      <w:pPr>
        <w:tabs>
          <w:tab w:val="num" w:pos="3240"/>
        </w:tabs>
        <w:ind w:left="3240" w:hanging="360"/>
      </w:pPr>
      <w:rPr>
        <w:rFonts w:ascii="Arial" w:hAnsi="Arial" w:hint="default"/>
      </w:rPr>
    </w:lvl>
    <w:lvl w:ilvl="5" w:tplc="BD90EAD8" w:tentative="1">
      <w:start w:val="1"/>
      <w:numFmt w:val="bullet"/>
      <w:lvlText w:val="•"/>
      <w:lvlJc w:val="left"/>
      <w:pPr>
        <w:tabs>
          <w:tab w:val="num" w:pos="3960"/>
        </w:tabs>
        <w:ind w:left="3960" w:hanging="360"/>
      </w:pPr>
      <w:rPr>
        <w:rFonts w:ascii="Arial" w:hAnsi="Arial" w:hint="default"/>
      </w:rPr>
    </w:lvl>
    <w:lvl w:ilvl="6" w:tplc="EBE0A550" w:tentative="1">
      <w:start w:val="1"/>
      <w:numFmt w:val="bullet"/>
      <w:lvlText w:val="•"/>
      <w:lvlJc w:val="left"/>
      <w:pPr>
        <w:tabs>
          <w:tab w:val="num" w:pos="4680"/>
        </w:tabs>
        <w:ind w:left="4680" w:hanging="360"/>
      </w:pPr>
      <w:rPr>
        <w:rFonts w:ascii="Arial" w:hAnsi="Arial" w:hint="default"/>
      </w:rPr>
    </w:lvl>
    <w:lvl w:ilvl="7" w:tplc="9698EEC4" w:tentative="1">
      <w:start w:val="1"/>
      <w:numFmt w:val="bullet"/>
      <w:lvlText w:val="•"/>
      <w:lvlJc w:val="left"/>
      <w:pPr>
        <w:tabs>
          <w:tab w:val="num" w:pos="5400"/>
        </w:tabs>
        <w:ind w:left="5400" w:hanging="360"/>
      </w:pPr>
      <w:rPr>
        <w:rFonts w:ascii="Arial" w:hAnsi="Arial" w:hint="default"/>
      </w:rPr>
    </w:lvl>
    <w:lvl w:ilvl="8" w:tplc="9A2C327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CEE707F"/>
    <w:multiLevelType w:val="hybridMultilevel"/>
    <w:tmpl w:val="10B68CB2"/>
    <w:lvl w:ilvl="0" w:tplc="3CACE8BC">
      <w:start w:val="1"/>
      <w:numFmt w:val="bullet"/>
      <w:lvlText w:val=""/>
      <w:lvlJc w:val="left"/>
      <w:pPr>
        <w:ind w:left="567" w:hanging="283"/>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3" w15:restartNumberingAfterBreak="0">
    <w:nsid w:val="5EB17384"/>
    <w:multiLevelType w:val="hybridMultilevel"/>
    <w:tmpl w:val="429CECA4"/>
    <w:lvl w:ilvl="0" w:tplc="4DC60F6E">
      <w:start w:val="1"/>
      <w:numFmt w:val="bullet"/>
      <w:lvlText w:val=""/>
      <w:lvlJc w:val="left"/>
      <w:pPr>
        <w:ind w:left="567" w:hanging="283"/>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A65AAB"/>
    <w:multiLevelType w:val="hybridMultilevel"/>
    <w:tmpl w:val="1F044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D46088"/>
    <w:multiLevelType w:val="hybridMultilevel"/>
    <w:tmpl w:val="1F50B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7136DA"/>
    <w:multiLevelType w:val="hybridMultilevel"/>
    <w:tmpl w:val="3DCAC8BE"/>
    <w:lvl w:ilvl="0" w:tplc="C87A8EA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174D65"/>
    <w:multiLevelType w:val="hybridMultilevel"/>
    <w:tmpl w:val="421465C0"/>
    <w:lvl w:ilvl="0" w:tplc="F4F854AE">
      <w:start w:val="1"/>
      <w:numFmt w:val="bullet"/>
      <w:lvlText w:val=""/>
      <w:lvlJc w:val="left"/>
      <w:pPr>
        <w:ind w:left="567" w:hanging="283"/>
      </w:pPr>
      <w:rPr>
        <w:rFonts w:ascii="Symbol" w:hAnsi="Symbol" w:hint="default"/>
      </w:rPr>
    </w:lvl>
    <w:lvl w:ilvl="1" w:tplc="5F940698">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D04EE2"/>
    <w:multiLevelType w:val="hybridMultilevel"/>
    <w:tmpl w:val="D974F3A6"/>
    <w:lvl w:ilvl="0" w:tplc="F4F854AE">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174224"/>
    <w:multiLevelType w:val="hybridMultilevel"/>
    <w:tmpl w:val="3B92A6E4"/>
    <w:lvl w:ilvl="0" w:tplc="3CACE8BC">
      <w:start w:val="1"/>
      <w:numFmt w:val="bullet"/>
      <w:lvlText w:val=""/>
      <w:lvlJc w:val="left"/>
      <w:pPr>
        <w:ind w:left="567" w:hanging="283"/>
      </w:pPr>
      <w:rPr>
        <w:rFonts w:ascii="Symbol" w:hAnsi="Symbol" w:hint="default"/>
      </w:rPr>
    </w:lvl>
    <w:lvl w:ilvl="1" w:tplc="8BA0E6D6">
      <w:start w:val="1"/>
      <w:numFmt w:val="bullet"/>
      <w:lvlText w:val="o"/>
      <w:lvlJc w:val="left"/>
      <w:pPr>
        <w:ind w:left="709"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9776F7"/>
    <w:multiLevelType w:val="hybridMultilevel"/>
    <w:tmpl w:val="4D2AB056"/>
    <w:lvl w:ilvl="0" w:tplc="7AB4CA60">
      <w:start w:val="1"/>
      <w:numFmt w:val="bullet"/>
      <w:lvlText w:val=""/>
      <w:lvlJc w:val="left"/>
      <w:pPr>
        <w:ind w:left="851" w:hanging="284"/>
      </w:pPr>
      <w:rPr>
        <w:rFonts w:ascii="Symbol" w:hAnsi="Symbol" w:hint="default"/>
      </w:rPr>
    </w:lvl>
    <w:lvl w:ilvl="1" w:tplc="5A782BF8">
      <w:start w:val="1"/>
      <w:numFmt w:val="bullet"/>
      <w:lvlText w:val="o"/>
      <w:lvlJc w:val="left"/>
      <w:pPr>
        <w:ind w:left="1418"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884080"/>
    <w:multiLevelType w:val="hybridMultilevel"/>
    <w:tmpl w:val="6D7A6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850F07"/>
    <w:multiLevelType w:val="hybridMultilevel"/>
    <w:tmpl w:val="6A6E985A"/>
    <w:lvl w:ilvl="0" w:tplc="7D3A7704">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5"/>
  </w:num>
  <w:num w:numId="4">
    <w:abstractNumId w:val="1"/>
  </w:num>
  <w:num w:numId="5">
    <w:abstractNumId w:val="4"/>
  </w:num>
  <w:num w:numId="6">
    <w:abstractNumId w:val="30"/>
  </w:num>
  <w:num w:numId="7">
    <w:abstractNumId w:val="24"/>
  </w:num>
  <w:num w:numId="8">
    <w:abstractNumId w:val="20"/>
  </w:num>
  <w:num w:numId="9">
    <w:abstractNumId w:val="23"/>
  </w:num>
  <w:num w:numId="10">
    <w:abstractNumId w:val="10"/>
  </w:num>
  <w:num w:numId="11">
    <w:abstractNumId w:val="12"/>
  </w:num>
  <w:num w:numId="12">
    <w:abstractNumId w:val="19"/>
  </w:num>
  <w:num w:numId="13">
    <w:abstractNumId w:val="27"/>
  </w:num>
  <w:num w:numId="14">
    <w:abstractNumId w:val="8"/>
  </w:num>
  <w:num w:numId="15">
    <w:abstractNumId w:val="18"/>
  </w:num>
  <w:num w:numId="16">
    <w:abstractNumId w:val="17"/>
  </w:num>
  <w:num w:numId="17">
    <w:abstractNumId w:val="2"/>
  </w:num>
  <w:num w:numId="18">
    <w:abstractNumId w:val="25"/>
  </w:num>
  <w:num w:numId="19">
    <w:abstractNumId w:val="22"/>
  </w:num>
  <w:num w:numId="20">
    <w:abstractNumId w:val="32"/>
  </w:num>
  <w:num w:numId="21">
    <w:abstractNumId w:val="31"/>
  </w:num>
  <w:num w:numId="22">
    <w:abstractNumId w:val="6"/>
  </w:num>
  <w:num w:numId="23">
    <w:abstractNumId w:val="12"/>
    <w:lvlOverride w:ilvl="0">
      <w:startOverride w:val="1"/>
    </w:lvlOverride>
  </w:num>
  <w:num w:numId="24">
    <w:abstractNumId w:val="12"/>
  </w:num>
  <w:num w:numId="25">
    <w:abstractNumId w:val="12"/>
  </w:num>
  <w:num w:numId="26">
    <w:abstractNumId w:val="14"/>
  </w:num>
  <w:num w:numId="27">
    <w:abstractNumId w:val="29"/>
  </w:num>
  <w:num w:numId="28">
    <w:abstractNumId w:val="12"/>
  </w:num>
  <w:num w:numId="29">
    <w:abstractNumId w:val="12"/>
    <w:lvlOverride w:ilvl="0">
      <w:startOverride w:val="1"/>
    </w:lvlOverride>
  </w:num>
  <w:num w:numId="30">
    <w:abstractNumId w:val="12"/>
  </w:num>
  <w:num w:numId="31">
    <w:abstractNumId w:val="12"/>
  </w:num>
  <w:num w:numId="32">
    <w:abstractNumId w:val="5"/>
  </w:num>
  <w:num w:numId="33">
    <w:abstractNumId w:val="10"/>
  </w:num>
  <w:num w:numId="34">
    <w:abstractNumId w:val="12"/>
  </w:num>
  <w:num w:numId="35">
    <w:abstractNumId w:val="12"/>
    <w:lvlOverride w:ilvl="0">
      <w:startOverride w:val="1"/>
    </w:lvlOverride>
  </w:num>
  <w:num w:numId="36">
    <w:abstractNumId w:val="12"/>
  </w:num>
  <w:num w:numId="37">
    <w:abstractNumId w:val="3"/>
  </w:num>
  <w:num w:numId="38">
    <w:abstractNumId w:val="26"/>
  </w:num>
  <w:num w:numId="39">
    <w:abstractNumId w:val="0"/>
  </w:num>
  <w:num w:numId="40">
    <w:abstractNumId w:val="10"/>
  </w:num>
  <w:num w:numId="41">
    <w:abstractNumId w:val="10"/>
  </w:num>
  <w:num w:numId="42">
    <w:abstractNumId w:val="11"/>
  </w:num>
  <w:num w:numId="43">
    <w:abstractNumId w:val="7"/>
  </w:num>
  <w:num w:numId="44">
    <w:abstractNumId w:val="28"/>
  </w:num>
  <w:num w:numId="45">
    <w:abstractNumId w:val="16"/>
  </w:num>
  <w:num w:numId="4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B4"/>
    <w:rsid w:val="000004E0"/>
    <w:rsid w:val="000005AE"/>
    <w:rsid w:val="00000922"/>
    <w:rsid w:val="00000A09"/>
    <w:rsid w:val="00000AE8"/>
    <w:rsid w:val="00000C18"/>
    <w:rsid w:val="00000F31"/>
    <w:rsid w:val="00000F38"/>
    <w:rsid w:val="000011F9"/>
    <w:rsid w:val="000018E3"/>
    <w:rsid w:val="00001EC7"/>
    <w:rsid w:val="00001FC9"/>
    <w:rsid w:val="00002850"/>
    <w:rsid w:val="00002C5E"/>
    <w:rsid w:val="00002D3F"/>
    <w:rsid w:val="000037B7"/>
    <w:rsid w:val="00003B89"/>
    <w:rsid w:val="000041BF"/>
    <w:rsid w:val="00004224"/>
    <w:rsid w:val="0000441E"/>
    <w:rsid w:val="0000459F"/>
    <w:rsid w:val="000047E3"/>
    <w:rsid w:val="000049FE"/>
    <w:rsid w:val="00004C20"/>
    <w:rsid w:val="00005F93"/>
    <w:rsid w:val="000060B0"/>
    <w:rsid w:val="00006432"/>
    <w:rsid w:val="000067E7"/>
    <w:rsid w:val="000070B7"/>
    <w:rsid w:val="000073BB"/>
    <w:rsid w:val="000073F9"/>
    <w:rsid w:val="00007DB7"/>
    <w:rsid w:val="00007E6E"/>
    <w:rsid w:val="000100BE"/>
    <w:rsid w:val="000106CC"/>
    <w:rsid w:val="00010788"/>
    <w:rsid w:val="00010903"/>
    <w:rsid w:val="00010EF4"/>
    <w:rsid w:val="00010FC8"/>
    <w:rsid w:val="00011421"/>
    <w:rsid w:val="000122FC"/>
    <w:rsid w:val="00012FFE"/>
    <w:rsid w:val="00013584"/>
    <w:rsid w:val="00013696"/>
    <w:rsid w:val="000139D7"/>
    <w:rsid w:val="00013CBD"/>
    <w:rsid w:val="0001401C"/>
    <w:rsid w:val="00014A49"/>
    <w:rsid w:val="00014C56"/>
    <w:rsid w:val="000150A9"/>
    <w:rsid w:val="000152A2"/>
    <w:rsid w:val="00015720"/>
    <w:rsid w:val="00015AA7"/>
    <w:rsid w:val="00015B07"/>
    <w:rsid w:val="000162A0"/>
    <w:rsid w:val="00016DA4"/>
    <w:rsid w:val="0001726B"/>
    <w:rsid w:val="00017748"/>
    <w:rsid w:val="00017A59"/>
    <w:rsid w:val="00017E47"/>
    <w:rsid w:val="00020330"/>
    <w:rsid w:val="000215BB"/>
    <w:rsid w:val="00021C76"/>
    <w:rsid w:val="00021CA6"/>
    <w:rsid w:val="0002203D"/>
    <w:rsid w:val="0002218F"/>
    <w:rsid w:val="000225F8"/>
    <w:rsid w:val="0002260B"/>
    <w:rsid w:val="00022652"/>
    <w:rsid w:val="00022973"/>
    <w:rsid w:val="0002367B"/>
    <w:rsid w:val="00023E3C"/>
    <w:rsid w:val="00023FB7"/>
    <w:rsid w:val="00024476"/>
    <w:rsid w:val="000245D7"/>
    <w:rsid w:val="000247DC"/>
    <w:rsid w:val="000247F6"/>
    <w:rsid w:val="0002490D"/>
    <w:rsid w:val="00025236"/>
    <w:rsid w:val="000257C3"/>
    <w:rsid w:val="00025A83"/>
    <w:rsid w:val="00026303"/>
    <w:rsid w:val="00026726"/>
    <w:rsid w:val="00026746"/>
    <w:rsid w:val="00026877"/>
    <w:rsid w:val="000268F4"/>
    <w:rsid w:val="00026FCD"/>
    <w:rsid w:val="00027C06"/>
    <w:rsid w:val="00030083"/>
    <w:rsid w:val="00030BF6"/>
    <w:rsid w:val="00031259"/>
    <w:rsid w:val="00031732"/>
    <w:rsid w:val="0003183A"/>
    <w:rsid w:val="00031BA7"/>
    <w:rsid w:val="00031D66"/>
    <w:rsid w:val="00031DEC"/>
    <w:rsid w:val="0003246D"/>
    <w:rsid w:val="00032770"/>
    <w:rsid w:val="000330D5"/>
    <w:rsid w:val="00033B23"/>
    <w:rsid w:val="00033E85"/>
    <w:rsid w:val="00033ED2"/>
    <w:rsid w:val="00034332"/>
    <w:rsid w:val="0003449B"/>
    <w:rsid w:val="00034538"/>
    <w:rsid w:val="000353ED"/>
    <w:rsid w:val="0003579A"/>
    <w:rsid w:val="00035857"/>
    <w:rsid w:val="00035DAD"/>
    <w:rsid w:val="00035E5A"/>
    <w:rsid w:val="000360A4"/>
    <w:rsid w:val="00036459"/>
    <w:rsid w:val="00036E12"/>
    <w:rsid w:val="00036ED3"/>
    <w:rsid w:val="00037381"/>
    <w:rsid w:val="00037751"/>
    <w:rsid w:val="00037A0A"/>
    <w:rsid w:val="00037DBC"/>
    <w:rsid w:val="00040769"/>
    <w:rsid w:val="000412C9"/>
    <w:rsid w:val="00041E1B"/>
    <w:rsid w:val="0004205D"/>
    <w:rsid w:val="0004215E"/>
    <w:rsid w:val="00042589"/>
    <w:rsid w:val="0004273D"/>
    <w:rsid w:val="00042938"/>
    <w:rsid w:val="00042BA5"/>
    <w:rsid w:val="00043541"/>
    <w:rsid w:val="0004391D"/>
    <w:rsid w:val="00043BE5"/>
    <w:rsid w:val="000441B6"/>
    <w:rsid w:val="00044393"/>
    <w:rsid w:val="000445E8"/>
    <w:rsid w:val="000446E8"/>
    <w:rsid w:val="0004472A"/>
    <w:rsid w:val="0004474C"/>
    <w:rsid w:val="00044755"/>
    <w:rsid w:val="0004496D"/>
    <w:rsid w:val="00044ABE"/>
    <w:rsid w:val="00044FBB"/>
    <w:rsid w:val="00045679"/>
    <w:rsid w:val="00045AEF"/>
    <w:rsid w:val="00046093"/>
    <w:rsid w:val="0004609C"/>
    <w:rsid w:val="000461A4"/>
    <w:rsid w:val="000463E6"/>
    <w:rsid w:val="00046668"/>
    <w:rsid w:val="0004666B"/>
    <w:rsid w:val="00046FEE"/>
    <w:rsid w:val="000470C4"/>
    <w:rsid w:val="0004732F"/>
    <w:rsid w:val="0004774D"/>
    <w:rsid w:val="00047829"/>
    <w:rsid w:val="00047D31"/>
    <w:rsid w:val="00051071"/>
    <w:rsid w:val="0005139C"/>
    <w:rsid w:val="00051F77"/>
    <w:rsid w:val="000521EA"/>
    <w:rsid w:val="000523BD"/>
    <w:rsid w:val="000525A9"/>
    <w:rsid w:val="00052602"/>
    <w:rsid w:val="00052B72"/>
    <w:rsid w:val="00052E4C"/>
    <w:rsid w:val="00053175"/>
    <w:rsid w:val="000531A8"/>
    <w:rsid w:val="000534FF"/>
    <w:rsid w:val="000537D3"/>
    <w:rsid w:val="00053A36"/>
    <w:rsid w:val="00053B71"/>
    <w:rsid w:val="00053C67"/>
    <w:rsid w:val="000544BA"/>
    <w:rsid w:val="0005478D"/>
    <w:rsid w:val="00054968"/>
    <w:rsid w:val="00054F08"/>
    <w:rsid w:val="0005529D"/>
    <w:rsid w:val="000554B9"/>
    <w:rsid w:val="00055607"/>
    <w:rsid w:val="00055780"/>
    <w:rsid w:val="00055825"/>
    <w:rsid w:val="000558B2"/>
    <w:rsid w:val="00055BB0"/>
    <w:rsid w:val="00055F80"/>
    <w:rsid w:val="0005635D"/>
    <w:rsid w:val="0005642E"/>
    <w:rsid w:val="00056D0B"/>
    <w:rsid w:val="000571A2"/>
    <w:rsid w:val="00057340"/>
    <w:rsid w:val="0006016C"/>
    <w:rsid w:val="000604C2"/>
    <w:rsid w:val="00060674"/>
    <w:rsid w:val="000606F8"/>
    <w:rsid w:val="000607B5"/>
    <w:rsid w:val="00060C5E"/>
    <w:rsid w:val="00060F62"/>
    <w:rsid w:val="00061026"/>
    <w:rsid w:val="00061EFB"/>
    <w:rsid w:val="0006248D"/>
    <w:rsid w:val="00062583"/>
    <w:rsid w:val="00062CE0"/>
    <w:rsid w:val="0006321F"/>
    <w:rsid w:val="0006369B"/>
    <w:rsid w:val="00063883"/>
    <w:rsid w:val="000638BC"/>
    <w:rsid w:val="00063F2F"/>
    <w:rsid w:val="00064411"/>
    <w:rsid w:val="00064FD8"/>
    <w:rsid w:val="00065122"/>
    <w:rsid w:val="000659CA"/>
    <w:rsid w:val="00065D84"/>
    <w:rsid w:val="00065E3E"/>
    <w:rsid w:val="000661D6"/>
    <w:rsid w:val="00066390"/>
    <w:rsid w:val="00066401"/>
    <w:rsid w:val="00067209"/>
    <w:rsid w:val="00067462"/>
    <w:rsid w:val="00067A37"/>
    <w:rsid w:val="00067C05"/>
    <w:rsid w:val="00070533"/>
    <w:rsid w:val="0007074E"/>
    <w:rsid w:val="000709FB"/>
    <w:rsid w:val="00071197"/>
    <w:rsid w:val="00071BFB"/>
    <w:rsid w:val="00071CB8"/>
    <w:rsid w:val="000720C6"/>
    <w:rsid w:val="000723F6"/>
    <w:rsid w:val="0007255C"/>
    <w:rsid w:val="00072CC3"/>
    <w:rsid w:val="00072F05"/>
    <w:rsid w:val="00073244"/>
    <w:rsid w:val="00073291"/>
    <w:rsid w:val="00073C24"/>
    <w:rsid w:val="00073C26"/>
    <w:rsid w:val="00073EF8"/>
    <w:rsid w:val="0007401F"/>
    <w:rsid w:val="00074084"/>
    <w:rsid w:val="00074B72"/>
    <w:rsid w:val="00074BE4"/>
    <w:rsid w:val="00074E20"/>
    <w:rsid w:val="0007531C"/>
    <w:rsid w:val="0007533D"/>
    <w:rsid w:val="0007564D"/>
    <w:rsid w:val="00075717"/>
    <w:rsid w:val="00075966"/>
    <w:rsid w:val="00075973"/>
    <w:rsid w:val="000760A8"/>
    <w:rsid w:val="000761A4"/>
    <w:rsid w:val="00076E46"/>
    <w:rsid w:val="000770CA"/>
    <w:rsid w:val="00077499"/>
    <w:rsid w:val="0007765B"/>
    <w:rsid w:val="000777D0"/>
    <w:rsid w:val="00080164"/>
    <w:rsid w:val="000802E2"/>
    <w:rsid w:val="00080729"/>
    <w:rsid w:val="00080D46"/>
    <w:rsid w:val="00080DDC"/>
    <w:rsid w:val="00081168"/>
    <w:rsid w:val="00081203"/>
    <w:rsid w:val="00081253"/>
    <w:rsid w:val="000814FD"/>
    <w:rsid w:val="0008156F"/>
    <w:rsid w:val="00081708"/>
    <w:rsid w:val="00081ACC"/>
    <w:rsid w:val="00081F0A"/>
    <w:rsid w:val="00082020"/>
    <w:rsid w:val="00082393"/>
    <w:rsid w:val="0008244A"/>
    <w:rsid w:val="00082E0A"/>
    <w:rsid w:val="00082ECB"/>
    <w:rsid w:val="000830CE"/>
    <w:rsid w:val="00083296"/>
    <w:rsid w:val="00083367"/>
    <w:rsid w:val="00083462"/>
    <w:rsid w:val="0008403A"/>
    <w:rsid w:val="000844D9"/>
    <w:rsid w:val="00084523"/>
    <w:rsid w:val="000848AC"/>
    <w:rsid w:val="00084AF3"/>
    <w:rsid w:val="00084F7D"/>
    <w:rsid w:val="00085B3D"/>
    <w:rsid w:val="0008603F"/>
    <w:rsid w:val="0008697B"/>
    <w:rsid w:val="00087242"/>
    <w:rsid w:val="0008761E"/>
    <w:rsid w:val="00087672"/>
    <w:rsid w:val="000876D2"/>
    <w:rsid w:val="00090013"/>
    <w:rsid w:val="00091637"/>
    <w:rsid w:val="00091835"/>
    <w:rsid w:val="000919DE"/>
    <w:rsid w:val="00091BB2"/>
    <w:rsid w:val="00092272"/>
    <w:rsid w:val="000928B7"/>
    <w:rsid w:val="0009290C"/>
    <w:rsid w:val="000929C4"/>
    <w:rsid w:val="00092D96"/>
    <w:rsid w:val="00093165"/>
    <w:rsid w:val="00093596"/>
    <w:rsid w:val="00093620"/>
    <w:rsid w:val="0009459C"/>
    <w:rsid w:val="00094887"/>
    <w:rsid w:val="00094945"/>
    <w:rsid w:val="0009514B"/>
    <w:rsid w:val="00095336"/>
    <w:rsid w:val="0009572B"/>
    <w:rsid w:val="000958B5"/>
    <w:rsid w:val="00095A2C"/>
    <w:rsid w:val="0009621C"/>
    <w:rsid w:val="0009632F"/>
    <w:rsid w:val="00096513"/>
    <w:rsid w:val="00096610"/>
    <w:rsid w:val="000969FD"/>
    <w:rsid w:val="00096AE0"/>
    <w:rsid w:val="00096D96"/>
    <w:rsid w:val="0009715F"/>
    <w:rsid w:val="00097B45"/>
    <w:rsid w:val="00097F49"/>
    <w:rsid w:val="00097F9D"/>
    <w:rsid w:val="000A00F0"/>
    <w:rsid w:val="000A0468"/>
    <w:rsid w:val="000A0656"/>
    <w:rsid w:val="000A0662"/>
    <w:rsid w:val="000A09DA"/>
    <w:rsid w:val="000A0C95"/>
    <w:rsid w:val="000A142E"/>
    <w:rsid w:val="000A162F"/>
    <w:rsid w:val="000A1A49"/>
    <w:rsid w:val="000A1AE2"/>
    <w:rsid w:val="000A1CDA"/>
    <w:rsid w:val="000A2131"/>
    <w:rsid w:val="000A22D1"/>
    <w:rsid w:val="000A2375"/>
    <w:rsid w:val="000A2715"/>
    <w:rsid w:val="000A2958"/>
    <w:rsid w:val="000A3511"/>
    <w:rsid w:val="000A371E"/>
    <w:rsid w:val="000A3D96"/>
    <w:rsid w:val="000A3E30"/>
    <w:rsid w:val="000A3E64"/>
    <w:rsid w:val="000A4064"/>
    <w:rsid w:val="000A4102"/>
    <w:rsid w:val="000A434F"/>
    <w:rsid w:val="000A4813"/>
    <w:rsid w:val="000A4BDC"/>
    <w:rsid w:val="000A508B"/>
    <w:rsid w:val="000A529A"/>
    <w:rsid w:val="000A530F"/>
    <w:rsid w:val="000A5394"/>
    <w:rsid w:val="000A5738"/>
    <w:rsid w:val="000A58DE"/>
    <w:rsid w:val="000A5B84"/>
    <w:rsid w:val="000A5E30"/>
    <w:rsid w:val="000A5E4C"/>
    <w:rsid w:val="000A616D"/>
    <w:rsid w:val="000A6192"/>
    <w:rsid w:val="000A640C"/>
    <w:rsid w:val="000A6782"/>
    <w:rsid w:val="000A7224"/>
    <w:rsid w:val="000A763C"/>
    <w:rsid w:val="000A77F7"/>
    <w:rsid w:val="000A7A55"/>
    <w:rsid w:val="000B0495"/>
    <w:rsid w:val="000B0700"/>
    <w:rsid w:val="000B11FF"/>
    <w:rsid w:val="000B150F"/>
    <w:rsid w:val="000B1764"/>
    <w:rsid w:val="000B1D35"/>
    <w:rsid w:val="000B2253"/>
    <w:rsid w:val="000B25B5"/>
    <w:rsid w:val="000B3214"/>
    <w:rsid w:val="000B32EF"/>
    <w:rsid w:val="000B34FB"/>
    <w:rsid w:val="000B3521"/>
    <w:rsid w:val="000B353D"/>
    <w:rsid w:val="000B3588"/>
    <w:rsid w:val="000B3AC4"/>
    <w:rsid w:val="000B3F4B"/>
    <w:rsid w:val="000B4163"/>
    <w:rsid w:val="000B4199"/>
    <w:rsid w:val="000B458F"/>
    <w:rsid w:val="000B45DE"/>
    <w:rsid w:val="000B4834"/>
    <w:rsid w:val="000B4E35"/>
    <w:rsid w:val="000B520D"/>
    <w:rsid w:val="000B585B"/>
    <w:rsid w:val="000B5AD9"/>
    <w:rsid w:val="000B5D79"/>
    <w:rsid w:val="000B614F"/>
    <w:rsid w:val="000B640B"/>
    <w:rsid w:val="000B671B"/>
    <w:rsid w:val="000B67BB"/>
    <w:rsid w:val="000B694F"/>
    <w:rsid w:val="000B6A59"/>
    <w:rsid w:val="000B6C59"/>
    <w:rsid w:val="000B6E31"/>
    <w:rsid w:val="000B6FA1"/>
    <w:rsid w:val="000B70B3"/>
    <w:rsid w:val="000B7502"/>
    <w:rsid w:val="000B755F"/>
    <w:rsid w:val="000B7BB3"/>
    <w:rsid w:val="000B7C1A"/>
    <w:rsid w:val="000B7CA4"/>
    <w:rsid w:val="000C004B"/>
    <w:rsid w:val="000C0171"/>
    <w:rsid w:val="000C018D"/>
    <w:rsid w:val="000C0597"/>
    <w:rsid w:val="000C06A2"/>
    <w:rsid w:val="000C0785"/>
    <w:rsid w:val="000C0890"/>
    <w:rsid w:val="000C14B5"/>
    <w:rsid w:val="000C159E"/>
    <w:rsid w:val="000C1706"/>
    <w:rsid w:val="000C1A21"/>
    <w:rsid w:val="000C2246"/>
    <w:rsid w:val="000C304B"/>
    <w:rsid w:val="000C3C44"/>
    <w:rsid w:val="000C3DB8"/>
    <w:rsid w:val="000C47D7"/>
    <w:rsid w:val="000C4AAD"/>
    <w:rsid w:val="000C4CC5"/>
    <w:rsid w:val="000C4E9C"/>
    <w:rsid w:val="000C52F1"/>
    <w:rsid w:val="000C5319"/>
    <w:rsid w:val="000C54BC"/>
    <w:rsid w:val="000C72CA"/>
    <w:rsid w:val="000C72CB"/>
    <w:rsid w:val="000C72DF"/>
    <w:rsid w:val="000C77A6"/>
    <w:rsid w:val="000C7A18"/>
    <w:rsid w:val="000C7D0E"/>
    <w:rsid w:val="000C7DB5"/>
    <w:rsid w:val="000C7DD7"/>
    <w:rsid w:val="000D04F9"/>
    <w:rsid w:val="000D17B6"/>
    <w:rsid w:val="000D1C4C"/>
    <w:rsid w:val="000D1DC9"/>
    <w:rsid w:val="000D2005"/>
    <w:rsid w:val="000D236C"/>
    <w:rsid w:val="000D2614"/>
    <w:rsid w:val="000D26E8"/>
    <w:rsid w:val="000D2872"/>
    <w:rsid w:val="000D2A53"/>
    <w:rsid w:val="000D3280"/>
    <w:rsid w:val="000D3938"/>
    <w:rsid w:val="000D3C91"/>
    <w:rsid w:val="000D406A"/>
    <w:rsid w:val="000D4200"/>
    <w:rsid w:val="000D4D0E"/>
    <w:rsid w:val="000D4DE5"/>
    <w:rsid w:val="000D5321"/>
    <w:rsid w:val="000D53B6"/>
    <w:rsid w:val="000D56C4"/>
    <w:rsid w:val="000D5CE9"/>
    <w:rsid w:val="000D5F29"/>
    <w:rsid w:val="000D631C"/>
    <w:rsid w:val="000D664A"/>
    <w:rsid w:val="000D68C8"/>
    <w:rsid w:val="000D7927"/>
    <w:rsid w:val="000D798F"/>
    <w:rsid w:val="000D79D9"/>
    <w:rsid w:val="000D7BD7"/>
    <w:rsid w:val="000E04BB"/>
    <w:rsid w:val="000E07D3"/>
    <w:rsid w:val="000E11A3"/>
    <w:rsid w:val="000E153B"/>
    <w:rsid w:val="000E1586"/>
    <w:rsid w:val="000E18D6"/>
    <w:rsid w:val="000E1B6B"/>
    <w:rsid w:val="000E1F09"/>
    <w:rsid w:val="000E248F"/>
    <w:rsid w:val="000E261F"/>
    <w:rsid w:val="000E2772"/>
    <w:rsid w:val="000E27A7"/>
    <w:rsid w:val="000E29DA"/>
    <w:rsid w:val="000E3A57"/>
    <w:rsid w:val="000E3A67"/>
    <w:rsid w:val="000E3CBD"/>
    <w:rsid w:val="000E3F57"/>
    <w:rsid w:val="000E438F"/>
    <w:rsid w:val="000E4555"/>
    <w:rsid w:val="000E4604"/>
    <w:rsid w:val="000E482A"/>
    <w:rsid w:val="000E488A"/>
    <w:rsid w:val="000E4C90"/>
    <w:rsid w:val="000E5984"/>
    <w:rsid w:val="000E5AB4"/>
    <w:rsid w:val="000E5D42"/>
    <w:rsid w:val="000E6085"/>
    <w:rsid w:val="000E63F3"/>
    <w:rsid w:val="000E65DC"/>
    <w:rsid w:val="000E65FD"/>
    <w:rsid w:val="000E67E6"/>
    <w:rsid w:val="000E7188"/>
    <w:rsid w:val="000E7440"/>
    <w:rsid w:val="000E74A3"/>
    <w:rsid w:val="000E7576"/>
    <w:rsid w:val="000E769B"/>
    <w:rsid w:val="000E7F2C"/>
    <w:rsid w:val="000F0435"/>
    <w:rsid w:val="000F0796"/>
    <w:rsid w:val="000F0896"/>
    <w:rsid w:val="000F0A73"/>
    <w:rsid w:val="000F0A91"/>
    <w:rsid w:val="000F0AB7"/>
    <w:rsid w:val="000F0F22"/>
    <w:rsid w:val="000F1063"/>
    <w:rsid w:val="000F1170"/>
    <w:rsid w:val="000F11CA"/>
    <w:rsid w:val="000F1905"/>
    <w:rsid w:val="000F1B3B"/>
    <w:rsid w:val="000F1C69"/>
    <w:rsid w:val="000F1CB4"/>
    <w:rsid w:val="000F1EFF"/>
    <w:rsid w:val="000F2110"/>
    <w:rsid w:val="000F2A6B"/>
    <w:rsid w:val="000F2B59"/>
    <w:rsid w:val="000F2EF6"/>
    <w:rsid w:val="000F2FC3"/>
    <w:rsid w:val="000F325E"/>
    <w:rsid w:val="000F348C"/>
    <w:rsid w:val="000F3719"/>
    <w:rsid w:val="000F3A63"/>
    <w:rsid w:val="000F3AAF"/>
    <w:rsid w:val="000F3BD3"/>
    <w:rsid w:val="000F3E17"/>
    <w:rsid w:val="000F4148"/>
    <w:rsid w:val="000F4190"/>
    <w:rsid w:val="000F42C2"/>
    <w:rsid w:val="000F477A"/>
    <w:rsid w:val="000F49CE"/>
    <w:rsid w:val="000F4F21"/>
    <w:rsid w:val="000F5642"/>
    <w:rsid w:val="000F6E13"/>
    <w:rsid w:val="000F6F1F"/>
    <w:rsid w:val="000F6F35"/>
    <w:rsid w:val="000F7080"/>
    <w:rsid w:val="000F720A"/>
    <w:rsid w:val="000F7496"/>
    <w:rsid w:val="000F7696"/>
    <w:rsid w:val="000F7E69"/>
    <w:rsid w:val="000F7F3C"/>
    <w:rsid w:val="00100028"/>
    <w:rsid w:val="001008A4"/>
    <w:rsid w:val="0010117D"/>
    <w:rsid w:val="00101296"/>
    <w:rsid w:val="00101938"/>
    <w:rsid w:val="00101BD9"/>
    <w:rsid w:val="00101BEC"/>
    <w:rsid w:val="00101D33"/>
    <w:rsid w:val="0010225B"/>
    <w:rsid w:val="00102ECA"/>
    <w:rsid w:val="001036DB"/>
    <w:rsid w:val="00103DAF"/>
    <w:rsid w:val="001040C4"/>
    <w:rsid w:val="001044B0"/>
    <w:rsid w:val="00104859"/>
    <w:rsid w:val="001048A8"/>
    <w:rsid w:val="00104BEE"/>
    <w:rsid w:val="0010565A"/>
    <w:rsid w:val="00105AB0"/>
    <w:rsid w:val="001060A3"/>
    <w:rsid w:val="001061FA"/>
    <w:rsid w:val="001064BA"/>
    <w:rsid w:val="001065E9"/>
    <w:rsid w:val="00106D18"/>
    <w:rsid w:val="00107DB9"/>
    <w:rsid w:val="00107E02"/>
    <w:rsid w:val="00110335"/>
    <w:rsid w:val="00110421"/>
    <w:rsid w:val="00110477"/>
    <w:rsid w:val="00110661"/>
    <w:rsid w:val="00110E69"/>
    <w:rsid w:val="001116A0"/>
    <w:rsid w:val="00111CD1"/>
    <w:rsid w:val="00112007"/>
    <w:rsid w:val="001123D1"/>
    <w:rsid w:val="00112989"/>
    <w:rsid w:val="00112D16"/>
    <w:rsid w:val="00112FAB"/>
    <w:rsid w:val="0011310A"/>
    <w:rsid w:val="00113510"/>
    <w:rsid w:val="001136FF"/>
    <w:rsid w:val="00113B0B"/>
    <w:rsid w:val="00113CA0"/>
    <w:rsid w:val="00113CA5"/>
    <w:rsid w:val="00113E75"/>
    <w:rsid w:val="001140C5"/>
    <w:rsid w:val="001146B1"/>
    <w:rsid w:val="00114F9A"/>
    <w:rsid w:val="001151A8"/>
    <w:rsid w:val="001154C8"/>
    <w:rsid w:val="001155E4"/>
    <w:rsid w:val="0011582B"/>
    <w:rsid w:val="001159D8"/>
    <w:rsid w:val="00115CD2"/>
    <w:rsid w:val="00115FD6"/>
    <w:rsid w:val="00116595"/>
    <w:rsid w:val="001165A0"/>
    <w:rsid w:val="00117393"/>
    <w:rsid w:val="00117EB2"/>
    <w:rsid w:val="00117F3F"/>
    <w:rsid w:val="00120101"/>
    <w:rsid w:val="00120207"/>
    <w:rsid w:val="0012023B"/>
    <w:rsid w:val="001202C5"/>
    <w:rsid w:val="001208A9"/>
    <w:rsid w:val="00120985"/>
    <w:rsid w:val="00120A05"/>
    <w:rsid w:val="00120A15"/>
    <w:rsid w:val="00120F1C"/>
    <w:rsid w:val="00121230"/>
    <w:rsid w:val="001212DA"/>
    <w:rsid w:val="001213C1"/>
    <w:rsid w:val="0012140E"/>
    <w:rsid w:val="00121583"/>
    <w:rsid w:val="00121939"/>
    <w:rsid w:val="00122748"/>
    <w:rsid w:val="0012276C"/>
    <w:rsid w:val="0012282C"/>
    <w:rsid w:val="00122B4F"/>
    <w:rsid w:val="00122D63"/>
    <w:rsid w:val="00122EA0"/>
    <w:rsid w:val="00123253"/>
    <w:rsid w:val="00123567"/>
    <w:rsid w:val="0012388E"/>
    <w:rsid w:val="00124123"/>
    <w:rsid w:val="001244AA"/>
    <w:rsid w:val="001244B2"/>
    <w:rsid w:val="0012469F"/>
    <w:rsid w:val="001246A5"/>
    <w:rsid w:val="001246C3"/>
    <w:rsid w:val="00124A66"/>
    <w:rsid w:val="00124A6A"/>
    <w:rsid w:val="00124C8C"/>
    <w:rsid w:val="0012503F"/>
    <w:rsid w:val="001253B7"/>
    <w:rsid w:val="00125431"/>
    <w:rsid w:val="00125662"/>
    <w:rsid w:val="001256B5"/>
    <w:rsid w:val="00125C91"/>
    <w:rsid w:val="001268EA"/>
    <w:rsid w:val="00126987"/>
    <w:rsid w:val="00126C8A"/>
    <w:rsid w:val="00126EF8"/>
    <w:rsid w:val="00127133"/>
    <w:rsid w:val="00127BF9"/>
    <w:rsid w:val="00127C35"/>
    <w:rsid w:val="00127DD5"/>
    <w:rsid w:val="001307DC"/>
    <w:rsid w:val="001313B7"/>
    <w:rsid w:val="00131554"/>
    <w:rsid w:val="001316E0"/>
    <w:rsid w:val="0013191F"/>
    <w:rsid w:val="00131E96"/>
    <w:rsid w:val="00132CD5"/>
    <w:rsid w:val="00132F0A"/>
    <w:rsid w:val="0013309A"/>
    <w:rsid w:val="00133398"/>
    <w:rsid w:val="001333A5"/>
    <w:rsid w:val="001333FE"/>
    <w:rsid w:val="001336E0"/>
    <w:rsid w:val="00133F31"/>
    <w:rsid w:val="001340A6"/>
    <w:rsid w:val="0013470A"/>
    <w:rsid w:val="00134814"/>
    <w:rsid w:val="00134F6F"/>
    <w:rsid w:val="0013543F"/>
    <w:rsid w:val="001357E5"/>
    <w:rsid w:val="00135D53"/>
    <w:rsid w:val="00135E0F"/>
    <w:rsid w:val="00135E74"/>
    <w:rsid w:val="001366EE"/>
    <w:rsid w:val="00136ACB"/>
    <w:rsid w:val="00137100"/>
    <w:rsid w:val="001371B4"/>
    <w:rsid w:val="0013765E"/>
    <w:rsid w:val="00137B7E"/>
    <w:rsid w:val="00137DFC"/>
    <w:rsid w:val="00140081"/>
    <w:rsid w:val="00140131"/>
    <w:rsid w:val="0014038B"/>
    <w:rsid w:val="00140558"/>
    <w:rsid w:val="00140A4D"/>
    <w:rsid w:val="00140BFA"/>
    <w:rsid w:val="00141673"/>
    <w:rsid w:val="0014174D"/>
    <w:rsid w:val="001419A4"/>
    <w:rsid w:val="00141AAC"/>
    <w:rsid w:val="0014207A"/>
    <w:rsid w:val="00142577"/>
    <w:rsid w:val="001427C4"/>
    <w:rsid w:val="00142B47"/>
    <w:rsid w:val="00142CDD"/>
    <w:rsid w:val="00143B0B"/>
    <w:rsid w:val="00143BAA"/>
    <w:rsid w:val="001442EE"/>
    <w:rsid w:val="0014474E"/>
    <w:rsid w:val="00144813"/>
    <w:rsid w:val="00145060"/>
    <w:rsid w:val="00145639"/>
    <w:rsid w:val="00145B04"/>
    <w:rsid w:val="0014607A"/>
    <w:rsid w:val="00146105"/>
    <w:rsid w:val="001465C8"/>
    <w:rsid w:val="001465D4"/>
    <w:rsid w:val="00147024"/>
    <w:rsid w:val="001476EB"/>
    <w:rsid w:val="00147BA2"/>
    <w:rsid w:val="001500B5"/>
    <w:rsid w:val="00150679"/>
    <w:rsid w:val="001506D7"/>
    <w:rsid w:val="00150D14"/>
    <w:rsid w:val="0015107A"/>
    <w:rsid w:val="00151198"/>
    <w:rsid w:val="00151CC3"/>
    <w:rsid w:val="0015215F"/>
    <w:rsid w:val="0015222E"/>
    <w:rsid w:val="001523B1"/>
    <w:rsid w:val="00152609"/>
    <w:rsid w:val="00152756"/>
    <w:rsid w:val="001527D8"/>
    <w:rsid w:val="001528F8"/>
    <w:rsid w:val="00152BEF"/>
    <w:rsid w:val="00152ED9"/>
    <w:rsid w:val="001532A7"/>
    <w:rsid w:val="00153368"/>
    <w:rsid w:val="001535C1"/>
    <w:rsid w:val="00153B3F"/>
    <w:rsid w:val="00153CD4"/>
    <w:rsid w:val="00153D91"/>
    <w:rsid w:val="00153DA0"/>
    <w:rsid w:val="001545B3"/>
    <w:rsid w:val="001549A0"/>
    <w:rsid w:val="00154AA5"/>
    <w:rsid w:val="00154B2A"/>
    <w:rsid w:val="00154F3D"/>
    <w:rsid w:val="00155085"/>
    <w:rsid w:val="001553E7"/>
    <w:rsid w:val="0015550F"/>
    <w:rsid w:val="00155635"/>
    <w:rsid w:val="00155678"/>
    <w:rsid w:val="00155C87"/>
    <w:rsid w:val="00155F72"/>
    <w:rsid w:val="001565B8"/>
    <w:rsid w:val="001567B4"/>
    <w:rsid w:val="0015704E"/>
    <w:rsid w:val="00157DA2"/>
    <w:rsid w:val="00160211"/>
    <w:rsid w:val="001606BC"/>
    <w:rsid w:val="00161186"/>
    <w:rsid w:val="001614C8"/>
    <w:rsid w:val="00161918"/>
    <w:rsid w:val="00162145"/>
    <w:rsid w:val="001626CD"/>
    <w:rsid w:val="0016292B"/>
    <w:rsid w:val="00162A98"/>
    <w:rsid w:val="00162E72"/>
    <w:rsid w:val="001632FF"/>
    <w:rsid w:val="001633E8"/>
    <w:rsid w:val="001640C8"/>
    <w:rsid w:val="0016432B"/>
    <w:rsid w:val="0016456C"/>
    <w:rsid w:val="0016482C"/>
    <w:rsid w:val="001648FC"/>
    <w:rsid w:val="001649F9"/>
    <w:rsid w:val="00164AD2"/>
    <w:rsid w:val="00164BF6"/>
    <w:rsid w:val="00164C3A"/>
    <w:rsid w:val="00164D37"/>
    <w:rsid w:val="0016526F"/>
    <w:rsid w:val="0016564B"/>
    <w:rsid w:val="00165714"/>
    <w:rsid w:val="001657B0"/>
    <w:rsid w:val="001657C1"/>
    <w:rsid w:val="00165C12"/>
    <w:rsid w:val="00166077"/>
    <w:rsid w:val="00166136"/>
    <w:rsid w:val="00166285"/>
    <w:rsid w:val="001665A1"/>
    <w:rsid w:val="00166B20"/>
    <w:rsid w:val="00166B22"/>
    <w:rsid w:val="00167E1D"/>
    <w:rsid w:val="00167E43"/>
    <w:rsid w:val="0017027B"/>
    <w:rsid w:val="00170C30"/>
    <w:rsid w:val="00170C38"/>
    <w:rsid w:val="00170FE1"/>
    <w:rsid w:val="00171C73"/>
    <w:rsid w:val="00171D17"/>
    <w:rsid w:val="00172025"/>
    <w:rsid w:val="00172168"/>
    <w:rsid w:val="001721D7"/>
    <w:rsid w:val="00172250"/>
    <w:rsid w:val="00172339"/>
    <w:rsid w:val="0017256A"/>
    <w:rsid w:val="0017292A"/>
    <w:rsid w:val="00172B94"/>
    <w:rsid w:val="00172C86"/>
    <w:rsid w:val="00172EE8"/>
    <w:rsid w:val="00172FC2"/>
    <w:rsid w:val="0017302D"/>
    <w:rsid w:val="00173125"/>
    <w:rsid w:val="00173700"/>
    <w:rsid w:val="00173B76"/>
    <w:rsid w:val="00173C60"/>
    <w:rsid w:val="00173E3E"/>
    <w:rsid w:val="00174443"/>
    <w:rsid w:val="0017458E"/>
    <w:rsid w:val="00174A52"/>
    <w:rsid w:val="0017548D"/>
    <w:rsid w:val="00175588"/>
    <w:rsid w:val="001758DC"/>
    <w:rsid w:val="00175A99"/>
    <w:rsid w:val="00175B5F"/>
    <w:rsid w:val="00176172"/>
    <w:rsid w:val="00176201"/>
    <w:rsid w:val="00176472"/>
    <w:rsid w:val="00176764"/>
    <w:rsid w:val="00176CDE"/>
    <w:rsid w:val="00176D97"/>
    <w:rsid w:val="00176F11"/>
    <w:rsid w:val="00177220"/>
    <w:rsid w:val="00177968"/>
    <w:rsid w:val="0017797C"/>
    <w:rsid w:val="00177EBD"/>
    <w:rsid w:val="00180165"/>
    <w:rsid w:val="00180386"/>
    <w:rsid w:val="001804D1"/>
    <w:rsid w:val="00180A49"/>
    <w:rsid w:val="00180BF3"/>
    <w:rsid w:val="00180D51"/>
    <w:rsid w:val="00181179"/>
    <w:rsid w:val="00181554"/>
    <w:rsid w:val="00181690"/>
    <w:rsid w:val="00181F27"/>
    <w:rsid w:val="0018204D"/>
    <w:rsid w:val="00182108"/>
    <w:rsid w:val="00182763"/>
    <w:rsid w:val="00182979"/>
    <w:rsid w:val="0018319F"/>
    <w:rsid w:val="001834B9"/>
    <w:rsid w:val="0018359A"/>
    <w:rsid w:val="0018415D"/>
    <w:rsid w:val="001842CD"/>
    <w:rsid w:val="00184339"/>
    <w:rsid w:val="00184522"/>
    <w:rsid w:val="001845E5"/>
    <w:rsid w:val="00184710"/>
    <w:rsid w:val="00184C37"/>
    <w:rsid w:val="001853D9"/>
    <w:rsid w:val="001857A2"/>
    <w:rsid w:val="00185FBA"/>
    <w:rsid w:val="00186044"/>
    <w:rsid w:val="00186614"/>
    <w:rsid w:val="001868C8"/>
    <w:rsid w:val="00186941"/>
    <w:rsid w:val="00186C9B"/>
    <w:rsid w:val="00187387"/>
    <w:rsid w:val="001877A2"/>
    <w:rsid w:val="00187DD3"/>
    <w:rsid w:val="00187EA6"/>
    <w:rsid w:val="00190233"/>
    <w:rsid w:val="001903A5"/>
    <w:rsid w:val="001904AD"/>
    <w:rsid w:val="00190672"/>
    <w:rsid w:val="0019068F"/>
    <w:rsid w:val="0019072C"/>
    <w:rsid w:val="00190D89"/>
    <w:rsid w:val="00190EB4"/>
    <w:rsid w:val="00191253"/>
    <w:rsid w:val="00191271"/>
    <w:rsid w:val="0019143C"/>
    <w:rsid w:val="001918BE"/>
    <w:rsid w:val="001919A6"/>
    <w:rsid w:val="00191A0A"/>
    <w:rsid w:val="00191A65"/>
    <w:rsid w:val="00191CD6"/>
    <w:rsid w:val="0019237D"/>
    <w:rsid w:val="00192EDC"/>
    <w:rsid w:val="001936C9"/>
    <w:rsid w:val="0019373A"/>
    <w:rsid w:val="0019386B"/>
    <w:rsid w:val="00193A37"/>
    <w:rsid w:val="00193C5A"/>
    <w:rsid w:val="00193C83"/>
    <w:rsid w:val="00193CDD"/>
    <w:rsid w:val="0019430A"/>
    <w:rsid w:val="0019435D"/>
    <w:rsid w:val="001943E4"/>
    <w:rsid w:val="001945F4"/>
    <w:rsid w:val="001947D4"/>
    <w:rsid w:val="00194E0E"/>
    <w:rsid w:val="00195408"/>
    <w:rsid w:val="001957CF"/>
    <w:rsid w:val="0019585F"/>
    <w:rsid w:val="00195E0A"/>
    <w:rsid w:val="00195F4B"/>
    <w:rsid w:val="00196191"/>
    <w:rsid w:val="001964C9"/>
    <w:rsid w:val="00196771"/>
    <w:rsid w:val="00196CBD"/>
    <w:rsid w:val="00196D13"/>
    <w:rsid w:val="0019701A"/>
    <w:rsid w:val="00197656"/>
    <w:rsid w:val="00197724"/>
    <w:rsid w:val="001A0373"/>
    <w:rsid w:val="001A0636"/>
    <w:rsid w:val="001A0983"/>
    <w:rsid w:val="001A0B20"/>
    <w:rsid w:val="001A0E68"/>
    <w:rsid w:val="001A15AB"/>
    <w:rsid w:val="001A1FD8"/>
    <w:rsid w:val="001A24F2"/>
    <w:rsid w:val="001A27FC"/>
    <w:rsid w:val="001A2A1F"/>
    <w:rsid w:val="001A2D70"/>
    <w:rsid w:val="001A2F4F"/>
    <w:rsid w:val="001A30F6"/>
    <w:rsid w:val="001A3B54"/>
    <w:rsid w:val="001A3D80"/>
    <w:rsid w:val="001A4E70"/>
    <w:rsid w:val="001A5620"/>
    <w:rsid w:val="001A5DD0"/>
    <w:rsid w:val="001A5FBD"/>
    <w:rsid w:val="001A6551"/>
    <w:rsid w:val="001A66E6"/>
    <w:rsid w:val="001A67C2"/>
    <w:rsid w:val="001A69D4"/>
    <w:rsid w:val="001A6F7B"/>
    <w:rsid w:val="001A72E5"/>
    <w:rsid w:val="001A7768"/>
    <w:rsid w:val="001A7D8E"/>
    <w:rsid w:val="001B0018"/>
    <w:rsid w:val="001B0859"/>
    <w:rsid w:val="001B0E21"/>
    <w:rsid w:val="001B0ED4"/>
    <w:rsid w:val="001B168B"/>
    <w:rsid w:val="001B16F3"/>
    <w:rsid w:val="001B1745"/>
    <w:rsid w:val="001B1761"/>
    <w:rsid w:val="001B17ED"/>
    <w:rsid w:val="001B1D0F"/>
    <w:rsid w:val="001B1DE1"/>
    <w:rsid w:val="001B1FD7"/>
    <w:rsid w:val="001B2929"/>
    <w:rsid w:val="001B2C7E"/>
    <w:rsid w:val="001B2E5B"/>
    <w:rsid w:val="001B33E3"/>
    <w:rsid w:val="001B34E9"/>
    <w:rsid w:val="001B3985"/>
    <w:rsid w:val="001B40AF"/>
    <w:rsid w:val="001B42E4"/>
    <w:rsid w:val="001B4359"/>
    <w:rsid w:val="001B43C1"/>
    <w:rsid w:val="001B4704"/>
    <w:rsid w:val="001B474E"/>
    <w:rsid w:val="001B4E30"/>
    <w:rsid w:val="001B529D"/>
    <w:rsid w:val="001B5818"/>
    <w:rsid w:val="001B59EB"/>
    <w:rsid w:val="001B60A9"/>
    <w:rsid w:val="001B6622"/>
    <w:rsid w:val="001B6A40"/>
    <w:rsid w:val="001B6EA1"/>
    <w:rsid w:val="001B728D"/>
    <w:rsid w:val="001B77D6"/>
    <w:rsid w:val="001B7B6E"/>
    <w:rsid w:val="001C02FE"/>
    <w:rsid w:val="001C0413"/>
    <w:rsid w:val="001C045C"/>
    <w:rsid w:val="001C0A2C"/>
    <w:rsid w:val="001C177C"/>
    <w:rsid w:val="001C1D49"/>
    <w:rsid w:val="001C1FD1"/>
    <w:rsid w:val="001C2073"/>
    <w:rsid w:val="001C2213"/>
    <w:rsid w:val="001C266D"/>
    <w:rsid w:val="001C2F50"/>
    <w:rsid w:val="001C32DA"/>
    <w:rsid w:val="001C3927"/>
    <w:rsid w:val="001C3B7A"/>
    <w:rsid w:val="001C3B91"/>
    <w:rsid w:val="001C4842"/>
    <w:rsid w:val="001C48FC"/>
    <w:rsid w:val="001C4972"/>
    <w:rsid w:val="001C4FA8"/>
    <w:rsid w:val="001C5029"/>
    <w:rsid w:val="001C5C2F"/>
    <w:rsid w:val="001C5DA2"/>
    <w:rsid w:val="001C5EA2"/>
    <w:rsid w:val="001C66B6"/>
    <w:rsid w:val="001C69BF"/>
    <w:rsid w:val="001C6A81"/>
    <w:rsid w:val="001C6AAF"/>
    <w:rsid w:val="001C6AF9"/>
    <w:rsid w:val="001C6BC6"/>
    <w:rsid w:val="001C6C7A"/>
    <w:rsid w:val="001C700D"/>
    <w:rsid w:val="001C747E"/>
    <w:rsid w:val="001C7571"/>
    <w:rsid w:val="001C7B90"/>
    <w:rsid w:val="001C7D7D"/>
    <w:rsid w:val="001D025B"/>
    <w:rsid w:val="001D04C3"/>
    <w:rsid w:val="001D055D"/>
    <w:rsid w:val="001D07A1"/>
    <w:rsid w:val="001D07BE"/>
    <w:rsid w:val="001D0FC1"/>
    <w:rsid w:val="001D11C7"/>
    <w:rsid w:val="001D1453"/>
    <w:rsid w:val="001D14AB"/>
    <w:rsid w:val="001D1771"/>
    <w:rsid w:val="001D1ABB"/>
    <w:rsid w:val="001D1E32"/>
    <w:rsid w:val="001D1FCC"/>
    <w:rsid w:val="001D20BC"/>
    <w:rsid w:val="001D22BA"/>
    <w:rsid w:val="001D3D22"/>
    <w:rsid w:val="001D431A"/>
    <w:rsid w:val="001D4586"/>
    <w:rsid w:val="001D5486"/>
    <w:rsid w:val="001D5540"/>
    <w:rsid w:val="001D5702"/>
    <w:rsid w:val="001D5FB3"/>
    <w:rsid w:val="001D638C"/>
    <w:rsid w:val="001D662E"/>
    <w:rsid w:val="001D6AD3"/>
    <w:rsid w:val="001D721C"/>
    <w:rsid w:val="001D7276"/>
    <w:rsid w:val="001D740C"/>
    <w:rsid w:val="001E020E"/>
    <w:rsid w:val="001E05CF"/>
    <w:rsid w:val="001E07C2"/>
    <w:rsid w:val="001E099F"/>
    <w:rsid w:val="001E0AD7"/>
    <w:rsid w:val="001E0F9D"/>
    <w:rsid w:val="001E144E"/>
    <w:rsid w:val="001E14FE"/>
    <w:rsid w:val="001E1BCF"/>
    <w:rsid w:val="001E224C"/>
    <w:rsid w:val="001E29D7"/>
    <w:rsid w:val="001E357B"/>
    <w:rsid w:val="001E3908"/>
    <w:rsid w:val="001E3DB9"/>
    <w:rsid w:val="001E4164"/>
    <w:rsid w:val="001E4B3E"/>
    <w:rsid w:val="001E4DBA"/>
    <w:rsid w:val="001E4EE5"/>
    <w:rsid w:val="001E5233"/>
    <w:rsid w:val="001E5554"/>
    <w:rsid w:val="001E5603"/>
    <w:rsid w:val="001E5821"/>
    <w:rsid w:val="001E5A78"/>
    <w:rsid w:val="001E5BD5"/>
    <w:rsid w:val="001E5DD9"/>
    <w:rsid w:val="001E60CC"/>
    <w:rsid w:val="001E6239"/>
    <w:rsid w:val="001E630D"/>
    <w:rsid w:val="001E6312"/>
    <w:rsid w:val="001E68FC"/>
    <w:rsid w:val="001E69D7"/>
    <w:rsid w:val="001E6B49"/>
    <w:rsid w:val="001E6F7F"/>
    <w:rsid w:val="001E7026"/>
    <w:rsid w:val="001E70F5"/>
    <w:rsid w:val="001E7525"/>
    <w:rsid w:val="001E7C5F"/>
    <w:rsid w:val="001E7DD3"/>
    <w:rsid w:val="001F00C0"/>
    <w:rsid w:val="001F03B6"/>
    <w:rsid w:val="001F05BE"/>
    <w:rsid w:val="001F0E72"/>
    <w:rsid w:val="001F1023"/>
    <w:rsid w:val="001F10B8"/>
    <w:rsid w:val="001F18BE"/>
    <w:rsid w:val="001F18DF"/>
    <w:rsid w:val="001F19F3"/>
    <w:rsid w:val="001F1CEF"/>
    <w:rsid w:val="001F206E"/>
    <w:rsid w:val="001F2338"/>
    <w:rsid w:val="001F2438"/>
    <w:rsid w:val="001F2980"/>
    <w:rsid w:val="001F2BB5"/>
    <w:rsid w:val="001F3EEF"/>
    <w:rsid w:val="001F401D"/>
    <w:rsid w:val="001F4055"/>
    <w:rsid w:val="001F41EF"/>
    <w:rsid w:val="001F44C5"/>
    <w:rsid w:val="001F4C15"/>
    <w:rsid w:val="001F5183"/>
    <w:rsid w:val="001F5409"/>
    <w:rsid w:val="001F579E"/>
    <w:rsid w:val="001F5C51"/>
    <w:rsid w:val="001F5F61"/>
    <w:rsid w:val="001F6849"/>
    <w:rsid w:val="001F6900"/>
    <w:rsid w:val="001F6D66"/>
    <w:rsid w:val="001F6E5E"/>
    <w:rsid w:val="001F6F30"/>
    <w:rsid w:val="001F6F78"/>
    <w:rsid w:val="001F748E"/>
    <w:rsid w:val="001F7E24"/>
    <w:rsid w:val="00200142"/>
    <w:rsid w:val="00200346"/>
    <w:rsid w:val="0020041C"/>
    <w:rsid w:val="0020053A"/>
    <w:rsid w:val="00200659"/>
    <w:rsid w:val="002006D4"/>
    <w:rsid w:val="00200A86"/>
    <w:rsid w:val="00200B92"/>
    <w:rsid w:val="00200C17"/>
    <w:rsid w:val="002017A4"/>
    <w:rsid w:val="00201C72"/>
    <w:rsid w:val="0020293B"/>
    <w:rsid w:val="00203C46"/>
    <w:rsid w:val="0020400B"/>
    <w:rsid w:val="002047D9"/>
    <w:rsid w:val="00204CAA"/>
    <w:rsid w:val="0020551F"/>
    <w:rsid w:val="002057D5"/>
    <w:rsid w:val="0020587E"/>
    <w:rsid w:val="00205B38"/>
    <w:rsid w:val="0020614A"/>
    <w:rsid w:val="00206483"/>
    <w:rsid w:val="002064E5"/>
    <w:rsid w:val="002069EB"/>
    <w:rsid w:val="00206C08"/>
    <w:rsid w:val="00206D8E"/>
    <w:rsid w:val="00207033"/>
    <w:rsid w:val="002070F7"/>
    <w:rsid w:val="002073C0"/>
    <w:rsid w:val="00207AE7"/>
    <w:rsid w:val="002102F2"/>
    <w:rsid w:val="00210611"/>
    <w:rsid w:val="00210896"/>
    <w:rsid w:val="00210946"/>
    <w:rsid w:val="002117A3"/>
    <w:rsid w:val="0021182A"/>
    <w:rsid w:val="00211E0A"/>
    <w:rsid w:val="002120FB"/>
    <w:rsid w:val="00212681"/>
    <w:rsid w:val="00212841"/>
    <w:rsid w:val="00212CDE"/>
    <w:rsid w:val="00212DCF"/>
    <w:rsid w:val="002131E0"/>
    <w:rsid w:val="002132BF"/>
    <w:rsid w:val="00213475"/>
    <w:rsid w:val="002134ED"/>
    <w:rsid w:val="00213712"/>
    <w:rsid w:val="002139F0"/>
    <w:rsid w:val="00213C00"/>
    <w:rsid w:val="00213C31"/>
    <w:rsid w:val="00213D02"/>
    <w:rsid w:val="00213D52"/>
    <w:rsid w:val="00213FF5"/>
    <w:rsid w:val="00214319"/>
    <w:rsid w:val="00214788"/>
    <w:rsid w:val="002150C4"/>
    <w:rsid w:val="00215116"/>
    <w:rsid w:val="0021563A"/>
    <w:rsid w:val="00215EDD"/>
    <w:rsid w:val="0021657A"/>
    <w:rsid w:val="002167A6"/>
    <w:rsid w:val="002167BB"/>
    <w:rsid w:val="00216E0E"/>
    <w:rsid w:val="00217064"/>
    <w:rsid w:val="00217BBE"/>
    <w:rsid w:val="00217EC1"/>
    <w:rsid w:val="002208F3"/>
    <w:rsid w:val="00220A55"/>
    <w:rsid w:val="00220C5B"/>
    <w:rsid w:val="00220F91"/>
    <w:rsid w:val="00221443"/>
    <w:rsid w:val="002214A1"/>
    <w:rsid w:val="00221A95"/>
    <w:rsid w:val="00221C6B"/>
    <w:rsid w:val="00222005"/>
    <w:rsid w:val="00222694"/>
    <w:rsid w:val="002226AD"/>
    <w:rsid w:val="002229DE"/>
    <w:rsid w:val="00222A0D"/>
    <w:rsid w:val="00222D5A"/>
    <w:rsid w:val="00222FF6"/>
    <w:rsid w:val="00223625"/>
    <w:rsid w:val="0022374C"/>
    <w:rsid w:val="002237CC"/>
    <w:rsid w:val="0022389E"/>
    <w:rsid w:val="002238E3"/>
    <w:rsid w:val="00223B1F"/>
    <w:rsid w:val="00223E26"/>
    <w:rsid w:val="00224545"/>
    <w:rsid w:val="002248E7"/>
    <w:rsid w:val="00224FE0"/>
    <w:rsid w:val="00225051"/>
    <w:rsid w:val="002255F7"/>
    <w:rsid w:val="0022577A"/>
    <w:rsid w:val="0022591B"/>
    <w:rsid w:val="002259C5"/>
    <w:rsid w:val="00225AF8"/>
    <w:rsid w:val="00226049"/>
    <w:rsid w:val="00226D30"/>
    <w:rsid w:val="00226FA4"/>
    <w:rsid w:val="002271BF"/>
    <w:rsid w:val="002271F8"/>
    <w:rsid w:val="002273EE"/>
    <w:rsid w:val="00227F54"/>
    <w:rsid w:val="0023060A"/>
    <w:rsid w:val="0023068F"/>
    <w:rsid w:val="00230730"/>
    <w:rsid w:val="002315E3"/>
    <w:rsid w:val="002315EE"/>
    <w:rsid w:val="002315FD"/>
    <w:rsid w:val="002321EA"/>
    <w:rsid w:val="00232D29"/>
    <w:rsid w:val="00232F8D"/>
    <w:rsid w:val="002331E6"/>
    <w:rsid w:val="002331E8"/>
    <w:rsid w:val="00233820"/>
    <w:rsid w:val="00233E04"/>
    <w:rsid w:val="0023504D"/>
    <w:rsid w:val="002351DC"/>
    <w:rsid w:val="0023541E"/>
    <w:rsid w:val="00235908"/>
    <w:rsid w:val="00235EFD"/>
    <w:rsid w:val="0023603F"/>
    <w:rsid w:val="0023666F"/>
    <w:rsid w:val="00236783"/>
    <w:rsid w:val="0023682F"/>
    <w:rsid w:val="00240069"/>
    <w:rsid w:val="0024066C"/>
    <w:rsid w:val="00240883"/>
    <w:rsid w:val="002408EA"/>
    <w:rsid w:val="0024103D"/>
    <w:rsid w:val="002414B9"/>
    <w:rsid w:val="0024167F"/>
    <w:rsid w:val="00241A5B"/>
    <w:rsid w:val="00241AB2"/>
    <w:rsid w:val="00242A82"/>
    <w:rsid w:val="002438FD"/>
    <w:rsid w:val="00243DE9"/>
    <w:rsid w:val="00243DED"/>
    <w:rsid w:val="00243F9E"/>
    <w:rsid w:val="002442B2"/>
    <w:rsid w:val="00244414"/>
    <w:rsid w:val="00244A80"/>
    <w:rsid w:val="00245C26"/>
    <w:rsid w:val="00245DA6"/>
    <w:rsid w:val="0024627E"/>
    <w:rsid w:val="00246D44"/>
    <w:rsid w:val="0024700B"/>
    <w:rsid w:val="0024732B"/>
    <w:rsid w:val="002473E4"/>
    <w:rsid w:val="00250238"/>
    <w:rsid w:val="00250287"/>
    <w:rsid w:val="0025030B"/>
    <w:rsid w:val="0025049D"/>
    <w:rsid w:val="00250B93"/>
    <w:rsid w:val="00250D06"/>
    <w:rsid w:val="00250DB4"/>
    <w:rsid w:val="002512B8"/>
    <w:rsid w:val="002513EB"/>
    <w:rsid w:val="00251436"/>
    <w:rsid w:val="002519D2"/>
    <w:rsid w:val="00251F7B"/>
    <w:rsid w:val="00252062"/>
    <w:rsid w:val="0025209F"/>
    <w:rsid w:val="002522BE"/>
    <w:rsid w:val="00252847"/>
    <w:rsid w:val="00253683"/>
    <w:rsid w:val="002539EE"/>
    <w:rsid w:val="00254548"/>
    <w:rsid w:val="0025463C"/>
    <w:rsid w:val="0025470B"/>
    <w:rsid w:val="00254C38"/>
    <w:rsid w:val="00255093"/>
    <w:rsid w:val="00255185"/>
    <w:rsid w:val="002553CC"/>
    <w:rsid w:val="002558BB"/>
    <w:rsid w:val="00256196"/>
    <w:rsid w:val="002566D5"/>
    <w:rsid w:val="0025686D"/>
    <w:rsid w:val="00256A68"/>
    <w:rsid w:val="00256FDA"/>
    <w:rsid w:val="0025700F"/>
    <w:rsid w:val="00257BEE"/>
    <w:rsid w:val="00257C33"/>
    <w:rsid w:val="00257FB1"/>
    <w:rsid w:val="0026089E"/>
    <w:rsid w:val="00260A6E"/>
    <w:rsid w:val="00260C5D"/>
    <w:rsid w:val="002611E9"/>
    <w:rsid w:val="00261213"/>
    <w:rsid w:val="002613FC"/>
    <w:rsid w:val="00261482"/>
    <w:rsid w:val="002619AB"/>
    <w:rsid w:val="00262BBB"/>
    <w:rsid w:val="002631CD"/>
    <w:rsid w:val="00263979"/>
    <w:rsid w:val="00264247"/>
    <w:rsid w:val="0026435E"/>
    <w:rsid w:val="002643FB"/>
    <w:rsid w:val="00264498"/>
    <w:rsid w:val="00264DB5"/>
    <w:rsid w:val="00265117"/>
    <w:rsid w:val="0026527E"/>
    <w:rsid w:val="002653AE"/>
    <w:rsid w:val="002658D9"/>
    <w:rsid w:val="00265910"/>
    <w:rsid w:val="00265CB9"/>
    <w:rsid w:val="00265DDE"/>
    <w:rsid w:val="0026682F"/>
    <w:rsid w:val="00266A17"/>
    <w:rsid w:val="00267493"/>
    <w:rsid w:val="00267574"/>
    <w:rsid w:val="00267981"/>
    <w:rsid w:val="00267B37"/>
    <w:rsid w:val="00267D0C"/>
    <w:rsid w:val="00267DD9"/>
    <w:rsid w:val="00267F52"/>
    <w:rsid w:val="00270150"/>
    <w:rsid w:val="002702CB"/>
    <w:rsid w:val="0027056F"/>
    <w:rsid w:val="00270769"/>
    <w:rsid w:val="0027076F"/>
    <w:rsid w:val="00270D0F"/>
    <w:rsid w:val="00270D22"/>
    <w:rsid w:val="0027156D"/>
    <w:rsid w:val="002715E0"/>
    <w:rsid w:val="00271CF0"/>
    <w:rsid w:val="00272CA1"/>
    <w:rsid w:val="00272F67"/>
    <w:rsid w:val="002736AC"/>
    <w:rsid w:val="002736F1"/>
    <w:rsid w:val="00273896"/>
    <w:rsid w:val="00273928"/>
    <w:rsid w:val="00273B9A"/>
    <w:rsid w:val="00273D9F"/>
    <w:rsid w:val="00273EC4"/>
    <w:rsid w:val="00274010"/>
    <w:rsid w:val="002741AC"/>
    <w:rsid w:val="00274480"/>
    <w:rsid w:val="002747C9"/>
    <w:rsid w:val="002747E9"/>
    <w:rsid w:val="00274C47"/>
    <w:rsid w:val="00274DF2"/>
    <w:rsid w:val="0027509F"/>
    <w:rsid w:val="002752C9"/>
    <w:rsid w:val="002753D4"/>
    <w:rsid w:val="002756BF"/>
    <w:rsid w:val="00275BBD"/>
    <w:rsid w:val="00275D66"/>
    <w:rsid w:val="00275DEE"/>
    <w:rsid w:val="0027602F"/>
    <w:rsid w:val="002762EB"/>
    <w:rsid w:val="002764EF"/>
    <w:rsid w:val="00276CD5"/>
    <w:rsid w:val="00277654"/>
    <w:rsid w:val="002779FE"/>
    <w:rsid w:val="00280031"/>
    <w:rsid w:val="002800D9"/>
    <w:rsid w:val="00280492"/>
    <w:rsid w:val="0028059B"/>
    <w:rsid w:val="00280DEB"/>
    <w:rsid w:val="0028108D"/>
    <w:rsid w:val="002810D1"/>
    <w:rsid w:val="00281DE7"/>
    <w:rsid w:val="00281EB2"/>
    <w:rsid w:val="00281EF5"/>
    <w:rsid w:val="0028249A"/>
    <w:rsid w:val="00282526"/>
    <w:rsid w:val="002827EE"/>
    <w:rsid w:val="00282972"/>
    <w:rsid w:val="00282D49"/>
    <w:rsid w:val="00282DE2"/>
    <w:rsid w:val="00282F43"/>
    <w:rsid w:val="0028329D"/>
    <w:rsid w:val="0028384C"/>
    <w:rsid w:val="00283C25"/>
    <w:rsid w:val="00283F58"/>
    <w:rsid w:val="0028429E"/>
    <w:rsid w:val="00284341"/>
    <w:rsid w:val="0028458B"/>
    <w:rsid w:val="00284CA7"/>
    <w:rsid w:val="002857C5"/>
    <w:rsid w:val="00285BE1"/>
    <w:rsid w:val="00285D93"/>
    <w:rsid w:val="00285E70"/>
    <w:rsid w:val="00286E04"/>
    <w:rsid w:val="0028768F"/>
    <w:rsid w:val="002877C9"/>
    <w:rsid w:val="0028792A"/>
    <w:rsid w:val="002879A8"/>
    <w:rsid w:val="00287D0B"/>
    <w:rsid w:val="00287E68"/>
    <w:rsid w:val="002908CD"/>
    <w:rsid w:val="00290BB0"/>
    <w:rsid w:val="00290DDB"/>
    <w:rsid w:val="002911C3"/>
    <w:rsid w:val="002912A0"/>
    <w:rsid w:val="00291511"/>
    <w:rsid w:val="00291C9B"/>
    <w:rsid w:val="0029282E"/>
    <w:rsid w:val="0029312C"/>
    <w:rsid w:val="00293619"/>
    <w:rsid w:val="002936B6"/>
    <w:rsid w:val="00293BCC"/>
    <w:rsid w:val="00294735"/>
    <w:rsid w:val="00294865"/>
    <w:rsid w:val="00294BE2"/>
    <w:rsid w:val="00294F3E"/>
    <w:rsid w:val="00294F41"/>
    <w:rsid w:val="00295103"/>
    <w:rsid w:val="00295170"/>
    <w:rsid w:val="002955C6"/>
    <w:rsid w:val="00295C13"/>
    <w:rsid w:val="00295CF7"/>
    <w:rsid w:val="00296059"/>
    <w:rsid w:val="002964DC"/>
    <w:rsid w:val="00296A6D"/>
    <w:rsid w:val="00297B2E"/>
    <w:rsid w:val="00297E83"/>
    <w:rsid w:val="00297FCE"/>
    <w:rsid w:val="002A0750"/>
    <w:rsid w:val="002A09D4"/>
    <w:rsid w:val="002A2455"/>
    <w:rsid w:val="002A27A1"/>
    <w:rsid w:val="002A2C51"/>
    <w:rsid w:val="002A3217"/>
    <w:rsid w:val="002A424C"/>
    <w:rsid w:val="002A42FC"/>
    <w:rsid w:val="002A44F2"/>
    <w:rsid w:val="002A50B5"/>
    <w:rsid w:val="002A5676"/>
    <w:rsid w:val="002A5EC5"/>
    <w:rsid w:val="002A6393"/>
    <w:rsid w:val="002A63C9"/>
    <w:rsid w:val="002A672B"/>
    <w:rsid w:val="002A67C0"/>
    <w:rsid w:val="002A6AD1"/>
    <w:rsid w:val="002A6AD2"/>
    <w:rsid w:val="002A6E93"/>
    <w:rsid w:val="002A6F32"/>
    <w:rsid w:val="002A73E5"/>
    <w:rsid w:val="002A74BB"/>
    <w:rsid w:val="002A787B"/>
    <w:rsid w:val="002A7BBB"/>
    <w:rsid w:val="002A7DFA"/>
    <w:rsid w:val="002A7EB9"/>
    <w:rsid w:val="002A7EC4"/>
    <w:rsid w:val="002B0579"/>
    <w:rsid w:val="002B13EE"/>
    <w:rsid w:val="002B1CEC"/>
    <w:rsid w:val="002B2085"/>
    <w:rsid w:val="002B22C7"/>
    <w:rsid w:val="002B2592"/>
    <w:rsid w:val="002B2D06"/>
    <w:rsid w:val="002B2D84"/>
    <w:rsid w:val="002B2F9F"/>
    <w:rsid w:val="002B330F"/>
    <w:rsid w:val="002B38CD"/>
    <w:rsid w:val="002B3979"/>
    <w:rsid w:val="002B3B55"/>
    <w:rsid w:val="002B3BFF"/>
    <w:rsid w:val="002B3D4A"/>
    <w:rsid w:val="002B3DD7"/>
    <w:rsid w:val="002B3F7E"/>
    <w:rsid w:val="002B3FD9"/>
    <w:rsid w:val="002B4A1F"/>
    <w:rsid w:val="002B5386"/>
    <w:rsid w:val="002B5534"/>
    <w:rsid w:val="002B5978"/>
    <w:rsid w:val="002B597A"/>
    <w:rsid w:val="002B5993"/>
    <w:rsid w:val="002B59C7"/>
    <w:rsid w:val="002B5AEC"/>
    <w:rsid w:val="002B5CCB"/>
    <w:rsid w:val="002B5CCD"/>
    <w:rsid w:val="002B5E65"/>
    <w:rsid w:val="002B5FC4"/>
    <w:rsid w:val="002B683E"/>
    <w:rsid w:val="002B6906"/>
    <w:rsid w:val="002B6AC7"/>
    <w:rsid w:val="002B78CD"/>
    <w:rsid w:val="002B7DE0"/>
    <w:rsid w:val="002C023B"/>
    <w:rsid w:val="002C0A52"/>
    <w:rsid w:val="002C1001"/>
    <w:rsid w:val="002C18C1"/>
    <w:rsid w:val="002C212B"/>
    <w:rsid w:val="002C21E7"/>
    <w:rsid w:val="002C2340"/>
    <w:rsid w:val="002C265E"/>
    <w:rsid w:val="002C2974"/>
    <w:rsid w:val="002C2A47"/>
    <w:rsid w:val="002C2B49"/>
    <w:rsid w:val="002C2BFD"/>
    <w:rsid w:val="002C2CC8"/>
    <w:rsid w:val="002C30A9"/>
    <w:rsid w:val="002C3757"/>
    <w:rsid w:val="002C3D14"/>
    <w:rsid w:val="002C408F"/>
    <w:rsid w:val="002C4286"/>
    <w:rsid w:val="002C4768"/>
    <w:rsid w:val="002C4DC0"/>
    <w:rsid w:val="002C57FA"/>
    <w:rsid w:val="002C5A1D"/>
    <w:rsid w:val="002C5A7D"/>
    <w:rsid w:val="002C5F99"/>
    <w:rsid w:val="002C68A7"/>
    <w:rsid w:val="002C6B41"/>
    <w:rsid w:val="002C72E3"/>
    <w:rsid w:val="002C74C6"/>
    <w:rsid w:val="002C7626"/>
    <w:rsid w:val="002D0A0D"/>
    <w:rsid w:val="002D0E25"/>
    <w:rsid w:val="002D0EF9"/>
    <w:rsid w:val="002D1CAF"/>
    <w:rsid w:val="002D1EF1"/>
    <w:rsid w:val="002D1FEF"/>
    <w:rsid w:val="002D2382"/>
    <w:rsid w:val="002D265A"/>
    <w:rsid w:val="002D272D"/>
    <w:rsid w:val="002D278D"/>
    <w:rsid w:val="002D29FD"/>
    <w:rsid w:val="002D3190"/>
    <w:rsid w:val="002D3752"/>
    <w:rsid w:val="002D38B6"/>
    <w:rsid w:val="002D3EE2"/>
    <w:rsid w:val="002D4082"/>
    <w:rsid w:val="002D4153"/>
    <w:rsid w:val="002D4D8F"/>
    <w:rsid w:val="002D4E60"/>
    <w:rsid w:val="002D4EA2"/>
    <w:rsid w:val="002D5484"/>
    <w:rsid w:val="002D555E"/>
    <w:rsid w:val="002D5E17"/>
    <w:rsid w:val="002D60BE"/>
    <w:rsid w:val="002D61F4"/>
    <w:rsid w:val="002D665F"/>
    <w:rsid w:val="002D6E07"/>
    <w:rsid w:val="002D6FE7"/>
    <w:rsid w:val="002D7009"/>
    <w:rsid w:val="002D7119"/>
    <w:rsid w:val="002D7684"/>
    <w:rsid w:val="002D7764"/>
    <w:rsid w:val="002D7F1C"/>
    <w:rsid w:val="002E00C9"/>
    <w:rsid w:val="002E075E"/>
    <w:rsid w:val="002E079C"/>
    <w:rsid w:val="002E0940"/>
    <w:rsid w:val="002E0AAB"/>
    <w:rsid w:val="002E0E4D"/>
    <w:rsid w:val="002E124C"/>
    <w:rsid w:val="002E145E"/>
    <w:rsid w:val="002E1A0F"/>
    <w:rsid w:val="002E1A4C"/>
    <w:rsid w:val="002E1AFF"/>
    <w:rsid w:val="002E1D93"/>
    <w:rsid w:val="002E2169"/>
    <w:rsid w:val="002E245A"/>
    <w:rsid w:val="002E2676"/>
    <w:rsid w:val="002E28C9"/>
    <w:rsid w:val="002E2BC8"/>
    <w:rsid w:val="002E2F90"/>
    <w:rsid w:val="002E30BE"/>
    <w:rsid w:val="002E40B6"/>
    <w:rsid w:val="002E423E"/>
    <w:rsid w:val="002E46EB"/>
    <w:rsid w:val="002E482D"/>
    <w:rsid w:val="002E49CD"/>
    <w:rsid w:val="002E4B6E"/>
    <w:rsid w:val="002E5285"/>
    <w:rsid w:val="002E53B7"/>
    <w:rsid w:val="002E56E8"/>
    <w:rsid w:val="002E59DD"/>
    <w:rsid w:val="002E5AA2"/>
    <w:rsid w:val="002E6198"/>
    <w:rsid w:val="002E6641"/>
    <w:rsid w:val="002E6AC1"/>
    <w:rsid w:val="002E6CDC"/>
    <w:rsid w:val="002E6E84"/>
    <w:rsid w:val="002E6FFA"/>
    <w:rsid w:val="002E74EE"/>
    <w:rsid w:val="002E7C86"/>
    <w:rsid w:val="002E7C92"/>
    <w:rsid w:val="002F010F"/>
    <w:rsid w:val="002F0126"/>
    <w:rsid w:val="002F01AD"/>
    <w:rsid w:val="002F0584"/>
    <w:rsid w:val="002F08EA"/>
    <w:rsid w:val="002F08F3"/>
    <w:rsid w:val="002F0A17"/>
    <w:rsid w:val="002F112A"/>
    <w:rsid w:val="002F1598"/>
    <w:rsid w:val="002F19D5"/>
    <w:rsid w:val="002F1B82"/>
    <w:rsid w:val="002F1EE1"/>
    <w:rsid w:val="002F1F58"/>
    <w:rsid w:val="002F21A5"/>
    <w:rsid w:val="002F220D"/>
    <w:rsid w:val="002F2A37"/>
    <w:rsid w:val="002F3382"/>
    <w:rsid w:val="002F38A3"/>
    <w:rsid w:val="002F3DA0"/>
    <w:rsid w:val="002F3FF0"/>
    <w:rsid w:val="002F4223"/>
    <w:rsid w:val="002F4275"/>
    <w:rsid w:val="002F4C4E"/>
    <w:rsid w:val="002F4CAE"/>
    <w:rsid w:val="002F4FE7"/>
    <w:rsid w:val="002F51FA"/>
    <w:rsid w:val="002F56E8"/>
    <w:rsid w:val="002F5D6F"/>
    <w:rsid w:val="002F6196"/>
    <w:rsid w:val="002F6713"/>
    <w:rsid w:val="002F6881"/>
    <w:rsid w:val="002F6FF8"/>
    <w:rsid w:val="002F7315"/>
    <w:rsid w:val="002F746C"/>
    <w:rsid w:val="002F77D5"/>
    <w:rsid w:val="002F79A8"/>
    <w:rsid w:val="002F7A09"/>
    <w:rsid w:val="002F7BE0"/>
    <w:rsid w:val="0030004B"/>
    <w:rsid w:val="00300138"/>
    <w:rsid w:val="003011EB"/>
    <w:rsid w:val="003015F9"/>
    <w:rsid w:val="0030170C"/>
    <w:rsid w:val="00301726"/>
    <w:rsid w:val="00301A48"/>
    <w:rsid w:val="00301D4C"/>
    <w:rsid w:val="00302284"/>
    <w:rsid w:val="003022E8"/>
    <w:rsid w:val="0030246E"/>
    <w:rsid w:val="0030265B"/>
    <w:rsid w:val="00302C48"/>
    <w:rsid w:val="00303264"/>
    <w:rsid w:val="00303A5C"/>
    <w:rsid w:val="003041AB"/>
    <w:rsid w:val="00304352"/>
    <w:rsid w:val="00304653"/>
    <w:rsid w:val="00304809"/>
    <w:rsid w:val="00304AA2"/>
    <w:rsid w:val="00304C2C"/>
    <w:rsid w:val="00304CB0"/>
    <w:rsid w:val="00304FA3"/>
    <w:rsid w:val="00305252"/>
    <w:rsid w:val="00306196"/>
    <w:rsid w:val="00306307"/>
    <w:rsid w:val="00306483"/>
    <w:rsid w:val="0030691F"/>
    <w:rsid w:val="00306B62"/>
    <w:rsid w:val="00306D1D"/>
    <w:rsid w:val="00306E53"/>
    <w:rsid w:val="00307260"/>
    <w:rsid w:val="003079CD"/>
    <w:rsid w:val="00307A61"/>
    <w:rsid w:val="00307EE2"/>
    <w:rsid w:val="003105DC"/>
    <w:rsid w:val="0031070E"/>
    <w:rsid w:val="00310BAF"/>
    <w:rsid w:val="00311B43"/>
    <w:rsid w:val="0031286B"/>
    <w:rsid w:val="00312DF1"/>
    <w:rsid w:val="00313014"/>
    <w:rsid w:val="003130BD"/>
    <w:rsid w:val="0031388C"/>
    <w:rsid w:val="003138B2"/>
    <w:rsid w:val="00313DFC"/>
    <w:rsid w:val="00313F97"/>
    <w:rsid w:val="003142DA"/>
    <w:rsid w:val="0031459C"/>
    <w:rsid w:val="0031501E"/>
    <w:rsid w:val="003157C9"/>
    <w:rsid w:val="003158ED"/>
    <w:rsid w:val="003161E8"/>
    <w:rsid w:val="00316202"/>
    <w:rsid w:val="00316764"/>
    <w:rsid w:val="00316DD7"/>
    <w:rsid w:val="00316E0B"/>
    <w:rsid w:val="00316F89"/>
    <w:rsid w:val="00317150"/>
    <w:rsid w:val="00320C61"/>
    <w:rsid w:val="00321040"/>
    <w:rsid w:val="00321471"/>
    <w:rsid w:val="00321806"/>
    <w:rsid w:val="00321B6B"/>
    <w:rsid w:val="00322562"/>
    <w:rsid w:val="003225B0"/>
    <w:rsid w:val="00322778"/>
    <w:rsid w:val="00322836"/>
    <w:rsid w:val="00322846"/>
    <w:rsid w:val="00322AF2"/>
    <w:rsid w:val="00322C91"/>
    <w:rsid w:val="00322EBF"/>
    <w:rsid w:val="00322EDC"/>
    <w:rsid w:val="003233E8"/>
    <w:rsid w:val="00323701"/>
    <w:rsid w:val="003238FA"/>
    <w:rsid w:val="00323BB7"/>
    <w:rsid w:val="00323FA4"/>
    <w:rsid w:val="003245C2"/>
    <w:rsid w:val="00324822"/>
    <w:rsid w:val="003248F9"/>
    <w:rsid w:val="00324D0A"/>
    <w:rsid w:val="0032509E"/>
    <w:rsid w:val="00325B54"/>
    <w:rsid w:val="00325DC9"/>
    <w:rsid w:val="003261F7"/>
    <w:rsid w:val="00326235"/>
    <w:rsid w:val="00326270"/>
    <w:rsid w:val="00326B13"/>
    <w:rsid w:val="003279B3"/>
    <w:rsid w:val="00327B1E"/>
    <w:rsid w:val="00327F2D"/>
    <w:rsid w:val="00330022"/>
    <w:rsid w:val="003304E7"/>
    <w:rsid w:val="003306C0"/>
    <w:rsid w:val="003307C8"/>
    <w:rsid w:val="003308BF"/>
    <w:rsid w:val="003308E7"/>
    <w:rsid w:val="003309FF"/>
    <w:rsid w:val="00330B2E"/>
    <w:rsid w:val="00330D77"/>
    <w:rsid w:val="00331BAD"/>
    <w:rsid w:val="00331BF2"/>
    <w:rsid w:val="00331E58"/>
    <w:rsid w:val="00331F40"/>
    <w:rsid w:val="00331FD4"/>
    <w:rsid w:val="0033339A"/>
    <w:rsid w:val="0033350B"/>
    <w:rsid w:val="00334052"/>
    <w:rsid w:val="00334AAD"/>
    <w:rsid w:val="00334C78"/>
    <w:rsid w:val="00334C9D"/>
    <w:rsid w:val="003353B3"/>
    <w:rsid w:val="00335574"/>
    <w:rsid w:val="0033558D"/>
    <w:rsid w:val="003356EB"/>
    <w:rsid w:val="003358BC"/>
    <w:rsid w:val="00335A62"/>
    <w:rsid w:val="00336069"/>
    <w:rsid w:val="003362B6"/>
    <w:rsid w:val="003366D1"/>
    <w:rsid w:val="00336EEC"/>
    <w:rsid w:val="00337062"/>
    <w:rsid w:val="003371D2"/>
    <w:rsid w:val="003372B0"/>
    <w:rsid w:val="00337BE2"/>
    <w:rsid w:val="00337E46"/>
    <w:rsid w:val="00340276"/>
    <w:rsid w:val="0034088D"/>
    <w:rsid w:val="00340E2F"/>
    <w:rsid w:val="003412BD"/>
    <w:rsid w:val="00341C35"/>
    <w:rsid w:val="00342043"/>
    <w:rsid w:val="003427DE"/>
    <w:rsid w:val="00342E8A"/>
    <w:rsid w:val="00342EFB"/>
    <w:rsid w:val="003437F1"/>
    <w:rsid w:val="00343A50"/>
    <w:rsid w:val="00343E13"/>
    <w:rsid w:val="00343F00"/>
    <w:rsid w:val="00343F61"/>
    <w:rsid w:val="0034417E"/>
    <w:rsid w:val="00344712"/>
    <w:rsid w:val="003447A3"/>
    <w:rsid w:val="00344A9D"/>
    <w:rsid w:val="00344C55"/>
    <w:rsid w:val="0034585F"/>
    <w:rsid w:val="00346156"/>
    <w:rsid w:val="0034675C"/>
    <w:rsid w:val="00346A63"/>
    <w:rsid w:val="00347462"/>
    <w:rsid w:val="00347843"/>
    <w:rsid w:val="00347CAE"/>
    <w:rsid w:val="00347EB9"/>
    <w:rsid w:val="00350111"/>
    <w:rsid w:val="00350341"/>
    <w:rsid w:val="00350898"/>
    <w:rsid w:val="003509C3"/>
    <w:rsid w:val="00351708"/>
    <w:rsid w:val="00351DA1"/>
    <w:rsid w:val="00351E61"/>
    <w:rsid w:val="00351EA2"/>
    <w:rsid w:val="003520D1"/>
    <w:rsid w:val="00352151"/>
    <w:rsid w:val="00352239"/>
    <w:rsid w:val="00352A13"/>
    <w:rsid w:val="00352D7D"/>
    <w:rsid w:val="00353000"/>
    <w:rsid w:val="00353156"/>
    <w:rsid w:val="0035316B"/>
    <w:rsid w:val="0035337F"/>
    <w:rsid w:val="00353541"/>
    <w:rsid w:val="00353D0A"/>
    <w:rsid w:val="00353EA7"/>
    <w:rsid w:val="003542A8"/>
    <w:rsid w:val="003546F8"/>
    <w:rsid w:val="00354712"/>
    <w:rsid w:val="0035472C"/>
    <w:rsid w:val="00354973"/>
    <w:rsid w:val="00354CB6"/>
    <w:rsid w:val="003554BF"/>
    <w:rsid w:val="003559DB"/>
    <w:rsid w:val="00355CC0"/>
    <w:rsid w:val="003562D0"/>
    <w:rsid w:val="003563A3"/>
    <w:rsid w:val="003566FD"/>
    <w:rsid w:val="003569A7"/>
    <w:rsid w:val="00356B49"/>
    <w:rsid w:val="00356BB4"/>
    <w:rsid w:val="00357323"/>
    <w:rsid w:val="003579EF"/>
    <w:rsid w:val="00357D6A"/>
    <w:rsid w:val="00360A72"/>
    <w:rsid w:val="00360C6F"/>
    <w:rsid w:val="00360CCC"/>
    <w:rsid w:val="00360D24"/>
    <w:rsid w:val="00360D93"/>
    <w:rsid w:val="003610E1"/>
    <w:rsid w:val="003612AD"/>
    <w:rsid w:val="00361447"/>
    <w:rsid w:val="003614B4"/>
    <w:rsid w:val="0036158C"/>
    <w:rsid w:val="00361E68"/>
    <w:rsid w:val="003622D2"/>
    <w:rsid w:val="003622D9"/>
    <w:rsid w:val="003624CF"/>
    <w:rsid w:val="0036295E"/>
    <w:rsid w:val="003632F9"/>
    <w:rsid w:val="003634D4"/>
    <w:rsid w:val="0036359B"/>
    <w:rsid w:val="003635CF"/>
    <w:rsid w:val="00363728"/>
    <w:rsid w:val="00363A1B"/>
    <w:rsid w:val="00363B27"/>
    <w:rsid w:val="0036452E"/>
    <w:rsid w:val="003649B9"/>
    <w:rsid w:val="00364BEA"/>
    <w:rsid w:val="00364D96"/>
    <w:rsid w:val="0036518E"/>
    <w:rsid w:val="00365C0B"/>
    <w:rsid w:val="00365CF9"/>
    <w:rsid w:val="00366088"/>
    <w:rsid w:val="003660E4"/>
    <w:rsid w:val="00366124"/>
    <w:rsid w:val="003670E0"/>
    <w:rsid w:val="0036783C"/>
    <w:rsid w:val="003678D1"/>
    <w:rsid w:val="00370004"/>
    <w:rsid w:val="0037022F"/>
    <w:rsid w:val="00370862"/>
    <w:rsid w:val="00370A46"/>
    <w:rsid w:val="00370D4A"/>
    <w:rsid w:val="003710D1"/>
    <w:rsid w:val="003711BD"/>
    <w:rsid w:val="003711EF"/>
    <w:rsid w:val="00371ED3"/>
    <w:rsid w:val="00371F76"/>
    <w:rsid w:val="00372B2C"/>
    <w:rsid w:val="00372E94"/>
    <w:rsid w:val="00372F55"/>
    <w:rsid w:val="0037330B"/>
    <w:rsid w:val="0037359E"/>
    <w:rsid w:val="003739D4"/>
    <w:rsid w:val="00373A39"/>
    <w:rsid w:val="003741A2"/>
    <w:rsid w:val="00374588"/>
    <w:rsid w:val="003747B3"/>
    <w:rsid w:val="0037485B"/>
    <w:rsid w:val="003748C0"/>
    <w:rsid w:val="00374A41"/>
    <w:rsid w:val="00374C7C"/>
    <w:rsid w:val="00375558"/>
    <w:rsid w:val="00375BE3"/>
    <w:rsid w:val="00375CF7"/>
    <w:rsid w:val="00376D9D"/>
    <w:rsid w:val="00376F3B"/>
    <w:rsid w:val="003770AA"/>
    <w:rsid w:val="003777F9"/>
    <w:rsid w:val="0037783B"/>
    <w:rsid w:val="00377AC9"/>
    <w:rsid w:val="00377ED6"/>
    <w:rsid w:val="003800D1"/>
    <w:rsid w:val="003803FB"/>
    <w:rsid w:val="00380A70"/>
    <w:rsid w:val="00380B79"/>
    <w:rsid w:val="00380B8A"/>
    <w:rsid w:val="00380CDE"/>
    <w:rsid w:val="00381198"/>
    <w:rsid w:val="00381687"/>
    <w:rsid w:val="00382212"/>
    <w:rsid w:val="00382806"/>
    <w:rsid w:val="003828C8"/>
    <w:rsid w:val="00382E84"/>
    <w:rsid w:val="003831E5"/>
    <w:rsid w:val="003832CB"/>
    <w:rsid w:val="003841FE"/>
    <w:rsid w:val="00384F25"/>
    <w:rsid w:val="003856E0"/>
    <w:rsid w:val="003856E3"/>
    <w:rsid w:val="00385A2A"/>
    <w:rsid w:val="00386941"/>
    <w:rsid w:val="00386B84"/>
    <w:rsid w:val="00386DEC"/>
    <w:rsid w:val="00386E23"/>
    <w:rsid w:val="00387204"/>
    <w:rsid w:val="00387AD8"/>
    <w:rsid w:val="003900C4"/>
    <w:rsid w:val="00390113"/>
    <w:rsid w:val="003903A9"/>
    <w:rsid w:val="003904A1"/>
    <w:rsid w:val="003907C8"/>
    <w:rsid w:val="0039114A"/>
    <w:rsid w:val="003912B2"/>
    <w:rsid w:val="003912D4"/>
    <w:rsid w:val="00391392"/>
    <w:rsid w:val="0039167B"/>
    <w:rsid w:val="00391764"/>
    <w:rsid w:val="00392330"/>
    <w:rsid w:val="003925FE"/>
    <w:rsid w:val="00392887"/>
    <w:rsid w:val="003937FD"/>
    <w:rsid w:val="00395620"/>
    <w:rsid w:val="00395E11"/>
    <w:rsid w:val="00395F06"/>
    <w:rsid w:val="00396018"/>
    <w:rsid w:val="003961E4"/>
    <w:rsid w:val="00396380"/>
    <w:rsid w:val="003966E8"/>
    <w:rsid w:val="00396CF3"/>
    <w:rsid w:val="00396CF9"/>
    <w:rsid w:val="00396F1D"/>
    <w:rsid w:val="003975B7"/>
    <w:rsid w:val="003976A7"/>
    <w:rsid w:val="00397AEA"/>
    <w:rsid w:val="00397C65"/>
    <w:rsid w:val="003A065F"/>
    <w:rsid w:val="003A075A"/>
    <w:rsid w:val="003A0778"/>
    <w:rsid w:val="003A0784"/>
    <w:rsid w:val="003A0CDA"/>
    <w:rsid w:val="003A15F4"/>
    <w:rsid w:val="003A1AB0"/>
    <w:rsid w:val="003A1FEA"/>
    <w:rsid w:val="003A2221"/>
    <w:rsid w:val="003A24B1"/>
    <w:rsid w:val="003A2878"/>
    <w:rsid w:val="003A2B76"/>
    <w:rsid w:val="003A2C1A"/>
    <w:rsid w:val="003A2DAF"/>
    <w:rsid w:val="003A2F7A"/>
    <w:rsid w:val="003A308A"/>
    <w:rsid w:val="003A3380"/>
    <w:rsid w:val="003A3EEE"/>
    <w:rsid w:val="003A45A1"/>
    <w:rsid w:val="003A4A3E"/>
    <w:rsid w:val="003A4C77"/>
    <w:rsid w:val="003A5093"/>
    <w:rsid w:val="003A5582"/>
    <w:rsid w:val="003A60EF"/>
    <w:rsid w:val="003A6128"/>
    <w:rsid w:val="003A6986"/>
    <w:rsid w:val="003A6F90"/>
    <w:rsid w:val="003A79F9"/>
    <w:rsid w:val="003A7EED"/>
    <w:rsid w:val="003B00C8"/>
    <w:rsid w:val="003B08B4"/>
    <w:rsid w:val="003B0D10"/>
    <w:rsid w:val="003B0E9A"/>
    <w:rsid w:val="003B11A5"/>
    <w:rsid w:val="003B1933"/>
    <w:rsid w:val="003B198F"/>
    <w:rsid w:val="003B1C5B"/>
    <w:rsid w:val="003B1DBE"/>
    <w:rsid w:val="003B1DE6"/>
    <w:rsid w:val="003B1DEE"/>
    <w:rsid w:val="003B267E"/>
    <w:rsid w:val="003B2B9D"/>
    <w:rsid w:val="003B2BB8"/>
    <w:rsid w:val="003B2D71"/>
    <w:rsid w:val="003B2EB1"/>
    <w:rsid w:val="003B37B7"/>
    <w:rsid w:val="003B3936"/>
    <w:rsid w:val="003B3EBB"/>
    <w:rsid w:val="003B3FE3"/>
    <w:rsid w:val="003B4B41"/>
    <w:rsid w:val="003B4DCF"/>
    <w:rsid w:val="003B4DEE"/>
    <w:rsid w:val="003B4FA3"/>
    <w:rsid w:val="003B52DE"/>
    <w:rsid w:val="003B56B7"/>
    <w:rsid w:val="003B5D58"/>
    <w:rsid w:val="003B6934"/>
    <w:rsid w:val="003B6A39"/>
    <w:rsid w:val="003B6DDE"/>
    <w:rsid w:val="003B6F1D"/>
    <w:rsid w:val="003B7433"/>
    <w:rsid w:val="003C0908"/>
    <w:rsid w:val="003C0F51"/>
    <w:rsid w:val="003C1074"/>
    <w:rsid w:val="003C149A"/>
    <w:rsid w:val="003C1A56"/>
    <w:rsid w:val="003C1D1F"/>
    <w:rsid w:val="003C1F91"/>
    <w:rsid w:val="003C213D"/>
    <w:rsid w:val="003C2181"/>
    <w:rsid w:val="003C256C"/>
    <w:rsid w:val="003C2FF7"/>
    <w:rsid w:val="003C308D"/>
    <w:rsid w:val="003C323A"/>
    <w:rsid w:val="003C359F"/>
    <w:rsid w:val="003C3701"/>
    <w:rsid w:val="003C3D20"/>
    <w:rsid w:val="003C4143"/>
    <w:rsid w:val="003C44EC"/>
    <w:rsid w:val="003C4996"/>
    <w:rsid w:val="003C4A0E"/>
    <w:rsid w:val="003C4FEC"/>
    <w:rsid w:val="003C50B4"/>
    <w:rsid w:val="003C5199"/>
    <w:rsid w:val="003C51AD"/>
    <w:rsid w:val="003C5264"/>
    <w:rsid w:val="003C5366"/>
    <w:rsid w:val="003C5492"/>
    <w:rsid w:val="003C59DA"/>
    <w:rsid w:val="003C670E"/>
    <w:rsid w:val="003C6B89"/>
    <w:rsid w:val="003C743C"/>
    <w:rsid w:val="003C74A4"/>
    <w:rsid w:val="003C7825"/>
    <w:rsid w:val="003C7985"/>
    <w:rsid w:val="003C7CFB"/>
    <w:rsid w:val="003D00AD"/>
    <w:rsid w:val="003D00F3"/>
    <w:rsid w:val="003D04BC"/>
    <w:rsid w:val="003D1717"/>
    <w:rsid w:val="003D1C27"/>
    <w:rsid w:val="003D1CED"/>
    <w:rsid w:val="003D1FFA"/>
    <w:rsid w:val="003D2738"/>
    <w:rsid w:val="003D31EE"/>
    <w:rsid w:val="003D34FF"/>
    <w:rsid w:val="003D3646"/>
    <w:rsid w:val="003D3838"/>
    <w:rsid w:val="003D39BA"/>
    <w:rsid w:val="003D3C9F"/>
    <w:rsid w:val="003D3F64"/>
    <w:rsid w:val="003D42FB"/>
    <w:rsid w:val="003D4336"/>
    <w:rsid w:val="003D488D"/>
    <w:rsid w:val="003D48ED"/>
    <w:rsid w:val="003D50FB"/>
    <w:rsid w:val="003D5331"/>
    <w:rsid w:val="003D55BA"/>
    <w:rsid w:val="003D57BB"/>
    <w:rsid w:val="003D5E88"/>
    <w:rsid w:val="003D6A77"/>
    <w:rsid w:val="003D6FFB"/>
    <w:rsid w:val="003D71F5"/>
    <w:rsid w:val="003D746B"/>
    <w:rsid w:val="003D7589"/>
    <w:rsid w:val="003D7E1F"/>
    <w:rsid w:val="003E00A8"/>
    <w:rsid w:val="003E0611"/>
    <w:rsid w:val="003E0B5E"/>
    <w:rsid w:val="003E0DC1"/>
    <w:rsid w:val="003E0EB4"/>
    <w:rsid w:val="003E1098"/>
    <w:rsid w:val="003E11F3"/>
    <w:rsid w:val="003E1A04"/>
    <w:rsid w:val="003E20CB"/>
    <w:rsid w:val="003E2122"/>
    <w:rsid w:val="003E2619"/>
    <w:rsid w:val="003E26E3"/>
    <w:rsid w:val="003E29A2"/>
    <w:rsid w:val="003E2B16"/>
    <w:rsid w:val="003E310A"/>
    <w:rsid w:val="003E4EEC"/>
    <w:rsid w:val="003E512B"/>
    <w:rsid w:val="003E51CA"/>
    <w:rsid w:val="003E56DE"/>
    <w:rsid w:val="003E5738"/>
    <w:rsid w:val="003E5859"/>
    <w:rsid w:val="003E5FBD"/>
    <w:rsid w:val="003E6774"/>
    <w:rsid w:val="003E67E2"/>
    <w:rsid w:val="003E6C7A"/>
    <w:rsid w:val="003E6DDB"/>
    <w:rsid w:val="003E6EE2"/>
    <w:rsid w:val="003E7315"/>
    <w:rsid w:val="003E735C"/>
    <w:rsid w:val="003E7E9B"/>
    <w:rsid w:val="003E7FAF"/>
    <w:rsid w:val="003F09BF"/>
    <w:rsid w:val="003F0AC4"/>
    <w:rsid w:val="003F0C73"/>
    <w:rsid w:val="003F0DB0"/>
    <w:rsid w:val="003F12FB"/>
    <w:rsid w:val="003F1347"/>
    <w:rsid w:val="003F157E"/>
    <w:rsid w:val="003F1887"/>
    <w:rsid w:val="003F1B2A"/>
    <w:rsid w:val="003F2163"/>
    <w:rsid w:val="003F2371"/>
    <w:rsid w:val="003F26EF"/>
    <w:rsid w:val="003F2D0C"/>
    <w:rsid w:val="003F3C43"/>
    <w:rsid w:val="003F3CE8"/>
    <w:rsid w:val="003F3D2F"/>
    <w:rsid w:val="003F45BD"/>
    <w:rsid w:val="003F4978"/>
    <w:rsid w:val="003F49F2"/>
    <w:rsid w:val="003F4ABA"/>
    <w:rsid w:val="003F4B02"/>
    <w:rsid w:val="003F4B6E"/>
    <w:rsid w:val="003F4CC1"/>
    <w:rsid w:val="003F53D5"/>
    <w:rsid w:val="003F555B"/>
    <w:rsid w:val="003F5681"/>
    <w:rsid w:val="003F6089"/>
    <w:rsid w:val="003F6344"/>
    <w:rsid w:val="003F6496"/>
    <w:rsid w:val="003F6858"/>
    <w:rsid w:val="003F6E48"/>
    <w:rsid w:val="003F70E9"/>
    <w:rsid w:val="003F71E8"/>
    <w:rsid w:val="003F75EA"/>
    <w:rsid w:val="003F7F1F"/>
    <w:rsid w:val="0040003A"/>
    <w:rsid w:val="0040022C"/>
    <w:rsid w:val="00400438"/>
    <w:rsid w:val="0040061E"/>
    <w:rsid w:val="0040062A"/>
    <w:rsid w:val="004009F1"/>
    <w:rsid w:val="00400A16"/>
    <w:rsid w:val="00400B0E"/>
    <w:rsid w:val="0040122C"/>
    <w:rsid w:val="00401D72"/>
    <w:rsid w:val="00401E12"/>
    <w:rsid w:val="00401E85"/>
    <w:rsid w:val="004021B8"/>
    <w:rsid w:val="0040233B"/>
    <w:rsid w:val="00402695"/>
    <w:rsid w:val="00402AA9"/>
    <w:rsid w:val="00402CAC"/>
    <w:rsid w:val="00402D26"/>
    <w:rsid w:val="00402FC6"/>
    <w:rsid w:val="00403751"/>
    <w:rsid w:val="00403FE2"/>
    <w:rsid w:val="0040460A"/>
    <w:rsid w:val="004047CE"/>
    <w:rsid w:val="004048EF"/>
    <w:rsid w:val="00405100"/>
    <w:rsid w:val="00405124"/>
    <w:rsid w:val="0040521B"/>
    <w:rsid w:val="0040525C"/>
    <w:rsid w:val="0040541A"/>
    <w:rsid w:val="00405542"/>
    <w:rsid w:val="00405694"/>
    <w:rsid w:val="004057A8"/>
    <w:rsid w:val="00405AE1"/>
    <w:rsid w:val="00405B86"/>
    <w:rsid w:val="00406735"/>
    <w:rsid w:val="00406E06"/>
    <w:rsid w:val="00407421"/>
    <w:rsid w:val="004109DC"/>
    <w:rsid w:val="004112DE"/>
    <w:rsid w:val="004112FF"/>
    <w:rsid w:val="00411924"/>
    <w:rsid w:val="00411AA6"/>
    <w:rsid w:val="00411CEC"/>
    <w:rsid w:val="00411ED7"/>
    <w:rsid w:val="004121AA"/>
    <w:rsid w:val="004127E6"/>
    <w:rsid w:val="00412AF3"/>
    <w:rsid w:val="00412C71"/>
    <w:rsid w:val="00412E6B"/>
    <w:rsid w:val="00412F6C"/>
    <w:rsid w:val="00413848"/>
    <w:rsid w:val="004139E1"/>
    <w:rsid w:val="00414162"/>
    <w:rsid w:val="004141EB"/>
    <w:rsid w:val="0041488A"/>
    <w:rsid w:val="004148B4"/>
    <w:rsid w:val="00414CD7"/>
    <w:rsid w:val="00415071"/>
    <w:rsid w:val="00415634"/>
    <w:rsid w:val="0041564C"/>
    <w:rsid w:val="0041580A"/>
    <w:rsid w:val="004162F8"/>
    <w:rsid w:val="00416335"/>
    <w:rsid w:val="00416535"/>
    <w:rsid w:val="00416C6E"/>
    <w:rsid w:val="00416E83"/>
    <w:rsid w:val="004170C4"/>
    <w:rsid w:val="004170F3"/>
    <w:rsid w:val="004172D1"/>
    <w:rsid w:val="004174AB"/>
    <w:rsid w:val="00417541"/>
    <w:rsid w:val="004202F3"/>
    <w:rsid w:val="0042033B"/>
    <w:rsid w:val="00420977"/>
    <w:rsid w:val="00421128"/>
    <w:rsid w:val="00421A4F"/>
    <w:rsid w:val="00421EC1"/>
    <w:rsid w:val="00421FD4"/>
    <w:rsid w:val="00422796"/>
    <w:rsid w:val="00422BF2"/>
    <w:rsid w:val="004230CF"/>
    <w:rsid w:val="004230E8"/>
    <w:rsid w:val="00423CDD"/>
    <w:rsid w:val="004240B8"/>
    <w:rsid w:val="004244EE"/>
    <w:rsid w:val="00424576"/>
    <w:rsid w:val="004246BB"/>
    <w:rsid w:val="00424AF5"/>
    <w:rsid w:val="00424D08"/>
    <w:rsid w:val="00424F02"/>
    <w:rsid w:val="00424FA9"/>
    <w:rsid w:val="004251C7"/>
    <w:rsid w:val="004253C2"/>
    <w:rsid w:val="00425455"/>
    <w:rsid w:val="00425CE2"/>
    <w:rsid w:val="004260CC"/>
    <w:rsid w:val="00426193"/>
    <w:rsid w:val="00426445"/>
    <w:rsid w:val="00426CD5"/>
    <w:rsid w:val="00426DA2"/>
    <w:rsid w:val="00427620"/>
    <w:rsid w:val="00427897"/>
    <w:rsid w:val="00427B58"/>
    <w:rsid w:val="00427EA7"/>
    <w:rsid w:val="00427EEC"/>
    <w:rsid w:val="00430854"/>
    <w:rsid w:val="00430B0F"/>
    <w:rsid w:val="00430EB4"/>
    <w:rsid w:val="00430FDD"/>
    <w:rsid w:val="00431362"/>
    <w:rsid w:val="004314E7"/>
    <w:rsid w:val="0043180F"/>
    <w:rsid w:val="004318F5"/>
    <w:rsid w:val="00432275"/>
    <w:rsid w:val="00432307"/>
    <w:rsid w:val="00432812"/>
    <w:rsid w:val="004328DD"/>
    <w:rsid w:val="00432ADC"/>
    <w:rsid w:val="00432BC8"/>
    <w:rsid w:val="00432BF0"/>
    <w:rsid w:val="00432F0D"/>
    <w:rsid w:val="004334DD"/>
    <w:rsid w:val="00433517"/>
    <w:rsid w:val="00433878"/>
    <w:rsid w:val="00433C6B"/>
    <w:rsid w:val="00433E40"/>
    <w:rsid w:val="00433E42"/>
    <w:rsid w:val="004345E1"/>
    <w:rsid w:val="00434954"/>
    <w:rsid w:val="00434B01"/>
    <w:rsid w:val="00434E4D"/>
    <w:rsid w:val="004351BC"/>
    <w:rsid w:val="004355AA"/>
    <w:rsid w:val="004356A6"/>
    <w:rsid w:val="0043589F"/>
    <w:rsid w:val="004358DF"/>
    <w:rsid w:val="00435C52"/>
    <w:rsid w:val="0043618E"/>
    <w:rsid w:val="00436234"/>
    <w:rsid w:val="0043636A"/>
    <w:rsid w:val="00436605"/>
    <w:rsid w:val="004369C9"/>
    <w:rsid w:val="00436D10"/>
    <w:rsid w:val="00437054"/>
    <w:rsid w:val="00437128"/>
    <w:rsid w:val="004376BF"/>
    <w:rsid w:val="00437A4A"/>
    <w:rsid w:val="00437C12"/>
    <w:rsid w:val="00437D9C"/>
    <w:rsid w:val="00437EC0"/>
    <w:rsid w:val="00440434"/>
    <w:rsid w:val="004410BD"/>
    <w:rsid w:val="00441102"/>
    <w:rsid w:val="00441A54"/>
    <w:rsid w:val="00441C0B"/>
    <w:rsid w:val="00441CAB"/>
    <w:rsid w:val="00442086"/>
    <w:rsid w:val="004426A1"/>
    <w:rsid w:val="004429B5"/>
    <w:rsid w:val="00442AE6"/>
    <w:rsid w:val="00443252"/>
    <w:rsid w:val="0044346A"/>
    <w:rsid w:val="00443882"/>
    <w:rsid w:val="00443D87"/>
    <w:rsid w:val="0044437D"/>
    <w:rsid w:val="00445828"/>
    <w:rsid w:val="0044588A"/>
    <w:rsid w:val="00446614"/>
    <w:rsid w:val="004466F2"/>
    <w:rsid w:val="00446838"/>
    <w:rsid w:val="00446C2A"/>
    <w:rsid w:val="00446CF6"/>
    <w:rsid w:val="00447454"/>
    <w:rsid w:val="004477DB"/>
    <w:rsid w:val="00447FB2"/>
    <w:rsid w:val="00450190"/>
    <w:rsid w:val="00450686"/>
    <w:rsid w:val="004508FB"/>
    <w:rsid w:val="00450B23"/>
    <w:rsid w:val="00450B8F"/>
    <w:rsid w:val="00450BCA"/>
    <w:rsid w:val="00451173"/>
    <w:rsid w:val="00451638"/>
    <w:rsid w:val="00451818"/>
    <w:rsid w:val="00451EBA"/>
    <w:rsid w:val="00452201"/>
    <w:rsid w:val="00452209"/>
    <w:rsid w:val="0045286E"/>
    <w:rsid w:val="00452A3F"/>
    <w:rsid w:val="00452D06"/>
    <w:rsid w:val="00452E10"/>
    <w:rsid w:val="00453309"/>
    <w:rsid w:val="00453C38"/>
    <w:rsid w:val="0045420C"/>
    <w:rsid w:val="00454E13"/>
    <w:rsid w:val="0045501B"/>
    <w:rsid w:val="0045557E"/>
    <w:rsid w:val="00455950"/>
    <w:rsid w:val="00455C4F"/>
    <w:rsid w:val="00455D81"/>
    <w:rsid w:val="00455E89"/>
    <w:rsid w:val="00455ECE"/>
    <w:rsid w:val="00456386"/>
    <w:rsid w:val="004566E8"/>
    <w:rsid w:val="004573E7"/>
    <w:rsid w:val="00457B1A"/>
    <w:rsid w:val="00457C75"/>
    <w:rsid w:val="004600F5"/>
    <w:rsid w:val="0046056F"/>
    <w:rsid w:val="004605C6"/>
    <w:rsid w:val="004606EC"/>
    <w:rsid w:val="00460A37"/>
    <w:rsid w:val="00460AF7"/>
    <w:rsid w:val="00460B94"/>
    <w:rsid w:val="00460ECA"/>
    <w:rsid w:val="00461041"/>
    <w:rsid w:val="004610CD"/>
    <w:rsid w:val="00461A2E"/>
    <w:rsid w:val="00461EB7"/>
    <w:rsid w:val="00461F8E"/>
    <w:rsid w:val="00462253"/>
    <w:rsid w:val="004625FA"/>
    <w:rsid w:val="00462897"/>
    <w:rsid w:val="00462B64"/>
    <w:rsid w:val="00462BA1"/>
    <w:rsid w:val="00462E42"/>
    <w:rsid w:val="00463160"/>
    <w:rsid w:val="00463259"/>
    <w:rsid w:val="004634EB"/>
    <w:rsid w:val="004635E9"/>
    <w:rsid w:val="0046373C"/>
    <w:rsid w:val="0046378D"/>
    <w:rsid w:val="00463820"/>
    <w:rsid w:val="0046388E"/>
    <w:rsid w:val="00463E22"/>
    <w:rsid w:val="004640CF"/>
    <w:rsid w:val="0046450A"/>
    <w:rsid w:val="00464625"/>
    <w:rsid w:val="00464836"/>
    <w:rsid w:val="00464901"/>
    <w:rsid w:val="00464973"/>
    <w:rsid w:val="00464A64"/>
    <w:rsid w:val="00464D53"/>
    <w:rsid w:val="00465336"/>
    <w:rsid w:val="00465B6E"/>
    <w:rsid w:val="00465B6F"/>
    <w:rsid w:val="00465BDC"/>
    <w:rsid w:val="0046608B"/>
    <w:rsid w:val="00466119"/>
    <w:rsid w:val="004666C6"/>
    <w:rsid w:val="00466C62"/>
    <w:rsid w:val="00467350"/>
    <w:rsid w:val="00467368"/>
    <w:rsid w:val="0046760C"/>
    <w:rsid w:val="00467697"/>
    <w:rsid w:val="0046778D"/>
    <w:rsid w:val="00467AD1"/>
    <w:rsid w:val="00467BFF"/>
    <w:rsid w:val="00467C26"/>
    <w:rsid w:val="00467DAC"/>
    <w:rsid w:val="00470C38"/>
    <w:rsid w:val="00470F29"/>
    <w:rsid w:val="00471083"/>
    <w:rsid w:val="00472077"/>
    <w:rsid w:val="004720E1"/>
    <w:rsid w:val="00472816"/>
    <w:rsid w:val="00472A90"/>
    <w:rsid w:val="00472F4A"/>
    <w:rsid w:val="004730E5"/>
    <w:rsid w:val="00473137"/>
    <w:rsid w:val="00473486"/>
    <w:rsid w:val="00474508"/>
    <w:rsid w:val="00474711"/>
    <w:rsid w:val="00474C7B"/>
    <w:rsid w:val="00474DC0"/>
    <w:rsid w:val="00475A9A"/>
    <w:rsid w:val="00475BD3"/>
    <w:rsid w:val="00475C54"/>
    <w:rsid w:val="00475D26"/>
    <w:rsid w:val="004760EC"/>
    <w:rsid w:val="004768BD"/>
    <w:rsid w:val="004769B3"/>
    <w:rsid w:val="00476D2A"/>
    <w:rsid w:val="0047739C"/>
    <w:rsid w:val="0047768C"/>
    <w:rsid w:val="004776B0"/>
    <w:rsid w:val="0048002C"/>
    <w:rsid w:val="00480301"/>
    <w:rsid w:val="004805B2"/>
    <w:rsid w:val="00480751"/>
    <w:rsid w:val="00480AA3"/>
    <w:rsid w:val="00480E87"/>
    <w:rsid w:val="00481248"/>
    <w:rsid w:val="004817F4"/>
    <w:rsid w:val="00481F39"/>
    <w:rsid w:val="00481F70"/>
    <w:rsid w:val="0048245F"/>
    <w:rsid w:val="004827E2"/>
    <w:rsid w:val="00482B8C"/>
    <w:rsid w:val="00483234"/>
    <w:rsid w:val="00483FAC"/>
    <w:rsid w:val="00483FBB"/>
    <w:rsid w:val="00484059"/>
    <w:rsid w:val="004840D9"/>
    <w:rsid w:val="004840E1"/>
    <w:rsid w:val="004840F7"/>
    <w:rsid w:val="00484F07"/>
    <w:rsid w:val="004854D0"/>
    <w:rsid w:val="004861C3"/>
    <w:rsid w:val="0048635A"/>
    <w:rsid w:val="0048663E"/>
    <w:rsid w:val="00486AAC"/>
    <w:rsid w:val="00486AAD"/>
    <w:rsid w:val="00486B30"/>
    <w:rsid w:val="00486B81"/>
    <w:rsid w:val="00487182"/>
    <w:rsid w:val="00487275"/>
    <w:rsid w:val="00487327"/>
    <w:rsid w:val="004876FD"/>
    <w:rsid w:val="00490424"/>
    <w:rsid w:val="00490CA5"/>
    <w:rsid w:val="00490F35"/>
    <w:rsid w:val="0049144B"/>
    <w:rsid w:val="004916DC"/>
    <w:rsid w:val="0049220C"/>
    <w:rsid w:val="00492DDF"/>
    <w:rsid w:val="00492DFC"/>
    <w:rsid w:val="0049332A"/>
    <w:rsid w:val="00493371"/>
    <w:rsid w:val="0049351B"/>
    <w:rsid w:val="00493C70"/>
    <w:rsid w:val="00494220"/>
    <w:rsid w:val="00494955"/>
    <w:rsid w:val="00494F35"/>
    <w:rsid w:val="004955BE"/>
    <w:rsid w:val="0049593F"/>
    <w:rsid w:val="00495974"/>
    <w:rsid w:val="00495DDD"/>
    <w:rsid w:val="00495FA7"/>
    <w:rsid w:val="004962AE"/>
    <w:rsid w:val="0049644F"/>
    <w:rsid w:val="00496458"/>
    <w:rsid w:val="00496612"/>
    <w:rsid w:val="004969FB"/>
    <w:rsid w:val="00496A5F"/>
    <w:rsid w:val="00496C1F"/>
    <w:rsid w:val="00496F36"/>
    <w:rsid w:val="00496F9B"/>
    <w:rsid w:val="004977B0"/>
    <w:rsid w:val="00497A4C"/>
    <w:rsid w:val="00497E46"/>
    <w:rsid w:val="004A0448"/>
    <w:rsid w:val="004A0556"/>
    <w:rsid w:val="004A0715"/>
    <w:rsid w:val="004A0A42"/>
    <w:rsid w:val="004A0B08"/>
    <w:rsid w:val="004A0BB8"/>
    <w:rsid w:val="004A0D89"/>
    <w:rsid w:val="004A0E64"/>
    <w:rsid w:val="004A148C"/>
    <w:rsid w:val="004A1827"/>
    <w:rsid w:val="004A193B"/>
    <w:rsid w:val="004A1C9C"/>
    <w:rsid w:val="004A2020"/>
    <w:rsid w:val="004A22DB"/>
    <w:rsid w:val="004A28A3"/>
    <w:rsid w:val="004A290B"/>
    <w:rsid w:val="004A2DCF"/>
    <w:rsid w:val="004A325F"/>
    <w:rsid w:val="004A3D72"/>
    <w:rsid w:val="004A3F43"/>
    <w:rsid w:val="004A440B"/>
    <w:rsid w:val="004A4A16"/>
    <w:rsid w:val="004A545B"/>
    <w:rsid w:val="004A5B37"/>
    <w:rsid w:val="004A5EF8"/>
    <w:rsid w:val="004A5FFA"/>
    <w:rsid w:val="004A65F1"/>
    <w:rsid w:val="004A6670"/>
    <w:rsid w:val="004A6EB7"/>
    <w:rsid w:val="004A7A2F"/>
    <w:rsid w:val="004A7E10"/>
    <w:rsid w:val="004B006C"/>
    <w:rsid w:val="004B084D"/>
    <w:rsid w:val="004B100E"/>
    <w:rsid w:val="004B104B"/>
    <w:rsid w:val="004B143E"/>
    <w:rsid w:val="004B1CE1"/>
    <w:rsid w:val="004B1F12"/>
    <w:rsid w:val="004B23EB"/>
    <w:rsid w:val="004B268C"/>
    <w:rsid w:val="004B2787"/>
    <w:rsid w:val="004B29A8"/>
    <w:rsid w:val="004B2A34"/>
    <w:rsid w:val="004B2A85"/>
    <w:rsid w:val="004B2FD5"/>
    <w:rsid w:val="004B399C"/>
    <w:rsid w:val="004B3A6D"/>
    <w:rsid w:val="004B3A76"/>
    <w:rsid w:val="004B3A94"/>
    <w:rsid w:val="004B3B79"/>
    <w:rsid w:val="004B3ECF"/>
    <w:rsid w:val="004B4005"/>
    <w:rsid w:val="004B44C5"/>
    <w:rsid w:val="004B4B05"/>
    <w:rsid w:val="004B4FD9"/>
    <w:rsid w:val="004B5161"/>
    <w:rsid w:val="004B51A4"/>
    <w:rsid w:val="004B51AB"/>
    <w:rsid w:val="004B53DF"/>
    <w:rsid w:val="004B54CA"/>
    <w:rsid w:val="004B573B"/>
    <w:rsid w:val="004B57C8"/>
    <w:rsid w:val="004B59C8"/>
    <w:rsid w:val="004B5A1A"/>
    <w:rsid w:val="004B5ECF"/>
    <w:rsid w:val="004B65E7"/>
    <w:rsid w:val="004B6620"/>
    <w:rsid w:val="004B6E70"/>
    <w:rsid w:val="004B7012"/>
    <w:rsid w:val="004B77D3"/>
    <w:rsid w:val="004B7B45"/>
    <w:rsid w:val="004B7C4A"/>
    <w:rsid w:val="004C0200"/>
    <w:rsid w:val="004C05F4"/>
    <w:rsid w:val="004C0A43"/>
    <w:rsid w:val="004C0D2B"/>
    <w:rsid w:val="004C0E78"/>
    <w:rsid w:val="004C0EB2"/>
    <w:rsid w:val="004C1412"/>
    <w:rsid w:val="004C1501"/>
    <w:rsid w:val="004C2430"/>
    <w:rsid w:val="004C2823"/>
    <w:rsid w:val="004C2AC5"/>
    <w:rsid w:val="004C2C47"/>
    <w:rsid w:val="004C2D9C"/>
    <w:rsid w:val="004C2E11"/>
    <w:rsid w:val="004C310D"/>
    <w:rsid w:val="004C39C3"/>
    <w:rsid w:val="004C4ABD"/>
    <w:rsid w:val="004C4C54"/>
    <w:rsid w:val="004C4F2F"/>
    <w:rsid w:val="004C518C"/>
    <w:rsid w:val="004C541F"/>
    <w:rsid w:val="004C550B"/>
    <w:rsid w:val="004C58F8"/>
    <w:rsid w:val="004C5D17"/>
    <w:rsid w:val="004C5D53"/>
    <w:rsid w:val="004C5FDB"/>
    <w:rsid w:val="004C60A6"/>
    <w:rsid w:val="004C6A7A"/>
    <w:rsid w:val="004C766D"/>
    <w:rsid w:val="004C79AF"/>
    <w:rsid w:val="004C7B99"/>
    <w:rsid w:val="004C7C33"/>
    <w:rsid w:val="004C7F57"/>
    <w:rsid w:val="004D01FC"/>
    <w:rsid w:val="004D022E"/>
    <w:rsid w:val="004D060C"/>
    <w:rsid w:val="004D0C15"/>
    <w:rsid w:val="004D0E2E"/>
    <w:rsid w:val="004D0ED4"/>
    <w:rsid w:val="004D0F12"/>
    <w:rsid w:val="004D1310"/>
    <w:rsid w:val="004D19FD"/>
    <w:rsid w:val="004D1C8D"/>
    <w:rsid w:val="004D1CB8"/>
    <w:rsid w:val="004D2514"/>
    <w:rsid w:val="004D2CD6"/>
    <w:rsid w:val="004D2CF9"/>
    <w:rsid w:val="004D2E45"/>
    <w:rsid w:val="004D2FA1"/>
    <w:rsid w:val="004D30DD"/>
    <w:rsid w:val="004D32B5"/>
    <w:rsid w:val="004D32CE"/>
    <w:rsid w:val="004D375D"/>
    <w:rsid w:val="004D39F3"/>
    <w:rsid w:val="004D3B47"/>
    <w:rsid w:val="004D4291"/>
    <w:rsid w:val="004D44D1"/>
    <w:rsid w:val="004D47A8"/>
    <w:rsid w:val="004D47BC"/>
    <w:rsid w:val="004D481B"/>
    <w:rsid w:val="004D48E5"/>
    <w:rsid w:val="004D4EBE"/>
    <w:rsid w:val="004D50DC"/>
    <w:rsid w:val="004D5576"/>
    <w:rsid w:val="004D57C8"/>
    <w:rsid w:val="004D5850"/>
    <w:rsid w:val="004D5A33"/>
    <w:rsid w:val="004D5C07"/>
    <w:rsid w:val="004D5C7B"/>
    <w:rsid w:val="004D5E7D"/>
    <w:rsid w:val="004D6068"/>
    <w:rsid w:val="004D64CC"/>
    <w:rsid w:val="004D6633"/>
    <w:rsid w:val="004D6B3A"/>
    <w:rsid w:val="004D71F4"/>
    <w:rsid w:val="004D73BA"/>
    <w:rsid w:val="004D7A6B"/>
    <w:rsid w:val="004D7C39"/>
    <w:rsid w:val="004E0294"/>
    <w:rsid w:val="004E0446"/>
    <w:rsid w:val="004E0D6C"/>
    <w:rsid w:val="004E1031"/>
    <w:rsid w:val="004E1372"/>
    <w:rsid w:val="004E1CD8"/>
    <w:rsid w:val="004E2149"/>
    <w:rsid w:val="004E25B3"/>
    <w:rsid w:val="004E27F2"/>
    <w:rsid w:val="004E27F6"/>
    <w:rsid w:val="004E2CEF"/>
    <w:rsid w:val="004E2FE7"/>
    <w:rsid w:val="004E300D"/>
    <w:rsid w:val="004E3448"/>
    <w:rsid w:val="004E38AE"/>
    <w:rsid w:val="004E3A65"/>
    <w:rsid w:val="004E432C"/>
    <w:rsid w:val="004E461E"/>
    <w:rsid w:val="004E4BD2"/>
    <w:rsid w:val="004E50D9"/>
    <w:rsid w:val="004E5669"/>
    <w:rsid w:val="004E5AAF"/>
    <w:rsid w:val="004E5AB4"/>
    <w:rsid w:val="004E5CBF"/>
    <w:rsid w:val="004E5EAC"/>
    <w:rsid w:val="004E6192"/>
    <w:rsid w:val="004E64B4"/>
    <w:rsid w:val="004E667C"/>
    <w:rsid w:val="004E66B1"/>
    <w:rsid w:val="004E675D"/>
    <w:rsid w:val="004E68B1"/>
    <w:rsid w:val="004E68FE"/>
    <w:rsid w:val="004E6B4B"/>
    <w:rsid w:val="004E7489"/>
    <w:rsid w:val="004F0839"/>
    <w:rsid w:val="004F0BBD"/>
    <w:rsid w:val="004F11D9"/>
    <w:rsid w:val="004F1312"/>
    <w:rsid w:val="004F15DD"/>
    <w:rsid w:val="004F21DC"/>
    <w:rsid w:val="004F2BEC"/>
    <w:rsid w:val="004F2E8F"/>
    <w:rsid w:val="004F2E9D"/>
    <w:rsid w:val="004F33B0"/>
    <w:rsid w:val="004F36F9"/>
    <w:rsid w:val="004F38E0"/>
    <w:rsid w:val="004F391A"/>
    <w:rsid w:val="004F3BC0"/>
    <w:rsid w:val="004F3C90"/>
    <w:rsid w:val="004F406D"/>
    <w:rsid w:val="004F43BD"/>
    <w:rsid w:val="004F44AF"/>
    <w:rsid w:val="004F4633"/>
    <w:rsid w:val="004F4901"/>
    <w:rsid w:val="004F4A4F"/>
    <w:rsid w:val="004F4EAB"/>
    <w:rsid w:val="004F518C"/>
    <w:rsid w:val="004F52D9"/>
    <w:rsid w:val="004F5639"/>
    <w:rsid w:val="004F5A7C"/>
    <w:rsid w:val="004F5AD4"/>
    <w:rsid w:val="004F5D94"/>
    <w:rsid w:val="004F6213"/>
    <w:rsid w:val="004F67EB"/>
    <w:rsid w:val="004F6B4B"/>
    <w:rsid w:val="004F6B88"/>
    <w:rsid w:val="004F6C37"/>
    <w:rsid w:val="004F7087"/>
    <w:rsid w:val="004F7895"/>
    <w:rsid w:val="004F7B42"/>
    <w:rsid w:val="004F7D9C"/>
    <w:rsid w:val="00500442"/>
    <w:rsid w:val="0050093E"/>
    <w:rsid w:val="0050114E"/>
    <w:rsid w:val="0050134C"/>
    <w:rsid w:val="005013F7"/>
    <w:rsid w:val="00501545"/>
    <w:rsid w:val="00501D5C"/>
    <w:rsid w:val="00501DD7"/>
    <w:rsid w:val="0050215C"/>
    <w:rsid w:val="00502800"/>
    <w:rsid w:val="00502C64"/>
    <w:rsid w:val="00503285"/>
    <w:rsid w:val="005033E4"/>
    <w:rsid w:val="005033EC"/>
    <w:rsid w:val="00503628"/>
    <w:rsid w:val="00503859"/>
    <w:rsid w:val="005039AA"/>
    <w:rsid w:val="005039B3"/>
    <w:rsid w:val="00504507"/>
    <w:rsid w:val="0050454D"/>
    <w:rsid w:val="005047C9"/>
    <w:rsid w:val="00504D75"/>
    <w:rsid w:val="00504E40"/>
    <w:rsid w:val="00505181"/>
    <w:rsid w:val="0050542D"/>
    <w:rsid w:val="00505562"/>
    <w:rsid w:val="00505CCD"/>
    <w:rsid w:val="00505E2C"/>
    <w:rsid w:val="005062E3"/>
    <w:rsid w:val="00506604"/>
    <w:rsid w:val="00506F4C"/>
    <w:rsid w:val="0050702D"/>
    <w:rsid w:val="00507203"/>
    <w:rsid w:val="0050737D"/>
    <w:rsid w:val="00507DD2"/>
    <w:rsid w:val="00507FBA"/>
    <w:rsid w:val="0051000C"/>
    <w:rsid w:val="005103D6"/>
    <w:rsid w:val="00510B02"/>
    <w:rsid w:val="00510FC1"/>
    <w:rsid w:val="005117AA"/>
    <w:rsid w:val="00511A48"/>
    <w:rsid w:val="005120E3"/>
    <w:rsid w:val="00512225"/>
    <w:rsid w:val="005127A8"/>
    <w:rsid w:val="00512A1D"/>
    <w:rsid w:val="00513533"/>
    <w:rsid w:val="00513830"/>
    <w:rsid w:val="005138CF"/>
    <w:rsid w:val="00513AE4"/>
    <w:rsid w:val="00513C47"/>
    <w:rsid w:val="00513F6D"/>
    <w:rsid w:val="005142D8"/>
    <w:rsid w:val="00514768"/>
    <w:rsid w:val="00514D2E"/>
    <w:rsid w:val="00514DC4"/>
    <w:rsid w:val="00514F3E"/>
    <w:rsid w:val="005155C1"/>
    <w:rsid w:val="00515AB6"/>
    <w:rsid w:val="00515B56"/>
    <w:rsid w:val="00515C70"/>
    <w:rsid w:val="005160C0"/>
    <w:rsid w:val="00516318"/>
    <w:rsid w:val="00516C91"/>
    <w:rsid w:val="00517183"/>
    <w:rsid w:val="00517247"/>
    <w:rsid w:val="005175FE"/>
    <w:rsid w:val="00520669"/>
    <w:rsid w:val="00520753"/>
    <w:rsid w:val="00520983"/>
    <w:rsid w:val="00521237"/>
    <w:rsid w:val="00521327"/>
    <w:rsid w:val="005213B7"/>
    <w:rsid w:val="00521420"/>
    <w:rsid w:val="00521B1B"/>
    <w:rsid w:val="00521B8F"/>
    <w:rsid w:val="00521CFE"/>
    <w:rsid w:val="0052203E"/>
    <w:rsid w:val="005220E0"/>
    <w:rsid w:val="00522298"/>
    <w:rsid w:val="005225F9"/>
    <w:rsid w:val="0052302B"/>
    <w:rsid w:val="005230BF"/>
    <w:rsid w:val="00523708"/>
    <w:rsid w:val="00523967"/>
    <w:rsid w:val="00523A9F"/>
    <w:rsid w:val="00523E1A"/>
    <w:rsid w:val="00524094"/>
    <w:rsid w:val="005242DE"/>
    <w:rsid w:val="00524BF0"/>
    <w:rsid w:val="0052508F"/>
    <w:rsid w:val="005253F8"/>
    <w:rsid w:val="0052567E"/>
    <w:rsid w:val="0052610F"/>
    <w:rsid w:val="00526DF6"/>
    <w:rsid w:val="00527346"/>
    <w:rsid w:val="005274C2"/>
    <w:rsid w:val="005276B1"/>
    <w:rsid w:val="00527B3B"/>
    <w:rsid w:val="005302A8"/>
    <w:rsid w:val="00530A55"/>
    <w:rsid w:val="00530D8C"/>
    <w:rsid w:val="00531344"/>
    <w:rsid w:val="005313B3"/>
    <w:rsid w:val="005314B7"/>
    <w:rsid w:val="00531F67"/>
    <w:rsid w:val="00532200"/>
    <w:rsid w:val="00532581"/>
    <w:rsid w:val="00532C0A"/>
    <w:rsid w:val="00532E6E"/>
    <w:rsid w:val="0053315D"/>
    <w:rsid w:val="00533580"/>
    <w:rsid w:val="00533647"/>
    <w:rsid w:val="005338A7"/>
    <w:rsid w:val="00533BDA"/>
    <w:rsid w:val="005342A4"/>
    <w:rsid w:val="00534405"/>
    <w:rsid w:val="0053463D"/>
    <w:rsid w:val="00534D60"/>
    <w:rsid w:val="00534D76"/>
    <w:rsid w:val="00534DCE"/>
    <w:rsid w:val="005354EF"/>
    <w:rsid w:val="005357DE"/>
    <w:rsid w:val="00535884"/>
    <w:rsid w:val="00535BA8"/>
    <w:rsid w:val="00536000"/>
    <w:rsid w:val="005365B1"/>
    <w:rsid w:val="00536BFA"/>
    <w:rsid w:val="00536F99"/>
    <w:rsid w:val="00537063"/>
    <w:rsid w:val="005374CE"/>
    <w:rsid w:val="00537B03"/>
    <w:rsid w:val="00537B4A"/>
    <w:rsid w:val="00537F6A"/>
    <w:rsid w:val="005400EF"/>
    <w:rsid w:val="00540878"/>
    <w:rsid w:val="00540D95"/>
    <w:rsid w:val="005413BD"/>
    <w:rsid w:val="005416FB"/>
    <w:rsid w:val="00541BAA"/>
    <w:rsid w:val="00541D2C"/>
    <w:rsid w:val="00542BA0"/>
    <w:rsid w:val="00542DCD"/>
    <w:rsid w:val="00542E79"/>
    <w:rsid w:val="00544224"/>
    <w:rsid w:val="00544D93"/>
    <w:rsid w:val="00544FFF"/>
    <w:rsid w:val="00545519"/>
    <w:rsid w:val="005458EF"/>
    <w:rsid w:val="005465B3"/>
    <w:rsid w:val="0054698E"/>
    <w:rsid w:val="00546A4E"/>
    <w:rsid w:val="00546B67"/>
    <w:rsid w:val="005474D9"/>
    <w:rsid w:val="00547AB3"/>
    <w:rsid w:val="005505B2"/>
    <w:rsid w:val="00551227"/>
    <w:rsid w:val="00551AF0"/>
    <w:rsid w:val="00552A54"/>
    <w:rsid w:val="00552AB0"/>
    <w:rsid w:val="00552F9D"/>
    <w:rsid w:val="00552FA1"/>
    <w:rsid w:val="00553966"/>
    <w:rsid w:val="00553FB2"/>
    <w:rsid w:val="005542F4"/>
    <w:rsid w:val="005544E3"/>
    <w:rsid w:val="005546DA"/>
    <w:rsid w:val="005546E6"/>
    <w:rsid w:val="005547D1"/>
    <w:rsid w:val="0055492D"/>
    <w:rsid w:val="00555270"/>
    <w:rsid w:val="00555886"/>
    <w:rsid w:val="0055610A"/>
    <w:rsid w:val="00556414"/>
    <w:rsid w:val="005568A6"/>
    <w:rsid w:val="00556AD4"/>
    <w:rsid w:val="0055720C"/>
    <w:rsid w:val="0055728A"/>
    <w:rsid w:val="00557730"/>
    <w:rsid w:val="00557B43"/>
    <w:rsid w:val="005602B2"/>
    <w:rsid w:val="005604CE"/>
    <w:rsid w:val="005608BA"/>
    <w:rsid w:val="005608F3"/>
    <w:rsid w:val="00561A69"/>
    <w:rsid w:val="00562F12"/>
    <w:rsid w:val="00562F2F"/>
    <w:rsid w:val="00562F59"/>
    <w:rsid w:val="00563083"/>
    <w:rsid w:val="005633FF"/>
    <w:rsid w:val="00563449"/>
    <w:rsid w:val="00563DC4"/>
    <w:rsid w:val="00563F98"/>
    <w:rsid w:val="0056406C"/>
    <w:rsid w:val="0056466D"/>
    <w:rsid w:val="005649B7"/>
    <w:rsid w:val="00564A01"/>
    <w:rsid w:val="00564D87"/>
    <w:rsid w:val="005650E5"/>
    <w:rsid w:val="0056618C"/>
    <w:rsid w:val="005661C3"/>
    <w:rsid w:val="005667FC"/>
    <w:rsid w:val="00566955"/>
    <w:rsid w:val="00566AAC"/>
    <w:rsid w:val="0056708C"/>
    <w:rsid w:val="005673B0"/>
    <w:rsid w:val="00570576"/>
    <w:rsid w:val="00570F4B"/>
    <w:rsid w:val="005710FA"/>
    <w:rsid w:val="005713C0"/>
    <w:rsid w:val="005714CD"/>
    <w:rsid w:val="00571BEF"/>
    <w:rsid w:val="00571E59"/>
    <w:rsid w:val="00572B9D"/>
    <w:rsid w:val="005734F4"/>
    <w:rsid w:val="00573532"/>
    <w:rsid w:val="00573633"/>
    <w:rsid w:val="00573983"/>
    <w:rsid w:val="00573E87"/>
    <w:rsid w:val="00573FBB"/>
    <w:rsid w:val="00573FFD"/>
    <w:rsid w:val="00574184"/>
    <w:rsid w:val="00574360"/>
    <w:rsid w:val="00574413"/>
    <w:rsid w:val="00574527"/>
    <w:rsid w:val="00574A2A"/>
    <w:rsid w:val="00575466"/>
    <w:rsid w:val="00575767"/>
    <w:rsid w:val="00575D75"/>
    <w:rsid w:val="005760B6"/>
    <w:rsid w:val="00576162"/>
    <w:rsid w:val="0057620C"/>
    <w:rsid w:val="005762AB"/>
    <w:rsid w:val="0057648F"/>
    <w:rsid w:val="00576856"/>
    <w:rsid w:val="0057685B"/>
    <w:rsid w:val="00576A21"/>
    <w:rsid w:val="00576C2B"/>
    <w:rsid w:val="00576E4D"/>
    <w:rsid w:val="005773C6"/>
    <w:rsid w:val="00577627"/>
    <w:rsid w:val="005778F3"/>
    <w:rsid w:val="00577C58"/>
    <w:rsid w:val="00580144"/>
    <w:rsid w:val="005806C9"/>
    <w:rsid w:val="005806FB"/>
    <w:rsid w:val="00580882"/>
    <w:rsid w:val="00580D53"/>
    <w:rsid w:val="00580E43"/>
    <w:rsid w:val="00580F62"/>
    <w:rsid w:val="0058179E"/>
    <w:rsid w:val="00581AF6"/>
    <w:rsid w:val="0058207C"/>
    <w:rsid w:val="005828B3"/>
    <w:rsid w:val="0058292A"/>
    <w:rsid w:val="00582FA7"/>
    <w:rsid w:val="005830B0"/>
    <w:rsid w:val="005835A1"/>
    <w:rsid w:val="00583659"/>
    <w:rsid w:val="005837B0"/>
    <w:rsid w:val="005837DD"/>
    <w:rsid w:val="00583BE6"/>
    <w:rsid w:val="00583DC8"/>
    <w:rsid w:val="0058408F"/>
    <w:rsid w:val="00584248"/>
    <w:rsid w:val="0058433D"/>
    <w:rsid w:val="00584823"/>
    <w:rsid w:val="005849CE"/>
    <w:rsid w:val="00584D09"/>
    <w:rsid w:val="00584D6F"/>
    <w:rsid w:val="00584F89"/>
    <w:rsid w:val="00585034"/>
    <w:rsid w:val="00585304"/>
    <w:rsid w:val="00585485"/>
    <w:rsid w:val="00585E46"/>
    <w:rsid w:val="005860E2"/>
    <w:rsid w:val="00586173"/>
    <w:rsid w:val="00586255"/>
    <w:rsid w:val="0058643D"/>
    <w:rsid w:val="00586E2F"/>
    <w:rsid w:val="00586F82"/>
    <w:rsid w:val="00587B46"/>
    <w:rsid w:val="00590158"/>
    <w:rsid w:val="0059036D"/>
    <w:rsid w:val="00590602"/>
    <w:rsid w:val="005906F5"/>
    <w:rsid w:val="00590A32"/>
    <w:rsid w:val="00590B57"/>
    <w:rsid w:val="0059103C"/>
    <w:rsid w:val="0059136E"/>
    <w:rsid w:val="005913A3"/>
    <w:rsid w:val="00591BC0"/>
    <w:rsid w:val="00592190"/>
    <w:rsid w:val="005926A5"/>
    <w:rsid w:val="00592789"/>
    <w:rsid w:val="00592B81"/>
    <w:rsid w:val="00592E47"/>
    <w:rsid w:val="00593028"/>
    <w:rsid w:val="00593079"/>
    <w:rsid w:val="005938B8"/>
    <w:rsid w:val="005938FD"/>
    <w:rsid w:val="00593C73"/>
    <w:rsid w:val="00593D16"/>
    <w:rsid w:val="005944E7"/>
    <w:rsid w:val="00595321"/>
    <w:rsid w:val="00595C06"/>
    <w:rsid w:val="00595D09"/>
    <w:rsid w:val="00596085"/>
    <w:rsid w:val="0059609D"/>
    <w:rsid w:val="0059655D"/>
    <w:rsid w:val="0059696C"/>
    <w:rsid w:val="00596B07"/>
    <w:rsid w:val="00596D97"/>
    <w:rsid w:val="00596E0B"/>
    <w:rsid w:val="005974DB"/>
    <w:rsid w:val="0059782C"/>
    <w:rsid w:val="00597BD1"/>
    <w:rsid w:val="00597CD9"/>
    <w:rsid w:val="00597E91"/>
    <w:rsid w:val="005A0686"/>
    <w:rsid w:val="005A0AA0"/>
    <w:rsid w:val="005A0DC5"/>
    <w:rsid w:val="005A0E69"/>
    <w:rsid w:val="005A142B"/>
    <w:rsid w:val="005A156C"/>
    <w:rsid w:val="005A1743"/>
    <w:rsid w:val="005A1B40"/>
    <w:rsid w:val="005A1BDD"/>
    <w:rsid w:val="005A1D65"/>
    <w:rsid w:val="005A2316"/>
    <w:rsid w:val="005A2644"/>
    <w:rsid w:val="005A2B4C"/>
    <w:rsid w:val="005A304A"/>
    <w:rsid w:val="005A311C"/>
    <w:rsid w:val="005A3610"/>
    <w:rsid w:val="005A3935"/>
    <w:rsid w:val="005A4348"/>
    <w:rsid w:val="005A45B6"/>
    <w:rsid w:val="005A49E7"/>
    <w:rsid w:val="005A4C32"/>
    <w:rsid w:val="005A4EA8"/>
    <w:rsid w:val="005A51DC"/>
    <w:rsid w:val="005A548A"/>
    <w:rsid w:val="005A5A13"/>
    <w:rsid w:val="005A6312"/>
    <w:rsid w:val="005A640E"/>
    <w:rsid w:val="005A65C3"/>
    <w:rsid w:val="005A6740"/>
    <w:rsid w:val="005A68F4"/>
    <w:rsid w:val="005A72D1"/>
    <w:rsid w:val="005A7DE4"/>
    <w:rsid w:val="005B02BA"/>
    <w:rsid w:val="005B09A5"/>
    <w:rsid w:val="005B12B2"/>
    <w:rsid w:val="005B1341"/>
    <w:rsid w:val="005B19C6"/>
    <w:rsid w:val="005B1C76"/>
    <w:rsid w:val="005B1CE9"/>
    <w:rsid w:val="005B1DDC"/>
    <w:rsid w:val="005B217E"/>
    <w:rsid w:val="005B274F"/>
    <w:rsid w:val="005B2BEA"/>
    <w:rsid w:val="005B2C1A"/>
    <w:rsid w:val="005B3117"/>
    <w:rsid w:val="005B373E"/>
    <w:rsid w:val="005B3B40"/>
    <w:rsid w:val="005B3C2A"/>
    <w:rsid w:val="005B4969"/>
    <w:rsid w:val="005B4B67"/>
    <w:rsid w:val="005B4D71"/>
    <w:rsid w:val="005B4E12"/>
    <w:rsid w:val="005B4FA5"/>
    <w:rsid w:val="005B5430"/>
    <w:rsid w:val="005B5B80"/>
    <w:rsid w:val="005B5C5E"/>
    <w:rsid w:val="005B6064"/>
    <w:rsid w:val="005B663D"/>
    <w:rsid w:val="005B6716"/>
    <w:rsid w:val="005B6B44"/>
    <w:rsid w:val="005B6EDC"/>
    <w:rsid w:val="005B6F7F"/>
    <w:rsid w:val="005B7490"/>
    <w:rsid w:val="005B7B90"/>
    <w:rsid w:val="005C0413"/>
    <w:rsid w:val="005C046E"/>
    <w:rsid w:val="005C0549"/>
    <w:rsid w:val="005C06F7"/>
    <w:rsid w:val="005C07AA"/>
    <w:rsid w:val="005C08BA"/>
    <w:rsid w:val="005C0E9D"/>
    <w:rsid w:val="005C1907"/>
    <w:rsid w:val="005C1AA9"/>
    <w:rsid w:val="005C220F"/>
    <w:rsid w:val="005C2591"/>
    <w:rsid w:val="005C25B9"/>
    <w:rsid w:val="005C25CA"/>
    <w:rsid w:val="005C2728"/>
    <w:rsid w:val="005C28AA"/>
    <w:rsid w:val="005C2C0C"/>
    <w:rsid w:val="005C2C7E"/>
    <w:rsid w:val="005C308B"/>
    <w:rsid w:val="005C32AC"/>
    <w:rsid w:val="005C3968"/>
    <w:rsid w:val="005C3AA9"/>
    <w:rsid w:val="005C405D"/>
    <w:rsid w:val="005C411B"/>
    <w:rsid w:val="005C44F5"/>
    <w:rsid w:val="005C4664"/>
    <w:rsid w:val="005C4747"/>
    <w:rsid w:val="005C496D"/>
    <w:rsid w:val="005C4C5F"/>
    <w:rsid w:val="005C4C76"/>
    <w:rsid w:val="005C4F92"/>
    <w:rsid w:val="005C5003"/>
    <w:rsid w:val="005C52E1"/>
    <w:rsid w:val="005C53F7"/>
    <w:rsid w:val="005C5715"/>
    <w:rsid w:val="005C5A6D"/>
    <w:rsid w:val="005C5CF7"/>
    <w:rsid w:val="005C6640"/>
    <w:rsid w:val="005C66E7"/>
    <w:rsid w:val="005C6723"/>
    <w:rsid w:val="005C67B2"/>
    <w:rsid w:val="005C68B5"/>
    <w:rsid w:val="005C6922"/>
    <w:rsid w:val="005C6AA6"/>
    <w:rsid w:val="005C6E17"/>
    <w:rsid w:val="005C725B"/>
    <w:rsid w:val="005C76BC"/>
    <w:rsid w:val="005C796E"/>
    <w:rsid w:val="005C7A0A"/>
    <w:rsid w:val="005C7C13"/>
    <w:rsid w:val="005C7C3A"/>
    <w:rsid w:val="005C7FE6"/>
    <w:rsid w:val="005D053A"/>
    <w:rsid w:val="005D0983"/>
    <w:rsid w:val="005D0A27"/>
    <w:rsid w:val="005D0C54"/>
    <w:rsid w:val="005D0F1F"/>
    <w:rsid w:val="005D134A"/>
    <w:rsid w:val="005D150F"/>
    <w:rsid w:val="005D1FC2"/>
    <w:rsid w:val="005D2018"/>
    <w:rsid w:val="005D21FB"/>
    <w:rsid w:val="005D228A"/>
    <w:rsid w:val="005D233A"/>
    <w:rsid w:val="005D304C"/>
    <w:rsid w:val="005D31DE"/>
    <w:rsid w:val="005D32CC"/>
    <w:rsid w:val="005D3D9D"/>
    <w:rsid w:val="005D3E9E"/>
    <w:rsid w:val="005D4962"/>
    <w:rsid w:val="005D4AEB"/>
    <w:rsid w:val="005D4F01"/>
    <w:rsid w:val="005D5051"/>
    <w:rsid w:val="005D50B6"/>
    <w:rsid w:val="005D5377"/>
    <w:rsid w:val="005D5F0D"/>
    <w:rsid w:val="005D5F82"/>
    <w:rsid w:val="005D6B25"/>
    <w:rsid w:val="005D6CA4"/>
    <w:rsid w:val="005D7069"/>
    <w:rsid w:val="005D729D"/>
    <w:rsid w:val="005D7527"/>
    <w:rsid w:val="005D7572"/>
    <w:rsid w:val="005D7C84"/>
    <w:rsid w:val="005E00C4"/>
    <w:rsid w:val="005E0574"/>
    <w:rsid w:val="005E0740"/>
    <w:rsid w:val="005E08FA"/>
    <w:rsid w:val="005E095A"/>
    <w:rsid w:val="005E1125"/>
    <w:rsid w:val="005E1B95"/>
    <w:rsid w:val="005E1DBB"/>
    <w:rsid w:val="005E1E2A"/>
    <w:rsid w:val="005E1EBC"/>
    <w:rsid w:val="005E2867"/>
    <w:rsid w:val="005E2970"/>
    <w:rsid w:val="005E2AD2"/>
    <w:rsid w:val="005E2C01"/>
    <w:rsid w:val="005E2FFE"/>
    <w:rsid w:val="005E301A"/>
    <w:rsid w:val="005E319A"/>
    <w:rsid w:val="005E371E"/>
    <w:rsid w:val="005E3FA0"/>
    <w:rsid w:val="005E41BC"/>
    <w:rsid w:val="005E42A5"/>
    <w:rsid w:val="005E4519"/>
    <w:rsid w:val="005E45CD"/>
    <w:rsid w:val="005E4A9A"/>
    <w:rsid w:val="005E50E4"/>
    <w:rsid w:val="005E5634"/>
    <w:rsid w:val="005E58F3"/>
    <w:rsid w:val="005E5D2D"/>
    <w:rsid w:val="005E5DBD"/>
    <w:rsid w:val="005E6290"/>
    <w:rsid w:val="005E629E"/>
    <w:rsid w:val="005E6650"/>
    <w:rsid w:val="005E681D"/>
    <w:rsid w:val="005E69BB"/>
    <w:rsid w:val="005E6B35"/>
    <w:rsid w:val="005E6D8B"/>
    <w:rsid w:val="005E72B8"/>
    <w:rsid w:val="005E74D7"/>
    <w:rsid w:val="005E7958"/>
    <w:rsid w:val="005E79C6"/>
    <w:rsid w:val="005F0264"/>
    <w:rsid w:val="005F02B2"/>
    <w:rsid w:val="005F0513"/>
    <w:rsid w:val="005F0693"/>
    <w:rsid w:val="005F094D"/>
    <w:rsid w:val="005F095A"/>
    <w:rsid w:val="005F0AAA"/>
    <w:rsid w:val="005F0E1A"/>
    <w:rsid w:val="005F180D"/>
    <w:rsid w:val="005F1830"/>
    <w:rsid w:val="005F1A2B"/>
    <w:rsid w:val="005F1B0E"/>
    <w:rsid w:val="005F20F5"/>
    <w:rsid w:val="005F2458"/>
    <w:rsid w:val="005F2531"/>
    <w:rsid w:val="005F2763"/>
    <w:rsid w:val="005F2808"/>
    <w:rsid w:val="005F282D"/>
    <w:rsid w:val="005F2BF8"/>
    <w:rsid w:val="005F365C"/>
    <w:rsid w:val="005F368F"/>
    <w:rsid w:val="005F3743"/>
    <w:rsid w:val="005F3878"/>
    <w:rsid w:val="005F38AF"/>
    <w:rsid w:val="005F3DDD"/>
    <w:rsid w:val="005F4A2F"/>
    <w:rsid w:val="005F4AFB"/>
    <w:rsid w:val="005F51DD"/>
    <w:rsid w:val="005F5A42"/>
    <w:rsid w:val="005F5B6D"/>
    <w:rsid w:val="005F5F36"/>
    <w:rsid w:val="005F6007"/>
    <w:rsid w:val="005F63EC"/>
    <w:rsid w:val="005F6F3F"/>
    <w:rsid w:val="005F7BC3"/>
    <w:rsid w:val="005F7FB5"/>
    <w:rsid w:val="0060002C"/>
    <w:rsid w:val="00600BC2"/>
    <w:rsid w:val="00600D2F"/>
    <w:rsid w:val="00600FE5"/>
    <w:rsid w:val="00601036"/>
    <w:rsid w:val="006016C2"/>
    <w:rsid w:val="00601858"/>
    <w:rsid w:val="00601B1E"/>
    <w:rsid w:val="00601CC4"/>
    <w:rsid w:val="0060212F"/>
    <w:rsid w:val="006026EB"/>
    <w:rsid w:val="0060277F"/>
    <w:rsid w:val="00602E4F"/>
    <w:rsid w:val="006032B8"/>
    <w:rsid w:val="0060386F"/>
    <w:rsid w:val="00603B03"/>
    <w:rsid w:val="00603CAC"/>
    <w:rsid w:val="00603D38"/>
    <w:rsid w:val="00603E47"/>
    <w:rsid w:val="00603EA0"/>
    <w:rsid w:val="00603F12"/>
    <w:rsid w:val="00604049"/>
    <w:rsid w:val="00604DC5"/>
    <w:rsid w:val="0060512D"/>
    <w:rsid w:val="0060536B"/>
    <w:rsid w:val="00605544"/>
    <w:rsid w:val="006055B7"/>
    <w:rsid w:val="006055B9"/>
    <w:rsid w:val="0060575E"/>
    <w:rsid w:val="006057F2"/>
    <w:rsid w:val="00605A94"/>
    <w:rsid w:val="00605F80"/>
    <w:rsid w:val="00606826"/>
    <w:rsid w:val="00606CC5"/>
    <w:rsid w:val="00606D0F"/>
    <w:rsid w:val="00606D7D"/>
    <w:rsid w:val="00606E18"/>
    <w:rsid w:val="00606E6F"/>
    <w:rsid w:val="0060769C"/>
    <w:rsid w:val="00607C33"/>
    <w:rsid w:val="00607F7B"/>
    <w:rsid w:val="006107CA"/>
    <w:rsid w:val="00611252"/>
    <w:rsid w:val="006117F7"/>
    <w:rsid w:val="0061208C"/>
    <w:rsid w:val="006126C5"/>
    <w:rsid w:val="006128B3"/>
    <w:rsid w:val="00612B8E"/>
    <w:rsid w:val="00613C50"/>
    <w:rsid w:val="00613C75"/>
    <w:rsid w:val="00613D57"/>
    <w:rsid w:val="00613E41"/>
    <w:rsid w:val="0061402E"/>
    <w:rsid w:val="00614050"/>
    <w:rsid w:val="0061445A"/>
    <w:rsid w:val="0061446A"/>
    <w:rsid w:val="006144C9"/>
    <w:rsid w:val="006146F4"/>
    <w:rsid w:val="00615428"/>
    <w:rsid w:val="00615EB1"/>
    <w:rsid w:val="00616460"/>
    <w:rsid w:val="00616A23"/>
    <w:rsid w:val="00616C4E"/>
    <w:rsid w:val="00616ED5"/>
    <w:rsid w:val="0061723D"/>
    <w:rsid w:val="00617AA8"/>
    <w:rsid w:val="00617C11"/>
    <w:rsid w:val="00617CAD"/>
    <w:rsid w:val="00617DCD"/>
    <w:rsid w:val="0062001D"/>
    <w:rsid w:val="006203A2"/>
    <w:rsid w:val="006205AA"/>
    <w:rsid w:val="006206B0"/>
    <w:rsid w:val="00620836"/>
    <w:rsid w:val="00620B42"/>
    <w:rsid w:val="00621402"/>
    <w:rsid w:val="0062175B"/>
    <w:rsid w:val="00621938"/>
    <w:rsid w:val="0062194F"/>
    <w:rsid w:val="00621968"/>
    <w:rsid w:val="00621AE4"/>
    <w:rsid w:val="00621C72"/>
    <w:rsid w:val="00622116"/>
    <w:rsid w:val="006221CF"/>
    <w:rsid w:val="00622C1A"/>
    <w:rsid w:val="00622CBE"/>
    <w:rsid w:val="00622D70"/>
    <w:rsid w:val="00622E0E"/>
    <w:rsid w:val="00622E67"/>
    <w:rsid w:val="00623086"/>
    <w:rsid w:val="00623322"/>
    <w:rsid w:val="00623B45"/>
    <w:rsid w:val="006242EC"/>
    <w:rsid w:val="0062435E"/>
    <w:rsid w:val="00624425"/>
    <w:rsid w:val="00624BF2"/>
    <w:rsid w:val="00625AF1"/>
    <w:rsid w:val="00625E12"/>
    <w:rsid w:val="00625EBC"/>
    <w:rsid w:val="006265D4"/>
    <w:rsid w:val="00626FCE"/>
    <w:rsid w:val="00627062"/>
    <w:rsid w:val="0062709F"/>
    <w:rsid w:val="006307F9"/>
    <w:rsid w:val="00630BAA"/>
    <w:rsid w:val="00630FC0"/>
    <w:rsid w:val="00631061"/>
    <w:rsid w:val="006310B5"/>
    <w:rsid w:val="00631293"/>
    <w:rsid w:val="00631823"/>
    <w:rsid w:val="00632234"/>
    <w:rsid w:val="00632307"/>
    <w:rsid w:val="00632401"/>
    <w:rsid w:val="00632B12"/>
    <w:rsid w:val="00632CF8"/>
    <w:rsid w:val="00632F56"/>
    <w:rsid w:val="006333D5"/>
    <w:rsid w:val="006334F8"/>
    <w:rsid w:val="00633770"/>
    <w:rsid w:val="00633B37"/>
    <w:rsid w:val="00633BCC"/>
    <w:rsid w:val="00633F15"/>
    <w:rsid w:val="00633F2D"/>
    <w:rsid w:val="00633F8C"/>
    <w:rsid w:val="00634386"/>
    <w:rsid w:val="006343DE"/>
    <w:rsid w:val="0063449D"/>
    <w:rsid w:val="006344C9"/>
    <w:rsid w:val="006344CB"/>
    <w:rsid w:val="006346EB"/>
    <w:rsid w:val="00634BB8"/>
    <w:rsid w:val="006352D2"/>
    <w:rsid w:val="00635724"/>
    <w:rsid w:val="00635A36"/>
    <w:rsid w:val="006361DB"/>
    <w:rsid w:val="006362A8"/>
    <w:rsid w:val="006367E0"/>
    <w:rsid w:val="00636AD1"/>
    <w:rsid w:val="00637714"/>
    <w:rsid w:val="006378C2"/>
    <w:rsid w:val="006379F2"/>
    <w:rsid w:val="00637D6B"/>
    <w:rsid w:val="00637E83"/>
    <w:rsid w:val="0064025D"/>
    <w:rsid w:val="006411EA"/>
    <w:rsid w:val="00641661"/>
    <w:rsid w:val="0064195A"/>
    <w:rsid w:val="0064195C"/>
    <w:rsid w:val="00641CFC"/>
    <w:rsid w:val="006420BA"/>
    <w:rsid w:val="00642223"/>
    <w:rsid w:val="00642A37"/>
    <w:rsid w:val="00642C53"/>
    <w:rsid w:val="00642C69"/>
    <w:rsid w:val="00642DBF"/>
    <w:rsid w:val="00642DD1"/>
    <w:rsid w:val="00643007"/>
    <w:rsid w:val="006430B4"/>
    <w:rsid w:val="006433A8"/>
    <w:rsid w:val="006437CF"/>
    <w:rsid w:val="00643A98"/>
    <w:rsid w:val="00643C21"/>
    <w:rsid w:val="00643E00"/>
    <w:rsid w:val="006448E4"/>
    <w:rsid w:val="00644D4F"/>
    <w:rsid w:val="0064561D"/>
    <w:rsid w:val="0064581C"/>
    <w:rsid w:val="0064594E"/>
    <w:rsid w:val="00645AC5"/>
    <w:rsid w:val="00645ECF"/>
    <w:rsid w:val="00645F4A"/>
    <w:rsid w:val="006464CB"/>
    <w:rsid w:val="006465DD"/>
    <w:rsid w:val="00646FE7"/>
    <w:rsid w:val="006471E1"/>
    <w:rsid w:val="006474C1"/>
    <w:rsid w:val="00647838"/>
    <w:rsid w:val="006500EF"/>
    <w:rsid w:val="006506BF"/>
    <w:rsid w:val="006507C3"/>
    <w:rsid w:val="006507DC"/>
    <w:rsid w:val="00650A49"/>
    <w:rsid w:val="00651744"/>
    <w:rsid w:val="00651787"/>
    <w:rsid w:val="00651B1D"/>
    <w:rsid w:val="00652555"/>
    <w:rsid w:val="006525E9"/>
    <w:rsid w:val="0065265D"/>
    <w:rsid w:val="006527FE"/>
    <w:rsid w:val="006530F5"/>
    <w:rsid w:val="0065324F"/>
    <w:rsid w:val="00653418"/>
    <w:rsid w:val="00653436"/>
    <w:rsid w:val="006535D7"/>
    <w:rsid w:val="00653C35"/>
    <w:rsid w:val="00653C4F"/>
    <w:rsid w:val="00654770"/>
    <w:rsid w:val="00654AF9"/>
    <w:rsid w:val="006550D2"/>
    <w:rsid w:val="00655B11"/>
    <w:rsid w:val="006560AE"/>
    <w:rsid w:val="006563F7"/>
    <w:rsid w:val="006564F5"/>
    <w:rsid w:val="006565E0"/>
    <w:rsid w:val="0065662E"/>
    <w:rsid w:val="0065710E"/>
    <w:rsid w:val="0065712B"/>
    <w:rsid w:val="0065747B"/>
    <w:rsid w:val="0065757D"/>
    <w:rsid w:val="00660012"/>
    <w:rsid w:val="00660BE5"/>
    <w:rsid w:val="006613E2"/>
    <w:rsid w:val="00661AAC"/>
    <w:rsid w:val="00661D7F"/>
    <w:rsid w:val="00661E29"/>
    <w:rsid w:val="006622C8"/>
    <w:rsid w:val="00662536"/>
    <w:rsid w:val="006628F3"/>
    <w:rsid w:val="006631DE"/>
    <w:rsid w:val="006632B3"/>
    <w:rsid w:val="006636A3"/>
    <w:rsid w:val="006636D7"/>
    <w:rsid w:val="006636FD"/>
    <w:rsid w:val="00663E72"/>
    <w:rsid w:val="00663FDE"/>
    <w:rsid w:val="006642B2"/>
    <w:rsid w:val="00664473"/>
    <w:rsid w:val="00664720"/>
    <w:rsid w:val="0066480C"/>
    <w:rsid w:val="00665025"/>
    <w:rsid w:val="00665095"/>
    <w:rsid w:val="00665185"/>
    <w:rsid w:val="00665251"/>
    <w:rsid w:val="00665401"/>
    <w:rsid w:val="00665C1F"/>
    <w:rsid w:val="00665E70"/>
    <w:rsid w:val="00665E7A"/>
    <w:rsid w:val="00666139"/>
    <w:rsid w:val="00666C80"/>
    <w:rsid w:val="00667405"/>
    <w:rsid w:val="00667751"/>
    <w:rsid w:val="00667B47"/>
    <w:rsid w:val="00670206"/>
    <w:rsid w:val="006704AD"/>
    <w:rsid w:val="006707AF"/>
    <w:rsid w:val="00670862"/>
    <w:rsid w:val="0067146D"/>
    <w:rsid w:val="00671525"/>
    <w:rsid w:val="006717C8"/>
    <w:rsid w:val="00671BAD"/>
    <w:rsid w:val="00671BBF"/>
    <w:rsid w:val="00671F0E"/>
    <w:rsid w:val="0067276A"/>
    <w:rsid w:val="00672EA2"/>
    <w:rsid w:val="006730CF"/>
    <w:rsid w:val="00673B49"/>
    <w:rsid w:val="0067425F"/>
    <w:rsid w:val="00674521"/>
    <w:rsid w:val="00674C58"/>
    <w:rsid w:val="006759E4"/>
    <w:rsid w:val="00675AA4"/>
    <w:rsid w:val="00675AD9"/>
    <w:rsid w:val="00675B62"/>
    <w:rsid w:val="00675BAC"/>
    <w:rsid w:val="00675EB5"/>
    <w:rsid w:val="006761BF"/>
    <w:rsid w:val="006764EF"/>
    <w:rsid w:val="006765DF"/>
    <w:rsid w:val="006765FF"/>
    <w:rsid w:val="006766DE"/>
    <w:rsid w:val="006768D7"/>
    <w:rsid w:val="00676982"/>
    <w:rsid w:val="00676DE9"/>
    <w:rsid w:val="00676E46"/>
    <w:rsid w:val="006770FB"/>
    <w:rsid w:val="00677B5C"/>
    <w:rsid w:val="00677B7B"/>
    <w:rsid w:val="00677BE9"/>
    <w:rsid w:val="00680650"/>
    <w:rsid w:val="00681412"/>
    <w:rsid w:val="00681B43"/>
    <w:rsid w:val="00681C3E"/>
    <w:rsid w:val="0068238A"/>
    <w:rsid w:val="006829D6"/>
    <w:rsid w:val="00682BC6"/>
    <w:rsid w:val="00682D9C"/>
    <w:rsid w:val="006830DC"/>
    <w:rsid w:val="006831A6"/>
    <w:rsid w:val="0068374F"/>
    <w:rsid w:val="00683C23"/>
    <w:rsid w:val="00683DF0"/>
    <w:rsid w:val="00684034"/>
    <w:rsid w:val="006845C5"/>
    <w:rsid w:val="00684AE4"/>
    <w:rsid w:val="00684EC6"/>
    <w:rsid w:val="00685589"/>
    <w:rsid w:val="00685721"/>
    <w:rsid w:val="006858D9"/>
    <w:rsid w:val="00685C7F"/>
    <w:rsid w:val="00686348"/>
    <w:rsid w:val="0068639F"/>
    <w:rsid w:val="00686603"/>
    <w:rsid w:val="0068669E"/>
    <w:rsid w:val="006866F1"/>
    <w:rsid w:val="00686778"/>
    <w:rsid w:val="00686AB6"/>
    <w:rsid w:val="00686ADC"/>
    <w:rsid w:val="00686E36"/>
    <w:rsid w:val="006873A9"/>
    <w:rsid w:val="00687510"/>
    <w:rsid w:val="006878CF"/>
    <w:rsid w:val="00690067"/>
    <w:rsid w:val="006903E3"/>
    <w:rsid w:val="00690460"/>
    <w:rsid w:val="00690E68"/>
    <w:rsid w:val="0069113D"/>
    <w:rsid w:val="00691A47"/>
    <w:rsid w:val="00691AF8"/>
    <w:rsid w:val="00691C64"/>
    <w:rsid w:val="00692190"/>
    <w:rsid w:val="00692252"/>
    <w:rsid w:val="00692344"/>
    <w:rsid w:val="00692628"/>
    <w:rsid w:val="00692B7E"/>
    <w:rsid w:val="00692C17"/>
    <w:rsid w:val="00692F42"/>
    <w:rsid w:val="00692FC9"/>
    <w:rsid w:val="00693088"/>
    <w:rsid w:val="0069347E"/>
    <w:rsid w:val="00693865"/>
    <w:rsid w:val="00693F69"/>
    <w:rsid w:val="00694AB7"/>
    <w:rsid w:val="00694D6E"/>
    <w:rsid w:val="00695043"/>
    <w:rsid w:val="006950C0"/>
    <w:rsid w:val="0069552F"/>
    <w:rsid w:val="0069596B"/>
    <w:rsid w:val="00695A2E"/>
    <w:rsid w:val="00695B6D"/>
    <w:rsid w:val="00695F0D"/>
    <w:rsid w:val="006962C1"/>
    <w:rsid w:val="006969A2"/>
    <w:rsid w:val="00696A1E"/>
    <w:rsid w:val="00696A22"/>
    <w:rsid w:val="00696BCF"/>
    <w:rsid w:val="00696C9A"/>
    <w:rsid w:val="00696E1F"/>
    <w:rsid w:val="0069713C"/>
    <w:rsid w:val="0069714F"/>
    <w:rsid w:val="006975C9"/>
    <w:rsid w:val="00697957"/>
    <w:rsid w:val="006979C7"/>
    <w:rsid w:val="00697AFF"/>
    <w:rsid w:val="00697F8C"/>
    <w:rsid w:val="006A00F6"/>
    <w:rsid w:val="006A0258"/>
    <w:rsid w:val="006A038B"/>
    <w:rsid w:val="006A043C"/>
    <w:rsid w:val="006A08E9"/>
    <w:rsid w:val="006A0D90"/>
    <w:rsid w:val="006A0F5C"/>
    <w:rsid w:val="006A1112"/>
    <w:rsid w:val="006A1808"/>
    <w:rsid w:val="006A1A6D"/>
    <w:rsid w:val="006A1CC6"/>
    <w:rsid w:val="006A1DD7"/>
    <w:rsid w:val="006A20B2"/>
    <w:rsid w:val="006A21CB"/>
    <w:rsid w:val="006A26A1"/>
    <w:rsid w:val="006A26F9"/>
    <w:rsid w:val="006A2896"/>
    <w:rsid w:val="006A2CFD"/>
    <w:rsid w:val="006A32AD"/>
    <w:rsid w:val="006A35D9"/>
    <w:rsid w:val="006A35ED"/>
    <w:rsid w:val="006A376E"/>
    <w:rsid w:val="006A3AF1"/>
    <w:rsid w:val="006A3C29"/>
    <w:rsid w:val="006A3DB7"/>
    <w:rsid w:val="006A401A"/>
    <w:rsid w:val="006A4780"/>
    <w:rsid w:val="006A48F8"/>
    <w:rsid w:val="006A4986"/>
    <w:rsid w:val="006A4ADA"/>
    <w:rsid w:val="006A4CE7"/>
    <w:rsid w:val="006A518B"/>
    <w:rsid w:val="006A5950"/>
    <w:rsid w:val="006A61D8"/>
    <w:rsid w:val="006A6315"/>
    <w:rsid w:val="006A63C9"/>
    <w:rsid w:val="006A6611"/>
    <w:rsid w:val="006A67A9"/>
    <w:rsid w:val="006A689C"/>
    <w:rsid w:val="006A6B7C"/>
    <w:rsid w:val="006A6BCB"/>
    <w:rsid w:val="006A6CF8"/>
    <w:rsid w:val="006A6F9C"/>
    <w:rsid w:val="006A739D"/>
    <w:rsid w:val="006A74B2"/>
    <w:rsid w:val="006A7CE3"/>
    <w:rsid w:val="006B0076"/>
    <w:rsid w:val="006B06C9"/>
    <w:rsid w:val="006B1015"/>
    <w:rsid w:val="006B11C1"/>
    <w:rsid w:val="006B14EB"/>
    <w:rsid w:val="006B150D"/>
    <w:rsid w:val="006B1CCF"/>
    <w:rsid w:val="006B1F8B"/>
    <w:rsid w:val="006B2199"/>
    <w:rsid w:val="006B22D3"/>
    <w:rsid w:val="006B2478"/>
    <w:rsid w:val="006B3153"/>
    <w:rsid w:val="006B33B5"/>
    <w:rsid w:val="006B3816"/>
    <w:rsid w:val="006B3BBB"/>
    <w:rsid w:val="006B4109"/>
    <w:rsid w:val="006B46BC"/>
    <w:rsid w:val="006B49E5"/>
    <w:rsid w:val="006B4A8F"/>
    <w:rsid w:val="006B5298"/>
    <w:rsid w:val="006B53E5"/>
    <w:rsid w:val="006B554C"/>
    <w:rsid w:val="006B56B1"/>
    <w:rsid w:val="006B5CA8"/>
    <w:rsid w:val="006B64AA"/>
    <w:rsid w:val="006B6981"/>
    <w:rsid w:val="006B727E"/>
    <w:rsid w:val="006B7329"/>
    <w:rsid w:val="006B763A"/>
    <w:rsid w:val="006B7D90"/>
    <w:rsid w:val="006B7DB6"/>
    <w:rsid w:val="006C01DF"/>
    <w:rsid w:val="006C09B6"/>
    <w:rsid w:val="006C0ADF"/>
    <w:rsid w:val="006C0D87"/>
    <w:rsid w:val="006C0FC9"/>
    <w:rsid w:val="006C1313"/>
    <w:rsid w:val="006C1AC3"/>
    <w:rsid w:val="006C1C45"/>
    <w:rsid w:val="006C212D"/>
    <w:rsid w:val="006C2491"/>
    <w:rsid w:val="006C2D56"/>
    <w:rsid w:val="006C311E"/>
    <w:rsid w:val="006C3173"/>
    <w:rsid w:val="006C35E7"/>
    <w:rsid w:val="006C3A8D"/>
    <w:rsid w:val="006C466E"/>
    <w:rsid w:val="006C4C41"/>
    <w:rsid w:val="006C4DAE"/>
    <w:rsid w:val="006C4E18"/>
    <w:rsid w:val="006C5699"/>
    <w:rsid w:val="006C5844"/>
    <w:rsid w:val="006C5EF3"/>
    <w:rsid w:val="006C5F1A"/>
    <w:rsid w:val="006C6495"/>
    <w:rsid w:val="006C64A0"/>
    <w:rsid w:val="006C6B93"/>
    <w:rsid w:val="006C6C4F"/>
    <w:rsid w:val="006C730C"/>
    <w:rsid w:val="006C730D"/>
    <w:rsid w:val="006C74FE"/>
    <w:rsid w:val="006C7726"/>
    <w:rsid w:val="006C7746"/>
    <w:rsid w:val="006C7B76"/>
    <w:rsid w:val="006C7F68"/>
    <w:rsid w:val="006D03A9"/>
    <w:rsid w:val="006D03E8"/>
    <w:rsid w:val="006D0C91"/>
    <w:rsid w:val="006D0D3A"/>
    <w:rsid w:val="006D0D67"/>
    <w:rsid w:val="006D101C"/>
    <w:rsid w:val="006D17B8"/>
    <w:rsid w:val="006D18EE"/>
    <w:rsid w:val="006D1941"/>
    <w:rsid w:val="006D1EBA"/>
    <w:rsid w:val="006D1ED1"/>
    <w:rsid w:val="006D1F1D"/>
    <w:rsid w:val="006D20BD"/>
    <w:rsid w:val="006D20D5"/>
    <w:rsid w:val="006D2394"/>
    <w:rsid w:val="006D26D5"/>
    <w:rsid w:val="006D27AF"/>
    <w:rsid w:val="006D28CE"/>
    <w:rsid w:val="006D31DE"/>
    <w:rsid w:val="006D3D18"/>
    <w:rsid w:val="006D3FBC"/>
    <w:rsid w:val="006D42B8"/>
    <w:rsid w:val="006D46DF"/>
    <w:rsid w:val="006D4AB3"/>
    <w:rsid w:val="006D4AC1"/>
    <w:rsid w:val="006D4C09"/>
    <w:rsid w:val="006D4CBB"/>
    <w:rsid w:val="006D52B5"/>
    <w:rsid w:val="006D5D1E"/>
    <w:rsid w:val="006D5FB4"/>
    <w:rsid w:val="006D62D6"/>
    <w:rsid w:val="006D634F"/>
    <w:rsid w:val="006D6465"/>
    <w:rsid w:val="006D65B4"/>
    <w:rsid w:val="006D6931"/>
    <w:rsid w:val="006D6B97"/>
    <w:rsid w:val="006D7034"/>
    <w:rsid w:val="006D732B"/>
    <w:rsid w:val="006D7908"/>
    <w:rsid w:val="006E08C1"/>
    <w:rsid w:val="006E106C"/>
    <w:rsid w:val="006E1BDD"/>
    <w:rsid w:val="006E1FBE"/>
    <w:rsid w:val="006E1FEA"/>
    <w:rsid w:val="006E2C5F"/>
    <w:rsid w:val="006E2F2E"/>
    <w:rsid w:val="006E33D6"/>
    <w:rsid w:val="006E3438"/>
    <w:rsid w:val="006E3452"/>
    <w:rsid w:val="006E37A6"/>
    <w:rsid w:val="006E3D68"/>
    <w:rsid w:val="006E50E4"/>
    <w:rsid w:val="006E5713"/>
    <w:rsid w:val="006E59C5"/>
    <w:rsid w:val="006E5B03"/>
    <w:rsid w:val="006E6100"/>
    <w:rsid w:val="006E6146"/>
    <w:rsid w:val="006E6663"/>
    <w:rsid w:val="006E6AEA"/>
    <w:rsid w:val="006E6BE1"/>
    <w:rsid w:val="006E7179"/>
    <w:rsid w:val="006E79A6"/>
    <w:rsid w:val="006E7C9A"/>
    <w:rsid w:val="006E7D34"/>
    <w:rsid w:val="006F02E3"/>
    <w:rsid w:val="006F0660"/>
    <w:rsid w:val="006F1C6A"/>
    <w:rsid w:val="006F24A9"/>
    <w:rsid w:val="006F2662"/>
    <w:rsid w:val="006F26DE"/>
    <w:rsid w:val="006F2B5F"/>
    <w:rsid w:val="006F2E7D"/>
    <w:rsid w:val="006F30CF"/>
    <w:rsid w:val="006F39D9"/>
    <w:rsid w:val="006F3AD6"/>
    <w:rsid w:val="006F3B02"/>
    <w:rsid w:val="006F3F24"/>
    <w:rsid w:val="006F3F7B"/>
    <w:rsid w:val="006F4757"/>
    <w:rsid w:val="006F4C43"/>
    <w:rsid w:val="006F4F5B"/>
    <w:rsid w:val="006F50B8"/>
    <w:rsid w:val="006F583C"/>
    <w:rsid w:val="006F5B18"/>
    <w:rsid w:val="006F5CE1"/>
    <w:rsid w:val="006F6575"/>
    <w:rsid w:val="006F66E1"/>
    <w:rsid w:val="006F6BED"/>
    <w:rsid w:val="006F6D50"/>
    <w:rsid w:val="006F7BD9"/>
    <w:rsid w:val="00700142"/>
    <w:rsid w:val="0070023C"/>
    <w:rsid w:val="00700607"/>
    <w:rsid w:val="00700F89"/>
    <w:rsid w:val="007015F3"/>
    <w:rsid w:val="00701816"/>
    <w:rsid w:val="0070185E"/>
    <w:rsid w:val="00701A81"/>
    <w:rsid w:val="00702055"/>
    <w:rsid w:val="0070237E"/>
    <w:rsid w:val="0070280C"/>
    <w:rsid w:val="0070294A"/>
    <w:rsid w:val="00702BBA"/>
    <w:rsid w:val="00702DAD"/>
    <w:rsid w:val="00702F0F"/>
    <w:rsid w:val="00702F13"/>
    <w:rsid w:val="007033ED"/>
    <w:rsid w:val="0070344C"/>
    <w:rsid w:val="007035F4"/>
    <w:rsid w:val="00703DE7"/>
    <w:rsid w:val="007041F5"/>
    <w:rsid w:val="0070429A"/>
    <w:rsid w:val="00704349"/>
    <w:rsid w:val="0070469F"/>
    <w:rsid w:val="00704771"/>
    <w:rsid w:val="0070481F"/>
    <w:rsid w:val="00704CB6"/>
    <w:rsid w:val="00704DAF"/>
    <w:rsid w:val="00704EDC"/>
    <w:rsid w:val="0070571B"/>
    <w:rsid w:val="00706054"/>
    <w:rsid w:val="00706133"/>
    <w:rsid w:val="00706289"/>
    <w:rsid w:val="007066B7"/>
    <w:rsid w:val="00706F89"/>
    <w:rsid w:val="00707343"/>
    <w:rsid w:val="00707546"/>
    <w:rsid w:val="00707812"/>
    <w:rsid w:val="00707BB0"/>
    <w:rsid w:val="007102B8"/>
    <w:rsid w:val="0071051D"/>
    <w:rsid w:val="007105BC"/>
    <w:rsid w:val="007105C0"/>
    <w:rsid w:val="0071068E"/>
    <w:rsid w:val="007106B8"/>
    <w:rsid w:val="00710836"/>
    <w:rsid w:val="0071086E"/>
    <w:rsid w:val="00710B61"/>
    <w:rsid w:val="00710CC7"/>
    <w:rsid w:val="00710FFF"/>
    <w:rsid w:val="007110DA"/>
    <w:rsid w:val="007111DE"/>
    <w:rsid w:val="00711409"/>
    <w:rsid w:val="007116CE"/>
    <w:rsid w:val="0071190F"/>
    <w:rsid w:val="0071198A"/>
    <w:rsid w:val="007119AF"/>
    <w:rsid w:val="00712377"/>
    <w:rsid w:val="007126B2"/>
    <w:rsid w:val="007129D0"/>
    <w:rsid w:val="007130B3"/>
    <w:rsid w:val="0071366D"/>
    <w:rsid w:val="0071371C"/>
    <w:rsid w:val="00713B41"/>
    <w:rsid w:val="00713F29"/>
    <w:rsid w:val="00714534"/>
    <w:rsid w:val="007147DF"/>
    <w:rsid w:val="00714A2C"/>
    <w:rsid w:val="00714BA2"/>
    <w:rsid w:val="00714DC5"/>
    <w:rsid w:val="00714F0A"/>
    <w:rsid w:val="007151D1"/>
    <w:rsid w:val="0071540B"/>
    <w:rsid w:val="007155AA"/>
    <w:rsid w:val="007158C1"/>
    <w:rsid w:val="00716292"/>
    <w:rsid w:val="00716BEB"/>
    <w:rsid w:val="00716FC3"/>
    <w:rsid w:val="0071754C"/>
    <w:rsid w:val="00717723"/>
    <w:rsid w:val="00717D8B"/>
    <w:rsid w:val="00717F1C"/>
    <w:rsid w:val="0072024F"/>
    <w:rsid w:val="00721160"/>
    <w:rsid w:val="007211E5"/>
    <w:rsid w:val="0072126F"/>
    <w:rsid w:val="0072145F"/>
    <w:rsid w:val="007219F1"/>
    <w:rsid w:val="00721A0E"/>
    <w:rsid w:val="00721FCA"/>
    <w:rsid w:val="007224F3"/>
    <w:rsid w:val="0072280C"/>
    <w:rsid w:val="007228B4"/>
    <w:rsid w:val="00722F65"/>
    <w:rsid w:val="0072318C"/>
    <w:rsid w:val="007233E7"/>
    <w:rsid w:val="007235EA"/>
    <w:rsid w:val="0072361F"/>
    <w:rsid w:val="00723B5C"/>
    <w:rsid w:val="00723C77"/>
    <w:rsid w:val="00723DD1"/>
    <w:rsid w:val="007240BB"/>
    <w:rsid w:val="007245A3"/>
    <w:rsid w:val="00724752"/>
    <w:rsid w:val="00724B2C"/>
    <w:rsid w:val="00725080"/>
    <w:rsid w:val="007255FF"/>
    <w:rsid w:val="00725729"/>
    <w:rsid w:val="00725A2C"/>
    <w:rsid w:val="00725E25"/>
    <w:rsid w:val="0072601F"/>
    <w:rsid w:val="0072605A"/>
    <w:rsid w:val="007262E2"/>
    <w:rsid w:val="0072632A"/>
    <w:rsid w:val="0072656B"/>
    <w:rsid w:val="007265AC"/>
    <w:rsid w:val="00726FDA"/>
    <w:rsid w:val="00727145"/>
    <w:rsid w:val="00727150"/>
    <w:rsid w:val="00727B0F"/>
    <w:rsid w:val="00727DD3"/>
    <w:rsid w:val="007301F2"/>
    <w:rsid w:val="00730200"/>
    <w:rsid w:val="00730422"/>
    <w:rsid w:val="0073071E"/>
    <w:rsid w:val="00730BE9"/>
    <w:rsid w:val="00730C60"/>
    <w:rsid w:val="00731064"/>
    <w:rsid w:val="007313AE"/>
    <w:rsid w:val="007313D2"/>
    <w:rsid w:val="007313F3"/>
    <w:rsid w:val="00731765"/>
    <w:rsid w:val="007317B0"/>
    <w:rsid w:val="00731E4F"/>
    <w:rsid w:val="007320B9"/>
    <w:rsid w:val="007322AA"/>
    <w:rsid w:val="0073293B"/>
    <w:rsid w:val="00732EB8"/>
    <w:rsid w:val="00732FF6"/>
    <w:rsid w:val="0073323A"/>
    <w:rsid w:val="007334EF"/>
    <w:rsid w:val="0073356D"/>
    <w:rsid w:val="00733CEC"/>
    <w:rsid w:val="00734029"/>
    <w:rsid w:val="007340EB"/>
    <w:rsid w:val="0073424B"/>
    <w:rsid w:val="00734622"/>
    <w:rsid w:val="00734A4B"/>
    <w:rsid w:val="00734DE8"/>
    <w:rsid w:val="0073530D"/>
    <w:rsid w:val="00735667"/>
    <w:rsid w:val="00735D69"/>
    <w:rsid w:val="00735F75"/>
    <w:rsid w:val="007361DB"/>
    <w:rsid w:val="007366AB"/>
    <w:rsid w:val="0073681C"/>
    <w:rsid w:val="00736D62"/>
    <w:rsid w:val="007371B5"/>
    <w:rsid w:val="0073725D"/>
    <w:rsid w:val="0073733D"/>
    <w:rsid w:val="00737A24"/>
    <w:rsid w:val="00737DE9"/>
    <w:rsid w:val="007400CC"/>
    <w:rsid w:val="007401B0"/>
    <w:rsid w:val="0074079E"/>
    <w:rsid w:val="0074088B"/>
    <w:rsid w:val="007409DB"/>
    <w:rsid w:val="007410BF"/>
    <w:rsid w:val="00741728"/>
    <w:rsid w:val="00741A16"/>
    <w:rsid w:val="00742913"/>
    <w:rsid w:val="00742F53"/>
    <w:rsid w:val="00743041"/>
    <w:rsid w:val="00743360"/>
    <w:rsid w:val="007438F1"/>
    <w:rsid w:val="00743C9D"/>
    <w:rsid w:val="00743EB3"/>
    <w:rsid w:val="00743F33"/>
    <w:rsid w:val="00744ACA"/>
    <w:rsid w:val="00745BBE"/>
    <w:rsid w:val="00745ED6"/>
    <w:rsid w:val="00745F5B"/>
    <w:rsid w:val="00746098"/>
    <w:rsid w:val="0074642F"/>
    <w:rsid w:val="0074662C"/>
    <w:rsid w:val="00746739"/>
    <w:rsid w:val="00746905"/>
    <w:rsid w:val="00746A86"/>
    <w:rsid w:val="007471D9"/>
    <w:rsid w:val="00747874"/>
    <w:rsid w:val="00747CEE"/>
    <w:rsid w:val="00747D75"/>
    <w:rsid w:val="00747EAD"/>
    <w:rsid w:val="00750120"/>
    <w:rsid w:val="007503EB"/>
    <w:rsid w:val="00750669"/>
    <w:rsid w:val="007507B4"/>
    <w:rsid w:val="007509FA"/>
    <w:rsid w:val="00750E36"/>
    <w:rsid w:val="007511D5"/>
    <w:rsid w:val="007514DC"/>
    <w:rsid w:val="00751584"/>
    <w:rsid w:val="00751982"/>
    <w:rsid w:val="00751FA0"/>
    <w:rsid w:val="007523FF"/>
    <w:rsid w:val="00752741"/>
    <w:rsid w:val="007528C1"/>
    <w:rsid w:val="00752FC0"/>
    <w:rsid w:val="007531A2"/>
    <w:rsid w:val="007532D2"/>
    <w:rsid w:val="00753392"/>
    <w:rsid w:val="00753781"/>
    <w:rsid w:val="0075394B"/>
    <w:rsid w:val="00753A5B"/>
    <w:rsid w:val="00753B6A"/>
    <w:rsid w:val="0075410E"/>
    <w:rsid w:val="007544D3"/>
    <w:rsid w:val="007545C2"/>
    <w:rsid w:val="00754657"/>
    <w:rsid w:val="007546B1"/>
    <w:rsid w:val="0075483D"/>
    <w:rsid w:val="00754F95"/>
    <w:rsid w:val="0075527D"/>
    <w:rsid w:val="00755686"/>
    <w:rsid w:val="0075577B"/>
    <w:rsid w:val="00755A2F"/>
    <w:rsid w:val="00755BE3"/>
    <w:rsid w:val="007563AD"/>
    <w:rsid w:val="007567EE"/>
    <w:rsid w:val="0075696C"/>
    <w:rsid w:val="007569AC"/>
    <w:rsid w:val="00757BEF"/>
    <w:rsid w:val="00757E74"/>
    <w:rsid w:val="00760720"/>
    <w:rsid w:val="00760DB0"/>
    <w:rsid w:val="00760F5F"/>
    <w:rsid w:val="007612C6"/>
    <w:rsid w:val="007616A9"/>
    <w:rsid w:val="00761706"/>
    <w:rsid w:val="007617D8"/>
    <w:rsid w:val="00761B86"/>
    <w:rsid w:val="00762340"/>
    <w:rsid w:val="0076248F"/>
    <w:rsid w:val="0076261E"/>
    <w:rsid w:val="0076291D"/>
    <w:rsid w:val="00762F89"/>
    <w:rsid w:val="007632FB"/>
    <w:rsid w:val="007636CA"/>
    <w:rsid w:val="00763FAD"/>
    <w:rsid w:val="0076483D"/>
    <w:rsid w:val="0076490E"/>
    <w:rsid w:val="0076565D"/>
    <w:rsid w:val="0076601D"/>
    <w:rsid w:val="0076677F"/>
    <w:rsid w:val="007667AF"/>
    <w:rsid w:val="00767674"/>
    <w:rsid w:val="007679EE"/>
    <w:rsid w:val="00767C09"/>
    <w:rsid w:val="00767D5E"/>
    <w:rsid w:val="00767DE7"/>
    <w:rsid w:val="00767DFC"/>
    <w:rsid w:val="007700A9"/>
    <w:rsid w:val="00770E12"/>
    <w:rsid w:val="00770FF3"/>
    <w:rsid w:val="0077128E"/>
    <w:rsid w:val="00771490"/>
    <w:rsid w:val="007719B2"/>
    <w:rsid w:val="00771A80"/>
    <w:rsid w:val="00771B9F"/>
    <w:rsid w:val="00771CE0"/>
    <w:rsid w:val="00771FE2"/>
    <w:rsid w:val="007721FC"/>
    <w:rsid w:val="00772357"/>
    <w:rsid w:val="007723FC"/>
    <w:rsid w:val="00772B83"/>
    <w:rsid w:val="007735A9"/>
    <w:rsid w:val="00773ED3"/>
    <w:rsid w:val="00774094"/>
    <w:rsid w:val="0077426D"/>
    <w:rsid w:val="00774450"/>
    <w:rsid w:val="0077481A"/>
    <w:rsid w:val="0077494E"/>
    <w:rsid w:val="00774C7A"/>
    <w:rsid w:val="00774D3B"/>
    <w:rsid w:val="0077504E"/>
    <w:rsid w:val="00775642"/>
    <w:rsid w:val="007757F3"/>
    <w:rsid w:val="00775E71"/>
    <w:rsid w:val="00776182"/>
    <w:rsid w:val="00776397"/>
    <w:rsid w:val="00776451"/>
    <w:rsid w:val="00776555"/>
    <w:rsid w:val="00776BBA"/>
    <w:rsid w:val="00776D94"/>
    <w:rsid w:val="00776DE8"/>
    <w:rsid w:val="00777432"/>
    <w:rsid w:val="007775D3"/>
    <w:rsid w:val="0077788B"/>
    <w:rsid w:val="00777B51"/>
    <w:rsid w:val="0078030B"/>
    <w:rsid w:val="00780360"/>
    <w:rsid w:val="00780AE9"/>
    <w:rsid w:val="007811E5"/>
    <w:rsid w:val="00781957"/>
    <w:rsid w:val="007819E3"/>
    <w:rsid w:val="00781A2A"/>
    <w:rsid w:val="00781D44"/>
    <w:rsid w:val="00782352"/>
    <w:rsid w:val="00782A04"/>
    <w:rsid w:val="00782B26"/>
    <w:rsid w:val="00782C91"/>
    <w:rsid w:val="00783694"/>
    <w:rsid w:val="0078376F"/>
    <w:rsid w:val="00783BAD"/>
    <w:rsid w:val="00783C40"/>
    <w:rsid w:val="007844E8"/>
    <w:rsid w:val="007846EB"/>
    <w:rsid w:val="00784A00"/>
    <w:rsid w:val="00784AEB"/>
    <w:rsid w:val="00784B64"/>
    <w:rsid w:val="00784C2F"/>
    <w:rsid w:val="00785237"/>
    <w:rsid w:val="00785261"/>
    <w:rsid w:val="007859CF"/>
    <w:rsid w:val="00786549"/>
    <w:rsid w:val="007865B1"/>
    <w:rsid w:val="0078678B"/>
    <w:rsid w:val="00786F7B"/>
    <w:rsid w:val="0078770C"/>
    <w:rsid w:val="007877CC"/>
    <w:rsid w:val="00787A8A"/>
    <w:rsid w:val="0079026C"/>
    <w:rsid w:val="0079072C"/>
    <w:rsid w:val="007909AF"/>
    <w:rsid w:val="00790D97"/>
    <w:rsid w:val="0079143F"/>
    <w:rsid w:val="00791E00"/>
    <w:rsid w:val="00791E30"/>
    <w:rsid w:val="00792685"/>
    <w:rsid w:val="00792E35"/>
    <w:rsid w:val="0079343D"/>
    <w:rsid w:val="007936A7"/>
    <w:rsid w:val="0079388D"/>
    <w:rsid w:val="00793B30"/>
    <w:rsid w:val="00793CB9"/>
    <w:rsid w:val="00794083"/>
    <w:rsid w:val="00794795"/>
    <w:rsid w:val="007949A4"/>
    <w:rsid w:val="00794BB9"/>
    <w:rsid w:val="00794D48"/>
    <w:rsid w:val="007953FC"/>
    <w:rsid w:val="007955C4"/>
    <w:rsid w:val="0079593F"/>
    <w:rsid w:val="00795BFA"/>
    <w:rsid w:val="00795F26"/>
    <w:rsid w:val="00796CD5"/>
    <w:rsid w:val="00796CDE"/>
    <w:rsid w:val="00796F5E"/>
    <w:rsid w:val="007975CD"/>
    <w:rsid w:val="00797773"/>
    <w:rsid w:val="00797997"/>
    <w:rsid w:val="00797A5B"/>
    <w:rsid w:val="00797D02"/>
    <w:rsid w:val="00797D22"/>
    <w:rsid w:val="00797FD1"/>
    <w:rsid w:val="007A0210"/>
    <w:rsid w:val="007A0655"/>
    <w:rsid w:val="007A0A3F"/>
    <w:rsid w:val="007A1003"/>
    <w:rsid w:val="007A1EB0"/>
    <w:rsid w:val="007A21B6"/>
    <w:rsid w:val="007A284F"/>
    <w:rsid w:val="007A286E"/>
    <w:rsid w:val="007A2C41"/>
    <w:rsid w:val="007A2F38"/>
    <w:rsid w:val="007A33C9"/>
    <w:rsid w:val="007A3A16"/>
    <w:rsid w:val="007A3A19"/>
    <w:rsid w:val="007A41C4"/>
    <w:rsid w:val="007A4239"/>
    <w:rsid w:val="007A4D94"/>
    <w:rsid w:val="007A51BE"/>
    <w:rsid w:val="007A5267"/>
    <w:rsid w:val="007A573A"/>
    <w:rsid w:val="007A59BB"/>
    <w:rsid w:val="007A5EAE"/>
    <w:rsid w:val="007A5F64"/>
    <w:rsid w:val="007A62D4"/>
    <w:rsid w:val="007A6C14"/>
    <w:rsid w:val="007A7013"/>
    <w:rsid w:val="007A7090"/>
    <w:rsid w:val="007A75E0"/>
    <w:rsid w:val="007B0042"/>
    <w:rsid w:val="007B0256"/>
    <w:rsid w:val="007B047C"/>
    <w:rsid w:val="007B0A8A"/>
    <w:rsid w:val="007B0DB2"/>
    <w:rsid w:val="007B146A"/>
    <w:rsid w:val="007B148F"/>
    <w:rsid w:val="007B14AE"/>
    <w:rsid w:val="007B161B"/>
    <w:rsid w:val="007B180E"/>
    <w:rsid w:val="007B1E7B"/>
    <w:rsid w:val="007B2093"/>
    <w:rsid w:val="007B26A6"/>
    <w:rsid w:val="007B2A8D"/>
    <w:rsid w:val="007B2F76"/>
    <w:rsid w:val="007B320D"/>
    <w:rsid w:val="007B322E"/>
    <w:rsid w:val="007B363F"/>
    <w:rsid w:val="007B3789"/>
    <w:rsid w:val="007B41CA"/>
    <w:rsid w:val="007B427A"/>
    <w:rsid w:val="007B436B"/>
    <w:rsid w:val="007B538E"/>
    <w:rsid w:val="007B5F09"/>
    <w:rsid w:val="007B609F"/>
    <w:rsid w:val="007B6123"/>
    <w:rsid w:val="007B690D"/>
    <w:rsid w:val="007B6F36"/>
    <w:rsid w:val="007B7475"/>
    <w:rsid w:val="007B74F5"/>
    <w:rsid w:val="007B75E5"/>
    <w:rsid w:val="007B7906"/>
    <w:rsid w:val="007C0249"/>
    <w:rsid w:val="007C0B77"/>
    <w:rsid w:val="007C134D"/>
    <w:rsid w:val="007C1631"/>
    <w:rsid w:val="007C17F5"/>
    <w:rsid w:val="007C1853"/>
    <w:rsid w:val="007C1A8B"/>
    <w:rsid w:val="007C1B58"/>
    <w:rsid w:val="007C1CB4"/>
    <w:rsid w:val="007C21A2"/>
    <w:rsid w:val="007C2565"/>
    <w:rsid w:val="007C297F"/>
    <w:rsid w:val="007C2A68"/>
    <w:rsid w:val="007C2C30"/>
    <w:rsid w:val="007C2EC0"/>
    <w:rsid w:val="007C3123"/>
    <w:rsid w:val="007C344D"/>
    <w:rsid w:val="007C380F"/>
    <w:rsid w:val="007C390B"/>
    <w:rsid w:val="007C404A"/>
    <w:rsid w:val="007C43B7"/>
    <w:rsid w:val="007C4565"/>
    <w:rsid w:val="007C4805"/>
    <w:rsid w:val="007C4A21"/>
    <w:rsid w:val="007C4C47"/>
    <w:rsid w:val="007C4EC1"/>
    <w:rsid w:val="007C51B8"/>
    <w:rsid w:val="007C621F"/>
    <w:rsid w:val="007C637E"/>
    <w:rsid w:val="007C6712"/>
    <w:rsid w:val="007C6FF9"/>
    <w:rsid w:val="007C7238"/>
    <w:rsid w:val="007C75F2"/>
    <w:rsid w:val="007D0A31"/>
    <w:rsid w:val="007D0EDA"/>
    <w:rsid w:val="007D0FFB"/>
    <w:rsid w:val="007D112A"/>
    <w:rsid w:val="007D15AF"/>
    <w:rsid w:val="007D1805"/>
    <w:rsid w:val="007D189E"/>
    <w:rsid w:val="007D1DB3"/>
    <w:rsid w:val="007D21DA"/>
    <w:rsid w:val="007D226B"/>
    <w:rsid w:val="007D2CB6"/>
    <w:rsid w:val="007D2D73"/>
    <w:rsid w:val="007D30F4"/>
    <w:rsid w:val="007D3202"/>
    <w:rsid w:val="007D3231"/>
    <w:rsid w:val="007D32B7"/>
    <w:rsid w:val="007D3482"/>
    <w:rsid w:val="007D34E6"/>
    <w:rsid w:val="007D391A"/>
    <w:rsid w:val="007D3BCA"/>
    <w:rsid w:val="007D42C4"/>
    <w:rsid w:val="007D4423"/>
    <w:rsid w:val="007D468A"/>
    <w:rsid w:val="007D4786"/>
    <w:rsid w:val="007D487F"/>
    <w:rsid w:val="007D4B8A"/>
    <w:rsid w:val="007D4C92"/>
    <w:rsid w:val="007D4D44"/>
    <w:rsid w:val="007D4EBC"/>
    <w:rsid w:val="007D526D"/>
    <w:rsid w:val="007D53C5"/>
    <w:rsid w:val="007D5403"/>
    <w:rsid w:val="007D5CD1"/>
    <w:rsid w:val="007D5D40"/>
    <w:rsid w:val="007D6055"/>
    <w:rsid w:val="007D68D2"/>
    <w:rsid w:val="007D717F"/>
    <w:rsid w:val="007D72FF"/>
    <w:rsid w:val="007D77FA"/>
    <w:rsid w:val="007D7D47"/>
    <w:rsid w:val="007E0E67"/>
    <w:rsid w:val="007E0EFE"/>
    <w:rsid w:val="007E10B2"/>
    <w:rsid w:val="007E15DD"/>
    <w:rsid w:val="007E1C24"/>
    <w:rsid w:val="007E1CBA"/>
    <w:rsid w:val="007E2035"/>
    <w:rsid w:val="007E2518"/>
    <w:rsid w:val="007E2540"/>
    <w:rsid w:val="007E29C9"/>
    <w:rsid w:val="007E2ABF"/>
    <w:rsid w:val="007E330C"/>
    <w:rsid w:val="007E36F3"/>
    <w:rsid w:val="007E3C9D"/>
    <w:rsid w:val="007E4294"/>
    <w:rsid w:val="007E430A"/>
    <w:rsid w:val="007E430F"/>
    <w:rsid w:val="007E4AF9"/>
    <w:rsid w:val="007E4B8B"/>
    <w:rsid w:val="007E4DE9"/>
    <w:rsid w:val="007E4F47"/>
    <w:rsid w:val="007E514D"/>
    <w:rsid w:val="007E51AB"/>
    <w:rsid w:val="007E531D"/>
    <w:rsid w:val="007E5531"/>
    <w:rsid w:val="007E5577"/>
    <w:rsid w:val="007E5A17"/>
    <w:rsid w:val="007E5BD9"/>
    <w:rsid w:val="007E5C77"/>
    <w:rsid w:val="007E5FE8"/>
    <w:rsid w:val="007E6A0D"/>
    <w:rsid w:val="007E6FB2"/>
    <w:rsid w:val="007E7228"/>
    <w:rsid w:val="007E73A5"/>
    <w:rsid w:val="007E7479"/>
    <w:rsid w:val="007E7A71"/>
    <w:rsid w:val="007E7C8D"/>
    <w:rsid w:val="007F005F"/>
    <w:rsid w:val="007F08C2"/>
    <w:rsid w:val="007F0940"/>
    <w:rsid w:val="007F1605"/>
    <w:rsid w:val="007F1ACA"/>
    <w:rsid w:val="007F1BBB"/>
    <w:rsid w:val="007F2074"/>
    <w:rsid w:val="007F25ED"/>
    <w:rsid w:val="007F266D"/>
    <w:rsid w:val="007F2921"/>
    <w:rsid w:val="007F2C18"/>
    <w:rsid w:val="007F2E84"/>
    <w:rsid w:val="007F3047"/>
    <w:rsid w:val="007F39FB"/>
    <w:rsid w:val="007F3C1F"/>
    <w:rsid w:val="007F3EE9"/>
    <w:rsid w:val="007F4030"/>
    <w:rsid w:val="007F42C5"/>
    <w:rsid w:val="007F4344"/>
    <w:rsid w:val="007F4347"/>
    <w:rsid w:val="007F45E3"/>
    <w:rsid w:val="007F48FB"/>
    <w:rsid w:val="007F4CE9"/>
    <w:rsid w:val="007F51E9"/>
    <w:rsid w:val="007F53BB"/>
    <w:rsid w:val="007F595A"/>
    <w:rsid w:val="007F658E"/>
    <w:rsid w:val="007F6C10"/>
    <w:rsid w:val="007F70FA"/>
    <w:rsid w:val="007F7CD6"/>
    <w:rsid w:val="00800C1C"/>
    <w:rsid w:val="00800E2C"/>
    <w:rsid w:val="00800EC7"/>
    <w:rsid w:val="008013E3"/>
    <w:rsid w:val="008017D0"/>
    <w:rsid w:val="008018FB"/>
    <w:rsid w:val="00801E0F"/>
    <w:rsid w:val="00802415"/>
    <w:rsid w:val="00802643"/>
    <w:rsid w:val="00802A76"/>
    <w:rsid w:val="00802F6B"/>
    <w:rsid w:val="0080336A"/>
    <w:rsid w:val="0080339D"/>
    <w:rsid w:val="00803824"/>
    <w:rsid w:val="00803C72"/>
    <w:rsid w:val="008043E7"/>
    <w:rsid w:val="008044C8"/>
    <w:rsid w:val="0080492C"/>
    <w:rsid w:val="00804930"/>
    <w:rsid w:val="00804A39"/>
    <w:rsid w:val="00804CE2"/>
    <w:rsid w:val="008053F3"/>
    <w:rsid w:val="00805497"/>
    <w:rsid w:val="008056C8"/>
    <w:rsid w:val="00805A87"/>
    <w:rsid w:val="00805BC0"/>
    <w:rsid w:val="00806B24"/>
    <w:rsid w:val="00806C89"/>
    <w:rsid w:val="0080700F"/>
    <w:rsid w:val="008071C7"/>
    <w:rsid w:val="00807A3C"/>
    <w:rsid w:val="00810478"/>
    <w:rsid w:val="00810881"/>
    <w:rsid w:val="00810E8D"/>
    <w:rsid w:val="00810F5C"/>
    <w:rsid w:val="00811094"/>
    <w:rsid w:val="008110FB"/>
    <w:rsid w:val="0081142A"/>
    <w:rsid w:val="00811944"/>
    <w:rsid w:val="00811ED2"/>
    <w:rsid w:val="00812627"/>
    <w:rsid w:val="00812B4E"/>
    <w:rsid w:val="008131AB"/>
    <w:rsid w:val="00813463"/>
    <w:rsid w:val="0081397A"/>
    <w:rsid w:val="00813E8C"/>
    <w:rsid w:val="00814234"/>
    <w:rsid w:val="0081442E"/>
    <w:rsid w:val="00814CB2"/>
    <w:rsid w:val="008150BF"/>
    <w:rsid w:val="008155F0"/>
    <w:rsid w:val="00815665"/>
    <w:rsid w:val="008157B0"/>
    <w:rsid w:val="00815DEA"/>
    <w:rsid w:val="0081629E"/>
    <w:rsid w:val="008163FF"/>
    <w:rsid w:val="0081660B"/>
    <w:rsid w:val="00816A34"/>
    <w:rsid w:val="0081738E"/>
    <w:rsid w:val="00817390"/>
    <w:rsid w:val="0081753D"/>
    <w:rsid w:val="0081765E"/>
    <w:rsid w:val="008179B6"/>
    <w:rsid w:val="00820F36"/>
    <w:rsid w:val="00821911"/>
    <w:rsid w:val="0082204F"/>
    <w:rsid w:val="00822126"/>
    <w:rsid w:val="008226FC"/>
    <w:rsid w:val="00822C15"/>
    <w:rsid w:val="00822C41"/>
    <w:rsid w:val="00823118"/>
    <w:rsid w:val="008233EA"/>
    <w:rsid w:val="008236D1"/>
    <w:rsid w:val="00823C4A"/>
    <w:rsid w:val="00824C00"/>
    <w:rsid w:val="00824CF6"/>
    <w:rsid w:val="00824DE6"/>
    <w:rsid w:val="00825144"/>
    <w:rsid w:val="0082553D"/>
    <w:rsid w:val="00825554"/>
    <w:rsid w:val="008256E9"/>
    <w:rsid w:val="008258EC"/>
    <w:rsid w:val="00825A03"/>
    <w:rsid w:val="00825C9B"/>
    <w:rsid w:val="00825D57"/>
    <w:rsid w:val="00826318"/>
    <w:rsid w:val="00826B31"/>
    <w:rsid w:val="00826D04"/>
    <w:rsid w:val="00827017"/>
    <w:rsid w:val="0082759B"/>
    <w:rsid w:val="00827921"/>
    <w:rsid w:val="00827940"/>
    <w:rsid w:val="00827D67"/>
    <w:rsid w:val="00827DA5"/>
    <w:rsid w:val="00827E3B"/>
    <w:rsid w:val="00827F02"/>
    <w:rsid w:val="0083025B"/>
    <w:rsid w:val="00830665"/>
    <w:rsid w:val="00830928"/>
    <w:rsid w:val="00830A52"/>
    <w:rsid w:val="00830C11"/>
    <w:rsid w:val="0083149E"/>
    <w:rsid w:val="00831EA8"/>
    <w:rsid w:val="00832646"/>
    <w:rsid w:val="00832A41"/>
    <w:rsid w:val="00832ABA"/>
    <w:rsid w:val="00832B78"/>
    <w:rsid w:val="00832E3B"/>
    <w:rsid w:val="008334DD"/>
    <w:rsid w:val="00833A6B"/>
    <w:rsid w:val="00833D04"/>
    <w:rsid w:val="0083446A"/>
    <w:rsid w:val="0083475B"/>
    <w:rsid w:val="008360D1"/>
    <w:rsid w:val="0083618B"/>
    <w:rsid w:val="0083635D"/>
    <w:rsid w:val="008364D7"/>
    <w:rsid w:val="00836715"/>
    <w:rsid w:val="008368B2"/>
    <w:rsid w:val="00836984"/>
    <w:rsid w:val="00836B56"/>
    <w:rsid w:val="00836C89"/>
    <w:rsid w:val="0083715C"/>
    <w:rsid w:val="00837807"/>
    <w:rsid w:val="008379B6"/>
    <w:rsid w:val="00837BE8"/>
    <w:rsid w:val="00837CB3"/>
    <w:rsid w:val="00840432"/>
    <w:rsid w:val="00840D85"/>
    <w:rsid w:val="008413A9"/>
    <w:rsid w:val="00841521"/>
    <w:rsid w:val="00841588"/>
    <w:rsid w:val="00841A5B"/>
    <w:rsid w:val="00841F35"/>
    <w:rsid w:val="00841F66"/>
    <w:rsid w:val="0084218F"/>
    <w:rsid w:val="00842347"/>
    <w:rsid w:val="008423F3"/>
    <w:rsid w:val="0084248C"/>
    <w:rsid w:val="00842519"/>
    <w:rsid w:val="008426F3"/>
    <w:rsid w:val="00842AF3"/>
    <w:rsid w:val="00842B7E"/>
    <w:rsid w:val="00842BF7"/>
    <w:rsid w:val="00842F66"/>
    <w:rsid w:val="00842F88"/>
    <w:rsid w:val="00842FC7"/>
    <w:rsid w:val="00843005"/>
    <w:rsid w:val="00843149"/>
    <w:rsid w:val="00843896"/>
    <w:rsid w:val="00844078"/>
    <w:rsid w:val="008440B3"/>
    <w:rsid w:val="00844B65"/>
    <w:rsid w:val="00844C47"/>
    <w:rsid w:val="008450D1"/>
    <w:rsid w:val="00845335"/>
    <w:rsid w:val="00845553"/>
    <w:rsid w:val="0084580E"/>
    <w:rsid w:val="00845C4D"/>
    <w:rsid w:val="00845F95"/>
    <w:rsid w:val="0084647E"/>
    <w:rsid w:val="00846A01"/>
    <w:rsid w:val="008474E6"/>
    <w:rsid w:val="0084781F"/>
    <w:rsid w:val="008478AE"/>
    <w:rsid w:val="00847AE5"/>
    <w:rsid w:val="00847B89"/>
    <w:rsid w:val="008502D8"/>
    <w:rsid w:val="008508A0"/>
    <w:rsid w:val="00850928"/>
    <w:rsid w:val="00850ADC"/>
    <w:rsid w:val="00851166"/>
    <w:rsid w:val="008517FC"/>
    <w:rsid w:val="00852260"/>
    <w:rsid w:val="0085238E"/>
    <w:rsid w:val="00852530"/>
    <w:rsid w:val="008529AD"/>
    <w:rsid w:val="008529FC"/>
    <w:rsid w:val="00852DBE"/>
    <w:rsid w:val="00853578"/>
    <w:rsid w:val="0085372F"/>
    <w:rsid w:val="0085381B"/>
    <w:rsid w:val="0085447C"/>
    <w:rsid w:val="008545C1"/>
    <w:rsid w:val="00854749"/>
    <w:rsid w:val="00854864"/>
    <w:rsid w:val="00854C6F"/>
    <w:rsid w:val="00854E6F"/>
    <w:rsid w:val="00854F13"/>
    <w:rsid w:val="008553A6"/>
    <w:rsid w:val="00855954"/>
    <w:rsid w:val="00855A0E"/>
    <w:rsid w:val="00855DFB"/>
    <w:rsid w:val="008563F0"/>
    <w:rsid w:val="00856469"/>
    <w:rsid w:val="0085659F"/>
    <w:rsid w:val="00856632"/>
    <w:rsid w:val="008568AB"/>
    <w:rsid w:val="008573EC"/>
    <w:rsid w:val="00857F85"/>
    <w:rsid w:val="0086019F"/>
    <w:rsid w:val="008605F1"/>
    <w:rsid w:val="00860D03"/>
    <w:rsid w:val="00861004"/>
    <w:rsid w:val="00861259"/>
    <w:rsid w:val="0086194C"/>
    <w:rsid w:val="00861EE4"/>
    <w:rsid w:val="008621B3"/>
    <w:rsid w:val="0086263A"/>
    <w:rsid w:val="00862AFF"/>
    <w:rsid w:val="00862B99"/>
    <w:rsid w:val="00862C28"/>
    <w:rsid w:val="00862E1F"/>
    <w:rsid w:val="00862EA5"/>
    <w:rsid w:val="00862EC1"/>
    <w:rsid w:val="0086358D"/>
    <w:rsid w:val="0086391F"/>
    <w:rsid w:val="00863BE1"/>
    <w:rsid w:val="00864244"/>
    <w:rsid w:val="0086483F"/>
    <w:rsid w:val="00864DFB"/>
    <w:rsid w:val="008653A4"/>
    <w:rsid w:val="008654CE"/>
    <w:rsid w:val="00865816"/>
    <w:rsid w:val="00865A9B"/>
    <w:rsid w:val="00866084"/>
    <w:rsid w:val="00866156"/>
    <w:rsid w:val="00866371"/>
    <w:rsid w:val="008666E3"/>
    <w:rsid w:val="00866AE1"/>
    <w:rsid w:val="00867456"/>
    <w:rsid w:val="00867599"/>
    <w:rsid w:val="00867925"/>
    <w:rsid w:val="00867ADB"/>
    <w:rsid w:val="00867C08"/>
    <w:rsid w:val="00867E83"/>
    <w:rsid w:val="008701FC"/>
    <w:rsid w:val="00870302"/>
    <w:rsid w:val="008709E1"/>
    <w:rsid w:val="00870A44"/>
    <w:rsid w:val="00870B30"/>
    <w:rsid w:val="00870D15"/>
    <w:rsid w:val="00870D9E"/>
    <w:rsid w:val="00870DEC"/>
    <w:rsid w:val="008712CD"/>
    <w:rsid w:val="00871A12"/>
    <w:rsid w:val="00871AA0"/>
    <w:rsid w:val="008722A1"/>
    <w:rsid w:val="008728FB"/>
    <w:rsid w:val="00872AF9"/>
    <w:rsid w:val="00872EFE"/>
    <w:rsid w:val="00872FC5"/>
    <w:rsid w:val="00873005"/>
    <w:rsid w:val="008732F5"/>
    <w:rsid w:val="008732F7"/>
    <w:rsid w:val="008735B4"/>
    <w:rsid w:val="008735E2"/>
    <w:rsid w:val="0087360E"/>
    <w:rsid w:val="00873632"/>
    <w:rsid w:val="00873C1B"/>
    <w:rsid w:val="008743D3"/>
    <w:rsid w:val="00874461"/>
    <w:rsid w:val="00874775"/>
    <w:rsid w:val="008748CF"/>
    <w:rsid w:val="008749ED"/>
    <w:rsid w:val="00875070"/>
    <w:rsid w:val="00875649"/>
    <w:rsid w:val="00876450"/>
    <w:rsid w:val="00876659"/>
    <w:rsid w:val="008767A6"/>
    <w:rsid w:val="00876BB1"/>
    <w:rsid w:val="00876BEB"/>
    <w:rsid w:val="008777B5"/>
    <w:rsid w:val="00880058"/>
    <w:rsid w:val="00880886"/>
    <w:rsid w:val="00880EAE"/>
    <w:rsid w:val="0088285A"/>
    <w:rsid w:val="00882927"/>
    <w:rsid w:val="008830C1"/>
    <w:rsid w:val="00883349"/>
    <w:rsid w:val="00883D73"/>
    <w:rsid w:val="008848A2"/>
    <w:rsid w:val="00884C24"/>
    <w:rsid w:val="00884D03"/>
    <w:rsid w:val="00884D9B"/>
    <w:rsid w:val="00884EC9"/>
    <w:rsid w:val="00885346"/>
    <w:rsid w:val="00885611"/>
    <w:rsid w:val="00885AFF"/>
    <w:rsid w:val="00885B82"/>
    <w:rsid w:val="0088623D"/>
    <w:rsid w:val="00886494"/>
    <w:rsid w:val="008868CE"/>
    <w:rsid w:val="00886965"/>
    <w:rsid w:val="00886C2F"/>
    <w:rsid w:val="00887867"/>
    <w:rsid w:val="00887869"/>
    <w:rsid w:val="00887BE4"/>
    <w:rsid w:val="00887DE8"/>
    <w:rsid w:val="00887F4D"/>
    <w:rsid w:val="00890FE4"/>
    <w:rsid w:val="00891118"/>
    <w:rsid w:val="008912C1"/>
    <w:rsid w:val="0089132A"/>
    <w:rsid w:val="00891538"/>
    <w:rsid w:val="0089172F"/>
    <w:rsid w:val="0089179E"/>
    <w:rsid w:val="00891825"/>
    <w:rsid w:val="00891D98"/>
    <w:rsid w:val="0089247D"/>
    <w:rsid w:val="0089268A"/>
    <w:rsid w:val="008926C6"/>
    <w:rsid w:val="00892C32"/>
    <w:rsid w:val="00892F43"/>
    <w:rsid w:val="00892FCB"/>
    <w:rsid w:val="008930AF"/>
    <w:rsid w:val="008936FB"/>
    <w:rsid w:val="00893BBA"/>
    <w:rsid w:val="00893CEF"/>
    <w:rsid w:val="00894143"/>
    <w:rsid w:val="0089424A"/>
    <w:rsid w:val="008952CE"/>
    <w:rsid w:val="008953EE"/>
    <w:rsid w:val="0089551D"/>
    <w:rsid w:val="008955AF"/>
    <w:rsid w:val="00895977"/>
    <w:rsid w:val="00895A3E"/>
    <w:rsid w:val="00895E39"/>
    <w:rsid w:val="00896226"/>
    <w:rsid w:val="008962E4"/>
    <w:rsid w:val="0089634C"/>
    <w:rsid w:val="0089639C"/>
    <w:rsid w:val="00897074"/>
    <w:rsid w:val="0089718A"/>
    <w:rsid w:val="00897218"/>
    <w:rsid w:val="00897562"/>
    <w:rsid w:val="008A010A"/>
    <w:rsid w:val="008A045D"/>
    <w:rsid w:val="008A0C89"/>
    <w:rsid w:val="008A0DAE"/>
    <w:rsid w:val="008A0E45"/>
    <w:rsid w:val="008A1016"/>
    <w:rsid w:val="008A127C"/>
    <w:rsid w:val="008A1356"/>
    <w:rsid w:val="008A1CEA"/>
    <w:rsid w:val="008A2A82"/>
    <w:rsid w:val="008A2BD4"/>
    <w:rsid w:val="008A3299"/>
    <w:rsid w:val="008A355F"/>
    <w:rsid w:val="008A3B11"/>
    <w:rsid w:val="008A3C9D"/>
    <w:rsid w:val="008A3CE6"/>
    <w:rsid w:val="008A4494"/>
    <w:rsid w:val="008A4E96"/>
    <w:rsid w:val="008A5096"/>
    <w:rsid w:val="008A559B"/>
    <w:rsid w:val="008A580F"/>
    <w:rsid w:val="008A5C67"/>
    <w:rsid w:val="008A5E21"/>
    <w:rsid w:val="008A6B43"/>
    <w:rsid w:val="008A716C"/>
    <w:rsid w:val="008A7566"/>
    <w:rsid w:val="008A7B46"/>
    <w:rsid w:val="008A7F68"/>
    <w:rsid w:val="008B0783"/>
    <w:rsid w:val="008B0842"/>
    <w:rsid w:val="008B0A9E"/>
    <w:rsid w:val="008B0F72"/>
    <w:rsid w:val="008B0FBB"/>
    <w:rsid w:val="008B12D4"/>
    <w:rsid w:val="008B1695"/>
    <w:rsid w:val="008B19EC"/>
    <w:rsid w:val="008B1AB6"/>
    <w:rsid w:val="008B1D33"/>
    <w:rsid w:val="008B1F97"/>
    <w:rsid w:val="008B24BF"/>
    <w:rsid w:val="008B270D"/>
    <w:rsid w:val="008B2C2F"/>
    <w:rsid w:val="008B31E4"/>
    <w:rsid w:val="008B372C"/>
    <w:rsid w:val="008B395A"/>
    <w:rsid w:val="008B3C97"/>
    <w:rsid w:val="008B3CAB"/>
    <w:rsid w:val="008B41AF"/>
    <w:rsid w:val="008B4383"/>
    <w:rsid w:val="008B4682"/>
    <w:rsid w:val="008B4A1E"/>
    <w:rsid w:val="008B4A3B"/>
    <w:rsid w:val="008B4BA5"/>
    <w:rsid w:val="008B594C"/>
    <w:rsid w:val="008B5C69"/>
    <w:rsid w:val="008B5D38"/>
    <w:rsid w:val="008B7161"/>
    <w:rsid w:val="008B7433"/>
    <w:rsid w:val="008B7B6B"/>
    <w:rsid w:val="008C00F5"/>
    <w:rsid w:val="008C0109"/>
    <w:rsid w:val="008C0475"/>
    <w:rsid w:val="008C0788"/>
    <w:rsid w:val="008C0DCA"/>
    <w:rsid w:val="008C151A"/>
    <w:rsid w:val="008C18E9"/>
    <w:rsid w:val="008C25DF"/>
    <w:rsid w:val="008C269C"/>
    <w:rsid w:val="008C27CB"/>
    <w:rsid w:val="008C3D86"/>
    <w:rsid w:val="008C45CF"/>
    <w:rsid w:val="008C4907"/>
    <w:rsid w:val="008C52DD"/>
    <w:rsid w:val="008C5FB1"/>
    <w:rsid w:val="008C6717"/>
    <w:rsid w:val="008C677B"/>
    <w:rsid w:val="008C697C"/>
    <w:rsid w:val="008C6B46"/>
    <w:rsid w:val="008C70E5"/>
    <w:rsid w:val="008C764B"/>
    <w:rsid w:val="008C7BD3"/>
    <w:rsid w:val="008D02D7"/>
    <w:rsid w:val="008D0FA6"/>
    <w:rsid w:val="008D1236"/>
    <w:rsid w:val="008D175B"/>
    <w:rsid w:val="008D1A30"/>
    <w:rsid w:val="008D1EA2"/>
    <w:rsid w:val="008D2092"/>
    <w:rsid w:val="008D20DA"/>
    <w:rsid w:val="008D21F1"/>
    <w:rsid w:val="008D2227"/>
    <w:rsid w:val="008D244A"/>
    <w:rsid w:val="008D253A"/>
    <w:rsid w:val="008D281B"/>
    <w:rsid w:val="008D2D52"/>
    <w:rsid w:val="008D300A"/>
    <w:rsid w:val="008D31D9"/>
    <w:rsid w:val="008D32C5"/>
    <w:rsid w:val="008D32D5"/>
    <w:rsid w:val="008D33CF"/>
    <w:rsid w:val="008D3646"/>
    <w:rsid w:val="008D3B83"/>
    <w:rsid w:val="008D3D30"/>
    <w:rsid w:val="008D4AEC"/>
    <w:rsid w:val="008D4B76"/>
    <w:rsid w:val="008D4D37"/>
    <w:rsid w:val="008D4F42"/>
    <w:rsid w:val="008D50E1"/>
    <w:rsid w:val="008D530E"/>
    <w:rsid w:val="008D559B"/>
    <w:rsid w:val="008D5697"/>
    <w:rsid w:val="008D585C"/>
    <w:rsid w:val="008D5E07"/>
    <w:rsid w:val="008D63F3"/>
    <w:rsid w:val="008D6EEB"/>
    <w:rsid w:val="008D7AC0"/>
    <w:rsid w:val="008D7B7C"/>
    <w:rsid w:val="008D7D9E"/>
    <w:rsid w:val="008D7E2D"/>
    <w:rsid w:val="008D7EE9"/>
    <w:rsid w:val="008D7F80"/>
    <w:rsid w:val="008E002B"/>
    <w:rsid w:val="008E011B"/>
    <w:rsid w:val="008E05B4"/>
    <w:rsid w:val="008E08DF"/>
    <w:rsid w:val="008E0E8D"/>
    <w:rsid w:val="008E0E94"/>
    <w:rsid w:val="008E1913"/>
    <w:rsid w:val="008E234E"/>
    <w:rsid w:val="008E2461"/>
    <w:rsid w:val="008E248A"/>
    <w:rsid w:val="008E2521"/>
    <w:rsid w:val="008E3EAD"/>
    <w:rsid w:val="008E3EE2"/>
    <w:rsid w:val="008E3F9A"/>
    <w:rsid w:val="008E4060"/>
    <w:rsid w:val="008E414F"/>
    <w:rsid w:val="008E4290"/>
    <w:rsid w:val="008E486C"/>
    <w:rsid w:val="008E4DBE"/>
    <w:rsid w:val="008E5361"/>
    <w:rsid w:val="008E5A69"/>
    <w:rsid w:val="008E5B2F"/>
    <w:rsid w:val="008E5B7F"/>
    <w:rsid w:val="008E5D25"/>
    <w:rsid w:val="008E5DF9"/>
    <w:rsid w:val="008E628F"/>
    <w:rsid w:val="008E637B"/>
    <w:rsid w:val="008E651C"/>
    <w:rsid w:val="008E68C6"/>
    <w:rsid w:val="008E71E3"/>
    <w:rsid w:val="008E7CDB"/>
    <w:rsid w:val="008F065F"/>
    <w:rsid w:val="008F0946"/>
    <w:rsid w:val="008F0ADC"/>
    <w:rsid w:val="008F1212"/>
    <w:rsid w:val="008F1433"/>
    <w:rsid w:val="008F14CE"/>
    <w:rsid w:val="008F172F"/>
    <w:rsid w:val="008F18B2"/>
    <w:rsid w:val="008F1B32"/>
    <w:rsid w:val="008F24DA"/>
    <w:rsid w:val="008F25E0"/>
    <w:rsid w:val="008F265B"/>
    <w:rsid w:val="008F27FB"/>
    <w:rsid w:val="008F2A02"/>
    <w:rsid w:val="008F2A7D"/>
    <w:rsid w:val="008F2A7E"/>
    <w:rsid w:val="008F2BE9"/>
    <w:rsid w:val="008F2E8D"/>
    <w:rsid w:val="008F3340"/>
    <w:rsid w:val="008F3E91"/>
    <w:rsid w:val="008F4216"/>
    <w:rsid w:val="008F44FD"/>
    <w:rsid w:val="008F4600"/>
    <w:rsid w:val="008F470C"/>
    <w:rsid w:val="008F475B"/>
    <w:rsid w:val="008F4784"/>
    <w:rsid w:val="008F479A"/>
    <w:rsid w:val="008F4A80"/>
    <w:rsid w:val="008F522E"/>
    <w:rsid w:val="008F544D"/>
    <w:rsid w:val="008F54B8"/>
    <w:rsid w:val="008F54C3"/>
    <w:rsid w:val="008F5CE7"/>
    <w:rsid w:val="008F5F4D"/>
    <w:rsid w:val="008F6852"/>
    <w:rsid w:val="008F6C3F"/>
    <w:rsid w:val="008F7383"/>
    <w:rsid w:val="008F75CB"/>
    <w:rsid w:val="008F76C5"/>
    <w:rsid w:val="008F76E3"/>
    <w:rsid w:val="00901549"/>
    <w:rsid w:val="009017F2"/>
    <w:rsid w:val="00901D78"/>
    <w:rsid w:val="009026EA"/>
    <w:rsid w:val="00902B00"/>
    <w:rsid w:val="00902C3D"/>
    <w:rsid w:val="0090315C"/>
    <w:rsid w:val="0090334C"/>
    <w:rsid w:val="00903403"/>
    <w:rsid w:val="009035B1"/>
    <w:rsid w:val="00903D0B"/>
    <w:rsid w:val="00904055"/>
    <w:rsid w:val="009044BD"/>
    <w:rsid w:val="009047FB"/>
    <w:rsid w:val="00904DDE"/>
    <w:rsid w:val="00904F6A"/>
    <w:rsid w:val="00905783"/>
    <w:rsid w:val="009067BB"/>
    <w:rsid w:val="00906E85"/>
    <w:rsid w:val="00906EFC"/>
    <w:rsid w:val="00906F3A"/>
    <w:rsid w:val="00907CE2"/>
    <w:rsid w:val="00907D5C"/>
    <w:rsid w:val="00907D6F"/>
    <w:rsid w:val="00907E9C"/>
    <w:rsid w:val="009109D5"/>
    <w:rsid w:val="00910B15"/>
    <w:rsid w:val="00910C4C"/>
    <w:rsid w:val="00910C86"/>
    <w:rsid w:val="00910D0E"/>
    <w:rsid w:val="00910FE7"/>
    <w:rsid w:val="00911396"/>
    <w:rsid w:val="009113BF"/>
    <w:rsid w:val="00911556"/>
    <w:rsid w:val="00911571"/>
    <w:rsid w:val="00911C77"/>
    <w:rsid w:val="00911CC2"/>
    <w:rsid w:val="00911FCD"/>
    <w:rsid w:val="0091222B"/>
    <w:rsid w:val="009122C3"/>
    <w:rsid w:val="009123CE"/>
    <w:rsid w:val="0091280E"/>
    <w:rsid w:val="00913617"/>
    <w:rsid w:val="0091369F"/>
    <w:rsid w:val="009136AB"/>
    <w:rsid w:val="009139F3"/>
    <w:rsid w:val="00913C1B"/>
    <w:rsid w:val="00913E54"/>
    <w:rsid w:val="009149A2"/>
    <w:rsid w:val="00914B5F"/>
    <w:rsid w:val="0091517D"/>
    <w:rsid w:val="00915477"/>
    <w:rsid w:val="00915790"/>
    <w:rsid w:val="00915EBF"/>
    <w:rsid w:val="00915F26"/>
    <w:rsid w:val="00915F45"/>
    <w:rsid w:val="00915F85"/>
    <w:rsid w:val="00915FC1"/>
    <w:rsid w:val="009163E9"/>
    <w:rsid w:val="0091674A"/>
    <w:rsid w:val="00916DBB"/>
    <w:rsid w:val="00916E43"/>
    <w:rsid w:val="00916F79"/>
    <w:rsid w:val="00917498"/>
    <w:rsid w:val="0091785D"/>
    <w:rsid w:val="009178B0"/>
    <w:rsid w:val="00917B53"/>
    <w:rsid w:val="00920E7A"/>
    <w:rsid w:val="0092196A"/>
    <w:rsid w:val="009219BF"/>
    <w:rsid w:val="00921FCE"/>
    <w:rsid w:val="009225F0"/>
    <w:rsid w:val="009227D7"/>
    <w:rsid w:val="00922F84"/>
    <w:rsid w:val="0092319C"/>
    <w:rsid w:val="0092322D"/>
    <w:rsid w:val="009237E6"/>
    <w:rsid w:val="00923ED2"/>
    <w:rsid w:val="009243AB"/>
    <w:rsid w:val="009251BC"/>
    <w:rsid w:val="0092528D"/>
    <w:rsid w:val="009254CB"/>
    <w:rsid w:val="00925836"/>
    <w:rsid w:val="00925B59"/>
    <w:rsid w:val="00925CC6"/>
    <w:rsid w:val="00926A4A"/>
    <w:rsid w:val="0092722A"/>
    <w:rsid w:val="00927DBD"/>
    <w:rsid w:val="00927DFB"/>
    <w:rsid w:val="00927F92"/>
    <w:rsid w:val="0093008F"/>
    <w:rsid w:val="009301D4"/>
    <w:rsid w:val="009303AA"/>
    <w:rsid w:val="0093054C"/>
    <w:rsid w:val="009305A3"/>
    <w:rsid w:val="009312D6"/>
    <w:rsid w:val="00931326"/>
    <w:rsid w:val="009318E5"/>
    <w:rsid w:val="00931AC3"/>
    <w:rsid w:val="00931D34"/>
    <w:rsid w:val="00932629"/>
    <w:rsid w:val="009338B9"/>
    <w:rsid w:val="00933DA9"/>
    <w:rsid w:val="00933F85"/>
    <w:rsid w:val="009344D6"/>
    <w:rsid w:val="0093452C"/>
    <w:rsid w:val="009350AF"/>
    <w:rsid w:val="009350DD"/>
    <w:rsid w:val="009351B6"/>
    <w:rsid w:val="00935593"/>
    <w:rsid w:val="00935A6C"/>
    <w:rsid w:val="00935FFC"/>
    <w:rsid w:val="009365B4"/>
    <w:rsid w:val="00936810"/>
    <w:rsid w:val="00936914"/>
    <w:rsid w:val="00936EEE"/>
    <w:rsid w:val="009373E3"/>
    <w:rsid w:val="00937DE0"/>
    <w:rsid w:val="00937EB0"/>
    <w:rsid w:val="0094038D"/>
    <w:rsid w:val="0094074F"/>
    <w:rsid w:val="009409B1"/>
    <w:rsid w:val="00940A46"/>
    <w:rsid w:val="00940D20"/>
    <w:rsid w:val="00940DCE"/>
    <w:rsid w:val="009412EB"/>
    <w:rsid w:val="0094158F"/>
    <w:rsid w:val="00941BF0"/>
    <w:rsid w:val="00942274"/>
    <w:rsid w:val="009423FE"/>
    <w:rsid w:val="00942CC5"/>
    <w:rsid w:val="00943050"/>
    <w:rsid w:val="009434DF"/>
    <w:rsid w:val="0094351B"/>
    <w:rsid w:val="00943B99"/>
    <w:rsid w:val="009440BC"/>
    <w:rsid w:val="0094465B"/>
    <w:rsid w:val="009448F0"/>
    <w:rsid w:val="009449B0"/>
    <w:rsid w:val="00944E0F"/>
    <w:rsid w:val="00944E25"/>
    <w:rsid w:val="00944EA5"/>
    <w:rsid w:val="00944F47"/>
    <w:rsid w:val="00944FD9"/>
    <w:rsid w:val="0094502F"/>
    <w:rsid w:val="0094557D"/>
    <w:rsid w:val="00945ACF"/>
    <w:rsid w:val="00945D6E"/>
    <w:rsid w:val="00946172"/>
    <w:rsid w:val="009467C9"/>
    <w:rsid w:val="00946A16"/>
    <w:rsid w:val="00947438"/>
    <w:rsid w:val="009479F1"/>
    <w:rsid w:val="00947B73"/>
    <w:rsid w:val="00947C92"/>
    <w:rsid w:val="00947F7D"/>
    <w:rsid w:val="0095071B"/>
    <w:rsid w:val="0095095B"/>
    <w:rsid w:val="00950D71"/>
    <w:rsid w:val="00950F57"/>
    <w:rsid w:val="0095100A"/>
    <w:rsid w:val="00951688"/>
    <w:rsid w:val="00952032"/>
    <w:rsid w:val="00952226"/>
    <w:rsid w:val="00952490"/>
    <w:rsid w:val="009524B5"/>
    <w:rsid w:val="00952651"/>
    <w:rsid w:val="009532A8"/>
    <w:rsid w:val="009536CC"/>
    <w:rsid w:val="00953A57"/>
    <w:rsid w:val="00953FB9"/>
    <w:rsid w:val="009559FD"/>
    <w:rsid w:val="00955A96"/>
    <w:rsid w:val="00956849"/>
    <w:rsid w:val="009568C8"/>
    <w:rsid w:val="00956BD8"/>
    <w:rsid w:val="00957502"/>
    <w:rsid w:val="00957804"/>
    <w:rsid w:val="00957E2B"/>
    <w:rsid w:val="00957E9E"/>
    <w:rsid w:val="00960057"/>
    <w:rsid w:val="009604CC"/>
    <w:rsid w:val="00960763"/>
    <w:rsid w:val="00960E66"/>
    <w:rsid w:val="0096101D"/>
    <w:rsid w:val="00961124"/>
    <w:rsid w:val="009612FF"/>
    <w:rsid w:val="009615CF"/>
    <w:rsid w:val="009616E1"/>
    <w:rsid w:val="009619AE"/>
    <w:rsid w:val="00961BB9"/>
    <w:rsid w:val="00962137"/>
    <w:rsid w:val="009624B8"/>
    <w:rsid w:val="00962856"/>
    <w:rsid w:val="00962898"/>
    <w:rsid w:val="00962A74"/>
    <w:rsid w:val="00962AA3"/>
    <w:rsid w:val="00962AA7"/>
    <w:rsid w:val="00962D0B"/>
    <w:rsid w:val="009630AB"/>
    <w:rsid w:val="00963323"/>
    <w:rsid w:val="00965612"/>
    <w:rsid w:val="00965AAA"/>
    <w:rsid w:val="00965C91"/>
    <w:rsid w:val="00965D8F"/>
    <w:rsid w:val="0096675D"/>
    <w:rsid w:val="00966FA2"/>
    <w:rsid w:val="009670A7"/>
    <w:rsid w:val="009670D2"/>
    <w:rsid w:val="009671BC"/>
    <w:rsid w:val="0096747B"/>
    <w:rsid w:val="009678B2"/>
    <w:rsid w:val="0097070F"/>
    <w:rsid w:val="00970B42"/>
    <w:rsid w:val="00971B9B"/>
    <w:rsid w:val="00972495"/>
    <w:rsid w:val="0097249B"/>
    <w:rsid w:val="00972628"/>
    <w:rsid w:val="009726E2"/>
    <w:rsid w:val="00973A89"/>
    <w:rsid w:val="00973B17"/>
    <w:rsid w:val="0097433E"/>
    <w:rsid w:val="00974412"/>
    <w:rsid w:val="00974434"/>
    <w:rsid w:val="00974448"/>
    <w:rsid w:val="009745AD"/>
    <w:rsid w:val="009746B9"/>
    <w:rsid w:val="00974D7D"/>
    <w:rsid w:val="009754E7"/>
    <w:rsid w:val="009757FC"/>
    <w:rsid w:val="00975A26"/>
    <w:rsid w:val="00975BD5"/>
    <w:rsid w:val="00975D5A"/>
    <w:rsid w:val="00976651"/>
    <w:rsid w:val="00976B12"/>
    <w:rsid w:val="00976C1F"/>
    <w:rsid w:val="00976C94"/>
    <w:rsid w:val="00976EA8"/>
    <w:rsid w:val="00976F08"/>
    <w:rsid w:val="00976FB9"/>
    <w:rsid w:val="00977122"/>
    <w:rsid w:val="009771AC"/>
    <w:rsid w:val="00977237"/>
    <w:rsid w:val="009773E4"/>
    <w:rsid w:val="00977930"/>
    <w:rsid w:val="00977E37"/>
    <w:rsid w:val="009800A6"/>
    <w:rsid w:val="00980100"/>
    <w:rsid w:val="0098011E"/>
    <w:rsid w:val="00980B17"/>
    <w:rsid w:val="00980E53"/>
    <w:rsid w:val="00980F79"/>
    <w:rsid w:val="009812E7"/>
    <w:rsid w:val="00981516"/>
    <w:rsid w:val="00981821"/>
    <w:rsid w:val="009825A7"/>
    <w:rsid w:val="00982B47"/>
    <w:rsid w:val="00982BD1"/>
    <w:rsid w:val="00982DE2"/>
    <w:rsid w:val="00982FD5"/>
    <w:rsid w:val="009839FE"/>
    <w:rsid w:val="00984627"/>
    <w:rsid w:val="00984652"/>
    <w:rsid w:val="00984831"/>
    <w:rsid w:val="00984885"/>
    <w:rsid w:val="00984B9A"/>
    <w:rsid w:val="00984BD6"/>
    <w:rsid w:val="00985990"/>
    <w:rsid w:val="00985FF7"/>
    <w:rsid w:val="0098642F"/>
    <w:rsid w:val="009864EC"/>
    <w:rsid w:val="0098676F"/>
    <w:rsid w:val="0098677F"/>
    <w:rsid w:val="009867E0"/>
    <w:rsid w:val="00986B2D"/>
    <w:rsid w:val="00986DA2"/>
    <w:rsid w:val="0098717C"/>
    <w:rsid w:val="009872E2"/>
    <w:rsid w:val="009873D3"/>
    <w:rsid w:val="00987414"/>
    <w:rsid w:val="0098785D"/>
    <w:rsid w:val="0098789C"/>
    <w:rsid w:val="00987FC3"/>
    <w:rsid w:val="00990073"/>
    <w:rsid w:val="00990A3D"/>
    <w:rsid w:val="0099112B"/>
    <w:rsid w:val="00991683"/>
    <w:rsid w:val="00991A81"/>
    <w:rsid w:val="00991CFA"/>
    <w:rsid w:val="00991EF0"/>
    <w:rsid w:val="00991FB9"/>
    <w:rsid w:val="009923A6"/>
    <w:rsid w:val="00992467"/>
    <w:rsid w:val="00992C2A"/>
    <w:rsid w:val="00992D37"/>
    <w:rsid w:val="00992ED8"/>
    <w:rsid w:val="00992FBF"/>
    <w:rsid w:val="00993DF3"/>
    <w:rsid w:val="00994617"/>
    <w:rsid w:val="0099470E"/>
    <w:rsid w:val="0099471F"/>
    <w:rsid w:val="00994833"/>
    <w:rsid w:val="00994A5D"/>
    <w:rsid w:val="00994ED3"/>
    <w:rsid w:val="0099516A"/>
    <w:rsid w:val="00995341"/>
    <w:rsid w:val="009953C9"/>
    <w:rsid w:val="0099554E"/>
    <w:rsid w:val="00995701"/>
    <w:rsid w:val="009959AF"/>
    <w:rsid w:val="00995B38"/>
    <w:rsid w:val="0099606D"/>
    <w:rsid w:val="00996118"/>
    <w:rsid w:val="009961D0"/>
    <w:rsid w:val="00996211"/>
    <w:rsid w:val="0099658A"/>
    <w:rsid w:val="00997507"/>
    <w:rsid w:val="00997933"/>
    <w:rsid w:val="009979DB"/>
    <w:rsid w:val="00997A27"/>
    <w:rsid w:val="00997D30"/>
    <w:rsid w:val="009A098D"/>
    <w:rsid w:val="009A0BBC"/>
    <w:rsid w:val="009A0C76"/>
    <w:rsid w:val="009A141D"/>
    <w:rsid w:val="009A16C4"/>
    <w:rsid w:val="009A1B0C"/>
    <w:rsid w:val="009A1BD1"/>
    <w:rsid w:val="009A1C14"/>
    <w:rsid w:val="009A22C0"/>
    <w:rsid w:val="009A23DD"/>
    <w:rsid w:val="009A29D8"/>
    <w:rsid w:val="009A2D0D"/>
    <w:rsid w:val="009A306C"/>
    <w:rsid w:val="009A334A"/>
    <w:rsid w:val="009A35EF"/>
    <w:rsid w:val="009A3973"/>
    <w:rsid w:val="009A3C6F"/>
    <w:rsid w:val="009A3DC7"/>
    <w:rsid w:val="009A429B"/>
    <w:rsid w:val="009A4340"/>
    <w:rsid w:val="009A4479"/>
    <w:rsid w:val="009A4773"/>
    <w:rsid w:val="009A4996"/>
    <w:rsid w:val="009A51C8"/>
    <w:rsid w:val="009A51FF"/>
    <w:rsid w:val="009A5410"/>
    <w:rsid w:val="009A5665"/>
    <w:rsid w:val="009A5BE8"/>
    <w:rsid w:val="009A5C50"/>
    <w:rsid w:val="009A5DD3"/>
    <w:rsid w:val="009A62BE"/>
    <w:rsid w:val="009A6AE5"/>
    <w:rsid w:val="009A6B1B"/>
    <w:rsid w:val="009A7790"/>
    <w:rsid w:val="009A7D6F"/>
    <w:rsid w:val="009A7E1A"/>
    <w:rsid w:val="009A7EC8"/>
    <w:rsid w:val="009B02C2"/>
    <w:rsid w:val="009B0343"/>
    <w:rsid w:val="009B0515"/>
    <w:rsid w:val="009B0754"/>
    <w:rsid w:val="009B0ACC"/>
    <w:rsid w:val="009B1337"/>
    <w:rsid w:val="009B1752"/>
    <w:rsid w:val="009B1CD6"/>
    <w:rsid w:val="009B1D93"/>
    <w:rsid w:val="009B2113"/>
    <w:rsid w:val="009B22FA"/>
    <w:rsid w:val="009B24D5"/>
    <w:rsid w:val="009B24EB"/>
    <w:rsid w:val="009B2788"/>
    <w:rsid w:val="009B2BB1"/>
    <w:rsid w:val="009B2E23"/>
    <w:rsid w:val="009B2ECA"/>
    <w:rsid w:val="009B3261"/>
    <w:rsid w:val="009B355A"/>
    <w:rsid w:val="009B3723"/>
    <w:rsid w:val="009B3A41"/>
    <w:rsid w:val="009B3C79"/>
    <w:rsid w:val="009B4889"/>
    <w:rsid w:val="009B48E0"/>
    <w:rsid w:val="009B4AE5"/>
    <w:rsid w:val="009B4FB9"/>
    <w:rsid w:val="009B4FEA"/>
    <w:rsid w:val="009B5243"/>
    <w:rsid w:val="009B55DD"/>
    <w:rsid w:val="009B5768"/>
    <w:rsid w:val="009B577F"/>
    <w:rsid w:val="009B5825"/>
    <w:rsid w:val="009B5AA5"/>
    <w:rsid w:val="009B5CCE"/>
    <w:rsid w:val="009B5EE8"/>
    <w:rsid w:val="009B65D6"/>
    <w:rsid w:val="009B666B"/>
    <w:rsid w:val="009B6B8F"/>
    <w:rsid w:val="009B6C0F"/>
    <w:rsid w:val="009B7299"/>
    <w:rsid w:val="009B747A"/>
    <w:rsid w:val="009B74A0"/>
    <w:rsid w:val="009B74BB"/>
    <w:rsid w:val="009B7609"/>
    <w:rsid w:val="009B7795"/>
    <w:rsid w:val="009B77C0"/>
    <w:rsid w:val="009B797F"/>
    <w:rsid w:val="009B7C35"/>
    <w:rsid w:val="009B7EAB"/>
    <w:rsid w:val="009C01CA"/>
    <w:rsid w:val="009C024C"/>
    <w:rsid w:val="009C0309"/>
    <w:rsid w:val="009C04D2"/>
    <w:rsid w:val="009C0555"/>
    <w:rsid w:val="009C0CFA"/>
    <w:rsid w:val="009C0E0D"/>
    <w:rsid w:val="009C15FD"/>
    <w:rsid w:val="009C1F74"/>
    <w:rsid w:val="009C2228"/>
    <w:rsid w:val="009C256A"/>
    <w:rsid w:val="009C2613"/>
    <w:rsid w:val="009C266D"/>
    <w:rsid w:val="009C2731"/>
    <w:rsid w:val="009C2A40"/>
    <w:rsid w:val="009C2B68"/>
    <w:rsid w:val="009C2D0A"/>
    <w:rsid w:val="009C2D73"/>
    <w:rsid w:val="009C2F1E"/>
    <w:rsid w:val="009C377D"/>
    <w:rsid w:val="009C459B"/>
    <w:rsid w:val="009C4EB3"/>
    <w:rsid w:val="009C4EDC"/>
    <w:rsid w:val="009C4FB0"/>
    <w:rsid w:val="009C5047"/>
    <w:rsid w:val="009C543C"/>
    <w:rsid w:val="009C5B0C"/>
    <w:rsid w:val="009C5E71"/>
    <w:rsid w:val="009C6796"/>
    <w:rsid w:val="009C6A60"/>
    <w:rsid w:val="009C6E9D"/>
    <w:rsid w:val="009C70D0"/>
    <w:rsid w:val="009C7771"/>
    <w:rsid w:val="009C7DB9"/>
    <w:rsid w:val="009C7E36"/>
    <w:rsid w:val="009D0008"/>
    <w:rsid w:val="009D04FC"/>
    <w:rsid w:val="009D0805"/>
    <w:rsid w:val="009D0C6B"/>
    <w:rsid w:val="009D0D63"/>
    <w:rsid w:val="009D1397"/>
    <w:rsid w:val="009D1C8E"/>
    <w:rsid w:val="009D2084"/>
    <w:rsid w:val="009D22A6"/>
    <w:rsid w:val="009D2650"/>
    <w:rsid w:val="009D2B4C"/>
    <w:rsid w:val="009D2D75"/>
    <w:rsid w:val="009D2DF4"/>
    <w:rsid w:val="009D3323"/>
    <w:rsid w:val="009D3AFE"/>
    <w:rsid w:val="009D4264"/>
    <w:rsid w:val="009D44FD"/>
    <w:rsid w:val="009D4F92"/>
    <w:rsid w:val="009D565F"/>
    <w:rsid w:val="009D591F"/>
    <w:rsid w:val="009D59F7"/>
    <w:rsid w:val="009D5B31"/>
    <w:rsid w:val="009D5C36"/>
    <w:rsid w:val="009D5CA9"/>
    <w:rsid w:val="009D6994"/>
    <w:rsid w:val="009D6B4E"/>
    <w:rsid w:val="009D7700"/>
    <w:rsid w:val="009D78EE"/>
    <w:rsid w:val="009D7DB3"/>
    <w:rsid w:val="009D7EC5"/>
    <w:rsid w:val="009E078A"/>
    <w:rsid w:val="009E0864"/>
    <w:rsid w:val="009E0DB9"/>
    <w:rsid w:val="009E1088"/>
    <w:rsid w:val="009E161C"/>
    <w:rsid w:val="009E18D0"/>
    <w:rsid w:val="009E1902"/>
    <w:rsid w:val="009E1D0C"/>
    <w:rsid w:val="009E1E6A"/>
    <w:rsid w:val="009E2449"/>
    <w:rsid w:val="009E2741"/>
    <w:rsid w:val="009E2EB3"/>
    <w:rsid w:val="009E2F90"/>
    <w:rsid w:val="009E30C4"/>
    <w:rsid w:val="009E32CC"/>
    <w:rsid w:val="009E337D"/>
    <w:rsid w:val="009E38A6"/>
    <w:rsid w:val="009E3B81"/>
    <w:rsid w:val="009E4205"/>
    <w:rsid w:val="009E4272"/>
    <w:rsid w:val="009E4362"/>
    <w:rsid w:val="009E43D4"/>
    <w:rsid w:val="009E4561"/>
    <w:rsid w:val="009E4620"/>
    <w:rsid w:val="009E4743"/>
    <w:rsid w:val="009E475B"/>
    <w:rsid w:val="009E48B9"/>
    <w:rsid w:val="009E4911"/>
    <w:rsid w:val="009E4A23"/>
    <w:rsid w:val="009E4D07"/>
    <w:rsid w:val="009E4F77"/>
    <w:rsid w:val="009E5BEC"/>
    <w:rsid w:val="009E6077"/>
    <w:rsid w:val="009E6877"/>
    <w:rsid w:val="009E6A31"/>
    <w:rsid w:val="009E6A6B"/>
    <w:rsid w:val="009E6BC2"/>
    <w:rsid w:val="009E6FFF"/>
    <w:rsid w:val="009E715F"/>
    <w:rsid w:val="009E7161"/>
    <w:rsid w:val="009E7294"/>
    <w:rsid w:val="009E739A"/>
    <w:rsid w:val="009E755A"/>
    <w:rsid w:val="009E7D0D"/>
    <w:rsid w:val="009F035B"/>
    <w:rsid w:val="009F06A7"/>
    <w:rsid w:val="009F0813"/>
    <w:rsid w:val="009F082F"/>
    <w:rsid w:val="009F08D4"/>
    <w:rsid w:val="009F0B1D"/>
    <w:rsid w:val="009F0E5B"/>
    <w:rsid w:val="009F115C"/>
    <w:rsid w:val="009F13F6"/>
    <w:rsid w:val="009F2BD2"/>
    <w:rsid w:val="009F2E1F"/>
    <w:rsid w:val="009F32FA"/>
    <w:rsid w:val="009F3958"/>
    <w:rsid w:val="009F39A5"/>
    <w:rsid w:val="009F3A8F"/>
    <w:rsid w:val="009F4AFF"/>
    <w:rsid w:val="009F4B28"/>
    <w:rsid w:val="009F4C0D"/>
    <w:rsid w:val="009F4FE1"/>
    <w:rsid w:val="009F550B"/>
    <w:rsid w:val="009F5758"/>
    <w:rsid w:val="009F58F6"/>
    <w:rsid w:val="009F5905"/>
    <w:rsid w:val="009F5980"/>
    <w:rsid w:val="009F5B2D"/>
    <w:rsid w:val="009F5F53"/>
    <w:rsid w:val="009F600D"/>
    <w:rsid w:val="009F66A3"/>
    <w:rsid w:val="009F6A0E"/>
    <w:rsid w:val="009F6EDA"/>
    <w:rsid w:val="009F6F00"/>
    <w:rsid w:val="009F7490"/>
    <w:rsid w:val="009F7D8F"/>
    <w:rsid w:val="009F7E8E"/>
    <w:rsid w:val="009F7ECC"/>
    <w:rsid w:val="00A0024A"/>
    <w:rsid w:val="00A00990"/>
    <w:rsid w:val="00A00D31"/>
    <w:rsid w:val="00A00D67"/>
    <w:rsid w:val="00A010EB"/>
    <w:rsid w:val="00A012D3"/>
    <w:rsid w:val="00A01587"/>
    <w:rsid w:val="00A016CC"/>
    <w:rsid w:val="00A017F3"/>
    <w:rsid w:val="00A01A54"/>
    <w:rsid w:val="00A01B47"/>
    <w:rsid w:val="00A01D18"/>
    <w:rsid w:val="00A02114"/>
    <w:rsid w:val="00A022C3"/>
    <w:rsid w:val="00A02419"/>
    <w:rsid w:val="00A034B4"/>
    <w:rsid w:val="00A0366C"/>
    <w:rsid w:val="00A03B17"/>
    <w:rsid w:val="00A03BF0"/>
    <w:rsid w:val="00A04198"/>
    <w:rsid w:val="00A04295"/>
    <w:rsid w:val="00A047DE"/>
    <w:rsid w:val="00A04ECF"/>
    <w:rsid w:val="00A05991"/>
    <w:rsid w:val="00A05B46"/>
    <w:rsid w:val="00A05E0C"/>
    <w:rsid w:val="00A05E42"/>
    <w:rsid w:val="00A0627D"/>
    <w:rsid w:val="00A069CB"/>
    <w:rsid w:val="00A06EED"/>
    <w:rsid w:val="00A0745C"/>
    <w:rsid w:val="00A079E4"/>
    <w:rsid w:val="00A10374"/>
    <w:rsid w:val="00A103BC"/>
    <w:rsid w:val="00A1078B"/>
    <w:rsid w:val="00A1112F"/>
    <w:rsid w:val="00A111A7"/>
    <w:rsid w:val="00A11252"/>
    <w:rsid w:val="00A11685"/>
    <w:rsid w:val="00A118C2"/>
    <w:rsid w:val="00A11EF2"/>
    <w:rsid w:val="00A12184"/>
    <w:rsid w:val="00A1321A"/>
    <w:rsid w:val="00A140A3"/>
    <w:rsid w:val="00A14453"/>
    <w:rsid w:val="00A14A51"/>
    <w:rsid w:val="00A15643"/>
    <w:rsid w:val="00A15B22"/>
    <w:rsid w:val="00A15C22"/>
    <w:rsid w:val="00A166DA"/>
    <w:rsid w:val="00A167AD"/>
    <w:rsid w:val="00A167DB"/>
    <w:rsid w:val="00A16971"/>
    <w:rsid w:val="00A16CF9"/>
    <w:rsid w:val="00A172AF"/>
    <w:rsid w:val="00A177B3"/>
    <w:rsid w:val="00A17A73"/>
    <w:rsid w:val="00A17D82"/>
    <w:rsid w:val="00A17E4A"/>
    <w:rsid w:val="00A202D2"/>
    <w:rsid w:val="00A202D6"/>
    <w:rsid w:val="00A20314"/>
    <w:rsid w:val="00A203CF"/>
    <w:rsid w:val="00A20740"/>
    <w:rsid w:val="00A207DC"/>
    <w:rsid w:val="00A21351"/>
    <w:rsid w:val="00A21513"/>
    <w:rsid w:val="00A217D7"/>
    <w:rsid w:val="00A2238A"/>
    <w:rsid w:val="00A22A25"/>
    <w:rsid w:val="00A22EF4"/>
    <w:rsid w:val="00A23115"/>
    <w:rsid w:val="00A23487"/>
    <w:rsid w:val="00A23754"/>
    <w:rsid w:val="00A237C7"/>
    <w:rsid w:val="00A23BB5"/>
    <w:rsid w:val="00A24107"/>
    <w:rsid w:val="00A24118"/>
    <w:rsid w:val="00A24241"/>
    <w:rsid w:val="00A24358"/>
    <w:rsid w:val="00A246BF"/>
    <w:rsid w:val="00A249A6"/>
    <w:rsid w:val="00A24D30"/>
    <w:rsid w:val="00A24F57"/>
    <w:rsid w:val="00A24FB7"/>
    <w:rsid w:val="00A2529B"/>
    <w:rsid w:val="00A25923"/>
    <w:rsid w:val="00A2593B"/>
    <w:rsid w:val="00A25C17"/>
    <w:rsid w:val="00A25C19"/>
    <w:rsid w:val="00A26464"/>
    <w:rsid w:val="00A26657"/>
    <w:rsid w:val="00A268D7"/>
    <w:rsid w:val="00A2691C"/>
    <w:rsid w:val="00A26B47"/>
    <w:rsid w:val="00A26B83"/>
    <w:rsid w:val="00A27238"/>
    <w:rsid w:val="00A27359"/>
    <w:rsid w:val="00A27817"/>
    <w:rsid w:val="00A27DF6"/>
    <w:rsid w:val="00A27E27"/>
    <w:rsid w:val="00A30821"/>
    <w:rsid w:val="00A30A1B"/>
    <w:rsid w:val="00A30D2D"/>
    <w:rsid w:val="00A31218"/>
    <w:rsid w:val="00A3136D"/>
    <w:rsid w:val="00A31786"/>
    <w:rsid w:val="00A317B2"/>
    <w:rsid w:val="00A31CF9"/>
    <w:rsid w:val="00A3234E"/>
    <w:rsid w:val="00A32405"/>
    <w:rsid w:val="00A3274A"/>
    <w:rsid w:val="00A32E1E"/>
    <w:rsid w:val="00A33EDE"/>
    <w:rsid w:val="00A33F5B"/>
    <w:rsid w:val="00A345E1"/>
    <w:rsid w:val="00A345F3"/>
    <w:rsid w:val="00A3472D"/>
    <w:rsid w:val="00A349FA"/>
    <w:rsid w:val="00A3543A"/>
    <w:rsid w:val="00A35834"/>
    <w:rsid w:val="00A359D5"/>
    <w:rsid w:val="00A35A7C"/>
    <w:rsid w:val="00A35F14"/>
    <w:rsid w:val="00A36B73"/>
    <w:rsid w:val="00A36B75"/>
    <w:rsid w:val="00A37954"/>
    <w:rsid w:val="00A37D44"/>
    <w:rsid w:val="00A4002E"/>
    <w:rsid w:val="00A40214"/>
    <w:rsid w:val="00A405AA"/>
    <w:rsid w:val="00A40753"/>
    <w:rsid w:val="00A4076C"/>
    <w:rsid w:val="00A408E8"/>
    <w:rsid w:val="00A40E54"/>
    <w:rsid w:val="00A41636"/>
    <w:rsid w:val="00A4195F"/>
    <w:rsid w:val="00A41A05"/>
    <w:rsid w:val="00A41DA8"/>
    <w:rsid w:val="00A421E7"/>
    <w:rsid w:val="00A421ED"/>
    <w:rsid w:val="00A42217"/>
    <w:rsid w:val="00A42C0B"/>
    <w:rsid w:val="00A42D4A"/>
    <w:rsid w:val="00A42F04"/>
    <w:rsid w:val="00A43258"/>
    <w:rsid w:val="00A432BB"/>
    <w:rsid w:val="00A4348D"/>
    <w:rsid w:val="00A4361C"/>
    <w:rsid w:val="00A4376D"/>
    <w:rsid w:val="00A441ED"/>
    <w:rsid w:val="00A44409"/>
    <w:rsid w:val="00A44C29"/>
    <w:rsid w:val="00A44D9A"/>
    <w:rsid w:val="00A45013"/>
    <w:rsid w:val="00A451E5"/>
    <w:rsid w:val="00A4557B"/>
    <w:rsid w:val="00A45638"/>
    <w:rsid w:val="00A460EE"/>
    <w:rsid w:val="00A4619A"/>
    <w:rsid w:val="00A47174"/>
    <w:rsid w:val="00A47410"/>
    <w:rsid w:val="00A475F5"/>
    <w:rsid w:val="00A47738"/>
    <w:rsid w:val="00A47884"/>
    <w:rsid w:val="00A4794F"/>
    <w:rsid w:val="00A479CE"/>
    <w:rsid w:val="00A47F8D"/>
    <w:rsid w:val="00A500FA"/>
    <w:rsid w:val="00A5018D"/>
    <w:rsid w:val="00A506C9"/>
    <w:rsid w:val="00A50A9D"/>
    <w:rsid w:val="00A50B04"/>
    <w:rsid w:val="00A50D55"/>
    <w:rsid w:val="00A50E9C"/>
    <w:rsid w:val="00A5127D"/>
    <w:rsid w:val="00A512F6"/>
    <w:rsid w:val="00A5174A"/>
    <w:rsid w:val="00A51B09"/>
    <w:rsid w:val="00A51C96"/>
    <w:rsid w:val="00A520CA"/>
    <w:rsid w:val="00A522B5"/>
    <w:rsid w:val="00A52467"/>
    <w:rsid w:val="00A52476"/>
    <w:rsid w:val="00A52576"/>
    <w:rsid w:val="00A5257B"/>
    <w:rsid w:val="00A52A02"/>
    <w:rsid w:val="00A52A76"/>
    <w:rsid w:val="00A52B74"/>
    <w:rsid w:val="00A52CE9"/>
    <w:rsid w:val="00A52D6C"/>
    <w:rsid w:val="00A53414"/>
    <w:rsid w:val="00A53552"/>
    <w:rsid w:val="00A536A0"/>
    <w:rsid w:val="00A53BE0"/>
    <w:rsid w:val="00A53C9F"/>
    <w:rsid w:val="00A549FA"/>
    <w:rsid w:val="00A54A98"/>
    <w:rsid w:val="00A556AA"/>
    <w:rsid w:val="00A55D21"/>
    <w:rsid w:val="00A562DC"/>
    <w:rsid w:val="00A565DF"/>
    <w:rsid w:val="00A571D1"/>
    <w:rsid w:val="00A5724E"/>
    <w:rsid w:val="00A57344"/>
    <w:rsid w:val="00A6020B"/>
    <w:rsid w:val="00A605F9"/>
    <w:rsid w:val="00A60C6E"/>
    <w:rsid w:val="00A60CE7"/>
    <w:rsid w:val="00A61396"/>
    <w:rsid w:val="00A613DB"/>
    <w:rsid w:val="00A61529"/>
    <w:rsid w:val="00A620C3"/>
    <w:rsid w:val="00A62153"/>
    <w:rsid w:val="00A622C4"/>
    <w:rsid w:val="00A62580"/>
    <w:rsid w:val="00A62D4C"/>
    <w:rsid w:val="00A63117"/>
    <w:rsid w:val="00A631E9"/>
    <w:rsid w:val="00A6337C"/>
    <w:rsid w:val="00A63763"/>
    <w:rsid w:val="00A63769"/>
    <w:rsid w:val="00A63DE2"/>
    <w:rsid w:val="00A63ED1"/>
    <w:rsid w:val="00A64009"/>
    <w:rsid w:val="00A6592D"/>
    <w:rsid w:val="00A65A73"/>
    <w:rsid w:val="00A65B20"/>
    <w:rsid w:val="00A65EF4"/>
    <w:rsid w:val="00A660FA"/>
    <w:rsid w:val="00A66427"/>
    <w:rsid w:val="00A66756"/>
    <w:rsid w:val="00A668EC"/>
    <w:rsid w:val="00A66E15"/>
    <w:rsid w:val="00A67C75"/>
    <w:rsid w:val="00A67FB2"/>
    <w:rsid w:val="00A706F7"/>
    <w:rsid w:val="00A7093D"/>
    <w:rsid w:val="00A70A63"/>
    <w:rsid w:val="00A71682"/>
    <w:rsid w:val="00A71E8A"/>
    <w:rsid w:val="00A72088"/>
    <w:rsid w:val="00A72130"/>
    <w:rsid w:val="00A7278E"/>
    <w:rsid w:val="00A72A1B"/>
    <w:rsid w:val="00A73090"/>
    <w:rsid w:val="00A739E1"/>
    <w:rsid w:val="00A73BE3"/>
    <w:rsid w:val="00A73C34"/>
    <w:rsid w:val="00A73CD7"/>
    <w:rsid w:val="00A744B5"/>
    <w:rsid w:val="00A744EA"/>
    <w:rsid w:val="00A74582"/>
    <w:rsid w:val="00A74875"/>
    <w:rsid w:val="00A75850"/>
    <w:rsid w:val="00A75A63"/>
    <w:rsid w:val="00A75CE0"/>
    <w:rsid w:val="00A75E19"/>
    <w:rsid w:val="00A75F93"/>
    <w:rsid w:val="00A7632E"/>
    <w:rsid w:val="00A76716"/>
    <w:rsid w:val="00A76844"/>
    <w:rsid w:val="00A77307"/>
    <w:rsid w:val="00A77388"/>
    <w:rsid w:val="00A7787E"/>
    <w:rsid w:val="00A77969"/>
    <w:rsid w:val="00A77985"/>
    <w:rsid w:val="00A77ABC"/>
    <w:rsid w:val="00A77E25"/>
    <w:rsid w:val="00A77F4A"/>
    <w:rsid w:val="00A77F5D"/>
    <w:rsid w:val="00A80187"/>
    <w:rsid w:val="00A805F3"/>
    <w:rsid w:val="00A80857"/>
    <w:rsid w:val="00A81333"/>
    <w:rsid w:val="00A81ACE"/>
    <w:rsid w:val="00A81DA7"/>
    <w:rsid w:val="00A821F3"/>
    <w:rsid w:val="00A826C7"/>
    <w:rsid w:val="00A827E6"/>
    <w:rsid w:val="00A8334D"/>
    <w:rsid w:val="00A834A9"/>
    <w:rsid w:val="00A83700"/>
    <w:rsid w:val="00A83DF4"/>
    <w:rsid w:val="00A83F7A"/>
    <w:rsid w:val="00A8435C"/>
    <w:rsid w:val="00A848FA"/>
    <w:rsid w:val="00A84CAE"/>
    <w:rsid w:val="00A85108"/>
    <w:rsid w:val="00A85530"/>
    <w:rsid w:val="00A86134"/>
    <w:rsid w:val="00A863E8"/>
    <w:rsid w:val="00A87287"/>
    <w:rsid w:val="00A873B9"/>
    <w:rsid w:val="00A87890"/>
    <w:rsid w:val="00A87A35"/>
    <w:rsid w:val="00A87A44"/>
    <w:rsid w:val="00A87B1C"/>
    <w:rsid w:val="00A87CCE"/>
    <w:rsid w:val="00A87CF0"/>
    <w:rsid w:val="00A87DDF"/>
    <w:rsid w:val="00A87FA6"/>
    <w:rsid w:val="00A90A09"/>
    <w:rsid w:val="00A90B50"/>
    <w:rsid w:val="00A90EAF"/>
    <w:rsid w:val="00A91005"/>
    <w:rsid w:val="00A91341"/>
    <w:rsid w:val="00A913B2"/>
    <w:rsid w:val="00A91AD3"/>
    <w:rsid w:val="00A9208F"/>
    <w:rsid w:val="00A923A4"/>
    <w:rsid w:val="00A92618"/>
    <w:rsid w:val="00A926D0"/>
    <w:rsid w:val="00A9288C"/>
    <w:rsid w:val="00A92BAD"/>
    <w:rsid w:val="00A92D3D"/>
    <w:rsid w:val="00A932B8"/>
    <w:rsid w:val="00A9393C"/>
    <w:rsid w:val="00A93A6E"/>
    <w:rsid w:val="00A9413B"/>
    <w:rsid w:val="00A944A8"/>
    <w:rsid w:val="00A94650"/>
    <w:rsid w:val="00A947E1"/>
    <w:rsid w:val="00A94A18"/>
    <w:rsid w:val="00A94CCE"/>
    <w:rsid w:val="00A95053"/>
    <w:rsid w:val="00A9539D"/>
    <w:rsid w:val="00A953D3"/>
    <w:rsid w:val="00A953D8"/>
    <w:rsid w:val="00A9593C"/>
    <w:rsid w:val="00A95C61"/>
    <w:rsid w:val="00A95D5D"/>
    <w:rsid w:val="00A960BB"/>
    <w:rsid w:val="00A96268"/>
    <w:rsid w:val="00A9645D"/>
    <w:rsid w:val="00A9686D"/>
    <w:rsid w:val="00A96EB7"/>
    <w:rsid w:val="00A974F0"/>
    <w:rsid w:val="00A9775A"/>
    <w:rsid w:val="00A97D36"/>
    <w:rsid w:val="00A97EAD"/>
    <w:rsid w:val="00AA06ED"/>
    <w:rsid w:val="00AA08C1"/>
    <w:rsid w:val="00AA0B4A"/>
    <w:rsid w:val="00AA0DF8"/>
    <w:rsid w:val="00AA11AC"/>
    <w:rsid w:val="00AA142C"/>
    <w:rsid w:val="00AA14A7"/>
    <w:rsid w:val="00AA1CA6"/>
    <w:rsid w:val="00AA22AE"/>
    <w:rsid w:val="00AA2B89"/>
    <w:rsid w:val="00AA2FBF"/>
    <w:rsid w:val="00AA3002"/>
    <w:rsid w:val="00AA3426"/>
    <w:rsid w:val="00AA471B"/>
    <w:rsid w:val="00AA498B"/>
    <w:rsid w:val="00AA541A"/>
    <w:rsid w:val="00AA54C1"/>
    <w:rsid w:val="00AA5506"/>
    <w:rsid w:val="00AA5D88"/>
    <w:rsid w:val="00AA5E80"/>
    <w:rsid w:val="00AA5ED1"/>
    <w:rsid w:val="00AA616D"/>
    <w:rsid w:val="00AA64FF"/>
    <w:rsid w:val="00AA672D"/>
    <w:rsid w:val="00AA6762"/>
    <w:rsid w:val="00AA713A"/>
    <w:rsid w:val="00AA7167"/>
    <w:rsid w:val="00AA72B3"/>
    <w:rsid w:val="00AA765F"/>
    <w:rsid w:val="00AA7824"/>
    <w:rsid w:val="00AA7CC8"/>
    <w:rsid w:val="00AA7D06"/>
    <w:rsid w:val="00AB04BA"/>
    <w:rsid w:val="00AB053F"/>
    <w:rsid w:val="00AB05AB"/>
    <w:rsid w:val="00AB0876"/>
    <w:rsid w:val="00AB0D44"/>
    <w:rsid w:val="00AB0E0E"/>
    <w:rsid w:val="00AB0F9A"/>
    <w:rsid w:val="00AB11B2"/>
    <w:rsid w:val="00AB12E5"/>
    <w:rsid w:val="00AB1802"/>
    <w:rsid w:val="00AB1C64"/>
    <w:rsid w:val="00AB1DBE"/>
    <w:rsid w:val="00AB224B"/>
    <w:rsid w:val="00AB3127"/>
    <w:rsid w:val="00AB3726"/>
    <w:rsid w:val="00AB3ACF"/>
    <w:rsid w:val="00AB3D33"/>
    <w:rsid w:val="00AB3D3B"/>
    <w:rsid w:val="00AB3F2E"/>
    <w:rsid w:val="00AB3FDC"/>
    <w:rsid w:val="00AB408F"/>
    <w:rsid w:val="00AB4134"/>
    <w:rsid w:val="00AB4380"/>
    <w:rsid w:val="00AB45A2"/>
    <w:rsid w:val="00AB4811"/>
    <w:rsid w:val="00AB4B35"/>
    <w:rsid w:val="00AB4CE2"/>
    <w:rsid w:val="00AB5392"/>
    <w:rsid w:val="00AB5C4B"/>
    <w:rsid w:val="00AB624B"/>
    <w:rsid w:val="00AB64F3"/>
    <w:rsid w:val="00AB6599"/>
    <w:rsid w:val="00AB6BD2"/>
    <w:rsid w:val="00AB6E69"/>
    <w:rsid w:val="00AB6F59"/>
    <w:rsid w:val="00AB6FAE"/>
    <w:rsid w:val="00AB7166"/>
    <w:rsid w:val="00AB7710"/>
    <w:rsid w:val="00AB7976"/>
    <w:rsid w:val="00AC040D"/>
    <w:rsid w:val="00AC04D7"/>
    <w:rsid w:val="00AC05A6"/>
    <w:rsid w:val="00AC0929"/>
    <w:rsid w:val="00AC0D51"/>
    <w:rsid w:val="00AC0D62"/>
    <w:rsid w:val="00AC0D91"/>
    <w:rsid w:val="00AC1163"/>
    <w:rsid w:val="00AC1726"/>
    <w:rsid w:val="00AC187F"/>
    <w:rsid w:val="00AC19ED"/>
    <w:rsid w:val="00AC2556"/>
    <w:rsid w:val="00AC2833"/>
    <w:rsid w:val="00AC2A60"/>
    <w:rsid w:val="00AC2D13"/>
    <w:rsid w:val="00AC3244"/>
    <w:rsid w:val="00AC3B3E"/>
    <w:rsid w:val="00AC3EC2"/>
    <w:rsid w:val="00AC4431"/>
    <w:rsid w:val="00AC4A4E"/>
    <w:rsid w:val="00AC4A58"/>
    <w:rsid w:val="00AC4C7E"/>
    <w:rsid w:val="00AC4DA4"/>
    <w:rsid w:val="00AC5ABF"/>
    <w:rsid w:val="00AC6C1D"/>
    <w:rsid w:val="00AC6D3A"/>
    <w:rsid w:val="00AC719A"/>
    <w:rsid w:val="00AC734A"/>
    <w:rsid w:val="00AC7974"/>
    <w:rsid w:val="00AC7EB0"/>
    <w:rsid w:val="00AD04B7"/>
    <w:rsid w:val="00AD0592"/>
    <w:rsid w:val="00AD0D4E"/>
    <w:rsid w:val="00AD0DF7"/>
    <w:rsid w:val="00AD0F00"/>
    <w:rsid w:val="00AD0F45"/>
    <w:rsid w:val="00AD1058"/>
    <w:rsid w:val="00AD18B6"/>
    <w:rsid w:val="00AD1DB4"/>
    <w:rsid w:val="00AD2487"/>
    <w:rsid w:val="00AD3052"/>
    <w:rsid w:val="00AD3465"/>
    <w:rsid w:val="00AD39E6"/>
    <w:rsid w:val="00AD3C46"/>
    <w:rsid w:val="00AD3CF7"/>
    <w:rsid w:val="00AD460B"/>
    <w:rsid w:val="00AD47E6"/>
    <w:rsid w:val="00AD4840"/>
    <w:rsid w:val="00AD49DD"/>
    <w:rsid w:val="00AD4BA3"/>
    <w:rsid w:val="00AD66F4"/>
    <w:rsid w:val="00AD6FFF"/>
    <w:rsid w:val="00AD73EB"/>
    <w:rsid w:val="00AD7410"/>
    <w:rsid w:val="00AD756C"/>
    <w:rsid w:val="00AD759C"/>
    <w:rsid w:val="00AD76B5"/>
    <w:rsid w:val="00AD7D42"/>
    <w:rsid w:val="00AE00BC"/>
    <w:rsid w:val="00AE00C6"/>
    <w:rsid w:val="00AE064D"/>
    <w:rsid w:val="00AE0719"/>
    <w:rsid w:val="00AE081B"/>
    <w:rsid w:val="00AE0960"/>
    <w:rsid w:val="00AE1043"/>
    <w:rsid w:val="00AE1197"/>
    <w:rsid w:val="00AE11C3"/>
    <w:rsid w:val="00AE14B5"/>
    <w:rsid w:val="00AE152A"/>
    <w:rsid w:val="00AE1535"/>
    <w:rsid w:val="00AE1BC3"/>
    <w:rsid w:val="00AE1D2F"/>
    <w:rsid w:val="00AE1EFB"/>
    <w:rsid w:val="00AE27B0"/>
    <w:rsid w:val="00AE28CF"/>
    <w:rsid w:val="00AE2944"/>
    <w:rsid w:val="00AE2A0B"/>
    <w:rsid w:val="00AE2C24"/>
    <w:rsid w:val="00AE326A"/>
    <w:rsid w:val="00AE3DA6"/>
    <w:rsid w:val="00AE3F83"/>
    <w:rsid w:val="00AE412E"/>
    <w:rsid w:val="00AE576A"/>
    <w:rsid w:val="00AE5B63"/>
    <w:rsid w:val="00AE5C48"/>
    <w:rsid w:val="00AE6150"/>
    <w:rsid w:val="00AE61B4"/>
    <w:rsid w:val="00AE6436"/>
    <w:rsid w:val="00AE737A"/>
    <w:rsid w:val="00AE7802"/>
    <w:rsid w:val="00AE78D0"/>
    <w:rsid w:val="00AE7A03"/>
    <w:rsid w:val="00AE7B6D"/>
    <w:rsid w:val="00AE7BBB"/>
    <w:rsid w:val="00AF0475"/>
    <w:rsid w:val="00AF0574"/>
    <w:rsid w:val="00AF0B54"/>
    <w:rsid w:val="00AF0BE9"/>
    <w:rsid w:val="00AF0E55"/>
    <w:rsid w:val="00AF10EF"/>
    <w:rsid w:val="00AF1E73"/>
    <w:rsid w:val="00AF1E80"/>
    <w:rsid w:val="00AF2045"/>
    <w:rsid w:val="00AF2292"/>
    <w:rsid w:val="00AF269A"/>
    <w:rsid w:val="00AF2792"/>
    <w:rsid w:val="00AF2799"/>
    <w:rsid w:val="00AF279F"/>
    <w:rsid w:val="00AF2997"/>
    <w:rsid w:val="00AF2EF2"/>
    <w:rsid w:val="00AF300D"/>
    <w:rsid w:val="00AF30E0"/>
    <w:rsid w:val="00AF3157"/>
    <w:rsid w:val="00AF31AF"/>
    <w:rsid w:val="00AF34F2"/>
    <w:rsid w:val="00AF397D"/>
    <w:rsid w:val="00AF3F84"/>
    <w:rsid w:val="00AF3FF5"/>
    <w:rsid w:val="00AF40D3"/>
    <w:rsid w:val="00AF42F3"/>
    <w:rsid w:val="00AF47A9"/>
    <w:rsid w:val="00AF47AD"/>
    <w:rsid w:val="00AF4943"/>
    <w:rsid w:val="00AF49B7"/>
    <w:rsid w:val="00AF4B35"/>
    <w:rsid w:val="00AF5078"/>
    <w:rsid w:val="00AF5E8C"/>
    <w:rsid w:val="00AF6042"/>
    <w:rsid w:val="00AF6077"/>
    <w:rsid w:val="00AF6212"/>
    <w:rsid w:val="00AF6574"/>
    <w:rsid w:val="00AF6B2F"/>
    <w:rsid w:val="00AF6C6C"/>
    <w:rsid w:val="00AF7083"/>
    <w:rsid w:val="00AF710B"/>
    <w:rsid w:val="00AF7437"/>
    <w:rsid w:val="00AF75DC"/>
    <w:rsid w:val="00AF7655"/>
    <w:rsid w:val="00AF7849"/>
    <w:rsid w:val="00AF78A6"/>
    <w:rsid w:val="00AF7C6E"/>
    <w:rsid w:val="00AF7FDD"/>
    <w:rsid w:val="00B001DC"/>
    <w:rsid w:val="00B00905"/>
    <w:rsid w:val="00B00B24"/>
    <w:rsid w:val="00B00B39"/>
    <w:rsid w:val="00B00E65"/>
    <w:rsid w:val="00B00FCA"/>
    <w:rsid w:val="00B01578"/>
    <w:rsid w:val="00B0172E"/>
    <w:rsid w:val="00B01BCC"/>
    <w:rsid w:val="00B01C2E"/>
    <w:rsid w:val="00B01DF6"/>
    <w:rsid w:val="00B0237B"/>
    <w:rsid w:val="00B023CF"/>
    <w:rsid w:val="00B02A76"/>
    <w:rsid w:val="00B02BDB"/>
    <w:rsid w:val="00B02C29"/>
    <w:rsid w:val="00B02DAF"/>
    <w:rsid w:val="00B033C3"/>
    <w:rsid w:val="00B039E8"/>
    <w:rsid w:val="00B043AA"/>
    <w:rsid w:val="00B0457D"/>
    <w:rsid w:val="00B04C54"/>
    <w:rsid w:val="00B04DC7"/>
    <w:rsid w:val="00B04F3F"/>
    <w:rsid w:val="00B0503C"/>
    <w:rsid w:val="00B0515A"/>
    <w:rsid w:val="00B05168"/>
    <w:rsid w:val="00B05198"/>
    <w:rsid w:val="00B05325"/>
    <w:rsid w:val="00B05338"/>
    <w:rsid w:val="00B05418"/>
    <w:rsid w:val="00B0563C"/>
    <w:rsid w:val="00B063F4"/>
    <w:rsid w:val="00B06CEC"/>
    <w:rsid w:val="00B06F7D"/>
    <w:rsid w:val="00B07179"/>
    <w:rsid w:val="00B074B6"/>
    <w:rsid w:val="00B07551"/>
    <w:rsid w:val="00B07582"/>
    <w:rsid w:val="00B078E1"/>
    <w:rsid w:val="00B108F7"/>
    <w:rsid w:val="00B10A32"/>
    <w:rsid w:val="00B10D84"/>
    <w:rsid w:val="00B10ECA"/>
    <w:rsid w:val="00B111AE"/>
    <w:rsid w:val="00B111C4"/>
    <w:rsid w:val="00B1152A"/>
    <w:rsid w:val="00B11569"/>
    <w:rsid w:val="00B11638"/>
    <w:rsid w:val="00B116B3"/>
    <w:rsid w:val="00B11712"/>
    <w:rsid w:val="00B12880"/>
    <w:rsid w:val="00B1295A"/>
    <w:rsid w:val="00B12F2C"/>
    <w:rsid w:val="00B136E4"/>
    <w:rsid w:val="00B1394E"/>
    <w:rsid w:val="00B13C2B"/>
    <w:rsid w:val="00B144AE"/>
    <w:rsid w:val="00B14981"/>
    <w:rsid w:val="00B1520C"/>
    <w:rsid w:val="00B152D2"/>
    <w:rsid w:val="00B1537B"/>
    <w:rsid w:val="00B157F3"/>
    <w:rsid w:val="00B159F0"/>
    <w:rsid w:val="00B161B5"/>
    <w:rsid w:val="00B16829"/>
    <w:rsid w:val="00B16892"/>
    <w:rsid w:val="00B16F1E"/>
    <w:rsid w:val="00B17298"/>
    <w:rsid w:val="00B174CC"/>
    <w:rsid w:val="00B17586"/>
    <w:rsid w:val="00B177D7"/>
    <w:rsid w:val="00B179D9"/>
    <w:rsid w:val="00B17D36"/>
    <w:rsid w:val="00B20103"/>
    <w:rsid w:val="00B20EB8"/>
    <w:rsid w:val="00B2124D"/>
    <w:rsid w:val="00B2139B"/>
    <w:rsid w:val="00B21981"/>
    <w:rsid w:val="00B21B57"/>
    <w:rsid w:val="00B21B9F"/>
    <w:rsid w:val="00B22C22"/>
    <w:rsid w:val="00B22C56"/>
    <w:rsid w:val="00B237C6"/>
    <w:rsid w:val="00B23AA0"/>
    <w:rsid w:val="00B2432B"/>
    <w:rsid w:val="00B24638"/>
    <w:rsid w:val="00B247CA"/>
    <w:rsid w:val="00B248CA"/>
    <w:rsid w:val="00B24BA5"/>
    <w:rsid w:val="00B24E4C"/>
    <w:rsid w:val="00B25572"/>
    <w:rsid w:val="00B258C3"/>
    <w:rsid w:val="00B25B95"/>
    <w:rsid w:val="00B26500"/>
    <w:rsid w:val="00B26597"/>
    <w:rsid w:val="00B269B6"/>
    <w:rsid w:val="00B26D43"/>
    <w:rsid w:val="00B26F48"/>
    <w:rsid w:val="00B27326"/>
    <w:rsid w:val="00B2747E"/>
    <w:rsid w:val="00B27862"/>
    <w:rsid w:val="00B278B1"/>
    <w:rsid w:val="00B30B17"/>
    <w:rsid w:val="00B30DB7"/>
    <w:rsid w:val="00B31D71"/>
    <w:rsid w:val="00B32166"/>
    <w:rsid w:val="00B321A9"/>
    <w:rsid w:val="00B327B3"/>
    <w:rsid w:val="00B32A2F"/>
    <w:rsid w:val="00B32BC7"/>
    <w:rsid w:val="00B32D69"/>
    <w:rsid w:val="00B32F05"/>
    <w:rsid w:val="00B334DC"/>
    <w:rsid w:val="00B33EB1"/>
    <w:rsid w:val="00B340F5"/>
    <w:rsid w:val="00B34195"/>
    <w:rsid w:val="00B34211"/>
    <w:rsid w:val="00B3424C"/>
    <w:rsid w:val="00B3459E"/>
    <w:rsid w:val="00B34655"/>
    <w:rsid w:val="00B34682"/>
    <w:rsid w:val="00B34C4D"/>
    <w:rsid w:val="00B35B1D"/>
    <w:rsid w:val="00B363F8"/>
    <w:rsid w:val="00B364EA"/>
    <w:rsid w:val="00B365E3"/>
    <w:rsid w:val="00B36801"/>
    <w:rsid w:val="00B36889"/>
    <w:rsid w:val="00B36B92"/>
    <w:rsid w:val="00B3700C"/>
    <w:rsid w:val="00B37E78"/>
    <w:rsid w:val="00B40520"/>
    <w:rsid w:val="00B40579"/>
    <w:rsid w:val="00B40676"/>
    <w:rsid w:val="00B406A4"/>
    <w:rsid w:val="00B406A7"/>
    <w:rsid w:val="00B4076A"/>
    <w:rsid w:val="00B40942"/>
    <w:rsid w:val="00B40B15"/>
    <w:rsid w:val="00B40E36"/>
    <w:rsid w:val="00B4159E"/>
    <w:rsid w:val="00B41778"/>
    <w:rsid w:val="00B41EF5"/>
    <w:rsid w:val="00B42078"/>
    <w:rsid w:val="00B4249A"/>
    <w:rsid w:val="00B426B6"/>
    <w:rsid w:val="00B427D5"/>
    <w:rsid w:val="00B42AA9"/>
    <w:rsid w:val="00B42B74"/>
    <w:rsid w:val="00B42BCC"/>
    <w:rsid w:val="00B4304B"/>
    <w:rsid w:val="00B430D3"/>
    <w:rsid w:val="00B439E2"/>
    <w:rsid w:val="00B439F1"/>
    <w:rsid w:val="00B43CD6"/>
    <w:rsid w:val="00B44140"/>
    <w:rsid w:val="00B44699"/>
    <w:rsid w:val="00B453C2"/>
    <w:rsid w:val="00B45553"/>
    <w:rsid w:val="00B45B2C"/>
    <w:rsid w:val="00B45EDC"/>
    <w:rsid w:val="00B4601F"/>
    <w:rsid w:val="00B46469"/>
    <w:rsid w:val="00B465AE"/>
    <w:rsid w:val="00B465BD"/>
    <w:rsid w:val="00B468E1"/>
    <w:rsid w:val="00B469EB"/>
    <w:rsid w:val="00B471AB"/>
    <w:rsid w:val="00B478D9"/>
    <w:rsid w:val="00B50269"/>
    <w:rsid w:val="00B50B9C"/>
    <w:rsid w:val="00B513B7"/>
    <w:rsid w:val="00B5140B"/>
    <w:rsid w:val="00B51868"/>
    <w:rsid w:val="00B5188B"/>
    <w:rsid w:val="00B51AFF"/>
    <w:rsid w:val="00B51B79"/>
    <w:rsid w:val="00B51E71"/>
    <w:rsid w:val="00B51FDC"/>
    <w:rsid w:val="00B520B6"/>
    <w:rsid w:val="00B52105"/>
    <w:rsid w:val="00B524BF"/>
    <w:rsid w:val="00B5253B"/>
    <w:rsid w:val="00B5293C"/>
    <w:rsid w:val="00B52AED"/>
    <w:rsid w:val="00B52AFF"/>
    <w:rsid w:val="00B52BEE"/>
    <w:rsid w:val="00B52E23"/>
    <w:rsid w:val="00B5327A"/>
    <w:rsid w:val="00B532CF"/>
    <w:rsid w:val="00B5345B"/>
    <w:rsid w:val="00B53661"/>
    <w:rsid w:val="00B53929"/>
    <w:rsid w:val="00B54290"/>
    <w:rsid w:val="00B54408"/>
    <w:rsid w:val="00B54607"/>
    <w:rsid w:val="00B552E1"/>
    <w:rsid w:val="00B553CA"/>
    <w:rsid w:val="00B559A9"/>
    <w:rsid w:val="00B55AAC"/>
    <w:rsid w:val="00B55DCE"/>
    <w:rsid w:val="00B5613D"/>
    <w:rsid w:val="00B56252"/>
    <w:rsid w:val="00B565B7"/>
    <w:rsid w:val="00B5684B"/>
    <w:rsid w:val="00B5698A"/>
    <w:rsid w:val="00B56C0D"/>
    <w:rsid w:val="00B570BF"/>
    <w:rsid w:val="00B57192"/>
    <w:rsid w:val="00B572E6"/>
    <w:rsid w:val="00B578A6"/>
    <w:rsid w:val="00B57A88"/>
    <w:rsid w:val="00B57B34"/>
    <w:rsid w:val="00B57DDA"/>
    <w:rsid w:val="00B57E05"/>
    <w:rsid w:val="00B601C4"/>
    <w:rsid w:val="00B607C9"/>
    <w:rsid w:val="00B60FFA"/>
    <w:rsid w:val="00B61082"/>
    <w:rsid w:val="00B61C8D"/>
    <w:rsid w:val="00B6211C"/>
    <w:rsid w:val="00B62276"/>
    <w:rsid w:val="00B626D8"/>
    <w:rsid w:val="00B62E70"/>
    <w:rsid w:val="00B62F76"/>
    <w:rsid w:val="00B635C6"/>
    <w:rsid w:val="00B6397C"/>
    <w:rsid w:val="00B63A11"/>
    <w:rsid w:val="00B63B8A"/>
    <w:rsid w:val="00B63E24"/>
    <w:rsid w:val="00B643B8"/>
    <w:rsid w:val="00B64955"/>
    <w:rsid w:val="00B649A8"/>
    <w:rsid w:val="00B64CC1"/>
    <w:rsid w:val="00B65046"/>
    <w:rsid w:val="00B6534D"/>
    <w:rsid w:val="00B6537D"/>
    <w:rsid w:val="00B654D7"/>
    <w:rsid w:val="00B656AC"/>
    <w:rsid w:val="00B65742"/>
    <w:rsid w:val="00B65B6B"/>
    <w:rsid w:val="00B662E3"/>
    <w:rsid w:val="00B663C9"/>
    <w:rsid w:val="00B6666B"/>
    <w:rsid w:val="00B66771"/>
    <w:rsid w:val="00B6709E"/>
    <w:rsid w:val="00B6710D"/>
    <w:rsid w:val="00B67231"/>
    <w:rsid w:val="00B673AF"/>
    <w:rsid w:val="00B676B7"/>
    <w:rsid w:val="00B67856"/>
    <w:rsid w:val="00B67E4D"/>
    <w:rsid w:val="00B70356"/>
    <w:rsid w:val="00B70562"/>
    <w:rsid w:val="00B7064B"/>
    <w:rsid w:val="00B70AC0"/>
    <w:rsid w:val="00B710FA"/>
    <w:rsid w:val="00B714B7"/>
    <w:rsid w:val="00B71D66"/>
    <w:rsid w:val="00B72165"/>
    <w:rsid w:val="00B724D7"/>
    <w:rsid w:val="00B72668"/>
    <w:rsid w:val="00B72A57"/>
    <w:rsid w:val="00B72B6F"/>
    <w:rsid w:val="00B72EE4"/>
    <w:rsid w:val="00B7361F"/>
    <w:rsid w:val="00B737A8"/>
    <w:rsid w:val="00B737AD"/>
    <w:rsid w:val="00B73B03"/>
    <w:rsid w:val="00B73DA2"/>
    <w:rsid w:val="00B74333"/>
    <w:rsid w:val="00B74500"/>
    <w:rsid w:val="00B74A99"/>
    <w:rsid w:val="00B74BF1"/>
    <w:rsid w:val="00B74E3C"/>
    <w:rsid w:val="00B74E4B"/>
    <w:rsid w:val="00B750CE"/>
    <w:rsid w:val="00B7540A"/>
    <w:rsid w:val="00B7564F"/>
    <w:rsid w:val="00B75708"/>
    <w:rsid w:val="00B7617A"/>
    <w:rsid w:val="00B7664D"/>
    <w:rsid w:val="00B76763"/>
    <w:rsid w:val="00B76B4F"/>
    <w:rsid w:val="00B7734F"/>
    <w:rsid w:val="00B773AF"/>
    <w:rsid w:val="00B77410"/>
    <w:rsid w:val="00B7747C"/>
    <w:rsid w:val="00B7781B"/>
    <w:rsid w:val="00B7783B"/>
    <w:rsid w:val="00B77D17"/>
    <w:rsid w:val="00B800A6"/>
    <w:rsid w:val="00B80633"/>
    <w:rsid w:val="00B80740"/>
    <w:rsid w:val="00B8091F"/>
    <w:rsid w:val="00B81707"/>
    <w:rsid w:val="00B81B84"/>
    <w:rsid w:val="00B81CD1"/>
    <w:rsid w:val="00B81D2A"/>
    <w:rsid w:val="00B81FA7"/>
    <w:rsid w:val="00B81FF0"/>
    <w:rsid w:val="00B8208A"/>
    <w:rsid w:val="00B82695"/>
    <w:rsid w:val="00B82803"/>
    <w:rsid w:val="00B82A4E"/>
    <w:rsid w:val="00B82A7B"/>
    <w:rsid w:val="00B82E3F"/>
    <w:rsid w:val="00B8305D"/>
    <w:rsid w:val="00B833CA"/>
    <w:rsid w:val="00B846C4"/>
    <w:rsid w:val="00B84764"/>
    <w:rsid w:val="00B84DFE"/>
    <w:rsid w:val="00B85417"/>
    <w:rsid w:val="00B85476"/>
    <w:rsid w:val="00B85984"/>
    <w:rsid w:val="00B860CB"/>
    <w:rsid w:val="00B8611A"/>
    <w:rsid w:val="00B8647A"/>
    <w:rsid w:val="00B866B3"/>
    <w:rsid w:val="00B86AD0"/>
    <w:rsid w:val="00B87083"/>
    <w:rsid w:val="00B87420"/>
    <w:rsid w:val="00B87545"/>
    <w:rsid w:val="00B878A9"/>
    <w:rsid w:val="00B87AC2"/>
    <w:rsid w:val="00B87BB0"/>
    <w:rsid w:val="00B87C1B"/>
    <w:rsid w:val="00B87FDE"/>
    <w:rsid w:val="00B9007A"/>
    <w:rsid w:val="00B90397"/>
    <w:rsid w:val="00B90C54"/>
    <w:rsid w:val="00B90D4E"/>
    <w:rsid w:val="00B91FFF"/>
    <w:rsid w:val="00B920B1"/>
    <w:rsid w:val="00B927E7"/>
    <w:rsid w:val="00B92839"/>
    <w:rsid w:val="00B92D7D"/>
    <w:rsid w:val="00B9315D"/>
    <w:rsid w:val="00B933E9"/>
    <w:rsid w:val="00B93435"/>
    <w:rsid w:val="00B93781"/>
    <w:rsid w:val="00B938D0"/>
    <w:rsid w:val="00B94159"/>
    <w:rsid w:val="00B942A0"/>
    <w:rsid w:val="00B9447D"/>
    <w:rsid w:val="00B94547"/>
    <w:rsid w:val="00B94F1F"/>
    <w:rsid w:val="00B95319"/>
    <w:rsid w:val="00B95409"/>
    <w:rsid w:val="00B95788"/>
    <w:rsid w:val="00B957F7"/>
    <w:rsid w:val="00B96031"/>
    <w:rsid w:val="00B960EB"/>
    <w:rsid w:val="00B961B2"/>
    <w:rsid w:val="00B96355"/>
    <w:rsid w:val="00B965A2"/>
    <w:rsid w:val="00B96833"/>
    <w:rsid w:val="00B969CF"/>
    <w:rsid w:val="00B969E0"/>
    <w:rsid w:val="00B96A3B"/>
    <w:rsid w:val="00B96DA6"/>
    <w:rsid w:val="00B96F51"/>
    <w:rsid w:val="00B971B8"/>
    <w:rsid w:val="00B973BD"/>
    <w:rsid w:val="00B973FE"/>
    <w:rsid w:val="00B9777A"/>
    <w:rsid w:val="00B97A26"/>
    <w:rsid w:val="00B97C63"/>
    <w:rsid w:val="00BA09B7"/>
    <w:rsid w:val="00BA10ED"/>
    <w:rsid w:val="00BA1534"/>
    <w:rsid w:val="00BA199A"/>
    <w:rsid w:val="00BA1DCF"/>
    <w:rsid w:val="00BA209D"/>
    <w:rsid w:val="00BA2155"/>
    <w:rsid w:val="00BA2522"/>
    <w:rsid w:val="00BA27D4"/>
    <w:rsid w:val="00BA2BC7"/>
    <w:rsid w:val="00BA2DB9"/>
    <w:rsid w:val="00BA3146"/>
    <w:rsid w:val="00BA38CD"/>
    <w:rsid w:val="00BA38FD"/>
    <w:rsid w:val="00BA4724"/>
    <w:rsid w:val="00BA4959"/>
    <w:rsid w:val="00BA608A"/>
    <w:rsid w:val="00BA6763"/>
    <w:rsid w:val="00BA6BAB"/>
    <w:rsid w:val="00BA7044"/>
    <w:rsid w:val="00BA70CA"/>
    <w:rsid w:val="00BA7266"/>
    <w:rsid w:val="00BA75A3"/>
    <w:rsid w:val="00BA773D"/>
    <w:rsid w:val="00BA7785"/>
    <w:rsid w:val="00BA788B"/>
    <w:rsid w:val="00BA7EEC"/>
    <w:rsid w:val="00BB0157"/>
    <w:rsid w:val="00BB01AE"/>
    <w:rsid w:val="00BB08EA"/>
    <w:rsid w:val="00BB0A20"/>
    <w:rsid w:val="00BB13C5"/>
    <w:rsid w:val="00BB143D"/>
    <w:rsid w:val="00BB1604"/>
    <w:rsid w:val="00BB16B3"/>
    <w:rsid w:val="00BB19AC"/>
    <w:rsid w:val="00BB1AB7"/>
    <w:rsid w:val="00BB1D1F"/>
    <w:rsid w:val="00BB1F01"/>
    <w:rsid w:val="00BB22EB"/>
    <w:rsid w:val="00BB24AE"/>
    <w:rsid w:val="00BB2816"/>
    <w:rsid w:val="00BB2A91"/>
    <w:rsid w:val="00BB2D05"/>
    <w:rsid w:val="00BB2E9E"/>
    <w:rsid w:val="00BB34E5"/>
    <w:rsid w:val="00BB3617"/>
    <w:rsid w:val="00BB3681"/>
    <w:rsid w:val="00BB3908"/>
    <w:rsid w:val="00BB3DD0"/>
    <w:rsid w:val="00BB3E8E"/>
    <w:rsid w:val="00BB3EA4"/>
    <w:rsid w:val="00BB409B"/>
    <w:rsid w:val="00BB4307"/>
    <w:rsid w:val="00BB4362"/>
    <w:rsid w:val="00BB471C"/>
    <w:rsid w:val="00BB494B"/>
    <w:rsid w:val="00BB518B"/>
    <w:rsid w:val="00BB53AB"/>
    <w:rsid w:val="00BB57C0"/>
    <w:rsid w:val="00BB5BCC"/>
    <w:rsid w:val="00BB5F74"/>
    <w:rsid w:val="00BB61EB"/>
    <w:rsid w:val="00BB6BE7"/>
    <w:rsid w:val="00BB6FE2"/>
    <w:rsid w:val="00BB7022"/>
    <w:rsid w:val="00BB7096"/>
    <w:rsid w:val="00BB7480"/>
    <w:rsid w:val="00BB7720"/>
    <w:rsid w:val="00BB7ACE"/>
    <w:rsid w:val="00BC0037"/>
    <w:rsid w:val="00BC0109"/>
    <w:rsid w:val="00BC0182"/>
    <w:rsid w:val="00BC0215"/>
    <w:rsid w:val="00BC0446"/>
    <w:rsid w:val="00BC093D"/>
    <w:rsid w:val="00BC0B65"/>
    <w:rsid w:val="00BC0ECF"/>
    <w:rsid w:val="00BC0F31"/>
    <w:rsid w:val="00BC10FB"/>
    <w:rsid w:val="00BC12A6"/>
    <w:rsid w:val="00BC13CE"/>
    <w:rsid w:val="00BC1B73"/>
    <w:rsid w:val="00BC1D49"/>
    <w:rsid w:val="00BC1E48"/>
    <w:rsid w:val="00BC2323"/>
    <w:rsid w:val="00BC28E4"/>
    <w:rsid w:val="00BC2A2D"/>
    <w:rsid w:val="00BC31B0"/>
    <w:rsid w:val="00BC3296"/>
    <w:rsid w:val="00BC3A6E"/>
    <w:rsid w:val="00BC437C"/>
    <w:rsid w:val="00BC474E"/>
    <w:rsid w:val="00BC4AFD"/>
    <w:rsid w:val="00BC4D95"/>
    <w:rsid w:val="00BC4FA4"/>
    <w:rsid w:val="00BC5961"/>
    <w:rsid w:val="00BC5C82"/>
    <w:rsid w:val="00BC6911"/>
    <w:rsid w:val="00BC69E2"/>
    <w:rsid w:val="00BC6E14"/>
    <w:rsid w:val="00BC72C0"/>
    <w:rsid w:val="00BC7A82"/>
    <w:rsid w:val="00BC7B4C"/>
    <w:rsid w:val="00BC7C40"/>
    <w:rsid w:val="00BC7D29"/>
    <w:rsid w:val="00BD07DB"/>
    <w:rsid w:val="00BD147B"/>
    <w:rsid w:val="00BD1C3E"/>
    <w:rsid w:val="00BD1C66"/>
    <w:rsid w:val="00BD1FBF"/>
    <w:rsid w:val="00BD2159"/>
    <w:rsid w:val="00BD2ACF"/>
    <w:rsid w:val="00BD2C8F"/>
    <w:rsid w:val="00BD2DBB"/>
    <w:rsid w:val="00BD2E02"/>
    <w:rsid w:val="00BD3612"/>
    <w:rsid w:val="00BD4480"/>
    <w:rsid w:val="00BD4938"/>
    <w:rsid w:val="00BD4C89"/>
    <w:rsid w:val="00BD5FF4"/>
    <w:rsid w:val="00BD64A5"/>
    <w:rsid w:val="00BD70E3"/>
    <w:rsid w:val="00BD7618"/>
    <w:rsid w:val="00BD7857"/>
    <w:rsid w:val="00BD7921"/>
    <w:rsid w:val="00BD7AD7"/>
    <w:rsid w:val="00BE01C4"/>
    <w:rsid w:val="00BE09BB"/>
    <w:rsid w:val="00BE0CA9"/>
    <w:rsid w:val="00BE0DE9"/>
    <w:rsid w:val="00BE0F5F"/>
    <w:rsid w:val="00BE16BB"/>
    <w:rsid w:val="00BE177D"/>
    <w:rsid w:val="00BE1CC8"/>
    <w:rsid w:val="00BE2089"/>
    <w:rsid w:val="00BE2558"/>
    <w:rsid w:val="00BE2712"/>
    <w:rsid w:val="00BE2818"/>
    <w:rsid w:val="00BE2A48"/>
    <w:rsid w:val="00BE2BC6"/>
    <w:rsid w:val="00BE2D8D"/>
    <w:rsid w:val="00BE2F66"/>
    <w:rsid w:val="00BE37E8"/>
    <w:rsid w:val="00BE3FAF"/>
    <w:rsid w:val="00BE3FC2"/>
    <w:rsid w:val="00BE4866"/>
    <w:rsid w:val="00BE5189"/>
    <w:rsid w:val="00BE5326"/>
    <w:rsid w:val="00BE5C91"/>
    <w:rsid w:val="00BE5E88"/>
    <w:rsid w:val="00BE629B"/>
    <w:rsid w:val="00BE632A"/>
    <w:rsid w:val="00BE6867"/>
    <w:rsid w:val="00BE686F"/>
    <w:rsid w:val="00BE68F5"/>
    <w:rsid w:val="00BE6D3D"/>
    <w:rsid w:val="00BE7111"/>
    <w:rsid w:val="00BE7148"/>
    <w:rsid w:val="00BE772D"/>
    <w:rsid w:val="00BE7A4E"/>
    <w:rsid w:val="00BE7BC6"/>
    <w:rsid w:val="00BF03F3"/>
    <w:rsid w:val="00BF0981"/>
    <w:rsid w:val="00BF0C11"/>
    <w:rsid w:val="00BF112B"/>
    <w:rsid w:val="00BF17D0"/>
    <w:rsid w:val="00BF2098"/>
    <w:rsid w:val="00BF30B6"/>
    <w:rsid w:val="00BF31C7"/>
    <w:rsid w:val="00BF39FA"/>
    <w:rsid w:val="00BF3F64"/>
    <w:rsid w:val="00BF3F75"/>
    <w:rsid w:val="00BF4048"/>
    <w:rsid w:val="00BF4116"/>
    <w:rsid w:val="00BF4C16"/>
    <w:rsid w:val="00BF4E99"/>
    <w:rsid w:val="00BF5B69"/>
    <w:rsid w:val="00BF6432"/>
    <w:rsid w:val="00BF68CE"/>
    <w:rsid w:val="00BF69A6"/>
    <w:rsid w:val="00BF7620"/>
    <w:rsid w:val="00BF7983"/>
    <w:rsid w:val="00BF7CA0"/>
    <w:rsid w:val="00BF7D6A"/>
    <w:rsid w:val="00BF7E0F"/>
    <w:rsid w:val="00BF7F65"/>
    <w:rsid w:val="00C004BB"/>
    <w:rsid w:val="00C00729"/>
    <w:rsid w:val="00C00874"/>
    <w:rsid w:val="00C0128D"/>
    <w:rsid w:val="00C01F21"/>
    <w:rsid w:val="00C02149"/>
    <w:rsid w:val="00C02590"/>
    <w:rsid w:val="00C0264F"/>
    <w:rsid w:val="00C027C5"/>
    <w:rsid w:val="00C02EDD"/>
    <w:rsid w:val="00C03225"/>
    <w:rsid w:val="00C03302"/>
    <w:rsid w:val="00C03409"/>
    <w:rsid w:val="00C034E4"/>
    <w:rsid w:val="00C03929"/>
    <w:rsid w:val="00C03AEC"/>
    <w:rsid w:val="00C043A0"/>
    <w:rsid w:val="00C043A9"/>
    <w:rsid w:val="00C04787"/>
    <w:rsid w:val="00C04B3B"/>
    <w:rsid w:val="00C04CFD"/>
    <w:rsid w:val="00C053A9"/>
    <w:rsid w:val="00C05856"/>
    <w:rsid w:val="00C0594F"/>
    <w:rsid w:val="00C05C1E"/>
    <w:rsid w:val="00C060A1"/>
    <w:rsid w:val="00C0628E"/>
    <w:rsid w:val="00C06342"/>
    <w:rsid w:val="00C064E5"/>
    <w:rsid w:val="00C0665D"/>
    <w:rsid w:val="00C068AE"/>
    <w:rsid w:val="00C06A42"/>
    <w:rsid w:val="00C06B60"/>
    <w:rsid w:val="00C06D1E"/>
    <w:rsid w:val="00C06DB0"/>
    <w:rsid w:val="00C0755E"/>
    <w:rsid w:val="00C07787"/>
    <w:rsid w:val="00C07EFE"/>
    <w:rsid w:val="00C07FDE"/>
    <w:rsid w:val="00C10097"/>
    <w:rsid w:val="00C1024B"/>
    <w:rsid w:val="00C107E1"/>
    <w:rsid w:val="00C10CF3"/>
    <w:rsid w:val="00C10E53"/>
    <w:rsid w:val="00C110AF"/>
    <w:rsid w:val="00C1122B"/>
    <w:rsid w:val="00C11250"/>
    <w:rsid w:val="00C11374"/>
    <w:rsid w:val="00C11D3A"/>
    <w:rsid w:val="00C11D9B"/>
    <w:rsid w:val="00C1237A"/>
    <w:rsid w:val="00C1263F"/>
    <w:rsid w:val="00C127D6"/>
    <w:rsid w:val="00C12CD7"/>
    <w:rsid w:val="00C1308C"/>
    <w:rsid w:val="00C1369E"/>
    <w:rsid w:val="00C138AE"/>
    <w:rsid w:val="00C13FC6"/>
    <w:rsid w:val="00C142BF"/>
    <w:rsid w:val="00C14594"/>
    <w:rsid w:val="00C145CC"/>
    <w:rsid w:val="00C14967"/>
    <w:rsid w:val="00C14FFE"/>
    <w:rsid w:val="00C154CF"/>
    <w:rsid w:val="00C1572C"/>
    <w:rsid w:val="00C15A2A"/>
    <w:rsid w:val="00C15EB9"/>
    <w:rsid w:val="00C1616C"/>
    <w:rsid w:val="00C1617F"/>
    <w:rsid w:val="00C16954"/>
    <w:rsid w:val="00C16CF9"/>
    <w:rsid w:val="00C17346"/>
    <w:rsid w:val="00C176AF"/>
    <w:rsid w:val="00C17A51"/>
    <w:rsid w:val="00C17B87"/>
    <w:rsid w:val="00C17CE6"/>
    <w:rsid w:val="00C17EF3"/>
    <w:rsid w:val="00C17F8A"/>
    <w:rsid w:val="00C2051B"/>
    <w:rsid w:val="00C2089A"/>
    <w:rsid w:val="00C20F68"/>
    <w:rsid w:val="00C21126"/>
    <w:rsid w:val="00C21196"/>
    <w:rsid w:val="00C2160B"/>
    <w:rsid w:val="00C21728"/>
    <w:rsid w:val="00C2199F"/>
    <w:rsid w:val="00C21AA6"/>
    <w:rsid w:val="00C21CE9"/>
    <w:rsid w:val="00C2212E"/>
    <w:rsid w:val="00C22600"/>
    <w:rsid w:val="00C22FE6"/>
    <w:rsid w:val="00C23613"/>
    <w:rsid w:val="00C23655"/>
    <w:rsid w:val="00C239B0"/>
    <w:rsid w:val="00C24000"/>
    <w:rsid w:val="00C242D8"/>
    <w:rsid w:val="00C243AC"/>
    <w:rsid w:val="00C24458"/>
    <w:rsid w:val="00C24996"/>
    <w:rsid w:val="00C24AA3"/>
    <w:rsid w:val="00C2500E"/>
    <w:rsid w:val="00C25037"/>
    <w:rsid w:val="00C251BA"/>
    <w:rsid w:val="00C254CF"/>
    <w:rsid w:val="00C260E2"/>
    <w:rsid w:val="00C2651D"/>
    <w:rsid w:val="00C26B8B"/>
    <w:rsid w:val="00C26FB2"/>
    <w:rsid w:val="00C26FC3"/>
    <w:rsid w:val="00C270B9"/>
    <w:rsid w:val="00C27497"/>
    <w:rsid w:val="00C277E2"/>
    <w:rsid w:val="00C27878"/>
    <w:rsid w:val="00C27992"/>
    <w:rsid w:val="00C305AC"/>
    <w:rsid w:val="00C307C2"/>
    <w:rsid w:val="00C31025"/>
    <w:rsid w:val="00C313AB"/>
    <w:rsid w:val="00C321DB"/>
    <w:rsid w:val="00C32735"/>
    <w:rsid w:val="00C3299E"/>
    <w:rsid w:val="00C33066"/>
    <w:rsid w:val="00C33DCB"/>
    <w:rsid w:val="00C34106"/>
    <w:rsid w:val="00C342C3"/>
    <w:rsid w:val="00C3459D"/>
    <w:rsid w:val="00C34B9C"/>
    <w:rsid w:val="00C34CD9"/>
    <w:rsid w:val="00C34D2C"/>
    <w:rsid w:val="00C34DEA"/>
    <w:rsid w:val="00C351BB"/>
    <w:rsid w:val="00C354FD"/>
    <w:rsid w:val="00C35A68"/>
    <w:rsid w:val="00C35C0B"/>
    <w:rsid w:val="00C361DE"/>
    <w:rsid w:val="00C37B22"/>
    <w:rsid w:val="00C40150"/>
    <w:rsid w:val="00C40A05"/>
    <w:rsid w:val="00C40E63"/>
    <w:rsid w:val="00C40F0E"/>
    <w:rsid w:val="00C410DF"/>
    <w:rsid w:val="00C41AB7"/>
    <w:rsid w:val="00C4234D"/>
    <w:rsid w:val="00C4237D"/>
    <w:rsid w:val="00C4259A"/>
    <w:rsid w:val="00C42623"/>
    <w:rsid w:val="00C42645"/>
    <w:rsid w:val="00C428D9"/>
    <w:rsid w:val="00C42F2B"/>
    <w:rsid w:val="00C42FB8"/>
    <w:rsid w:val="00C42FBB"/>
    <w:rsid w:val="00C43384"/>
    <w:rsid w:val="00C4384C"/>
    <w:rsid w:val="00C43A12"/>
    <w:rsid w:val="00C43C41"/>
    <w:rsid w:val="00C43C72"/>
    <w:rsid w:val="00C44741"/>
    <w:rsid w:val="00C44E90"/>
    <w:rsid w:val="00C44FC6"/>
    <w:rsid w:val="00C4535A"/>
    <w:rsid w:val="00C45A90"/>
    <w:rsid w:val="00C45E70"/>
    <w:rsid w:val="00C461ED"/>
    <w:rsid w:val="00C4626D"/>
    <w:rsid w:val="00C462B6"/>
    <w:rsid w:val="00C462FF"/>
    <w:rsid w:val="00C465EA"/>
    <w:rsid w:val="00C4680E"/>
    <w:rsid w:val="00C46BAC"/>
    <w:rsid w:val="00C46C57"/>
    <w:rsid w:val="00C46E2E"/>
    <w:rsid w:val="00C4713B"/>
    <w:rsid w:val="00C471CA"/>
    <w:rsid w:val="00C476A9"/>
    <w:rsid w:val="00C47726"/>
    <w:rsid w:val="00C47E7A"/>
    <w:rsid w:val="00C505C0"/>
    <w:rsid w:val="00C507C1"/>
    <w:rsid w:val="00C50BBA"/>
    <w:rsid w:val="00C50DE3"/>
    <w:rsid w:val="00C50DFC"/>
    <w:rsid w:val="00C51121"/>
    <w:rsid w:val="00C51287"/>
    <w:rsid w:val="00C5143E"/>
    <w:rsid w:val="00C517F6"/>
    <w:rsid w:val="00C51D5C"/>
    <w:rsid w:val="00C51DFF"/>
    <w:rsid w:val="00C51E87"/>
    <w:rsid w:val="00C524C9"/>
    <w:rsid w:val="00C52772"/>
    <w:rsid w:val="00C52869"/>
    <w:rsid w:val="00C52D75"/>
    <w:rsid w:val="00C53C9B"/>
    <w:rsid w:val="00C543D6"/>
    <w:rsid w:val="00C54985"/>
    <w:rsid w:val="00C54B10"/>
    <w:rsid w:val="00C54B33"/>
    <w:rsid w:val="00C54E9C"/>
    <w:rsid w:val="00C55580"/>
    <w:rsid w:val="00C5564C"/>
    <w:rsid w:val="00C56583"/>
    <w:rsid w:val="00C567F9"/>
    <w:rsid w:val="00C575EC"/>
    <w:rsid w:val="00C57639"/>
    <w:rsid w:val="00C57694"/>
    <w:rsid w:val="00C57866"/>
    <w:rsid w:val="00C57976"/>
    <w:rsid w:val="00C57C04"/>
    <w:rsid w:val="00C57C14"/>
    <w:rsid w:val="00C60629"/>
    <w:rsid w:val="00C60668"/>
    <w:rsid w:val="00C609AE"/>
    <w:rsid w:val="00C60B6B"/>
    <w:rsid w:val="00C6107F"/>
    <w:rsid w:val="00C615F5"/>
    <w:rsid w:val="00C61BE5"/>
    <w:rsid w:val="00C61DC3"/>
    <w:rsid w:val="00C61E58"/>
    <w:rsid w:val="00C62583"/>
    <w:rsid w:val="00C62C57"/>
    <w:rsid w:val="00C63492"/>
    <w:rsid w:val="00C6365E"/>
    <w:rsid w:val="00C639DB"/>
    <w:rsid w:val="00C642BE"/>
    <w:rsid w:val="00C64339"/>
    <w:rsid w:val="00C646AA"/>
    <w:rsid w:val="00C64A17"/>
    <w:rsid w:val="00C64C13"/>
    <w:rsid w:val="00C65376"/>
    <w:rsid w:val="00C65924"/>
    <w:rsid w:val="00C659FF"/>
    <w:rsid w:val="00C65F4D"/>
    <w:rsid w:val="00C66343"/>
    <w:rsid w:val="00C6657C"/>
    <w:rsid w:val="00C66AAF"/>
    <w:rsid w:val="00C67143"/>
    <w:rsid w:val="00C675C8"/>
    <w:rsid w:val="00C67810"/>
    <w:rsid w:val="00C67E89"/>
    <w:rsid w:val="00C70516"/>
    <w:rsid w:val="00C70602"/>
    <w:rsid w:val="00C70F05"/>
    <w:rsid w:val="00C71212"/>
    <w:rsid w:val="00C724B5"/>
    <w:rsid w:val="00C724B6"/>
    <w:rsid w:val="00C725B1"/>
    <w:rsid w:val="00C72E88"/>
    <w:rsid w:val="00C72FBA"/>
    <w:rsid w:val="00C74270"/>
    <w:rsid w:val="00C74F83"/>
    <w:rsid w:val="00C758F1"/>
    <w:rsid w:val="00C759FD"/>
    <w:rsid w:val="00C75D70"/>
    <w:rsid w:val="00C75DC5"/>
    <w:rsid w:val="00C7618B"/>
    <w:rsid w:val="00C768F4"/>
    <w:rsid w:val="00C76970"/>
    <w:rsid w:val="00C76B36"/>
    <w:rsid w:val="00C76EDA"/>
    <w:rsid w:val="00C778C3"/>
    <w:rsid w:val="00C77C3D"/>
    <w:rsid w:val="00C77F67"/>
    <w:rsid w:val="00C77FEE"/>
    <w:rsid w:val="00C80650"/>
    <w:rsid w:val="00C80E0B"/>
    <w:rsid w:val="00C813CA"/>
    <w:rsid w:val="00C8163E"/>
    <w:rsid w:val="00C81837"/>
    <w:rsid w:val="00C81840"/>
    <w:rsid w:val="00C8191E"/>
    <w:rsid w:val="00C81E8C"/>
    <w:rsid w:val="00C8207D"/>
    <w:rsid w:val="00C82AD8"/>
    <w:rsid w:val="00C8358D"/>
    <w:rsid w:val="00C8374B"/>
    <w:rsid w:val="00C838A0"/>
    <w:rsid w:val="00C83C96"/>
    <w:rsid w:val="00C83E75"/>
    <w:rsid w:val="00C84DAF"/>
    <w:rsid w:val="00C84E9E"/>
    <w:rsid w:val="00C85351"/>
    <w:rsid w:val="00C85717"/>
    <w:rsid w:val="00C857B7"/>
    <w:rsid w:val="00C85851"/>
    <w:rsid w:val="00C859CD"/>
    <w:rsid w:val="00C860D5"/>
    <w:rsid w:val="00C86142"/>
    <w:rsid w:val="00C86B6B"/>
    <w:rsid w:val="00C8710D"/>
    <w:rsid w:val="00C87190"/>
    <w:rsid w:val="00C87672"/>
    <w:rsid w:val="00C877F2"/>
    <w:rsid w:val="00C87A54"/>
    <w:rsid w:val="00C87E96"/>
    <w:rsid w:val="00C900CF"/>
    <w:rsid w:val="00C901D1"/>
    <w:rsid w:val="00C901EB"/>
    <w:rsid w:val="00C9039E"/>
    <w:rsid w:val="00C906E6"/>
    <w:rsid w:val="00C90823"/>
    <w:rsid w:val="00C9087D"/>
    <w:rsid w:val="00C90E59"/>
    <w:rsid w:val="00C91428"/>
    <w:rsid w:val="00C9149B"/>
    <w:rsid w:val="00C9171E"/>
    <w:rsid w:val="00C919F7"/>
    <w:rsid w:val="00C91A30"/>
    <w:rsid w:val="00C91ACA"/>
    <w:rsid w:val="00C91C78"/>
    <w:rsid w:val="00C91F45"/>
    <w:rsid w:val="00C9205A"/>
    <w:rsid w:val="00C92312"/>
    <w:rsid w:val="00C93468"/>
    <w:rsid w:val="00C94165"/>
    <w:rsid w:val="00C9425C"/>
    <w:rsid w:val="00C947FD"/>
    <w:rsid w:val="00C94854"/>
    <w:rsid w:val="00C94B0D"/>
    <w:rsid w:val="00C94E61"/>
    <w:rsid w:val="00C94EEB"/>
    <w:rsid w:val="00C94F58"/>
    <w:rsid w:val="00C95348"/>
    <w:rsid w:val="00C9540A"/>
    <w:rsid w:val="00C95805"/>
    <w:rsid w:val="00C95850"/>
    <w:rsid w:val="00C95AE8"/>
    <w:rsid w:val="00C95D63"/>
    <w:rsid w:val="00C96376"/>
    <w:rsid w:val="00C966EF"/>
    <w:rsid w:val="00C96CC4"/>
    <w:rsid w:val="00C97095"/>
    <w:rsid w:val="00C972CF"/>
    <w:rsid w:val="00C974FA"/>
    <w:rsid w:val="00C97B7A"/>
    <w:rsid w:val="00C97D30"/>
    <w:rsid w:val="00C97EE8"/>
    <w:rsid w:val="00CA0060"/>
    <w:rsid w:val="00CA0810"/>
    <w:rsid w:val="00CA15D8"/>
    <w:rsid w:val="00CA1752"/>
    <w:rsid w:val="00CA18AD"/>
    <w:rsid w:val="00CA1A1B"/>
    <w:rsid w:val="00CA1E00"/>
    <w:rsid w:val="00CA249B"/>
    <w:rsid w:val="00CA25ED"/>
    <w:rsid w:val="00CA26EF"/>
    <w:rsid w:val="00CA2F73"/>
    <w:rsid w:val="00CA35A8"/>
    <w:rsid w:val="00CA3645"/>
    <w:rsid w:val="00CA38A4"/>
    <w:rsid w:val="00CA3D0E"/>
    <w:rsid w:val="00CA435A"/>
    <w:rsid w:val="00CA472D"/>
    <w:rsid w:val="00CA4A45"/>
    <w:rsid w:val="00CA52BA"/>
    <w:rsid w:val="00CA53DC"/>
    <w:rsid w:val="00CA5611"/>
    <w:rsid w:val="00CA61E8"/>
    <w:rsid w:val="00CA6456"/>
    <w:rsid w:val="00CA6519"/>
    <w:rsid w:val="00CA6868"/>
    <w:rsid w:val="00CA6910"/>
    <w:rsid w:val="00CA693E"/>
    <w:rsid w:val="00CA6DB3"/>
    <w:rsid w:val="00CA7067"/>
    <w:rsid w:val="00CA773B"/>
    <w:rsid w:val="00CA7AEC"/>
    <w:rsid w:val="00CB028E"/>
    <w:rsid w:val="00CB04AA"/>
    <w:rsid w:val="00CB05DC"/>
    <w:rsid w:val="00CB08BB"/>
    <w:rsid w:val="00CB0A83"/>
    <w:rsid w:val="00CB0B10"/>
    <w:rsid w:val="00CB11BE"/>
    <w:rsid w:val="00CB1395"/>
    <w:rsid w:val="00CB146C"/>
    <w:rsid w:val="00CB1A82"/>
    <w:rsid w:val="00CB1B3A"/>
    <w:rsid w:val="00CB2433"/>
    <w:rsid w:val="00CB2835"/>
    <w:rsid w:val="00CB2F71"/>
    <w:rsid w:val="00CB3088"/>
    <w:rsid w:val="00CB36F6"/>
    <w:rsid w:val="00CB3F56"/>
    <w:rsid w:val="00CB4133"/>
    <w:rsid w:val="00CB4209"/>
    <w:rsid w:val="00CB4AAB"/>
    <w:rsid w:val="00CB51A2"/>
    <w:rsid w:val="00CB5376"/>
    <w:rsid w:val="00CB583E"/>
    <w:rsid w:val="00CB697B"/>
    <w:rsid w:val="00CB6A8E"/>
    <w:rsid w:val="00CB6AF2"/>
    <w:rsid w:val="00CB6CB4"/>
    <w:rsid w:val="00CB75BB"/>
    <w:rsid w:val="00CB7B01"/>
    <w:rsid w:val="00CB7F1B"/>
    <w:rsid w:val="00CC004A"/>
    <w:rsid w:val="00CC025F"/>
    <w:rsid w:val="00CC0816"/>
    <w:rsid w:val="00CC081B"/>
    <w:rsid w:val="00CC0E79"/>
    <w:rsid w:val="00CC128D"/>
    <w:rsid w:val="00CC14E0"/>
    <w:rsid w:val="00CC1681"/>
    <w:rsid w:val="00CC23D9"/>
    <w:rsid w:val="00CC25A5"/>
    <w:rsid w:val="00CC2870"/>
    <w:rsid w:val="00CC3262"/>
    <w:rsid w:val="00CC365A"/>
    <w:rsid w:val="00CC3B61"/>
    <w:rsid w:val="00CC3B7F"/>
    <w:rsid w:val="00CC4032"/>
    <w:rsid w:val="00CC4A65"/>
    <w:rsid w:val="00CC4BB6"/>
    <w:rsid w:val="00CC4D49"/>
    <w:rsid w:val="00CC552D"/>
    <w:rsid w:val="00CC5B5A"/>
    <w:rsid w:val="00CC5D78"/>
    <w:rsid w:val="00CC5F60"/>
    <w:rsid w:val="00CC6049"/>
    <w:rsid w:val="00CC64B6"/>
    <w:rsid w:val="00CC6D07"/>
    <w:rsid w:val="00CC6D2C"/>
    <w:rsid w:val="00CC6D5E"/>
    <w:rsid w:val="00CC7150"/>
    <w:rsid w:val="00CC76F6"/>
    <w:rsid w:val="00CC7A96"/>
    <w:rsid w:val="00CC7B83"/>
    <w:rsid w:val="00CC7CFB"/>
    <w:rsid w:val="00CD0539"/>
    <w:rsid w:val="00CD0650"/>
    <w:rsid w:val="00CD06E6"/>
    <w:rsid w:val="00CD076A"/>
    <w:rsid w:val="00CD134B"/>
    <w:rsid w:val="00CD17E5"/>
    <w:rsid w:val="00CD1CAF"/>
    <w:rsid w:val="00CD1F22"/>
    <w:rsid w:val="00CD2560"/>
    <w:rsid w:val="00CD2816"/>
    <w:rsid w:val="00CD2DC4"/>
    <w:rsid w:val="00CD2F64"/>
    <w:rsid w:val="00CD336F"/>
    <w:rsid w:val="00CD34C6"/>
    <w:rsid w:val="00CD3DF5"/>
    <w:rsid w:val="00CD42A1"/>
    <w:rsid w:val="00CD4372"/>
    <w:rsid w:val="00CD44A7"/>
    <w:rsid w:val="00CD461A"/>
    <w:rsid w:val="00CD5646"/>
    <w:rsid w:val="00CD570B"/>
    <w:rsid w:val="00CD6283"/>
    <w:rsid w:val="00CD63AE"/>
    <w:rsid w:val="00CD69C6"/>
    <w:rsid w:val="00CD6BDB"/>
    <w:rsid w:val="00CD6DBF"/>
    <w:rsid w:val="00CD7008"/>
    <w:rsid w:val="00CD736B"/>
    <w:rsid w:val="00CD745E"/>
    <w:rsid w:val="00CD7A3F"/>
    <w:rsid w:val="00CD7EF6"/>
    <w:rsid w:val="00CE03D5"/>
    <w:rsid w:val="00CE09DE"/>
    <w:rsid w:val="00CE0D2A"/>
    <w:rsid w:val="00CE1518"/>
    <w:rsid w:val="00CE154C"/>
    <w:rsid w:val="00CE1658"/>
    <w:rsid w:val="00CE20FF"/>
    <w:rsid w:val="00CE215D"/>
    <w:rsid w:val="00CE24BF"/>
    <w:rsid w:val="00CE287E"/>
    <w:rsid w:val="00CE3482"/>
    <w:rsid w:val="00CE3699"/>
    <w:rsid w:val="00CE37CA"/>
    <w:rsid w:val="00CE4897"/>
    <w:rsid w:val="00CE4BD4"/>
    <w:rsid w:val="00CE4FE1"/>
    <w:rsid w:val="00CE5348"/>
    <w:rsid w:val="00CE5B79"/>
    <w:rsid w:val="00CE5C52"/>
    <w:rsid w:val="00CE5C77"/>
    <w:rsid w:val="00CE5E08"/>
    <w:rsid w:val="00CE622E"/>
    <w:rsid w:val="00CE6611"/>
    <w:rsid w:val="00CE7130"/>
    <w:rsid w:val="00CE720A"/>
    <w:rsid w:val="00CE7355"/>
    <w:rsid w:val="00CE7377"/>
    <w:rsid w:val="00CE73BD"/>
    <w:rsid w:val="00CE74BE"/>
    <w:rsid w:val="00CE76E4"/>
    <w:rsid w:val="00CE7C78"/>
    <w:rsid w:val="00CE7DD4"/>
    <w:rsid w:val="00CE7EEC"/>
    <w:rsid w:val="00CE7F5A"/>
    <w:rsid w:val="00CF00C1"/>
    <w:rsid w:val="00CF02DA"/>
    <w:rsid w:val="00CF04DF"/>
    <w:rsid w:val="00CF07D4"/>
    <w:rsid w:val="00CF0B68"/>
    <w:rsid w:val="00CF0C56"/>
    <w:rsid w:val="00CF18DC"/>
    <w:rsid w:val="00CF1A66"/>
    <w:rsid w:val="00CF1BAB"/>
    <w:rsid w:val="00CF1E48"/>
    <w:rsid w:val="00CF252D"/>
    <w:rsid w:val="00CF2C12"/>
    <w:rsid w:val="00CF2E67"/>
    <w:rsid w:val="00CF2EB6"/>
    <w:rsid w:val="00CF3079"/>
    <w:rsid w:val="00CF33DD"/>
    <w:rsid w:val="00CF355C"/>
    <w:rsid w:val="00CF361C"/>
    <w:rsid w:val="00CF3779"/>
    <w:rsid w:val="00CF380C"/>
    <w:rsid w:val="00CF3849"/>
    <w:rsid w:val="00CF386F"/>
    <w:rsid w:val="00CF430E"/>
    <w:rsid w:val="00CF4665"/>
    <w:rsid w:val="00CF489A"/>
    <w:rsid w:val="00CF4C1F"/>
    <w:rsid w:val="00CF4DF0"/>
    <w:rsid w:val="00CF5144"/>
    <w:rsid w:val="00CF563B"/>
    <w:rsid w:val="00CF5794"/>
    <w:rsid w:val="00CF6050"/>
    <w:rsid w:val="00CF69D0"/>
    <w:rsid w:val="00CF6EBA"/>
    <w:rsid w:val="00CF6EFD"/>
    <w:rsid w:val="00CF706F"/>
    <w:rsid w:val="00CF7254"/>
    <w:rsid w:val="00CF7476"/>
    <w:rsid w:val="00CF74D3"/>
    <w:rsid w:val="00CF77BF"/>
    <w:rsid w:val="00CF78E4"/>
    <w:rsid w:val="00CF7A12"/>
    <w:rsid w:val="00D0058C"/>
    <w:rsid w:val="00D00B58"/>
    <w:rsid w:val="00D013ED"/>
    <w:rsid w:val="00D0144D"/>
    <w:rsid w:val="00D01546"/>
    <w:rsid w:val="00D015AF"/>
    <w:rsid w:val="00D0185E"/>
    <w:rsid w:val="00D01CBA"/>
    <w:rsid w:val="00D02113"/>
    <w:rsid w:val="00D02195"/>
    <w:rsid w:val="00D0291D"/>
    <w:rsid w:val="00D02B62"/>
    <w:rsid w:val="00D02CFC"/>
    <w:rsid w:val="00D02DCC"/>
    <w:rsid w:val="00D0307F"/>
    <w:rsid w:val="00D03381"/>
    <w:rsid w:val="00D03418"/>
    <w:rsid w:val="00D03739"/>
    <w:rsid w:val="00D038C3"/>
    <w:rsid w:val="00D03A7B"/>
    <w:rsid w:val="00D03F27"/>
    <w:rsid w:val="00D0419F"/>
    <w:rsid w:val="00D04228"/>
    <w:rsid w:val="00D04706"/>
    <w:rsid w:val="00D04826"/>
    <w:rsid w:val="00D04F72"/>
    <w:rsid w:val="00D0514F"/>
    <w:rsid w:val="00D056E3"/>
    <w:rsid w:val="00D059CD"/>
    <w:rsid w:val="00D05DED"/>
    <w:rsid w:val="00D06493"/>
    <w:rsid w:val="00D06704"/>
    <w:rsid w:val="00D06707"/>
    <w:rsid w:val="00D06DF8"/>
    <w:rsid w:val="00D06E6C"/>
    <w:rsid w:val="00D0776C"/>
    <w:rsid w:val="00D07BF3"/>
    <w:rsid w:val="00D07E27"/>
    <w:rsid w:val="00D07F6D"/>
    <w:rsid w:val="00D101FC"/>
    <w:rsid w:val="00D114F8"/>
    <w:rsid w:val="00D1265D"/>
    <w:rsid w:val="00D128B0"/>
    <w:rsid w:val="00D12A6F"/>
    <w:rsid w:val="00D12C0E"/>
    <w:rsid w:val="00D12C9A"/>
    <w:rsid w:val="00D130D1"/>
    <w:rsid w:val="00D131C7"/>
    <w:rsid w:val="00D1336F"/>
    <w:rsid w:val="00D138FF"/>
    <w:rsid w:val="00D14797"/>
    <w:rsid w:val="00D14E72"/>
    <w:rsid w:val="00D1524E"/>
    <w:rsid w:val="00D152A9"/>
    <w:rsid w:val="00D159DE"/>
    <w:rsid w:val="00D15AC9"/>
    <w:rsid w:val="00D16106"/>
    <w:rsid w:val="00D1701F"/>
    <w:rsid w:val="00D1715C"/>
    <w:rsid w:val="00D175AB"/>
    <w:rsid w:val="00D176C7"/>
    <w:rsid w:val="00D17CFC"/>
    <w:rsid w:val="00D17DDC"/>
    <w:rsid w:val="00D20FAA"/>
    <w:rsid w:val="00D21341"/>
    <w:rsid w:val="00D213CC"/>
    <w:rsid w:val="00D214BE"/>
    <w:rsid w:val="00D2159C"/>
    <w:rsid w:val="00D21A5E"/>
    <w:rsid w:val="00D21BF1"/>
    <w:rsid w:val="00D21E64"/>
    <w:rsid w:val="00D22030"/>
    <w:rsid w:val="00D226B4"/>
    <w:rsid w:val="00D22CCE"/>
    <w:rsid w:val="00D22D3A"/>
    <w:rsid w:val="00D22DCE"/>
    <w:rsid w:val="00D230FE"/>
    <w:rsid w:val="00D2320D"/>
    <w:rsid w:val="00D2388A"/>
    <w:rsid w:val="00D23D0D"/>
    <w:rsid w:val="00D23DB9"/>
    <w:rsid w:val="00D2422D"/>
    <w:rsid w:val="00D242A3"/>
    <w:rsid w:val="00D242CD"/>
    <w:rsid w:val="00D24506"/>
    <w:rsid w:val="00D2469C"/>
    <w:rsid w:val="00D2514E"/>
    <w:rsid w:val="00D25392"/>
    <w:rsid w:val="00D2561A"/>
    <w:rsid w:val="00D261B9"/>
    <w:rsid w:val="00D2682C"/>
    <w:rsid w:val="00D268B5"/>
    <w:rsid w:val="00D26919"/>
    <w:rsid w:val="00D269AE"/>
    <w:rsid w:val="00D26E9C"/>
    <w:rsid w:val="00D2716E"/>
    <w:rsid w:val="00D2731E"/>
    <w:rsid w:val="00D2742D"/>
    <w:rsid w:val="00D27B84"/>
    <w:rsid w:val="00D27F37"/>
    <w:rsid w:val="00D3004F"/>
    <w:rsid w:val="00D3024A"/>
    <w:rsid w:val="00D3047B"/>
    <w:rsid w:val="00D30777"/>
    <w:rsid w:val="00D30DB4"/>
    <w:rsid w:val="00D30E62"/>
    <w:rsid w:val="00D30EE7"/>
    <w:rsid w:val="00D3144B"/>
    <w:rsid w:val="00D31870"/>
    <w:rsid w:val="00D31AD3"/>
    <w:rsid w:val="00D31E43"/>
    <w:rsid w:val="00D328EB"/>
    <w:rsid w:val="00D32A62"/>
    <w:rsid w:val="00D32AAD"/>
    <w:rsid w:val="00D32CC5"/>
    <w:rsid w:val="00D32EB7"/>
    <w:rsid w:val="00D3345F"/>
    <w:rsid w:val="00D33955"/>
    <w:rsid w:val="00D33CC0"/>
    <w:rsid w:val="00D33CC5"/>
    <w:rsid w:val="00D33ED0"/>
    <w:rsid w:val="00D3405E"/>
    <w:rsid w:val="00D34155"/>
    <w:rsid w:val="00D34D34"/>
    <w:rsid w:val="00D3535E"/>
    <w:rsid w:val="00D35536"/>
    <w:rsid w:val="00D355DD"/>
    <w:rsid w:val="00D35653"/>
    <w:rsid w:val="00D35C30"/>
    <w:rsid w:val="00D35ED9"/>
    <w:rsid w:val="00D366AF"/>
    <w:rsid w:val="00D36EAC"/>
    <w:rsid w:val="00D37A28"/>
    <w:rsid w:val="00D40D13"/>
    <w:rsid w:val="00D40DD0"/>
    <w:rsid w:val="00D410EB"/>
    <w:rsid w:val="00D415A3"/>
    <w:rsid w:val="00D4162E"/>
    <w:rsid w:val="00D4195A"/>
    <w:rsid w:val="00D41A76"/>
    <w:rsid w:val="00D41BD0"/>
    <w:rsid w:val="00D41D58"/>
    <w:rsid w:val="00D42491"/>
    <w:rsid w:val="00D4262D"/>
    <w:rsid w:val="00D42BAA"/>
    <w:rsid w:val="00D42F28"/>
    <w:rsid w:val="00D430C6"/>
    <w:rsid w:val="00D430F3"/>
    <w:rsid w:val="00D43258"/>
    <w:rsid w:val="00D43ABD"/>
    <w:rsid w:val="00D43C0F"/>
    <w:rsid w:val="00D444AA"/>
    <w:rsid w:val="00D44A34"/>
    <w:rsid w:val="00D4534A"/>
    <w:rsid w:val="00D462B0"/>
    <w:rsid w:val="00D46354"/>
    <w:rsid w:val="00D46BA5"/>
    <w:rsid w:val="00D476CC"/>
    <w:rsid w:val="00D501A9"/>
    <w:rsid w:val="00D50304"/>
    <w:rsid w:val="00D50D0E"/>
    <w:rsid w:val="00D5115A"/>
    <w:rsid w:val="00D511F0"/>
    <w:rsid w:val="00D51778"/>
    <w:rsid w:val="00D52367"/>
    <w:rsid w:val="00D5237A"/>
    <w:rsid w:val="00D523D0"/>
    <w:rsid w:val="00D52A45"/>
    <w:rsid w:val="00D52BA4"/>
    <w:rsid w:val="00D52DD2"/>
    <w:rsid w:val="00D533BA"/>
    <w:rsid w:val="00D5375E"/>
    <w:rsid w:val="00D541D4"/>
    <w:rsid w:val="00D54634"/>
    <w:rsid w:val="00D54EBF"/>
    <w:rsid w:val="00D55293"/>
    <w:rsid w:val="00D55B9C"/>
    <w:rsid w:val="00D55F8C"/>
    <w:rsid w:val="00D562F5"/>
    <w:rsid w:val="00D5634C"/>
    <w:rsid w:val="00D563CA"/>
    <w:rsid w:val="00D56884"/>
    <w:rsid w:val="00D5730A"/>
    <w:rsid w:val="00D5741C"/>
    <w:rsid w:val="00D57612"/>
    <w:rsid w:val="00D576F0"/>
    <w:rsid w:val="00D57CE3"/>
    <w:rsid w:val="00D60029"/>
    <w:rsid w:val="00D601DA"/>
    <w:rsid w:val="00D60253"/>
    <w:rsid w:val="00D602CC"/>
    <w:rsid w:val="00D608A1"/>
    <w:rsid w:val="00D611C7"/>
    <w:rsid w:val="00D61250"/>
    <w:rsid w:val="00D613F2"/>
    <w:rsid w:val="00D61456"/>
    <w:rsid w:val="00D61B1E"/>
    <w:rsid w:val="00D61E7B"/>
    <w:rsid w:val="00D6207E"/>
    <w:rsid w:val="00D62926"/>
    <w:rsid w:val="00D62AD9"/>
    <w:rsid w:val="00D62BFC"/>
    <w:rsid w:val="00D62D98"/>
    <w:rsid w:val="00D62F4A"/>
    <w:rsid w:val="00D630D3"/>
    <w:rsid w:val="00D638AA"/>
    <w:rsid w:val="00D640EE"/>
    <w:rsid w:val="00D64312"/>
    <w:rsid w:val="00D64D73"/>
    <w:rsid w:val="00D64F04"/>
    <w:rsid w:val="00D64FC6"/>
    <w:rsid w:val="00D654E8"/>
    <w:rsid w:val="00D655E0"/>
    <w:rsid w:val="00D65A18"/>
    <w:rsid w:val="00D65B28"/>
    <w:rsid w:val="00D6645B"/>
    <w:rsid w:val="00D66936"/>
    <w:rsid w:val="00D66CE1"/>
    <w:rsid w:val="00D67D84"/>
    <w:rsid w:val="00D67E3C"/>
    <w:rsid w:val="00D70019"/>
    <w:rsid w:val="00D700EC"/>
    <w:rsid w:val="00D705BC"/>
    <w:rsid w:val="00D70D28"/>
    <w:rsid w:val="00D70D46"/>
    <w:rsid w:val="00D70DB6"/>
    <w:rsid w:val="00D71016"/>
    <w:rsid w:val="00D717AE"/>
    <w:rsid w:val="00D723DD"/>
    <w:rsid w:val="00D7286F"/>
    <w:rsid w:val="00D72960"/>
    <w:rsid w:val="00D729FF"/>
    <w:rsid w:val="00D72B91"/>
    <w:rsid w:val="00D73153"/>
    <w:rsid w:val="00D735B1"/>
    <w:rsid w:val="00D73791"/>
    <w:rsid w:val="00D73B8C"/>
    <w:rsid w:val="00D7547D"/>
    <w:rsid w:val="00D756CC"/>
    <w:rsid w:val="00D7581E"/>
    <w:rsid w:val="00D75864"/>
    <w:rsid w:val="00D75A91"/>
    <w:rsid w:val="00D76035"/>
    <w:rsid w:val="00D76564"/>
    <w:rsid w:val="00D76660"/>
    <w:rsid w:val="00D76970"/>
    <w:rsid w:val="00D76EBF"/>
    <w:rsid w:val="00D7708A"/>
    <w:rsid w:val="00D77181"/>
    <w:rsid w:val="00D77958"/>
    <w:rsid w:val="00D77D10"/>
    <w:rsid w:val="00D77EE8"/>
    <w:rsid w:val="00D77F75"/>
    <w:rsid w:val="00D8112A"/>
    <w:rsid w:val="00D81FC6"/>
    <w:rsid w:val="00D8227E"/>
    <w:rsid w:val="00D827FF"/>
    <w:rsid w:val="00D82AC4"/>
    <w:rsid w:val="00D82BF0"/>
    <w:rsid w:val="00D82DF1"/>
    <w:rsid w:val="00D82F3A"/>
    <w:rsid w:val="00D835E6"/>
    <w:rsid w:val="00D83D51"/>
    <w:rsid w:val="00D83EFB"/>
    <w:rsid w:val="00D849F5"/>
    <w:rsid w:val="00D85002"/>
    <w:rsid w:val="00D85AFB"/>
    <w:rsid w:val="00D85C81"/>
    <w:rsid w:val="00D86227"/>
    <w:rsid w:val="00D8624D"/>
    <w:rsid w:val="00D86256"/>
    <w:rsid w:val="00D8676C"/>
    <w:rsid w:val="00D873B6"/>
    <w:rsid w:val="00D87A0F"/>
    <w:rsid w:val="00D90944"/>
    <w:rsid w:val="00D90A90"/>
    <w:rsid w:val="00D90B12"/>
    <w:rsid w:val="00D90DCD"/>
    <w:rsid w:val="00D90E05"/>
    <w:rsid w:val="00D910CD"/>
    <w:rsid w:val="00D91B4D"/>
    <w:rsid w:val="00D925DE"/>
    <w:rsid w:val="00D92730"/>
    <w:rsid w:val="00D92881"/>
    <w:rsid w:val="00D92AF6"/>
    <w:rsid w:val="00D92B10"/>
    <w:rsid w:val="00D92BAF"/>
    <w:rsid w:val="00D92BDB"/>
    <w:rsid w:val="00D92E48"/>
    <w:rsid w:val="00D935A3"/>
    <w:rsid w:val="00D93823"/>
    <w:rsid w:val="00D938E0"/>
    <w:rsid w:val="00D9408D"/>
    <w:rsid w:val="00D9412D"/>
    <w:rsid w:val="00D94868"/>
    <w:rsid w:val="00D94A3F"/>
    <w:rsid w:val="00D94D61"/>
    <w:rsid w:val="00D94E85"/>
    <w:rsid w:val="00D9503B"/>
    <w:rsid w:val="00D96015"/>
    <w:rsid w:val="00D96619"/>
    <w:rsid w:val="00D9661B"/>
    <w:rsid w:val="00D96CB3"/>
    <w:rsid w:val="00D96F86"/>
    <w:rsid w:val="00D96FA8"/>
    <w:rsid w:val="00D97016"/>
    <w:rsid w:val="00D97111"/>
    <w:rsid w:val="00D976B1"/>
    <w:rsid w:val="00D97CEA"/>
    <w:rsid w:val="00D97ED8"/>
    <w:rsid w:val="00D97FD2"/>
    <w:rsid w:val="00DA0BA9"/>
    <w:rsid w:val="00DA15F6"/>
    <w:rsid w:val="00DA19FA"/>
    <w:rsid w:val="00DA1C85"/>
    <w:rsid w:val="00DA1D35"/>
    <w:rsid w:val="00DA1DFA"/>
    <w:rsid w:val="00DA20C3"/>
    <w:rsid w:val="00DA210E"/>
    <w:rsid w:val="00DA2305"/>
    <w:rsid w:val="00DA2512"/>
    <w:rsid w:val="00DA2599"/>
    <w:rsid w:val="00DA2E6A"/>
    <w:rsid w:val="00DA3017"/>
    <w:rsid w:val="00DA3069"/>
    <w:rsid w:val="00DA31DD"/>
    <w:rsid w:val="00DA3426"/>
    <w:rsid w:val="00DA3551"/>
    <w:rsid w:val="00DA3AEB"/>
    <w:rsid w:val="00DA3E91"/>
    <w:rsid w:val="00DA3F52"/>
    <w:rsid w:val="00DA4605"/>
    <w:rsid w:val="00DA4A36"/>
    <w:rsid w:val="00DA4C85"/>
    <w:rsid w:val="00DA4D7B"/>
    <w:rsid w:val="00DA501B"/>
    <w:rsid w:val="00DA538C"/>
    <w:rsid w:val="00DA53DA"/>
    <w:rsid w:val="00DA56E7"/>
    <w:rsid w:val="00DA5B36"/>
    <w:rsid w:val="00DA5EA3"/>
    <w:rsid w:val="00DA6296"/>
    <w:rsid w:val="00DA6335"/>
    <w:rsid w:val="00DA65BE"/>
    <w:rsid w:val="00DA65EF"/>
    <w:rsid w:val="00DA665A"/>
    <w:rsid w:val="00DA6707"/>
    <w:rsid w:val="00DA6F80"/>
    <w:rsid w:val="00DA7477"/>
    <w:rsid w:val="00DA7F6D"/>
    <w:rsid w:val="00DB015E"/>
    <w:rsid w:val="00DB05DB"/>
    <w:rsid w:val="00DB05F3"/>
    <w:rsid w:val="00DB0F47"/>
    <w:rsid w:val="00DB10A0"/>
    <w:rsid w:val="00DB12F4"/>
    <w:rsid w:val="00DB15EE"/>
    <w:rsid w:val="00DB1858"/>
    <w:rsid w:val="00DB25AF"/>
    <w:rsid w:val="00DB26D1"/>
    <w:rsid w:val="00DB2966"/>
    <w:rsid w:val="00DB340E"/>
    <w:rsid w:val="00DB371B"/>
    <w:rsid w:val="00DB3EAF"/>
    <w:rsid w:val="00DB40A8"/>
    <w:rsid w:val="00DB40D5"/>
    <w:rsid w:val="00DB4320"/>
    <w:rsid w:val="00DB4B0E"/>
    <w:rsid w:val="00DB4B62"/>
    <w:rsid w:val="00DB4EB2"/>
    <w:rsid w:val="00DB4F16"/>
    <w:rsid w:val="00DB4F85"/>
    <w:rsid w:val="00DB524E"/>
    <w:rsid w:val="00DB52E8"/>
    <w:rsid w:val="00DB5735"/>
    <w:rsid w:val="00DB577F"/>
    <w:rsid w:val="00DB5A21"/>
    <w:rsid w:val="00DB607D"/>
    <w:rsid w:val="00DB610A"/>
    <w:rsid w:val="00DB62BE"/>
    <w:rsid w:val="00DB692B"/>
    <w:rsid w:val="00DB6EC4"/>
    <w:rsid w:val="00DB6ED5"/>
    <w:rsid w:val="00DB72DB"/>
    <w:rsid w:val="00DB73BC"/>
    <w:rsid w:val="00DB7688"/>
    <w:rsid w:val="00DB7D18"/>
    <w:rsid w:val="00DC03B6"/>
    <w:rsid w:val="00DC046F"/>
    <w:rsid w:val="00DC07D8"/>
    <w:rsid w:val="00DC092A"/>
    <w:rsid w:val="00DC0BAA"/>
    <w:rsid w:val="00DC0E48"/>
    <w:rsid w:val="00DC106A"/>
    <w:rsid w:val="00DC106D"/>
    <w:rsid w:val="00DC15D4"/>
    <w:rsid w:val="00DC1954"/>
    <w:rsid w:val="00DC28E3"/>
    <w:rsid w:val="00DC29D3"/>
    <w:rsid w:val="00DC2F68"/>
    <w:rsid w:val="00DC3270"/>
    <w:rsid w:val="00DC3443"/>
    <w:rsid w:val="00DC38B9"/>
    <w:rsid w:val="00DC38EF"/>
    <w:rsid w:val="00DC391B"/>
    <w:rsid w:val="00DC3E4E"/>
    <w:rsid w:val="00DC45C3"/>
    <w:rsid w:val="00DC45D4"/>
    <w:rsid w:val="00DC4CA0"/>
    <w:rsid w:val="00DC4CD0"/>
    <w:rsid w:val="00DC5369"/>
    <w:rsid w:val="00DC5EB4"/>
    <w:rsid w:val="00DC6048"/>
    <w:rsid w:val="00DC63EC"/>
    <w:rsid w:val="00DC64B9"/>
    <w:rsid w:val="00DC66AD"/>
    <w:rsid w:val="00DC676E"/>
    <w:rsid w:val="00DC6C88"/>
    <w:rsid w:val="00DC7211"/>
    <w:rsid w:val="00DC7816"/>
    <w:rsid w:val="00DC7CEC"/>
    <w:rsid w:val="00DC7D95"/>
    <w:rsid w:val="00DC7E25"/>
    <w:rsid w:val="00DD00D7"/>
    <w:rsid w:val="00DD0534"/>
    <w:rsid w:val="00DD0542"/>
    <w:rsid w:val="00DD0860"/>
    <w:rsid w:val="00DD0E3C"/>
    <w:rsid w:val="00DD0F05"/>
    <w:rsid w:val="00DD176C"/>
    <w:rsid w:val="00DD1896"/>
    <w:rsid w:val="00DD1955"/>
    <w:rsid w:val="00DD1F81"/>
    <w:rsid w:val="00DD2050"/>
    <w:rsid w:val="00DD2256"/>
    <w:rsid w:val="00DD2F8E"/>
    <w:rsid w:val="00DD3B96"/>
    <w:rsid w:val="00DD4BB4"/>
    <w:rsid w:val="00DD538A"/>
    <w:rsid w:val="00DD559A"/>
    <w:rsid w:val="00DD5BB8"/>
    <w:rsid w:val="00DD5C0B"/>
    <w:rsid w:val="00DD60D9"/>
    <w:rsid w:val="00DD6A5F"/>
    <w:rsid w:val="00DD73D7"/>
    <w:rsid w:val="00DD7AB1"/>
    <w:rsid w:val="00DD7C3D"/>
    <w:rsid w:val="00DD7DFB"/>
    <w:rsid w:val="00DE01DB"/>
    <w:rsid w:val="00DE05CE"/>
    <w:rsid w:val="00DE09F6"/>
    <w:rsid w:val="00DE0B7B"/>
    <w:rsid w:val="00DE0D06"/>
    <w:rsid w:val="00DE11A5"/>
    <w:rsid w:val="00DE13A0"/>
    <w:rsid w:val="00DE147C"/>
    <w:rsid w:val="00DE14A4"/>
    <w:rsid w:val="00DE17A6"/>
    <w:rsid w:val="00DE1C41"/>
    <w:rsid w:val="00DE1E23"/>
    <w:rsid w:val="00DE1F15"/>
    <w:rsid w:val="00DE2248"/>
    <w:rsid w:val="00DE22FF"/>
    <w:rsid w:val="00DE23EB"/>
    <w:rsid w:val="00DE2742"/>
    <w:rsid w:val="00DE275C"/>
    <w:rsid w:val="00DE288C"/>
    <w:rsid w:val="00DE2932"/>
    <w:rsid w:val="00DE2CEC"/>
    <w:rsid w:val="00DE2D7C"/>
    <w:rsid w:val="00DE2E52"/>
    <w:rsid w:val="00DE3193"/>
    <w:rsid w:val="00DE36F2"/>
    <w:rsid w:val="00DE3CE3"/>
    <w:rsid w:val="00DE3EF6"/>
    <w:rsid w:val="00DE3F01"/>
    <w:rsid w:val="00DE404D"/>
    <w:rsid w:val="00DE47CA"/>
    <w:rsid w:val="00DE4D6F"/>
    <w:rsid w:val="00DE5048"/>
    <w:rsid w:val="00DE55E6"/>
    <w:rsid w:val="00DE57A5"/>
    <w:rsid w:val="00DE5DF9"/>
    <w:rsid w:val="00DE5F0E"/>
    <w:rsid w:val="00DE5F73"/>
    <w:rsid w:val="00DE70EA"/>
    <w:rsid w:val="00DE78B5"/>
    <w:rsid w:val="00DE7AA6"/>
    <w:rsid w:val="00DF01D4"/>
    <w:rsid w:val="00DF074E"/>
    <w:rsid w:val="00DF07F8"/>
    <w:rsid w:val="00DF0A9B"/>
    <w:rsid w:val="00DF115A"/>
    <w:rsid w:val="00DF1303"/>
    <w:rsid w:val="00DF1362"/>
    <w:rsid w:val="00DF1513"/>
    <w:rsid w:val="00DF170A"/>
    <w:rsid w:val="00DF1811"/>
    <w:rsid w:val="00DF1948"/>
    <w:rsid w:val="00DF1C32"/>
    <w:rsid w:val="00DF2187"/>
    <w:rsid w:val="00DF2275"/>
    <w:rsid w:val="00DF2665"/>
    <w:rsid w:val="00DF2754"/>
    <w:rsid w:val="00DF3E03"/>
    <w:rsid w:val="00DF3F02"/>
    <w:rsid w:val="00DF43AD"/>
    <w:rsid w:val="00DF50A1"/>
    <w:rsid w:val="00DF5C05"/>
    <w:rsid w:val="00DF5D7B"/>
    <w:rsid w:val="00DF6AC1"/>
    <w:rsid w:val="00DF6B69"/>
    <w:rsid w:val="00DF6DE2"/>
    <w:rsid w:val="00DF700F"/>
    <w:rsid w:val="00DF73F7"/>
    <w:rsid w:val="00E000F2"/>
    <w:rsid w:val="00E00760"/>
    <w:rsid w:val="00E00E28"/>
    <w:rsid w:val="00E00EAA"/>
    <w:rsid w:val="00E00ED7"/>
    <w:rsid w:val="00E00F7A"/>
    <w:rsid w:val="00E01696"/>
    <w:rsid w:val="00E01C79"/>
    <w:rsid w:val="00E02274"/>
    <w:rsid w:val="00E02526"/>
    <w:rsid w:val="00E02BCE"/>
    <w:rsid w:val="00E02C0A"/>
    <w:rsid w:val="00E0309C"/>
    <w:rsid w:val="00E035F3"/>
    <w:rsid w:val="00E03644"/>
    <w:rsid w:val="00E03C49"/>
    <w:rsid w:val="00E03F01"/>
    <w:rsid w:val="00E04A20"/>
    <w:rsid w:val="00E04AA2"/>
    <w:rsid w:val="00E04F98"/>
    <w:rsid w:val="00E0501E"/>
    <w:rsid w:val="00E05374"/>
    <w:rsid w:val="00E05A51"/>
    <w:rsid w:val="00E05D85"/>
    <w:rsid w:val="00E05FE9"/>
    <w:rsid w:val="00E061B1"/>
    <w:rsid w:val="00E06CD5"/>
    <w:rsid w:val="00E06D44"/>
    <w:rsid w:val="00E06D99"/>
    <w:rsid w:val="00E06E1A"/>
    <w:rsid w:val="00E07602"/>
    <w:rsid w:val="00E07D86"/>
    <w:rsid w:val="00E10511"/>
    <w:rsid w:val="00E10712"/>
    <w:rsid w:val="00E10DC7"/>
    <w:rsid w:val="00E11371"/>
    <w:rsid w:val="00E114CA"/>
    <w:rsid w:val="00E1185A"/>
    <w:rsid w:val="00E12465"/>
    <w:rsid w:val="00E129A3"/>
    <w:rsid w:val="00E130D5"/>
    <w:rsid w:val="00E1374F"/>
    <w:rsid w:val="00E13EDF"/>
    <w:rsid w:val="00E14116"/>
    <w:rsid w:val="00E14299"/>
    <w:rsid w:val="00E147EC"/>
    <w:rsid w:val="00E1497B"/>
    <w:rsid w:val="00E156E1"/>
    <w:rsid w:val="00E15CDF"/>
    <w:rsid w:val="00E162DB"/>
    <w:rsid w:val="00E16531"/>
    <w:rsid w:val="00E166DA"/>
    <w:rsid w:val="00E16BAD"/>
    <w:rsid w:val="00E16DDD"/>
    <w:rsid w:val="00E16E05"/>
    <w:rsid w:val="00E177EC"/>
    <w:rsid w:val="00E1790B"/>
    <w:rsid w:val="00E1799C"/>
    <w:rsid w:val="00E20534"/>
    <w:rsid w:val="00E20565"/>
    <w:rsid w:val="00E20AFC"/>
    <w:rsid w:val="00E20F62"/>
    <w:rsid w:val="00E21571"/>
    <w:rsid w:val="00E217EB"/>
    <w:rsid w:val="00E21A32"/>
    <w:rsid w:val="00E21B7A"/>
    <w:rsid w:val="00E21DCC"/>
    <w:rsid w:val="00E22248"/>
    <w:rsid w:val="00E222FC"/>
    <w:rsid w:val="00E226E4"/>
    <w:rsid w:val="00E22BC1"/>
    <w:rsid w:val="00E22CD7"/>
    <w:rsid w:val="00E22E2A"/>
    <w:rsid w:val="00E235FE"/>
    <w:rsid w:val="00E23B36"/>
    <w:rsid w:val="00E23B79"/>
    <w:rsid w:val="00E23C7C"/>
    <w:rsid w:val="00E23F95"/>
    <w:rsid w:val="00E24128"/>
    <w:rsid w:val="00E24157"/>
    <w:rsid w:val="00E2449C"/>
    <w:rsid w:val="00E247FB"/>
    <w:rsid w:val="00E24DAF"/>
    <w:rsid w:val="00E25106"/>
    <w:rsid w:val="00E251C7"/>
    <w:rsid w:val="00E2557B"/>
    <w:rsid w:val="00E256AC"/>
    <w:rsid w:val="00E25A4B"/>
    <w:rsid w:val="00E25B15"/>
    <w:rsid w:val="00E25B80"/>
    <w:rsid w:val="00E25FBC"/>
    <w:rsid w:val="00E26255"/>
    <w:rsid w:val="00E26CA9"/>
    <w:rsid w:val="00E26E9A"/>
    <w:rsid w:val="00E26EF3"/>
    <w:rsid w:val="00E26FBE"/>
    <w:rsid w:val="00E27252"/>
    <w:rsid w:val="00E274F0"/>
    <w:rsid w:val="00E2754B"/>
    <w:rsid w:val="00E27A9B"/>
    <w:rsid w:val="00E3005B"/>
    <w:rsid w:val="00E3021D"/>
    <w:rsid w:val="00E30ABB"/>
    <w:rsid w:val="00E31526"/>
    <w:rsid w:val="00E31590"/>
    <w:rsid w:val="00E318D0"/>
    <w:rsid w:val="00E31BBF"/>
    <w:rsid w:val="00E31C12"/>
    <w:rsid w:val="00E31D85"/>
    <w:rsid w:val="00E32982"/>
    <w:rsid w:val="00E32998"/>
    <w:rsid w:val="00E32A48"/>
    <w:rsid w:val="00E32B27"/>
    <w:rsid w:val="00E32C4C"/>
    <w:rsid w:val="00E32DD6"/>
    <w:rsid w:val="00E32EFB"/>
    <w:rsid w:val="00E33122"/>
    <w:rsid w:val="00E333C4"/>
    <w:rsid w:val="00E333E2"/>
    <w:rsid w:val="00E33EE1"/>
    <w:rsid w:val="00E347AE"/>
    <w:rsid w:val="00E35370"/>
    <w:rsid w:val="00E355E3"/>
    <w:rsid w:val="00E356C1"/>
    <w:rsid w:val="00E35AD8"/>
    <w:rsid w:val="00E36022"/>
    <w:rsid w:val="00E3604C"/>
    <w:rsid w:val="00E36167"/>
    <w:rsid w:val="00E36E82"/>
    <w:rsid w:val="00E36EBB"/>
    <w:rsid w:val="00E37508"/>
    <w:rsid w:val="00E37587"/>
    <w:rsid w:val="00E3769B"/>
    <w:rsid w:val="00E379EF"/>
    <w:rsid w:val="00E4029A"/>
    <w:rsid w:val="00E40371"/>
    <w:rsid w:val="00E4056D"/>
    <w:rsid w:val="00E40829"/>
    <w:rsid w:val="00E40D91"/>
    <w:rsid w:val="00E41018"/>
    <w:rsid w:val="00E4115E"/>
    <w:rsid w:val="00E4136A"/>
    <w:rsid w:val="00E4149A"/>
    <w:rsid w:val="00E414AD"/>
    <w:rsid w:val="00E4173C"/>
    <w:rsid w:val="00E419FF"/>
    <w:rsid w:val="00E41A3D"/>
    <w:rsid w:val="00E41A5F"/>
    <w:rsid w:val="00E42023"/>
    <w:rsid w:val="00E426BD"/>
    <w:rsid w:val="00E42A54"/>
    <w:rsid w:val="00E42CB6"/>
    <w:rsid w:val="00E42D20"/>
    <w:rsid w:val="00E43906"/>
    <w:rsid w:val="00E443C7"/>
    <w:rsid w:val="00E44567"/>
    <w:rsid w:val="00E44A16"/>
    <w:rsid w:val="00E45557"/>
    <w:rsid w:val="00E45AB3"/>
    <w:rsid w:val="00E4637C"/>
    <w:rsid w:val="00E466EA"/>
    <w:rsid w:val="00E467D8"/>
    <w:rsid w:val="00E46849"/>
    <w:rsid w:val="00E46CFD"/>
    <w:rsid w:val="00E47177"/>
    <w:rsid w:val="00E474EC"/>
    <w:rsid w:val="00E47642"/>
    <w:rsid w:val="00E47A80"/>
    <w:rsid w:val="00E5078A"/>
    <w:rsid w:val="00E50DA9"/>
    <w:rsid w:val="00E50EE2"/>
    <w:rsid w:val="00E50F9D"/>
    <w:rsid w:val="00E51317"/>
    <w:rsid w:val="00E51FDC"/>
    <w:rsid w:val="00E52873"/>
    <w:rsid w:val="00E5302C"/>
    <w:rsid w:val="00E53624"/>
    <w:rsid w:val="00E5391D"/>
    <w:rsid w:val="00E53A0F"/>
    <w:rsid w:val="00E541DC"/>
    <w:rsid w:val="00E544FB"/>
    <w:rsid w:val="00E54935"/>
    <w:rsid w:val="00E549BB"/>
    <w:rsid w:val="00E54A7A"/>
    <w:rsid w:val="00E54A84"/>
    <w:rsid w:val="00E5511B"/>
    <w:rsid w:val="00E55413"/>
    <w:rsid w:val="00E5544E"/>
    <w:rsid w:val="00E55476"/>
    <w:rsid w:val="00E55633"/>
    <w:rsid w:val="00E5596A"/>
    <w:rsid w:val="00E563A5"/>
    <w:rsid w:val="00E5658C"/>
    <w:rsid w:val="00E56F2B"/>
    <w:rsid w:val="00E5720C"/>
    <w:rsid w:val="00E57223"/>
    <w:rsid w:val="00E57B21"/>
    <w:rsid w:val="00E60882"/>
    <w:rsid w:val="00E6096F"/>
    <w:rsid w:val="00E60F58"/>
    <w:rsid w:val="00E61A06"/>
    <w:rsid w:val="00E61A86"/>
    <w:rsid w:val="00E61DC5"/>
    <w:rsid w:val="00E62325"/>
    <w:rsid w:val="00E6261A"/>
    <w:rsid w:val="00E62B3D"/>
    <w:rsid w:val="00E63312"/>
    <w:rsid w:val="00E6368F"/>
    <w:rsid w:val="00E63A86"/>
    <w:rsid w:val="00E63E1D"/>
    <w:rsid w:val="00E6431B"/>
    <w:rsid w:val="00E6451B"/>
    <w:rsid w:val="00E64566"/>
    <w:rsid w:val="00E6490E"/>
    <w:rsid w:val="00E64C18"/>
    <w:rsid w:val="00E64E2A"/>
    <w:rsid w:val="00E64EF9"/>
    <w:rsid w:val="00E6560A"/>
    <w:rsid w:val="00E6593C"/>
    <w:rsid w:val="00E65A45"/>
    <w:rsid w:val="00E65B78"/>
    <w:rsid w:val="00E65D84"/>
    <w:rsid w:val="00E65F46"/>
    <w:rsid w:val="00E662B4"/>
    <w:rsid w:val="00E662E1"/>
    <w:rsid w:val="00E6663F"/>
    <w:rsid w:val="00E66727"/>
    <w:rsid w:val="00E6682A"/>
    <w:rsid w:val="00E66B8F"/>
    <w:rsid w:val="00E66BD7"/>
    <w:rsid w:val="00E66FDF"/>
    <w:rsid w:val="00E67375"/>
    <w:rsid w:val="00E6737C"/>
    <w:rsid w:val="00E677AC"/>
    <w:rsid w:val="00E6787F"/>
    <w:rsid w:val="00E67D3F"/>
    <w:rsid w:val="00E67DC6"/>
    <w:rsid w:val="00E7026A"/>
    <w:rsid w:val="00E7041F"/>
    <w:rsid w:val="00E70494"/>
    <w:rsid w:val="00E70BF4"/>
    <w:rsid w:val="00E70E9C"/>
    <w:rsid w:val="00E71AFF"/>
    <w:rsid w:val="00E71ED2"/>
    <w:rsid w:val="00E726AF"/>
    <w:rsid w:val="00E72A8C"/>
    <w:rsid w:val="00E73002"/>
    <w:rsid w:val="00E732EE"/>
    <w:rsid w:val="00E7347F"/>
    <w:rsid w:val="00E73545"/>
    <w:rsid w:val="00E73567"/>
    <w:rsid w:val="00E74425"/>
    <w:rsid w:val="00E7444C"/>
    <w:rsid w:val="00E746F7"/>
    <w:rsid w:val="00E74872"/>
    <w:rsid w:val="00E74AF6"/>
    <w:rsid w:val="00E74D0B"/>
    <w:rsid w:val="00E75004"/>
    <w:rsid w:val="00E75685"/>
    <w:rsid w:val="00E758B8"/>
    <w:rsid w:val="00E75C77"/>
    <w:rsid w:val="00E75F8F"/>
    <w:rsid w:val="00E76062"/>
    <w:rsid w:val="00E7626A"/>
    <w:rsid w:val="00E76391"/>
    <w:rsid w:val="00E765CA"/>
    <w:rsid w:val="00E76963"/>
    <w:rsid w:val="00E76E08"/>
    <w:rsid w:val="00E76F2D"/>
    <w:rsid w:val="00E77600"/>
    <w:rsid w:val="00E77E6C"/>
    <w:rsid w:val="00E802DC"/>
    <w:rsid w:val="00E80855"/>
    <w:rsid w:val="00E80AD1"/>
    <w:rsid w:val="00E8101B"/>
    <w:rsid w:val="00E81174"/>
    <w:rsid w:val="00E815A9"/>
    <w:rsid w:val="00E81723"/>
    <w:rsid w:val="00E818A9"/>
    <w:rsid w:val="00E81961"/>
    <w:rsid w:val="00E81AF3"/>
    <w:rsid w:val="00E81B57"/>
    <w:rsid w:val="00E81D47"/>
    <w:rsid w:val="00E830F3"/>
    <w:rsid w:val="00E8311B"/>
    <w:rsid w:val="00E83455"/>
    <w:rsid w:val="00E83E23"/>
    <w:rsid w:val="00E842B7"/>
    <w:rsid w:val="00E84E50"/>
    <w:rsid w:val="00E84E8D"/>
    <w:rsid w:val="00E859A1"/>
    <w:rsid w:val="00E85FB2"/>
    <w:rsid w:val="00E8633D"/>
    <w:rsid w:val="00E86379"/>
    <w:rsid w:val="00E86BF4"/>
    <w:rsid w:val="00E86CE7"/>
    <w:rsid w:val="00E86D5B"/>
    <w:rsid w:val="00E86E25"/>
    <w:rsid w:val="00E86E75"/>
    <w:rsid w:val="00E870A9"/>
    <w:rsid w:val="00E87775"/>
    <w:rsid w:val="00E87940"/>
    <w:rsid w:val="00E87B87"/>
    <w:rsid w:val="00E87C82"/>
    <w:rsid w:val="00E90312"/>
    <w:rsid w:val="00E90552"/>
    <w:rsid w:val="00E91117"/>
    <w:rsid w:val="00E91587"/>
    <w:rsid w:val="00E91947"/>
    <w:rsid w:val="00E92E95"/>
    <w:rsid w:val="00E930DF"/>
    <w:rsid w:val="00E934F6"/>
    <w:rsid w:val="00E93530"/>
    <w:rsid w:val="00E93D6B"/>
    <w:rsid w:val="00E93E33"/>
    <w:rsid w:val="00E950EE"/>
    <w:rsid w:val="00E9533E"/>
    <w:rsid w:val="00E9579A"/>
    <w:rsid w:val="00E95DB6"/>
    <w:rsid w:val="00E96276"/>
    <w:rsid w:val="00E963DC"/>
    <w:rsid w:val="00E964CF"/>
    <w:rsid w:val="00E965CF"/>
    <w:rsid w:val="00E96D0C"/>
    <w:rsid w:val="00E97351"/>
    <w:rsid w:val="00E97E1C"/>
    <w:rsid w:val="00EA032D"/>
    <w:rsid w:val="00EA04C9"/>
    <w:rsid w:val="00EA0D5A"/>
    <w:rsid w:val="00EA1DBE"/>
    <w:rsid w:val="00EA224E"/>
    <w:rsid w:val="00EA2F06"/>
    <w:rsid w:val="00EA3305"/>
    <w:rsid w:val="00EA349B"/>
    <w:rsid w:val="00EA3611"/>
    <w:rsid w:val="00EA36DB"/>
    <w:rsid w:val="00EA3A72"/>
    <w:rsid w:val="00EA3EB3"/>
    <w:rsid w:val="00EA4195"/>
    <w:rsid w:val="00EA41FE"/>
    <w:rsid w:val="00EA476C"/>
    <w:rsid w:val="00EA4A60"/>
    <w:rsid w:val="00EA4AAB"/>
    <w:rsid w:val="00EA4F7A"/>
    <w:rsid w:val="00EA5A81"/>
    <w:rsid w:val="00EA5C63"/>
    <w:rsid w:val="00EA638F"/>
    <w:rsid w:val="00EA6588"/>
    <w:rsid w:val="00EA6685"/>
    <w:rsid w:val="00EA683E"/>
    <w:rsid w:val="00EA7868"/>
    <w:rsid w:val="00EA78C2"/>
    <w:rsid w:val="00EA79E8"/>
    <w:rsid w:val="00EA7EEB"/>
    <w:rsid w:val="00EB0370"/>
    <w:rsid w:val="00EB05AD"/>
    <w:rsid w:val="00EB07A2"/>
    <w:rsid w:val="00EB07AF"/>
    <w:rsid w:val="00EB0A24"/>
    <w:rsid w:val="00EB0E78"/>
    <w:rsid w:val="00EB11E1"/>
    <w:rsid w:val="00EB1354"/>
    <w:rsid w:val="00EB17DD"/>
    <w:rsid w:val="00EB17FE"/>
    <w:rsid w:val="00EB189F"/>
    <w:rsid w:val="00EB1A4E"/>
    <w:rsid w:val="00EB1C01"/>
    <w:rsid w:val="00EB1F57"/>
    <w:rsid w:val="00EB25F4"/>
    <w:rsid w:val="00EB268B"/>
    <w:rsid w:val="00EB2C03"/>
    <w:rsid w:val="00EB2CA5"/>
    <w:rsid w:val="00EB300D"/>
    <w:rsid w:val="00EB3205"/>
    <w:rsid w:val="00EB32F6"/>
    <w:rsid w:val="00EB3356"/>
    <w:rsid w:val="00EB393F"/>
    <w:rsid w:val="00EB3BC2"/>
    <w:rsid w:val="00EB3CD3"/>
    <w:rsid w:val="00EB3D4D"/>
    <w:rsid w:val="00EB3DC2"/>
    <w:rsid w:val="00EB41B4"/>
    <w:rsid w:val="00EB44F2"/>
    <w:rsid w:val="00EB5093"/>
    <w:rsid w:val="00EB52A7"/>
    <w:rsid w:val="00EB52BC"/>
    <w:rsid w:val="00EB5D04"/>
    <w:rsid w:val="00EB63E7"/>
    <w:rsid w:val="00EB6B4D"/>
    <w:rsid w:val="00EB6E16"/>
    <w:rsid w:val="00EB72C9"/>
    <w:rsid w:val="00EB7352"/>
    <w:rsid w:val="00EB7649"/>
    <w:rsid w:val="00EB7E3E"/>
    <w:rsid w:val="00EB7E7C"/>
    <w:rsid w:val="00EB7EB3"/>
    <w:rsid w:val="00EB7F8A"/>
    <w:rsid w:val="00EC0872"/>
    <w:rsid w:val="00EC0FD7"/>
    <w:rsid w:val="00EC12F0"/>
    <w:rsid w:val="00EC172E"/>
    <w:rsid w:val="00EC1DAD"/>
    <w:rsid w:val="00EC1DC5"/>
    <w:rsid w:val="00EC1F9E"/>
    <w:rsid w:val="00EC2129"/>
    <w:rsid w:val="00EC245E"/>
    <w:rsid w:val="00EC32F4"/>
    <w:rsid w:val="00EC33CE"/>
    <w:rsid w:val="00EC3807"/>
    <w:rsid w:val="00EC3B5F"/>
    <w:rsid w:val="00EC3B8B"/>
    <w:rsid w:val="00EC3BF8"/>
    <w:rsid w:val="00EC3F20"/>
    <w:rsid w:val="00EC4364"/>
    <w:rsid w:val="00EC4422"/>
    <w:rsid w:val="00EC4726"/>
    <w:rsid w:val="00EC4CD6"/>
    <w:rsid w:val="00EC5560"/>
    <w:rsid w:val="00EC56BC"/>
    <w:rsid w:val="00EC584E"/>
    <w:rsid w:val="00EC5C00"/>
    <w:rsid w:val="00EC5D63"/>
    <w:rsid w:val="00EC68C8"/>
    <w:rsid w:val="00EC69F6"/>
    <w:rsid w:val="00EC6A3C"/>
    <w:rsid w:val="00EC6B72"/>
    <w:rsid w:val="00EC6CC4"/>
    <w:rsid w:val="00EC721E"/>
    <w:rsid w:val="00EC7452"/>
    <w:rsid w:val="00EC7758"/>
    <w:rsid w:val="00EC77D6"/>
    <w:rsid w:val="00EC7B90"/>
    <w:rsid w:val="00EC7C8E"/>
    <w:rsid w:val="00ED0244"/>
    <w:rsid w:val="00ED0327"/>
    <w:rsid w:val="00ED06DC"/>
    <w:rsid w:val="00ED07BD"/>
    <w:rsid w:val="00ED0AB1"/>
    <w:rsid w:val="00ED0AD5"/>
    <w:rsid w:val="00ED0E01"/>
    <w:rsid w:val="00ED0ED3"/>
    <w:rsid w:val="00ED0F00"/>
    <w:rsid w:val="00ED15DB"/>
    <w:rsid w:val="00ED17D0"/>
    <w:rsid w:val="00ED2060"/>
    <w:rsid w:val="00ED246C"/>
    <w:rsid w:val="00ED3812"/>
    <w:rsid w:val="00ED3C8B"/>
    <w:rsid w:val="00ED3CB2"/>
    <w:rsid w:val="00ED4885"/>
    <w:rsid w:val="00ED4BE6"/>
    <w:rsid w:val="00ED4E30"/>
    <w:rsid w:val="00ED5A6F"/>
    <w:rsid w:val="00ED5A97"/>
    <w:rsid w:val="00ED5DED"/>
    <w:rsid w:val="00ED7086"/>
    <w:rsid w:val="00ED75D5"/>
    <w:rsid w:val="00ED7726"/>
    <w:rsid w:val="00ED772D"/>
    <w:rsid w:val="00ED7801"/>
    <w:rsid w:val="00ED7A66"/>
    <w:rsid w:val="00ED7B8F"/>
    <w:rsid w:val="00ED7DA2"/>
    <w:rsid w:val="00EE0061"/>
    <w:rsid w:val="00EE00C6"/>
    <w:rsid w:val="00EE0383"/>
    <w:rsid w:val="00EE049D"/>
    <w:rsid w:val="00EE073B"/>
    <w:rsid w:val="00EE13F0"/>
    <w:rsid w:val="00EE1403"/>
    <w:rsid w:val="00EE168E"/>
    <w:rsid w:val="00EE1A70"/>
    <w:rsid w:val="00EE200B"/>
    <w:rsid w:val="00EE214A"/>
    <w:rsid w:val="00EE23CD"/>
    <w:rsid w:val="00EE29DD"/>
    <w:rsid w:val="00EE2C45"/>
    <w:rsid w:val="00EE3078"/>
    <w:rsid w:val="00EE32DF"/>
    <w:rsid w:val="00EE32F1"/>
    <w:rsid w:val="00EE35AE"/>
    <w:rsid w:val="00EE3800"/>
    <w:rsid w:val="00EE3AB8"/>
    <w:rsid w:val="00EE3B53"/>
    <w:rsid w:val="00EE3BC5"/>
    <w:rsid w:val="00EE4330"/>
    <w:rsid w:val="00EE4336"/>
    <w:rsid w:val="00EE4478"/>
    <w:rsid w:val="00EE44C7"/>
    <w:rsid w:val="00EE46D0"/>
    <w:rsid w:val="00EE4748"/>
    <w:rsid w:val="00EE4B49"/>
    <w:rsid w:val="00EE4DE0"/>
    <w:rsid w:val="00EE50A0"/>
    <w:rsid w:val="00EE525D"/>
    <w:rsid w:val="00EE53BF"/>
    <w:rsid w:val="00EE53CA"/>
    <w:rsid w:val="00EE544C"/>
    <w:rsid w:val="00EE5497"/>
    <w:rsid w:val="00EE54E1"/>
    <w:rsid w:val="00EE5B96"/>
    <w:rsid w:val="00EE62EF"/>
    <w:rsid w:val="00EE66A0"/>
    <w:rsid w:val="00EE6AAA"/>
    <w:rsid w:val="00EE6C3D"/>
    <w:rsid w:val="00EE7733"/>
    <w:rsid w:val="00EE7D88"/>
    <w:rsid w:val="00EF0986"/>
    <w:rsid w:val="00EF115A"/>
    <w:rsid w:val="00EF184B"/>
    <w:rsid w:val="00EF20E2"/>
    <w:rsid w:val="00EF2D48"/>
    <w:rsid w:val="00EF2F6F"/>
    <w:rsid w:val="00EF449B"/>
    <w:rsid w:val="00EF4A2B"/>
    <w:rsid w:val="00EF4BEF"/>
    <w:rsid w:val="00EF4E17"/>
    <w:rsid w:val="00EF4F55"/>
    <w:rsid w:val="00EF5657"/>
    <w:rsid w:val="00EF59AE"/>
    <w:rsid w:val="00EF5D28"/>
    <w:rsid w:val="00EF5E2B"/>
    <w:rsid w:val="00EF5F0B"/>
    <w:rsid w:val="00EF6AB0"/>
    <w:rsid w:val="00EF6BB5"/>
    <w:rsid w:val="00EF706B"/>
    <w:rsid w:val="00EF7260"/>
    <w:rsid w:val="00EF7727"/>
    <w:rsid w:val="00EF798B"/>
    <w:rsid w:val="00F0091B"/>
    <w:rsid w:val="00F00CF6"/>
    <w:rsid w:val="00F00E7B"/>
    <w:rsid w:val="00F011E7"/>
    <w:rsid w:val="00F01354"/>
    <w:rsid w:val="00F014D0"/>
    <w:rsid w:val="00F0163C"/>
    <w:rsid w:val="00F01774"/>
    <w:rsid w:val="00F018E8"/>
    <w:rsid w:val="00F019B5"/>
    <w:rsid w:val="00F01C5A"/>
    <w:rsid w:val="00F0204A"/>
    <w:rsid w:val="00F020C0"/>
    <w:rsid w:val="00F02223"/>
    <w:rsid w:val="00F02450"/>
    <w:rsid w:val="00F02973"/>
    <w:rsid w:val="00F02CEF"/>
    <w:rsid w:val="00F0304B"/>
    <w:rsid w:val="00F03141"/>
    <w:rsid w:val="00F031E7"/>
    <w:rsid w:val="00F03C46"/>
    <w:rsid w:val="00F03D9B"/>
    <w:rsid w:val="00F03E19"/>
    <w:rsid w:val="00F04441"/>
    <w:rsid w:val="00F045E9"/>
    <w:rsid w:val="00F04A7C"/>
    <w:rsid w:val="00F04AA8"/>
    <w:rsid w:val="00F04B91"/>
    <w:rsid w:val="00F04DF0"/>
    <w:rsid w:val="00F0587C"/>
    <w:rsid w:val="00F06065"/>
    <w:rsid w:val="00F06686"/>
    <w:rsid w:val="00F066E0"/>
    <w:rsid w:val="00F066E8"/>
    <w:rsid w:val="00F06866"/>
    <w:rsid w:val="00F07295"/>
    <w:rsid w:val="00F073BD"/>
    <w:rsid w:val="00F07DDF"/>
    <w:rsid w:val="00F1046C"/>
    <w:rsid w:val="00F107A7"/>
    <w:rsid w:val="00F10C08"/>
    <w:rsid w:val="00F1126B"/>
    <w:rsid w:val="00F11305"/>
    <w:rsid w:val="00F1173A"/>
    <w:rsid w:val="00F11871"/>
    <w:rsid w:val="00F118D4"/>
    <w:rsid w:val="00F11CE3"/>
    <w:rsid w:val="00F11ECE"/>
    <w:rsid w:val="00F12081"/>
    <w:rsid w:val="00F12356"/>
    <w:rsid w:val="00F1246E"/>
    <w:rsid w:val="00F125D7"/>
    <w:rsid w:val="00F12B3E"/>
    <w:rsid w:val="00F12EEB"/>
    <w:rsid w:val="00F12F72"/>
    <w:rsid w:val="00F131F3"/>
    <w:rsid w:val="00F1320E"/>
    <w:rsid w:val="00F1338C"/>
    <w:rsid w:val="00F13810"/>
    <w:rsid w:val="00F13FAD"/>
    <w:rsid w:val="00F14197"/>
    <w:rsid w:val="00F14610"/>
    <w:rsid w:val="00F1471C"/>
    <w:rsid w:val="00F152B6"/>
    <w:rsid w:val="00F15ADC"/>
    <w:rsid w:val="00F15F11"/>
    <w:rsid w:val="00F168FE"/>
    <w:rsid w:val="00F16B90"/>
    <w:rsid w:val="00F16C47"/>
    <w:rsid w:val="00F16D05"/>
    <w:rsid w:val="00F1705C"/>
    <w:rsid w:val="00F172BC"/>
    <w:rsid w:val="00F1792A"/>
    <w:rsid w:val="00F17CD8"/>
    <w:rsid w:val="00F2017F"/>
    <w:rsid w:val="00F20643"/>
    <w:rsid w:val="00F21005"/>
    <w:rsid w:val="00F21655"/>
    <w:rsid w:val="00F21DA2"/>
    <w:rsid w:val="00F21E03"/>
    <w:rsid w:val="00F220C4"/>
    <w:rsid w:val="00F2213B"/>
    <w:rsid w:val="00F221B8"/>
    <w:rsid w:val="00F22236"/>
    <w:rsid w:val="00F224D9"/>
    <w:rsid w:val="00F22520"/>
    <w:rsid w:val="00F226DF"/>
    <w:rsid w:val="00F22C36"/>
    <w:rsid w:val="00F22CEE"/>
    <w:rsid w:val="00F2342A"/>
    <w:rsid w:val="00F236B5"/>
    <w:rsid w:val="00F23904"/>
    <w:rsid w:val="00F23981"/>
    <w:rsid w:val="00F23FE9"/>
    <w:rsid w:val="00F24236"/>
    <w:rsid w:val="00F25068"/>
    <w:rsid w:val="00F25119"/>
    <w:rsid w:val="00F2527A"/>
    <w:rsid w:val="00F256EB"/>
    <w:rsid w:val="00F257E8"/>
    <w:rsid w:val="00F26161"/>
    <w:rsid w:val="00F26A3A"/>
    <w:rsid w:val="00F26C5E"/>
    <w:rsid w:val="00F271B8"/>
    <w:rsid w:val="00F2722B"/>
    <w:rsid w:val="00F2786A"/>
    <w:rsid w:val="00F27DDE"/>
    <w:rsid w:val="00F302A0"/>
    <w:rsid w:val="00F303BD"/>
    <w:rsid w:val="00F31013"/>
    <w:rsid w:val="00F31C8C"/>
    <w:rsid w:val="00F31DC5"/>
    <w:rsid w:val="00F31FF2"/>
    <w:rsid w:val="00F3233E"/>
    <w:rsid w:val="00F3257B"/>
    <w:rsid w:val="00F335D5"/>
    <w:rsid w:val="00F34B64"/>
    <w:rsid w:val="00F35243"/>
    <w:rsid w:val="00F3533F"/>
    <w:rsid w:val="00F35E95"/>
    <w:rsid w:val="00F36404"/>
    <w:rsid w:val="00F371E8"/>
    <w:rsid w:val="00F3725B"/>
    <w:rsid w:val="00F37487"/>
    <w:rsid w:val="00F37D37"/>
    <w:rsid w:val="00F37FD1"/>
    <w:rsid w:val="00F40308"/>
    <w:rsid w:val="00F409D4"/>
    <w:rsid w:val="00F40AA2"/>
    <w:rsid w:val="00F40CBA"/>
    <w:rsid w:val="00F40EA2"/>
    <w:rsid w:val="00F4105F"/>
    <w:rsid w:val="00F411F2"/>
    <w:rsid w:val="00F417A0"/>
    <w:rsid w:val="00F418E0"/>
    <w:rsid w:val="00F41A07"/>
    <w:rsid w:val="00F41DD5"/>
    <w:rsid w:val="00F423A6"/>
    <w:rsid w:val="00F42435"/>
    <w:rsid w:val="00F42C8B"/>
    <w:rsid w:val="00F42F1B"/>
    <w:rsid w:val="00F434AF"/>
    <w:rsid w:val="00F43626"/>
    <w:rsid w:val="00F43E3C"/>
    <w:rsid w:val="00F43F3E"/>
    <w:rsid w:val="00F44545"/>
    <w:rsid w:val="00F45027"/>
    <w:rsid w:val="00F45123"/>
    <w:rsid w:val="00F452AE"/>
    <w:rsid w:val="00F4542A"/>
    <w:rsid w:val="00F45A96"/>
    <w:rsid w:val="00F46516"/>
    <w:rsid w:val="00F467AE"/>
    <w:rsid w:val="00F46A85"/>
    <w:rsid w:val="00F46B23"/>
    <w:rsid w:val="00F46CE2"/>
    <w:rsid w:val="00F4704C"/>
    <w:rsid w:val="00F470AB"/>
    <w:rsid w:val="00F47139"/>
    <w:rsid w:val="00F472B7"/>
    <w:rsid w:val="00F472CB"/>
    <w:rsid w:val="00F47C61"/>
    <w:rsid w:val="00F5035D"/>
    <w:rsid w:val="00F504F7"/>
    <w:rsid w:val="00F50546"/>
    <w:rsid w:val="00F5062C"/>
    <w:rsid w:val="00F50970"/>
    <w:rsid w:val="00F509F6"/>
    <w:rsid w:val="00F50CAE"/>
    <w:rsid w:val="00F510CA"/>
    <w:rsid w:val="00F51D9C"/>
    <w:rsid w:val="00F522DC"/>
    <w:rsid w:val="00F52C5D"/>
    <w:rsid w:val="00F52C6C"/>
    <w:rsid w:val="00F52E13"/>
    <w:rsid w:val="00F532E0"/>
    <w:rsid w:val="00F537B8"/>
    <w:rsid w:val="00F54592"/>
    <w:rsid w:val="00F546E5"/>
    <w:rsid w:val="00F54860"/>
    <w:rsid w:val="00F552E8"/>
    <w:rsid w:val="00F55365"/>
    <w:rsid w:val="00F55422"/>
    <w:rsid w:val="00F55D3A"/>
    <w:rsid w:val="00F55DD3"/>
    <w:rsid w:val="00F55F2C"/>
    <w:rsid w:val="00F56282"/>
    <w:rsid w:val="00F564AF"/>
    <w:rsid w:val="00F5653B"/>
    <w:rsid w:val="00F56B1A"/>
    <w:rsid w:val="00F56B94"/>
    <w:rsid w:val="00F56FC9"/>
    <w:rsid w:val="00F57630"/>
    <w:rsid w:val="00F57E39"/>
    <w:rsid w:val="00F604F4"/>
    <w:rsid w:val="00F607A6"/>
    <w:rsid w:val="00F60950"/>
    <w:rsid w:val="00F613C9"/>
    <w:rsid w:val="00F61546"/>
    <w:rsid w:val="00F61974"/>
    <w:rsid w:val="00F61D01"/>
    <w:rsid w:val="00F61EC4"/>
    <w:rsid w:val="00F61F36"/>
    <w:rsid w:val="00F620A2"/>
    <w:rsid w:val="00F6271A"/>
    <w:rsid w:val="00F62DD8"/>
    <w:rsid w:val="00F62F1C"/>
    <w:rsid w:val="00F642E1"/>
    <w:rsid w:val="00F64BE8"/>
    <w:rsid w:val="00F64CA4"/>
    <w:rsid w:val="00F64F9E"/>
    <w:rsid w:val="00F650C9"/>
    <w:rsid w:val="00F65ACC"/>
    <w:rsid w:val="00F66150"/>
    <w:rsid w:val="00F6624D"/>
    <w:rsid w:val="00F6653F"/>
    <w:rsid w:val="00F66927"/>
    <w:rsid w:val="00F66A46"/>
    <w:rsid w:val="00F66FAA"/>
    <w:rsid w:val="00F67397"/>
    <w:rsid w:val="00F6792D"/>
    <w:rsid w:val="00F67D61"/>
    <w:rsid w:val="00F67EA6"/>
    <w:rsid w:val="00F70A8D"/>
    <w:rsid w:val="00F70D5E"/>
    <w:rsid w:val="00F70E24"/>
    <w:rsid w:val="00F70F02"/>
    <w:rsid w:val="00F71A27"/>
    <w:rsid w:val="00F71C6C"/>
    <w:rsid w:val="00F72468"/>
    <w:rsid w:val="00F7282F"/>
    <w:rsid w:val="00F729EE"/>
    <w:rsid w:val="00F72F7C"/>
    <w:rsid w:val="00F72F86"/>
    <w:rsid w:val="00F73056"/>
    <w:rsid w:val="00F73717"/>
    <w:rsid w:val="00F7372A"/>
    <w:rsid w:val="00F743FC"/>
    <w:rsid w:val="00F747EA"/>
    <w:rsid w:val="00F75481"/>
    <w:rsid w:val="00F75526"/>
    <w:rsid w:val="00F75A7E"/>
    <w:rsid w:val="00F75D18"/>
    <w:rsid w:val="00F76137"/>
    <w:rsid w:val="00F76352"/>
    <w:rsid w:val="00F765E0"/>
    <w:rsid w:val="00F76735"/>
    <w:rsid w:val="00F76A4E"/>
    <w:rsid w:val="00F76C0D"/>
    <w:rsid w:val="00F7767A"/>
    <w:rsid w:val="00F7778C"/>
    <w:rsid w:val="00F77A0B"/>
    <w:rsid w:val="00F77D97"/>
    <w:rsid w:val="00F80221"/>
    <w:rsid w:val="00F80921"/>
    <w:rsid w:val="00F810B2"/>
    <w:rsid w:val="00F810FB"/>
    <w:rsid w:val="00F81331"/>
    <w:rsid w:val="00F8152A"/>
    <w:rsid w:val="00F815B0"/>
    <w:rsid w:val="00F81859"/>
    <w:rsid w:val="00F81A2E"/>
    <w:rsid w:val="00F81B05"/>
    <w:rsid w:val="00F81D3F"/>
    <w:rsid w:val="00F82659"/>
    <w:rsid w:val="00F82ACA"/>
    <w:rsid w:val="00F8300A"/>
    <w:rsid w:val="00F83070"/>
    <w:rsid w:val="00F835BB"/>
    <w:rsid w:val="00F83F16"/>
    <w:rsid w:val="00F8424D"/>
    <w:rsid w:val="00F84462"/>
    <w:rsid w:val="00F854D1"/>
    <w:rsid w:val="00F85FAA"/>
    <w:rsid w:val="00F85FC5"/>
    <w:rsid w:val="00F8600E"/>
    <w:rsid w:val="00F86029"/>
    <w:rsid w:val="00F8664E"/>
    <w:rsid w:val="00F86BC6"/>
    <w:rsid w:val="00F86C78"/>
    <w:rsid w:val="00F87056"/>
    <w:rsid w:val="00F870AE"/>
    <w:rsid w:val="00F8716B"/>
    <w:rsid w:val="00F87330"/>
    <w:rsid w:val="00F876F1"/>
    <w:rsid w:val="00F877AB"/>
    <w:rsid w:val="00F87A69"/>
    <w:rsid w:val="00F87B6F"/>
    <w:rsid w:val="00F9023C"/>
    <w:rsid w:val="00F90ABB"/>
    <w:rsid w:val="00F910E4"/>
    <w:rsid w:val="00F91104"/>
    <w:rsid w:val="00F911ED"/>
    <w:rsid w:val="00F91A46"/>
    <w:rsid w:val="00F91A55"/>
    <w:rsid w:val="00F91BF6"/>
    <w:rsid w:val="00F91C0B"/>
    <w:rsid w:val="00F91D11"/>
    <w:rsid w:val="00F91EF7"/>
    <w:rsid w:val="00F9211D"/>
    <w:rsid w:val="00F9212A"/>
    <w:rsid w:val="00F92F0C"/>
    <w:rsid w:val="00F93002"/>
    <w:rsid w:val="00F9322C"/>
    <w:rsid w:val="00F936C3"/>
    <w:rsid w:val="00F937CA"/>
    <w:rsid w:val="00F93881"/>
    <w:rsid w:val="00F945F7"/>
    <w:rsid w:val="00F946F5"/>
    <w:rsid w:val="00F94846"/>
    <w:rsid w:val="00F94A2D"/>
    <w:rsid w:val="00F94AF3"/>
    <w:rsid w:val="00F94BA0"/>
    <w:rsid w:val="00F94E9E"/>
    <w:rsid w:val="00F950E9"/>
    <w:rsid w:val="00F9547C"/>
    <w:rsid w:val="00F95544"/>
    <w:rsid w:val="00F957FA"/>
    <w:rsid w:val="00F9585F"/>
    <w:rsid w:val="00F95A15"/>
    <w:rsid w:val="00F95F2F"/>
    <w:rsid w:val="00F95F40"/>
    <w:rsid w:val="00F95F99"/>
    <w:rsid w:val="00F966EE"/>
    <w:rsid w:val="00F970A2"/>
    <w:rsid w:val="00F97135"/>
    <w:rsid w:val="00F97BA5"/>
    <w:rsid w:val="00F97C2C"/>
    <w:rsid w:val="00F97D23"/>
    <w:rsid w:val="00F97FFC"/>
    <w:rsid w:val="00FA0066"/>
    <w:rsid w:val="00FA04A5"/>
    <w:rsid w:val="00FA0C06"/>
    <w:rsid w:val="00FA0F5E"/>
    <w:rsid w:val="00FA0FFF"/>
    <w:rsid w:val="00FA13F5"/>
    <w:rsid w:val="00FA178E"/>
    <w:rsid w:val="00FA1997"/>
    <w:rsid w:val="00FA1C55"/>
    <w:rsid w:val="00FA2507"/>
    <w:rsid w:val="00FA27B4"/>
    <w:rsid w:val="00FA2DCE"/>
    <w:rsid w:val="00FA30EC"/>
    <w:rsid w:val="00FA31D3"/>
    <w:rsid w:val="00FA334F"/>
    <w:rsid w:val="00FA353B"/>
    <w:rsid w:val="00FA35F7"/>
    <w:rsid w:val="00FA36EE"/>
    <w:rsid w:val="00FA3CE9"/>
    <w:rsid w:val="00FA3E70"/>
    <w:rsid w:val="00FA4CBF"/>
    <w:rsid w:val="00FA4E4B"/>
    <w:rsid w:val="00FA4EC0"/>
    <w:rsid w:val="00FA54B9"/>
    <w:rsid w:val="00FA5551"/>
    <w:rsid w:val="00FA5B3B"/>
    <w:rsid w:val="00FA66D6"/>
    <w:rsid w:val="00FA6BCD"/>
    <w:rsid w:val="00FA6D9F"/>
    <w:rsid w:val="00FA6E1E"/>
    <w:rsid w:val="00FA70CF"/>
    <w:rsid w:val="00FA7AA7"/>
    <w:rsid w:val="00FA7D64"/>
    <w:rsid w:val="00FA7E1D"/>
    <w:rsid w:val="00FA7F47"/>
    <w:rsid w:val="00FB034B"/>
    <w:rsid w:val="00FB07FA"/>
    <w:rsid w:val="00FB0932"/>
    <w:rsid w:val="00FB0980"/>
    <w:rsid w:val="00FB0DE3"/>
    <w:rsid w:val="00FB0FED"/>
    <w:rsid w:val="00FB1098"/>
    <w:rsid w:val="00FB117D"/>
    <w:rsid w:val="00FB139B"/>
    <w:rsid w:val="00FB153C"/>
    <w:rsid w:val="00FB1886"/>
    <w:rsid w:val="00FB2116"/>
    <w:rsid w:val="00FB2230"/>
    <w:rsid w:val="00FB2686"/>
    <w:rsid w:val="00FB2A88"/>
    <w:rsid w:val="00FB3611"/>
    <w:rsid w:val="00FB3C15"/>
    <w:rsid w:val="00FB4521"/>
    <w:rsid w:val="00FB48D4"/>
    <w:rsid w:val="00FB4B4C"/>
    <w:rsid w:val="00FB4E81"/>
    <w:rsid w:val="00FB5514"/>
    <w:rsid w:val="00FB596B"/>
    <w:rsid w:val="00FB6279"/>
    <w:rsid w:val="00FB62BD"/>
    <w:rsid w:val="00FB6384"/>
    <w:rsid w:val="00FB6797"/>
    <w:rsid w:val="00FB67DB"/>
    <w:rsid w:val="00FB705A"/>
    <w:rsid w:val="00FB759E"/>
    <w:rsid w:val="00FB7819"/>
    <w:rsid w:val="00FB7D57"/>
    <w:rsid w:val="00FC0786"/>
    <w:rsid w:val="00FC0AD4"/>
    <w:rsid w:val="00FC0CFB"/>
    <w:rsid w:val="00FC11A6"/>
    <w:rsid w:val="00FC1567"/>
    <w:rsid w:val="00FC15FB"/>
    <w:rsid w:val="00FC180E"/>
    <w:rsid w:val="00FC1B09"/>
    <w:rsid w:val="00FC1B19"/>
    <w:rsid w:val="00FC1BC5"/>
    <w:rsid w:val="00FC1CAC"/>
    <w:rsid w:val="00FC1DCC"/>
    <w:rsid w:val="00FC25A9"/>
    <w:rsid w:val="00FC273C"/>
    <w:rsid w:val="00FC2B15"/>
    <w:rsid w:val="00FC2B37"/>
    <w:rsid w:val="00FC311E"/>
    <w:rsid w:val="00FC387A"/>
    <w:rsid w:val="00FC3B9E"/>
    <w:rsid w:val="00FC403A"/>
    <w:rsid w:val="00FC4331"/>
    <w:rsid w:val="00FC463C"/>
    <w:rsid w:val="00FC5209"/>
    <w:rsid w:val="00FC59A2"/>
    <w:rsid w:val="00FC5DE0"/>
    <w:rsid w:val="00FC5F73"/>
    <w:rsid w:val="00FC61C2"/>
    <w:rsid w:val="00FC62CC"/>
    <w:rsid w:val="00FC6992"/>
    <w:rsid w:val="00FC6F2B"/>
    <w:rsid w:val="00FC744F"/>
    <w:rsid w:val="00FC7692"/>
    <w:rsid w:val="00FC796A"/>
    <w:rsid w:val="00FC7A99"/>
    <w:rsid w:val="00FC7AA2"/>
    <w:rsid w:val="00FD0242"/>
    <w:rsid w:val="00FD0261"/>
    <w:rsid w:val="00FD028A"/>
    <w:rsid w:val="00FD0888"/>
    <w:rsid w:val="00FD09B8"/>
    <w:rsid w:val="00FD0A4A"/>
    <w:rsid w:val="00FD0D5F"/>
    <w:rsid w:val="00FD0E94"/>
    <w:rsid w:val="00FD23E1"/>
    <w:rsid w:val="00FD254C"/>
    <w:rsid w:val="00FD2BAA"/>
    <w:rsid w:val="00FD2FFC"/>
    <w:rsid w:val="00FD31CA"/>
    <w:rsid w:val="00FD3455"/>
    <w:rsid w:val="00FD3F4F"/>
    <w:rsid w:val="00FD42DA"/>
    <w:rsid w:val="00FD44BE"/>
    <w:rsid w:val="00FD46AA"/>
    <w:rsid w:val="00FD4B41"/>
    <w:rsid w:val="00FD4D05"/>
    <w:rsid w:val="00FD4F08"/>
    <w:rsid w:val="00FD505B"/>
    <w:rsid w:val="00FD5D6A"/>
    <w:rsid w:val="00FD5F6D"/>
    <w:rsid w:val="00FD5FDE"/>
    <w:rsid w:val="00FD6051"/>
    <w:rsid w:val="00FD606D"/>
    <w:rsid w:val="00FD619C"/>
    <w:rsid w:val="00FD694D"/>
    <w:rsid w:val="00FD6AF7"/>
    <w:rsid w:val="00FD7767"/>
    <w:rsid w:val="00FD7C10"/>
    <w:rsid w:val="00FD7D24"/>
    <w:rsid w:val="00FD7DD0"/>
    <w:rsid w:val="00FD7F3A"/>
    <w:rsid w:val="00FE02F9"/>
    <w:rsid w:val="00FE04D3"/>
    <w:rsid w:val="00FE05A6"/>
    <w:rsid w:val="00FE0B35"/>
    <w:rsid w:val="00FE0B70"/>
    <w:rsid w:val="00FE0BF2"/>
    <w:rsid w:val="00FE0FDF"/>
    <w:rsid w:val="00FE1109"/>
    <w:rsid w:val="00FE14B7"/>
    <w:rsid w:val="00FE1822"/>
    <w:rsid w:val="00FE18F9"/>
    <w:rsid w:val="00FE1C68"/>
    <w:rsid w:val="00FE1D16"/>
    <w:rsid w:val="00FE1D75"/>
    <w:rsid w:val="00FE2064"/>
    <w:rsid w:val="00FE2268"/>
    <w:rsid w:val="00FE3582"/>
    <w:rsid w:val="00FE36C0"/>
    <w:rsid w:val="00FE3836"/>
    <w:rsid w:val="00FE3A4D"/>
    <w:rsid w:val="00FE3BBC"/>
    <w:rsid w:val="00FE3EE8"/>
    <w:rsid w:val="00FE4425"/>
    <w:rsid w:val="00FE560B"/>
    <w:rsid w:val="00FE5F78"/>
    <w:rsid w:val="00FE6081"/>
    <w:rsid w:val="00FE6229"/>
    <w:rsid w:val="00FE6363"/>
    <w:rsid w:val="00FE64E3"/>
    <w:rsid w:val="00FE6522"/>
    <w:rsid w:val="00FE69FE"/>
    <w:rsid w:val="00FE7184"/>
    <w:rsid w:val="00FE798A"/>
    <w:rsid w:val="00FE7AB9"/>
    <w:rsid w:val="00FE7AE3"/>
    <w:rsid w:val="00FE7D43"/>
    <w:rsid w:val="00FF02ED"/>
    <w:rsid w:val="00FF041C"/>
    <w:rsid w:val="00FF0449"/>
    <w:rsid w:val="00FF049D"/>
    <w:rsid w:val="00FF07DD"/>
    <w:rsid w:val="00FF10FA"/>
    <w:rsid w:val="00FF1375"/>
    <w:rsid w:val="00FF176F"/>
    <w:rsid w:val="00FF1783"/>
    <w:rsid w:val="00FF1CC5"/>
    <w:rsid w:val="00FF1E76"/>
    <w:rsid w:val="00FF2859"/>
    <w:rsid w:val="00FF2EBA"/>
    <w:rsid w:val="00FF3731"/>
    <w:rsid w:val="00FF3943"/>
    <w:rsid w:val="00FF3FF4"/>
    <w:rsid w:val="00FF42CD"/>
    <w:rsid w:val="00FF4429"/>
    <w:rsid w:val="00FF4445"/>
    <w:rsid w:val="00FF4495"/>
    <w:rsid w:val="00FF45B6"/>
    <w:rsid w:val="00FF4C11"/>
    <w:rsid w:val="00FF4D21"/>
    <w:rsid w:val="00FF521E"/>
    <w:rsid w:val="00FF6135"/>
    <w:rsid w:val="00FF63B3"/>
    <w:rsid w:val="00FF6464"/>
    <w:rsid w:val="00FF675F"/>
    <w:rsid w:val="00FF6A42"/>
    <w:rsid w:val="00FF6CB4"/>
    <w:rsid w:val="00FF7136"/>
    <w:rsid w:val="00FF735D"/>
    <w:rsid w:val="00FF7B85"/>
    <w:rsid w:val="2533E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90CF28"/>
  <w15:docId w15:val="{DE219CA6-4950-429A-B4E7-1977575A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51"/>
    <w:rPr>
      <w:rFonts w:ascii="Arial" w:eastAsiaTheme="minorEastAsia" w:hAnsi="Arial"/>
      <w:szCs w:val="24"/>
      <w:lang w:eastAsia="ja-JP"/>
    </w:rPr>
  </w:style>
  <w:style w:type="paragraph" w:styleId="Heading1">
    <w:name w:val="heading 1"/>
    <w:basedOn w:val="Normal"/>
    <w:next w:val="Normal"/>
    <w:link w:val="Heading1Char"/>
    <w:uiPriority w:val="9"/>
    <w:qFormat/>
    <w:rsid w:val="005103D6"/>
    <w:pPr>
      <w:numPr>
        <w:numId w:val="10"/>
      </w:numPr>
      <w:spacing w:before="600" w:after="300"/>
      <w:ind w:left="0" w:firstLine="0"/>
      <w:outlineLvl w:val="0"/>
    </w:pPr>
    <w:rPr>
      <w:b/>
      <w:color w:val="6B2976" w:themeColor="background2"/>
      <w:sz w:val="36"/>
      <w:szCs w:val="36"/>
    </w:rPr>
  </w:style>
  <w:style w:type="paragraph" w:styleId="Heading2">
    <w:name w:val="heading 2"/>
    <w:basedOn w:val="Heading3"/>
    <w:next w:val="Normal"/>
    <w:link w:val="Heading2Char"/>
    <w:uiPriority w:val="9"/>
    <w:unhideWhenUsed/>
    <w:qFormat/>
    <w:rsid w:val="004E6B4B"/>
    <w:pPr>
      <w:numPr>
        <w:ilvl w:val="1"/>
        <w:numId w:val="10"/>
      </w:numPr>
      <w:outlineLvl w:val="1"/>
    </w:pPr>
    <w:rPr>
      <w:color w:val="auto"/>
    </w:rPr>
  </w:style>
  <w:style w:type="paragraph" w:styleId="Heading3">
    <w:name w:val="heading 3"/>
    <w:basedOn w:val="Normal"/>
    <w:next w:val="Normal"/>
    <w:link w:val="Heading3Char"/>
    <w:uiPriority w:val="9"/>
    <w:unhideWhenUsed/>
    <w:qFormat/>
    <w:rsid w:val="004E6B4B"/>
    <w:pPr>
      <w:keepNext/>
      <w:spacing w:before="200"/>
      <w:outlineLvl w:val="2"/>
    </w:pPr>
    <w:rPr>
      <w:b/>
      <w:color w:val="6B2976" w:themeColor="text1"/>
      <w:szCs w:val="22"/>
    </w:rPr>
  </w:style>
  <w:style w:type="paragraph" w:styleId="Heading4">
    <w:name w:val="heading 4"/>
    <w:basedOn w:val="Normal"/>
    <w:next w:val="Normal"/>
    <w:link w:val="Heading4Char"/>
    <w:uiPriority w:val="9"/>
    <w:unhideWhenUsed/>
    <w:rsid w:val="00182763"/>
    <w:pPr>
      <w:keepNext/>
      <w:numPr>
        <w:ilvl w:val="3"/>
        <w:numId w:val="10"/>
      </w:numPr>
      <w:spacing w:before="300"/>
      <w:outlineLvl w:val="3"/>
    </w:pPr>
    <w:rPr>
      <w:b/>
      <w:color w:val="6B2976" w:themeColor="background2"/>
      <w:sz w:val="28"/>
      <w:szCs w:val="28"/>
    </w:rPr>
  </w:style>
  <w:style w:type="paragraph" w:styleId="Heading5">
    <w:name w:val="heading 5"/>
    <w:basedOn w:val="Normal"/>
    <w:next w:val="Normal"/>
    <w:link w:val="Heading5Char"/>
    <w:uiPriority w:val="9"/>
    <w:unhideWhenUsed/>
    <w:rsid w:val="00EC4364"/>
    <w:pPr>
      <w:numPr>
        <w:ilvl w:val="4"/>
        <w:numId w:val="10"/>
      </w:numPr>
      <w:spacing w:before="400"/>
      <w:outlineLvl w:val="4"/>
    </w:pPr>
    <w:rPr>
      <w:b/>
    </w:rPr>
  </w:style>
  <w:style w:type="paragraph" w:styleId="Heading6">
    <w:name w:val="heading 6"/>
    <w:basedOn w:val="Normal"/>
    <w:next w:val="Normal"/>
    <w:link w:val="Heading6Char"/>
    <w:uiPriority w:val="9"/>
    <w:unhideWhenUsed/>
    <w:rsid w:val="004B54CA"/>
    <w:pPr>
      <w:numPr>
        <w:ilvl w:val="5"/>
        <w:numId w:val="10"/>
      </w:num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rsid w:val="004B54CA"/>
    <w:pPr>
      <w:numPr>
        <w:ilvl w:val="6"/>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10"/>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10"/>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3D6"/>
    <w:rPr>
      <w:rFonts w:ascii="Arial" w:eastAsiaTheme="minorEastAsia" w:hAnsi="Arial"/>
      <w:b/>
      <w:color w:val="6B2976" w:themeColor="background2"/>
      <w:sz w:val="36"/>
      <w:szCs w:val="36"/>
      <w:lang w:eastAsia="ja-JP"/>
    </w:rPr>
  </w:style>
  <w:style w:type="character" w:customStyle="1" w:styleId="Heading2Char">
    <w:name w:val="Heading 2 Char"/>
    <w:basedOn w:val="DefaultParagraphFont"/>
    <w:link w:val="Heading2"/>
    <w:uiPriority w:val="9"/>
    <w:rsid w:val="004E6B4B"/>
    <w:rPr>
      <w:rFonts w:ascii="Arial" w:eastAsiaTheme="minorEastAsia" w:hAnsi="Arial"/>
      <w:b/>
      <w:lang w:eastAsia="ja-JP"/>
    </w:rPr>
  </w:style>
  <w:style w:type="character" w:customStyle="1" w:styleId="Heading3Char">
    <w:name w:val="Heading 3 Char"/>
    <w:basedOn w:val="DefaultParagraphFont"/>
    <w:link w:val="Heading3"/>
    <w:uiPriority w:val="9"/>
    <w:rsid w:val="004E6B4B"/>
    <w:rPr>
      <w:rFonts w:ascii="Arial" w:eastAsiaTheme="minorEastAsia" w:hAnsi="Arial"/>
      <w:b/>
      <w:color w:val="6B2976" w:themeColor="text1"/>
      <w:lang w:eastAsia="ja-JP"/>
    </w:rPr>
  </w:style>
  <w:style w:type="character" w:customStyle="1" w:styleId="Heading4Char">
    <w:name w:val="Heading 4 Char"/>
    <w:basedOn w:val="DefaultParagraphFont"/>
    <w:link w:val="Heading4"/>
    <w:uiPriority w:val="9"/>
    <w:rsid w:val="00182763"/>
    <w:rPr>
      <w:rFonts w:ascii="Arial" w:eastAsiaTheme="minorEastAsia" w:hAnsi="Arial"/>
      <w:b/>
      <w:color w:val="6B2976" w:themeColor="background2"/>
      <w:sz w:val="28"/>
      <w:szCs w:val="28"/>
      <w:lang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57CD1" w:themeColor="text1" w:themeTint="80"/>
      <w:szCs w:val="24"/>
      <w:lang w:eastAsia="ja-JP"/>
    </w:rPr>
  </w:style>
  <w:style w:type="character" w:customStyle="1" w:styleId="Heading7Char">
    <w:name w:val="Heading 7 Char"/>
    <w:basedOn w:val="DefaultParagraphFont"/>
    <w:link w:val="Heading7"/>
    <w:uiPriority w:val="9"/>
    <w:rsid w:val="004B54CA"/>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lang w:eastAsia="ja-JP"/>
    </w:rPr>
  </w:style>
  <w:style w:type="paragraph" w:styleId="ListParagraph">
    <w:name w:val="List Paragraph"/>
    <w:aliases w:val="First level bullet point,List Paragraph1,List Paragraph11,Bullet point,L,Recommendation,Figure_name,Bullet- First level,Listenabsatz1,#List Paragraph,NFP GP Bulleted List,List Paragraph2,Bullet Point,Bullet points,Content descriptions,列出段"/>
    <w:basedOn w:val="Normal"/>
    <w:link w:val="ListParagraphChar"/>
    <w:uiPriority w:val="34"/>
    <w:qFormat/>
    <w:rsid w:val="00427897"/>
    <w:pPr>
      <w:ind w:left="284" w:hanging="284"/>
    </w:pPr>
  </w:style>
  <w:style w:type="table" w:customStyle="1" w:styleId="GUIDEQUESTION">
    <w:name w:val="GUIDE QUESTION"/>
    <w:basedOn w:val="TableNormal"/>
    <w:uiPriority w:val="99"/>
    <w:rsid w:val="00427897"/>
    <w:tblPr>
      <w:tblBorders>
        <w:top w:val="single" w:sz="4" w:space="0" w:color="auto"/>
        <w:left w:val="single" w:sz="4" w:space="0" w:color="auto"/>
        <w:bottom w:val="single" w:sz="4" w:space="0" w:color="auto"/>
        <w:right w:val="single" w:sz="4" w:space="0" w:color="auto"/>
      </w:tblBorders>
    </w:tblPr>
    <w:tcPr>
      <w:shd w:val="clear" w:color="auto" w:fill="E7F3D8" w:themeFill="text2" w:themeFillTint="33"/>
    </w:tcPr>
  </w:style>
  <w:style w:type="paragraph" w:styleId="Caption">
    <w:name w:val="caption"/>
    <w:basedOn w:val="Normal"/>
    <w:next w:val="Normal"/>
    <w:link w:val="CaptionChar"/>
    <w:uiPriority w:val="35"/>
    <w:unhideWhenUsed/>
    <w:qFormat/>
    <w:rsid w:val="007F2E84"/>
    <w:pPr>
      <w:keepNext/>
      <w:spacing w:before="300"/>
      <w:jc w:val="center"/>
    </w:pPr>
    <w:rPr>
      <w:b/>
      <w:bCs/>
      <w:caps/>
      <w:color w:val="6B2976" w:themeColor="background2"/>
      <w:sz w:val="16"/>
      <w:szCs w:val="18"/>
    </w:rPr>
  </w:style>
  <w:style w:type="character" w:customStyle="1" w:styleId="CaptionChar">
    <w:name w:val="Caption Char"/>
    <w:basedOn w:val="DefaultParagraphFont"/>
    <w:link w:val="Caption"/>
    <w:uiPriority w:val="35"/>
    <w:rsid w:val="007F2E84"/>
    <w:rPr>
      <w:rFonts w:ascii="Arial" w:eastAsiaTheme="minorEastAsia" w:hAnsi="Arial"/>
      <w:b/>
      <w:bCs/>
      <w:caps/>
      <w:color w:val="6B2976" w:themeColor="background2"/>
      <w:sz w:val="16"/>
      <w:szCs w:val="18"/>
      <w:lang w:eastAsia="ja-JP"/>
    </w:rPr>
  </w:style>
  <w:style w:type="paragraph" w:styleId="Header">
    <w:name w:val="header"/>
    <w:basedOn w:val="Normal"/>
    <w:link w:val="HeaderChar"/>
    <w:uiPriority w:val="99"/>
    <w:unhideWhenUsed/>
    <w:qFormat/>
    <w:rsid w:val="008936FB"/>
    <w:pPr>
      <w:pBdr>
        <w:bottom w:val="single" w:sz="8" w:space="1" w:color="auto"/>
      </w:pBdr>
      <w:tabs>
        <w:tab w:val="center" w:pos="4513"/>
        <w:tab w:val="right" w:pos="9026"/>
      </w:tabs>
      <w:spacing w:before="0" w:after="0" w:line="240" w:lineRule="auto"/>
    </w:pPr>
    <w:rPr>
      <w:color w:val="6B2976" w:themeColor="background2"/>
    </w:rPr>
  </w:style>
  <w:style w:type="character" w:customStyle="1" w:styleId="HeaderChar">
    <w:name w:val="Header Char"/>
    <w:basedOn w:val="DefaultParagraphFont"/>
    <w:link w:val="Header"/>
    <w:uiPriority w:val="99"/>
    <w:rsid w:val="008936FB"/>
    <w:rPr>
      <w:rFonts w:ascii="Arial" w:eastAsiaTheme="minorEastAsia" w:hAnsi="Arial"/>
      <w:color w:val="6B2976" w:themeColor="background2"/>
      <w:szCs w:val="24"/>
      <w:lang w:val="en-US" w:eastAsia="ja-JP"/>
    </w:rPr>
  </w:style>
  <w:style w:type="paragraph" w:styleId="Footer">
    <w:name w:val="footer"/>
    <w:basedOn w:val="Normal"/>
    <w:link w:val="FooterChar"/>
    <w:uiPriority w:val="99"/>
    <w:unhideWhenUsed/>
    <w:rsid w:val="008936FB"/>
    <w:pPr>
      <w:pBdr>
        <w:top w:val="single" w:sz="8" w:space="12" w:color="6B2976"/>
      </w:pBdr>
      <w:tabs>
        <w:tab w:val="center" w:pos="4513"/>
        <w:tab w:val="right" w:pos="9026"/>
      </w:tabs>
      <w:spacing w:before="0" w:after="0" w:line="240" w:lineRule="auto"/>
    </w:pPr>
    <w:rPr>
      <w:color w:val="6B2976"/>
      <w:sz w:val="18"/>
    </w:rPr>
  </w:style>
  <w:style w:type="character" w:customStyle="1" w:styleId="FooterChar">
    <w:name w:val="Footer Char"/>
    <w:basedOn w:val="DefaultParagraphFont"/>
    <w:link w:val="Footer"/>
    <w:uiPriority w:val="99"/>
    <w:rsid w:val="008936FB"/>
    <w:rPr>
      <w:rFonts w:ascii="Arial" w:eastAsiaTheme="minorEastAsia" w:hAnsi="Arial"/>
      <w:color w:val="6B2976"/>
      <w:sz w:val="18"/>
      <w:szCs w:val="24"/>
      <w:lang w:val="en-US" w:eastAsia="ja-JP"/>
    </w:rPr>
  </w:style>
  <w:style w:type="character" w:styleId="Hyperlink">
    <w:name w:val="Hyperlink"/>
    <w:basedOn w:val="DefaultParagraphFont"/>
    <w:uiPriority w:val="99"/>
    <w:unhideWhenUsed/>
    <w:rsid w:val="0040062A"/>
    <w:rPr>
      <w:color w:val="0432FF" w:themeColor="hyperlink"/>
      <w:u w:val="single"/>
    </w:rPr>
  </w:style>
  <w:style w:type="paragraph" w:styleId="Revision">
    <w:name w:val="Revision"/>
    <w:hidden/>
    <w:uiPriority w:val="99"/>
    <w:semiHidden/>
    <w:rsid w:val="00CC3262"/>
    <w:pPr>
      <w:spacing w:after="0" w:line="240" w:lineRule="auto"/>
    </w:pPr>
    <w:rPr>
      <w:rFonts w:ascii="Arial" w:eastAsiaTheme="minorEastAsia" w:hAnsi="Arial"/>
      <w:szCs w:val="24"/>
      <w:lang w:val="en-US" w:eastAsia="ja-JP"/>
    </w:rPr>
  </w:style>
  <w:style w:type="paragraph" w:styleId="FootnoteText">
    <w:name w:val="footnote text"/>
    <w:basedOn w:val="Normal"/>
    <w:link w:val="FootnoteTextChar"/>
    <w:uiPriority w:val="99"/>
    <w:unhideWhenUsed/>
    <w:rsid w:val="005047C9"/>
    <w:pPr>
      <w:spacing w:after="0" w:line="240" w:lineRule="auto"/>
      <w:ind w:left="425" w:hanging="425"/>
    </w:pPr>
    <w:rPr>
      <w:sz w:val="20"/>
      <w:szCs w:val="20"/>
    </w:rPr>
  </w:style>
  <w:style w:type="character" w:customStyle="1" w:styleId="FootnoteTextChar">
    <w:name w:val="Footnote Text Char"/>
    <w:basedOn w:val="DefaultParagraphFont"/>
    <w:link w:val="FootnoteText"/>
    <w:uiPriority w:val="99"/>
    <w:rsid w:val="005047C9"/>
    <w:rPr>
      <w:rFonts w:ascii="Arial" w:eastAsiaTheme="minorEastAsia" w:hAnsi="Arial"/>
      <w:sz w:val="20"/>
      <w:szCs w:val="20"/>
      <w:lang w:val="en-US" w:eastAsia="ja-JP"/>
    </w:rPr>
  </w:style>
  <w:style w:type="character" w:styleId="FootnoteReference">
    <w:name w:val="footnote reference"/>
    <w:basedOn w:val="DefaultParagraphFont"/>
    <w:uiPriority w:val="99"/>
    <w:unhideWhenUsed/>
    <w:rsid w:val="00D31AD3"/>
    <w:rPr>
      <w:vertAlign w:val="superscript"/>
    </w:rPr>
  </w:style>
  <w:style w:type="paragraph" w:customStyle="1" w:styleId="Footnotes">
    <w:name w:val="Footnotes"/>
    <w:basedOn w:val="Normal"/>
    <w:link w:val="FootnotesChar"/>
    <w:qFormat/>
    <w:rsid w:val="00206483"/>
    <w:pPr>
      <w:keepLines/>
      <w:spacing w:before="60" w:after="60" w:line="240" w:lineRule="atLeast"/>
      <w:ind w:left="284" w:hanging="284"/>
    </w:pPr>
    <w:rPr>
      <w:rFonts w:eastAsia="MS Mincho" w:cs="FSMe-Bold"/>
      <w:spacing w:val="-2"/>
      <w:sz w:val="18"/>
      <w:szCs w:val="16"/>
      <w:lang w:eastAsia="en-US"/>
    </w:rPr>
  </w:style>
  <w:style w:type="character" w:customStyle="1" w:styleId="FootnotesChar">
    <w:name w:val="Footnotes Char"/>
    <w:basedOn w:val="DefaultParagraphFont"/>
    <w:link w:val="Footnotes"/>
    <w:rsid w:val="00206483"/>
    <w:rPr>
      <w:rFonts w:ascii="Arial" w:eastAsia="MS Mincho" w:hAnsi="Arial" w:cs="FSMe-Bold"/>
      <w:spacing w:val="-2"/>
      <w:sz w:val="18"/>
      <w:szCs w:val="16"/>
    </w:rPr>
  </w:style>
  <w:style w:type="paragraph" w:styleId="TOAHeading">
    <w:name w:val="toa heading"/>
    <w:basedOn w:val="Normal"/>
    <w:next w:val="Normal"/>
    <w:uiPriority w:val="99"/>
    <w:unhideWhenUsed/>
    <w:rsid w:val="007667AF"/>
    <w:pPr>
      <w:spacing w:before="120" w:after="160" w:line="320" w:lineRule="atLeast"/>
    </w:pPr>
    <w:rPr>
      <w:rFonts w:asciiTheme="majorHAnsi" w:eastAsiaTheme="majorEastAsia" w:hAnsiTheme="majorHAnsi" w:cstheme="majorBidi"/>
      <w:b/>
      <w:bCs/>
      <w:lang w:eastAsia="en-US"/>
    </w:rPr>
  </w:style>
  <w:style w:type="table" w:styleId="TableGrid">
    <w:name w:val="Table Grid"/>
    <w:basedOn w:val="TableNormal"/>
    <w:uiPriority w:val="59"/>
    <w:rsid w:val="00FA66D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721A0E"/>
    <w:pPr>
      <w:tabs>
        <w:tab w:val="right" w:leader="dot" w:pos="9060"/>
      </w:tabs>
      <w:ind w:left="567" w:hanging="567"/>
    </w:pPr>
    <w:rPr>
      <w:noProof/>
    </w:rPr>
  </w:style>
  <w:style w:type="paragraph" w:styleId="TOC3">
    <w:name w:val="toc 3"/>
    <w:basedOn w:val="Normal"/>
    <w:next w:val="Normal"/>
    <w:autoRedefine/>
    <w:uiPriority w:val="39"/>
    <w:unhideWhenUsed/>
    <w:qFormat/>
    <w:rsid w:val="00721A0E"/>
    <w:pPr>
      <w:tabs>
        <w:tab w:val="right" w:leader="dot" w:pos="9060"/>
      </w:tabs>
      <w:ind w:left="1134" w:hanging="567"/>
    </w:pPr>
  </w:style>
  <w:style w:type="paragraph" w:styleId="TOC1">
    <w:name w:val="toc 1"/>
    <w:basedOn w:val="Normal"/>
    <w:next w:val="Normal"/>
    <w:autoRedefine/>
    <w:uiPriority w:val="39"/>
    <w:unhideWhenUsed/>
    <w:qFormat/>
    <w:rsid w:val="005B6B44"/>
    <w:pPr>
      <w:keepNext/>
      <w:tabs>
        <w:tab w:val="right" w:leader="dot" w:pos="9060"/>
      </w:tabs>
      <w:spacing w:before="200"/>
      <w:ind w:left="567" w:hanging="567"/>
    </w:pPr>
    <w:rPr>
      <w:b/>
      <w:noProof/>
    </w:rPr>
  </w:style>
  <w:style w:type="paragraph" w:styleId="NoSpacing">
    <w:name w:val="No Spacing"/>
    <w:link w:val="NoSpacingChar"/>
    <w:uiPriority w:val="1"/>
    <w:unhideWhenUsed/>
    <w:qFormat/>
    <w:rsid w:val="00DE55E6"/>
    <w:pPr>
      <w:spacing w:before="160" w:after="0" w:line="240" w:lineRule="auto"/>
    </w:pPr>
    <w:rPr>
      <w:rFonts w:ascii="Times New Roman" w:eastAsia="Times New Roman" w:hAnsi="Times New Roman" w:cs="Times New Roman"/>
      <w:sz w:val="26"/>
      <w:szCs w:val="20"/>
      <w:lang w:val="en-US"/>
    </w:rPr>
  </w:style>
  <w:style w:type="character" w:customStyle="1" w:styleId="NoSpacingChar">
    <w:name w:val="No Spacing Char"/>
    <w:basedOn w:val="DefaultParagraphFont"/>
    <w:link w:val="NoSpacing"/>
    <w:uiPriority w:val="1"/>
    <w:rsid w:val="00DE55E6"/>
    <w:rPr>
      <w:rFonts w:ascii="Times New Roman" w:eastAsia="Times New Roman" w:hAnsi="Times New Roman" w:cs="Times New Roman"/>
      <w:sz w:val="26"/>
      <w:szCs w:val="20"/>
      <w:lang w:val="en-US"/>
    </w:rPr>
  </w:style>
  <w:style w:type="table" w:styleId="ListTable4-Accent2">
    <w:name w:val="List Table 4 Accent 2"/>
    <w:basedOn w:val="TableNormal"/>
    <w:uiPriority w:val="49"/>
    <w:rsid w:val="00DE55E6"/>
    <w:pPr>
      <w:spacing w:after="0" w:line="240" w:lineRule="auto"/>
    </w:pPr>
    <w:tblPr>
      <w:tblStyleRowBandSize w:val="1"/>
      <w:tblStyleColBandSize w:val="1"/>
      <w:tblBorders>
        <w:top w:val="single" w:sz="4" w:space="0" w:color="B8DC8C" w:themeColor="accent2" w:themeTint="99"/>
        <w:left w:val="single" w:sz="4" w:space="0" w:color="B8DC8C" w:themeColor="accent2" w:themeTint="99"/>
        <w:bottom w:val="single" w:sz="4" w:space="0" w:color="B8DC8C" w:themeColor="accent2" w:themeTint="99"/>
        <w:right w:val="single" w:sz="4" w:space="0" w:color="B8DC8C" w:themeColor="accent2" w:themeTint="99"/>
        <w:insideH w:val="single" w:sz="4" w:space="0" w:color="B8DC8C" w:themeColor="accent2" w:themeTint="99"/>
      </w:tblBorders>
    </w:tblPr>
    <w:tblStylePr w:type="firstRow">
      <w:rPr>
        <w:b/>
        <w:bCs/>
        <w:color w:val="FEFFFF" w:themeColor="background1"/>
      </w:rPr>
      <w:tblPr/>
      <w:tcPr>
        <w:tcBorders>
          <w:top w:val="single" w:sz="4" w:space="0" w:color="8AC640" w:themeColor="accent2"/>
          <w:left w:val="single" w:sz="4" w:space="0" w:color="8AC640" w:themeColor="accent2"/>
          <w:bottom w:val="single" w:sz="4" w:space="0" w:color="8AC640" w:themeColor="accent2"/>
          <w:right w:val="single" w:sz="4" w:space="0" w:color="8AC640" w:themeColor="accent2"/>
          <w:insideH w:val="nil"/>
        </w:tcBorders>
        <w:shd w:val="clear" w:color="auto" w:fill="8AC640" w:themeFill="accent2"/>
      </w:tcPr>
    </w:tblStylePr>
    <w:tblStylePr w:type="lastRow">
      <w:rPr>
        <w:b/>
        <w:bCs/>
      </w:rPr>
      <w:tblPr/>
      <w:tcPr>
        <w:tcBorders>
          <w:top w:val="double" w:sz="4" w:space="0" w:color="B8DC8C" w:themeColor="accent2" w:themeTint="99"/>
        </w:tcBorders>
      </w:tcPr>
    </w:tblStylePr>
    <w:tblStylePr w:type="firstCol">
      <w:rPr>
        <w:b/>
        <w:bCs/>
      </w:rPr>
    </w:tblStylePr>
    <w:tblStylePr w:type="lastCol">
      <w:rPr>
        <w:b/>
        <w:bCs/>
      </w:rPr>
    </w:tblStylePr>
    <w:tblStylePr w:type="band1Vert">
      <w:tblPr/>
      <w:tcPr>
        <w:shd w:val="clear" w:color="auto" w:fill="E7F3D8" w:themeFill="accent2" w:themeFillTint="33"/>
      </w:tcPr>
    </w:tblStylePr>
    <w:tblStylePr w:type="band1Horz">
      <w:tblPr/>
      <w:tcPr>
        <w:shd w:val="clear" w:color="auto" w:fill="E7F3D8" w:themeFill="accent2" w:themeFillTint="33"/>
      </w:tcPr>
    </w:tblStylePr>
  </w:style>
  <w:style w:type="table" w:styleId="ListTable2-Accent2">
    <w:name w:val="List Table 2 Accent 2"/>
    <w:basedOn w:val="TableNormal"/>
    <w:uiPriority w:val="47"/>
    <w:rsid w:val="00267493"/>
    <w:pPr>
      <w:spacing w:after="0" w:line="240" w:lineRule="auto"/>
    </w:pPr>
    <w:tblPr>
      <w:tblStyleRowBandSize w:val="1"/>
      <w:tblStyleColBandSize w:val="1"/>
      <w:tblBorders>
        <w:top w:val="single" w:sz="4" w:space="0" w:color="B8DC8C" w:themeColor="accent2" w:themeTint="99"/>
        <w:bottom w:val="single" w:sz="4" w:space="0" w:color="B8DC8C" w:themeColor="accent2" w:themeTint="99"/>
        <w:insideH w:val="single" w:sz="4" w:space="0" w:color="B8DC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3D8" w:themeFill="accent2" w:themeFillTint="33"/>
      </w:tcPr>
    </w:tblStylePr>
    <w:tblStylePr w:type="band1Horz">
      <w:tblPr/>
      <w:tcPr>
        <w:shd w:val="clear" w:color="auto" w:fill="E7F3D8" w:themeFill="accent2" w:themeFillTint="33"/>
      </w:tcPr>
    </w:tblStylePr>
  </w:style>
  <w:style w:type="table" w:styleId="ListTable4-Accent1">
    <w:name w:val="List Table 4 Accent 1"/>
    <w:basedOn w:val="TableNormal"/>
    <w:uiPriority w:val="49"/>
    <w:rsid w:val="00D935A3"/>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tcBorders>
        <w:shd w:val="clear" w:color="auto" w:fill="6B2976" w:themeFill="accent1"/>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character" w:styleId="FollowedHyperlink">
    <w:name w:val="FollowedHyperlink"/>
    <w:basedOn w:val="DefaultParagraphFont"/>
    <w:uiPriority w:val="99"/>
    <w:semiHidden/>
    <w:unhideWhenUsed/>
    <w:rsid w:val="00754F95"/>
    <w:rPr>
      <w:color w:val="929292" w:themeColor="followedHyperlink"/>
      <w:u w:val="single"/>
    </w:rPr>
  </w:style>
  <w:style w:type="table" w:styleId="GridTable4-Accent1">
    <w:name w:val="Grid Table 4 Accent 1"/>
    <w:basedOn w:val="TableNormal"/>
    <w:uiPriority w:val="49"/>
    <w:rsid w:val="006B14EB"/>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character" w:customStyle="1" w:styleId="ListParagraphChar">
    <w:name w:val="List Paragraph Char"/>
    <w:aliases w:val="First level bullet point Char,List Paragraph1 Char,List Paragraph11 Char,Bullet point Char,L Char,Recommendation Char,Figure_name Char,Bullet- First level Char,Listenabsatz1 Char,#List Paragraph Char,NFP GP Bulleted List Char"/>
    <w:basedOn w:val="DefaultParagraphFont"/>
    <w:link w:val="ListParagraph"/>
    <w:uiPriority w:val="34"/>
    <w:qFormat/>
    <w:rsid w:val="00E466EA"/>
    <w:rPr>
      <w:rFonts w:ascii="Arial" w:eastAsiaTheme="minorEastAsia" w:hAnsi="Arial"/>
      <w:szCs w:val="24"/>
      <w:lang w:eastAsia="ja-JP"/>
    </w:rPr>
  </w:style>
  <w:style w:type="paragraph" w:styleId="BalloonText">
    <w:name w:val="Balloon Text"/>
    <w:basedOn w:val="Normal"/>
    <w:link w:val="BalloonTextChar"/>
    <w:uiPriority w:val="99"/>
    <w:semiHidden/>
    <w:unhideWhenUsed/>
    <w:rsid w:val="004F15D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DD"/>
    <w:rPr>
      <w:rFonts w:ascii="Segoe UI" w:eastAsiaTheme="minorEastAsia" w:hAnsi="Segoe UI" w:cs="Segoe UI"/>
      <w:sz w:val="18"/>
      <w:szCs w:val="18"/>
      <w:lang w:eastAsia="ja-JP"/>
    </w:rPr>
  </w:style>
  <w:style w:type="table" w:styleId="GridTable4">
    <w:name w:val="Grid Table 4"/>
    <w:basedOn w:val="TableNormal"/>
    <w:uiPriority w:val="49"/>
    <w:rsid w:val="00E147EC"/>
    <w:pPr>
      <w:spacing w:after="0" w:line="240" w:lineRule="auto"/>
    </w:pPr>
    <w:tblPr>
      <w:tblStyleRowBandSize w:val="1"/>
      <w:tblStyleColBandSize w:val="1"/>
      <w:tblBorders>
        <w:top w:val="single" w:sz="4" w:space="0" w:color="B962C8" w:themeColor="text1" w:themeTint="99"/>
        <w:left w:val="single" w:sz="4" w:space="0" w:color="B962C8" w:themeColor="text1" w:themeTint="99"/>
        <w:bottom w:val="single" w:sz="4" w:space="0" w:color="B962C8" w:themeColor="text1" w:themeTint="99"/>
        <w:right w:val="single" w:sz="4" w:space="0" w:color="B962C8" w:themeColor="text1" w:themeTint="99"/>
        <w:insideH w:val="single" w:sz="4" w:space="0" w:color="B962C8" w:themeColor="text1" w:themeTint="99"/>
        <w:insideV w:val="single" w:sz="4" w:space="0" w:color="B962C8" w:themeColor="text1" w:themeTint="99"/>
      </w:tblBorders>
    </w:tblPr>
    <w:tblStylePr w:type="firstRow">
      <w:rPr>
        <w:b/>
        <w:bCs/>
        <w:color w:val="FEFFFF" w:themeColor="background1"/>
      </w:rPr>
      <w:tblPr/>
      <w:tcPr>
        <w:tcBorders>
          <w:top w:val="single" w:sz="4" w:space="0" w:color="6B2976" w:themeColor="text1"/>
          <w:left w:val="single" w:sz="4" w:space="0" w:color="6B2976" w:themeColor="text1"/>
          <w:bottom w:val="single" w:sz="4" w:space="0" w:color="6B2976" w:themeColor="text1"/>
          <w:right w:val="single" w:sz="4" w:space="0" w:color="6B2976" w:themeColor="text1"/>
          <w:insideH w:val="nil"/>
          <w:insideV w:val="nil"/>
        </w:tcBorders>
        <w:shd w:val="clear" w:color="auto" w:fill="6B2976" w:themeFill="text1"/>
      </w:tcPr>
    </w:tblStylePr>
    <w:tblStylePr w:type="lastRow">
      <w:rPr>
        <w:b/>
        <w:bCs/>
      </w:rPr>
      <w:tblPr/>
      <w:tcPr>
        <w:tcBorders>
          <w:top w:val="double" w:sz="4" w:space="0" w:color="6B2976" w:themeColor="text1"/>
        </w:tcBorders>
      </w:tc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customStyle="1" w:styleId="QUESTION">
    <w:name w:val="QUESTION"/>
    <w:basedOn w:val="Normal"/>
    <w:link w:val="QUESTIONChar"/>
    <w:qFormat/>
    <w:rsid w:val="001D6AD3"/>
    <w:pPr>
      <w:numPr>
        <w:numId w:val="11"/>
      </w:numPr>
      <w:tabs>
        <w:tab w:val="left" w:pos="851"/>
      </w:tabs>
      <w:ind w:left="851" w:right="284" w:hanging="567"/>
    </w:pPr>
  </w:style>
  <w:style w:type="paragraph" w:styleId="TableofFigures">
    <w:name w:val="table of figures"/>
    <w:basedOn w:val="Normal"/>
    <w:next w:val="Normal"/>
    <w:uiPriority w:val="99"/>
    <w:unhideWhenUsed/>
    <w:rsid w:val="00480AA3"/>
    <w:pPr>
      <w:spacing w:after="0"/>
    </w:pPr>
  </w:style>
  <w:style w:type="character" w:customStyle="1" w:styleId="QUESTIONChar">
    <w:name w:val="QUESTION Char"/>
    <w:basedOn w:val="ListParagraphChar"/>
    <w:link w:val="QUESTION"/>
    <w:rsid w:val="001D6AD3"/>
    <w:rPr>
      <w:rFonts w:ascii="Arial" w:eastAsiaTheme="minorEastAsia" w:hAnsi="Arial"/>
      <w:szCs w:val="24"/>
      <w:lang w:eastAsia="ja-JP"/>
    </w:rPr>
  </w:style>
  <w:style w:type="character" w:styleId="PlaceholderText">
    <w:name w:val="Placeholder Text"/>
    <w:basedOn w:val="DefaultParagraphFont"/>
    <w:uiPriority w:val="99"/>
    <w:semiHidden/>
    <w:rsid w:val="00CA472D"/>
    <w:rPr>
      <w:color w:val="808080"/>
    </w:rPr>
  </w:style>
  <w:style w:type="character" w:styleId="CommentReference">
    <w:name w:val="annotation reference"/>
    <w:basedOn w:val="DefaultParagraphFont"/>
    <w:uiPriority w:val="99"/>
    <w:semiHidden/>
    <w:unhideWhenUsed/>
    <w:rsid w:val="00FD3455"/>
    <w:rPr>
      <w:sz w:val="16"/>
      <w:szCs w:val="16"/>
    </w:rPr>
  </w:style>
  <w:style w:type="paragraph" w:styleId="CommentText">
    <w:name w:val="annotation text"/>
    <w:basedOn w:val="Normal"/>
    <w:link w:val="CommentTextChar"/>
    <w:uiPriority w:val="99"/>
    <w:semiHidden/>
    <w:unhideWhenUsed/>
    <w:rsid w:val="00FD3455"/>
    <w:pPr>
      <w:spacing w:line="240" w:lineRule="auto"/>
    </w:pPr>
    <w:rPr>
      <w:sz w:val="20"/>
      <w:szCs w:val="20"/>
    </w:rPr>
  </w:style>
  <w:style w:type="character" w:customStyle="1" w:styleId="CommentTextChar">
    <w:name w:val="Comment Text Char"/>
    <w:basedOn w:val="DefaultParagraphFont"/>
    <w:link w:val="CommentText"/>
    <w:uiPriority w:val="99"/>
    <w:semiHidden/>
    <w:rsid w:val="00FD3455"/>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FD3455"/>
    <w:rPr>
      <w:b/>
      <w:bCs/>
    </w:rPr>
  </w:style>
  <w:style w:type="character" w:customStyle="1" w:styleId="CommentSubjectChar">
    <w:name w:val="Comment Subject Char"/>
    <w:basedOn w:val="CommentTextChar"/>
    <w:link w:val="CommentSubject"/>
    <w:uiPriority w:val="99"/>
    <w:semiHidden/>
    <w:rsid w:val="00FD3455"/>
    <w:rPr>
      <w:rFonts w:ascii="Arial" w:eastAsiaTheme="minorEastAsia" w:hAnsi="Arial"/>
      <w:b/>
      <w:bCs/>
      <w:sz w:val="20"/>
      <w:szCs w:val="20"/>
      <w:lang w:eastAsia="ja-JP"/>
    </w:rPr>
  </w:style>
  <w:style w:type="paragraph" w:styleId="NormalWeb">
    <w:name w:val="Normal (Web)"/>
    <w:basedOn w:val="Normal"/>
    <w:uiPriority w:val="99"/>
    <w:semiHidden/>
    <w:unhideWhenUsed/>
    <w:rsid w:val="000B3214"/>
    <w:pPr>
      <w:spacing w:beforeAutospacing="1" w:afterAutospacing="1" w:line="240" w:lineRule="auto"/>
    </w:pPr>
    <w:rPr>
      <w:rFonts w:ascii="Times New Roman" w:eastAsia="Times New Roman" w:hAnsi="Times New Roman" w:cs="Times New Roman"/>
      <w:sz w:val="24"/>
      <w:lang w:eastAsia="en-AU"/>
    </w:rPr>
  </w:style>
  <w:style w:type="paragraph" w:customStyle="1" w:styleId="Labels">
    <w:name w:val="Labels"/>
    <w:basedOn w:val="Caption"/>
    <w:link w:val="LabelsChar"/>
    <w:qFormat/>
    <w:rsid w:val="002F21A5"/>
    <w:rPr>
      <w:lang w:val="en-US"/>
    </w:rPr>
  </w:style>
  <w:style w:type="character" w:customStyle="1" w:styleId="LabelsChar">
    <w:name w:val="Labels Char"/>
    <w:basedOn w:val="CaptionChar"/>
    <w:link w:val="Labels"/>
    <w:rsid w:val="002F21A5"/>
    <w:rPr>
      <w:rFonts w:ascii="Arial" w:eastAsiaTheme="minorEastAsia" w:hAnsi="Arial"/>
      <w:b/>
      <w:bCs/>
      <w:caps/>
      <w:color w:val="6B2976" w:themeColor="background2"/>
      <w:sz w:val="16"/>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14">
      <w:bodyDiv w:val="1"/>
      <w:marLeft w:val="0"/>
      <w:marRight w:val="0"/>
      <w:marTop w:val="0"/>
      <w:marBottom w:val="0"/>
      <w:divBdr>
        <w:top w:val="none" w:sz="0" w:space="0" w:color="auto"/>
        <w:left w:val="none" w:sz="0" w:space="0" w:color="auto"/>
        <w:bottom w:val="none" w:sz="0" w:space="0" w:color="auto"/>
        <w:right w:val="none" w:sz="0" w:space="0" w:color="auto"/>
      </w:divBdr>
    </w:div>
    <w:div w:id="36054765">
      <w:bodyDiv w:val="1"/>
      <w:marLeft w:val="0"/>
      <w:marRight w:val="0"/>
      <w:marTop w:val="0"/>
      <w:marBottom w:val="0"/>
      <w:divBdr>
        <w:top w:val="none" w:sz="0" w:space="0" w:color="auto"/>
        <w:left w:val="none" w:sz="0" w:space="0" w:color="auto"/>
        <w:bottom w:val="none" w:sz="0" w:space="0" w:color="auto"/>
        <w:right w:val="none" w:sz="0" w:space="0" w:color="auto"/>
      </w:divBdr>
    </w:div>
    <w:div w:id="80806747">
      <w:bodyDiv w:val="1"/>
      <w:marLeft w:val="0"/>
      <w:marRight w:val="0"/>
      <w:marTop w:val="0"/>
      <w:marBottom w:val="0"/>
      <w:divBdr>
        <w:top w:val="none" w:sz="0" w:space="0" w:color="auto"/>
        <w:left w:val="none" w:sz="0" w:space="0" w:color="auto"/>
        <w:bottom w:val="none" w:sz="0" w:space="0" w:color="auto"/>
        <w:right w:val="none" w:sz="0" w:space="0" w:color="auto"/>
      </w:divBdr>
    </w:div>
    <w:div w:id="82337310">
      <w:bodyDiv w:val="1"/>
      <w:marLeft w:val="0"/>
      <w:marRight w:val="0"/>
      <w:marTop w:val="0"/>
      <w:marBottom w:val="0"/>
      <w:divBdr>
        <w:top w:val="none" w:sz="0" w:space="0" w:color="auto"/>
        <w:left w:val="none" w:sz="0" w:space="0" w:color="auto"/>
        <w:bottom w:val="none" w:sz="0" w:space="0" w:color="auto"/>
        <w:right w:val="none" w:sz="0" w:space="0" w:color="auto"/>
      </w:divBdr>
      <w:divsChild>
        <w:div w:id="281301502">
          <w:marLeft w:val="274"/>
          <w:marRight w:val="0"/>
          <w:marTop w:val="0"/>
          <w:marBottom w:val="60"/>
          <w:divBdr>
            <w:top w:val="none" w:sz="0" w:space="0" w:color="auto"/>
            <w:left w:val="none" w:sz="0" w:space="0" w:color="auto"/>
            <w:bottom w:val="none" w:sz="0" w:space="0" w:color="auto"/>
            <w:right w:val="none" w:sz="0" w:space="0" w:color="auto"/>
          </w:divBdr>
        </w:div>
        <w:div w:id="357705774">
          <w:marLeft w:val="274"/>
          <w:marRight w:val="0"/>
          <w:marTop w:val="0"/>
          <w:marBottom w:val="60"/>
          <w:divBdr>
            <w:top w:val="none" w:sz="0" w:space="0" w:color="auto"/>
            <w:left w:val="none" w:sz="0" w:space="0" w:color="auto"/>
            <w:bottom w:val="none" w:sz="0" w:space="0" w:color="auto"/>
            <w:right w:val="none" w:sz="0" w:space="0" w:color="auto"/>
          </w:divBdr>
        </w:div>
        <w:div w:id="475414422">
          <w:marLeft w:val="274"/>
          <w:marRight w:val="0"/>
          <w:marTop w:val="0"/>
          <w:marBottom w:val="60"/>
          <w:divBdr>
            <w:top w:val="none" w:sz="0" w:space="0" w:color="auto"/>
            <w:left w:val="none" w:sz="0" w:space="0" w:color="auto"/>
            <w:bottom w:val="none" w:sz="0" w:space="0" w:color="auto"/>
            <w:right w:val="none" w:sz="0" w:space="0" w:color="auto"/>
          </w:divBdr>
        </w:div>
        <w:div w:id="479229876">
          <w:marLeft w:val="274"/>
          <w:marRight w:val="0"/>
          <w:marTop w:val="0"/>
          <w:marBottom w:val="60"/>
          <w:divBdr>
            <w:top w:val="none" w:sz="0" w:space="0" w:color="auto"/>
            <w:left w:val="none" w:sz="0" w:space="0" w:color="auto"/>
            <w:bottom w:val="none" w:sz="0" w:space="0" w:color="auto"/>
            <w:right w:val="none" w:sz="0" w:space="0" w:color="auto"/>
          </w:divBdr>
        </w:div>
        <w:div w:id="1861309880">
          <w:marLeft w:val="274"/>
          <w:marRight w:val="0"/>
          <w:marTop w:val="0"/>
          <w:marBottom w:val="60"/>
          <w:divBdr>
            <w:top w:val="none" w:sz="0" w:space="0" w:color="auto"/>
            <w:left w:val="none" w:sz="0" w:space="0" w:color="auto"/>
            <w:bottom w:val="none" w:sz="0" w:space="0" w:color="auto"/>
            <w:right w:val="none" w:sz="0" w:space="0" w:color="auto"/>
          </w:divBdr>
        </w:div>
      </w:divsChild>
    </w:div>
    <w:div w:id="96218598">
      <w:bodyDiv w:val="1"/>
      <w:marLeft w:val="0"/>
      <w:marRight w:val="0"/>
      <w:marTop w:val="0"/>
      <w:marBottom w:val="0"/>
      <w:divBdr>
        <w:top w:val="none" w:sz="0" w:space="0" w:color="auto"/>
        <w:left w:val="none" w:sz="0" w:space="0" w:color="auto"/>
        <w:bottom w:val="none" w:sz="0" w:space="0" w:color="auto"/>
        <w:right w:val="none" w:sz="0" w:space="0" w:color="auto"/>
      </w:divBdr>
      <w:divsChild>
        <w:div w:id="31344956">
          <w:marLeft w:val="274"/>
          <w:marRight w:val="0"/>
          <w:marTop w:val="0"/>
          <w:marBottom w:val="120"/>
          <w:divBdr>
            <w:top w:val="none" w:sz="0" w:space="0" w:color="auto"/>
            <w:left w:val="none" w:sz="0" w:space="0" w:color="auto"/>
            <w:bottom w:val="none" w:sz="0" w:space="0" w:color="auto"/>
            <w:right w:val="none" w:sz="0" w:space="0" w:color="auto"/>
          </w:divBdr>
        </w:div>
        <w:div w:id="63070450">
          <w:marLeft w:val="274"/>
          <w:marRight w:val="0"/>
          <w:marTop w:val="0"/>
          <w:marBottom w:val="120"/>
          <w:divBdr>
            <w:top w:val="none" w:sz="0" w:space="0" w:color="auto"/>
            <w:left w:val="none" w:sz="0" w:space="0" w:color="auto"/>
            <w:bottom w:val="none" w:sz="0" w:space="0" w:color="auto"/>
            <w:right w:val="none" w:sz="0" w:space="0" w:color="auto"/>
          </w:divBdr>
        </w:div>
        <w:div w:id="353115129">
          <w:marLeft w:val="274"/>
          <w:marRight w:val="0"/>
          <w:marTop w:val="0"/>
          <w:marBottom w:val="120"/>
          <w:divBdr>
            <w:top w:val="none" w:sz="0" w:space="0" w:color="auto"/>
            <w:left w:val="none" w:sz="0" w:space="0" w:color="auto"/>
            <w:bottom w:val="none" w:sz="0" w:space="0" w:color="auto"/>
            <w:right w:val="none" w:sz="0" w:space="0" w:color="auto"/>
          </w:divBdr>
        </w:div>
        <w:div w:id="369838216">
          <w:marLeft w:val="274"/>
          <w:marRight w:val="0"/>
          <w:marTop w:val="0"/>
          <w:marBottom w:val="120"/>
          <w:divBdr>
            <w:top w:val="none" w:sz="0" w:space="0" w:color="auto"/>
            <w:left w:val="none" w:sz="0" w:space="0" w:color="auto"/>
            <w:bottom w:val="none" w:sz="0" w:space="0" w:color="auto"/>
            <w:right w:val="none" w:sz="0" w:space="0" w:color="auto"/>
          </w:divBdr>
        </w:div>
        <w:div w:id="465589673">
          <w:marLeft w:val="274"/>
          <w:marRight w:val="0"/>
          <w:marTop w:val="0"/>
          <w:marBottom w:val="120"/>
          <w:divBdr>
            <w:top w:val="none" w:sz="0" w:space="0" w:color="auto"/>
            <w:left w:val="none" w:sz="0" w:space="0" w:color="auto"/>
            <w:bottom w:val="none" w:sz="0" w:space="0" w:color="auto"/>
            <w:right w:val="none" w:sz="0" w:space="0" w:color="auto"/>
          </w:divBdr>
        </w:div>
        <w:div w:id="476654365">
          <w:marLeft w:val="274"/>
          <w:marRight w:val="0"/>
          <w:marTop w:val="0"/>
          <w:marBottom w:val="120"/>
          <w:divBdr>
            <w:top w:val="none" w:sz="0" w:space="0" w:color="auto"/>
            <w:left w:val="none" w:sz="0" w:space="0" w:color="auto"/>
            <w:bottom w:val="none" w:sz="0" w:space="0" w:color="auto"/>
            <w:right w:val="none" w:sz="0" w:space="0" w:color="auto"/>
          </w:divBdr>
        </w:div>
        <w:div w:id="525945202">
          <w:marLeft w:val="274"/>
          <w:marRight w:val="0"/>
          <w:marTop w:val="0"/>
          <w:marBottom w:val="120"/>
          <w:divBdr>
            <w:top w:val="none" w:sz="0" w:space="0" w:color="auto"/>
            <w:left w:val="none" w:sz="0" w:space="0" w:color="auto"/>
            <w:bottom w:val="none" w:sz="0" w:space="0" w:color="auto"/>
            <w:right w:val="none" w:sz="0" w:space="0" w:color="auto"/>
          </w:divBdr>
        </w:div>
        <w:div w:id="582181088">
          <w:marLeft w:val="274"/>
          <w:marRight w:val="0"/>
          <w:marTop w:val="0"/>
          <w:marBottom w:val="120"/>
          <w:divBdr>
            <w:top w:val="none" w:sz="0" w:space="0" w:color="auto"/>
            <w:left w:val="none" w:sz="0" w:space="0" w:color="auto"/>
            <w:bottom w:val="none" w:sz="0" w:space="0" w:color="auto"/>
            <w:right w:val="none" w:sz="0" w:space="0" w:color="auto"/>
          </w:divBdr>
        </w:div>
        <w:div w:id="628778249">
          <w:marLeft w:val="274"/>
          <w:marRight w:val="0"/>
          <w:marTop w:val="0"/>
          <w:marBottom w:val="120"/>
          <w:divBdr>
            <w:top w:val="none" w:sz="0" w:space="0" w:color="auto"/>
            <w:left w:val="none" w:sz="0" w:space="0" w:color="auto"/>
            <w:bottom w:val="none" w:sz="0" w:space="0" w:color="auto"/>
            <w:right w:val="none" w:sz="0" w:space="0" w:color="auto"/>
          </w:divBdr>
        </w:div>
        <w:div w:id="737435568">
          <w:marLeft w:val="274"/>
          <w:marRight w:val="0"/>
          <w:marTop w:val="0"/>
          <w:marBottom w:val="120"/>
          <w:divBdr>
            <w:top w:val="none" w:sz="0" w:space="0" w:color="auto"/>
            <w:left w:val="none" w:sz="0" w:space="0" w:color="auto"/>
            <w:bottom w:val="none" w:sz="0" w:space="0" w:color="auto"/>
            <w:right w:val="none" w:sz="0" w:space="0" w:color="auto"/>
          </w:divBdr>
        </w:div>
        <w:div w:id="742142718">
          <w:marLeft w:val="274"/>
          <w:marRight w:val="0"/>
          <w:marTop w:val="0"/>
          <w:marBottom w:val="120"/>
          <w:divBdr>
            <w:top w:val="none" w:sz="0" w:space="0" w:color="auto"/>
            <w:left w:val="none" w:sz="0" w:space="0" w:color="auto"/>
            <w:bottom w:val="none" w:sz="0" w:space="0" w:color="auto"/>
            <w:right w:val="none" w:sz="0" w:space="0" w:color="auto"/>
          </w:divBdr>
        </w:div>
        <w:div w:id="962807002">
          <w:marLeft w:val="274"/>
          <w:marRight w:val="0"/>
          <w:marTop w:val="0"/>
          <w:marBottom w:val="120"/>
          <w:divBdr>
            <w:top w:val="none" w:sz="0" w:space="0" w:color="auto"/>
            <w:left w:val="none" w:sz="0" w:space="0" w:color="auto"/>
            <w:bottom w:val="none" w:sz="0" w:space="0" w:color="auto"/>
            <w:right w:val="none" w:sz="0" w:space="0" w:color="auto"/>
          </w:divBdr>
        </w:div>
        <w:div w:id="1085348330">
          <w:marLeft w:val="274"/>
          <w:marRight w:val="0"/>
          <w:marTop w:val="0"/>
          <w:marBottom w:val="120"/>
          <w:divBdr>
            <w:top w:val="none" w:sz="0" w:space="0" w:color="auto"/>
            <w:left w:val="none" w:sz="0" w:space="0" w:color="auto"/>
            <w:bottom w:val="none" w:sz="0" w:space="0" w:color="auto"/>
            <w:right w:val="none" w:sz="0" w:space="0" w:color="auto"/>
          </w:divBdr>
        </w:div>
        <w:div w:id="1144930838">
          <w:marLeft w:val="274"/>
          <w:marRight w:val="0"/>
          <w:marTop w:val="0"/>
          <w:marBottom w:val="120"/>
          <w:divBdr>
            <w:top w:val="none" w:sz="0" w:space="0" w:color="auto"/>
            <w:left w:val="none" w:sz="0" w:space="0" w:color="auto"/>
            <w:bottom w:val="none" w:sz="0" w:space="0" w:color="auto"/>
            <w:right w:val="none" w:sz="0" w:space="0" w:color="auto"/>
          </w:divBdr>
        </w:div>
        <w:div w:id="1208644679">
          <w:marLeft w:val="274"/>
          <w:marRight w:val="0"/>
          <w:marTop w:val="0"/>
          <w:marBottom w:val="120"/>
          <w:divBdr>
            <w:top w:val="none" w:sz="0" w:space="0" w:color="auto"/>
            <w:left w:val="none" w:sz="0" w:space="0" w:color="auto"/>
            <w:bottom w:val="none" w:sz="0" w:space="0" w:color="auto"/>
            <w:right w:val="none" w:sz="0" w:space="0" w:color="auto"/>
          </w:divBdr>
        </w:div>
        <w:div w:id="1220363801">
          <w:marLeft w:val="274"/>
          <w:marRight w:val="0"/>
          <w:marTop w:val="0"/>
          <w:marBottom w:val="120"/>
          <w:divBdr>
            <w:top w:val="none" w:sz="0" w:space="0" w:color="auto"/>
            <w:left w:val="none" w:sz="0" w:space="0" w:color="auto"/>
            <w:bottom w:val="none" w:sz="0" w:space="0" w:color="auto"/>
            <w:right w:val="none" w:sz="0" w:space="0" w:color="auto"/>
          </w:divBdr>
        </w:div>
        <w:div w:id="1252394832">
          <w:marLeft w:val="274"/>
          <w:marRight w:val="0"/>
          <w:marTop w:val="0"/>
          <w:marBottom w:val="120"/>
          <w:divBdr>
            <w:top w:val="none" w:sz="0" w:space="0" w:color="auto"/>
            <w:left w:val="none" w:sz="0" w:space="0" w:color="auto"/>
            <w:bottom w:val="none" w:sz="0" w:space="0" w:color="auto"/>
            <w:right w:val="none" w:sz="0" w:space="0" w:color="auto"/>
          </w:divBdr>
        </w:div>
        <w:div w:id="1326208709">
          <w:marLeft w:val="274"/>
          <w:marRight w:val="0"/>
          <w:marTop w:val="0"/>
          <w:marBottom w:val="120"/>
          <w:divBdr>
            <w:top w:val="none" w:sz="0" w:space="0" w:color="auto"/>
            <w:left w:val="none" w:sz="0" w:space="0" w:color="auto"/>
            <w:bottom w:val="none" w:sz="0" w:space="0" w:color="auto"/>
            <w:right w:val="none" w:sz="0" w:space="0" w:color="auto"/>
          </w:divBdr>
        </w:div>
        <w:div w:id="1343971739">
          <w:marLeft w:val="274"/>
          <w:marRight w:val="0"/>
          <w:marTop w:val="0"/>
          <w:marBottom w:val="120"/>
          <w:divBdr>
            <w:top w:val="none" w:sz="0" w:space="0" w:color="auto"/>
            <w:left w:val="none" w:sz="0" w:space="0" w:color="auto"/>
            <w:bottom w:val="none" w:sz="0" w:space="0" w:color="auto"/>
            <w:right w:val="none" w:sz="0" w:space="0" w:color="auto"/>
          </w:divBdr>
        </w:div>
        <w:div w:id="1347055759">
          <w:marLeft w:val="274"/>
          <w:marRight w:val="0"/>
          <w:marTop w:val="0"/>
          <w:marBottom w:val="120"/>
          <w:divBdr>
            <w:top w:val="none" w:sz="0" w:space="0" w:color="auto"/>
            <w:left w:val="none" w:sz="0" w:space="0" w:color="auto"/>
            <w:bottom w:val="none" w:sz="0" w:space="0" w:color="auto"/>
            <w:right w:val="none" w:sz="0" w:space="0" w:color="auto"/>
          </w:divBdr>
        </w:div>
        <w:div w:id="1411077565">
          <w:marLeft w:val="274"/>
          <w:marRight w:val="0"/>
          <w:marTop w:val="0"/>
          <w:marBottom w:val="120"/>
          <w:divBdr>
            <w:top w:val="none" w:sz="0" w:space="0" w:color="auto"/>
            <w:left w:val="none" w:sz="0" w:space="0" w:color="auto"/>
            <w:bottom w:val="none" w:sz="0" w:space="0" w:color="auto"/>
            <w:right w:val="none" w:sz="0" w:space="0" w:color="auto"/>
          </w:divBdr>
        </w:div>
        <w:div w:id="1847867388">
          <w:marLeft w:val="274"/>
          <w:marRight w:val="0"/>
          <w:marTop w:val="0"/>
          <w:marBottom w:val="120"/>
          <w:divBdr>
            <w:top w:val="none" w:sz="0" w:space="0" w:color="auto"/>
            <w:left w:val="none" w:sz="0" w:space="0" w:color="auto"/>
            <w:bottom w:val="none" w:sz="0" w:space="0" w:color="auto"/>
            <w:right w:val="none" w:sz="0" w:space="0" w:color="auto"/>
          </w:divBdr>
        </w:div>
      </w:divsChild>
    </w:div>
    <w:div w:id="106896352">
      <w:bodyDiv w:val="1"/>
      <w:marLeft w:val="0"/>
      <w:marRight w:val="0"/>
      <w:marTop w:val="0"/>
      <w:marBottom w:val="0"/>
      <w:divBdr>
        <w:top w:val="none" w:sz="0" w:space="0" w:color="auto"/>
        <w:left w:val="none" w:sz="0" w:space="0" w:color="auto"/>
        <w:bottom w:val="none" w:sz="0" w:space="0" w:color="auto"/>
        <w:right w:val="none" w:sz="0" w:space="0" w:color="auto"/>
      </w:divBdr>
    </w:div>
    <w:div w:id="122237842">
      <w:bodyDiv w:val="1"/>
      <w:marLeft w:val="0"/>
      <w:marRight w:val="0"/>
      <w:marTop w:val="0"/>
      <w:marBottom w:val="0"/>
      <w:divBdr>
        <w:top w:val="none" w:sz="0" w:space="0" w:color="auto"/>
        <w:left w:val="none" w:sz="0" w:space="0" w:color="auto"/>
        <w:bottom w:val="none" w:sz="0" w:space="0" w:color="auto"/>
        <w:right w:val="none" w:sz="0" w:space="0" w:color="auto"/>
      </w:divBdr>
    </w:div>
    <w:div w:id="131027123">
      <w:bodyDiv w:val="1"/>
      <w:marLeft w:val="0"/>
      <w:marRight w:val="0"/>
      <w:marTop w:val="0"/>
      <w:marBottom w:val="0"/>
      <w:divBdr>
        <w:top w:val="none" w:sz="0" w:space="0" w:color="auto"/>
        <w:left w:val="none" w:sz="0" w:space="0" w:color="auto"/>
        <w:bottom w:val="none" w:sz="0" w:space="0" w:color="auto"/>
        <w:right w:val="none" w:sz="0" w:space="0" w:color="auto"/>
      </w:divBdr>
    </w:div>
    <w:div w:id="131799002">
      <w:bodyDiv w:val="1"/>
      <w:marLeft w:val="0"/>
      <w:marRight w:val="0"/>
      <w:marTop w:val="0"/>
      <w:marBottom w:val="0"/>
      <w:divBdr>
        <w:top w:val="none" w:sz="0" w:space="0" w:color="auto"/>
        <w:left w:val="none" w:sz="0" w:space="0" w:color="auto"/>
        <w:bottom w:val="none" w:sz="0" w:space="0" w:color="auto"/>
        <w:right w:val="none" w:sz="0" w:space="0" w:color="auto"/>
      </w:divBdr>
      <w:divsChild>
        <w:div w:id="630942785">
          <w:marLeft w:val="274"/>
          <w:marRight w:val="0"/>
          <w:marTop w:val="0"/>
          <w:marBottom w:val="0"/>
          <w:divBdr>
            <w:top w:val="none" w:sz="0" w:space="0" w:color="auto"/>
            <w:left w:val="none" w:sz="0" w:space="0" w:color="auto"/>
            <w:bottom w:val="none" w:sz="0" w:space="0" w:color="auto"/>
            <w:right w:val="none" w:sz="0" w:space="0" w:color="auto"/>
          </w:divBdr>
        </w:div>
        <w:div w:id="449975088">
          <w:marLeft w:val="274"/>
          <w:marRight w:val="0"/>
          <w:marTop w:val="0"/>
          <w:marBottom w:val="0"/>
          <w:divBdr>
            <w:top w:val="none" w:sz="0" w:space="0" w:color="auto"/>
            <w:left w:val="none" w:sz="0" w:space="0" w:color="auto"/>
            <w:bottom w:val="none" w:sz="0" w:space="0" w:color="auto"/>
            <w:right w:val="none" w:sz="0" w:space="0" w:color="auto"/>
          </w:divBdr>
        </w:div>
      </w:divsChild>
    </w:div>
    <w:div w:id="139932680">
      <w:bodyDiv w:val="1"/>
      <w:marLeft w:val="0"/>
      <w:marRight w:val="0"/>
      <w:marTop w:val="0"/>
      <w:marBottom w:val="0"/>
      <w:divBdr>
        <w:top w:val="none" w:sz="0" w:space="0" w:color="auto"/>
        <w:left w:val="none" w:sz="0" w:space="0" w:color="auto"/>
        <w:bottom w:val="none" w:sz="0" w:space="0" w:color="auto"/>
        <w:right w:val="none" w:sz="0" w:space="0" w:color="auto"/>
      </w:divBdr>
      <w:divsChild>
        <w:div w:id="44529691">
          <w:marLeft w:val="274"/>
          <w:marRight w:val="0"/>
          <w:marTop w:val="200"/>
          <w:marBottom w:val="0"/>
          <w:divBdr>
            <w:top w:val="none" w:sz="0" w:space="0" w:color="auto"/>
            <w:left w:val="none" w:sz="0" w:space="0" w:color="auto"/>
            <w:bottom w:val="none" w:sz="0" w:space="0" w:color="auto"/>
            <w:right w:val="none" w:sz="0" w:space="0" w:color="auto"/>
          </w:divBdr>
        </w:div>
        <w:div w:id="119693897">
          <w:marLeft w:val="360"/>
          <w:marRight w:val="0"/>
          <w:marTop w:val="200"/>
          <w:marBottom w:val="0"/>
          <w:divBdr>
            <w:top w:val="none" w:sz="0" w:space="0" w:color="auto"/>
            <w:left w:val="none" w:sz="0" w:space="0" w:color="auto"/>
            <w:bottom w:val="none" w:sz="0" w:space="0" w:color="auto"/>
            <w:right w:val="none" w:sz="0" w:space="0" w:color="auto"/>
          </w:divBdr>
        </w:div>
        <w:div w:id="1069186077">
          <w:marLeft w:val="360"/>
          <w:marRight w:val="0"/>
          <w:marTop w:val="200"/>
          <w:marBottom w:val="0"/>
          <w:divBdr>
            <w:top w:val="none" w:sz="0" w:space="0" w:color="auto"/>
            <w:left w:val="none" w:sz="0" w:space="0" w:color="auto"/>
            <w:bottom w:val="none" w:sz="0" w:space="0" w:color="auto"/>
            <w:right w:val="none" w:sz="0" w:space="0" w:color="auto"/>
          </w:divBdr>
        </w:div>
        <w:div w:id="1364287798">
          <w:marLeft w:val="274"/>
          <w:marRight w:val="0"/>
          <w:marTop w:val="200"/>
          <w:marBottom w:val="0"/>
          <w:divBdr>
            <w:top w:val="none" w:sz="0" w:space="0" w:color="auto"/>
            <w:left w:val="none" w:sz="0" w:space="0" w:color="auto"/>
            <w:bottom w:val="none" w:sz="0" w:space="0" w:color="auto"/>
            <w:right w:val="none" w:sz="0" w:space="0" w:color="auto"/>
          </w:divBdr>
        </w:div>
        <w:div w:id="1477868983">
          <w:marLeft w:val="274"/>
          <w:marRight w:val="0"/>
          <w:marTop w:val="200"/>
          <w:marBottom w:val="0"/>
          <w:divBdr>
            <w:top w:val="none" w:sz="0" w:space="0" w:color="auto"/>
            <w:left w:val="none" w:sz="0" w:space="0" w:color="auto"/>
            <w:bottom w:val="none" w:sz="0" w:space="0" w:color="auto"/>
            <w:right w:val="none" w:sz="0" w:space="0" w:color="auto"/>
          </w:divBdr>
        </w:div>
        <w:div w:id="2065252314">
          <w:marLeft w:val="274"/>
          <w:marRight w:val="0"/>
          <w:marTop w:val="200"/>
          <w:marBottom w:val="0"/>
          <w:divBdr>
            <w:top w:val="none" w:sz="0" w:space="0" w:color="auto"/>
            <w:left w:val="none" w:sz="0" w:space="0" w:color="auto"/>
            <w:bottom w:val="none" w:sz="0" w:space="0" w:color="auto"/>
            <w:right w:val="none" w:sz="0" w:space="0" w:color="auto"/>
          </w:divBdr>
        </w:div>
      </w:divsChild>
    </w:div>
    <w:div w:id="150147950">
      <w:bodyDiv w:val="1"/>
      <w:marLeft w:val="0"/>
      <w:marRight w:val="0"/>
      <w:marTop w:val="0"/>
      <w:marBottom w:val="0"/>
      <w:divBdr>
        <w:top w:val="none" w:sz="0" w:space="0" w:color="auto"/>
        <w:left w:val="none" w:sz="0" w:space="0" w:color="auto"/>
        <w:bottom w:val="none" w:sz="0" w:space="0" w:color="auto"/>
        <w:right w:val="none" w:sz="0" w:space="0" w:color="auto"/>
      </w:divBdr>
    </w:div>
    <w:div w:id="164980640">
      <w:bodyDiv w:val="1"/>
      <w:marLeft w:val="0"/>
      <w:marRight w:val="0"/>
      <w:marTop w:val="0"/>
      <w:marBottom w:val="0"/>
      <w:divBdr>
        <w:top w:val="none" w:sz="0" w:space="0" w:color="auto"/>
        <w:left w:val="none" w:sz="0" w:space="0" w:color="auto"/>
        <w:bottom w:val="none" w:sz="0" w:space="0" w:color="auto"/>
        <w:right w:val="none" w:sz="0" w:space="0" w:color="auto"/>
      </w:divBdr>
    </w:div>
    <w:div w:id="165248327">
      <w:bodyDiv w:val="1"/>
      <w:marLeft w:val="0"/>
      <w:marRight w:val="0"/>
      <w:marTop w:val="0"/>
      <w:marBottom w:val="0"/>
      <w:divBdr>
        <w:top w:val="none" w:sz="0" w:space="0" w:color="auto"/>
        <w:left w:val="none" w:sz="0" w:space="0" w:color="auto"/>
        <w:bottom w:val="none" w:sz="0" w:space="0" w:color="auto"/>
        <w:right w:val="none" w:sz="0" w:space="0" w:color="auto"/>
      </w:divBdr>
      <w:divsChild>
        <w:div w:id="341053595">
          <w:marLeft w:val="274"/>
          <w:marRight w:val="0"/>
          <w:marTop w:val="200"/>
          <w:marBottom w:val="0"/>
          <w:divBdr>
            <w:top w:val="none" w:sz="0" w:space="0" w:color="auto"/>
            <w:left w:val="none" w:sz="0" w:space="0" w:color="auto"/>
            <w:bottom w:val="none" w:sz="0" w:space="0" w:color="auto"/>
            <w:right w:val="none" w:sz="0" w:space="0" w:color="auto"/>
          </w:divBdr>
        </w:div>
        <w:div w:id="1533110775">
          <w:marLeft w:val="274"/>
          <w:marRight w:val="0"/>
          <w:marTop w:val="200"/>
          <w:marBottom w:val="0"/>
          <w:divBdr>
            <w:top w:val="none" w:sz="0" w:space="0" w:color="auto"/>
            <w:left w:val="none" w:sz="0" w:space="0" w:color="auto"/>
            <w:bottom w:val="none" w:sz="0" w:space="0" w:color="auto"/>
            <w:right w:val="none" w:sz="0" w:space="0" w:color="auto"/>
          </w:divBdr>
        </w:div>
      </w:divsChild>
    </w:div>
    <w:div w:id="193076046">
      <w:bodyDiv w:val="1"/>
      <w:marLeft w:val="0"/>
      <w:marRight w:val="0"/>
      <w:marTop w:val="0"/>
      <w:marBottom w:val="0"/>
      <w:divBdr>
        <w:top w:val="none" w:sz="0" w:space="0" w:color="auto"/>
        <w:left w:val="none" w:sz="0" w:space="0" w:color="auto"/>
        <w:bottom w:val="none" w:sz="0" w:space="0" w:color="auto"/>
        <w:right w:val="none" w:sz="0" w:space="0" w:color="auto"/>
      </w:divBdr>
      <w:divsChild>
        <w:div w:id="5333668">
          <w:marLeft w:val="274"/>
          <w:marRight w:val="0"/>
          <w:marTop w:val="200"/>
          <w:marBottom w:val="0"/>
          <w:divBdr>
            <w:top w:val="none" w:sz="0" w:space="0" w:color="auto"/>
            <w:left w:val="none" w:sz="0" w:space="0" w:color="auto"/>
            <w:bottom w:val="none" w:sz="0" w:space="0" w:color="auto"/>
            <w:right w:val="none" w:sz="0" w:space="0" w:color="auto"/>
          </w:divBdr>
        </w:div>
        <w:div w:id="555287454">
          <w:marLeft w:val="274"/>
          <w:marRight w:val="0"/>
          <w:marTop w:val="200"/>
          <w:marBottom w:val="0"/>
          <w:divBdr>
            <w:top w:val="none" w:sz="0" w:space="0" w:color="auto"/>
            <w:left w:val="none" w:sz="0" w:space="0" w:color="auto"/>
            <w:bottom w:val="none" w:sz="0" w:space="0" w:color="auto"/>
            <w:right w:val="none" w:sz="0" w:space="0" w:color="auto"/>
          </w:divBdr>
        </w:div>
        <w:div w:id="705759081">
          <w:marLeft w:val="360"/>
          <w:marRight w:val="0"/>
          <w:marTop w:val="200"/>
          <w:marBottom w:val="0"/>
          <w:divBdr>
            <w:top w:val="none" w:sz="0" w:space="0" w:color="auto"/>
            <w:left w:val="none" w:sz="0" w:space="0" w:color="auto"/>
            <w:bottom w:val="none" w:sz="0" w:space="0" w:color="auto"/>
            <w:right w:val="none" w:sz="0" w:space="0" w:color="auto"/>
          </w:divBdr>
        </w:div>
        <w:div w:id="1340542850">
          <w:marLeft w:val="360"/>
          <w:marRight w:val="0"/>
          <w:marTop w:val="200"/>
          <w:marBottom w:val="0"/>
          <w:divBdr>
            <w:top w:val="none" w:sz="0" w:space="0" w:color="auto"/>
            <w:left w:val="none" w:sz="0" w:space="0" w:color="auto"/>
            <w:bottom w:val="none" w:sz="0" w:space="0" w:color="auto"/>
            <w:right w:val="none" w:sz="0" w:space="0" w:color="auto"/>
          </w:divBdr>
        </w:div>
        <w:div w:id="1814330046">
          <w:marLeft w:val="360"/>
          <w:marRight w:val="0"/>
          <w:marTop w:val="200"/>
          <w:marBottom w:val="0"/>
          <w:divBdr>
            <w:top w:val="none" w:sz="0" w:space="0" w:color="auto"/>
            <w:left w:val="none" w:sz="0" w:space="0" w:color="auto"/>
            <w:bottom w:val="none" w:sz="0" w:space="0" w:color="auto"/>
            <w:right w:val="none" w:sz="0" w:space="0" w:color="auto"/>
          </w:divBdr>
        </w:div>
        <w:div w:id="2068410899">
          <w:marLeft w:val="360"/>
          <w:marRight w:val="0"/>
          <w:marTop w:val="200"/>
          <w:marBottom w:val="0"/>
          <w:divBdr>
            <w:top w:val="none" w:sz="0" w:space="0" w:color="auto"/>
            <w:left w:val="none" w:sz="0" w:space="0" w:color="auto"/>
            <w:bottom w:val="none" w:sz="0" w:space="0" w:color="auto"/>
            <w:right w:val="none" w:sz="0" w:space="0" w:color="auto"/>
          </w:divBdr>
        </w:div>
      </w:divsChild>
    </w:div>
    <w:div w:id="219440118">
      <w:bodyDiv w:val="1"/>
      <w:marLeft w:val="0"/>
      <w:marRight w:val="0"/>
      <w:marTop w:val="0"/>
      <w:marBottom w:val="0"/>
      <w:divBdr>
        <w:top w:val="none" w:sz="0" w:space="0" w:color="auto"/>
        <w:left w:val="none" w:sz="0" w:space="0" w:color="auto"/>
        <w:bottom w:val="none" w:sz="0" w:space="0" w:color="auto"/>
        <w:right w:val="none" w:sz="0" w:space="0" w:color="auto"/>
      </w:divBdr>
    </w:div>
    <w:div w:id="222373999">
      <w:bodyDiv w:val="1"/>
      <w:marLeft w:val="0"/>
      <w:marRight w:val="0"/>
      <w:marTop w:val="0"/>
      <w:marBottom w:val="0"/>
      <w:divBdr>
        <w:top w:val="none" w:sz="0" w:space="0" w:color="auto"/>
        <w:left w:val="none" w:sz="0" w:space="0" w:color="auto"/>
        <w:bottom w:val="none" w:sz="0" w:space="0" w:color="auto"/>
        <w:right w:val="none" w:sz="0" w:space="0" w:color="auto"/>
      </w:divBdr>
    </w:div>
    <w:div w:id="237911401">
      <w:bodyDiv w:val="1"/>
      <w:marLeft w:val="0"/>
      <w:marRight w:val="0"/>
      <w:marTop w:val="0"/>
      <w:marBottom w:val="0"/>
      <w:divBdr>
        <w:top w:val="none" w:sz="0" w:space="0" w:color="auto"/>
        <w:left w:val="none" w:sz="0" w:space="0" w:color="auto"/>
        <w:bottom w:val="none" w:sz="0" w:space="0" w:color="auto"/>
        <w:right w:val="none" w:sz="0" w:space="0" w:color="auto"/>
      </w:divBdr>
    </w:div>
    <w:div w:id="259922267">
      <w:bodyDiv w:val="1"/>
      <w:marLeft w:val="0"/>
      <w:marRight w:val="0"/>
      <w:marTop w:val="0"/>
      <w:marBottom w:val="0"/>
      <w:divBdr>
        <w:top w:val="none" w:sz="0" w:space="0" w:color="auto"/>
        <w:left w:val="none" w:sz="0" w:space="0" w:color="auto"/>
        <w:bottom w:val="none" w:sz="0" w:space="0" w:color="auto"/>
        <w:right w:val="none" w:sz="0" w:space="0" w:color="auto"/>
      </w:divBdr>
    </w:div>
    <w:div w:id="287126398">
      <w:bodyDiv w:val="1"/>
      <w:marLeft w:val="0"/>
      <w:marRight w:val="0"/>
      <w:marTop w:val="0"/>
      <w:marBottom w:val="0"/>
      <w:divBdr>
        <w:top w:val="none" w:sz="0" w:space="0" w:color="auto"/>
        <w:left w:val="none" w:sz="0" w:space="0" w:color="auto"/>
        <w:bottom w:val="none" w:sz="0" w:space="0" w:color="auto"/>
        <w:right w:val="none" w:sz="0" w:space="0" w:color="auto"/>
      </w:divBdr>
    </w:div>
    <w:div w:id="302732338">
      <w:bodyDiv w:val="1"/>
      <w:marLeft w:val="0"/>
      <w:marRight w:val="0"/>
      <w:marTop w:val="0"/>
      <w:marBottom w:val="0"/>
      <w:divBdr>
        <w:top w:val="none" w:sz="0" w:space="0" w:color="auto"/>
        <w:left w:val="none" w:sz="0" w:space="0" w:color="auto"/>
        <w:bottom w:val="none" w:sz="0" w:space="0" w:color="auto"/>
        <w:right w:val="none" w:sz="0" w:space="0" w:color="auto"/>
      </w:divBdr>
      <w:divsChild>
        <w:div w:id="52588570">
          <w:marLeft w:val="547"/>
          <w:marRight w:val="0"/>
          <w:marTop w:val="0"/>
          <w:marBottom w:val="0"/>
          <w:divBdr>
            <w:top w:val="none" w:sz="0" w:space="0" w:color="auto"/>
            <w:left w:val="none" w:sz="0" w:space="0" w:color="auto"/>
            <w:bottom w:val="none" w:sz="0" w:space="0" w:color="auto"/>
            <w:right w:val="none" w:sz="0" w:space="0" w:color="auto"/>
          </w:divBdr>
        </w:div>
        <w:div w:id="158621695">
          <w:marLeft w:val="1166"/>
          <w:marRight w:val="0"/>
          <w:marTop w:val="0"/>
          <w:marBottom w:val="0"/>
          <w:divBdr>
            <w:top w:val="none" w:sz="0" w:space="0" w:color="auto"/>
            <w:left w:val="none" w:sz="0" w:space="0" w:color="auto"/>
            <w:bottom w:val="none" w:sz="0" w:space="0" w:color="auto"/>
            <w:right w:val="none" w:sz="0" w:space="0" w:color="auto"/>
          </w:divBdr>
        </w:div>
        <w:div w:id="287666053">
          <w:marLeft w:val="1166"/>
          <w:marRight w:val="0"/>
          <w:marTop w:val="0"/>
          <w:marBottom w:val="0"/>
          <w:divBdr>
            <w:top w:val="none" w:sz="0" w:space="0" w:color="auto"/>
            <w:left w:val="none" w:sz="0" w:space="0" w:color="auto"/>
            <w:bottom w:val="none" w:sz="0" w:space="0" w:color="auto"/>
            <w:right w:val="none" w:sz="0" w:space="0" w:color="auto"/>
          </w:divBdr>
        </w:div>
        <w:div w:id="524026785">
          <w:marLeft w:val="1166"/>
          <w:marRight w:val="0"/>
          <w:marTop w:val="0"/>
          <w:marBottom w:val="0"/>
          <w:divBdr>
            <w:top w:val="none" w:sz="0" w:space="0" w:color="auto"/>
            <w:left w:val="none" w:sz="0" w:space="0" w:color="auto"/>
            <w:bottom w:val="none" w:sz="0" w:space="0" w:color="auto"/>
            <w:right w:val="none" w:sz="0" w:space="0" w:color="auto"/>
          </w:divBdr>
        </w:div>
        <w:div w:id="721905576">
          <w:marLeft w:val="1166"/>
          <w:marRight w:val="0"/>
          <w:marTop w:val="0"/>
          <w:marBottom w:val="0"/>
          <w:divBdr>
            <w:top w:val="none" w:sz="0" w:space="0" w:color="auto"/>
            <w:left w:val="none" w:sz="0" w:space="0" w:color="auto"/>
            <w:bottom w:val="none" w:sz="0" w:space="0" w:color="auto"/>
            <w:right w:val="none" w:sz="0" w:space="0" w:color="auto"/>
          </w:divBdr>
        </w:div>
        <w:div w:id="838079793">
          <w:marLeft w:val="1166"/>
          <w:marRight w:val="0"/>
          <w:marTop w:val="0"/>
          <w:marBottom w:val="0"/>
          <w:divBdr>
            <w:top w:val="none" w:sz="0" w:space="0" w:color="auto"/>
            <w:left w:val="none" w:sz="0" w:space="0" w:color="auto"/>
            <w:bottom w:val="none" w:sz="0" w:space="0" w:color="auto"/>
            <w:right w:val="none" w:sz="0" w:space="0" w:color="auto"/>
          </w:divBdr>
        </w:div>
        <w:div w:id="935672702">
          <w:marLeft w:val="1166"/>
          <w:marRight w:val="0"/>
          <w:marTop w:val="0"/>
          <w:marBottom w:val="0"/>
          <w:divBdr>
            <w:top w:val="none" w:sz="0" w:space="0" w:color="auto"/>
            <w:left w:val="none" w:sz="0" w:space="0" w:color="auto"/>
            <w:bottom w:val="none" w:sz="0" w:space="0" w:color="auto"/>
            <w:right w:val="none" w:sz="0" w:space="0" w:color="auto"/>
          </w:divBdr>
        </w:div>
        <w:div w:id="949311548">
          <w:marLeft w:val="1800"/>
          <w:marRight w:val="0"/>
          <w:marTop w:val="0"/>
          <w:marBottom w:val="160"/>
          <w:divBdr>
            <w:top w:val="none" w:sz="0" w:space="0" w:color="auto"/>
            <w:left w:val="none" w:sz="0" w:space="0" w:color="auto"/>
            <w:bottom w:val="none" w:sz="0" w:space="0" w:color="auto"/>
            <w:right w:val="none" w:sz="0" w:space="0" w:color="auto"/>
          </w:divBdr>
        </w:div>
        <w:div w:id="979847297">
          <w:marLeft w:val="547"/>
          <w:marRight w:val="0"/>
          <w:marTop w:val="0"/>
          <w:marBottom w:val="0"/>
          <w:divBdr>
            <w:top w:val="none" w:sz="0" w:space="0" w:color="auto"/>
            <w:left w:val="none" w:sz="0" w:space="0" w:color="auto"/>
            <w:bottom w:val="none" w:sz="0" w:space="0" w:color="auto"/>
            <w:right w:val="none" w:sz="0" w:space="0" w:color="auto"/>
          </w:divBdr>
        </w:div>
        <w:div w:id="1214080438">
          <w:marLeft w:val="1166"/>
          <w:marRight w:val="0"/>
          <w:marTop w:val="0"/>
          <w:marBottom w:val="0"/>
          <w:divBdr>
            <w:top w:val="none" w:sz="0" w:space="0" w:color="auto"/>
            <w:left w:val="none" w:sz="0" w:space="0" w:color="auto"/>
            <w:bottom w:val="none" w:sz="0" w:space="0" w:color="auto"/>
            <w:right w:val="none" w:sz="0" w:space="0" w:color="auto"/>
          </w:divBdr>
        </w:div>
        <w:div w:id="1262378714">
          <w:marLeft w:val="547"/>
          <w:marRight w:val="0"/>
          <w:marTop w:val="0"/>
          <w:marBottom w:val="0"/>
          <w:divBdr>
            <w:top w:val="none" w:sz="0" w:space="0" w:color="auto"/>
            <w:left w:val="none" w:sz="0" w:space="0" w:color="auto"/>
            <w:bottom w:val="none" w:sz="0" w:space="0" w:color="auto"/>
            <w:right w:val="none" w:sz="0" w:space="0" w:color="auto"/>
          </w:divBdr>
        </w:div>
        <w:div w:id="1503930566">
          <w:marLeft w:val="1166"/>
          <w:marRight w:val="0"/>
          <w:marTop w:val="0"/>
          <w:marBottom w:val="0"/>
          <w:divBdr>
            <w:top w:val="none" w:sz="0" w:space="0" w:color="auto"/>
            <w:left w:val="none" w:sz="0" w:space="0" w:color="auto"/>
            <w:bottom w:val="none" w:sz="0" w:space="0" w:color="auto"/>
            <w:right w:val="none" w:sz="0" w:space="0" w:color="auto"/>
          </w:divBdr>
        </w:div>
        <w:div w:id="1634092546">
          <w:marLeft w:val="1800"/>
          <w:marRight w:val="0"/>
          <w:marTop w:val="0"/>
          <w:marBottom w:val="0"/>
          <w:divBdr>
            <w:top w:val="none" w:sz="0" w:space="0" w:color="auto"/>
            <w:left w:val="none" w:sz="0" w:space="0" w:color="auto"/>
            <w:bottom w:val="none" w:sz="0" w:space="0" w:color="auto"/>
            <w:right w:val="none" w:sz="0" w:space="0" w:color="auto"/>
          </w:divBdr>
        </w:div>
      </w:divsChild>
    </w:div>
    <w:div w:id="307902364">
      <w:bodyDiv w:val="1"/>
      <w:marLeft w:val="0"/>
      <w:marRight w:val="0"/>
      <w:marTop w:val="0"/>
      <w:marBottom w:val="0"/>
      <w:divBdr>
        <w:top w:val="none" w:sz="0" w:space="0" w:color="auto"/>
        <w:left w:val="none" w:sz="0" w:space="0" w:color="auto"/>
        <w:bottom w:val="none" w:sz="0" w:space="0" w:color="auto"/>
        <w:right w:val="none" w:sz="0" w:space="0" w:color="auto"/>
      </w:divBdr>
    </w:div>
    <w:div w:id="331221724">
      <w:bodyDiv w:val="1"/>
      <w:marLeft w:val="0"/>
      <w:marRight w:val="0"/>
      <w:marTop w:val="0"/>
      <w:marBottom w:val="0"/>
      <w:divBdr>
        <w:top w:val="none" w:sz="0" w:space="0" w:color="auto"/>
        <w:left w:val="none" w:sz="0" w:space="0" w:color="auto"/>
        <w:bottom w:val="none" w:sz="0" w:space="0" w:color="auto"/>
        <w:right w:val="none" w:sz="0" w:space="0" w:color="auto"/>
      </w:divBdr>
      <w:divsChild>
        <w:div w:id="45490566">
          <w:marLeft w:val="547"/>
          <w:marRight w:val="0"/>
          <w:marTop w:val="20"/>
          <w:marBottom w:val="20"/>
          <w:divBdr>
            <w:top w:val="none" w:sz="0" w:space="0" w:color="auto"/>
            <w:left w:val="none" w:sz="0" w:space="0" w:color="auto"/>
            <w:bottom w:val="none" w:sz="0" w:space="0" w:color="auto"/>
            <w:right w:val="none" w:sz="0" w:space="0" w:color="auto"/>
          </w:divBdr>
        </w:div>
        <w:div w:id="45686385">
          <w:marLeft w:val="547"/>
          <w:marRight w:val="0"/>
          <w:marTop w:val="20"/>
          <w:marBottom w:val="20"/>
          <w:divBdr>
            <w:top w:val="none" w:sz="0" w:space="0" w:color="auto"/>
            <w:left w:val="none" w:sz="0" w:space="0" w:color="auto"/>
            <w:bottom w:val="none" w:sz="0" w:space="0" w:color="auto"/>
            <w:right w:val="none" w:sz="0" w:space="0" w:color="auto"/>
          </w:divBdr>
        </w:div>
        <w:div w:id="330529466">
          <w:marLeft w:val="547"/>
          <w:marRight w:val="0"/>
          <w:marTop w:val="20"/>
          <w:marBottom w:val="20"/>
          <w:divBdr>
            <w:top w:val="none" w:sz="0" w:space="0" w:color="auto"/>
            <w:left w:val="none" w:sz="0" w:space="0" w:color="auto"/>
            <w:bottom w:val="none" w:sz="0" w:space="0" w:color="auto"/>
            <w:right w:val="none" w:sz="0" w:space="0" w:color="auto"/>
          </w:divBdr>
        </w:div>
        <w:div w:id="416050604">
          <w:marLeft w:val="547"/>
          <w:marRight w:val="0"/>
          <w:marTop w:val="20"/>
          <w:marBottom w:val="20"/>
          <w:divBdr>
            <w:top w:val="none" w:sz="0" w:space="0" w:color="auto"/>
            <w:left w:val="none" w:sz="0" w:space="0" w:color="auto"/>
            <w:bottom w:val="none" w:sz="0" w:space="0" w:color="auto"/>
            <w:right w:val="none" w:sz="0" w:space="0" w:color="auto"/>
          </w:divBdr>
        </w:div>
        <w:div w:id="482432177">
          <w:marLeft w:val="547"/>
          <w:marRight w:val="0"/>
          <w:marTop w:val="20"/>
          <w:marBottom w:val="20"/>
          <w:divBdr>
            <w:top w:val="none" w:sz="0" w:space="0" w:color="auto"/>
            <w:left w:val="none" w:sz="0" w:space="0" w:color="auto"/>
            <w:bottom w:val="none" w:sz="0" w:space="0" w:color="auto"/>
            <w:right w:val="none" w:sz="0" w:space="0" w:color="auto"/>
          </w:divBdr>
        </w:div>
        <w:div w:id="500005078">
          <w:marLeft w:val="547"/>
          <w:marRight w:val="0"/>
          <w:marTop w:val="20"/>
          <w:marBottom w:val="20"/>
          <w:divBdr>
            <w:top w:val="none" w:sz="0" w:space="0" w:color="auto"/>
            <w:left w:val="none" w:sz="0" w:space="0" w:color="auto"/>
            <w:bottom w:val="none" w:sz="0" w:space="0" w:color="auto"/>
            <w:right w:val="none" w:sz="0" w:space="0" w:color="auto"/>
          </w:divBdr>
        </w:div>
        <w:div w:id="529222566">
          <w:marLeft w:val="547"/>
          <w:marRight w:val="0"/>
          <w:marTop w:val="20"/>
          <w:marBottom w:val="20"/>
          <w:divBdr>
            <w:top w:val="none" w:sz="0" w:space="0" w:color="auto"/>
            <w:left w:val="none" w:sz="0" w:space="0" w:color="auto"/>
            <w:bottom w:val="none" w:sz="0" w:space="0" w:color="auto"/>
            <w:right w:val="none" w:sz="0" w:space="0" w:color="auto"/>
          </w:divBdr>
        </w:div>
        <w:div w:id="554705557">
          <w:marLeft w:val="547"/>
          <w:marRight w:val="0"/>
          <w:marTop w:val="20"/>
          <w:marBottom w:val="20"/>
          <w:divBdr>
            <w:top w:val="none" w:sz="0" w:space="0" w:color="auto"/>
            <w:left w:val="none" w:sz="0" w:space="0" w:color="auto"/>
            <w:bottom w:val="none" w:sz="0" w:space="0" w:color="auto"/>
            <w:right w:val="none" w:sz="0" w:space="0" w:color="auto"/>
          </w:divBdr>
        </w:div>
        <w:div w:id="796410792">
          <w:marLeft w:val="547"/>
          <w:marRight w:val="0"/>
          <w:marTop w:val="20"/>
          <w:marBottom w:val="20"/>
          <w:divBdr>
            <w:top w:val="none" w:sz="0" w:space="0" w:color="auto"/>
            <w:left w:val="none" w:sz="0" w:space="0" w:color="auto"/>
            <w:bottom w:val="none" w:sz="0" w:space="0" w:color="auto"/>
            <w:right w:val="none" w:sz="0" w:space="0" w:color="auto"/>
          </w:divBdr>
        </w:div>
        <w:div w:id="807163216">
          <w:marLeft w:val="547"/>
          <w:marRight w:val="0"/>
          <w:marTop w:val="20"/>
          <w:marBottom w:val="20"/>
          <w:divBdr>
            <w:top w:val="none" w:sz="0" w:space="0" w:color="auto"/>
            <w:left w:val="none" w:sz="0" w:space="0" w:color="auto"/>
            <w:bottom w:val="none" w:sz="0" w:space="0" w:color="auto"/>
            <w:right w:val="none" w:sz="0" w:space="0" w:color="auto"/>
          </w:divBdr>
        </w:div>
        <w:div w:id="847911474">
          <w:marLeft w:val="547"/>
          <w:marRight w:val="0"/>
          <w:marTop w:val="20"/>
          <w:marBottom w:val="20"/>
          <w:divBdr>
            <w:top w:val="none" w:sz="0" w:space="0" w:color="auto"/>
            <w:left w:val="none" w:sz="0" w:space="0" w:color="auto"/>
            <w:bottom w:val="none" w:sz="0" w:space="0" w:color="auto"/>
            <w:right w:val="none" w:sz="0" w:space="0" w:color="auto"/>
          </w:divBdr>
        </w:div>
        <w:div w:id="933439838">
          <w:marLeft w:val="547"/>
          <w:marRight w:val="0"/>
          <w:marTop w:val="20"/>
          <w:marBottom w:val="20"/>
          <w:divBdr>
            <w:top w:val="none" w:sz="0" w:space="0" w:color="auto"/>
            <w:left w:val="none" w:sz="0" w:space="0" w:color="auto"/>
            <w:bottom w:val="none" w:sz="0" w:space="0" w:color="auto"/>
            <w:right w:val="none" w:sz="0" w:space="0" w:color="auto"/>
          </w:divBdr>
        </w:div>
        <w:div w:id="1042486757">
          <w:marLeft w:val="547"/>
          <w:marRight w:val="0"/>
          <w:marTop w:val="20"/>
          <w:marBottom w:val="20"/>
          <w:divBdr>
            <w:top w:val="none" w:sz="0" w:space="0" w:color="auto"/>
            <w:left w:val="none" w:sz="0" w:space="0" w:color="auto"/>
            <w:bottom w:val="none" w:sz="0" w:space="0" w:color="auto"/>
            <w:right w:val="none" w:sz="0" w:space="0" w:color="auto"/>
          </w:divBdr>
        </w:div>
        <w:div w:id="1046030884">
          <w:marLeft w:val="547"/>
          <w:marRight w:val="0"/>
          <w:marTop w:val="20"/>
          <w:marBottom w:val="20"/>
          <w:divBdr>
            <w:top w:val="none" w:sz="0" w:space="0" w:color="auto"/>
            <w:left w:val="none" w:sz="0" w:space="0" w:color="auto"/>
            <w:bottom w:val="none" w:sz="0" w:space="0" w:color="auto"/>
            <w:right w:val="none" w:sz="0" w:space="0" w:color="auto"/>
          </w:divBdr>
        </w:div>
        <w:div w:id="1047068878">
          <w:marLeft w:val="547"/>
          <w:marRight w:val="0"/>
          <w:marTop w:val="20"/>
          <w:marBottom w:val="20"/>
          <w:divBdr>
            <w:top w:val="none" w:sz="0" w:space="0" w:color="auto"/>
            <w:left w:val="none" w:sz="0" w:space="0" w:color="auto"/>
            <w:bottom w:val="none" w:sz="0" w:space="0" w:color="auto"/>
            <w:right w:val="none" w:sz="0" w:space="0" w:color="auto"/>
          </w:divBdr>
        </w:div>
        <w:div w:id="1066535558">
          <w:marLeft w:val="547"/>
          <w:marRight w:val="0"/>
          <w:marTop w:val="20"/>
          <w:marBottom w:val="20"/>
          <w:divBdr>
            <w:top w:val="none" w:sz="0" w:space="0" w:color="auto"/>
            <w:left w:val="none" w:sz="0" w:space="0" w:color="auto"/>
            <w:bottom w:val="none" w:sz="0" w:space="0" w:color="auto"/>
            <w:right w:val="none" w:sz="0" w:space="0" w:color="auto"/>
          </w:divBdr>
        </w:div>
        <w:div w:id="1091466446">
          <w:marLeft w:val="547"/>
          <w:marRight w:val="0"/>
          <w:marTop w:val="20"/>
          <w:marBottom w:val="20"/>
          <w:divBdr>
            <w:top w:val="none" w:sz="0" w:space="0" w:color="auto"/>
            <w:left w:val="none" w:sz="0" w:space="0" w:color="auto"/>
            <w:bottom w:val="none" w:sz="0" w:space="0" w:color="auto"/>
            <w:right w:val="none" w:sz="0" w:space="0" w:color="auto"/>
          </w:divBdr>
        </w:div>
        <w:div w:id="1151750380">
          <w:marLeft w:val="547"/>
          <w:marRight w:val="0"/>
          <w:marTop w:val="20"/>
          <w:marBottom w:val="20"/>
          <w:divBdr>
            <w:top w:val="none" w:sz="0" w:space="0" w:color="auto"/>
            <w:left w:val="none" w:sz="0" w:space="0" w:color="auto"/>
            <w:bottom w:val="none" w:sz="0" w:space="0" w:color="auto"/>
            <w:right w:val="none" w:sz="0" w:space="0" w:color="auto"/>
          </w:divBdr>
        </w:div>
        <w:div w:id="1193422706">
          <w:marLeft w:val="547"/>
          <w:marRight w:val="0"/>
          <w:marTop w:val="20"/>
          <w:marBottom w:val="20"/>
          <w:divBdr>
            <w:top w:val="none" w:sz="0" w:space="0" w:color="auto"/>
            <w:left w:val="none" w:sz="0" w:space="0" w:color="auto"/>
            <w:bottom w:val="none" w:sz="0" w:space="0" w:color="auto"/>
            <w:right w:val="none" w:sz="0" w:space="0" w:color="auto"/>
          </w:divBdr>
        </w:div>
        <w:div w:id="1231188835">
          <w:marLeft w:val="547"/>
          <w:marRight w:val="0"/>
          <w:marTop w:val="20"/>
          <w:marBottom w:val="20"/>
          <w:divBdr>
            <w:top w:val="none" w:sz="0" w:space="0" w:color="auto"/>
            <w:left w:val="none" w:sz="0" w:space="0" w:color="auto"/>
            <w:bottom w:val="none" w:sz="0" w:space="0" w:color="auto"/>
            <w:right w:val="none" w:sz="0" w:space="0" w:color="auto"/>
          </w:divBdr>
        </w:div>
        <w:div w:id="1368869212">
          <w:marLeft w:val="547"/>
          <w:marRight w:val="0"/>
          <w:marTop w:val="20"/>
          <w:marBottom w:val="20"/>
          <w:divBdr>
            <w:top w:val="none" w:sz="0" w:space="0" w:color="auto"/>
            <w:left w:val="none" w:sz="0" w:space="0" w:color="auto"/>
            <w:bottom w:val="none" w:sz="0" w:space="0" w:color="auto"/>
            <w:right w:val="none" w:sz="0" w:space="0" w:color="auto"/>
          </w:divBdr>
        </w:div>
        <w:div w:id="1406031199">
          <w:marLeft w:val="547"/>
          <w:marRight w:val="0"/>
          <w:marTop w:val="20"/>
          <w:marBottom w:val="20"/>
          <w:divBdr>
            <w:top w:val="none" w:sz="0" w:space="0" w:color="auto"/>
            <w:left w:val="none" w:sz="0" w:space="0" w:color="auto"/>
            <w:bottom w:val="none" w:sz="0" w:space="0" w:color="auto"/>
            <w:right w:val="none" w:sz="0" w:space="0" w:color="auto"/>
          </w:divBdr>
        </w:div>
        <w:div w:id="1450973389">
          <w:marLeft w:val="547"/>
          <w:marRight w:val="0"/>
          <w:marTop w:val="20"/>
          <w:marBottom w:val="20"/>
          <w:divBdr>
            <w:top w:val="none" w:sz="0" w:space="0" w:color="auto"/>
            <w:left w:val="none" w:sz="0" w:space="0" w:color="auto"/>
            <w:bottom w:val="none" w:sz="0" w:space="0" w:color="auto"/>
            <w:right w:val="none" w:sz="0" w:space="0" w:color="auto"/>
          </w:divBdr>
        </w:div>
        <w:div w:id="1613124328">
          <w:marLeft w:val="547"/>
          <w:marRight w:val="0"/>
          <w:marTop w:val="20"/>
          <w:marBottom w:val="20"/>
          <w:divBdr>
            <w:top w:val="none" w:sz="0" w:space="0" w:color="auto"/>
            <w:left w:val="none" w:sz="0" w:space="0" w:color="auto"/>
            <w:bottom w:val="none" w:sz="0" w:space="0" w:color="auto"/>
            <w:right w:val="none" w:sz="0" w:space="0" w:color="auto"/>
          </w:divBdr>
        </w:div>
        <w:div w:id="1689791040">
          <w:marLeft w:val="547"/>
          <w:marRight w:val="0"/>
          <w:marTop w:val="20"/>
          <w:marBottom w:val="20"/>
          <w:divBdr>
            <w:top w:val="none" w:sz="0" w:space="0" w:color="auto"/>
            <w:left w:val="none" w:sz="0" w:space="0" w:color="auto"/>
            <w:bottom w:val="none" w:sz="0" w:space="0" w:color="auto"/>
            <w:right w:val="none" w:sz="0" w:space="0" w:color="auto"/>
          </w:divBdr>
        </w:div>
        <w:div w:id="1692145848">
          <w:marLeft w:val="547"/>
          <w:marRight w:val="0"/>
          <w:marTop w:val="20"/>
          <w:marBottom w:val="20"/>
          <w:divBdr>
            <w:top w:val="none" w:sz="0" w:space="0" w:color="auto"/>
            <w:left w:val="none" w:sz="0" w:space="0" w:color="auto"/>
            <w:bottom w:val="none" w:sz="0" w:space="0" w:color="auto"/>
            <w:right w:val="none" w:sz="0" w:space="0" w:color="auto"/>
          </w:divBdr>
        </w:div>
        <w:div w:id="1754207286">
          <w:marLeft w:val="547"/>
          <w:marRight w:val="0"/>
          <w:marTop w:val="20"/>
          <w:marBottom w:val="20"/>
          <w:divBdr>
            <w:top w:val="none" w:sz="0" w:space="0" w:color="auto"/>
            <w:left w:val="none" w:sz="0" w:space="0" w:color="auto"/>
            <w:bottom w:val="none" w:sz="0" w:space="0" w:color="auto"/>
            <w:right w:val="none" w:sz="0" w:space="0" w:color="auto"/>
          </w:divBdr>
        </w:div>
        <w:div w:id="1885867687">
          <w:marLeft w:val="547"/>
          <w:marRight w:val="0"/>
          <w:marTop w:val="20"/>
          <w:marBottom w:val="20"/>
          <w:divBdr>
            <w:top w:val="none" w:sz="0" w:space="0" w:color="auto"/>
            <w:left w:val="none" w:sz="0" w:space="0" w:color="auto"/>
            <w:bottom w:val="none" w:sz="0" w:space="0" w:color="auto"/>
            <w:right w:val="none" w:sz="0" w:space="0" w:color="auto"/>
          </w:divBdr>
        </w:div>
        <w:div w:id="1888175671">
          <w:marLeft w:val="547"/>
          <w:marRight w:val="0"/>
          <w:marTop w:val="20"/>
          <w:marBottom w:val="20"/>
          <w:divBdr>
            <w:top w:val="none" w:sz="0" w:space="0" w:color="auto"/>
            <w:left w:val="none" w:sz="0" w:space="0" w:color="auto"/>
            <w:bottom w:val="none" w:sz="0" w:space="0" w:color="auto"/>
            <w:right w:val="none" w:sz="0" w:space="0" w:color="auto"/>
          </w:divBdr>
        </w:div>
        <w:div w:id="1935430765">
          <w:marLeft w:val="547"/>
          <w:marRight w:val="0"/>
          <w:marTop w:val="20"/>
          <w:marBottom w:val="20"/>
          <w:divBdr>
            <w:top w:val="none" w:sz="0" w:space="0" w:color="auto"/>
            <w:left w:val="none" w:sz="0" w:space="0" w:color="auto"/>
            <w:bottom w:val="none" w:sz="0" w:space="0" w:color="auto"/>
            <w:right w:val="none" w:sz="0" w:space="0" w:color="auto"/>
          </w:divBdr>
        </w:div>
        <w:div w:id="1966502453">
          <w:marLeft w:val="547"/>
          <w:marRight w:val="0"/>
          <w:marTop w:val="20"/>
          <w:marBottom w:val="20"/>
          <w:divBdr>
            <w:top w:val="none" w:sz="0" w:space="0" w:color="auto"/>
            <w:left w:val="none" w:sz="0" w:space="0" w:color="auto"/>
            <w:bottom w:val="none" w:sz="0" w:space="0" w:color="auto"/>
            <w:right w:val="none" w:sz="0" w:space="0" w:color="auto"/>
          </w:divBdr>
        </w:div>
        <w:div w:id="1983465476">
          <w:marLeft w:val="547"/>
          <w:marRight w:val="0"/>
          <w:marTop w:val="20"/>
          <w:marBottom w:val="20"/>
          <w:divBdr>
            <w:top w:val="none" w:sz="0" w:space="0" w:color="auto"/>
            <w:left w:val="none" w:sz="0" w:space="0" w:color="auto"/>
            <w:bottom w:val="none" w:sz="0" w:space="0" w:color="auto"/>
            <w:right w:val="none" w:sz="0" w:space="0" w:color="auto"/>
          </w:divBdr>
        </w:div>
        <w:div w:id="1984382526">
          <w:marLeft w:val="547"/>
          <w:marRight w:val="0"/>
          <w:marTop w:val="20"/>
          <w:marBottom w:val="20"/>
          <w:divBdr>
            <w:top w:val="none" w:sz="0" w:space="0" w:color="auto"/>
            <w:left w:val="none" w:sz="0" w:space="0" w:color="auto"/>
            <w:bottom w:val="none" w:sz="0" w:space="0" w:color="auto"/>
            <w:right w:val="none" w:sz="0" w:space="0" w:color="auto"/>
          </w:divBdr>
        </w:div>
        <w:div w:id="1989750378">
          <w:marLeft w:val="547"/>
          <w:marRight w:val="0"/>
          <w:marTop w:val="20"/>
          <w:marBottom w:val="20"/>
          <w:divBdr>
            <w:top w:val="none" w:sz="0" w:space="0" w:color="auto"/>
            <w:left w:val="none" w:sz="0" w:space="0" w:color="auto"/>
            <w:bottom w:val="none" w:sz="0" w:space="0" w:color="auto"/>
            <w:right w:val="none" w:sz="0" w:space="0" w:color="auto"/>
          </w:divBdr>
        </w:div>
        <w:div w:id="2015960125">
          <w:marLeft w:val="547"/>
          <w:marRight w:val="0"/>
          <w:marTop w:val="20"/>
          <w:marBottom w:val="20"/>
          <w:divBdr>
            <w:top w:val="none" w:sz="0" w:space="0" w:color="auto"/>
            <w:left w:val="none" w:sz="0" w:space="0" w:color="auto"/>
            <w:bottom w:val="none" w:sz="0" w:space="0" w:color="auto"/>
            <w:right w:val="none" w:sz="0" w:space="0" w:color="auto"/>
          </w:divBdr>
        </w:div>
      </w:divsChild>
    </w:div>
    <w:div w:id="340814017">
      <w:bodyDiv w:val="1"/>
      <w:marLeft w:val="0"/>
      <w:marRight w:val="0"/>
      <w:marTop w:val="0"/>
      <w:marBottom w:val="0"/>
      <w:divBdr>
        <w:top w:val="none" w:sz="0" w:space="0" w:color="auto"/>
        <w:left w:val="none" w:sz="0" w:space="0" w:color="auto"/>
        <w:bottom w:val="none" w:sz="0" w:space="0" w:color="auto"/>
        <w:right w:val="none" w:sz="0" w:space="0" w:color="auto"/>
      </w:divBdr>
      <w:divsChild>
        <w:div w:id="965696576">
          <w:marLeft w:val="274"/>
          <w:marRight w:val="0"/>
          <w:marTop w:val="200"/>
          <w:marBottom w:val="0"/>
          <w:divBdr>
            <w:top w:val="none" w:sz="0" w:space="0" w:color="auto"/>
            <w:left w:val="none" w:sz="0" w:space="0" w:color="auto"/>
            <w:bottom w:val="none" w:sz="0" w:space="0" w:color="auto"/>
            <w:right w:val="none" w:sz="0" w:space="0" w:color="auto"/>
          </w:divBdr>
        </w:div>
        <w:div w:id="1096973191">
          <w:marLeft w:val="274"/>
          <w:marRight w:val="0"/>
          <w:marTop w:val="200"/>
          <w:marBottom w:val="0"/>
          <w:divBdr>
            <w:top w:val="none" w:sz="0" w:space="0" w:color="auto"/>
            <w:left w:val="none" w:sz="0" w:space="0" w:color="auto"/>
            <w:bottom w:val="none" w:sz="0" w:space="0" w:color="auto"/>
            <w:right w:val="none" w:sz="0" w:space="0" w:color="auto"/>
          </w:divBdr>
        </w:div>
      </w:divsChild>
    </w:div>
    <w:div w:id="347608468">
      <w:bodyDiv w:val="1"/>
      <w:marLeft w:val="0"/>
      <w:marRight w:val="0"/>
      <w:marTop w:val="0"/>
      <w:marBottom w:val="0"/>
      <w:divBdr>
        <w:top w:val="none" w:sz="0" w:space="0" w:color="auto"/>
        <w:left w:val="none" w:sz="0" w:space="0" w:color="auto"/>
        <w:bottom w:val="none" w:sz="0" w:space="0" w:color="auto"/>
        <w:right w:val="none" w:sz="0" w:space="0" w:color="auto"/>
      </w:divBdr>
    </w:div>
    <w:div w:id="364598018">
      <w:bodyDiv w:val="1"/>
      <w:marLeft w:val="0"/>
      <w:marRight w:val="0"/>
      <w:marTop w:val="0"/>
      <w:marBottom w:val="0"/>
      <w:divBdr>
        <w:top w:val="none" w:sz="0" w:space="0" w:color="auto"/>
        <w:left w:val="none" w:sz="0" w:space="0" w:color="auto"/>
        <w:bottom w:val="none" w:sz="0" w:space="0" w:color="auto"/>
        <w:right w:val="none" w:sz="0" w:space="0" w:color="auto"/>
      </w:divBdr>
      <w:divsChild>
        <w:div w:id="192765683">
          <w:marLeft w:val="274"/>
          <w:marRight w:val="0"/>
          <w:marTop w:val="0"/>
          <w:marBottom w:val="120"/>
          <w:divBdr>
            <w:top w:val="none" w:sz="0" w:space="0" w:color="auto"/>
            <w:left w:val="none" w:sz="0" w:space="0" w:color="auto"/>
            <w:bottom w:val="none" w:sz="0" w:space="0" w:color="auto"/>
            <w:right w:val="none" w:sz="0" w:space="0" w:color="auto"/>
          </w:divBdr>
        </w:div>
        <w:div w:id="512112071">
          <w:marLeft w:val="274"/>
          <w:marRight w:val="0"/>
          <w:marTop w:val="0"/>
          <w:marBottom w:val="120"/>
          <w:divBdr>
            <w:top w:val="none" w:sz="0" w:space="0" w:color="auto"/>
            <w:left w:val="none" w:sz="0" w:space="0" w:color="auto"/>
            <w:bottom w:val="none" w:sz="0" w:space="0" w:color="auto"/>
            <w:right w:val="none" w:sz="0" w:space="0" w:color="auto"/>
          </w:divBdr>
        </w:div>
        <w:div w:id="526942161">
          <w:marLeft w:val="274"/>
          <w:marRight w:val="0"/>
          <w:marTop w:val="0"/>
          <w:marBottom w:val="120"/>
          <w:divBdr>
            <w:top w:val="none" w:sz="0" w:space="0" w:color="auto"/>
            <w:left w:val="none" w:sz="0" w:space="0" w:color="auto"/>
            <w:bottom w:val="none" w:sz="0" w:space="0" w:color="auto"/>
            <w:right w:val="none" w:sz="0" w:space="0" w:color="auto"/>
          </w:divBdr>
        </w:div>
        <w:div w:id="529608200">
          <w:marLeft w:val="274"/>
          <w:marRight w:val="0"/>
          <w:marTop w:val="0"/>
          <w:marBottom w:val="120"/>
          <w:divBdr>
            <w:top w:val="none" w:sz="0" w:space="0" w:color="auto"/>
            <w:left w:val="none" w:sz="0" w:space="0" w:color="auto"/>
            <w:bottom w:val="none" w:sz="0" w:space="0" w:color="auto"/>
            <w:right w:val="none" w:sz="0" w:space="0" w:color="auto"/>
          </w:divBdr>
        </w:div>
        <w:div w:id="539976663">
          <w:marLeft w:val="274"/>
          <w:marRight w:val="0"/>
          <w:marTop w:val="0"/>
          <w:marBottom w:val="120"/>
          <w:divBdr>
            <w:top w:val="none" w:sz="0" w:space="0" w:color="auto"/>
            <w:left w:val="none" w:sz="0" w:space="0" w:color="auto"/>
            <w:bottom w:val="none" w:sz="0" w:space="0" w:color="auto"/>
            <w:right w:val="none" w:sz="0" w:space="0" w:color="auto"/>
          </w:divBdr>
        </w:div>
        <w:div w:id="566191182">
          <w:marLeft w:val="274"/>
          <w:marRight w:val="0"/>
          <w:marTop w:val="0"/>
          <w:marBottom w:val="120"/>
          <w:divBdr>
            <w:top w:val="none" w:sz="0" w:space="0" w:color="auto"/>
            <w:left w:val="none" w:sz="0" w:space="0" w:color="auto"/>
            <w:bottom w:val="none" w:sz="0" w:space="0" w:color="auto"/>
            <w:right w:val="none" w:sz="0" w:space="0" w:color="auto"/>
          </w:divBdr>
        </w:div>
        <w:div w:id="624427657">
          <w:marLeft w:val="274"/>
          <w:marRight w:val="0"/>
          <w:marTop w:val="0"/>
          <w:marBottom w:val="120"/>
          <w:divBdr>
            <w:top w:val="none" w:sz="0" w:space="0" w:color="auto"/>
            <w:left w:val="none" w:sz="0" w:space="0" w:color="auto"/>
            <w:bottom w:val="none" w:sz="0" w:space="0" w:color="auto"/>
            <w:right w:val="none" w:sz="0" w:space="0" w:color="auto"/>
          </w:divBdr>
        </w:div>
        <w:div w:id="642974506">
          <w:marLeft w:val="274"/>
          <w:marRight w:val="0"/>
          <w:marTop w:val="0"/>
          <w:marBottom w:val="120"/>
          <w:divBdr>
            <w:top w:val="none" w:sz="0" w:space="0" w:color="auto"/>
            <w:left w:val="none" w:sz="0" w:space="0" w:color="auto"/>
            <w:bottom w:val="none" w:sz="0" w:space="0" w:color="auto"/>
            <w:right w:val="none" w:sz="0" w:space="0" w:color="auto"/>
          </w:divBdr>
        </w:div>
        <w:div w:id="821584361">
          <w:marLeft w:val="274"/>
          <w:marRight w:val="0"/>
          <w:marTop w:val="0"/>
          <w:marBottom w:val="120"/>
          <w:divBdr>
            <w:top w:val="none" w:sz="0" w:space="0" w:color="auto"/>
            <w:left w:val="none" w:sz="0" w:space="0" w:color="auto"/>
            <w:bottom w:val="none" w:sz="0" w:space="0" w:color="auto"/>
            <w:right w:val="none" w:sz="0" w:space="0" w:color="auto"/>
          </w:divBdr>
        </w:div>
        <w:div w:id="858736484">
          <w:marLeft w:val="274"/>
          <w:marRight w:val="0"/>
          <w:marTop w:val="0"/>
          <w:marBottom w:val="120"/>
          <w:divBdr>
            <w:top w:val="none" w:sz="0" w:space="0" w:color="auto"/>
            <w:left w:val="none" w:sz="0" w:space="0" w:color="auto"/>
            <w:bottom w:val="none" w:sz="0" w:space="0" w:color="auto"/>
            <w:right w:val="none" w:sz="0" w:space="0" w:color="auto"/>
          </w:divBdr>
        </w:div>
        <w:div w:id="1293361748">
          <w:marLeft w:val="274"/>
          <w:marRight w:val="0"/>
          <w:marTop w:val="0"/>
          <w:marBottom w:val="120"/>
          <w:divBdr>
            <w:top w:val="none" w:sz="0" w:space="0" w:color="auto"/>
            <w:left w:val="none" w:sz="0" w:space="0" w:color="auto"/>
            <w:bottom w:val="none" w:sz="0" w:space="0" w:color="auto"/>
            <w:right w:val="none" w:sz="0" w:space="0" w:color="auto"/>
          </w:divBdr>
        </w:div>
        <w:div w:id="1686130918">
          <w:marLeft w:val="274"/>
          <w:marRight w:val="0"/>
          <w:marTop w:val="0"/>
          <w:marBottom w:val="120"/>
          <w:divBdr>
            <w:top w:val="none" w:sz="0" w:space="0" w:color="auto"/>
            <w:left w:val="none" w:sz="0" w:space="0" w:color="auto"/>
            <w:bottom w:val="none" w:sz="0" w:space="0" w:color="auto"/>
            <w:right w:val="none" w:sz="0" w:space="0" w:color="auto"/>
          </w:divBdr>
        </w:div>
        <w:div w:id="1802964228">
          <w:marLeft w:val="274"/>
          <w:marRight w:val="0"/>
          <w:marTop w:val="0"/>
          <w:marBottom w:val="120"/>
          <w:divBdr>
            <w:top w:val="none" w:sz="0" w:space="0" w:color="auto"/>
            <w:left w:val="none" w:sz="0" w:space="0" w:color="auto"/>
            <w:bottom w:val="none" w:sz="0" w:space="0" w:color="auto"/>
            <w:right w:val="none" w:sz="0" w:space="0" w:color="auto"/>
          </w:divBdr>
        </w:div>
        <w:div w:id="1989045239">
          <w:marLeft w:val="274"/>
          <w:marRight w:val="0"/>
          <w:marTop w:val="0"/>
          <w:marBottom w:val="120"/>
          <w:divBdr>
            <w:top w:val="none" w:sz="0" w:space="0" w:color="auto"/>
            <w:left w:val="none" w:sz="0" w:space="0" w:color="auto"/>
            <w:bottom w:val="none" w:sz="0" w:space="0" w:color="auto"/>
            <w:right w:val="none" w:sz="0" w:space="0" w:color="auto"/>
          </w:divBdr>
        </w:div>
        <w:div w:id="2039499906">
          <w:marLeft w:val="274"/>
          <w:marRight w:val="0"/>
          <w:marTop w:val="0"/>
          <w:marBottom w:val="120"/>
          <w:divBdr>
            <w:top w:val="none" w:sz="0" w:space="0" w:color="auto"/>
            <w:left w:val="none" w:sz="0" w:space="0" w:color="auto"/>
            <w:bottom w:val="none" w:sz="0" w:space="0" w:color="auto"/>
            <w:right w:val="none" w:sz="0" w:space="0" w:color="auto"/>
          </w:divBdr>
        </w:div>
        <w:div w:id="2100132878">
          <w:marLeft w:val="274"/>
          <w:marRight w:val="0"/>
          <w:marTop w:val="0"/>
          <w:marBottom w:val="120"/>
          <w:divBdr>
            <w:top w:val="none" w:sz="0" w:space="0" w:color="auto"/>
            <w:left w:val="none" w:sz="0" w:space="0" w:color="auto"/>
            <w:bottom w:val="none" w:sz="0" w:space="0" w:color="auto"/>
            <w:right w:val="none" w:sz="0" w:space="0" w:color="auto"/>
          </w:divBdr>
        </w:div>
      </w:divsChild>
    </w:div>
    <w:div w:id="384178474">
      <w:bodyDiv w:val="1"/>
      <w:marLeft w:val="0"/>
      <w:marRight w:val="0"/>
      <w:marTop w:val="0"/>
      <w:marBottom w:val="0"/>
      <w:divBdr>
        <w:top w:val="none" w:sz="0" w:space="0" w:color="auto"/>
        <w:left w:val="none" w:sz="0" w:space="0" w:color="auto"/>
        <w:bottom w:val="none" w:sz="0" w:space="0" w:color="auto"/>
        <w:right w:val="none" w:sz="0" w:space="0" w:color="auto"/>
      </w:divBdr>
    </w:div>
    <w:div w:id="387537289">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418451753">
      <w:bodyDiv w:val="1"/>
      <w:marLeft w:val="0"/>
      <w:marRight w:val="0"/>
      <w:marTop w:val="0"/>
      <w:marBottom w:val="0"/>
      <w:divBdr>
        <w:top w:val="none" w:sz="0" w:space="0" w:color="auto"/>
        <w:left w:val="none" w:sz="0" w:space="0" w:color="auto"/>
        <w:bottom w:val="none" w:sz="0" w:space="0" w:color="auto"/>
        <w:right w:val="none" w:sz="0" w:space="0" w:color="auto"/>
      </w:divBdr>
      <w:divsChild>
        <w:div w:id="120194174">
          <w:marLeft w:val="446"/>
          <w:marRight w:val="0"/>
          <w:marTop w:val="0"/>
          <w:marBottom w:val="0"/>
          <w:divBdr>
            <w:top w:val="none" w:sz="0" w:space="0" w:color="auto"/>
            <w:left w:val="none" w:sz="0" w:space="0" w:color="auto"/>
            <w:bottom w:val="none" w:sz="0" w:space="0" w:color="auto"/>
            <w:right w:val="none" w:sz="0" w:space="0" w:color="auto"/>
          </w:divBdr>
        </w:div>
        <w:div w:id="270743660">
          <w:marLeft w:val="446"/>
          <w:marRight w:val="0"/>
          <w:marTop w:val="0"/>
          <w:marBottom w:val="0"/>
          <w:divBdr>
            <w:top w:val="none" w:sz="0" w:space="0" w:color="auto"/>
            <w:left w:val="none" w:sz="0" w:space="0" w:color="auto"/>
            <w:bottom w:val="none" w:sz="0" w:space="0" w:color="auto"/>
            <w:right w:val="none" w:sz="0" w:space="0" w:color="auto"/>
          </w:divBdr>
        </w:div>
        <w:div w:id="657609021">
          <w:marLeft w:val="446"/>
          <w:marRight w:val="0"/>
          <w:marTop w:val="0"/>
          <w:marBottom w:val="0"/>
          <w:divBdr>
            <w:top w:val="none" w:sz="0" w:space="0" w:color="auto"/>
            <w:left w:val="none" w:sz="0" w:space="0" w:color="auto"/>
            <w:bottom w:val="none" w:sz="0" w:space="0" w:color="auto"/>
            <w:right w:val="none" w:sz="0" w:space="0" w:color="auto"/>
          </w:divBdr>
        </w:div>
        <w:div w:id="1370837988">
          <w:marLeft w:val="446"/>
          <w:marRight w:val="0"/>
          <w:marTop w:val="0"/>
          <w:marBottom w:val="0"/>
          <w:divBdr>
            <w:top w:val="none" w:sz="0" w:space="0" w:color="auto"/>
            <w:left w:val="none" w:sz="0" w:space="0" w:color="auto"/>
            <w:bottom w:val="none" w:sz="0" w:space="0" w:color="auto"/>
            <w:right w:val="none" w:sz="0" w:space="0" w:color="auto"/>
          </w:divBdr>
        </w:div>
        <w:div w:id="1532526060">
          <w:marLeft w:val="446"/>
          <w:marRight w:val="0"/>
          <w:marTop w:val="0"/>
          <w:marBottom w:val="0"/>
          <w:divBdr>
            <w:top w:val="none" w:sz="0" w:space="0" w:color="auto"/>
            <w:left w:val="none" w:sz="0" w:space="0" w:color="auto"/>
            <w:bottom w:val="none" w:sz="0" w:space="0" w:color="auto"/>
            <w:right w:val="none" w:sz="0" w:space="0" w:color="auto"/>
          </w:divBdr>
        </w:div>
        <w:div w:id="1898127784">
          <w:marLeft w:val="446"/>
          <w:marRight w:val="0"/>
          <w:marTop w:val="0"/>
          <w:marBottom w:val="0"/>
          <w:divBdr>
            <w:top w:val="none" w:sz="0" w:space="0" w:color="auto"/>
            <w:left w:val="none" w:sz="0" w:space="0" w:color="auto"/>
            <w:bottom w:val="none" w:sz="0" w:space="0" w:color="auto"/>
            <w:right w:val="none" w:sz="0" w:space="0" w:color="auto"/>
          </w:divBdr>
        </w:div>
        <w:div w:id="1987582757">
          <w:marLeft w:val="446"/>
          <w:marRight w:val="0"/>
          <w:marTop w:val="0"/>
          <w:marBottom w:val="0"/>
          <w:divBdr>
            <w:top w:val="none" w:sz="0" w:space="0" w:color="auto"/>
            <w:left w:val="none" w:sz="0" w:space="0" w:color="auto"/>
            <w:bottom w:val="none" w:sz="0" w:space="0" w:color="auto"/>
            <w:right w:val="none" w:sz="0" w:space="0" w:color="auto"/>
          </w:divBdr>
        </w:div>
      </w:divsChild>
    </w:div>
    <w:div w:id="423379431">
      <w:bodyDiv w:val="1"/>
      <w:marLeft w:val="0"/>
      <w:marRight w:val="0"/>
      <w:marTop w:val="0"/>
      <w:marBottom w:val="0"/>
      <w:divBdr>
        <w:top w:val="none" w:sz="0" w:space="0" w:color="auto"/>
        <w:left w:val="none" w:sz="0" w:space="0" w:color="auto"/>
        <w:bottom w:val="none" w:sz="0" w:space="0" w:color="auto"/>
        <w:right w:val="none" w:sz="0" w:space="0" w:color="auto"/>
      </w:divBdr>
    </w:div>
    <w:div w:id="448478935">
      <w:bodyDiv w:val="1"/>
      <w:marLeft w:val="0"/>
      <w:marRight w:val="0"/>
      <w:marTop w:val="0"/>
      <w:marBottom w:val="0"/>
      <w:divBdr>
        <w:top w:val="none" w:sz="0" w:space="0" w:color="auto"/>
        <w:left w:val="none" w:sz="0" w:space="0" w:color="auto"/>
        <w:bottom w:val="none" w:sz="0" w:space="0" w:color="auto"/>
        <w:right w:val="none" w:sz="0" w:space="0" w:color="auto"/>
      </w:divBdr>
    </w:div>
    <w:div w:id="492255478">
      <w:bodyDiv w:val="1"/>
      <w:marLeft w:val="0"/>
      <w:marRight w:val="0"/>
      <w:marTop w:val="0"/>
      <w:marBottom w:val="0"/>
      <w:divBdr>
        <w:top w:val="none" w:sz="0" w:space="0" w:color="auto"/>
        <w:left w:val="none" w:sz="0" w:space="0" w:color="auto"/>
        <w:bottom w:val="none" w:sz="0" w:space="0" w:color="auto"/>
        <w:right w:val="none" w:sz="0" w:space="0" w:color="auto"/>
      </w:divBdr>
    </w:div>
    <w:div w:id="537087247">
      <w:bodyDiv w:val="1"/>
      <w:marLeft w:val="0"/>
      <w:marRight w:val="0"/>
      <w:marTop w:val="0"/>
      <w:marBottom w:val="0"/>
      <w:divBdr>
        <w:top w:val="none" w:sz="0" w:space="0" w:color="auto"/>
        <w:left w:val="none" w:sz="0" w:space="0" w:color="auto"/>
        <w:bottom w:val="none" w:sz="0" w:space="0" w:color="auto"/>
        <w:right w:val="none" w:sz="0" w:space="0" w:color="auto"/>
      </w:divBdr>
    </w:div>
    <w:div w:id="543568256">
      <w:bodyDiv w:val="1"/>
      <w:marLeft w:val="0"/>
      <w:marRight w:val="0"/>
      <w:marTop w:val="0"/>
      <w:marBottom w:val="0"/>
      <w:divBdr>
        <w:top w:val="none" w:sz="0" w:space="0" w:color="auto"/>
        <w:left w:val="none" w:sz="0" w:space="0" w:color="auto"/>
        <w:bottom w:val="none" w:sz="0" w:space="0" w:color="auto"/>
        <w:right w:val="none" w:sz="0" w:space="0" w:color="auto"/>
      </w:divBdr>
    </w:div>
    <w:div w:id="580019339">
      <w:bodyDiv w:val="1"/>
      <w:marLeft w:val="0"/>
      <w:marRight w:val="0"/>
      <w:marTop w:val="0"/>
      <w:marBottom w:val="0"/>
      <w:divBdr>
        <w:top w:val="none" w:sz="0" w:space="0" w:color="auto"/>
        <w:left w:val="none" w:sz="0" w:space="0" w:color="auto"/>
        <w:bottom w:val="none" w:sz="0" w:space="0" w:color="auto"/>
        <w:right w:val="none" w:sz="0" w:space="0" w:color="auto"/>
      </w:divBdr>
      <w:divsChild>
        <w:div w:id="32390844">
          <w:marLeft w:val="230"/>
          <w:marRight w:val="0"/>
          <w:marTop w:val="60"/>
          <w:marBottom w:val="0"/>
          <w:divBdr>
            <w:top w:val="none" w:sz="0" w:space="0" w:color="auto"/>
            <w:left w:val="none" w:sz="0" w:space="0" w:color="auto"/>
            <w:bottom w:val="none" w:sz="0" w:space="0" w:color="auto"/>
            <w:right w:val="none" w:sz="0" w:space="0" w:color="auto"/>
          </w:divBdr>
        </w:div>
        <w:div w:id="280497611">
          <w:marLeft w:val="230"/>
          <w:marRight w:val="0"/>
          <w:marTop w:val="60"/>
          <w:marBottom w:val="0"/>
          <w:divBdr>
            <w:top w:val="none" w:sz="0" w:space="0" w:color="auto"/>
            <w:left w:val="none" w:sz="0" w:space="0" w:color="auto"/>
            <w:bottom w:val="none" w:sz="0" w:space="0" w:color="auto"/>
            <w:right w:val="none" w:sz="0" w:space="0" w:color="auto"/>
          </w:divBdr>
        </w:div>
        <w:div w:id="867837036">
          <w:marLeft w:val="230"/>
          <w:marRight w:val="0"/>
          <w:marTop w:val="60"/>
          <w:marBottom w:val="0"/>
          <w:divBdr>
            <w:top w:val="none" w:sz="0" w:space="0" w:color="auto"/>
            <w:left w:val="none" w:sz="0" w:space="0" w:color="auto"/>
            <w:bottom w:val="none" w:sz="0" w:space="0" w:color="auto"/>
            <w:right w:val="none" w:sz="0" w:space="0" w:color="auto"/>
          </w:divBdr>
        </w:div>
      </w:divsChild>
    </w:div>
    <w:div w:id="599292709">
      <w:bodyDiv w:val="1"/>
      <w:marLeft w:val="0"/>
      <w:marRight w:val="0"/>
      <w:marTop w:val="0"/>
      <w:marBottom w:val="0"/>
      <w:divBdr>
        <w:top w:val="none" w:sz="0" w:space="0" w:color="auto"/>
        <w:left w:val="none" w:sz="0" w:space="0" w:color="auto"/>
        <w:bottom w:val="none" w:sz="0" w:space="0" w:color="auto"/>
        <w:right w:val="none" w:sz="0" w:space="0" w:color="auto"/>
      </w:divBdr>
      <w:divsChild>
        <w:div w:id="452869996">
          <w:marLeft w:val="274"/>
          <w:marRight w:val="0"/>
          <w:marTop w:val="0"/>
          <w:marBottom w:val="0"/>
          <w:divBdr>
            <w:top w:val="none" w:sz="0" w:space="0" w:color="auto"/>
            <w:left w:val="none" w:sz="0" w:space="0" w:color="auto"/>
            <w:bottom w:val="none" w:sz="0" w:space="0" w:color="auto"/>
            <w:right w:val="none" w:sz="0" w:space="0" w:color="auto"/>
          </w:divBdr>
        </w:div>
        <w:div w:id="859391353">
          <w:marLeft w:val="274"/>
          <w:marRight w:val="0"/>
          <w:marTop w:val="0"/>
          <w:marBottom w:val="0"/>
          <w:divBdr>
            <w:top w:val="none" w:sz="0" w:space="0" w:color="auto"/>
            <w:left w:val="none" w:sz="0" w:space="0" w:color="auto"/>
            <w:bottom w:val="none" w:sz="0" w:space="0" w:color="auto"/>
            <w:right w:val="none" w:sz="0" w:space="0" w:color="auto"/>
          </w:divBdr>
        </w:div>
      </w:divsChild>
    </w:div>
    <w:div w:id="625085407">
      <w:bodyDiv w:val="1"/>
      <w:marLeft w:val="0"/>
      <w:marRight w:val="0"/>
      <w:marTop w:val="0"/>
      <w:marBottom w:val="0"/>
      <w:divBdr>
        <w:top w:val="none" w:sz="0" w:space="0" w:color="auto"/>
        <w:left w:val="none" w:sz="0" w:space="0" w:color="auto"/>
        <w:bottom w:val="none" w:sz="0" w:space="0" w:color="auto"/>
        <w:right w:val="none" w:sz="0" w:space="0" w:color="auto"/>
      </w:divBdr>
    </w:div>
    <w:div w:id="662045201">
      <w:bodyDiv w:val="1"/>
      <w:marLeft w:val="0"/>
      <w:marRight w:val="0"/>
      <w:marTop w:val="0"/>
      <w:marBottom w:val="0"/>
      <w:divBdr>
        <w:top w:val="none" w:sz="0" w:space="0" w:color="auto"/>
        <w:left w:val="none" w:sz="0" w:space="0" w:color="auto"/>
        <w:bottom w:val="none" w:sz="0" w:space="0" w:color="auto"/>
        <w:right w:val="none" w:sz="0" w:space="0" w:color="auto"/>
      </w:divBdr>
    </w:div>
    <w:div w:id="665062137">
      <w:bodyDiv w:val="1"/>
      <w:marLeft w:val="0"/>
      <w:marRight w:val="0"/>
      <w:marTop w:val="0"/>
      <w:marBottom w:val="0"/>
      <w:divBdr>
        <w:top w:val="none" w:sz="0" w:space="0" w:color="auto"/>
        <w:left w:val="none" w:sz="0" w:space="0" w:color="auto"/>
        <w:bottom w:val="none" w:sz="0" w:space="0" w:color="auto"/>
        <w:right w:val="none" w:sz="0" w:space="0" w:color="auto"/>
      </w:divBdr>
    </w:div>
    <w:div w:id="726151783">
      <w:bodyDiv w:val="1"/>
      <w:marLeft w:val="0"/>
      <w:marRight w:val="0"/>
      <w:marTop w:val="0"/>
      <w:marBottom w:val="0"/>
      <w:divBdr>
        <w:top w:val="none" w:sz="0" w:space="0" w:color="auto"/>
        <w:left w:val="none" w:sz="0" w:space="0" w:color="auto"/>
        <w:bottom w:val="none" w:sz="0" w:space="0" w:color="auto"/>
        <w:right w:val="none" w:sz="0" w:space="0" w:color="auto"/>
      </w:divBdr>
      <w:divsChild>
        <w:div w:id="1078208225">
          <w:marLeft w:val="274"/>
          <w:marRight w:val="0"/>
          <w:marTop w:val="0"/>
          <w:marBottom w:val="0"/>
          <w:divBdr>
            <w:top w:val="none" w:sz="0" w:space="0" w:color="auto"/>
            <w:left w:val="none" w:sz="0" w:space="0" w:color="auto"/>
            <w:bottom w:val="none" w:sz="0" w:space="0" w:color="auto"/>
            <w:right w:val="none" w:sz="0" w:space="0" w:color="auto"/>
          </w:divBdr>
        </w:div>
      </w:divsChild>
    </w:div>
    <w:div w:id="738017274">
      <w:bodyDiv w:val="1"/>
      <w:marLeft w:val="0"/>
      <w:marRight w:val="0"/>
      <w:marTop w:val="0"/>
      <w:marBottom w:val="0"/>
      <w:divBdr>
        <w:top w:val="none" w:sz="0" w:space="0" w:color="auto"/>
        <w:left w:val="none" w:sz="0" w:space="0" w:color="auto"/>
        <w:bottom w:val="none" w:sz="0" w:space="0" w:color="auto"/>
        <w:right w:val="none" w:sz="0" w:space="0" w:color="auto"/>
      </w:divBdr>
    </w:div>
    <w:div w:id="751199044">
      <w:bodyDiv w:val="1"/>
      <w:marLeft w:val="0"/>
      <w:marRight w:val="0"/>
      <w:marTop w:val="0"/>
      <w:marBottom w:val="0"/>
      <w:divBdr>
        <w:top w:val="none" w:sz="0" w:space="0" w:color="auto"/>
        <w:left w:val="none" w:sz="0" w:space="0" w:color="auto"/>
        <w:bottom w:val="none" w:sz="0" w:space="0" w:color="auto"/>
        <w:right w:val="none" w:sz="0" w:space="0" w:color="auto"/>
      </w:divBdr>
    </w:div>
    <w:div w:id="765922341">
      <w:bodyDiv w:val="1"/>
      <w:marLeft w:val="0"/>
      <w:marRight w:val="0"/>
      <w:marTop w:val="0"/>
      <w:marBottom w:val="0"/>
      <w:divBdr>
        <w:top w:val="none" w:sz="0" w:space="0" w:color="auto"/>
        <w:left w:val="none" w:sz="0" w:space="0" w:color="auto"/>
        <w:bottom w:val="none" w:sz="0" w:space="0" w:color="auto"/>
        <w:right w:val="none" w:sz="0" w:space="0" w:color="auto"/>
      </w:divBdr>
    </w:div>
    <w:div w:id="783110087">
      <w:bodyDiv w:val="1"/>
      <w:marLeft w:val="0"/>
      <w:marRight w:val="0"/>
      <w:marTop w:val="0"/>
      <w:marBottom w:val="0"/>
      <w:divBdr>
        <w:top w:val="none" w:sz="0" w:space="0" w:color="auto"/>
        <w:left w:val="none" w:sz="0" w:space="0" w:color="auto"/>
        <w:bottom w:val="none" w:sz="0" w:space="0" w:color="auto"/>
        <w:right w:val="none" w:sz="0" w:space="0" w:color="auto"/>
      </w:divBdr>
    </w:div>
    <w:div w:id="794831579">
      <w:bodyDiv w:val="1"/>
      <w:marLeft w:val="0"/>
      <w:marRight w:val="0"/>
      <w:marTop w:val="0"/>
      <w:marBottom w:val="0"/>
      <w:divBdr>
        <w:top w:val="none" w:sz="0" w:space="0" w:color="auto"/>
        <w:left w:val="none" w:sz="0" w:space="0" w:color="auto"/>
        <w:bottom w:val="none" w:sz="0" w:space="0" w:color="auto"/>
        <w:right w:val="none" w:sz="0" w:space="0" w:color="auto"/>
      </w:divBdr>
      <w:divsChild>
        <w:div w:id="65734977">
          <w:marLeft w:val="274"/>
          <w:marRight w:val="0"/>
          <w:marTop w:val="0"/>
          <w:marBottom w:val="0"/>
          <w:divBdr>
            <w:top w:val="none" w:sz="0" w:space="0" w:color="auto"/>
            <w:left w:val="none" w:sz="0" w:space="0" w:color="auto"/>
            <w:bottom w:val="none" w:sz="0" w:space="0" w:color="auto"/>
            <w:right w:val="none" w:sz="0" w:space="0" w:color="auto"/>
          </w:divBdr>
        </w:div>
        <w:div w:id="437221734">
          <w:marLeft w:val="274"/>
          <w:marRight w:val="0"/>
          <w:marTop w:val="0"/>
          <w:marBottom w:val="0"/>
          <w:divBdr>
            <w:top w:val="none" w:sz="0" w:space="0" w:color="auto"/>
            <w:left w:val="none" w:sz="0" w:space="0" w:color="auto"/>
            <w:bottom w:val="none" w:sz="0" w:space="0" w:color="auto"/>
            <w:right w:val="none" w:sz="0" w:space="0" w:color="auto"/>
          </w:divBdr>
        </w:div>
        <w:div w:id="522667576">
          <w:marLeft w:val="274"/>
          <w:marRight w:val="0"/>
          <w:marTop w:val="0"/>
          <w:marBottom w:val="0"/>
          <w:divBdr>
            <w:top w:val="none" w:sz="0" w:space="0" w:color="auto"/>
            <w:left w:val="none" w:sz="0" w:space="0" w:color="auto"/>
            <w:bottom w:val="none" w:sz="0" w:space="0" w:color="auto"/>
            <w:right w:val="none" w:sz="0" w:space="0" w:color="auto"/>
          </w:divBdr>
        </w:div>
        <w:div w:id="633369306">
          <w:marLeft w:val="274"/>
          <w:marRight w:val="0"/>
          <w:marTop w:val="0"/>
          <w:marBottom w:val="0"/>
          <w:divBdr>
            <w:top w:val="none" w:sz="0" w:space="0" w:color="auto"/>
            <w:left w:val="none" w:sz="0" w:space="0" w:color="auto"/>
            <w:bottom w:val="none" w:sz="0" w:space="0" w:color="auto"/>
            <w:right w:val="none" w:sz="0" w:space="0" w:color="auto"/>
          </w:divBdr>
        </w:div>
        <w:div w:id="702247736">
          <w:marLeft w:val="274"/>
          <w:marRight w:val="0"/>
          <w:marTop w:val="0"/>
          <w:marBottom w:val="0"/>
          <w:divBdr>
            <w:top w:val="none" w:sz="0" w:space="0" w:color="auto"/>
            <w:left w:val="none" w:sz="0" w:space="0" w:color="auto"/>
            <w:bottom w:val="none" w:sz="0" w:space="0" w:color="auto"/>
            <w:right w:val="none" w:sz="0" w:space="0" w:color="auto"/>
          </w:divBdr>
        </w:div>
        <w:div w:id="721750661">
          <w:marLeft w:val="274"/>
          <w:marRight w:val="0"/>
          <w:marTop w:val="0"/>
          <w:marBottom w:val="0"/>
          <w:divBdr>
            <w:top w:val="none" w:sz="0" w:space="0" w:color="auto"/>
            <w:left w:val="none" w:sz="0" w:space="0" w:color="auto"/>
            <w:bottom w:val="none" w:sz="0" w:space="0" w:color="auto"/>
            <w:right w:val="none" w:sz="0" w:space="0" w:color="auto"/>
          </w:divBdr>
        </w:div>
        <w:div w:id="782576097">
          <w:marLeft w:val="274"/>
          <w:marRight w:val="0"/>
          <w:marTop w:val="0"/>
          <w:marBottom w:val="0"/>
          <w:divBdr>
            <w:top w:val="none" w:sz="0" w:space="0" w:color="auto"/>
            <w:left w:val="none" w:sz="0" w:space="0" w:color="auto"/>
            <w:bottom w:val="none" w:sz="0" w:space="0" w:color="auto"/>
            <w:right w:val="none" w:sz="0" w:space="0" w:color="auto"/>
          </w:divBdr>
        </w:div>
        <w:div w:id="808940473">
          <w:marLeft w:val="274"/>
          <w:marRight w:val="0"/>
          <w:marTop w:val="0"/>
          <w:marBottom w:val="0"/>
          <w:divBdr>
            <w:top w:val="none" w:sz="0" w:space="0" w:color="auto"/>
            <w:left w:val="none" w:sz="0" w:space="0" w:color="auto"/>
            <w:bottom w:val="none" w:sz="0" w:space="0" w:color="auto"/>
            <w:right w:val="none" w:sz="0" w:space="0" w:color="auto"/>
          </w:divBdr>
        </w:div>
        <w:div w:id="823618412">
          <w:marLeft w:val="274"/>
          <w:marRight w:val="0"/>
          <w:marTop w:val="0"/>
          <w:marBottom w:val="0"/>
          <w:divBdr>
            <w:top w:val="none" w:sz="0" w:space="0" w:color="auto"/>
            <w:left w:val="none" w:sz="0" w:space="0" w:color="auto"/>
            <w:bottom w:val="none" w:sz="0" w:space="0" w:color="auto"/>
            <w:right w:val="none" w:sz="0" w:space="0" w:color="auto"/>
          </w:divBdr>
        </w:div>
        <w:div w:id="876359402">
          <w:marLeft w:val="274"/>
          <w:marRight w:val="0"/>
          <w:marTop w:val="0"/>
          <w:marBottom w:val="0"/>
          <w:divBdr>
            <w:top w:val="none" w:sz="0" w:space="0" w:color="auto"/>
            <w:left w:val="none" w:sz="0" w:space="0" w:color="auto"/>
            <w:bottom w:val="none" w:sz="0" w:space="0" w:color="auto"/>
            <w:right w:val="none" w:sz="0" w:space="0" w:color="auto"/>
          </w:divBdr>
        </w:div>
        <w:div w:id="913130693">
          <w:marLeft w:val="274"/>
          <w:marRight w:val="0"/>
          <w:marTop w:val="0"/>
          <w:marBottom w:val="0"/>
          <w:divBdr>
            <w:top w:val="none" w:sz="0" w:space="0" w:color="auto"/>
            <w:left w:val="none" w:sz="0" w:space="0" w:color="auto"/>
            <w:bottom w:val="none" w:sz="0" w:space="0" w:color="auto"/>
            <w:right w:val="none" w:sz="0" w:space="0" w:color="auto"/>
          </w:divBdr>
        </w:div>
        <w:div w:id="966204494">
          <w:marLeft w:val="274"/>
          <w:marRight w:val="0"/>
          <w:marTop w:val="0"/>
          <w:marBottom w:val="0"/>
          <w:divBdr>
            <w:top w:val="none" w:sz="0" w:space="0" w:color="auto"/>
            <w:left w:val="none" w:sz="0" w:space="0" w:color="auto"/>
            <w:bottom w:val="none" w:sz="0" w:space="0" w:color="auto"/>
            <w:right w:val="none" w:sz="0" w:space="0" w:color="auto"/>
          </w:divBdr>
        </w:div>
        <w:div w:id="1175681200">
          <w:marLeft w:val="274"/>
          <w:marRight w:val="0"/>
          <w:marTop w:val="0"/>
          <w:marBottom w:val="0"/>
          <w:divBdr>
            <w:top w:val="none" w:sz="0" w:space="0" w:color="auto"/>
            <w:left w:val="none" w:sz="0" w:space="0" w:color="auto"/>
            <w:bottom w:val="none" w:sz="0" w:space="0" w:color="auto"/>
            <w:right w:val="none" w:sz="0" w:space="0" w:color="auto"/>
          </w:divBdr>
        </w:div>
        <w:div w:id="1202396877">
          <w:marLeft w:val="274"/>
          <w:marRight w:val="0"/>
          <w:marTop w:val="0"/>
          <w:marBottom w:val="0"/>
          <w:divBdr>
            <w:top w:val="none" w:sz="0" w:space="0" w:color="auto"/>
            <w:left w:val="none" w:sz="0" w:space="0" w:color="auto"/>
            <w:bottom w:val="none" w:sz="0" w:space="0" w:color="auto"/>
            <w:right w:val="none" w:sz="0" w:space="0" w:color="auto"/>
          </w:divBdr>
        </w:div>
        <w:div w:id="1408917756">
          <w:marLeft w:val="274"/>
          <w:marRight w:val="0"/>
          <w:marTop w:val="0"/>
          <w:marBottom w:val="0"/>
          <w:divBdr>
            <w:top w:val="none" w:sz="0" w:space="0" w:color="auto"/>
            <w:left w:val="none" w:sz="0" w:space="0" w:color="auto"/>
            <w:bottom w:val="none" w:sz="0" w:space="0" w:color="auto"/>
            <w:right w:val="none" w:sz="0" w:space="0" w:color="auto"/>
          </w:divBdr>
        </w:div>
        <w:div w:id="1422019474">
          <w:marLeft w:val="274"/>
          <w:marRight w:val="0"/>
          <w:marTop w:val="0"/>
          <w:marBottom w:val="0"/>
          <w:divBdr>
            <w:top w:val="none" w:sz="0" w:space="0" w:color="auto"/>
            <w:left w:val="none" w:sz="0" w:space="0" w:color="auto"/>
            <w:bottom w:val="none" w:sz="0" w:space="0" w:color="auto"/>
            <w:right w:val="none" w:sz="0" w:space="0" w:color="auto"/>
          </w:divBdr>
        </w:div>
        <w:div w:id="1443955835">
          <w:marLeft w:val="274"/>
          <w:marRight w:val="0"/>
          <w:marTop w:val="0"/>
          <w:marBottom w:val="0"/>
          <w:divBdr>
            <w:top w:val="none" w:sz="0" w:space="0" w:color="auto"/>
            <w:left w:val="none" w:sz="0" w:space="0" w:color="auto"/>
            <w:bottom w:val="none" w:sz="0" w:space="0" w:color="auto"/>
            <w:right w:val="none" w:sz="0" w:space="0" w:color="auto"/>
          </w:divBdr>
        </w:div>
        <w:div w:id="1473281770">
          <w:marLeft w:val="274"/>
          <w:marRight w:val="0"/>
          <w:marTop w:val="0"/>
          <w:marBottom w:val="0"/>
          <w:divBdr>
            <w:top w:val="none" w:sz="0" w:space="0" w:color="auto"/>
            <w:left w:val="none" w:sz="0" w:space="0" w:color="auto"/>
            <w:bottom w:val="none" w:sz="0" w:space="0" w:color="auto"/>
            <w:right w:val="none" w:sz="0" w:space="0" w:color="auto"/>
          </w:divBdr>
        </w:div>
        <w:div w:id="1514303707">
          <w:marLeft w:val="274"/>
          <w:marRight w:val="0"/>
          <w:marTop w:val="0"/>
          <w:marBottom w:val="0"/>
          <w:divBdr>
            <w:top w:val="none" w:sz="0" w:space="0" w:color="auto"/>
            <w:left w:val="none" w:sz="0" w:space="0" w:color="auto"/>
            <w:bottom w:val="none" w:sz="0" w:space="0" w:color="auto"/>
            <w:right w:val="none" w:sz="0" w:space="0" w:color="auto"/>
          </w:divBdr>
        </w:div>
        <w:div w:id="2064481447">
          <w:marLeft w:val="274"/>
          <w:marRight w:val="0"/>
          <w:marTop w:val="0"/>
          <w:marBottom w:val="0"/>
          <w:divBdr>
            <w:top w:val="none" w:sz="0" w:space="0" w:color="auto"/>
            <w:left w:val="none" w:sz="0" w:space="0" w:color="auto"/>
            <w:bottom w:val="none" w:sz="0" w:space="0" w:color="auto"/>
            <w:right w:val="none" w:sz="0" w:space="0" w:color="auto"/>
          </w:divBdr>
        </w:div>
        <w:div w:id="2097749341">
          <w:marLeft w:val="274"/>
          <w:marRight w:val="0"/>
          <w:marTop w:val="0"/>
          <w:marBottom w:val="0"/>
          <w:divBdr>
            <w:top w:val="none" w:sz="0" w:space="0" w:color="auto"/>
            <w:left w:val="none" w:sz="0" w:space="0" w:color="auto"/>
            <w:bottom w:val="none" w:sz="0" w:space="0" w:color="auto"/>
            <w:right w:val="none" w:sz="0" w:space="0" w:color="auto"/>
          </w:divBdr>
        </w:div>
        <w:div w:id="2125810180">
          <w:marLeft w:val="274"/>
          <w:marRight w:val="0"/>
          <w:marTop w:val="0"/>
          <w:marBottom w:val="0"/>
          <w:divBdr>
            <w:top w:val="none" w:sz="0" w:space="0" w:color="auto"/>
            <w:left w:val="none" w:sz="0" w:space="0" w:color="auto"/>
            <w:bottom w:val="none" w:sz="0" w:space="0" w:color="auto"/>
            <w:right w:val="none" w:sz="0" w:space="0" w:color="auto"/>
          </w:divBdr>
        </w:div>
      </w:divsChild>
    </w:div>
    <w:div w:id="800341150">
      <w:bodyDiv w:val="1"/>
      <w:marLeft w:val="0"/>
      <w:marRight w:val="0"/>
      <w:marTop w:val="0"/>
      <w:marBottom w:val="0"/>
      <w:divBdr>
        <w:top w:val="none" w:sz="0" w:space="0" w:color="auto"/>
        <w:left w:val="none" w:sz="0" w:space="0" w:color="auto"/>
        <w:bottom w:val="none" w:sz="0" w:space="0" w:color="auto"/>
        <w:right w:val="none" w:sz="0" w:space="0" w:color="auto"/>
      </w:divBdr>
      <w:divsChild>
        <w:div w:id="161042949">
          <w:marLeft w:val="274"/>
          <w:marRight w:val="0"/>
          <w:marTop w:val="120"/>
          <w:marBottom w:val="0"/>
          <w:divBdr>
            <w:top w:val="none" w:sz="0" w:space="0" w:color="auto"/>
            <w:left w:val="none" w:sz="0" w:space="0" w:color="auto"/>
            <w:bottom w:val="none" w:sz="0" w:space="0" w:color="auto"/>
            <w:right w:val="none" w:sz="0" w:space="0" w:color="auto"/>
          </w:divBdr>
        </w:div>
        <w:div w:id="816188544">
          <w:marLeft w:val="274"/>
          <w:marRight w:val="0"/>
          <w:marTop w:val="120"/>
          <w:marBottom w:val="0"/>
          <w:divBdr>
            <w:top w:val="none" w:sz="0" w:space="0" w:color="auto"/>
            <w:left w:val="none" w:sz="0" w:space="0" w:color="auto"/>
            <w:bottom w:val="none" w:sz="0" w:space="0" w:color="auto"/>
            <w:right w:val="none" w:sz="0" w:space="0" w:color="auto"/>
          </w:divBdr>
        </w:div>
        <w:div w:id="1300190299">
          <w:marLeft w:val="274"/>
          <w:marRight w:val="0"/>
          <w:marTop w:val="120"/>
          <w:marBottom w:val="0"/>
          <w:divBdr>
            <w:top w:val="none" w:sz="0" w:space="0" w:color="auto"/>
            <w:left w:val="none" w:sz="0" w:space="0" w:color="auto"/>
            <w:bottom w:val="none" w:sz="0" w:space="0" w:color="auto"/>
            <w:right w:val="none" w:sz="0" w:space="0" w:color="auto"/>
          </w:divBdr>
        </w:div>
        <w:div w:id="1514303967">
          <w:marLeft w:val="274"/>
          <w:marRight w:val="0"/>
          <w:marTop w:val="120"/>
          <w:marBottom w:val="0"/>
          <w:divBdr>
            <w:top w:val="none" w:sz="0" w:space="0" w:color="auto"/>
            <w:left w:val="none" w:sz="0" w:space="0" w:color="auto"/>
            <w:bottom w:val="none" w:sz="0" w:space="0" w:color="auto"/>
            <w:right w:val="none" w:sz="0" w:space="0" w:color="auto"/>
          </w:divBdr>
        </w:div>
      </w:divsChild>
    </w:div>
    <w:div w:id="809202475">
      <w:bodyDiv w:val="1"/>
      <w:marLeft w:val="0"/>
      <w:marRight w:val="0"/>
      <w:marTop w:val="0"/>
      <w:marBottom w:val="0"/>
      <w:divBdr>
        <w:top w:val="none" w:sz="0" w:space="0" w:color="auto"/>
        <w:left w:val="none" w:sz="0" w:space="0" w:color="auto"/>
        <w:bottom w:val="none" w:sz="0" w:space="0" w:color="auto"/>
        <w:right w:val="none" w:sz="0" w:space="0" w:color="auto"/>
      </w:divBdr>
    </w:div>
    <w:div w:id="827131145">
      <w:bodyDiv w:val="1"/>
      <w:marLeft w:val="0"/>
      <w:marRight w:val="0"/>
      <w:marTop w:val="0"/>
      <w:marBottom w:val="0"/>
      <w:divBdr>
        <w:top w:val="none" w:sz="0" w:space="0" w:color="auto"/>
        <w:left w:val="none" w:sz="0" w:space="0" w:color="auto"/>
        <w:bottom w:val="none" w:sz="0" w:space="0" w:color="auto"/>
        <w:right w:val="none" w:sz="0" w:space="0" w:color="auto"/>
      </w:divBdr>
      <w:divsChild>
        <w:div w:id="1919246060">
          <w:marLeft w:val="274"/>
          <w:marRight w:val="0"/>
          <w:marTop w:val="0"/>
          <w:marBottom w:val="0"/>
          <w:divBdr>
            <w:top w:val="none" w:sz="0" w:space="0" w:color="auto"/>
            <w:left w:val="none" w:sz="0" w:space="0" w:color="auto"/>
            <w:bottom w:val="none" w:sz="0" w:space="0" w:color="auto"/>
            <w:right w:val="none" w:sz="0" w:space="0" w:color="auto"/>
          </w:divBdr>
        </w:div>
      </w:divsChild>
    </w:div>
    <w:div w:id="837505297">
      <w:bodyDiv w:val="1"/>
      <w:marLeft w:val="0"/>
      <w:marRight w:val="0"/>
      <w:marTop w:val="0"/>
      <w:marBottom w:val="0"/>
      <w:divBdr>
        <w:top w:val="none" w:sz="0" w:space="0" w:color="auto"/>
        <w:left w:val="none" w:sz="0" w:space="0" w:color="auto"/>
        <w:bottom w:val="none" w:sz="0" w:space="0" w:color="auto"/>
        <w:right w:val="none" w:sz="0" w:space="0" w:color="auto"/>
      </w:divBdr>
      <w:divsChild>
        <w:div w:id="143399687">
          <w:marLeft w:val="274"/>
          <w:marRight w:val="0"/>
          <w:marTop w:val="0"/>
          <w:marBottom w:val="0"/>
          <w:divBdr>
            <w:top w:val="none" w:sz="0" w:space="0" w:color="auto"/>
            <w:left w:val="none" w:sz="0" w:space="0" w:color="auto"/>
            <w:bottom w:val="none" w:sz="0" w:space="0" w:color="auto"/>
            <w:right w:val="none" w:sz="0" w:space="0" w:color="auto"/>
          </w:divBdr>
        </w:div>
        <w:div w:id="345444838">
          <w:marLeft w:val="274"/>
          <w:marRight w:val="0"/>
          <w:marTop w:val="0"/>
          <w:marBottom w:val="0"/>
          <w:divBdr>
            <w:top w:val="none" w:sz="0" w:space="0" w:color="auto"/>
            <w:left w:val="none" w:sz="0" w:space="0" w:color="auto"/>
            <w:bottom w:val="none" w:sz="0" w:space="0" w:color="auto"/>
            <w:right w:val="none" w:sz="0" w:space="0" w:color="auto"/>
          </w:divBdr>
        </w:div>
        <w:div w:id="1719209358">
          <w:marLeft w:val="274"/>
          <w:marRight w:val="0"/>
          <w:marTop w:val="0"/>
          <w:marBottom w:val="0"/>
          <w:divBdr>
            <w:top w:val="none" w:sz="0" w:space="0" w:color="auto"/>
            <w:left w:val="none" w:sz="0" w:space="0" w:color="auto"/>
            <w:bottom w:val="none" w:sz="0" w:space="0" w:color="auto"/>
            <w:right w:val="none" w:sz="0" w:space="0" w:color="auto"/>
          </w:divBdr>
        </w:div>
      </w:divsChild>
    </w:div>
    <w:div w:id="869411557">
      <w:bodyDiv w:val="1"/>
      <w:marLeft w:val="0"/>
      <w:marRight w:val="0"/>
      <w:marTop w:val="0"/>
      <w:marBottom w:val="0"/>
      <w:divBdr>
        <w:top w:val="none" w:sz="0" w:space="0" w:color="auto"/>
        <w:left w:val="none" w:sz="0" w:space="0" w:color="auto"/>
        <w:bottom w:val="none" w:sz="0" w:space="0" w:color="auto"/>
        <w:right w:val="none" w:sz="0" w:space="0" w:color="auto"/>
      </w:divBdr>
    </w:div>
    <w:div w:id="898128482">
      <w:bodyDiv w:val="1"/>
      <w:marLeft w:val="0"/>
      <w:marRight w:val="0"/>
      <w:marTop w:val="0"/>
      <w:marBottom w:val="0"/>
      <w:divBdr>
        <w:top w:val="none" w:sz="0" w:space="0" w:color="auto"/>
        <w:left w:val="none" w:sz="0" w:space="0" w:color="auto"/>
        <w:bottom w:val="none" w:sz="0" w:space="0" w:color="auto"/>
        <w:right w:val="none" w:sz="0" w:space="0" w:color="auto"/>
      </w:divBdr>
      <w:divsChild>
        <w:div w:id="502282828">
          <w:marLeft w:val="274"/>
          <w:marRight w:val="0"/>
          <w:marTop w:val="200"/>
          <w:marBottom w:val="0"/>
          <w:divBdr>
            <w:top w:val="none" w:sz="0" w:space="0" w:color="auto"/>
            <w:left w:val="none" w:sz="0" w:space="0" w:color="auto"/>
            <w:bottom w:val="none" w:sz="0" w:space="0" w:color="auto"/>
            <w:right w:val="none" w:sz="0" w:space="0" w:color="auto"/>
          </w:divBdr>
        </w:div>
        <w:div w:id="1423188772">
          <w:marLeft w:val="274"/>
          <w:marRight w:val="0"/>
          <w:marTop w:val="200"/>
          <w:marBottom w:val="0"/>
          <w:divBdr>
            <w:top w:val="none" w:sz="0" w:space="0" w:color="auto"/>
            <w:left w:val="none" w:sz="0" w:space="0" w:color="auto"/>
            <w:bottom w:val="none" w:sz="0" w:space="0" w:color="auto"/>
            <w:right w:val="none" w:sz="0" w:space="0" w:color="auto"/>
          </w:divBdr>
        </w:div>
        <w:div w:id="1987858289">
          <w:marLeft w:val="274"/>
          <w:marRight w:val="0"/>
          <w:marTop w:val="200"/>
          <w:marBottom w:val="0"/>
          <w:divBdr>
            <w:top w:val="none" w:sz="0" w:space="0" w:color="auto"/>
            <w:left w:val="none" w:sz="0" w:space="0" w:color="auto"/>
            <w:bottom w:val="none" w:sz="0" w:space="0" w:color="auto"/>
            <w:right w:val="none" w:sz="0" w:space="0" w:color="auto"/>
          </w:divBdr>
        </w:div>
      </w:divsChild>
    </w:div>
    <w:div w:id="901794682">
      <w:bodyDiv w:val="1"/>
      <w:marLeft w:val="0"/>
      <w:marRight w:val="0"/>
      <w:marTop w:val="0"/>
      <w:marBottom w:val="0"/>
      <w:divBdr>
        <w:top w:val="none" w:sz="0" w:space="0" w:color="auto"/>
        <w:left w:val="none" w:sz="0" w:space="0" w:color="auto"/>
        <w:bottom w:val="none" w:sz="0" w:space="0" w:color="auto"/>
        <w:right w:val="none" w:sz="0" w:space="0" w:color="auto"/>
      </w:divBdr>
      <w:divsChild>
        <w:div w:id="62873408">
          <w:marLeft w:val="446"/>
          <w:marRight w:val="0"/>
          <w:marTop w:val="0"/>
          <w:marBottom w:val="0"/>
          <w:divBdr>
            <w:top w:val="none" w:sz="0" w:space="0" w:color="auto"/>
            <w:left w:val="none" w:sz="0" w:space="0" w:color="auto"/>
            <w:bottom w:val="none" w:sz="0" w:space="0" w:color="auto"/>
            <w:right w:val="none" w:sz="0" w:space="0" w:color="auto"/>
          </w:divBdr>
        </w:div>
        <w:div w:id="165170289">
          <w:marLeft w:val="446"/>
          <w:marRight w:val="0"/>
          <w:marTop w:val="0"/>
          <w:marBottom w:val="0"/>
          <w:divBdr>
            <w:top w:val="none" w:sz="0" w:space="0" w:color="auto"/>
            <w:left w:val="none" w:sz="0" w:space="0" w:color="auto"/>
            <w:bottom w:val="none" w:sz="0" w:space="0" w:color="auto"/>
            <w:right w:val="none" w:sz="0" w:space="0" w:color="auto"/>
          </w:divBdr>
        </w:div>
        <w:div w:id="678509283">
          <w:marLeft w:val="446"/>
          <w:marRight w:val="0"/>
          <w:marTop w:val="0"/>
          <w:marBottom w:val="0"/>
          <w:divBdr>
            <w:top w:val="none" w:sz="0" w:space="0" w:color="auto"/>
            <w:left w:val="none" w:sz="0" w:space="0" w:color="auto"/>
            <w:bottom w:val="none" w:sz="0" w:space="0" w:color="auto"/>
            <w:right w:val="none" w:sz="0" w:space="0" w:color="auto"/>
          </w:divBdr>
        </w:div>
        <w:div w:id="1577202461">
          <w:marLeft w:val="446"/>
          <w:marRight w:val="0"/>
          <w:marTop w:val="0"/>
          <w:marBottom w:val="0"/>
          <w:divBdr>
            <w:top w:val="none" w:sz="0" w:space="0" w:color="auto"/>
            <w:left w:val="none" w:sz="0" w:space="0" w:color="auto"/>
            <w:bottom w:val="none" w:sz="0" w:space="0" w:color="auto"/>
            <w:right w:val="none" w:sz="0" w:space="0" w:color="auto"/>
          </w:divBdr>
        </w:div>
        <w:div w:id="1623001097">
          <w:marLeft w:val="446"/>
          <w:marRight w:val="0"/>
          <w:marTop w:val="0"/>
          <w:marBottom w:val="0"/>
          <w:divBdr>
            <w:top w:val="none" w:sz="0" w:space="0" w:color="auto"/>
            <w:left w:val="none" w:sz="0" w:space="0" w:color="auto"/>
            <w:bottom w:val="none" w:sz="0" w:space="0" w:color="auto"/>
            <w:right w:val="none" w:sz="0" w:space="0" w:color="auto"/>
          </w:divBdr>
        </w:div>
        <w:div w:id="1732802696">
          <w:marLeft w:val="446"/>
          <w:marRight w:val="0"/>
          <w:marTop w:val="0"/>
          <w:marBottom w:val="0"/>
          <w:divBdr>
            <w:top w:val="none" w:sz="0" w:space="0" w:color="auto"/>
            <w:left w:val="none" w:sz="0" w:space="0" w:color="auto"/>
            <w:bottom w:val="none" w:sz="0" w:space="0" w:color="auto"/>
            <w:right w:val="none" w:sz="0" w:space="0" w:color="auto"/>
          </w:divBdr>
        </w:div>
        <w:div w:id="2133593471">
          <w:marLeft w:val="446"/>
          <w:marRight w:val="0"/>
          <w:marTop w:val="0"/>
          <w:marBottom w:val="0"/>
          <w:divBdr>
            <w:top w:val="none" w:sz="0" w:space="0" w:color="auto"/>
            <w:left w:val="none" w:sz="0" w:space="0" w:color="auto"/>
            <w:bottom w:val="none" w:sz="0" w:space="0" w:color="auto"/>
            <w:right w:val="none" w:sz="0" w:space="0" w:color="auto"/>
          </w:divBdr>
        </w:div>
      </w:divsChild>
    </w:div>
    <w:div w:id="917522560">
      <w:bodyDiv w:val="1"/>
      <w:marLeft w:val="0"/>
      <w:marRight w:val="0"/>
      <w:marTop w:val="0"/>
      <w:marBottom w:val="0"/>
      <w:divBdr>
        <w:top w:val="none" w:sz="0" w:space="0" w:color="auto"/>
        <w:left w:val="none" w:sz="0" w:space="0" w:color="auto"/>
        <w:bottom w:val="none" w:sz="0" w:space="0" w:color="auto"/>
        <w:right w:val="none" w:sz="0" w:space="0" w:color="auto"/>
      </w:divBdr>
      <w:divsChild>
        <w:div w:id="157616553">
          <w:marLeft w:val="1066"/>
          <w:marRight w:val="0"/>
          <w:marTop w:val="0"/>
          <w:marBottom w:val="60"/>
          <w:divBdr>
            <w:top w:val="none" w:sz="0" w:space="0" w:color="auto"/>
            <w:left w:val="none" w:sz="0" w:space="0" w:color="auto"/>
            <w:bottom w:val="none" w:sz="0" w:space="0" w:color="auto"/>
            <w:right w:val="none" w:sz="0" w:space="0" w:color="auto"/>
          </w:divBdr>
        </w:div>
        <w:div w:id="169952246">
          <w:marLeft w:val="1066"/>
          <w:marRight w:val="0"/>
          <w:marTop w:val="0"/>
          <w:marBottom w:val="60"/>
          <w:divBdr>
            <w:top w:val="none" w:sz="0" w:space="0" w:color="auto"/>
            <w:left w:val="none" w:sz="0" w:space="0" w:color="auto"/>
            <w:bottom w:val="none" w:sz="0" w:space="0" w:color="auto"/>
            <w:right w:val="none" w:sz="0" w:space="0" w:color="auto"/>
          </w:divBdr>
        </w:div>
        <w:div w:id="193814930">
          <w:marLeft w:val="346"/>
          <w:marRight w:val="0"/>
          <w:marTop w:val="0"/>
          <w:marBottom w:val="60"/>
          <w:divBdr>
            <w:top w:val="none" w:sz="0" w:space="0" w:color="auto"/>
            <w:left w:val="none" w:sz="0" w:space="0" w:color="auto"/>
            <w:bottom w:val="none" w:sz="0" w:space="0" w:color="auto"/>
            <w:right w:val="none" w:sz="0" w:space="0" w:color="auto"/>
          </w:divBdr>
        </w:div>
        <w:div w:id="1346593964">
          <w:marLeft w:val="1066"/>
          <w:marRight w:val="0"/>
          <w:marTop w:val="0"/>
          <w:marBottom w:val="60"/>
          <w:divBdr>
            <w:top w:val="none" w:sz="0" w:space="0" w:color="auto"/>
            <w:left w:val="none" w:sz="0" w:space="0" w:color="auto"/>
            <w:bottom w:val="none" w:sz="0" w:space="0" w:color="auto"/>
            <w:right w:val="none" w:sz="0" w:space="0" w:color="auto"/>
          </w:divBdr>
        </w:div>
        <w:div w:id="1396395630">
          <w:marLeft w:val="1066"/>
          <w:marRight w:val="0"/>
          <w:marTop w:val="0"/>
          <w:marBottom w:val="60"/>
          <w:divBdr>
            <w:top w:val="none" w:sz="0" w:space="0" w:color="auto"/>
            <w:left w:val="none" w:sz="0" w:space="0" w:color="auto"/>
            <w:bottom w:val="none" w:sz="0" w:space="0" w:color="auto"/>
            <w:right w:val="none" w:sz="0" w:space="0" w:color="auto"/>
          </w:divBdr>
        </w:div>
        <w:div w:id="1557006341">
          <w:marLeft w:val="1066"/>
          <w:marRight w:val="0"/>
          <w:marTop w:val="0"/>
          <w:marBottom w:val="60"/>
          <w:divBdr>
            <w:top w:val="none" w:sz="0" w:space="0" w:color="auto"/>
            <w:left w:val="none" w:sz="0" w:space="0" w:color="auto"/>
            <w:bottom w:val="none" w:sz="0" w:space="0" w:color="auto"/>
            <w:right w:val="none" w:sz="0" w:space="0" w:color="auto"/>
          </w:divBdr>
        </w:div>
      </w:divsChild>
    </w:div>
    <w:div w:id="929047026">
      <w:bodyDiv w:val="1"/>
      <w:marLeft w:val="0"/>
      <w:marRight w:val="0"/>
      <w:marTop w:val="0"/>
      <w:marBottom w:val="0"/>
      <w:divBdr>
        <w:top w:val="none" w:sz="0" w:space="0" w:color="auto"/>
        <w:left w:val="none" w:sz="0" w:space="0" w:color="auto"/>
        <w:bottom w:val="none" w:sz="0" w:space="0" w:color="auto"/>
        <w:right w:val="none" w:sz="0" w:space="0" w:color="auto"/>
      </w:divBdr>
    </w:div>
    <w:div w:id="931475914">
      <w:bodyDiv w:val="1"/>
      <w:marLeft w:val="0"/>
      <w:marRight w:val="0"/>
      <w:marTop w:val="0"/>
      <w:marBottom w:val="0"/>
      <w:divBdr>
        <w:top w:val="none" w:sz="0" w:space="0" w:color="auto"/>
        <w:left w:val="none" w:sz="0" w:space="0" w:color="auto"/>
        <w:bottom w:val="none" w:sz="0" w:space="0" w:color="auto"/>
        <w:right w:val="none" w:sz="0" w:space="0" w:color="auto"/>
      </w:divBdr>
    </w:div>
    <w:div w:id="933513587">
      <w:bodyDiv w:val="1"/>
      <w:marLeft w:val="0"/>
      <w:marRight w:val="0"/>
      <w:marTop w:val="0"/>
      <w:marBottom w:val="0"/>
      <w:divBdr>
        <w:top w:val="none" w:sz="0" w:space="0" w:color="auto"/>
        <w:left w:val="none" w:sz="0" w:space="0" w:color="auto"/>
        <w:bottom w:val="none" w:sz="0" w:space="0" w:color="auto"/>
        <w:right w:val="none" w:sz="0" w:space="0" w:color="auto"/>
      </w:divBdr>
    </w:div>
    <w:div w:id="939065771">
      <w:bodyDiv w:val="1"/>
      <w:marLeft w:val="0"/>
      <w:marRight w:val="0"/>
      <w:marTop w:val="0"/>
      <w:marBottom w:val="0"/>
      <w:divBdr>
        <w:top w:val="none" w:sz="0" w:space="0" w:color="auto"/>
        <w:left w:val="none" w:sz="0" w:space="0" w:color="auto"/>
        <w:bottom w:val="none" w:sz="0" w:space="0" w:color="auto"/>
        <w:right w:val="none" w:sz="0" w:space="0" w:color="auto"/>
      </w:divBdr>
      <w:divsChild>
        <w:div w:id="329911551">
          <w:marLeft w:val="274"/>
          <w:marRight w:val="0"/>
          <w:marTop w:val="0"/>
          <w:marBottom w:val="0"/>
          <w:divBdr>
            <w:top w:val="none" w:sz="0" w:space="0" w:color="auto"/>
            <w:left w:val="none" w:sz="0" w:space="0" w:color="auto"/>
            <w:bottom w:val="none" w:sz="0" w:space="0" w:color="auto"/>
            <w:right w:val="none" w:sz="0" w:space="0" w:color="auto"/>
          </w:divBdr>
        </w:div>
        <w:div w:id="821118826">
          <w:marLeft w:val="274"/>
          <w:marRight w:val="0"/>
          <w:marTop w:val="0"/>
          <w:marBottom w:val="0"/>
          <w:divBdr>
            <w:top w:val="none" w:sz="0" w:space="0" w:color="auto"/>
            <w:left w:val="none" w:sz="0" w:space="0" w:color="auto"/>
            <w:bottom w:val="none" w:sz="0" w:space="0" w:color="auto"/>
            <w:right w:val="none" w:sz="0" w:space="0" w:color="auto"/>
          </w:divBdr>
        </w:div>
        <w:div w:id="1261063682">
          <w:marLeft w:val="274"/>
          <w:marRight w:val="0"/>
          <w:marTop w:val="0"/>
          <w:marBottom w:val="0"/>
          <w:divBdr>
            <w:top w:val="none" w:sz="0" w:space="0" w:color="auto"/>
            <w:left w:val="none" w:sz="0" w:space="0" w:color="auto"/>
            <w:bottom w:val="none" w:sz="0" w:space="0" w:color="auto"/>
            <w:right w:val="none" w:sz="0" w:space="0" w:color="auto"/>
          </w:divBdr>
        </w:div>
      </w:divsChild>
    </w:div>
    <w:div w:id="941498213">
      <w:bodyDiv w:val="1"/>
      <w:marLeft w:val="0"/>
      <w:marRight w:val="0"/>
      <w:marTop w:val="0"/>
      <w:marBottom w:val="0"/>
      <w:divBdr>
        <w:top w:val="none" w:sz="0" w:space="0" w:color="auto"/>
        <w:left w:val="none" w:sz="0" w:space="0" w:color="auto"/>
        <w:bottom w:val="none" w:sz="0" w:space="0" w:color="auto"/>
        <w:right w:val="none" w:sz="0" w:space="0" w:color="auto"/>
      </w:divBdr>
      <w:divsChild>
        <w:div w:id="1693451869">
          <w:marLeft w:val="173"/>
          <w:marRight w:val="0"/>
          <w:marTop w:val="0"/>
          <w:marBottom w:val="0"/>
          <w:divBdr>
            <w:top w:val="none" w:sz="0" w:space="0" w:color="auto"/>
            <w:left w:val="none" w:sz="0" w:space="0" w:color="auto"/>
            <w:bottom w:val="none" w:sz="0" w:space="0" w:color="auto"/>
            <w:right w:val="none" w:sz="0" w:space="0" w:color="auto"/>
          </w:divBdr>
        </w:div>
      </w:divsChild>
    </w:div>
    <w:div w:id="965811554">
      <w:bodyDiv w:val="1"/>
      <w:marLeft w:val="0"/>
      <w:marRight w:val="0"/>
      <w:marTop w:val="0"/>
      <w:marBottom w:val="0"/>
      <w:divBdr>
        <w:top w:val="none" w:sz="0" w:space="0" w:color="auto"/>
        <w:left w:val="none" w:sz="0" w:space="0" w:color="auto"/>
        <w:bottom w:val="none" w:sz="0" w:space="0" w:color="auto"/>
        <w:right w:val="none" w:sz="0" w:space="0" w:color="auto"/>
      </w:divBdr>
    </w:div>
    <w:div w:id="976452483">
      <w:bodyDiv w:val="1"/>
      <w:marLeft w:val="0"/>
      <w:marRight w:val="0"/>
      <w:marTop w:val="0"/>
      <w:marBottom w:val="0"/>
      <w:divBdr>
        <w:top w:val="none" w:sz="0" w:space="0" w:color="auto"/>
        <w:left w:val="none" w:sz="0" w:space="0" w:color="auto"/>
        <w:bottom w:val="none" w:sz="0" w:space="0" w:color="auto"/>
        <w:right w:val="none" w:sz="0" w:space="0" w:color="auto"/>
      </w:divBdr>
    </w:div>
    <w:div w:id="983853870">
      <w:bodyDiv w:val="1"/>
      <w:marLeft w:val="0"/>
      <w:marRight w:val="0"/>
      <w:marTop w:val="0"/>
      <w:marBottom w:val="0"/>
      <w:divBdr>
        <w:top w:val="none" w:sz="0" w:space="0" w:color="auto"/>
        <w:left w:val="none" w:sz="0" w:space="0" w:color="auto"/>
        <w:bottom w:val="none" w:sz="0" w:space="0" w:color="auto"/>
        <w:right w:val="none" w:sz="0" w:space="0" w:color="auto"/>
      </w:divBdr>
      <w:divsChild>
        <w:div w:id="234827980">
          <w:marLeft w:val="274"/>
          <w:marRight w:val="0"/>
          <w:marTop w:val="200"/>
          <w:marBottom w:val="0"/>
          <w:divBdr>
            <w:top w:val="none" w:sz="0" w:space="0" w:color="auto"/>
            <w:left w:val="none" w:sz="0" w:space="0" w:color="auto"/>
            <w:bottom w:val="none" w:sz="0" w:space="0" w:color="auto"/>
            <w:right w:val="none" w:sz="0" w:space="0" w:color="auto"/>
          </w:divBdr>
        </w:div>
        <w:div w:id="271982831">
          <w:marLeft w:val="274"/>
          <w:marRight w:val="0"/>
          <w:marTop w:val="200"/>
          <w:marBottom w:val="0"/>
          <w:divBdr>
            <w:top w:val="none" w:sz="0" w:space="0" w:color="auto"/>
            <w:left w:val="none" w:sz="0" w:space="0" w:color="auto"/>
            <w:bottom w:val="none" w:sz="0" w:space="0" w:color="auto"/>
            <w:right w:val="none" w:sz="0" w:space="0" w:color="auto"/>
          </w:divBdr>
        </w:div>
        <w:div w:id="600573453">
          <w:marLeft w:val="274"/>
          <w:marRight w:val="0"/>
          <w:marTop w:val="200"/>
          <w:marBottom w:val="0"/>
          <w:divBdr>
            <w:top w:val="none" w:sz="0" w:space="0" w:color="auto"/>
            <w:left w:val="none" w:sz="0" w:space="0" w:color="auto"/>
            <w:bottom w:val="none" w:sz="0" w:space="0" w:color="auto"/>
            <w:right w:val="none" w:sz="0" w:space="0" w:color="auto"/>
          </w:divBdr>
        </w:div>
        <w:div w:id="901212318">
          <w:marLeft w:val="274"/>
          <w:marRight w:val="0"/>
          <w:marTop w:val="200"/>
          <w:marBottom w:val="0"/>
          <w:divBdr>
            <w:top w:val="none" w:sz="0" w:space="0" w:color="auto"/>
            <w:left w:val="none" w:sz="0" w:space="0" w:color="auto"/>
            <w:bottom w:val="none" w:sz="0" w:space="0" w:color="auto"/>
            <w:right w:val="none" w:sz="0" w:space="0" w:color="auto"/>
          </w:divBdr>
        </w:div>
        <w:div w:id="906719438">
          <w:marLeft w:val="274"/>
          <w:marRight w:val="0"/>
          <w:marTop w:val="200"/>
          <w:marBottom w:val="0"/>
          <w:divBdr>
            <w:top w:val="none" w:sz="0" w:space="0" w:color="auto"/>
            <w:left w:val="none" w:sz="0" w:space="0" w:color="auto"/>
            <w:bottom w:val="none" w:sz="0" w:space="0" w:color="auto"/>
            <w:right w:val="none" w:sz="0" w:space="0" w:color="auto"/>
          </w:divBdr>
        </w:div>
        <w:div w:id="1894535274">
          <w:marLeft w:val="274"/>
          <w:marRight w:val="0"/>
          <w:marTop w:val="200"/>
          <w:marBottom w:val="0"/>
          <w:divBdr>
            <w:top w:val="none" w:sz="0" w:space="0" w:color="auto"/>
            <w:left w:val="none" w:sz="0" w:space="0" w:color="auto"/>
            <w:bottom w:val="none" w:sz="0" w:space="0" w:color="auto"/>
            <w:right w:val="none" w:sz="0" w:space="0" w:color="auto"/>
          </w:divBdr>
        </w:div>
      </w:divsChild>
    </w:div>
    <w:div w:id="1011108901">
      <w:bodyDiv w:val="1"/>
      <w:marLeft w:val="0"/>
      <w:marRight w:val="0"/>
      <w:marTop w:val="0"/>
      <w:marBottom w:val="0"/>
      <w:divBdr>
        <w:top w:val="none" w:sz="0" w:space="0" w:color="auto"/>
        <w:left w:val="none" w:sz="0" w:space="0" w:color="auto"/>
        <w:bottom w:val="none" w:sz="0" w:space="0" w:color="auto"/>
        <w:right w:val="none" w:sz="0" w:space="0" w:color="auto"/>
      </w:divBdr>
      <w:divsChild>
        <w:div w:id="1824462797">
          <w:marLeft w:val="274"/>
          <w:marRight w:val="0"/>
          <w:marTop w:val="0"/>
          <w:marBottom w:val="0"/>
          <w:divBdr>
            <w:top w:val="none" w:sz="0" w:space="0" w:color="auto"/>
            <w:left w:val="none" w:sz="0" w:space="0" w:color="auto"/>
            <w:bottom w:val="none" w:sz="0" w:space="0" w:color="auto"/>
            <w:right w:val="none" w:sz="0" w:space="0" w:color="auto"/>
          </w:divBdr>
        </w:div>
        <w:div w:id="34550417">
          <w:marLeft w:val="274"/>
          <w:marRight w:val="0"/>
          <w:marTop w:val="0"/>
          <w:marBottom w:val="0"/>
          <w:divBdr>
            <w:top w:val="none" w:sz="0" w:space="0" w:color="auto"/>
            <w:left w:val="none" w:sz="0" w:space="0" w:color="auto"/>
            <w:bottom w:val="none" w:sz="0" w:space="0" w:color="auto"/>
            <w:right w:val="none" w:sz="0" w:space="0" w:color="auto"/>
          </w:divBdr>
        </w:div>
      </w:divsChild>
    </w:div>
    <w:div w:id="1020010839">
      <w:bodyDiv w:val="1"/>
      <w:marLeft w:val="0"/>
      <w:marRight w:val="0"/>
      <w:marTop w:val="0"/>
      <w:marBottom w:val="0"/>
      <w:divBdr>
        <w:top w:val="none" w:sz="0" w:space="0" w:color="auto"/>
        <w:left w:val="none" w:sz="0" w:space="0" w:color="auto"/>
        <w:bottom w:val="none" w:sz="0" w:space="0" w:color="auto"/>
        <w:right w:val="none" w:sz="0" w:space="0" w:color="auto"/>
      </w:divBdr>
    </w:div>
    <w:div w:id="1027563163">
      <w:bodyDiv w:val="1"/>
      <w:marLeft w:val="0"/>
      <w:marRight w:val="0"/>
      <w:marTop w:val="0"/>
      <w:marBottom w:val="0"/>
      <w:divBdr>
        <w:top w:val="none" w:sz="0" w:space="0" w:color="auto"/>
        <w:left w:val="none" w:sz="0" w:space="0" w:color="auto"/>
        <w:bottom w:val="none" w:sz="0" w:space="0" w:color="auto"/>
        <w:right w:val="none" w:sz="0" w:space="0" w:color="auto"/>
      </w:divBdr>
    </w:div>
    <w:div w:id="1066605961">
      <w:bodyDiv w:val="1"/>
      <w:marLeft w:val="0"/>
      <w:marRight w:val="0"/>
      <w:marTop w:val="0"/>
      <w:marBottom w:val="0"/>
      <w:divBdr>
        <w:top w:val="none" w:sz="0" w:space="0" w:color="auto"/>
        <w:left w:val="none" w:sz="0" w:space="0" w:color="auto"/>
        <w:bottom w:val="none" w:sz="0" w:space="0" w:color="auto"/>
        <w:right w:val="none" w:sz="0" w:space="0" w:color="auto"/>
      </w:divBdr>
      <w:divsChild>
        <w:div w:id="30502264">
          <w:marLeft w:val="274"/>
          <w:marRight w:val="0"/>
          <w:marTop w:val="0"/>
          <w:marBottom w:val="0"/>
          <w:divBdr>
            <w:top w:val="none" w:sz="0" w:space="0" w:color="auto"/>
            <w:left w:val="none" w:sz="0" w:space="0" w:color="auto"/>
            <w:bottom w:val="none" w:sz="0" w:space="0" w:color="auto"/>
            <w:right w:val="none" w:sz="0" w:space="0" w:color="auto"/>
          </w:divBdr>
        </w:div>
        <w:div w:id="725179135">
          <w:marLeft w:val="274"/>
          <w:marRight w:val="0"/>
          <w:marTop w:val="0"/>
          <w:marBottom w:val="0"/>
          <w:divBdr>
            <w:top w:val="none" w:sz="0" w:space="0" w:color="auto"/>
            <w:left w:val="none" w:sz="0" w:space="0" w:color="auto"/>
            <w:bottom w:val="none" w:sz="0" w:space="0" w:color="auto"/>
            <w:right w:val="none" w:sz="0" w:space="0" w:color="auto"/>
          </w:divBdr>
        </w:div>
        <w:div w:id="1624266418">
          <w:marLeft w:val="274"/>
          <w:marRight w:val="0"/>
          <w:marTop w:val="0"/>
          <w:marBottom w:val="0"/>
          <w:divBdr>
            <w:top w:val="none" w:sz="0" w:space="0" w:color="auto"/>
            <w:left w:val="none" w:sz="0" w:space="0" w:color="auto"/>
            <w:bottom w:val="none" w:sz="0" w:space="0" w:color="auto"/>
            <w:right w:val="none" w:sz="0" w:space="0" w:color="auto"/>
          </w:divBdr>
        </w:div>
      </w:divsChild>
    </w:div>
    <w:div w:id="1078215552">
      <w:bodyDiv w:val="1"/>
      <w:marLeft w:val="0"/>
      <w:marRight w:val="0"/>
      <w:marTop w:val="0"/>
      <w:marBottom w:val="0"/>
      <w:divBdr>
        <w:top w:val="none" w:sz="0" w:space="0" w:color="auto"/>
        <w:left w:val="none" w:sz="0" w:space="0" w:color="auto"/>
        <w:bottom w:val="none" w:sz="0" w:space="0" w:color="auto"/>
        <w:right w:val="none" w:sz="0" w:space="0" w:color="auto"/>
      </w:divBdr>
    </w:div>
    <w:div w:id="1086997415">
      <w:bodyDiv w:val="1"/>
      <w:marLeft w:val="0"/>
      <w:marRight w:val="0"/>
      <w:marTop w:val="0"/>
      <w:marBottom w:val="0"/>
      <w:divBdr>
        <w:top w:val="none" w:sz="0" w:space="0" w:color="auto"/>
        <w:left w:val="none" w:sz="0" w:space="0" w:color="auto"/>
        <w:bottom w:val="none" w:sz="0" w:space="0" w:color="auto"/>
        <w:right w:val="none" w:sz="0" w:space="0" w:color="auto"/>
      </w:divBdr>
      <w:divsChild>
        <w:div w:id="837424837">
          <w:marLeft w:val="274"/>
          <w:marRight w:val="0"/>
          <w:marTop w:val="0"/>
          <w:marBottom w:val="0"/>
          <w:divBdr>
            <w:top w:val="none" w:sz="0" w:space="0" w:color="auto"/>
            <w:left w:val="none" w:sz="0" w:space="0" w:color="auto"/>
            <w:bottom w:val="none" w:sz="0" w:space="0" w:color="auto"/>
            <w:right w:val="none" w:sz="0" w:space="0" w:color="auto"/>
          </w:divBdr>
        </w:div>
        <w:div w:id="1142239036">
          <w:marLeft w:val="274"/>
          <w:marRight w:val="0"/>
          <w:marTop w:val="0"/>
          <w:marBottom w:val="0"/>
          <w:divBdr>
            <w:top w:val="none" w:sz="0" w:space="0" w:color="auto"/>
            <w:left w:val="none" w:sz="0" w:space="0" w:color="auto"/>
            <w:bottom w:val="none" w:sz="0" w:space="0" w:color="auto"/>
            <w:right w:val="none" w:sz="0" w:space="0" w:color="auto"/>
          </w:divBdr>
        </w:div>
      </w:divsChild>
    </w:div>
    <w:div w:id="1101221478">
      <w:bodyDiv w:val="1"/>
      <w:marLeft w:val="0"/>
      <w:marRight w:val="0"/>
      <w:marTop w:val="0"/>
      <w:marBottom w:val="0"/>
      <w:divBdr>
        <w:top w:val="none" w:sz="0" w:space="0" w:color="auto"/>
        <w:left w:val="none" w:sz="0" w:space="0" w:color="auto"/>
        <w:bottom w:val="none" w:sz="0" w:space="0" w:color="auto"/>
        <w:right w:val="none" w:sz="0" w:space="0" w:color="auto"/>
      </w:divBdr>
    </w:div>
    <w:div w:id="1106000437">
      <w:bodyDiv w:val="1"/>
      <w:marLeft w:val="0"/>
      <w:marRight w:val="0"/>
      <w:marTop w:val="0"/>
      <w:marBottom w:val="0"/>
      <w:divBdr>
        <w:top w:val="none" w:sz="0" w:space="0" w:color="auto"/>
        <w:left w:val="none" w:sz="0" w:space="0" w:color="auto"/>
        <w:bottom w:val="none" w:sz="0" w:space="0" w:color="auto"/>
        <w:right w:val="none" w:sz="0" w:space="0" w:color="auto"/>
      </w:divBdr>
    </w:div>
    <w:div w:id="1134105277">
      <w:bodyDiv w:val="1"/>
      <w:marLeft w:val="0"/>
      <w:marRight w:val="0"/>
      <w:marTop w:val="0"/>
      <w:marBottom w:val="0"/>
      <w:divBdr>
        <w:top w:val="none" w:sz="0" w:space="0" w:color="auto"/>
        <w:left w:val="none" w:sz="0" w:space="0" w:color="auto"/>
        <w:bottom w:val="none" w:sz="0" w:space="0" w:color="auto"/>
        <w:right w:val="none" w:sz="0" w:space="0" w:color="auto"/>
      </w:divBdr>
    </w:div>
    <w:div w:id="1142116335">
      <w:bodyDiv w:val="1"/>
      <w:marLeft w:val="0"/>
      <w:marRight w:val="0"/>
      <w:marTop w:val="0"/>
      <w:marBottom w:val="0"/>
      <w:divBdr>
        <w:top w:val="none" w:sz="0" w:space="0" w:color="auto"/>
        <w:left w:val="none" w:sz="0" w:space="0" w:color="auto"/>
        <w:bottom w:val="none" w:sz="0" w:space="0" w:color="auto"/>
        <w:right w:val="none" w:sz="0" w:space="0" w:color="auto"/>
      </w:divBdr>
    </w:div>
    <w:div w:id="1147358695">
      <w:bodyDiv w:val="1"/>
      <w:marLeft w:val="0"/>
      <w:marRight w:val="0"/>
      <w:marTop w:val="0"/>
      <w:marBottom w:val="0"/>
      <w:divBdr>
        <w:top w:val="none" w:sz="0" w:space="0" w:color="auto"/>
        <w:left w:val="none" w:sz="0" w:space="0" w:color="auto"/>
        <w:bottom w:val="none" w:sz="0" w:space="0" w:color="auto"/>
        <w:right w:val="none" w:sz="0" w:space="0" w:color="auto"/>
      </w:divBdr>
    </w:div>
    <w:div w:id="1148747463">
      <w:bodyDiv w:val="1"/>
      <w:marLeft w:val="0"/>
      <w:marRight w:val="0"/>
      <w:marTop w:val="0"/>
      <w:marBottom w:val="0"/>
      <w:divBdr>
        <w:top w:val="none" w:sz="0" w:space="0" w:color="auto"/>
        <w:left w:val="none" w:sz="0" w:space="0" w:color="auto"/>
        <w:bottom w:val="none" w:sz="0" w:space="0" w:color="auto"/>
        <w:right w:val="none" w:sz="0" w:space="0" w:color="auto"/>
      </w:divBdr>
    </w:div>
    <w:div w:id="1153444996">
      <w:bodyDiv w:val="1"/>
      <w:marLeft w:val="0"/>
      <w:marRight w:val="0"/>
      <w:marTop w:val="0"/>
      <w:marBottom w:val="0"/>
      <w:divBdr>
        <w:top w:val="none" w:sz="0" w:space="0" w:color="auto"/>
        <w:left w:val="none" w:sz="0" w:space="0" w:color="auto"/>
        <w:bottom w:val="none" w:sz="0" w:space="0" w:color="auto"/>
        <w:right w:val="none" w:sz="0" w:space="0" w:color="auto"/>
      </w:divBdr>
    </w:div>
    <w:div w:id="1153525002">
      <w:bodyDiv w:val="1"/>
      <w:marLeft w:val="0"/>
      <w:marRight w:val="0"/>
      <w:marTop w:val="0"/>
      <w:marBottom w:val="0"/>
      <w:divBdr>
        <w:top w:val="none" w:sz="0" w:space="0" w:color="auto"/>
        <w:left w:val="none" w:sz="0" w:space="0" w:color="auto"/>
        <w:bottom w:val="none" w:sz="0" w:space="0" w:color="auto"/>
        <w:right w:val="none" w:sz="0" w:space="0" w:color="auto"/>
      </w:divBdr>
      <w:divsChild>
        <w:div w:id="1145514849">
          <w:marLeft w:val="274"/>
          <w:marRight w:val="0"/>
          <w:marTop w:val="0"/>
          <w:marBottom w:val="0"/>
          <w:divBdr>
            <w:top w:val="none" w:sz="0" w:space="0" w:color="auto"/>
            <w:left w:val="none" w:sz="0" w:space="0" w:color="auto"/>
            <w:bottom w:val="none" w:sz="0" w:space="0" w:color="auto"/>
            <w:right w:val="none" w:sz="0" w:space="0" w:color="auto"/>
          </w:divBdr>
        </w:div>
        <w:div w:id="1280801148">
          <w:marLeft w:val="274"/>
          <w:marRight w:val="0"/>
          <w:marTop w:val="0"/>
          <w:marBottom w:val="0"/>
          <w:divBdr>
            <w:top w:val="none" w:sz="0" w:space="0" w:color="auto"/>
            <w:left w:val="none" w:sz="0" w:space="0" w:color="auto"/>
            <w:bottom w:val="none" w:sz="0" w:space="0" w:color="auto"/>
            <w:right w:val="none" w:sz="0" w:space="0" w:color="auto"/>
          </w:divBdr>
        </w:div>
        <w:div w:id="1787113372">
          <w:marLeft w:val="274"/>
          <w:marRight w:val="0"/>
          <w:marTop w:val="0"/>
          <w:marBottom w:val="0"/>
          <w:divBdr>
            <w:top w:val="none" w:sz="0" w:space="0" w:color="auto"/>
            <w:left w:val="none" w:sz="0" w:space="0" w:color="auto"/>
            <w:bottom w:val="none" w:sz="0" w:space="0" w:color="auto"/>
            <w:right w:val="none" w:sz="0" w:space="0" w:color="auto"/>
          </w:divBdr>
        </w:div>
        <w:div w:id="2015910767">
          <w:marLeft w:val="274"/>
          <w:marRight w:val="0"/>
          <w:marTop w:val="0"/>
          <w:marBottom w:val="0"/>
          <w:divBdr>
            <w:top w:val="none" w:sz="0" w:space="0" w:color="auto"/>
            <w:left w:val="none" w:sz="0" w:space="0" w:color="auto"/>
            <w:bottom w:val="none" w:sz="0" w:space="0" w:color="auto"/>
            <w:right w:val="none" w:sz="0" w:space="0" w:color="auto"/>
          </w:divBdr>
        </w:div>
      </w:divsChild>
    </w:div>
    <w:div w:id="1155223890">
      <w:bodyDiv w:val="1"/>
      <w:marLeft w:val="0"/>
      <w:marRight w:val="0"/>
      <w:marTop w:val="0"/>
      <w:marBottom w:val="0"/>
      <w:divBdr>
        <w:top w:val="none" w:sz="0" w:space="0" w:color="auto"/>
        <w:left w:val="none" w:sz="0" w:space="0" w:color="auto"/>
        <w:bottom w:val="none" w:sz="0" w:space="0" w:color="auto"/>
        <w:right w:val="none" w:sz="0" w:space="0" w:color="auto"/>
      </w:divBdr>
      <w:divsChild>
        <w:div w:id="18241441">
          <w:marLeft w:val="274"/>
          <w:marRight w:val="0"/>
          <w:marTop w:val="0"/>
          <w:marBottom w:val="240"/>
          <w:divBdr>
            <w:top w:val="none" w:sz="0" w:space="0" w:color="auto"/>
            <w:left w:val="none" w:sz="0" w:space="0" w:color="auto"/>
            <w:bottom w:val="none" w:sz="0" w:space="0" w:color="auto"/>
            <w:right w:val="none" w:sz="0" w:space="0" w:color="auto"/>
          </w:divBdr>
        </w:div>
        <w:div w:id="89357969">
          <w:marLeft w:val="274"/>
          <w:marRight w:val="0"/>
          <w:marTop w:val="0"/>
          <w:marBottom w:val="240"/>
          <w:divBdr>
            <w:top w:val="none" w:sz="0" w:space="0" w:color="auto"/>
            <w:left w:val="none" w:sz="0" w:space="0" w:color="auto"/>
            <w:bottom w:val="none" w:sz="0" w:space="0" w:color="auto"/>
            <w:right w:val="none" w:sz="0" w:space="0" w:color="auto"/>
          </w:divBdr>
        </w:div>
        <w:div w:id="200828565">
          <w:marLeft w:val="274"/>
          <w:marRight w:val="0"/>
          <w:marTop w:val="0"/>
          <w:marBottom w:val="240"/>
          <w:divBdr>
            <w:top w:val="none" w:sz="0" w:space="0" w:color="auto"/>
            <w:left w:val="none" w:sz="0" w:space="0" w:color="auto"/>
            <w:bottom w:val="none" w:sz="0" w:space="0" w:color="auto"/>
            <w:right w:val="none" w:sz="0" w:space="0" w:color="auto"/>
          </w:divBdr>
        </w:div>
        <w:div w:id="328749422">
          <w:marLeft w:val="274"/>
          <w:marRight w:val="0"/>
          <w:marTop w:val="0"/>
          <w:marBottom w:val="240"/>
          <w:divBdr>
            <w:top w:val="none" w:sz="0" w:space="0" w:color="auto"/>
            <w:left w:val="none" w:sz="0" w:space="0" w:color="auto"/>
            <w:bottom w:val="none" w:sz="0" w:space="0" w:color="auto"/>
            <w:right w:val="none" w:sz="0" w:space="0" w:color="auto"/>
          </w:divBdr>
        </w:div>
        <w:div w:id="872621907">
          <w:marLeft w:val="274"/>
          <w:marRight w:val="0"/>
          <w:marTop w:val="0"/>
          <w:marBottom w:val="240"/>
          <w:divBdr>
            <w:top w:val="none" w:sz="0" w:space="0" w:color="auto"/>
            <w:left w:val="none" w:sz="0" w:space="0" w:color="auto"/>
            <w:bottom w:val="none" w:sz="0" w:space="0" w:color="auto"/>
            <w:right w:val="none" w:sz="0" w:space="0" w:color="auto"/>
          </w:divBdr>
        </w:div>
        <w:div w:id="1016613257">
          <w:marLeft w:val="274"/>
          <w:marRight w:val="0"/>
          <w:marTop w:val="0"/>
          <w:marBottom w:val="240"/>
          <w:divBdr>
            <w:top w:val="none" w:sz="0" w:space="0" w:color="auto"/>
            <w:left w:val="none" w:sz="0" w:space="0" w:color="auto"/>
            <w:bottom w:val="none" w:sz="0" w:space="0" w:color="auto"/>
            <w:right w:val="none" w:sz="0" w:space="0" w:color="auto"/>
          </w:divBdr>
        </w:div>
        <w:div w:id="1399985302">
          <w:marLeft w:val="274"/>
          <w:marRight w:val="0"/>
          <w:marTop w:val="0"/>
          <w:marBottom w:val="240"/>
          <w:divBdr>
            <w:top w:val="none" w:sz="0" w:space="0" w:color="auto"/>
            <w:left w:val="none" w:sz="0" w:space="0" w:color="auto"/>
            <w:bottom w:val="none" w:sz="0" w:space="0" w:color="auto"/>
            <w:right w:val="none" w:sz="0" w:space="0" w:color="auto"/>
          </w:divBdr>
        </w:div>
      </w:divsChild>
    </w:div>
    <w:div w:id="1157838997">
      <w:bodyDiv w:val="1"/>
      <w:marLeft w:val="0"/>
      <w:marRight w:val="0"/>
      <w:marTop w:val="0"/>
      <w:marBottom w:val="0"/>
      <w:divBdr>
        <w:top w:val="none" w:sz="0" w:space="0" w:color="auto"/>
        <w:left w:val="none" w:sz="0" w:space="0" w:color="auto"/>
        <w:bottom w:val="none" w:sz="0" w:space="0" w:color="auto"/>
        <w:right w:val="none" w:sz="0" w:space="0" w:color="auto"/>
      </w:divBdr>
    </w:div>
    <w:div w:id="1163737264">
      <w:bodyDiv w:val="1"/>
      <w:marLeft w:val="0"/>
      <w:marRight w:val="0"/>
      <w:marTop w:val="0"/>
      <w:marBottom w:val="0"/>
      <w:divBdr>
        <w:top w:val="none" w:sz="0" w:space="0" w:color="auto"/>
        <w:left w:val="none" w:sz="0" w:space="0" w:color="auto"/>
        <w:bottom w:val="none" w:sz="0" w:space="0" w:color="auto"/>
        <w:right w:val="none" w:sz="0" w:space="0" w:color="auto"/>
      </w:divBdr>
    </w:div>
    <w:div w:id="1172064790">
      <w:bodyDiv w:val="1"/>
      <w:marLeft w:val="0"/>
      <w:marRight w:val="0"/>
      <w:marTop w:val="0"/>
      <w:marBottom w:val="0"/>
      <w:divBdr>
        <w:top w:val="none" w:sz="0" w:space="0" w:color="auto"/>
        <w:left w:val="none" w:sz="0" w:space="0" w:color="auto"/>
        <w:bottom w:val="none" w:sz="0" w:space="0" w:color="auto"/>
        <w:right w:val="none" w:sz="0" w:space="0" w:color="auto"/>
      </w:divBdr>
    </w:div>
    <w:div w:id="1178811841">
      <w:bodyDiv w:val="1"/>
      <w:marLeft w:val="0"/>
      <w:marRight w:val="0"/>
      <w:marTop w:val="0"/>
      <w:marBottom w:val="0"/>
      <w:divBdr>
        <w:top w:val="none" w:sz="0" w:space="0" w:color="auto"/>
        <w:left w:val="none" w:sz="0" w:space="0" w:color="auto"/>
        <w:bottom w:val="none" w:sz="0" w:space="0" w:color="auto"/>
        <w:right w:val="none" w:sz="0" w:space="0" w:color="auto"/>
      </w:divBdr>
    </w:div>
    <w:div w:id="1198348805">
      <w:bodyDiv w:val="1"/>
      <w:marLeft w:val="0"/>
      <w:marRight w:val="0"/>
      <w:marTop w:val="0"/>
      <w:marBottom w:val="0"/>
      <w:divBdr>
        <w:top w:val="none" w:sz="0" w:space="0" w:color="auto"/>
        <w:left w:val="none" w:sz="0" w:space="0" w:color="auto"/>
        <w:bottom w:val="none" w:sz="0" w:space="0" w:color="auto"/>
        <w:right w:val="none" w:sz="0" w:space="0" w:color="auto"/>
      </w:divBdr>
    </w:div>
    <w:div w:id="1274635915">
      <w:bodyDiv w:val="1"/>
      <w:marLeft w:val="0"/>
      <w:marRight w:val="0"/>
      <w:marTop w:val="0"/>
      <w:marBottom w:val="0"/>
      <w:divBdr>
        <w:top w:val="none" w:sz="0" w:space="0" w:color="auto"/>
        <w:left w:val="none" w:sz="0" w:space="0" w:color="auto"/>
        <w:bottom w:val="none" w:sz="0" w:space="0" w:color="auto"/>
        <w:right w:val="none" w:sz="0" w:space="0" w:color="auto"/>
      </w:divBdr>
    </w:div>
    <w:div w:id="1297565730">
      <w:bodyDiv w:val="1"/>
      <w:marLeft w:val="0"/>
      <w:marRight w:val="0"/>
      <w:marTop w:val="0"/>
      <w:marBottom w:val="0"/>
      <w:divBdr>
        <w:top w:val="none" w:sz="0" w:space="0" w:color="auto"/>
        <w:left w:val="none" w:sz="0" w:space="0" w:color="auto"/>
        <w:bottom w:val="none" w:sz="0" w:space="0" w:color="auto"/>
        <w:right w:val="none" w:sz="0" w:space="0" w:color="auto"/>
      </w:divBdr>
      <w:divsChild>
        <w:div w:id="495003388">
          <w:marLeft w:val="274"/>
          <w:marRight w:val="0"/>
          <w:marTop w:val="0"/>
          <w:marBottom w:val="0"/>
          <w:divBdr>
            <w:top w:val="none" w:sz="0" w:space="0" w:color="auto"/>
            <w:left w:val="none" w:sz="0" w:space="0" w:color="auto"/>
            <w:bottom w:val="none" w:sz="0" w:space="0" w:color="auto"/>
            <w:right w:val="none" w:sz="0" w:space="0" w:color="auto"/>
          </w:divBdr>
        </w:div>
        <w:div w:id="1043290873">
          <w:marLeft w:val="274"/>
          <w:marRight w:val="0"/>
          <w:marTop w:val="0"/>
          <w:marBottom w:val="0"/>
          <w:divBdr>
            <w:top w:val="none" w:sz="0" w:space="0" w:color="auto"/>
            <w:left w:val="none" w:sz="0" w:space="0" w:color="auto"/>
            <w:bottom w:val="none" w:sz="0" w:space="0" w:color="auto"/>
            <w:right w:val="none" w:sz="0" w:space="0" w:color="auto"/>
          </w:divBdr>
        </w:div>
        <w:div w:id="1193769017">
          <w:marLeft w:val="274"/>
          <w:marRight w:val="0"/>
          <w:marTop w:val="0"/>
          <w:marBottom w:val="0"/>
          <w:divBdr>
            <w:top w:val="none" w:sz="0" w:space="0" w:color="auto"/>
            <w:left w:val="none" w:sz="0" w:space="0" w:color="auto"/>
            <w:bottom w:val="none" w:sz="0" w:space="0" w:color="auto"/>
            <w:right w:val="none" w:sz="0" w:space="0" w:color="auto"/>
          </w:divBdr>
        </w:div>
      </w:divsChild>
    </w:div>
    <w:div w:id="1312826506">
      <w:bodyDiv w:val="1"/>
      <w:marLeft w:val="0"/>
      <w:marRight w:val="0"/>
      <w:marTop w:val="0"/>
      <w:marBottom w:val="0"/>
      <w:divBdr>
        <w:top w:val="none" w:sz="0" w:space="0" w:color="auto"/>
        <w:left w:val="none" w:sz="0" w:space="0" w:color="auto"/>
        <w:bottom w:val="none" w:sz="0" w:space="0" w:color="auto"/>
        <w:right w:val="none" w:sz="0" w:space="0" w:color="auto"/>
      </w:divBdr>
    </w:div>
    <w:div w:id="1333603211">
      <w:bodyDiv w:val="1"/>
      <w:marLeft w:val="0"/>
      <w:marRight w:val="0"/>
      <w:marTop w:val="0"/>
      <w:marBottom w:val="0"/>
      <w:divBdr>
        <w:top w:val="none" w:sz="0" w:space="0" w:color="auto"/>
        <w:left w:val="none" w:sz="0" w:space="0" w:color="auto"/>
        <w:bottom w:val="none" w:sz="0" w:space="0" w:color="auto"/>
        <w:right w:val="none" w:sz="0" w:space="0" w:color="auto"/>
      </w:divBdr>
    </w:div>
    <w:div w:id="1333798864">
      <w:bodyDiv w:val="1"/>
      <w:marLeft w:val="0"/>
      <w:marRight w:val="0"/>
      <w:marTop w:val="0"/>
      <w:marBottom w:val="0"/>
      <w:divBdr>
        <w:top w:val="none" w:sz="0" w:space="0" w:color="auto"/>
        <w:left w:val="none" w:sz="0" w:space="0" w:color="auto"/>
        <w:bottom w:val="none" w:sz="0" w:space="0" w:color="auto"/>
        <w:right w:val="none" w:sz="0" w:space="0" w:color="auto"/>
      </w:divBdr>
    </w:div>
    <w:div w:id="1401519284">
      <w:bodyDiv w:val="1"/>
      <w:marLeft w:val="0"/>
      <w:marRight w:val="0"/>
      <w:marTop w:val="0"/>
      <w:marBottom w:val="0"/>
      <w:divBdr>
        <w:top w:val="none" w:sz="0" w:space="0" w:color="auto"/>
        <w:left w:val="none" w:sz="0" w:space="0" w:color="auto"/>
        <w:bottom w:val="none" w:sz="0" w:space="0" w:color="auto"/>
        <w:right w:val="none" w:sz="0" w:space="0" w:color="auto"/>
      </w:divBdr>
    </w:div>
    <w:div w:id="1411733280">
      <w:bodyDiv w:val="1"/>
      <w:marLeft w:val="0"/>
      <w:marRight w:val="0"/>
      <w:marTop w:val="0"/>
      <w:marBottom w:val="0"/>
      <w:divBdr>
        <w:top w:val="none" w:sz="0" w:space="0" w:color="auto"/>
        <w:left w:val="none" w:sz="0" w:space="0" w:color="auto"/>
        <w:bottom w:val="none" w:sz="0" w:space="0" w:color="auto"/>
        <w:right w:val="none" w:sz="0" w:space="0" w:color="auto"/>
      </w:divBdr>
    </w:div>
    <w:div w:id="1438215323">
      <w:bodyDiv w:val="1"/>
      <w:marLeft w:val="0"/>
      <w:marRight w:val="0"/>
      <w:marTop w:val="0"/>
      <w:marBottom w:val="0"/>
      <w:divBdr>
        <w:top w:val="none" w:sz="0" w:space="0" w:color="auto"/>
        <w:left w:val="none" w:sz="0" w:space="0" w:color="auto"/>
        <w:bottom w:val="none" w:sz="0" w:space="0" w:color="auto"/>
        <w:right w:val="none" w:sz="0" w:space="0" w:color="auto"/>
      </w:divBdr>
      <w:divsChild>
        <w:div w:id="27145519">
          <w:marLeft w:val="360"/>
          <w:marRight w:val="0"/>
          <w:marTop w:val="0"/>
          <w:marBottom w:val="0"/>
          <w:divBdr>
            <w:top w:val="none" w:sz="0" w:space="0" w:color="auto"/>
            <w:left w:val="none" w:sz="0" w:space="0" w:color="auto"/>
            <w:bottom w:val="none" w:sz="0" w:space="0" w:color="auto"/>
            <w:right w:val="none" w:sz="0" w:space="0" w:color="auto"/>
          </w:divBdr>
        </w:div>
        <w:div w:id="1085879802">
          <w:marLeft w:val="360"/>
          <w:marRight w:val="0"/>
          <w:marTop w:val="0"/>
          <w:marBottom w:val="0"/>
          <w:divBdr>
            <w:top w:val="none" w:sz="0" w:space="0" w:color="auto"/>
            <w:left w:val="none" w:sz="0" w:space="0" w:color="auto"/>
            <w:bottom w:val="none" w:sz="0" w:space="0" w:color="auto"/>
            <w:right w:val="none" w:sz="0" w:space="0" w:color="auto"/>
          </w:divBdr>
        </w:div>
        <w:div w:id="1941064449">
          <w:marLeft w:val="360"/>
          <w:marRight w:val="0"/>
          <w:marTop w:val="0"/>
          <w:marBottom w:val="0"/>
          <w:divBdr>
            <w:top w:val="none" w:sz="0" w:space="0" w:color="auto"/>
            <w:left w:val="none" w:sz="0" w:space="0" w:color="auto"/>
            <w:bottom w:val="none" w:sz="0" w:space="0" w:color="auto"/>
            <w:right w:val="none" w:sz="0" w:space="0" w:color="auto"/>
          </w:divBdr>
        </w:div>
      </w:divsChild>
    </w:div>
    <w:div w:id="1444306847">
      <w:bodyDiv w:val="1"/>
      <w:marLeft w:val="0"/>
      <w:marRight w:val="0"/>
      <w:marTop w:val="0"/>
      <w:marBottom w:val="0"/>
      <w:divBdr>
        <w:top w:val="none" w:sz="0" w:space="0" w:color="auto"/>
        <w:left w:val="none" w:sz="0" w:space="0" w:color="auto"/>
        <w:bottom w:val="none" w:sz="0" w:space="0" w:color="auto"/>
        <w:right w:val="none" w:sz="0" w:space="0" w:color="auto"/>
      </w:divBdr>
      <w:divsChild>
        <w:div w:id="168297846">
          <w:marLeft w:val="446"/>
          <w:marRight w:val="0"/>
          <w:marTop w:val="0"/>
          <w:marBottom w:val="0"/>
          <w:divBdr>
            <w:top w:val="none" w:sz="0" w:space="0" w:color="auto"/>
            <w:left w:val="none" w:sz="0" w:space="0" w:color="auto"/>
            <w:bottom w:val="none" w:sz="0" w:space="0" w:color="auto"/>
            <w:right w:val="none" w:sz="0" w:space="0" w:color="auto"/>
          </w:divBdr>
        </w:div>
        <w:div w:id="350880147">
          <w:marLeft w:val="446"/>
          <w:marRight w:val="0"/>
          <w:marTop w:val="0"/>
          <w:marBottom w:val="0"/>
          <w:divBdr>
            <w:top w:val="none" w:sz="0" w:space="0" w:color="auto"/>
            <w:left w:val="none" w:sz="0" w:space="0" w:color="auto"/>
            <w:bottom w:val="none" w:sz="0" w:space="0" w:color="auto"/>
            <w:right w:val="none" w:sz="0" w:space="0" w:color="auto"/>
          </w:divBdr>
        </w:div>
        <w:div w:id="391585399">
          <w:marLeft w:val="446"/>
          <w:marRight w:val="0"/>
          <w:marTop w:val="0"/>
          <w:marBottom w:val="0"/>
          <w:divBdr>
            <w:top w:val="none" w:sz="0" w:space="0" w:color="auto"/>
            <w:left w:val="none" w:sz="0" w:space="0" w:color="auto"/>
            <w:bottom w:val="none" w:sz="0" w:space="0" w:color="auto"/>
            <w:right w:val="none" w:sz="0" w:space="0" w:color="auto"/>
          </w:divBdr>
        </w:div>
        <w:div w:id="1100417743">
          <w:marLeft w:val="446"/>
          <w:marRight w:val="0"/>
          <w:marTop w:val="0"/>
          <w:marBottom w:val="0"/>
          <w:divBdr>
            <w:top w:val="none" w:sz="0" w:space="0" w:color="auto"/>
            <w:left w:val="none" w:sz="0" w:space="0" w:color="auto"/>
            <w:bottom w:val="none" w:sz="0" w:space="0" w:color="auto"/>
            <w:right w:val="none" w:sz="0" w:space="0" w:color="auto"/>
          </w:divBdr>
        </w:div>
        <w:div w:id="1191992266">
          <w:marLeft w:val="446"/>
          <w:marRight w:val="0"/>
          <w:marTop w:val="0"/>
          <w:marBottom w:val="0"/>
          <w:divBdr>
            <w:top w:val="none" w:sz="0" w:space="0" w:color="auto"/>
            <w:left w:val="none" w:sz="0" w:space="0" w:color="auto"/>
            <w:bottom w:val="none" w:sz="0" w:space="0" w:color="auto"/>
            <w:right w:val="none" w:sz="0" w:space="0" w:color="auto"/>
          </w:divBdr>
        </w:div>
        <w:div w:id="1473447626">
          <w:marLeft w:val="446"/>
          <w:marRight w:val="0"/>
          <w:marTop w:val="0"/>
          <w:marBottom w:val="0"/>
          <w:divBdr>
            <w:top w:val="none" w:sz="0" w:space="0" w:color="auto"/>
            <w:left w:val="none" w:sz="0" w:space="0" w:color="auto"/>
            <w:bottom w:val="none" w:sz="0" w:space="0" w:color="auto"/>
            <w:right w:val="none" w:sz="0" w:space="0" w:color="auto"/>
          </w:divBdr>
        </w:div>
        <w:div w:id="1848668544">
          <w:marLeft w:val="446"/>
          <w:marRight w:val="0"/>
          <w:marTop w:val="0"/>
          <w:marBottom w:val="0"/>
          <w:divBdr>
            <w:top w:val="none" w:sz="0" w:space="0" w:color="auto"/>
            <w:left w:val="none" w:sz="0" w:space="0" w:color="auto"/>
            <w:bottom w:val="none" w:sz="0" w:space="0" w:color="auto"/>
            <w:right w:val="none" w:sz="0" w:space="0" w:color="auto"/>
          </w:divBdr>
        </w:div>
        <w:div w:id="1979921320">
          <w:marLeft w:val="446"/>
          <w:marRight w:val="0"/>
          <w:marTop w:val="0"/>
          <w:marBottom w:val="0"/>
          <w:divBdr>
            <w:top w:val="none" w:sz="0" w:space="0" w:color="auto"/>
            <w:left w:val="none" w:sz="0" w:space="0" w:color="auto"/>
            <w:bottom w:val="none" w:sz="0" w:space="0" w:color="auto"/>
            <w:right w:val="none" w:sz="0" w:space="0" w:color="auto"/>
          </w:divBdr>
        </w:div>
        <w:div w:id="2066561604">
          <w:marLeft w:val="446"/>
          <w:marRight w:val="0"/>
          <w:marTop w:val="0"/>
          <w:marBottom w:val="0"/>
          <w:divBdr>
            <w:top w:val="none" w:sz="0" w:space="0" w:color="auto"/>
            <w:left w:val="none" w:sz="0" w:space="0" w:color="auto"/>
            <w:bottom w:val="none" w:sz="0" w:space="0" w:color="auto"/>
            <w:right w:val="none" w:sz="0" w:space="0" w:color="auto"/>
          </w:divBdr>
        </w:div>
      </w:divsChild>
    </w:div>
    <w:div w:id="1463889755">
      <w:bodyDiv w:val="1"/>
      <w:marLeft w:val="0"/>
      <w:marRight w:val="0"/>
      <w:marTop w:val="0"/>
      <w:marBottom w:val="0"/>
      <w:divBdr>
        <w:top w:val="none" w:sz="0" w:space="0" w:color="auto"/>
        <w:left w:val="none" w:sz="0" w:space="0" w:color="auto"/>
        <w:bottom w:val="none" w:sz="0" w:space="0" w:color="auto"/>
        <w:right w:val="none" w:sz="0" w:space="0" w:color="auto"/>
      </w:divBdr>
    </w:div>
    <w:div w:id="1464225346">
      <w:bodyDiv w:val="1"/>
      <w:marLeft w:val="0"/>
      <w:marRight w:val="0"/>
      <w:marTop w:val="0"/>
      <w:marBottom w:val="0"/>
      <w:divBdr>
        <w:top w:val="none" w:sz="0" w:space="0" w:color="auto"/>
        <w:left w:val="none" w:sz="0" w:space="0" w:color="auto"/>
        <w:bottom w:val="none" w:sz="0" w:space="0" w:color="auto"/>
        <w:right w:val="none" w:sz="0" w:space="0" w:color="auto"/>
      </w:divBdr>
    </w:div>
    <w:div w:id="1467240387">
      <w:bodyDiv w:val="1"/>
      <w:marLeft w:val="0"/>
      <w:marRight w:val="0"/>
      <w:marTop w:val="0"/>
      <w:marBottom w:val="0"/>
      <w:divBdr>
        <w:top w:val="none" w:sz="0" w:space="0" w:color="auto"/>
        <w:left w:val="none" w:sz="0" w:space="0" w:color="auto"/>
        <w:bottom w:val="none" w:sz="0" w:space="0" w:color="auto"/>
        <w:right w:val="none" w:sz="0" w:space="0" w:color="auto"/>
      </w:divBdr>
      <w:divsChild>
        <w:div w:id="644822996">
          <w:marLeft w:val="274"/>
          <w:marRight w:val="0"/>
          <w:marTop w:val="0"/>
          <w:marBottom w:val="0"/>
          <w:divBdr>
            <w:top w:val="none" w:sz="0" w:space="0" w:color="auto"/>
            <w:left w:val="none" w:sz="0" w:space="0" w:color="auto"/>
            <w:bottom w:val="none" w:sz="0" w:space="0" w:color="auto"/>
            <w:right w:val="none" w:sz="0" w:space="0" w:color="auto"/>
          </w:divBdr>
        </w:div>
        <w:div w:id="2085492896">
          <w:marLeft w:val="274"/>
          <w:marRight w:val="0"/>
          <w:marTop w:val="0"/>
          <w:marBottom w:val="0"/>
          <w:divBdr>
            <w:top w:val="none" w:sz="0" w:space="0" w:color="auto"/>
            <w:left w:val="none" w:sz="0" w:space="0" w:color="auto"/>
            <w:bottom w:val="none" w:sz="0" w:space="0" w:color="auto"/>
            <w:right w:val="none" w:sz="0" w:space="0" w:color="auto"/>
          </w:divBdr>
        </w:div>
      </w:divsChild>
    </w:div>
    <w:div w:id="1467312087">
      <w:bodyDiv w:val="1"/>
      <w:marLeft w:val="0"/>
      <w:marRight w:val="0"/>
      <w:marTop w:val="0"/>
      <w:marBottom w:val="0"/>
      <w:divBdr>
        <w:top w:val="none" w:sz="0" w:space="0" w:color="auto"/>
        <w:left w:val="none" w:sz="0" w:space="0" w:color="auto"/>
        <w:bottom w:val="none" w:sz="0" w:space="0" w:color="auto"/>
        <w:right w:val="none" w:sz="0" w:space="0" w:color="auto"/>
      </w:divBdr>
    </w:div>
    <w:div w:id="1480345827">
      <w:bodyDiv w:val="1"/>
      <w:marLeft w:val="0"/>
      <w:marRight w:val="0"/>
      <w:marTop w:val="0"/>
      <w:marBottom w:val="0"/>
      <w:divBdr>
        <w:top w:val="none" w:sz="0" w:space="0" w:color="auto"/>
        <w:left w:val="none" w:sz="0" w:space="0" w:color="auto"/>
        <w:bottom w:val="none" w:sz="0" w:space="0" w:color="auto"/>
        <w:right w:val="none" w:sz="0" w:space="0" w:color="auto"/>
      </w:divBdr>
    </w:div>
    <w:div w:id="1547568823">
      <w:bodyDiv w:val="1"/>
      <w:marLeft w:val="0"/>
      <w:marRight w:val="0"/>
      <w:marTop w:val="0"/>
      <w:marBottom w:val="0"/>
      <w:divBdr>
        <w:top w:val="none" w:sz="0" w:space="0" w:color="auto"/>
        <w:left w:val="none" w:sz="0" w:space="0" w:color="auto"/>
        <w:bottom w:val="none" w:sz="0" w:space="0" w:color="auto"/>
        <w:right w:val="none" w:sz="0" w:space="0" w:color="auto"/>
      </w:divBdr>
      <w:divsChild>
        <w:div w:id="232739281">
          <w:marLeft w:val="994"/>
          <w:marRight w:val="0"/>
          <w:marTop w:val="0"/>
          <w:marBottom w:val="120"/>
          <w:divBdr>
            <w:top w:val="none" w:sz="0" w:space="0" w:color="auto"/>
            <w:left w:val="none" w:sz="0" w:space="0" w:color="auto"/>
            <w:bottom w:val="none" w:sz="0" w:space="0" w:color="auto"/>
            <w:right w:val="none" w:sz="0" w:space="0" w:color="auto"/>
          </w:divBdr>
        </w:div>
        <w:div w:id="808280051">
          <w:marLeft w:val="274"/>
          <w:marRight w:val="0"/>
          <w:marTop w:val="0"/>
          <w:marBottom w:val="120"/>
          <w:divBdr>
            <w:top w:val="none" w:sz="0" w:space="0" w:color="auto"/>
            <w:left w:val="none" w:sz="0" w:space="0" w:color="auto"/>
            <w:bottom w:val="none" w:sz="0" w:space="0" w:color="auto"/>
            <w:right w:val="none" w:sz="0" w:space="0" w:color="auto"/>
          </w:divBdr>
        </w:div>
        <w:div w:id="810901545">
          <w:marLeft w:val="994"/>
          <w:marRight w:val="0"/>
          <w:marTop w:val="0"/>
          <w:marBottom w:val="120"/>
          <w:divBdr>
            <w:top w:val="none" w:sz="0" w:space="0" w:color="auto"/>
            <w:left w:val="none" w:sz="0" w:space="0" w:color="auto"/>
            <w:bottom w:val="none" w:sz="0" w:space="0" w:color="auto"/>
            <w:right w:val="none" w:sz="0" w:space="0" w:color="auto"/>
          </w:divBdr>
        </w:div>
        <w:div w:id="1034765567">
          <w:marLeft w:val="274"/>
          <w:marRight w:val="0"/>
          <w:marTop w:val="0"/>
          <w:marBottom w:val="120"/>
          <w:divBdr>
            <w:top w:val="none" w:sz="0" w:space="0" w:color="auto"/>
            <w:left w:val="none" w:sz="0" w:space="0" w:color="auto"/>
            <w:bottom w:val="none" w:sz="0" w:space="0" w:color="auto"/>
            <w:right w:val="none" w:sz="0" w:space="0" w:color="auto"/>
          </w:divBdr>
        </w:div>
        <w:div w:id="1405108631">
          <w:marLeft w:val="274"/>
          <w:marRight w:val="0"/>
          <w:marTop w:val="0"/>
          <w:marBottom w:val="120"/>
          <w:divBdr>
            <w:top w:val="none" w:sz="0" w:space="0" w:color="auto"/>
            <w:left w:val="none" w:sz="0" w:space="0" w:color="auto"/>
            <w:bottom w:val="none" w:sz="0" w:space="0" w:color="auto"/>
            <w:right w:val="none" w:sz="0" w:space="0" w:color="auto"/>
          </w:divBdr>
        </w:div>
        <w:div w:id="1600989708">
          <w:marLeft w:val="274"/>
          <w:marRight w:val="0"/>
          <w:marTop w:val="0"/>
          <w:marBottom w:val="120"/>
          <w:divBdr>
            <w:top w:val="none" w:sz="0" w:space="0" w:color="auto"/>
            <w:left w:val="none" w:sz="0" w:space="0" w:color="auto"/>
            <w:bottom w:val="none" w:sz="0" w:space="0" w:color="auto"/>
            <w:right w:val="none" w:sz="0" w:space="0" w:color="auto"/>
          </w:divBdr>
        </w:div>
        <w:div w:id="1631209505">
          <w:marLeft w:val="274"/>
          <w:marRight w:val="0"/>
          <w:marTop w:val="0"/>
          <w:marBottom w:val="120"/>
          <w:divBdr>
            <w:top w:val="none" w:sz="0" w:space="0" w:color="auto"/>
            <w:left w:val="none" w:sz="0" w:space="0" w:color="auto"/>
            <w:bottom w:val="none" w:sz="0" w:space="0" w:color="auto"/>
            <w:right w:val="none" w:sz="0" w:space="0" w:color="auto"/>
          </w:divBdr>
        </w:div>
        <w:div w:id="1747073454">
          <w:marLeft w:val="274"/>
          <w:marRight w:val="0"/>
          <w:marTop w:val="0"/>
          <w:marBottom w:val="120"/>
          <w:divBdr>
            <w:top w:val="none" w:sz="0" w:space="0" w:color="auto"/>
            <w:left w:val="none" w:sz="0" w:space="0" w:color="auto"/>
            <w:bottom w:val="none" w:sz="0" w:space="0" w:color="auto"/>
            <w:right w:val="none" w:sz="0" w:space="0" w:color="auto"/>
          </w:divBdr>
        </w:div>
        <w:div w:id="1887598500">
          <w:marLeft w:val="994"/>
          <w:marRight w:val="0"/>
          <w:marTop w:val="0"/>
          <w:marBottom w:val="120"/>
          <w:divBdr>
            <w:top w:val="none" w:sz="0" w:space="0" w:color="auto"/>
            <w:left w:val="none" w:sz="0" w:space="0" w:color="auto"/>
            <w:bottom w:val="none" w:sz="0" w:space="0" w:color="auto"/>
            <w:right w:val="none" w:sz="0" w:space="0" w:color="auto"/>
          </w:divBdr>
        </w:div>
        <w:div w:id="2081975496">
          <w:marLeft w:val="274"/>
          <w:marRight w:val="0"/>
          <w:marTop w:val="0"/>
          <w:marBottom w:val="120"/>
          <w:divBdr>
            <w:top w:val="none" w:sz="0" w:space="0" w:color="auto"/>
            <w:left w:val="none" w:sz="0" w:space="0" w:color="auto"/>
            <w:bottom w:val="none" w:sz="0" w:space="0" w:color="auto"/>
            <w:right w:val="none" w:sz="0" w:space="0" w:color="auto"/>
          </w:divBdr>
        </w:div>
      </w:divsChild>
    </w:div>
    <w:div w:id="1549533363">
      <w:bodyDiv w:val="1"/>
      <w:marLeft w:val="0"/>
      <w:marRight w:val="0"/>
      <w:marTop w:val="0"/>
      <w:marBottom w:val="0"/>
      <w:divBdr>
        <w:top w:val="none" w:sz="0" w:space="0" w:color="auto"/>
        <w:left w:val="none" w:sz="0" w:space="0" w:color="auto"/>
        <w:bottom w:val="none" w:sz="0" w:space="0" w:color="auto"/>
        <w:right w:val="none" w:sz="0" w:space="0" w:color="auto"/>
      </w:divBdr>
      <w:divsChild>
        <w:div w:id="466975832">
          <w:marLeft w:val="274"/>
          <w:marRight w:val="0"/>
          <w:marTop w:val="0"/>
          <w:marBottom w:val="0"/>
          <w:divBdr>
            <w:top w:val="none" w:sz="0" w:space="0" w:color="auto"/>
            <w:left w:val="none" w:sz="0" w:space="0" w:color="auto"/>
            <w:bottom w:val="none" w:sz="0" w:space="0" w:color="auto"/>
            <w:right w:val="none" w:sz="0" w:space="0" w:color="auto"/>
          </w:divBdr>
        </w:div>
        <w:div w:id="968389720">
          <w:marLeft w:val="274"/>
          <w:marRight w:val="0"/>
          <w:marTop w:val="0"/>
          <w:marBottom w:val="0"/>
          <w:divBdr>
            <w:top w:val="none" w:sz="0" w:space="0" w:color="auto"/>
            <w:left w:val="none" w:sz="0" w:space="0" w:color="auto"/>
            <w:bottom w:val="none" w:sz="0" w:space="0" w:color="auto"/>
            <w:right w:val="none" w:sz="0" w:space="0" w:color="auto"/>
          </w:divBdr>
        </w:div>
        <w:div w:id="1910186828">
          <w:marLeft w:val="274"/>
          <w:marRight w:val="0"/>
          <w:marTop w:val="0"/>
          <w:marBottom w:val="0"/>
          <w:divBdr>
            <w:top w:val="none" w:sz="0" w:space="0" w:color="auto"/>
            <w:left w:val="none" w:sz="0" w:space="0" w:color="auto"/>
            <w:bottom w:val="none" w:sz="0" w:space="0" w:color="auto"/>
            <w:right w:val="none" w:sz="0" w:space="0" w:color="auto"/>
          </w:divBdr>
        </w:div>
      </w:divsChild>
    </w:div>
    <w:div w:id="1564488326">
      <w:bodyDiv w:val="1"/>
      <w:marLeft w:val="0"/>
      <w:marRight w:val="0"/>
      <w:marTop w:val="0"/>
      <w:marBottom w:val="0"/>
      <w:divBdr>
        <w:top w:val="none" w:sz="0" w:space="0" w:color="auto"/>
        <w:left w:val="none" w:sz="0" w:space="0" w:color="auto"/>
        <w:bottom w:val="none" w:sz="0" w:space="0" w:color="auto"/>
        <w:right w:val="none" w:sz="0" w:space="0" w:color="auto"/>
      </w:divBdr>
    </w:div>
    <w:div w:id="1568103318">
      <w:bodyDiv w:val="1"/>
      <w:marLeft w:val="0"/>
      <w:marRight w:val="0"/>
      <w:marTop w:val="0"/>
      <w:marBottom w:val="0"/>
      <w:divBdr>
        <w:top w:val="none" w:sz="0" w:space="0" w:color="auto"/>
        <w:left w:val="none" w:sz="0" w:space="0" w:color="auto"/>
        <w:bottom w:val="none" w:sz="0" w:space="0" w:color="auto"/>
        <w:right w:val="none" w:sz="0" w:space="0" w:color="auto"/>
      </w:divBdr>
    </w:div>
    <w:div w:id="1602907011">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sChild>
        <w:div w:id="565074422">
          <w:marLeft w:val="446"/>
          <w:marRight w:val="0"/>
          <w:marTop w:val="0"/>
          <w:marBottom w:val="0"/>
          <w:divBdr>
            <w:top w:val="none" w:sz="0" w:space="0" w:color="auto"/>
            <w:left w:val="none" w:sz="0" w:space="0" w:color="auto"/>
            <w:bottom w:val="none" w:sz="0" w:space="0" w:color="auto"/>
            <w:right w:val="none" w:sz="0" w:space="0" w:color="auto"/>
          </w:divBdr>
        </w:div>
        <w:div w:id="736247310">
          <w:marLeft w:val="446"/>
          <w:marRight w:val="0"/>
          <w:marTop w:val="0"/>
          <w:marBottom w:val="0"/>
          <w:divBdr>
            <w:top w:val="none" w:sz="0" w:space="0" w:color="auto"/>
            <w:left w:val="none" w:sz="0" w:space="0" w:color="auto"/>
            <w:bottom w:val="none" w:sz="0" w:space="0" w:color="auto"/>
            <w:right w:val="none" w:sz="0" w:space="0" w:color="auto"/>
          </w:divBdr>
        </w:div>
        <w:div w:id="888996795">
          <w:marLeft w:val="446"/>
          <w:marRight w:val="0"/>
          <w:marTop w:val="0"/>
          <w:marBottom w:val="0"/>
          <w:divBdr>
            <w:top w:val="none" w:sz="0" w:space="0" w:color="auto"/>
            <w:left w:val="none" w:sz="0" w:space="0" w:color="auto"/>
            <w:bottom w:val="none" w:sz="0" w:space="0" w:color="auto"/>
            <w:right w:val="none" w:sz="0" w:space="0" w:color="auto"/>
          </w:divBdr>
        </w:div>
        <w:div w:id="1101414215">
          <w:marLeft w:val="446"/>
          <w:marRight w:val="0"/>
          <w:marTop w:val="0"/>
          <w:marBottom w:val="0"/>
          <w:divBdr>
            <w:top w:val="none" w:sz="0" w:space="0" w:color="auto"/>
            <w:left w:val="none" w:sz="0" w:space="0" w:color="auto"/>
            <w:bottom w:val="none" w:sz="0" w:space="0" w:color="auto"/>
            <w:right w:val="none" w:sz="0" w:space="0" w:color="auto"/>
          </w:divBdr>
        </w:div>
        <w:div w:id="1292127334">
          <w:marLeft w:val="446"/>
          <w:marRight w:val="0"/>
          <w:marTop w:val="0"/>
          <w:marBottom w:val="0"/>
          <w:divBdr>
            <w:top w:val="none" w:sz="0" w:space="0" w:color="auto"/>
            <w:left w:val="none" w:sz="0" w:space="0" w:color="auto"/>
            <w:bottom w:val="none" w:sz="0" w:space="0" w:color="auto"/>
            <w:right w:val="none" w:sz="0" w:space="0" w:color="auto"/>
          </w:divBdr>
        </w:div>
        <w:div w:id="1497763545">
          <w:marLeft w:val="446"/>
          <w:marRight w:val="0"/>
          <w:marTop w:val="0"/>
          <w:marBottom w:val="0"/>
          <w:divBdr>
            <w:top w:val="none" w:sz="0" w:space="0" w:color="auto"/>
            <w:left w:val="none" w:sz="0" w:space="0" w:color="auto"/>
            <w:bottom w:val="none" w:sz="0" w:space="0" w:color="auto"/>
            <w:right w:val="none" w:sz="0" w:space="0" w:color="auto"/>
          </w:divBdr>
        </w:div>
        <w:div w:id="1640111019">
          <w:marLeft w:val="446"/>
          <w:marRight w:val="0"/>
          <w:marTop w:val="0"/>
          <w:marBottom w:val="0"/>
          <w:divBdr>
            <w:top w:val="none" w:sz="0" w:space="0" w:color="auto"/>
            <w:left w:val="none" w:sz="0" w:space="0" w:color="auto"/>
            <w:bottom w:val="none" w:sz="0" w:space="0" w:color="auto"/>
            <w:right w:val="none" w:sz="0" w:space="0" w:color="auto"/>
          </w:divBdr>
        </w:div>
        <w:div w:id="1700475545">
          <w:marLeft w:val="446"/>
          <w:marRight w:val="0"/>
          <w:marTop w:val="0"/>
          <w:marBottom w:val="0"/>
          <w:divBdr>
            <w:top w:val="none" w:sz="0" w:space="0" w:color="auto"/>
            <w:left w:val="none" w:sz="0" w:space="0" w:color="auto"/>
            <w:bottom w:val="none" w:sz="0" w:space="0" w:color="auto"/>
            <w:right w:val="none" w:sz="0" w:space="0" w:color="auto"/>
          </w:divBdr>
        </w:div>
        <w:div w:id="1873957988">
          <w:marLeft w:val="446"/>
          <w:marRight w:val="0"/>
          <w:marTop w:val="0"/>
          <w:marBottom w:val="0"/>
          <w:divBdr>
            <w:top w:val="none" w:sz="0" w:space="0" w:color="auto"/>
            <w:left w:val="none" w:sz="0" w:space="0" w:color="auto"/>
            <w:bottom w:val="none" w:sz="0" w:space="0" w:color="auto"/>
            <w:right w:val="none" w:sz="0" w:space="0" w:color="auto"/>
          </w:divBdr>
        </w:div>
      </w:divsChild>
    </w:div>
    <w:div w:id="1634365202">
      <w:bodyDiv w:val="1"/>
      <w:marLeft w:val="0"/>
      <w:marRight w:val="0"/>
      <w:marTop w:val="0"/>
      <w:marBottom w:val="0"/>
      <w:divBdr>
        <w:top w:val="none" w:sz="0" w:space="0" w:color="auto"/>
        <w:left w:val="none" w:sz="0" w:space="0" w:color="auto"/>
        <w:bottom w:val="none" w:sz="0" w:space="0" w:color="auto"/>
        <w:right w:val="none" w:sz="0" w:space="0" w:color="auto"/>
      </w:divBdr>
    </w:div>
    <w:div w:id="1657998238">
      <w:bodyDiv w:val="1"/>
      <w:marLeft w:val="0"/>
      <w:marRight w:val="0"/>
      <w:marTop w:val="0"/>
      <w:marBottom w:val="0"/>
      <w:divBdr>
        <w:top w:val="none" w:sz="0" w:space="0" w:color="auto"/>
        <w:left w:val="none" w:sz="0" w:space="0" w:color="auto"/>
        <w:bottom w:val="none" w:sz="0" w:space="0" w:color="auto"/>
        <w:right w:val="none" w:sz="0" w:space="0" w:color="auto"/>
      </w:divBdr>
    </w:div>
    <w:div w:id="1661613641">
      <w:bodyDiv w:val="1"/>
      <w:marLeft w:val="0"/>
      <w:marRight w:val="0"/>
      <w:marTop w:val="0"/>
      <w:marBottom w:val="0"/>
      <w:divBdr>
        <w:top w:val="none" w:sz="0" w:space="0" w:color="auto"/>
        <w:left w:val="none" w:sz="0" w:space="0" w:color="auto"/>
        <w:bottom w:val="none" w:sz="0" w:space="0" w:color="auto"/>
        <w:right w:val="none" w:sz="0" w:space="0" w:color="auto"/>
      </w:divBdr>
    </w:div>
    <w:div w:id="1697274087">
      <w:bodyDiv w:val="1"/>
      <w:marLeft w:val="0"/>
      <w:marRight w:val="0"/>
      <w:marTop w:val="0"/>
      <w:marBottom w:val="0"/>
      <w:divBdr>
        <w:top w:val="none" w:sz="0" w:space="0" w:color="auto"/>
        <w:left w:val="none" w:sz="0" w:space="0" w:color="auto"/>
        <w:bottom w:val="none" w:sz="0" w:space="0" w:color="auto"/>
        <w:right w:val="none" w:sz="0" w:space="0" w:color="auto"/>
      </w:divBdr>
      <w:divsChild>
        <w:div w:id="234511975">
          <w:marLeft w:val="360"/>
          <w:marRight w:val="0"/>
          <w:marTop w:val="200"/>
          <w:marBottom w:val="0"/>
          <w:divBdr>
            <w:top w:val="none" w:sz="0" w:space="0" w:color="auto"/>
            <w:left w:val="none" w:sz="0" w:space="0" w:color="auto"/>
            <w:bottom w:val="none" w:sz="0" w:space="0" w:color="auto"/>
            <w:right w:val="none" w:sz="0" w:space="0" w:color="auto"/>
          </w:divBdr>
        </w:div>
        <w:div w:id="838234359">
          <w:marLeft w:val="360"/>
          <w:marRight w:val="0"/>
          <w:marTop w:val="120"/>
          <w:marBottom w:val="0"/>
          <w:divBdr>
            <w:top w:val="none" w:sz="0" w:space="0" w:color="auto"/>
            <w:left w:val="none" w:sz="0" w:space="0" w:color="auto"/>
            <w:bottom w:val="none" w:sz="0" w:space="0" w:color="auto"/>
            <w:right w:val="none" w:sz="0" w:space="0" w:color="auto"/>
          </w:divBdr>
        </w:div>
      </w:divsChild>
    </w:div>
    <w:div w:id="1699817521">
      <w:bodyDiv w:val="1"/>
      <w:marLeft w:val="0"/>
      <w:marRight w:val="0"/>
      <w:marTop w:val="0"/>
      <w:marBottom w:val="0"/>
      <w:divBdr>
        <w:top w:val="none" w:sz="0" w:space="0" w:color="auto"/>
        <w:left w:val="none" w:sz="0" w:space="0" w:color="auto"/>
        <w:bottom w:val="none" w:sz="0" w:space="0" w:color="auto"/>
        <w:right w:val="none" w:sz="0" w:space="0" w:color="auto"/>
      </w:divBdr>
      <w:divsChild>
        <w:div w:id="688529059">
          <w:marLeft w:val="360"/>
          <w:marRight w:val="0"/>
          <w:marTop w:val="0"/>
          <w:marBottom w:val="0"/>
          <w:divBdr>
            <w:top w:val="none" w:sz="0" w:space="0" w:color="auto"/>
            <w:left w:val="none" w:sz="0" w:space="0" w:color="auto"/>
            <w:bottom w:val="none" w:sz="0" w:space="0" w:color="auto"/>
            <w:right w:val="none" w:sz="0" w:space="0" w:color="auto"/>
          </w:divBdr>
        </w:div>
      </w:divsChild>
    </w:div>
    <w:div w:id="1719233691">
      <w:bodyDiv w:val="1"/>
      <w:marLeft w:val="0"/>
      <w:marRight w:val="0"/>
      <w:marTop w:val="0"/>
      <w:marBottom w:val="0"/>
      <w:divBdr>
        <w:top w:val="none" w:sz="0" w:space="0" w:color="auto"/>
        <w:left w:val="none" w:sz="0" w:space="0" w:color="auto"/>
        <w:bottom w:val="none" w:sz="0" w:space="0" w:color="auto"/>
        <w:right w:val="none" w:sz="0" w:space="0" w:color="auto"/>
      </w:divBdr>
      <w:divsChild>
        <w:div w:id="323971846">
          <w:marLeft w:val="346"/>
          <w:marRight w:val="0"/>
          <w:marTop w:val="0"/>
          <w:marBottom w:val="0"/>
          <w:divBdr>
            <w:top w:val="none" w:sz="0" w:space="0" w:color="auto"/>
            <w:left w:val="none" w:sz="0" w:space="0" w:color="auto"/>
            <w:bottom w:val="none" w:sz="0" w:space="0" w:color="auto"/>
            <w:right w:val="none" w:sz="0" w:space="0" w:color="auto"/>
          </w:divBdr>
        </w:div>
      </w:divsChild>
    </w:div>
    <w:div w:id="1740786146">
      <w:bodyDiv w:val="1"/>
      <w:marLeft w:val="0"/>
      <w:marRight w:val="0"/>
      <w:marTop w:val="0"/>
      <w:marBottom w:val="0"/>
      <w:divBdr>
        <w:top w:val="none" w:sz="0" w:space="0" w:color="auto"/>
        <w:left w:val="none" w:sz="0" w:space="0" w:color="auto"/>
        <w:bottom w:val="none" w:sz="0" w:space="0" w:color="auto"/>
        <w:right w:val="none" w:sz="0" w:space="0" w:color="auto"/>
      </w:divBdr>
    </w:div>
    <w:div w:id="1744984878">
      <w:bodyDiv w:val="1"/>
      <w:marLeft w:val="0"/>
      <w:marRight w:val="0"/>
      <w:marTop w:val="0"/>
      <w:marBottom w:val="0"/>
      <w:divBdr>
        <w:top w:val="none" w:sz="0" w:space="0" w:color="auto"/>
        <w:left w:val="none" w:sz="0" w:space="0" w:color="auto"/>
        <w:bottom w:val="none" w:sz="0" w:space="0" w:color="auto"/>
        <w:right w:val="none" w:sz="0" w:space="0" w:color="auto"/>
      </w:divBdr>
    </w:div>
    <w:div w:id="1825007275">
      <w:bodyDiv w:val="1"/>
      <w:marLeft w:val="0"/>
      <w:marRight w:val="0"/>
      <w:marTop w:val="0"/>
      <w:marBottom w:val="0"/>
      <w:divBdr>
        <w:top w:val="none" w:sz="0" w:space="0" w:color="auto"/>
        <w:left w:val="none" w:sz="0" w:space="0" w:color="auto"/>
        <w:bottom w:val="none" w:sz="0" w:space="0" w:color="auto"/>
        <w:right w:val="none" w:sz="0" w:space="0" w:color="auto"/>
      </w:divBdr>
    </w:div>
    <w:div w:id="1838763961">
      <w:bodyDiv w:val="1"/>
      <w:marLeft w:val="0"/>
      <w:marRight w:val="0"/>
      <w:marTop w:val="0"/>
      <w:marBottom w:val="0"/>
      <w:divBdr>
        <w:top w:val="none" w:sz="0" w:space="0" w:color="auto"/>
        <w:left w:val="none" w:sz="0" w:space="0" w:color="auto"/>
        <w:bottom w:val="none" w:sz="0" w:space="0" w:color="auto"/>
        <w:right w:val="none" w:sz="0" w:space="0" w:color="auto"/>
      </w:divBdr>
      <w:divsChild>
        <w:div w:id="208809587">
          <w:marLeft w:val="446"/>
          <w:marRight w:val="0"/>
          <w:marTop w:val="0"/>
          <w:marBottom w:val="0"/>
          <w:divBdr>
            <w:top w:val="none" w:sz="0" w:space="0" w:color="auto"/>
            <w:left w:val="none" w:sz="0" w:space="0" w:color="auto"/>
            <w:bottom w:val="none" w:sz="0" w:space="0" w:color="auto"/>
            <w:right w:val="none" w:sz="0" w:space="0" w:color="auto"/>
          </w:divBdr>
        </w:div>
        <w:div w:id="241644488">
          <w:marLeft w:val="446"/>
          <w:marRight w:val="0"/>
          <w:marTop w:val="0"/>
          <w:marBottom w:val="0"/>
          <w:divBdr>
            <w:top w:val="none" w:sz="0" w:space="0" w:color="auto"/>
            <w:left w:val="none" w:sz="0" w:space="0" w:color="auto"/>
            <w:bottom w:val="none" w:sz="0" w:space="0" w:color="auto"/>
            <w:right w:val="none" w:sz="0" w:space="0" w:color="auto"/>
          </w:divBdr>
        </w:div>
        <w:div w:id="289364766">
          <w:marLeft w:val="446"/>
          <w:marRight w:val="0"/>
          <w:marTop w:val="0"/>
          <w:marBottom w:val="0"/>
          <w:divBdr>
            <w:top w:val="none" w:sz="0" w:space="0" w:color="auto"/>
            <w:left w:val="none" w:sz="0" w:space="0" w:color="auto"/>
            <w:bottom w:val="none" w:sz="0" w:space="0" w:color="auto"/>
            <w:right w:val="none" w:sz="0" w:space="0" w:color="auto"/>
          </w:divBdr>
        </w:div>
        <w:div w:id="327943115">
          <w:marLeft w:val="446"/>
          <w:marRight w:val="0"/>
          <w:marTop w:val="0"/>
          <w:marBottom w:val="0"/>
          <w:divBdr>
            <w:top w:val="none" w:sz="0" w:space="0" w:color="auto"/>
            <w:left w:val="none" w:sz="0" w:space="0" w:color="auto"/>
            <w:bottom w:val="none" w:sz="0" w:space="0" w:color="auto"/>
            <w:right w:val="none" w:sz="0" w:space="0" w:color="auto"/>
          </w:divBdr>
        </w:div>
        <w:div w:id="423117126">
          <w:marLeft w:val="446"/>
          <w:marRight w:val="0"/>
          <w:marTop w:val="0"/>
          <w:marBottom w:val="0"/>
          <w:divBdr>
            <w:top w:val="none" w:sz="0" w:space="0" w:color="auto"/>
            <w:left w:val="none" w:sz="0" w:space="0" w:color="auto"/>
            <w:bottom w:val="none" w:sz="0" w:space="0" w:color="auto"/>
            <w:right w:val="none" w:sz="0" w:space="0" w:color="auto"/>
          </w:divBdr>
        </w:div>
        <w:div w:id="538711847">
          <w:marLeft w:val="446"/>
          <w:marRight w:val="0"/>
          <w:marTop w:val="0"/>
          <w:marBottom w:val="0"/>
          <w:divBdr>
            <w:top w:val="none" w:sz="0" w:space="0" w:color="auto"/>
            <w:left w:val="none" w:sz="0" w:space="0" w:color="auto"/>
            <w:bottom w:val="none" w:sz="0" w:space="0" w:color="auto"/>
            <w:right w:val="none" w:sz="0" w:space="0" w:color="auto"/>
          </w:divBdr>
        </w:div>
        <w:div w:id="662898845">
          <w:marLeft w:val="446"/>
          <w:marRight w:val="0"/>
          <w:marTop w:val="0"/>
          <w:marBottom w:val="0"/>
          <w:divBdr>
            <w:top w:val="none" w:sz="0" w:space="0" w:color="auto"/>
            <w:left w:val="none" w:sz="0" w:space="0" w:color="auto"/>
            <w:bottom w:val="none" w:sz="0" w:space="0" w:color="auto"/>
            <w:right w:val="none" w:sz="0" w:space="0" w:color="auto"/>
          </w:divBdr>
        </w:div>
        <w:div w:id="738984365">
          <w:marLeft w:val="446"/>
          <w:marRight w:val="0"/>
          <w:marTop w:val="0"/>
          <w:marBottom w:val="0"/>
          <w:divBdr>
            <w:top w:val="none" w:sz="0" w:space="0" w:color="auto"/>
            <w:left w:val="none" w:sz="0" w:space="0" w:color="auto"/>
            <w:bottom w:val="none" w:sz="0" w:space="0" w:color="auto"/>
            <w:right w:val="none" w:sz="0" w:space="0" w:color="auto"/>
          </w:divBdr>
        </w:div>
        <w:div w:id="967931589">
          <w:marLeft w:val="446"/>
          <w:marRight w:val="0"/>
          <w:marTop w:val="0"/>
          <w:marBottom w:val="0"/>
          <w:divBdr>
            <w:top w:val="none" w:sz="0" w:space="0" w:color="auto"/>
            <w:left w:val="none" w:sz="0" w:space="0" w:color="auto"/>
            <w:bottom w:val="none" w:sz="0" w:space="0" w:color="auto"/>
            <w:right w:val="none" w:sz="0" w:space="0" w:color="auto"/>
          </w:divBdr>
        </w:div>
        <w:div w:id="1012803392">
          <w:marLeft w:val="446"/>
          <w:marRight w:val="0"/>
          <w:marTop w:val="0"/>
          <w:marBottom w:val="0"/>
          <w:divBdr>
            <w:top w:val="none" w:sz="0" w:space="0" w:color="auto"/>
            <w:left w:val="none" w:sz="0" w:space="0" w:color="auto"/>
            <w:bottom w:val="none" w:sz="0" w:space="0" w:color="auto"/>
            <w:right w:val="none" w:sz="0" w:space="0" w:color="auto"/>
          </w:divBdr>
        </w:div>
        <w:div w:id="1069158349">
          <w:marLeft w:val="446"/>
          <w:marRight w:val="0"/>
          <w:marTop w:val="0"/>
          <w:marBottom w:val="0"/>
          <w:divBdr>
            <w:top w:val="none" w:sz="0" w:space="0" w:color="auto"/>
            <w:left w:val="none" w:sz="0" w:space="0" w:color="auto"/>
            <w:bottom w:val="none" w:sz="0" w:space="0" w:color="auto"/>
            <w:right w:val="none" w:sz="0" w:space="0" w:color="auto"/>
          </w:divBdr>
        </w:div>
        <w:div w:id="1101754085">
          <w:marLeft w:val="446"/>
          <w:marRight w:val="0"/>
          <w:marTop w:val="0"/>
          <w:marBottom w:val="0"/>
          <w:divBdr>
            <w:top w:val="none" w:sz="0" w:space="0" w:color="auto"/>
            <w:left w:val="none" w:sz="0" w:space="0" w:color="auto"/>
            <w:bottom w:val="none" w:sz="0" w:space="0" w:color="auto"/>
            <w:right w:val="none" w:sz="0" w:space="0" w:color="auto"/>
          </w:divBdr>
        </w:div>
        <w:div w:id="1411541706">
          <w:marLeft w:val="446"/>
          <w:marRight w:val="0"/>
          <w:marTop w:val="0"/>
          <w:marBottom w:val="0"/>
          <w:divBdr>
            <w:top w:val="none" w:sz="0" w:space="0" w:color="auto"/>
            <w:left w:val="none" w:sz="0" w:space="0" w:color="auto"/>
            <w:bottom w:val="none" w:sz="0" w:space="0" w:color="auto"/>
            <w:right w:val="none" w:sz="0" w:space="0" w:color="auto"/>
          </w:divBdr>
        </w:div>
        <w:div w:id="1590389721">
          <w:marLeft w:val="446"/>
          <w:marRight w:val="0"/>
          <w:marTop w:val="0"/>
          <w:marBottom w:val="0"/>
          <w:divBdr>
            <w:top w:val="none" w:sz="0" w:space="0" w:color="auto"/>
            <w:left w:val="none" w:sz="0" w:space="0" w:color="auto"/>
            <w:bottom w:val="none" w:sz="0" w:space="0" w:color="auto"/>
            <w:right w:val="none" w:sz="0" w:space="0" w:color="auto"/>
          </w:divBdr>
        </w:div>
        <w:div w:id="2116437809">
          <w:marLeft w:val="446"/>
          <w:marRight w:val="0"/>
          <w:marTop w:val="0"/>
          <w:marBottom w:val="0"/>
          <w:divBdr>
            <w:top w:val="none" w:sz="0" w:space="0" w:color="auto"/>
            <w:left w:val="none" w:sz="0" w:space="0" w:color="auto"/>
            <w:bottom w:val="none" w:sz="0" w:space="0" w:color="auto"/>
            <w:right w:val="none" w:sz="0" w:space="0" w:color="auto"/>
          </w:divBdr>
        </w:div>
        <w:div w:id="2120101270">
          <w:marLeft w:val="446"/>
          <w:marRight w:val="0"/>
          <w:marTop w:val="0"/>
          <w:marBottom w:val="0"/>
          <w:divBdr>
            <w:top w:val="none" w:sz="0" w:space="0" w:color="auto"/>
            <w:left w:val="none" w:sz="0" w:space="0" w:color="auto"/>
            <w:bottom w:val="none" w:sz="0" w:space="0" w:color="auto"/>
            <w:right w:val="none" w:sz="0" w:space="0" w:color="auto"/>
          </w:divBdr>
        </w:div>
      </w:divsChild>
    </w:div>
    <w:div w:id="1879777980">
      <w:bodyDiv w:val="1"/>
      <w:marLeft w:val="0"/>
      <w:marRight w:val="0"/>
      <w:marTop w:val="0"/>
      <w:marBottom w:val="0"/>
      <w:divBdr>
        <w:top w:val="none" w:sz="0" w:space="0" w:color="auto"/>
        <w:left w:val="none" w:sz="0" w:space="0" w:color="auto"/>
        <w:bottom w:val="none" w:sz="0" w:space="0" w:color="auto"/>
        <w:right w:val="none" w:sz="0" w:space="0" w:color="auto"/>
      </w:divBdr>
    </w:div>
    <w:div w:id="1887182639">
      <w:bodyDiv w:val="1"/>
      <w:marLeft w:val="0"/>
      <w:marRight w:val="0"/>
      <w:marTop w:val="0"/>
      <w:marBottom w:val="0"/>
      <w:divBdr>
        <w:top w:val="none" w:sz="0" w:space="0" w:color="auto"/>
        <w:left w:val="none" w:sz="0" w:space="0" w:color="auto"/>
        <w:bottom w:val="none" w:sz="0" w:space="0" w:color="auto"/>
        <w:right w:val="none" w:sz="0" w:space="0" w:color="auto"/>
      </w:divBdr>
    </w:div>
    <w:div w:id="1891765657">
      <w:bodyDiv w:val="1"/>
      <w:marLeft w:val="0"/>
      <w:marRight w:val="0"/>
      <w:marTop w:val="0"/>
      <w:marBottom w:val="0"/>
      <w:divBdr>
        <w:top w:val="none" w:sz="0" w:space="0" w:color="auto"/>
        <w:left w:val="none" w:sz="0" w:space="0" w:color="auto"/>
        <w:bottom w:val="none" w:sz="0" w:space="0" w:color="auto"/>
        <w:right w:val="none" w:sz="0" w:space="0" w:color="auto"/>
      </w:divBdr>
      <w:divsChild>
        <w:div w:id="599217811">
          <w:marLeft w:val="274"/>
          <w:marRight w:val="0"/>
          <w:marTop w:val="0"/>
          <w:marBottom w:val="0"/>
          <w:divBdr>
            <w:top w:val="none" w:sz="0" w:space="0" w:color="auto"/>
            <w:left w:val="none" w:sz="0" w:space="0" w:color="auto"/>
            <w:bottom w:val="none" w:sz="0" w:space="0" w:color="auto"/>
            <w:right w:val="none" w:sz="0" w:space="0" w:color="auto"/>
          </w:divBdr>
        </w:div>
        <w:div w:id="1532450494">
          <w:marLeft w:val="274"/>
          <w:marRight w:val="0"/>
          <w:marTop w:val="0"/>
          <w:marBottom w:val="0"/>
          <w:divBdr>
            <w:top w:val="none" w:sz="0" w:space="0" w:color="auto"/>
            <w:left w:val="none" w:sz="0" w:space="0" w:color="auto"/>
            <w:bottom w:val="none" w:sz="0" w:space="0" w:color="auto"/>
            <w:right w:val="none" w:sz="0" w:space="0" w:color="auto"/>
          </w:divBdr>
        </w:div>
        <w:div w:id="1742868212">
          <w:marLeft w:val="274"/>
          <w:marRight w:val="0"/>
          <w:marTop w:val="0"/>
          <w:marBottom w:val="0"/>
          <w:divBdr>
            <w:top w:val="none" w:sz="0" w:space="0" w:color="auto"/>
            <w:left w:val="none" w:sz="0" w:space="0" w:color="auto"/>
            <w:bottom w:val="none" w:sz="0" w:space="0" w:color="auto"/>
            <w:right w:val="none" w:sz="0" w:space="0" w:color="auto"/>
          </w:divBdr>
        </w:div>
      </w:divsChild>
    </w:div>
    <w:div w:id="1921017629">
      <w:bodyDiv w:val="1"/>
      <w:marLeft w:val="0"/>
      <w:marRight w:val="0"/>
      <w:marTop w:val="0"/>
      <w:marBottom w:val="0"/>
      <w:divBdr>
        <w:top w:val="none" w:sz="0" w:space="0" w:color="auto"/>
        <w:left w:val="none" w:sz="0" w:space="0" w:color="auto"/>
        <w:bottom w:val="none" w:sz="0" w:space="0" w:color="auto"/>
        <w:right w:val="none" w:sz="0" w:space="0" w:color="auto"/>
      </w:divBdr>
      <w:divsChild>
        <w:div w:id="972826034">
          <w:marLeft w:val="346"/>
          <w:marRight w:val="0"/>
          <w:marTop w:val="0"/>
          <w:marBottom w:val="0"/>
          <w:divBdr>
            <w:top w:val="none" w:sz="0" w:space="0" w:color="auto"/>
            <w:left w:val="none" w:sz="0" w:space="0" w:color="auto"/>
            <w:bottom w:val="none" w:sz="0" w:space="0" w:color="auto"/>
            <w:right w:val="none" w:sz="0" w:space="0" w:color="auto"/>
          </w:divBdr>
        </w:div>
        <w:div w:id="1906530049">
          <w:marLeft w:val="346"/>
          <w:marRight w:val="0"/>
          <w:marTop w:val="0"/>
          <w:marBottom w:val="0"/>
          <w:divBdr>
            <w:top w:val="none" w:sz="0" w:space="0" w:color="auto"/>
            <w:left w:val="none" w:sz="0" w:space="0" w:color="auto"/>
            <w:bottom w:val="none" w:sz="0" w:space="0" w:color="auto"/>
            <w:right w:val="none" w:sz="0" w:space="0" w:color="auto"/>
          </w:divBdr>
        </w:div>
      </w:divsChild>
    </w:div>
    <w:div w:id="1930430920">
      <w:bodyDiv w:val="1"/>
      <w:marLeft w:val="0"/>
      <w:marRight w:val="0"/>
      <w:marTop w:val="0"/>
      <w:marBottom w:val="0"/>
      <w:divBdr>
        <w:top w:val="none" w:sz="0" w:space="0" w:color="auto"/>
        <w:left w:val="none" w:sz="0" w:space="0" w:color="auto"/>
        <w:bottom w:val="none" w:sz="0" w:space="0" w:color="auto"/>
        <w:right w:val="none" w:sz="0" w:space="0" w:color="auto"/>
      </w:divBdr>
    </w:div>
    <w:div w:id="1936211986">
      <w:bodyDiv w:val="1"/>
      <w:marLeft w:val="0"/>
      <w:marRight w:val="0"/>
      <w:marTop w:val="0"/>
      <w:marBottom w:val="0"/>
      <w:divBdr>
        <w:top w:val="none" w:sz="0" w:space="0" w:color="auto"/>
        <w:left w:val="none" w:sz="0" w:space="0" w:color="auto"/>
        <w:bottom w:val="none" w:sz="0" w:space="0" w:color="auto"/>
        <w:right w:val="none" w:sz="0" w:space="0" w:color="auto"/>
      </w:divBdr>
      <w:divsChild>
        <w:div w:id="138309771">
          <w:marLeft w:val="274"/>
          <w:marRight w:val="0"/>
          <w:marTop w:val="0"/>
          <w:marBottom w:val="120"/>
          <w:divBdr>
            <w:top w:val="none" w:sz="0" w:space="0" w:color="auto"/>
            <w:left w:val="none" w:sz="0" w:space="0" w:color="auto"/>
            <w:bottom w:val="none" w:sz="0" w:space="0" w:color="auto"/>
            <w:right w:val="none" w:sz="0" w:space="0" w:color="auto"/>
          </w:divBdr>
        </w:div>
        <w:div w:id="240137966">
          <w:marLeft w:val="274"/>
          <w:marRight w:val="0"/>
          <w:marTop w:val="0"/>
          <w:marBottom w:val="120"/>
          <w:divBdr>
            <w:top w:val="none" w:sz="0" w:space="0" w:color="auto"/>
            <w:left w:val="none" w:sz="0" w:space="0" w:color="auto"/>
            <w:bottom w:val="none" w:sz="0" w:space="0" w:color="auto"/>
            <w:right w:val="none" w:sz="0" w:space="0" w:color="auto"/>
          </w:divBdr>
        </w:div>
        <w:div w:id="326636989">
          <w:marLeft w:val="274"/>
          <w:marRight w:val="0"/>
          <w:marTop w:val="0"/>
          <w:marBottom w:val="120"/>
          <w:divBdr>
            <w:top w:val="none" w:sz="0" w:space="0" w:color="auto"/>
            <w:left w:val="none" w:sz="0" w:space="0" w:color="auto"/>
            <w:bottom w:val="none" w:sz="0" w:space="0" w:color="auto"/>
            <w:right w:val="none" w:sz="0" w:space="0" w:color="auto"/>
          </w:divBdr>
        </w:div>
        <w:div w:id="358776126">
          <w:marLeft w:val="274"/>
          <w:marRight w:val="0"/>
          <w:marTop w:val="0"/>
          <w:marBottom w:val="120"/>
          <w:divBdr>
            <w:top w:val="none" w:sz="0" w:space="0" w:color="auto"/>
            <w:left w:val="none" w:sz="0" w:space="0" w:color="auto"/>
            <w:bottom w:val="none" w:sz="0" w:space="0" w:color="auto"/>
            <w:right w:val="none" w:sz="0" w:space="0" w:color="auto"/>
          </w:divBdr>
        </w:div>
        <w:div w:id="426922072">
          <w:marLeft w:val="274"/>
          <w:marRight w:val="0"/>
          <w:marTop w:val="0"/>
          <w:marBottom w:val="120"/>
          <w:divBdr>
            <w:top w:val="none" w:sz="0" w:space="0" w:color="auto"/>
            <w:left w:val="none" w:sz="0" w:space="0" w:color="auto"/>
            <w:bottom w:val="none" w:sz="0" w:space="0" w:color="auto"/>
            <w:right w:val="none" w:sz="0" w:space="0" w:color="auto"/>
          </w:divBdr>
        </w:div>
        <w:div w:id="587542545">
          <w:marLeft w:val="274"/>
          <w:marRight w:val="0"/>
          <w:marTop w:val="0"/>
          <w:marBottom w:val="120"/>
          <w:divBdr>
            <w:top w:val="none" w:sz="0" w:space="0" w:color="auto"/>
            <w:left w:val="none" w:sz="0" w:space="0" w:color="auto"/>
            <w:bottom w:val="none" w:sz="0" w:space="0" w:color="auto"/>
            <w:right w:val="none" w:sz="0" w:space="0" w:color="auto"/>
          </w:divBdr>
        </w:div>
        <w:div w:id="626274579">
          <w:marLeft w:val="274"/>
          <w:marRight w:val="0"/>
          <w:marTop w:val="0"/>
          <w:marBottom w:val="120"/>
          <w:divBdr>
            <w:top w:val="none" w:sz="0" w:space="0" w:color="auto"/>
            <w:left w:val="none" w:sz="0" w:space="0" w:color="auto"/>
            <w:bottom w:val="none" w:sz="0" w:space="0" w:color="auto"/>
            <w:right w:val="none" w:sz="0" w:space="0" w:color="auto"/>
          </w:divBdr>
        </w:div>
        <w:div w:id="1082608360">
          <w:marLeft w:val="274"/>
          <w:marRight w:val="0"/>
          <w:marTop w:val="0"/>
          <w:marBottom w:val="120"/>
          <w:divBdr>
            <w:top w:val="none" w:sz="0" w:space="0" w:color="auto"/>
            <w:left w:val="none" w:sz="0" w:space="0" w:color="auto"/>
            <w:bottom w:val="none" w:sz="0" w:space="0" w:color="auto"/>
            <w:right w:val="none" w:sz="0" w:space="0" w:color="auto"/>
          </w:divBdr>
        </w:div>
        <w:div w:id="1378699618">
          <w:marLeft w:val="274"/>
          <w:marRight w:val="0"/>
          <w:marTop w:val="0"/>
          <w:marBottom w:val="120"/>
          <w:divBdr>
            <w:top w:val="none" w:sz="0" w:space="0" w:color="auto"/>
            <w:left w:val="none" w:sz="0" w:space="0" w:color="auto"/>
            <w:bottom w:val="none" w:sz="0" w:space="0" w:color="auto"/>
            <w:right w:val="none" w:sz="0" w:space="0" w:color="auto"/>
          </w:divBdr>
        </w:div>
        <w:div w:id="1392732875">
          <w:marLeft w:val="274"/>
          <w:marRight w:val="0"/>
          <w:marTop w:val="0"/>
          <w:marBottom w:val="120"/>
          <w:divBdr>
            <w:top w:val="none" w:sz="0" w:space="0" w:color="auto"/>
            <w:left w:val="none" w:sz="0" w:space="0" w:color="auto"/>
            <w:bottom w:val="none" w:sz="0" w:space="0" w:color="auto"/>
            <w:right w:val="none" w:sz="0" w:space="0" w:color="auto"/>
          </w:divBdr>
        </w:div>
        <w:div w:id="1465804857">
          <w:marLeft w:val="274"/>
          <w:marRight w:val="0"/>
          <w:marTop w:val="0"/>
          <w:marBottom w:val="120"/>
          <w:divBdr>
            <w:top w:val="none" w:sz="0" w:space="0" w:color="auto"/>
            <w:left w:val="none" w:sz="0" w:space="0" w:color="auto"/>
            <w:bottom w:val="none" w:sz="0" w:space="0" w:color="auto"/>
            <w:right w:val="none" w:sz="0" w:space="0" w:color="auto"/>
          </w:divBdr>
        </w:div>
        <w:div w:id="1518422851">
          <w:marLeft w:val="274"/>
          <w:marRight w:val="0"/>
          <w:marTop w:val="0"/>
          <w:marBottom w:val="120"/>
          <w:divBdr>
            <w:top w:val="none" w:sz="0" w:space="0" w:color="auto"/>
            <w:left w:val="none" w:sz="0" w:space="0" w:color="auto"/>
            <w:bottom w:val="none" w:sz="0" w:space="0" w:color="auto"/>
            <w:right w:val="none" w:sz="0" w:space="0" w:color="auto"/>
          </w:divBdr>
        </w:div>
        <w:div w:id="1750615480">
          <w:marLeft w:val="274"/>
          <w:marRight w:val="0"/>
          <w:marTop w:val="0"/>
          <w:marBottom w:val="120"/>
          <w:divBdr>
            <w:top w:val="none" w:sz="0" w:space="0" w:color="auto"/>
            <w:left w:val="none" w:sz="0" w:space="0" w:color="auto"/>
            <w:bottom w:val="none" w:sz="0" w:space="0" w:color="auto"/>
            <w:right w:val="none" w:sz="0" w:space="0" w:color="auto"/>
          </w:divBdr>
        </w:div>
        <w:div w:id="1757284733">
          <w:marLeft w:val="274"/>
          <w:marRight w:val="0"/>
          <w:marTop w:val="0"/>
          <w:marBottom w:val="120"/>
          <w:divBdr>
            <w:top w:val="none" w:sz="0" w:space="0" w:color="auto"/>
            <w:left w:val="none" w:sz="0" w:space="0" w:color="auto"/>
            <w:bottom w:val="none" w:sz="0" w:space="0" w:color="auto"/>
            <w:right w:val="none" w:sz="0" w:space="0" w:color="auto"/>
          </w:divBdr>
        </w:div>
        <w:div w:id="1978870486">
          <w:marLeft w:val="274"/>
          <w:marRight w:val="0"/>
          <w:marTop w:val="0"/>
          <w:marBottom w:val="120"/>
          <w:divBdr>
            <w:top w:val="none" w:sz="0" w:space="0" w:color="auto"/>
            <w:left w:val="none" w:sz="0" w:space="0" w:color="auto"/>
            <w:bottom w:val="none" w:sz="0" w:space="0" w:color="auto"/>
            <w:right w:val="none" w:sz="0" w:space="0" w:color="auto"/>
          </w:divBdr>
        </w:div>
        <w:div w:id="2130201512">
          <w:marLeft w:val="274"/>
          <w:marRight w:val="0"/>
          <w:marTop w:val="0"/>
          <w:marBottom w:val="120"/>
          <w:divBdr>
            <w:top w:val="none" w:sz="0" w:space="0" w:color="auto"/>
            <w:left w:val="none" w:sz="0" w:space="0" w:color="auto"/>
            <w:bottom w:val="none" w:sz="0" w:space="0" w:color="auto"/>
            <w:right w:val="none" w:sz="0" w:space="0" w:color="auto"/>
          </w:divBdr>
        </w:div>
      </w:divsChild>
    </w:div>
    <w:div w:id="1943688490">
      <w:bodyDiv w:val="1"/>
      <w:marLeft w:val="0"/>
      <w:marRight w:val="0"/>
      <w:marTop w:val="0"/>
      <w:marBottom w:val="0"/>
      <w:divBdr>
        <w:top w:val="none" w:sz="0" w:space="0" w:color="auto"/>
        <w:left w:val="none" w:sz="0" w:space="0" w:color="auto"/>
        <w:bottom w:val="none" w:sz="0" w:space="0" w:color="auto"/>
        <w:right w:val="none" w:sz="0" w:space="0" w:color="auto"/>
      </w:divBdr>
    </w:div>
    <w:div w:id="1948609902">
      <w:bodyDiv w:val="1"/>
      <w:marLeft w:val="0"/>
      <w:marRight w:val="0"/>
      <w:marTop w:val="0"/>
      <w:marBottom w:val="0"/>
      <w:divBdr>
        <w:top w:val="none" w:sz="0" w:space="0" w:color="auto"/>
        <w:left w:val="none" w:sz="0" w:space="0" w:color="auto"/>
        <w:bottom w:val="none" w:sz="0" w:space="0" w:color="auto"/>
        <w:right w:val="none" w:sz="0" w:space="0" w:color="auto"/>
      </w:divBdr>
    </w:div>
    <w:div w:id="1970668246">
      <w:bodyDiv w:val="1"/>
      <w:marLeft w:val="0"/>
      <w:marRight w:val="0"/>
      <w:marTop w:val="0"/>
      <w:marBottom w:val="0"/>
      <w:divBdr>
        <w:top w:val="none" w:sz="0" w:space="0" w:color="auto"/>
        <w:left w:val="none" w:sz="0" w:space="0" w:color="auto"/>
        <w:bottom w:val="none" w:sz="0" w:space="0" w:color="auto"/>
        <w:right w:val="none" w:sz="0" w:space="0" w:color="auto"/>
      </w:divBdr>
    </w:div>
    <w:div w:id="1972442676">
      <w:bodyDiv w:val="1"/>
      <w:marLeft w:val="0"/>
      <w:marRight w:val="0"/>
      <w:marTop w:val="0"/>
      <w:marBottom w:val="0"/>
      <w:divBdr>
        <w:top w:val="none" w:sz="0" w:space="0" w:color="auto"/>
        <w:left w:val="none" w:sz="0" w:space="0" w:color="auto"/>
        <w:bottom w:val="none" w:sz="0" w:space="0" w:color="auto"/>
        <w:right w:val="none" w:sz="0" w:space="0" w:color="auto"/>
      </w:divBdr>
    </w:div>
    <w:div w:id="1994406795">
      <w:bodyDiv w:val="1"/>
      <w:marLeft w:val="0"/>
      <w:marRight w:val="0"/>
      <w:marTop w:val="0"/>
      <w:marBottom w:val="0"/>
      <w:divBdr>
        <w:top w:val="none" w:sz="0" w:space="0" w:color="auto"/>
        <w:left w:val="none" w:sz="0" w:space="0" w:color="auto"/>
        <w:bottom w:val="none" w:sz="0" w:space="0" w:color="auto"/>
        <w:right w:val="none" w:sz="0" w:space="0" w:color="auto"/>
      </w:divBdr>
      <w:divsChild>
        <w:div w:id="1907640529">
          <w:marLeft w:val="274"/>
          <w:marRight w:val="0"/>
          <w:marTop w:val="0"/>
          <w:marBottom w:val="0"/>
          <w:divBdr>
            <w:top w:val="none" w:sz="0" w:space="0" w:color="auto"/>
            <w:left w:val="none" w:sz="0" w:space="0" w:color="auto"/>
            <w:bottom w:val="none" w:sz="0" w:space="0" w:color="auto"/>
            <w:right w:val="none" w:sz="0" w:space="0" w:color="auto"/>
          </w:divBdr>
        </w:div>
        <w:div w:id="1544444719">
          <w:marLeft w:val="274"/>
          <w:marRight w:val="0"/>
          <w:marTop w:val="0"/>
          <w:marBottom w:val="0"/>
          <w:divBdr>
            <w:top w:val="none" w:sz="0" w:space="0" w:color="auto"/>
            <w:left w:val="none" w:sz="0" w:space="0" w:color="auto"/>
            <w:bottom w:val="none" w:sz="0" w:space="0" w:color="auto"/>
            <w:right w:val="none" w:sz="0" w:space="0" w:color="auto"/>
          </w:divBdr>
        </w:div>
      </w:divsChild>
    </w:div>
    <w:div w:id="1995528057">
      <w:bodyDiv w:val="1"/>
      <w:marLeft w:val="0"/>
      <w:marRight w:val="0"/>
      <w:marTop w:val="0"/>
      <w:marBottom w:val="0"/>
      <w:divBdr>
        <w:top w:val="none" w:sz="0" w:space="0" w:color="auto"/>
        <w:left w:val="none" w:sz="0" w:space="0" w:color="auto"/>
        <w:bottom w:val="none" w:sz="0" w:space="0" w:color="auto"/>
        <w:right w:val="none" w:sz="0" w:space="0" w:color="auto"/>
      </w:divBdr>
      <w:divsChild>
        <w:div w:id="1557666888">
          <w:marLeft w:val="274"/>
          <w:marRight w:val="0"/>
          <w:marTop w:val="0"/>
          <w:marBottom w:val="0"/>
          <w:divBdr>
            <w:top w:val="none" w:sz="0" w:space="0" w:color="auto"/>
            <w:left w:val="none" w:sz="0" w:space="0" w:color="auto"/>
            <w:bottom w:val="none" w:sz="0" w:space="0" w:color="auto"/>
            <w:right w:val="none" w:sz="0" w:space="0" w:color="auto"/>
          </w:divBdr>
        </w:div>
        <w:div w:id="1584485782">
          <w:marLeft w:val="274"/>
          <w:marRight w:val="0"/>
          <w:marTop w:val="0"/>
          <w:marBottom w:val="0"/>
          <w:divBdr>
            <w:top w:val="none" w:sz="0" w:space="0" w:color="auto"/>
            <w:left w:val="none" w:sz="0" w:space="0" w:color="auto"/>
            <w:bottom w:val="none" w:sz="0" w:space="0" w:color="auto"/>
            <w:right w:val="none" w:sz="0" w:space="0" w:color="auto"/>
          </w:divBdr>
        </w:div>
      </w:divsChild>
    </w:div>
    <w:div w:id="2002005979">
      <w:bodyDiv w:val="1"/>
      <w:marLeft w:val="0"/>
      <w:marRight w:val="0"/>
      <w:marTop w:val="0"/>
      <w:marBottom w:val="0"/>
      <w:divBdr>
        <w:top w:val="none" w:sz="0" w:space="0" w:color="auto"/>
        <w:left w:val="none" w:sz="0" w:space="0" w:color="auto"/>
        <w:bottom w:val="none" w:sz="0" w:space="0" w:color="auto"/>
        <w:right w:val="none" w:sz="0" w:space="0" w:color="auto"/>
      </w:divBdr>
    </w:div>
    <w:div w:id="2007123262">
      <w:bodyDiv w:val="1"/>
      <w:marLeft w:val="0"/>
      <w:marRight w:val="0"/>
      <w:marTop w:val="0"/>
      <w:marBottom w:val="0"/>
      <w:divBdr>
        <w:top w:val="none" w:sz="0" w:space="0" w:color="auto"/>
        <w:left w:val="none" w:sz="0" w:space="0" w:color="auto"/>
        <w:bottom w:val="none" w:sz="0" w:space="0" w:color="auto"/>
        <w:right w:val="none" w:sz="0" w:space="0" w:color="auto"/>
      </w:divBdr>
      <w:divsChild>
        <w:div w:id="1246840153">
          <w:marLeft w:val="346"/>
          <w:marRight w:val="0"/>
          <w:marTop w:val="0"/>
          <w:marBottom w:val="0"/>
          <w:divBdr>
            <w:top w:val="none" w:sz="0" w:space="0" w:color="auto"/>
            <w:left w:val="none" w:sz="0" w:space="0" w:color="auto"/>
            <w:bottom w:val="none" w:sz="0" w:space="0" w:color="auto"/>
            <w:right w:val="none" w:sz="0" w:space="0" w:color="auto"/>
          </w:divBdr>
        </w:div>
      </w:divsChild>
    </w:div>
    <w:div w:id="2014645738">
      <w:bodyDiv w:val="1"/>
      <w:marLeft w:val="0"/>
      <w:marRight w:val="0"/>
      <w:marTop w:val="0"/>
      <w:marBottom w:val="0"/>
      <w:divBdr>
        <w:top w:val="none" w:sz="0" w:space="0" w:color="auto"/>
        <w:left w:val="none" w:sz="0" w:space="0" w:color="auto"/>
        <w:bottom w:val="none" w:sz="0" w:space="0" w:color="auto"/>
        <w:right w:val="none" w:sz="0" w:space="0" w:color="auto"/>
      </w:divBdr>
    </w:div>
    <w:div w:id="2020623843">
      <w:bodyDiv w:val="1"/>
      <w:marLeft w:val="0"/>
      <w:marRight w:val="0"/>
      <w:marTop w:val="0"/>
      <w:marBottom w:val="0"/>
      <w:divBdr>
        <w:top w:val="none" w:sz="0" w:space="0" w:color="auto"/>
        <w:left w:val="none" w:sz="0" w:space="0" w:color="auto"/>
        <w:bottom w:val="none" w:sz="0" w:space="0" w:color="auto"/>
        <w:right w:val="none" w:sz="0" w:space="0" w:color="auto"/>
      </w:divBdr>
      <w:divsChild>
        <w:div w:id="722797125">
          <w:marLeft w:val="274"/>
          <w:marRight w:val="0"/>
          <w:marTop w:val="200"/>
          <w:marBottom w:val="0"/>
          <w:divBdr>
            <w:top w:val="none" w:sz="0" w:space="0" w:color="auto"/>
            <w:left w:val="none" w:sz="0" w:space="0" w:color="auto"/>
            <w:bottom w:val="none" w:sz="0" w:space="0" w:color="auto"/>
            <w:right w:val="none" w:sz="0" w:space="0" w:color="auto"/>
          </w:divBdr>
        </w:div>
        <w:div w:id="799767040">
          <w:marLeft w:val="274"/>
          <w:marRight w:val="0"/>
          <w:marTop w:val="200"/>
          <w:marBottom w:val="0"/>
          <w:divBdr>
            <w:top w:val="none" w:sz="0" w:space="0" w:color="auto"/>
            <w:left w:val="none" w:sz="0" w:space="0" w:color="auto"/>
            <w:bottom w:val="none" w:sz="0" w:space="0" w:color="auto"/>
            <w:right w:val="none" w:sz="0" w:space="0" w:color="auto"/>
          </w:divBdr>
        </w:div>
        <w:div w:id="1440028119">
          <w:marLeft w:val="274"/>
          <w:marRight w:val="0"/>
          <w:marTop w:val="200"/>
          <w:marBottom w:val="0"/>
          <w:divBdr>
            <w:top w:val="none" w:sz="0" w:space="0" w:color="auto"/>
            <w:left w:val="none" w:sz="0" w:space="0" w:color="auto"/>
            <w:bottom w:val="none" w:sz="0" w:space="0" w:color="auto"/>
            <w:right w:val="none" w:sz="0" w:space="0" w:color="auto"/>
          </w:divBdr>
        </w:div>
        <w:div w:id="1989941188">
          <w:marLeft w:val="274"/>
          <w:marRight w:val="0"/>
          <w:marTop w:val="200"/>
          <w:marBottom w:val="0"/>
          <w:divBdr>
            <w:top w:val="none" w:sz="0" w:space="0" w:color="auto"/>
            <w:left w:val="none" w:sz="0" w:space="0" w:color="auto"/>
            <w:bottom w:val="none" w:sz="0" w:space="0" w:color="auto"/>
            <w:right w:val="none" w:sz="0" w:space="0" w:color="auto"/>
          </w:divBdr>
        </w:div>
      </w:divsChild>
    </w:div>
    <w:div w:id="2024044878">
      <w:bodyDiv w:val="1"/>
      <w:marLeft w:val="0"/>
      <w:marRight w:val="0"/>
      <w:marTop w:val="0"/>
      <w:marBottom w:val="0"/>
      <w:divBdr>
        <w:top w:val="none" w:sz="0" w:space="0" w:color="auto"/>
        <w:left w:val="none" w:sz="0" w:space="0" w:color="auto"/>
        <w:bottom w:val="none" w:sz="0" w:space="0" w:color="auto"/>
        <w:right w:val="none" w:sz="0" w:space="0" w:color="auto"/>
      </w:divBdr>
      <w:divsChild>
        <w:div w:id="105387439">
          <w:marLeft w:val="274"/>
          <w:marRight w:val="0"/>
          <w:marTop w:val="200"/>
          <w:marBottom w:val="0"/>
          <w:divBdr>
            <w:top w:val="none" w:sz="0" w:space="0" w:color="auto"/>
            <w:left w:val="none" w:sz="0" w:space="0" w:color="auto"/>
            <w:bottom w:val="none" w:sz="0" w:space="0" w:color="auto"/>
            <w:right w:val="none" w:sz="0" w:space="0" w:color="auto"/>
          </w:divBdr>
        </w:div>
        <w:div w:id="814028566">
          <w:marLeft w:val="274"/>
          <w:marRight w:val="0"/>
          <w:marTop w:val="200"/>
          <w:marBottom w:val="0"/>
          <w:divBdr>
            <w:top w:val="none" w:sz="0" w:space="0" w:color="auto"/>
            <w:left w:val="none" w:sz="0" w:space="0" w:color="auto"/>
            <w:bottom w:val="none" w:sz="0" w:space="0" w:color="auto"/>
            <w:right w:val="none" w:sz="0" w:space="0" w:color="auto"/>
          </w:divBdr>
        </w:div>
        <w:div w:id="838807144">
          <w:marLeft w:val="274"/>
          <w:marRight w:val="0"/>
          <w:marTop w:val="200"/>
          <w:marBottom w:val="0"/>
          <w:divBdr>
            <w:top w:val="none" w:sz="0" w:space="0" w:color="auto"/>
            <w:left w:val="none" w:sz="0" w:space="0" w:color="auto"/>
            <w:bottom w:val="none" w:sz="0" w:space="0" w:color="auto"/>
            <w:right w:val="none" w:sz="0" w:space="0" w:color="auto"/>
          </w:divBdr>
        </w:div>
        <w:div w:id="1682314854">
          <w:marLeft w:val="274"/>
          <w:marRight w:val="0"/>
          <w:marTop w:val="200"/>
          <w:marBottom w:val="0"/>
          <w:divBdr>
            <w:top w:val="none" w:sz="0" w:space="0" w:color="auto"/>
            <w:left w:val="none" w:sz="0" w:space="0" w:color="auto"/>
            <w:bottom w:val="none" w:sz="0" w:space="0" w:color="auto"/>
            <w:right w:val="none" w:sz="0" w:space="0" w:color="auto"/>
          </w:divBdr>
        </w:div>
      </w:divsChild>
    </w:div>
    <w:div w:id="2033802561">
      <w:bodyDiv w:val="1"/>
      <w:marLeft w:val="0"/>
      <w:marRight w:val="0"/>
      <w:marTop w:val="0"/>
      <w:marBottom w:val="0"/>
      <w:divBdr>
        <w:top w:val="none" w:sz="0" w:space="0" w:color="auto"/>
        <w:left w:val="none" w:sz="0" w:space="0" w:color="auto"/>
        <w:bottom w:val="none" w:sz="0" w:space="0" w:color="auto"/>
        <w:right w:val="none" w:sz="0" w:space="0" w:color="auto"/>
      </w:divBdr>
    </w:div>
    <w:div w:id="2038038784">
      <w:bodyDiv w:val="1"/>
      <w:marLeft w:val="0"/>
      <w:marRight w:val="0"/>
      <w:marTop w:val="0"/>
      <w:marBottom w:val="0"/>
      <w:divBdr>
        <w:top w:val="none" w:sz="0" w:space="0" w:color="auto"/>
        <w:left w:val="none" w:sz="0" w:space="0" w:color="auto"/>
        <w:bottom w:val="none" w:sz="0" w:space="0" w:color="auto"/>
        <w:right w:val="none" w:sz="0" w:space="0" w:color="auto"/>
      </w:divBdr>
      <w:divsChild>
        <w:div w:id="594217007">
          <w:marLeft w:val="274"/>
          <w:marRight w:val="0"/>
          <w:marTop w:val="0"/>
          <w:marBottom w:val="0"/>
          <w:divBdr>
            <w:top w:val="none" w:sz="0" w:space="0" w:color="auto"/>
            <w:left w:val="none" w:sz="0" w:space="0" w:color="auto"/>
            <w:bottom w:val="none" w:sz="0" w:space="0" w:color="auto"/>
            <w:right w:val="none" w:sz="0" w:space="0" w:color="auto"/>
          </w:divBdr>
        </w:div>
        <w:div w:id="716901387">
          <w:marLeft w:val="274"/>
          <w:marRight w:val="0"/>
          <w:marTop w:val="0"/>
          <w:marBottom w:val="0"/>
          <w:divBdr>
            <w:top w:val="none" w:sz="0" w:space="0" w:color="auto"/>
            <w:left w:val="none" w:sz="0" w:space="0" w:color="auto"/>
            <w:bottom w:val="none" w:sz="0" w:space="0" w:color="auto"/>
            <w:right w:val="none" w:sz="0" w:space="0" w:color="auto"/>
          </w:divBdr>
        </w:div>
        <w:div w:id="1389647551">
          <w:marLeft w:val="274"/>
          <w:marRight w:val="0"/>
          <w:marTop w:val="0"/>
          <w:marBottom w:val="0"/>
          <w:divBdr>
            <w:top w:val="none" w:sz="0" w:space="0" w:color="auto"/>
            <w:left w:val="none" w:sz="0" w:space="0" w:color="auto"/>
            <w:bottom w:val="none" w:sz="0" w:space="0" w:color="auto"/>
            <w:right w:val="none" w:sz="0" w:space="0" w:color="auto"/>
          </w:divBdr>
        </w:div>
      </w:divsChild>
    </w:div>
    <w:div w:id="2088110384">
      <w:bodyDiv w:val="1"/>
      <w:marLeft w:val="0"/>
      <w:marRight w:val="0"/>
      <w:marTop w:val="0"/>
      <w:marBottom w:val="0"/>
      <w:divBdr>
        <w:top w:val="none" w:sz="0" w:space="0" w:color="auto"/>
        <w:left w:val="none" w:sz="0" w:space="0" w:color="auto"/>
        <w:bottom w:val="none" w:sz="0" w:space="0" w:color="auto"/>
        <w:right w:val="none" w:sz="0" w:space="0" w:color="auto"/>
      </w:divBdr>
    </w:div>
    <w:div w:id="2111050731">
      <w:bodyDiv w:val="1"/>
      <w:marLeft w:val="0"/>
      <w:marRight w:val="0"/>
      <w:marTop w:val="0"/>
      <w:marBottom w:val="0"/>
      <w:divBdr>
        <w:top w:val="none" w:sz="0" w:space="0" w:color="auto"/>
        <w:left w:val="none" w:sz="0" w:space="0" w:color="auto"/>
        <w:bottom w:val="none" w:sz="0" w:space="0" w:color="auto"/>
        <w:right w:val="none" w:sz="0" w:space="0" w:color="auto"/>
      </w:divBdr>
    </w:div>
    <w:div w:id="2114323552">
      <w:bodyDiv w:val="1"/>
      <w:marLeft w:val="0"/>
      <w:marRight w:val="0"/>
      <w:marTop w:val="0"/>
      <w:marBottom w:val="0"/>
      <w:divBdr>
        <w:top w:val="none" w:sz="0" w:space="0" w:color="auto"/>
        <w:left w:val="none" w:sz="0" w:space="0" w:color="auto"/>
        <w:bottom w:val="none" w:sz="0" w:space="0" w:color="auto"/>
        <w:right w:val="none" w:sz="0" w:space="0" w:color="auto"/>
      </w:divBdr>
    </w:div>
    <w:div w:id="21365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pr@ndis.gov.au"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ndis.gov.au/providers/price-guides-and-pric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5.jpeg"/><Relationship Id="rId33" Type="http://schemas.openxmlformats.org/officeDocument/2006/relationships/hyperlink" Target="https://www.health.gov.au/resources/apps-and-tools/health-workforce-locator/health-workforce-locator"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yperlink" Target="mailto:apr@ndis.gov.au" TargetMode="External"/><Relationship Id="rId23" Type="http://schemas.openxmlformats.org/officeDocument/2006/relationships/hyperlink" Target="https://www.ndis.gov.au/providers/pricing-arrangements/making-pricing-decisions/financial-benchmarking"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www.ndis.gov.au/providers/pricing-arrangements/making-pricing-decisions/annual-pricing-review"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header" Target="head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ndis.gov.au/providers/pricing-arrangements/making-pricing-decisions/financial-benchmarking" TargetMode="External"/><Relationship Id="rId3" Type="http://schemas.openxmlformats.org/officeDocument/2006/relationships/hyperlink" Target="https://www.ndis.gov.au/about-us/publications/quarterly-reports" TargetMode="External"/><Relationship Id="rId7" Type="http://schemas.openxmlformats.org/officeDocument/2006/relationships/hyperlink" Target="https://www.google.com/url?sa=t&amp;rct=j&amp;q=&amp;esrc=s&amp;source=web&amp;cd=&amp;ved=2ahUKEwinhe7KkajzAhX8yTgGHaKCDnUQFnoECAwQAQ&amp;url=https%3A%2F%2Fwww.ndis.gov.au%2Fmedia%2F3393%2Fdownload%3Fattachment&amp;usg=AOvVaw1vRuI4wYmAGckZK5MEbH30" TargetMode="External"/><Relationship Id="rId12" Type="http://schemas.openxmlformats.org/officeDocument/2006/relationships/hyperlink" Target="https://www.ndis.gov.au/media/2413/download" TargetMode="External"/><Relationship Id="rId2" Type="http://schemas.openxmlformats.org/officeDocument/2006/relationships/hyperlink" Target="https://www.ndis.gov.au/media/3555/download?attachment" TargetMode="External"/><Relationship Id="rId1" Type="http://schemas.openxmlformats.org/officeDocument/2006/relationships/hyperlink" Target="https://www.ndis.gov.au/media/3474/download?attachment" TargetMode="External"/><Relationship Id="rId6" Type="http://schemas.openxmlformats.org/officeDocument/2006/relationships/hyperlink" Target="https://www.ndis.gov.au/about-us/governance/legislation" TargetMode="External"/><Relationship Id="rId11" Type="http://schemas.openxmlformats.org/officeDocument/2006/relationships/hyperlink" Target="https://www.ndis.gov.au/media/1662/download" TargetMode="External"/><Relationship Id="rId5" Type="http://schemas.openxmlformats.org/officeDocument/2006/relationships/hyperlink" Target="https://www.ndis.gov.au/media/1661/download?attachment" TargetMode="External"/><Relationship Id="rId10" Type="http://schemas.openxmlformats.org/officeDocument/2006/relationships/hyperlink" Target="https://www.ndis.gov.au/media/360/download" TargetMode="External"/><Relationship Id="rId4" Type="http://schemas.openxmlformats.org/officeDocument/2006/relationships/hyperlink" Target="https://www.ndis.gov.au/media/1820/download?attachment" TargetMode="External"/><Relationship Id="rId9" Type="http://schemas.openxmlformats.org/officeDocument/2006/relationships/hyperlink" Target="https://www.google.com/url?sa=t&amp;rct=j&amp;q=&amp;esrc=s&amp;source=web&amp;cd=&amp;ved=2ahUKEwil7r3Qi6jzAhVwzjgGHTGtAdsQFnoECAIQAQ&amp;url=https%3A%2F%2Fwww.ndis.gov.au%2Fmedia%2F359%2Fdownload&amp;usg=AOvVaw1Ixj3VAj3Vde3b7vJ4CBFL" TargetMode="External"/></Relationships>
</file>

<file path=word/theme/theme1.xml><?xml version="1.0" encoding="utf-8"?>
<a:theme xmlns:a="http://schemas.openxmlformats.org/drawingml/2006/main" name="NDIS">
  <a:themeElements>
    <a:clrScheme name="NDIA">
      <a:dk1>
        <a:srgbClr val="6B2976"/>
      </a:dk1>
      <a:lt1>
        <a:srgbClr val="FEFFFF"/>
      </a:lt1>
      <a:dk2>
        <a:srgbClr val="8AC640"/>
      </a:dk2>
      <a:lt2>
        <a:srgbClr val="6B2976"/>
      </a:lt2>
      <a:accent1>
        <a:srgbClr val="6B2976"/>
      </a:accent1>
      <a:accent2>
        <a:srgbClr val="8AC640"/>
      </a:accent2>
      <a:accent3>
        <a:srgbClr val="009EAD"/>
      </a:accent3>
      <a:accent4>
        <a:srgbClr val="FAA41A"/>
      </a:accent4>
      <a:accent5>
        <a:srgbClr val="F26322"/>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3" ma:contentTypeDescription="Create a new document." ma:contentTypeScope="" ma:versionID="77d43732ceee587ef9edad5997b2c031">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2ae3732636fc73a727ec80bb2389dd61"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1ee2afc6-efc0-4dcc-be09-aabefb754106"/>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6dff4707-7bf8-4102-b125-42e04ae9fdfc"/>
    <ds:schemaRef ds:uri="http://www.w3.org/XML/1998/namespace"/>
  </ds:schemaRefs>
</ds:datastoreItem>
</file>

<file path=customXml/itemProps2.xml><?xml version="1.0" encoding="utf-8"?>
<ds:datastoreItem xmlns:ds="http://schemas.openxmlformats.org/officeDocument/2006/customXml" ds:itemID="{5098DC80-1C1A-46B1-9428-821FAB5C1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93CC9253-4F36-432F-AE54-4321C68F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48</Pages>
  <Words>16548</Words>
  <Characters>94325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110652</CharactersWithSpaces>
  <SharedDoc>false</SharedDoc>
  <HLinks>
    <vt:vector size="294" baseType="variant">
      <vt:variant>
        <vt:i4>1245234</vt:i4>
      </vt:variant>
      <vt:variant>
        <vt:i4>257</vt:i4>
      </vt:variant>
      <vt:variant>
        <vt:i4>0</vt:i4>
      </vt:variant>
      <vt:variant>
        <vt:i4>5</vt:i4>
      </vt:variant>
      <vt:variant>
        <vt:lpwstr/>
      </vt:variant>
      <vt:variant>
        <vt:lpwstr>_Toc71495945</vt:lpwstr>
      </vt:variant>
      <vt:variant>
        <vt:i4>1179698</vt:i4>
      </vt:variant>
      <vt:variant>
        <vt:i4>251</vt:i4>
      </vt:variant>
      <vt:variant>
        <vt:i4>0</vt:i4>
      </vt:variant>
      <vt:variant>
        <vt:i4>5</vt:i4>
      </vt:variant>
      <vt:variant>
        <vt:lpwstr/>
      </vt:variant>
      <vt:variant>
        <vt:lpwstr>_Toc71495944</vt:lpwstr>
      </vt:variant>
      <vt:variant>
        <vt:i4>1376306</vt:i4>
      </vt:variant>
      <vt:variant>
        <vt:i4>245</vt:i4>
      </vt:variant>
      <vt:variant>
        <vt:i4>0</vt:i4>
      </vt:variant>
      <vt:variant>
        <vt:i4>5</vt:i4>
      </vt:variant>
      <vt:variant>
        <vt:lpwstr/>
      </vt:variant>
      <vt:variant>
        <vt:lpwstr>_Toc71495943</vt:lpwstr>
      </vt:variant>
      <vt:variant>
        <vt:i4>1310770</vt:i4>
      </vt:variant>
      <vt:variant>
        <vt:i4>239</vt:i4>
      </vt:variant>
      <vt:variant>
        <vt:i4>0</vt:i4>
      </vt:variant>
      <vt:variant>
        <vt:i4>5</vt:i4>
      </vt:variant>
      <vt:variant>
        <vt:lpwstr/>
      </vt:variant>
      <vt:variant>
        <vt:lpwstr>_Toc71495942</vt:lpwstr>
      </vt:variant>
      <vt:variant>
        <vt:i4>1507378</vt:i4>
      </vt:variant>
      <vt:variant>
        <vt:i4>233</vt:i4>
      </vt:variant>
      <vt:variant>
        <vt:i4>0</vt:i4>
      </vt:variant>
      <vt:variant>
        <vt:i4>5</vt:i4>
      </vt:variant>
      <vt:variant>
        <vt:lpwstr/>
      </vt:variant>
      <vt:variant>
        <vt:lpwstr>_Toc71495941</vt:lpwstr>
      </vt:variant>
      <vt:variant>
        <vt:i4>1441842</vt:i4>
      </vt:variant>
      <vt:variant>
        <vt:i4>227</vt:i4>
      </vt:variant>
      <vt:variant>
        <vt:i4>0</vt:i4>
      </vt:variant>
      <vt:variant>
        <vt:i4>5</vt:i4>
      </vt:variant>
      <vt:variant>
        <vt:lpwstr/>
      </vt:variant>
      <vt:variant>
        <vt:lpwstr>_Toc71495940</vt:lpwstr>
      </vt:variant>
      <vt:variant>
        <vt:i4>2031669</vt:i4>
      </vt:variant>
      <vt:variant>
        <vt:i4>221</vt:i4>
      </vt:variant>
      <vt:variant>
        <vt:i4>0</vt:i4>
      </vt:variant>
      <vt:variant>
        <vt:i4>5</vt:i4>
      </vt:variant>
      <vt:variant>
        <vt:lpwstr/>
      </vt:variant>
      <vt:variant>
        <vt:lpwstr>_Toc71495939</vt:lpwstr>
      </vt:variant>
      <vt:variant>
        <vt:i4>1966133</vt:i4>
      </vt:variant>
      <vt:variant>
        <vt:i4>215</vt:i4>
      </vt:variant>
      <vt:variant>
        <vt:i4>0</vt:i4>
      </vt:variant>
      <vt:variant>
        <vt:i4>5</vt:i4>
      </vt:variant>
      <vt:variant>
        <vt:lpwstr/>
      </vt:variant>
      <vt:variant>
        <vt:lpwstr>_Toc71495938</vt:lpwstr>
      </vt:variant>
      <vt:variant>
        <vt:i4>1114165</vt:i4>
      </vt:variant>
      <vt:variant>
        <vt:i4>209</vt:i4>
      </vt:variant>
      <vt:variant>
        <vt:i4>0</vt:i4>
      </vt:variant>
      <vt:variant>
        <vt:i4>5</vt:i4>
      </vt:variant>
      <vt:variant>
        <vt:lpwstr/>
      </vt:variant>
      <vt:variant>
        <vt:lpwstr>_Toc71495937</vt:lpwstr>
      </vt:variant>
      <vt:variant>
        <vt:i4>1048629</vt:i4>
      </vt:variant>
      <vt:variant>
        <vt:i4>203</vt:i4>
      </vt:variant>
      <vt:variant>
        <vt:i4>0</vt:i4>
      </vt:variant>
      <vt:variant>
        <vt:i4>5</vt:i4>
      </vt:variant>
      <vt:variant>
        <vt:lpwstr/>
      </vt:variant>
      <vt:variant>
        <vt:lpwstr>_Toc71495936</vt:lpwstr>
      </vt:variant>
      <vt:variant>
        <vt:i4>1245237</vt:i4>
      </vt:variant>
      <vt:variant>
        <vt:i4>197</vt:i4>
      </vt:variant>
      <vt:variant>
        <vt:i4>0</vt:i4>
      </vt:variant>
      <vt:variant>
        <vt:i4>5</vt:i4>
      </vt:variant>
      <vt:variant>
        <vt:lpwstr/>
      </vt:variant>
      <vt:variant>
        <vt:lpwstr>_Toc71495935</vt:lpwstr>
      </vt:variant>
      <vt:variant>
        <vt:i4>1179701</vt:i4>
      </vt:variant>
      <vt:variant>
        <vt:i4>191</vt:i4>
      </vt:variant>
      <vt:variant>
        <vt:i4>0</vt:i4>
      </vt:variant>
      <vt:variant>
        <vt:i4>5</vt:i4>
      </vt:variant>
      <vt:variant>
        <vt:lpwstr/>
      </vt:variant>
      <vt:variant>
        <vt:lpwstr>_Toc71495934</vt:lpwstr>
      </vt:variant>
      <vt:variant>
        <vt:i4>1376309</vt:i4>
      </vt:variant>
      <vt:variant>
        <vt:i4>185</vt:i4>
      </vt:variant>
      <vt:variant>
        <vt:i4>0</vt:i4>
      </vt:variant>
      <vt:variant>
        <vt:i4>5</vt:i4>
      </vt:variant>
      <vt:variant>
        <vt:lpwstr/>
      </vt:variant>
      <vt:variant>
        <vt:lpwstr>_Toc71495933</vt:lpwstr>
      </vt:variant>
      <vt:variant>
        <vt:i4>1310773</vt:i4>
      </vt:variant>
      <vt:variant>
        <vt:i4>179</vt:i4>
      </vt:variant>
      <vt:variant>
        <vt:i4>0</vt:i4>
      </vt:variant>
      <vt:variant>
        <vt:i4>5</vt:i4>
      </vt:variant>
      <vt:variant>
        <vt:lpwstr/>
      </vt:variant>
      <vt:variant>
        <vt:lpwstr>_Toc71495932</vt:lpwstr>
      </vt:variant>
      <vt:variant>
        <vt:i4>1507381</vt:i4>
      </vt:variant>
      <vt:variant>
        <vt:i4>173</vt:i4>
      </vt:variant>
      <vt:variant>
        <vt:i4>0</vt:i4>
      </vt:variant>
      <vt:variant>
        <vt:i4>5</vt:i4>
      </vt:variant>
      <vt:variant>
        <vt:lpwstr/>
      </vt:variant>
      <vt:variant>
        <vt:lpwstr>_Toc71495931</vt:lpwstr>
      </vt:variant>
      <vt:variant>
        <vt:i4>1441845</vt:i4>
      </vt:variant>
      <vt:variant>
        <vt:i4>167</vt:i4>
      </vt:variant>
      <vt:variant>
        <vt:i4>0</vt:i4>
      </vt:variant>
      <vt:variant>
        <vt:i4>5</vt:i4>
      </vt:variant>
      <vt:variant>
        <vt:lpwstr/>
      </vt:variant>
      <vt:variant>
        <vt:lpwstr>_Toc71495930</vt:lpwstr>
      </vt:variant>
      <vt:variant>
        <vt:i4>2031668</vt:i4>
      </vt:variant>
      <vt:variant>
        <vt:i4>161</vt:i4>
      </vt:variant>
      <vt:variant>
        <vt:i4>0</vt:i4>
      </vt:variant>
      <vt:variant>
        <vt:i4>5</vt:i4>
      </vt:variant>
      <vt:variant>
        <vt:lpwstr/>
      </vt:variant>
      <vt:variant>
        <vt:lpwstr>_Toc71495929</vt:lpwstr>
      </vt:variant>
      <vt:variant>
        <vt:i4>1966132</vt:i4>
      </vt:variant>
      <vt:variant>
        <vt:i4>155</vt:i4>
      </vt:variant>
      <vt:variant>
        <vt:i4>0</vt:i4>
      </vt:variant>
      <vt:variant>
        <vt:i4>5</vt:i4>
      </vt:variant>
      <vt:variant>
        <vt:lpwstr/>
      </vt:variant>
      <vt:variant>
        <vt:lpwstr>_Toc71495928</vt:lpwstr>
      </vt:variant>
      <vt:variant>
        <vt:i4>1114164</vt:i4>
      </vt:variant>
      <vt:variant>
        <vt:i4>149</vt:i4>
      </vt:variant>
      <vt:variant>
        <vt:i4>0</vt:i4>
      </vt:variant>
      <vt:variant>
        <vt:i4>5</vt:i4>
      </vt:variant>
      <vt:variant>
        <vt:lpwstr/>
      </vt:variant>
      <vt:variant>
        <vt:lpwstr>_Toc71495927</vt:lpwstr>
      </vt:variant>
      <vt:variant>
        <vt:i4>1048628</vt:i4>
      </vt:variant>
      <vt:variant>
        <vt:i4>143</vt:i4>
      </vt:variant>
      <vt:variant>
        <vt:i4>0</vt:i4>
      </vt:variant>
      <vt:variant>
        <vt:i4>5</vt:i4>
      </vt:variant>
      <vt:variant>
        <vt:lpwstr/>
      </vt:variant>
      <vt:variant>
        <vt:lpwstr>_Toc71495926</vt:lpwstr>
      </vt:variant>
      <vt:variant>
        <vt:i4>1245236</vt:i4>
      </vt:variant>
      <vt:variant>
        <vt:i4>137</vt:i4>
      </vt:variant>
      <vt:variant>
        <vt:i4>0</vt:i4>
      </vt:variant>
      <vt:variant>
        <vt:i4>5</vt:i4>
      </vt:variant>
      <vt:variant>
        <vt:lpwstr/>
      </vt:variant>
      <vt:variant>
        <vt:lpwstr>_Toc71495925</vt:lpwstr>
      </vt:variant>
      <vt:variant>
        <vt:i4>1179700</vt:i4>
      </vt:variant>
      <vt:variant>
        <vt:i4>131</vt:i4>
      </vt:variant>
      <vt:variant>
        <vt:i4>0</vt:i4>
      </vt:variant>
      <vt:variant>
        <vt:i4>5</vt:i4>
      </vt:variant>
      <vt:variant>
        <vt:lpwstr/>
      </vt:variant>
      <vt:variant>
        <vt:lpwstr>_Toc71495924</vt:lpwstr>
      </vt:variant>
      <vt:variant>
        <vt:i4>1376308</vt:i4>
      </vt:variant>
      <vt:variant>
        <vt:i4>125</vt:i4>
      </vt:variant>
      <vt:variant>
        <vt:i4>0</vt:i4>
      </vt:variant>
      <vt:variant>
        <vt:i4>5</vt:i4>
      </vt:variant>
      <vt:variant>
        <vt:lpwstr/>
      </vt:variant>
      <vt:variant>
        <vt:lpwstr>_Toc71495923</vt:lpwstr>
      </vt:variant>
      <vt:variant>
        <vt:i4>1310772</vt:i4>
      </vt:variant>
      <vt:variant>
        <vt:i4>119</vt:i4>
      </vt:variant>
      <vt:variant>
        <vt:i4>0</vt:i4>
      </vt:variant>
      <vt:variant>
        <vt:i4>5</vt:i4>
      </vt:variant>
      <vt:variant>
        <vt:lpwstr/>
      </vt:variant>
      <vt:variant>
        <vt:lpwstr>_Toc71495922</vt:lpwstr>
      </vt:variant>
      <vt:variant>
        <vt:i4>1507380</vt:i4>
      </vt:variant>
      <vt:variant>
        <vt:i4>113</vt:i4>
      </vt:variant>
      <vt:variant>
        <vt:i4>0</vt:i4>
      </vt:variant>
      <vt:variant>
        <vt:i4>5</vt:i4>
      </vt:variant>
      <vt:variant>
        <vt:lpwstr/>
      </vt:variant>
      <vt:variant>
        <vt:lpwstr>_Toc71495921</vt:lpwstr>
      </vt:variant>
      <vt:variant>
        <vt:i4>1441844</vt:i4>
      </vt:variant>
      <vt:variant>
        <vt:i4>107</vt:i4>
      </vt:variant>
      <vt:variant>
        <vt:i4>0</vt:i4>
      </vt:variant>
      <vt:variant>
        <vt:i4>5</vt:i4>
      </vt:variant>
      <vt:variant>
        <vt:lpwstr/>
      </vt:variant>
      <vt:variant>
        <vt:lpwstr>_Toc71495920</vt:lpwstr>
      </vt:variant>
      <vt:variant>
        <vt:i4>2031671</vt:i4>
      </vt:variant>
      <vt:variant>
        <vt:i4>101</vt:i4>
      </vt:variant>
      <vt:variant>
        <vt:i4>0</vt:i4>
      </vt:variant>
      <vt:variant>
        <vt:i4>5</vt:i4>
      </vt:variant>
      <vt:variant>
        <vt:lpwstr/>
      </vt:variant>
      <vt:variant>
        <vt:lpwstr>_Toc71495919</vt:lpwstr>
      </vt:variant>
      <vt:variant>
        <vt:i4>1507376</vt:i4>
      </vt:variant>
      <vt:variant>
        <vt:i4>92</vt:i4>
      </vt:variant>
      <vt:variant>
        <vt:i4>0</vt:i4>
      </vt:variant>
      <vt:variant>
        <vt:i4>5</vt:i4>
      </vt:variant>
      <vt:variant>
        <vt:lpwstr/>
      </vt:variant>
      <vt:variant>
        <vt:lpwstr>_Toc71495961</vt:lpwstr>
      </vt:variant>
      <vt:variant>
        <vt:i4>1441840</vt:i4>
      </vt:variant>
      <vt:variant>
        <vt:i4>86</vt:i4>
      </vt:variant>
      <vt:variant>
        <vt:i4>0</vt:i4>
      </vt:variant>
      <vt:variant>
        <vt:i4>5</vt:i4>
      </vt:variant>
      <vt:variant>
        <vt:lpwstr/>
      </vt:variant>
      <vt:variant>
        <vt:lpwstr>_Toc71495960</vt:lpwstr>
      </vt:variant>
      <vt:variant>
        <vt:i4>2031667</vt:i4>
      </vt:variant>
      <vt:variant>
        <vt:i4>80</vt:i4>
      </vt:variant>
      <vt:variant>
        <vt:i4>0</vt:i4>
      </vt:variant>
      <vt:variant>
        <vt:i4>5</vt:i4>
      </vt:variant>
      <vt:variant>
        <vt:lpwstr/>
      </vt:variant>
      <vt:variant>
        <vt:lpwstr>_Toc71495959</vt:lpwstr>
      </vt:variant>
      <vt:variant>
        <vt:i4>1966131</vt:i4>
      </vt:variant>
      <vt:variant>
        <vt:i4>74</vt:i4>
      </vt:variant>
      <vt:variant>
        <vt:i4>0</vt:i4>
      </vt:variant>
      <vt:variant>
        <vt:i4>5</vt:i4>
      </vt:variant>
      <vt:variant>
        <vt:lpwstr/>
      </vt:variant>
      <vt:variant>
        <vt:lpwstr>_Toc71495958</vt:lpwstr>
      </vt:variant>
      <vt:variant>
        <vt:i4>1114163</vt:i4>
      </vt:variant>
      <vt:variant>
        <vt:i4>68</vt:i4>
      </vt:variant>
      <vt:variant>
        <vt:i4>0</vt:i4>
      </vt:variant>
      <vt:variant>
        <vt:i4>5</vt:i4>
      </vt:variant>
      <vt:variant>
        <vt:lpwstr/>
      </vt:variant>
      <vt:variant>
        <vt:lpwstr>_Toc71495957</vt:lpwstr>
      </vt:variant>
      <vt:variant>
        <vt:i4>1048627</vt:i4>
      </vt:variant>
      <vt:variant>
        <vt:i4>62</vt:i4>
      </vt:variant>
      <vt:variant>
        <vt:i4>0</vt:i4>
      </vt:variant>
      <vt:variant>
        <vt:i4>5</vt:i4>
      </vt:variant>
      <vt:variant>
        <vt:lpwstr/>
      </vt:variant>
      <vt:variant>
        <vt:lpwstr>_Toc71495956</vt:lpwstr>
      </vt:variant>
      <vt:variant>
        <vt:i4>1245235</vt:i4>
      </vt:variant>
      <vt:variant>
        <vt:i4>56</vt:i4>
      </vt:variant>
      <vt:variant>
        <vt:i4>0</vt:i4>
      </vt:variant>
      <vt:variant>
        <vt:i4>5</vt:i4>
      </vt:variant>
      <vt:variant>
        <vt:lpwstr/>
      </vt:variant>
      <vt:variant>
        <vt:lpwstr>_Toc71495955</vt:lpwstr>
      </vt:variant>
      <vt:variant>
        <vt:i4>1179699</vt:i4>
      </vt:variant>
      <vt:variant>
        <vt:i4>50</vt:i4>
      </vt:variant>
      <vt:variant>
        <vt:i4>0</vt:i4>
      </vt:variant>
      <vt:variant>
        <vt:i4>5</vt:i4>
      </vt:variant>
      <vt:variant>
        <vt:lpwstr/>
      </vt:variant>
      <vt:variant>
        <vt:lpwstr>_Toc71495954</vt:lpwstr>
      </vt:variant>
      <vt:variant>
        <vt:i4>1376307</vt:i4>
      </vt:variant>
      <vt:variant>
        <vt:i4>44</vt:i4>
      </vt:variant>
      <vt:variant>
        <vt:i4>0</vt:i4>
      </vt:variant>
      <vt:variant>
        <vt:i4>5</vt:i4>
      </vt:variant>
      <vt:variant>
        <vt:lpwstr/>
      </vt:variant>
      <vt:variant>
        <vt:lpwstr>_Toc71495953</vt:lpwstr>
      </vt:variant>
      <vt:variant>
        <vt:i4>1310771</vt:i4>
      </vt:variant>
      <vt:variant>
        <vt:i4>38</vt:i4>
      </vt:variant>
      <vt:variant>
        <vt:i4>0</vt:i4>
      </vt:variant>
      <vt:variant>
        <vt:i4>5</vt:i4>
      </vt:variant>
      <vt:variant>
        <vt:lpwstr/>
      </vt:variant>
      <vt:variant>
        <vt:lpwstr>_Toc71495952</vt:lpwstr>
      </vt:variant>
      <vt:variant>
        <vt:i4>1507379</vt:i4>
      </vt:variant>
      <vt:variant>
        <vt:i4>32</vt:i4>
      </vt:variant>
      <vt:variant>
        <vt:i4>0</vt:i4>
      </vt:variant>
      <vt:variant>
        <vt:i4>5</vt:i4>
      </vt:variant>
      <vt:variant>
        <vt:lpwstr/>
      </vt:variant>
      <vt:variant>
        <vt:lpwstr>_Toc71495951</vt:lpwstr>
      </vt:variant>
      <vt:variant>
        <vt:i4>1441843</vt:i4>
      </vt:variant>
      <vt:variant>
        <vt:i4>26</vt:i4>
      </vt:variant>
      <vt:variant>
        <vt:i4>0</vt:i4>
      </vt:variant>
      <vt:variant>
        <vt:i4>5</vt:i4>
      </vt:variant>
      <vt:variant>
        <vt:lpwstr/>
      </vt:variant>
      <vt:variant>
        <vt:lpwstr>_Toc71495950</vt:lpwstr>
      </vt:variant>
      <vt:variant>
        <vt:i4>2031666</vt:i4>
      </vt:variant>
      <vt:variant>
        <vt:i4>20</vt:i4>
      </vt:variant>
      <vt:variant>
        <vt:i4>0</vt:i4>
      </vt:variant>
      <vt:variant>
        <vt:i4>5</vt:i4>
      </vt:variant>
      <vt:variant>
        <vt:lpwstr/>
      </vt:variant>
      <vt:variant>
        <vt:lpwstr>_Toc71495949</vt:lpwstr>
      </vt:variant>
      <vt:variant>
        <vt:i4>1966130</vt:i4>
      </vt:variant>
      <vt:variant>
        <vt:i4>14</vt:i4>
      </vt:variant>
      <vt:variant>
        <vt:i4>0</vt:i4>
      </vt:variant>
      <vt:variant>
        <vt:i4>5</vt:i4>
      </vt:variant>
      <vt:variant>
        <vt:lpwstr/>
      </vt:variant>
      <vt:variant>
        <vt:lpwstr>_Toc71495948</vt:lpwstr>
      </vt:variant>
      <vt:variant>
        <vt:i4>1114162</vt:i4>
      </vt:variant>
      <vt:variant>
        <vt:i4>8</vt:i4>
      </vt:variant>
      <vt:variant>
        <vt:i4>0</vt:i4>
      </vt:variant>
      <vt:variant>
        <vt:i4>5</vt:i4>
      </vt:variant>
      <vt:variant>
        <vt:lpwstr/>
      </vt:variant>
      <vt:variant>
        <vt:lpwstr>_Toc71495947</vt:lpwstr>
      </vt:variant>
      <vt:variant>
        <vt:i4>1048626</vt:i4>
      </vt:variant>
      <vt:variant>
        <vt:i4>2</vt:i4>
      </vt:variant>
      <vt:variant>
        <vt:i4>0</vt:i4>
      </vt:variant>
      <vt:variant>
        <vt:i4>5</vt:i4>
      </vt:variant>
      <vt:variant>
        <vt:lpwstr/>
      </vt:variant>
      <vt:variant>
        <vt:lpwstr>_Toc71495946</vt:lpwstr>
      </vt:variant>
      <vt:variant>
        <vt:i4>3473527</vt:i4>
      </vt:variant>
      <vt:variant>
        <vt:i4>15</vt:i4>
      </vt:variant>
      <vt:variant>
        <vt:i4>0</vt:i4>
      </vt:variant>
      <vt:variant>
        <vt:i4>5</vt:i4>
      </vt:variant>
      <vt:variant>
        <vt:lpwstr>https://www.ndis.gov.au/media/1820/download</vt:lpwstr>
      </vt:variant>
      <vt:variant>
        <vt:lpwstr/>
      </vt:variant>
      <vt:variant>
        <vt:i4>7405612</vt:i4>
      </vt:variant>
      <vt:variant>
        <vt:i4>12</vt:i4>
      </vt:variant>
      <vt:variant>
        <vt:i4>0</vt:i4>
      </vt:variant>
      <vt:variant>
        <vt:i4>5</vt:i4>
      </vt:variant>
      <vt:variant>
        <vt:lpwstr>https://www.legislation.gov.au/Details/C2020C00392</vt:lpwstr>
      </vt:variant>
      <vt:variant>
        <vt:lpwstr/>
      </vt:variant>
      <vt:variant>
        <vt:i4>3801207</vt:i4>
      </vt:variant>
      <vt:variant>
        <vt:i4>9</vt:i4>
      </vt:variant>
      <vt:variant>
        <vt:i4>0</vt:i4>
      </vt:variant>
      <vt:variant>
        <vt:i4>5</vt:i4>
      </vt:variant>
      <vt:variant>
        <vt:lpwstr>https://www.ndis.gov.au/media/2413/download</vt:lpwstr>
      </vt:variant>
      <vt:variant>
        <vt:lpwstr/>
      </vt:variant>
      <vt:variant>
        <vt:i4>3735667</vt:i4>
      </vt:variant>
      <vt:variant>
        <vt:i4>6</vt:i4>
      </vt:variant>
      <vt:variant>
        <vt:i4>0</vt:i4>
      </vt:variant>
      <vt:variant>
        <vt:i4>5</vt:i4>
      </vt:variant>
      <vt:variant>
        <vt:lpwstr>https://www.ndis.gov.au/media/1662/download</vt:lpwstr>
      </vt:variant>
      <vt:variant>
        <vt:lpwstr/>
      </vt:variant>
      <vt:variant>
        <vt:i4>3145768</vt:i4>
      </vt:variant>
      <vt:variant>
        <vt:i4>3</vt:i4>
      </vt:variant>
      <vt:variant>
        <vt:i4>0</vt:i4>
      </vt:variant>
      <vt:variant>
        <vt:i4>5</vt:i4>
      </vt:variant>
      <vt:variant>
        <vt:lpwstr>https://www.ndis.gov.au/media/360/download</vt:lpwstr>
      </vt:variant>
      <vt:variant>
        <vt:lpwstr/>
      </vt:variant>
      <vt:variant>
        <vt:i4>3342369</vt:i4>
      </vt:variant>
      <vt:variant>
        <vt:i4>0</vt:i4>
      </vt:variant>
      <vt:variant>
        <vt:i4>0</vt:i4>
      </vt:variant>
      <vt:variant>
        <vt:i4>5</vt:i4>
      </vt:variant>
      <vt:variant>
        <vt:lpwstr>https://www.ndis.gov.au/media/359/download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Tamar</dc:creator>
  <cp:keywords/>
  <dc:description/>
  <cp:lastModifiedBy>Rundle, Vincent</cp:lastModifiedBy>
  <cp:revision>11</cp:revision>
  <cp:lastPrinted>2021-10-13T22:47:00Z</cp:lastPrinted>
  <dcterms:created xsi:type="dcterms:W3CDTF">2021-10-12T22:35:00Z</dcterms:created>
  <dcterms:modified xsi:type="dcterms:W3CDTF">2021-10-13T22:48:00Z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