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Look w:val="04A0" w:firstRow="1" w:lastRow="0" w:firstColumn="1" w:lastColumn="0" w:noHBand="0" w:noVBand="1"/>
      </w:tblPr>
      <w:tblGrid>
        <w:gridCol w:w="1555"/>
        <w:gridCol w:w="1134"/>
        <w:gridCol w:w="1417"/>
        <w:gridCol w:w="6522"/>
        <w:gridCol w:w="1557"/>
        <w:gridCol w:w="1370"/>
        <w:gridCol w:w="1834"/>
      </w:tblGrid>
      <w:tr w:rsidR="00953522" w:rsidRPr="0064231D" w14:paraId="07D419C8" w14:textId="77777777" w:rsidTr="0064231D">
        <w:trPr>
          <w:cantSplit/>
          <w:tblHeader/>
        </w:trPr>
        <w:tc>
          <w:tcPr>
            <w:tcW w:w="505" w:type="pct"/>
            <w:shd w:val="clear" w:color="auto" w:fill="6B2976"/>
            <w:vAlign w:val="center"/>
            <w:hideMark/>
          </w:tcPr>
          <w:p w14:paraId="3DC9F72F" w14:textId="77777777" w:rsidR="00BD2F61" w:rsidRPr="0064231D" w:rsidRDefault="00BD2F61" w:rsidP="00783F5B">
            <w:pPr>
              <w:spacing w:before="40" w:after="40" w:line="276" w:lineRule="auto"/>
              <w:jc w:val="center"/>
              <w:rPr>
                <w:b/>
                <w:bCs/>
                <w:color w:val="FFFFFF" w:themeColor="background1"/>
                <w:sz w:val="16"/>
                <w:szCs w:val="18"/>
              </w:rPr>
            </w:pPr>
            <w:bookmarkStart w:id="0" w:name="_GoBack"/>
            <w:bookmarkEnd w:id="0"/>
            <w:r w:rsidRPr="0064231D">
              <w:rPr>
                <w:b/>
                <w:bCs/>
                <w:color w:val="FFFFFF" w:themeColor="background1"/>
                <w:sz w:val="16"/>
                <w:szCs w:val="18"/>
              </w:rPr>
              <w:t>ORGANISATION</w:t>
            </w:r>
          </w:p>
        </w:tc>
        <w:tc>
          <w:tcPr>
            <w:tcW w:w="368" w:type="pct"/>
            <w:shd w:val="clear" w:color="auto" w:fill="6B2976"/>
            <w:vAlign w:val="center"/>
            <w:hideMark/>
          </w:tcPr>
          <w:p w14:paraId="081C8A90" w14:textId="77777777" w:rsidR="00BD2F61" w:rsidRPr="0064231D" w:rsidRDefault="00BD2F61" w:rsidP="00783F5B">
            <w:pPr>
              <w:spacing w:before="40" w:after="40" w:line="276" w:lineRule="auto"/>
              <w:jc w:val="center"/>
              <w:rPr>
                <w:b/>
                <w:bCs/>
                <w:color w:val="FFFFFF" w:themeColor="background1"/>
                <w:sz w:val="16"/>
                <w:szCs w:val="18"/>
              </w:rPr>
            </w:pPr>
            <w:r w:rsidRPr="0064231D">
              <w:rPr>
                <w:b/>
                <w:bCs/>
                <w:color w:val="FFFFFF" w:themeColor="background1"/>
                <w:sz w:val="16"/>
                <w:szCs w:val="18"/>
              </w:rPr>
              <w:t>COVERAGE AREA</w:t>
            </w:r>
          </w:p>
        </w:tc>
        <w:tc>
          <w:tcPr>
            <w:tcW w:w="460" w:type="pct"/>
            <w:shd w:val="clear" w:color="auto" w:fill="6B2976"/>
            <w:vAlign w:val="center"/>
            <w:hideMark/>
          </w:tcPr>
          <w:p w14:paraId="49FC6A8A" w14:textId="77777777" w:rsidR="00BD2F61" w:rsidRPr="0064231D" w:rsidRDefault="00BD2F61" w:rsidP="00783F5B">
            <w:pPr>
              <w:spacing w:before="40" w:after="40" w:line="276" w:lineRule="auto"/>
              <w:jc w:val="center"/>
              <w:rPr>
                <w:b/>
                <w:bCs/>
                <w:color w:val="FFFFFF" w:themeColor="background1"/>
                <w:sz w:val="16"/>
                <w:szCs w:val="18"/>
              </w:rPr>
            </w:pPr>
            <w:r w:rsidRPr="0064231D">
              <w:rPr>
                <w:b/>
                <w:bCs/>
                <w:color w:val="FFFFFF" w:themeColor="background1"/>
                <w:sz w:val="16"/>
                <w:szCs w:val="18"/>
              </w:rPr>
              <w:t>PROJECT TITLE</w:t>
            </w:r>
          </w:p>
        </w:tc>
        <w:tc>
          <w:tcPr>
            <w:tcW w:w="2119" w:type="pct"/>
            <w:shd w:val="clear" w:color="auto" w:fill="6B2976"/>
            <w:vAlign w:val="center"/>
            <w:hideMark/>
          </w:tcPr>
          <w:p w14:paraId="738FFAC2" w14:textId="77777777" w:rsidR="00BD2F61" w:rsidRPr="0064231D" w:rsidRDefault="00BD2F61" w:rsidP="00783F5B">
            <w:pPr>
              <w:spacing w:before="40" w:after="40" w:line="276" w:lineRule="auto"/>
              <w:jc w:val="center"/>
              <w:rPr>
                <w:b/>
                <w:bCs/>
                <w:color w:val="FFFFFF" w:themeColor="background1"/>
                <w:sz w:val="16"/>
                <w:szCs w:val="18"/>
              </w:rPr>
            </w:pPr>
            <w:r w:rsidRPr="0064231D">
              <w:rPr>
                <w:b/>
                <w:bCs/>
                <w:color w:val="FFFFFF" w:themeColor="background1"/>
                <w:sz w:val="16"/>
                <w:szCs w:val="18"/>
              </w:rPr>
              <w:t>PROJECT DESCRIPTION</w:t>
            </w:r>
          </w:p>
        </w:tc>
        <w:tc>
          <w:tcPr>
            <w:tcW w:w="506" w:type="pct"/>
            <w:tcBorders>
              <w:right w:val="single" w:sz="4" w:space="0" w:color="auto"/>
            </w:tcBorders>
            <w:shd w:val="clear" w:color="auto" w:fill="6B2976"/>
            <w:vAlign w:val="center"/>
            <w:hideMark/>
          </w:tcPr>
          <w:p w14:paraId="7593E161" w14:textId="05B1F5CF" w:rsidR="00BD2F61" w:rsidRPr="0064231D" w:rsidRDefault="00BD2F61" w:rsidP="00783F5B">
            <w:pPr>
              <w:spacing w:before="40" w:after="40" w:line="276" w:lineRule="auto"/>
              <w:jc w:val="center"/>
              <w:rPr>
                <w:b/>
                <w:bCs/>
                <w:color w:val="FFFFFF" w:themeColor="background1"/>
                <w:sz w:val="16"/>
                <w:szCs w:val="18"/>
              </w:rPr>
            </w:pPr>
            <w:r w:rsidRPr="0064231D">
              <w:rPr>
                <w:b/>
                <w:bCs/>
                <w:color w:val="FFFFFF" w:themeColor="background1"/>
                <w:sz w:val="16"/>
                <w:szCs w:val="18"/>
              </w:rPr>
              <w:t>TOTAL FUNDING</w:t>
            </w:r>
          </w:p>
          <w:p w14:paraId="453A3EA6" w14:textId="509EBFEF" w:rsidR="00BD2F61" w:rsidRPr="0064231D" w:rsidRDefault="00BD2F61" w:rsidP="00AE21A8">
            <w:pPr>
              <w:spacing w:before="40" w:after="40" w:line="276" w:lineRule="auto"/>
              <w:jc w:val="center"/>
              <w:rPr>
                <w:b/>
                <w:bCs/>
                <w:color w:val="FFFFFF" w:themeColor="background1"/>
                <w:sz w:val="16"/>
                <w:szCs w:val="18"/>
              </w:rPr>
            </w:pPr>
            <w:r w:rsidRPr="0064231D">
              <w:rPr>
                <w:b/>
                <w:bCs/>
                <w:color w:val="FFFFFF" w:themeColor="background1"/>
                <w:sz w:val="16"/>
                <w:szCs w:val="18"/>
              </w:rPr>
              <w:t xml:space="preserve">(GST </w:t>
            </w:r>
            <w:r w:rsidR="00AE21A8" w:rsidRPr="0064231D">
              <w:rPr>
                <w:b/>
                <w:bCs/>
                <w:color w:val="FFFFFF" w:themeColor="background1"/>
                <w:sz w:val="16"/>
                <w:szCs w:val="18"/>
              </w:rPr>
              <w:t>IN</w:t>
            </w:r>
            <w:r w:rsidRPr="0064231D">
              <w:rPr>
                <w:b/>
                <w:bCs/>
                <w:color w:val="FFFFFF" w:themeColor="background1"/>
                <w:sz w:val="16"/>
                <w:szCs w:val="18"/>
              </w:rPr>
              <w:t>CL.)</w:t>
            </w:r>
          </w:p>
        </w:tc>
        <w:tc>
          <w:tcPr>
            <w:tcW w:w="445" w:type="pct"/>
            <w:tcBorders>
              <w:right w:val="single" w:sz="4" w:space="0" w:color="auto"/>
            </w:tcBorders>
            <w:shd w:val="clear" w:color="auto" w:fill="6B2976"/>
            <w:vAlign w:val="center"/>
          </w:tcPr>
          <w:p w14:paraId="66823C3F" w14:textId="77777777" w:rsidR="00BD2F61" w:rsidRPr="0064231D" w:rsidRDefault="00BD2F61" w:rsidP="00783F5B">
            <w:pPr>
              <w:spacing w:before="40" w:after="40" w:line="276" w:lineRule="auto"/>
              <w:jc w:val="center"/>
              <w:rPr>
                <w:b/>
                <w:bCs/>
                <w:color w:val="FFFFFF" w:themeColor="background1"/>
                <w:sz w:val="16"/>
                <w:szCs w:val="18"/>
              </w:rPr>
            </w:pPr>
            <w:r w:rsidRPr="0064231D">
              <w:rPr>
                <w:b/>
                <w:bCs/>
                <w:color w:val="FFFFFF" w:themeColor="background1"/>
                <w:sz w:val="16"/>
                <w:szCs w:val="18"/>
              </w:rPr>
              <w:t>PRIMARY ILC ACTIVITY AREA</w:t>
            </w:r>
          </w:p>
        </w:tc>
        <w:tc>
          <w:tcPr>
            <w:tcW w:w="596" w:type="pct"/>
            <w:tcBorders>
              <w:top w:val="single" w:sz="4" w:space="0" w:color="auto"/>
              <w:left w:val="single" w:sz="4" w:space="0" w:color="auto"/>
              <w:bottom w:val="single" w:sz="4" w:space="0" w:color="auto"/>
              <w:right w:val="single" w:sz="4" w:space="0" w:color="auto"/>
            </w:tcBorders>
            <w:shd w:val="clear" w:color="auto" w:fill="6B2976"/>
            <w:vAlign w:val="center"/>
          </w:tcPr>
          <w:p w14:paraId="2D4E23D7" w14:textId="40532B38" w:rsidR="00BD2F61" w:rsidRPr="0064231D" w:rsidRDefault="00386B4D" w:rsidP="00783F5B">
            <w:pPr>
              <w:spacing w:before="40" w:after="40" w:line="276" w:lineRule="auto"/>
              <w:jc w:val="center"/>
              <w:rPr>
                <w:b/>
                <w:bCs/>
                <w:color w:val="FFFFFF" w:themeColor="background1"/>
                <w:sz w:val="16"/>
                <w:szCs w:val="18"/>
              </w:rPr>
            </w:pPr>
            <w:r w:rsidRPr="0064231D">
              <w:rPr>
                <w:b/>
                <w:bCs/>
                <w:color w:val="FFFFFF" w:themeColor="background1"/>
                <w:sz w:val="16"/>
                <w:szCs w:val="18"/>
              </w:rPr>
              <w:t>DELIVERY LOCATIONS</w:t>
            </w:r>
          </w:p>
        </w:tc>
      </w:tr>
      <w:tr w:rsidR="0064231D" w:rsidRPr="003E282E" w14:paraId="16CF2C58" w14:textId="77777777" w:rsidTr="0064231D">
        <w:trPr>
          <w:cantSplit/>
        </w:trPr>
        <w:tc>
          <w:tcPr>
            <w:tcW w:w="505" w:type="pct"/>
          </w:tcPr>
          <w:p w14:paraId="61693743" w14:textId="77777777" w:rsidR="00EA5A9B" w:rsidRPr="0064231D" w:rsidRDefault="00EA5A9B"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Aboriginal Family Services</w:t>
            </w:r>
          </w:p>
        </w:tc>
        <w:tc>
          <w:tcPr>
            <w:tcW w:w="368" w:type="pct"/>
          </w:tcPr>
          <w:p w14:paraId="1C79F18A" w14:textId="77777777" w:rsidR="00EA5A9B" w:rsidRPr="0064231D" w:rsidRDefault="00EA5A9B" w:rsidP="009C4829">
            <w:pPr>
              <w:spacing w:before="40" w:after="40" w:line="276" w:lineRule="auto"/>
              <w:rPr>
                <w:color w:val="000000"/>
                <w:sz w:val="18"/>
                <w:szCs w:val="18"/>
              </w:rPr>
            </w:pPr>
            <w:r w:rsidRPr="0064231D">
              <w:rPr>
                <w:color w:val="000000"/>
                <w:sz w:val="18"/>
                <w:szCs w:val="18"/>
              </w:rPr>
              <w:t>SA</w:t>
            </w:r>
          </w:p>
        </w:tc>
        <w:tc>
          <w:tcPr>
            <w:tcW w:w="460" w:type="pct"/>
          </w:tcPr>
          <w:p w14:paraId="0D33F9B4" w14:textId="77777777" w:rsidR="00EA5A9B" w:rsidRPr="0064231D" w:rsidRDefault="00EA5A9B"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Iron Triangle Community Engagement Link</w:t>
            </w:r>
          </w:p>
        </w:tc>
        <w:tc>
          <w:tcPr>
            <w:tcW w:w="2119" w:type="pct"/>
          </w:tcPr>
          <w:p w14:paraId="1DFF1535" w14:textId="77777777" w:rsidR="00EA5A9B" w:rsidRPr="0064231D" w:rsidRDefault="00EA5A9B"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This two year project employs community development workers to facilitate information, linkages and referrals for people with disability in the local communities of Port Pirie, Port Augusta and Whyalla. The workers will provide a conduit between disability service organisations and the Aboriginal and Torres Strait Islander population to build trust, relationships and cross cultural understanding via community forums and events. The project will build the cultural awareness capacity of disability service organisations, provide direct cultural assistance as required and facilitate two way exchange of cultural understanding, building the capacity of the disability service sector and contributing to the confidence of people with disability accessing the services and supports they need.</w:t>
            </w:r>
          </w:p>
          <w:p w14:paraId="5DDD492D" w14:textId="77777777" w:rsidR="00EA5A9B" w:rsidRPr="0064231D" w:rsidRDefault="00EA5A9B"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Aboriginal Family Support Services Ltd. (AFSS) is an Aboriginal community controlled organisation delivering community services in 22 locations across South Australia. </w:t>
            </w:r>
          </w:p>
        </w:tc>
        <w:tc>
          <w:tcPr>
            <w:tcW w:w="506" w:type="pct"/>
            <w:tcBorders>
              <w:right w:val="single" w:sz="4" w:space="0" w:color="auto"/>
            </w:tcBorders>
          </w:tcPr>
          <w:p w14:paraId="0D4D22A9" w14:textId="77777777" w:rsidR="00EA5A9B" w:rsidRPr="0064231D" w:rsidRDefault="00EA5A9B" w:rsidP="009C4829">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$799,993.70</w:t>
            </w:r>
          </w:p>
        </w:tc>
        <w:tc>
          <w:tcPr>
            <w:tcW w:w="445" w:type="pct"/>
            <w:tcBorders>
              <w:right w:val="single" w:sz="4" w:space="0" w:color="auto"/>
            </w:tcBorders>
          </w:tcPr>
          <w:p w14:paraId="633762AB" w14:textId="77777777" w:rsidR="00EA5A9B" w:rsidRPr="0064231D" w:rsidRDefault="00EA5A9B"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ED11994" w14:textId="77777777" w:rsidR="00EA5A9B" w:rsidRPr="0064231D" w:rsidRDefault="00EA5A9B" w:rsidP="009C4829">
            <w:pPr>
              <w:spacing w:before="40" w:after="40" w:line="276" w:lineRule="auto"/>
              <w:rPr>
                <w:bCs/>
                <w:sz w:val="18"/>
                <w:szCs w:val="18"/>
              </w:rPr>
            </w:pPr>
            <w:r w:rsidRPr="0064231D">
              <w:rPr>
                <w:bCs/>
                <w:sz w:val="18"/>
                <w:szCs w:val="18"/>
              </w:rPr>
              <w:t>Pt Augusta</w:t>
            </w:r>
          </w:p>
        </w:tc>
      </w:tr>
      <w:tr w:rsidR="0064231D" w:rsidRPr="003E282E" w14:paraId="5CFA42FD" w14:textId="77777777" w:rsidTr="0064231D">
        <w:trPr>
          <w:cantSplit/>
        </w:trPr>
        <w:tc>
          <w:tcPr>
            <w:tcW w:w="505" w:type="pct"/>
          </w:tcPr>
          <w:p w14:paraId="6525ACB5" w14:textId="42F58FF0"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Ceduna Koonib</w:t>
            </w:r>
            <w:r w:rsidR="001277C1">
              <w:rPr>
                <w:rFonts w:eastAsia="Times New Roman"/>
                <w:color w:val="000000"/>
                <w:sz w:val="18"/>
                <w:szCs w:val="18"/>
                <w:lang w:eastAsia="en-AU"/>
              </w:rPr>
              <w:t>b</w:t>
            </w:r>
            <w:r w:rsidRPr="0064231D">
              <w:rPr>
                <w:rFonts w:eastAsia="Times New Roman"/>
                <w:color w:val="000000"/>
                <w:sz w:val="18"/>
                <w:szCs w:val="18"/>
                <w:lang w:eastAsia="en-AU"/>
              </w:rPr>
              <w:t>a Aboriginal Health Service</w:t>
            </w:r>
          </w:p>
        </w:tc>
        <w:tc>
          <w:tcPr>
            <w:tcW w:w="368" w:type="pct"/>
          </w:tcPr>
          <w:p w14:paraId="715F9B47" w14:textId="77777777" w:rsidR="00953522" w:rsidRPr="0064231D" w:rsidRDefault="00953522" w:rsidP="009C4829">
            <w:pPr>
              <w:spacing w:before="40" w:after="40" w:line="276" w:lineRule="auto"/>
              <w:rPr>
                <w:color w:val="000000"/>
                <w:sz w:val="18"/>
                <w:szCs w:val="18"/>
              </w:rPr>
            </w:pPr>
            <w:r w:rsidRPr="0064231D">
              <w:rPr>
                <w:color w:val="000000"/>
                <w:sz w:val="18"/>
                <w:szCs w:val="18"/>
              </w:rPr>
              <w:t>SA</w:t>
            </w:r>
          </w:p>
        </w:tc>
        <w:tc>
          <w:tcPr>
            <w:tcW w:w="460" w:type="pct"/>
          </w:tcPr>
          <w:p w14:paraId="7BD4F8D6"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Yadu Gateway</w:t>
            </w:r>
          </w:p>
        </w:tc>
        <w:tc>
          <w:tcPr>
            <w:tcW w:w="2119" w:type="pct"/>
          </w:tcPr>
          <w:p w14:paraId="345B284C"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‘Yadu Gateway’ is a two year project to establish a collaboration of all major Aboriginal service organisations in the Far West Coast Region. The Yadu Gateway intends to provide a joined up approach for delivery of services, education and training, employment and career development for people with disability.</w:t>
            </w:r>
          </w:p>
          <w:p w14:paraId="2825BD82"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The ILC funding will be directed towards staffing to establish the Yadu Gateway collaboration including developing and formalising relationships, building the capacity of local organisations to engage with the NDIS, developing information tools and promoting the gateway to the community. </w:t>
            </w:r>
          </w:p>
          <w:p w14:paraId="4AE3EC28"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The Yadu Gateway concept has been co-designed by the local community and has structures to continue the project to be user and community led.</w:t>
            </w:r>
          </w:p>
          <w:p w14:paraId="24E7A2C2" w14:textId="12BD6B19"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Ceduna Kooni</w:t>
            </w:r>
            <w:r w:rsidR="00063A27">
              <w:rPr>
                <w:rFonts w:eastAsia="Times New Roman"/>
                <w:color w:val="000000"/>
                <w:sz w:val="18"/>
                <w:szCs w:val="18"/>
                <w:lang w:eastAsia="en-AU"/>
              </w:rPr>
              <w:t>b</w:t>
            </w:r>
            <w:r w:rsidRPr="0064231D">
              <w:rPr>
                <w:rFonts w:eastAsia="Times New Roman"/>
                <w:color w:val="000000"/>
                <w:sz w:val="18"/>
                <w:szCs w:val="18"/>
                <w:lang w:eastAsia="en-AU"/>
              </w:rPr>
              <w:t>ba Aboriginal Health Service Aboriginal Corporation provides culturally appropriate preventative health care, education and clinical services to Aboriginal communities.  The project will cover the district council of Ceduna including Oak Valley, Yalata, Scotdesco, Koonibba and Ceduna and surrounding homelands.</w:t>
            </w:r>
          </w:p>
          <w:p w14:paraId="655BB95A"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The project is being delivered in consortium with: </w:t>
            </w:r>
            <w:r w:rsidRPr="0064231D">
              <w:rPr>
                <w:color w:val="1A1A1C"/>
                <w:w w:val="110"/>
                <w:sz w:val="18"/>
                <w:szCs w:val="18"/>
              </w:rPr>
              <w:t>Ced</w:t>
            </w:r>
            <w:r w:rsidRPr="0064231D">
              <w:rPr>
                <w:color w:val="1A1A1C"/>
                <w:spacing w:val="-6"/>
                <w:w w:val="110"/>
                <w:sz w:val="18"/>
                <w:szCs w:val="18"/>
              </w:rPr>
              <w:t>u</w:t>
            </w:r>
            <w:r w:rsidRPr="0064231D">
              <w:rPr>
                <w:color w:val="1A1A1C"/>
                <w:spacing w:val="-25"/>
                <w:w w:val="110"/>
                <w:sz w:val="18"/>
                <w:szCs w:val="18"/>
              </w:rPr>
              <w:t>n</w:t>
            </w:r>
            <w:r w:rsidRPr="0064231D">
              <w:rPr>
                <w:color w:val="1A1A1C"/>
                <w:w w:val="110"/>
                <w:sz w:val="18"/>
                <w:szCs w:val="18"/>
              </w:rPr>
              <w:t>a</w:t>
            </w:r>
            <w:r w:rsidRPr="0064231D">
              <w:rPr>
                <w:color w:val="1A1A1C"/>
                <w:spacing w:val="-21"/>
                <w:w w:val="110"/>
                <w:sz w:val="18"/>
                <w:szCs w:val="18"/>
              </w:rPr>
              <w:t xml:space="preserve"> </w:t>
            </w:r>
            <w:r w:rsidRPr="0064231D">
              <w:rPr>
                <w:color w:val="1A1A1C"/>
                <w:w w:val="110"/>
                <w:sz w:val="18"/>
                <w:szCs w:val="18"/>
              </w:rPr>
              <w:t>Abor</w:t>
            </w:r>
            <w:r w:rsidRPr="0064231D">
              <w:rPr>
                <w:color w:val="1A1A1C"/>
                <w:spacing w:val="17"/>
                <w:w w:val="110"/>
                <w:sz w:val="18"/>
                <w:szCs w:val="18"/>
              </w:rPr>
              <w:t>i</w:t>
            </w:r>
            <w:r w:rsidRPr="0064231D">
              <w:rPr>
                <w:color w:val="1A1A1C"/>
                <w:w w:val="110"/>
                <w:sz w:val="18"/>
                <w:szCs w:val="18"/>
              </w:rPr>
              <w:t>g</w:t>
            </w:r>
            <w:r w:rsidRPr="0064231D">
              <w:rPr>
                <w:color w:val="1A1A1C"/>
                <w:spacing w:val="-8"/>
                <w:w w:val="110"/>
                <w:sz w:val="18"/>
                <w:szCs w:val="18"/>
              </w:rPr>
              <w:t>i</w:t>
            </w:r>
            <w:r w:rsidRPr="0064231D">
              <w:rPr>
                <w:color w:val="1A1A1C"/>
                <w:w w:val="110"/>
                <w:sz w:val="18"/>
                <w:szCs w:val="18"/>
              </w:rPr>
              <w:t>nal</w:t>
            </w:r>
            <w:r w:rsidRPr="0064231D">
              <w:rPr>
                <w:color w:val="1A1A1C"/>
                <w:spacing w:val="-29"/>
                <w:w w:val="110"/>
                <w:sz w:val="18"/>
                <w:szCs w:val="18"/>
              </w:rPr>
              <w:t xml:space="preserve"> </w:t>
            </w:r>
            <w:r w:rsidRPr="0064231D">
              <w:rPr>
                <w:color w:val="1A1A1C"/>
                <w:w w:val="110"/>
                <w:sz w:val="18"/>
                <w:szCs w:val="18"/>
              </w:rPr>
              <w:t>Corporation</w:t>
            </w:r>
            <w:r w:rsidRPr="0064231D">
              <w:rPr>
                <w:color w:val="1A1A1C"/>
                <w:spacing w:val="-23"/>
                <w:w w:val="110"/>
                <w:sz w:val="18"/>
                <w:szCs w:val="18"/>
              </w:rPr>
              <w:t xml:space="preserve"> </w:t>
            </w:r>
            <w:r w:rsidRPr="0064231D">
              <w:rPr>
                <w:color w:val="1A1A1C"/>
                <w:w w:val="110"/>
                <w:sz w:val="18"/>
                <w:szCs w:val="18"/>
              </w:rPr>
              <w:t xml:space="preserve">(CAC), </w:t>
            </w:r>
            <w:r w:rsidRPr="0064231D">
              <w:rPr>
                <w:color w:val="1A1A1C"/>
                <w:sz w:val="18"/>
                <w:szCs w:val="18"/>
              </w:rPr>
              <w:t>Far</w:t>
            </w:r>
            <w:r w:rsidRPr="0064231D">
              <w:rPr>
                <w:color w:val="1A1A1C"/>
                <w:spacing w:val="33"/>
                <w:sz w:val="18"/>
                <w:szCs w:val="18"/>
              </w:rPr>
              <w:t xml:space="preserve"> </w:t>
            </w:r>
            <w:r w:rsidRPr="0064231D">
              <w:rPr>
                <w:color w:val="1A1A1C"/>
                <w:sz w:val="18"/>
                <w:szCs w:val="18"/>
              </w:rPr>
              <w:t xml:space="preserve">West </w:t>
            </w:r>
            <w:r w:rsidRPr="0064231D">
              <w:rPr>
                <w:color w:val="1A1A1C"/>
                <w:spacing w:val="33"/>
                <w:sz w:val="18"/>
                <w:szCs w:val="18"/>
              </w:rPr>
              <w:t xml:space="preserve"> </w:t>
            </w:r>
            <w:r w:rsidRPr="0064231D">
              <w:rPr>
                <w:color w:val="1A1A1C"/>
                <w:sz w:val="18"/>
                <w:szCs w:val="18"/>
              </w:rPr>
              <w:t>Coast Aboriginal</w:t>
            </w:r>
            <w:r w:rsidRPr="0064231D">
              <w:rPr>
                <w:color w:val="1A1A1C"/>
                <w:spacing w:val="40"/>
                <w:sz w:val="18"/>
                <w:szCs w:val="18"/>
              </w:rPr>
              <w:t xml:space="preserve"> </w:t>
            </w:r>
            <w:r w:rsidRPr="0064231D">
              <w:rPr>
                <w:color w:val="1A1A1C"/>
                <w:sz w:val="18"/>
                <w:szCs w:val="18"/>
              </w:rPr>
              <w:t>Corporation</w:t>
            </w:r>
            <w:r w:rsidRPr="0064231D">
              <w:rPr>
                <w:color w:val="1A1A1C"/>
                <w:spacing w:val="41"/>
                <w:sz w:val="18"/>
                <w:szCs w:val="18"/>
              </w:rPr>
              <w:t xml:space="preserve"> </w:t>
            </w:r>
            <w:r w:rsidRPr="0064231D">
              <w:rPr>
                <w:color w:val="1A1A1C"/>
                <w:sz w:val="18"/>
                <w:szCs w:val="18"/>
              </w:rPr>
              <w:t xml:space="preserve">(FWCAC), </w:t>
            </w:r>
            <w:r w:rsidRPr="0064231D">
              <w:rPr>
                <w:color w:val="232323"/>
                <w:w w:val="105"/>
                <w:sz w:val="18"/>
                <w:szCs w:val="18"/>
              </w:rPr>
              <w:t>Tullawon</w:t>
            </w:r>
            <w:r w:rsidRPr="0064231D">
              <w:rPr>
                <w:color w:val="232323"/>
                <w:spacing w:val="-3"/>
                <w:w w:val="105"/>
                <w:sz w:val="18"/>
                <w:szCs w:val="18"/>
              </w:rPr>
              <w:t xml:space="preserve"> </w:t>
            </w:r>
            <w:r w:rsidRPr="0064231D">
              <w:rPr>
                <w:color w:val="232323"/>
                <w:w w:val="105"/>
                <w:sz w:val="18"/>
                <w:szCs w:val="18"/>
              </w:rPr>
              <w:t>Health</w:t>
            </w:r>
            <w:r w:rsidRPr="0064231D">
              <w:rPr>
                <w:color w:val="232323"/>
                <w:spacing w:val="-20"/>
                <w:w w:val="105"/>
                <w:sz w:val="18"/>
                <w:szCs w:val="18"/>
              </w:rPr>
              <w:t xml:space="preserve"> </w:t>
            </w:r>
            <w:r w:rsidRPr="0064231D">
              <w:rPr>
                <w:color w:val="232323"/>
                <w:w w:val="105"/>
                <w:sz w:val="18"/>
                <w:szCs w:val="18"/>
              </w:rPr>
              <w:t>Service</w:t>
            </w:r>
            <w:r w:rsidRPr="0064231D">
              <w:rPr>
                <w:rFonts w:eastAsia="Arial"/>
                <w:sz w:val="18"/>
                <w:szCs w:val="18"/>
              </w:rPr>
              <w:t xml:space="preserve">, </w:t>
            </w:r>
            <w:r w:rsidRPr="0064231D">
              <w:rPr>
                <w:color w:val="232323"/>
                <w:w w:val="105"/>
                <w:sz w:val="18"/>
                <w:szCs w:val="18"/>
              </w:rPr>
              <w:t>Ceduna</w:t>
            </w:r>
            <w:r w:rsidRPr="0064231D">
              <w:rPr>
                <w:color w:val="232323"/>
                <w:spacing w:val="13"/>
                <w:w w:val="105"/>
                <w:sz w:val="18"/>
                <w:szCs w:val="18"/>
              </w:rPr>
              <w:t xml:space="preserve"> </w:t>
            </w:r>
            <w:r w:rsidRPr="0064231D">
              <w:rPr>
                <w:color w:val="232323"/>
                <w:spacing w:val="-2"/>
                <w:w w:val="105"/>
                <w:sz w:val="18"/>
                <w:szCs w:val="18"/>
              </w:rPr>
              <w:t>Region</w:t>
            </w:r>
            <w:r w:rsidRPr="0064231D">
              <w:rPr>
                <w:color w:val="232323"/>
                <w:spacing w:val="-15"/>
                <w:w w:val="105"/>
                <w:sz w:val="18"/>
                <w:szCs w:val="18"/>
              </w:rPr>
              <w:t xml:space="preserve"> </w:t>
            </w:r>
            <w:r w:rsidRPr="0064231D">
              <w:rPr>
                <w:color w:val="232323"/>
                <w:w w:val="105"/>
                <w:sz w:val="18"/>
                <w:szCs w:val="18"/>
              </w:rPr>
              <w:t>Elders</w:t>
            </w:r>
            <w:r w:rsidRPr="0064231D">
              <w:rPr>
                <w:color w:val="232323"/>
                <w:spacing w:val="-12"/>
                <w:w w:val="105"/>
                <w:sz w:val="18"/>
                <w:szCs w:val="18"/>
              </w:rPr>
              <w:t xml:space="preserve"> </w:t>
            </w:r>
            <w:r w:rsidRPr="0064231D">
              <w:rPr>
                <w:color w:val="232323"/>
                <w:spacing w:val="-2"/>
                <w:w w:val="105"/>
                <w:sz w:val="18"/>
                <w:szCs w:val="18"/>
              </w:rPr>
              <w:t>Committee</w:t>
            </w:r>
            <w:r w:rsidRPr="0064231D">
              <w:rPr>
                <w:rFonts w:eastAsia="Arial"/>
                <w:sz w:val="18"/>
                <w:szCs w:val="18"/>
              </w:rPr>
              <w:t xml:space="preserve">, </w:t>
            </w:r>
            <w:r w:rsidRPr="0064231D">
              <w:rPr>
                <w:color w:val="232323"/>
                <w:w w:val="105"/>
                <w:sz w:val="18"/>
                <w:szCs w:val="18"/>
              </w:rPr>
              <w:t>Ngura</w:t>
            </w:r>
            <w:r w:rsidRPr="0064231D">
              <w:rPr>
                <w:color w:val="232323"/>
                <w:spacing w:val="-28"/>
                <w:w w:val="105"/>
                <w:sz w:val="18"/>
                <w:szCs w:val="18"/>
              </w:rPr>
              <w:t xml:space="preserve"> </w:t>
            </w:r>
            <w:r w:rsidRPr="0064231D">
              <w:rPr>
                <w:color w:val="232323"/>
                <w:w w:val="105"/>
                <w:sz w:val="18"/>
                <w:szCs w:val="18"/>
              </w:rPr>
              <w:t>Yadurirn</w:t>
            </w:r>
            <w:r w:rsidRPr="0064231D">
              <w:rPr>
                <w:color w:val="232323"/>
                <w:spacing w:val="-10"/>
                <w:w w:val="105"/>
                <w:sz w:val="18"/>
                <w:szCs w:val="18"/>
              </w:rPr>
              <w:t xml:space="preserve"> </w:t>
            </w:r>
            <w:r w:rsidRPr="0064231D">
              <w:rPr>
                <w:color w:val="232323"/>
                <w:w w:val="105"/>
                <w:sz w:val="18"/>
                <w:szCs w:val="18"/>
              </w:rPr>
              <w:t>Children's</w:t>
            </w:r>
            <w:r w:rsidRPr="0064231D">
              <w:rPr>
                <w:color w:val="232323"/>
                <w:spacing w:val="-5"/>
                <w:w w:val="105"/>
                <w:sz w:val="18"/>
                <w:szCs w:val="18"/>
              </w:rPr>
              <w:t xml:space="preserve"> </w:t>
            </w:r>
            <w:r w:rsidRPr="0064231D">
              <w:rPr>
                <w:color w:val="232323"/>
                <w:w w:val="105"/>
                <w:sz w:val="18"/>
                <w:szCs w:val="18"/>
              </w:rPr>
              <w:t>Centre</w:t>
            </w:r>
            <w:r w:rsidRPr="0064231D">
              <w:rPr>
                <w:rFonts w:eastAsia="Arial"/>
                <w:sz w:val="18"/>
                <w:szCs w:val="18"/>
              </w:rPr>
              <w:t xml:space="preserve">, </w:t>
            </w:r>
            <w:r w:rsidRPr="0064231D">
              <w:rPr>
                <w:color w:val="232323"/>
                <w:spacing w:val="-3"/>
                <w:w w:val="105"/>
                <w:sz w:val="18"/>
                <w:szCs w:val="18"/>
              </w:rPr>
              <w:t>Mi</w:t>
            </w:r>
            <w:r w:rsidRPr="0064231D">
              <w:rPr>
                <w:color w:val="232323"/>
                <w:spacing w:val="-4"/>
                <w:w w:val="105"/>
                <w:sz w:val="18"/>
                <w:szCs w:val="18"/>
              </w:rPr>
              <w:t>nya</w:t>
            </w:r>
            <w:r w:rsidRPr="0064231D">
              <w:rPr>
                <w:color w:val="232323"/>
                <w:spacing w:val="2"/>
                <w:w w:val="105"/>
                <w:sz w:val="18"/>
                <w:szCs w:val="18"/>
              </w:rPr>
              <w:t xml:space="preserve"> </w:t>
            </w:r>
            <w:r w:rsidRPr="0064231D">
              <w:rPr>
                <w:color w:val="232323"/>
                <w:w w:val="105"/>
                <w:sz w:val="18"/>
                <w:szCs w:val="18"/>
              </w:rPr>
              <w:t>Buhnii</w:t>
            </w:r>
            <w:r w:rsidRPr="0064231D">
              <w:rPr>
                <w:color w:val="232323"/>
                <w:spacing w:val="-7"/>
                <w:w w:val="105"/>
                <w:sz w:val="18"/>
                <w:szCs w:val="18"/>
              </w:rPr>
              <w:t xml:space="preserve"> </w:t>
            </w:r>
            <w:r w:rsidRPr="0064231D">
              <w:rPr>
                <w:color w:val="232323"/>
                <w:w w:val="105"/>
                <w:sz w:val="18"/>
                <w:szCs w:val="18"/>
              </w:rPr>
              <w:t xml:space="preserve">Childcare </w:t>
            </w:r>
            <w:r w:rsidRPr="0064231D">
              <w:rPr>
                <w:color w:val="232323"/>
                <w:spacing w:val="-4"/>
                <w:w w:val="105"/>
                <w:sz w:val="18"/>
                <w:szCs w:val="18"/>
              </w:rPr>
              <w:t>Centre.</w:t>
            </w:r>
          </w:p>
        </w:tc>
        <w:tc>
          <w:tcPr>
            <w:tcW w:w="506" w:type="pct"/>
            <w:tcBorders>
              <w:right w:val="single" w:sz="4" w:space="0" w:color="auto"/>
            </w:tcBorders>
          </w:tcPr>
          <w:p w14:paraId="0AE29979" w14:textId="77777777" w:rsidR="00953522" w:rsidRPr="0064231D" w:rsidRDefault="00953522" w:rsidP="009C4829">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$818,904.90</w:t>
            </w:r>
          </w:p>
        </w:tc>
        <w:tc>
          <w:tcPr>
            <w:tcW w:w="445" w:type="pct"/>
            <w:tcBorders>
              <w:right w:val="single" w:sz="4" w:space="0" w:color="auto"/>
            </w:tcBorders>
          </w:tcPr>
          <w:p w14:paraId="32268063"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A18301B" w14:textId="77777777" w:rsidR="00953522" w:rsidRPr="0064231D" w:rsidRDefault="00953522" w:rsidP="009C4829">
            <w:pPr>
              <w:spacing w:before="40" w:after="40" w:line="276" w:lineRule="auto"/>
              <w:rPr>
                <w:bCs/>
                <w:sz w:val="18"/>
                <w:szCs w:val="18"/>
              </w:rPr>
            </w:pPr>
            <w:r w:rsidRPr="0064231D">
              <w:rPr>
                <w:bCs/>
                <w:sz w:val="18"/>
                <w:szCs w:val="18"/>
              </w:rPr>
              <w:t>Far West Coast Region of South Australia, including the communities of: Oak Valley, Yalata, Scotdesco, Koonibba, Ceduna and Surrounding Home Lands.</w:t>
            </w:r>
          </w:p>
        </w:tc>
      </w:tr>
      <w:tr w:rsidR="0064231D" w:rsidRPr="003E282E" w14:paraId="183175A2" w14:textId="77777777" w:rsidTr="0064231D">
        <w:trPr>
          <w:cantSplit/>
        </w:trPr>
        <w:tc>
          <w:tcPr>
            <w:tcW w:w="505" w:type="pct"/>
          </w:tcPr>
          <w:p w14:paraId="55E7C520"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lastRenderedPageBreak/>
              <w:t>Centacare North QLD</w:t>
            </w:r>
          </w:p>
        </w:tc>
        <w:tc>
          <w:tcPr>
            <w:tcW w:w="368" w:type="pct"/>
          </w:tcPr>
          <w:p w14:paraId="37823CE9" w14:textId="77777777" w:rsidR="00953522" w:rsidRPr="0064231D" w:rsidRDefault="00953522" w:rsidP="009C4829">
            <w:pPr>
              <w:spacing w:before="40" w:after="40" w:line="276" w:lineRule="auto"/>
              <w:rPr>
                <w:color w:val="000000"/>
                <w:sz w:val="18"/>
                <w:szCs w:val="18"/>
              </w:rPr>
            </w:pPr>
            <w:r w:rsidRPr="0064231D">
              <w:rPr>
                <w:color w:val="000000"/>
                <w:sz w:val="18"/>
                <w:szCs w:val="18"/>
              </w:rPr>
              <w:t>QLD North</w:t>
            </w:r>
          </w:p>
        </w:tc>
        <w:tc>
          <w:tcPr>
            <w:tcW w:w="460" w:type="pct"/>
          </w:tcPr>
          <w:p w14:paraId="1A6779C8"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Lat20 – Leading attitudes to inclusion</w:t>
            </w:r>
          </w:p>
        </w:tc>
        <w:tc>
          <w:tcPr>
            <w:tcW w:w="2119" w:type="pct"/>
          </w:tcPr>
          <w:p w14:paraId="0EB7BDE8"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The two year Lat20 project aims to build community inclusion for people with disability from Aboriginal, Torres Strait Islander and culturally and linguistically diverse communities. The program works along latitude 20 from Mount Isa East to Townsville, and Southeast to Longreach. The project will deliver community based information sessions and activities via local event or community organisations, as well as working at the individual level to build awareness, understanding and linkages with NDIS and other disability supports. The project will develop a purpose-built LAT tool (Linking Activity Tool) which will be used to build a simple profile map to identify areas of need, barriers to participation and integrate existing service options.</w:t>
            </w:r>
          </w:p>
          <w:p w14:paraId="39FD355D"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Centacare North QLD has a 40-year history of supporting individuals, families, service providers and communities across north and north west Queensland.</w:t>
            </w:r>
          </w:p>
        </w:tc>
        <w:tc>
          <w:tcPr>
            <w:tcW w:w="506" w:type="pct"/>
            <w:tcBorders>
              <w:right w:val="single" w:sz="4" w:space="0" w:color="auto"/>
            </w:tcBorders>
          </w:tcPr>
          <w:p w14:paraId="41F50096" w14:textId="77777777" w:rsidR="00953522" w:rsidRPr="0064231D" w:rsidRDefault="00953522" w:rsidP="009C4829">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$799,645.00 </w:t>
            </w:r>
          </w:p>
        </w:tc>
        <w:tc>
          <w:tcPr>
            <w:tcW w:w="445" w:type="pct"/>
            <w:tcBorders>
              <w:right w:val="single" w:sz="4" w:space="0" w:color="auto"/>
            </w:tcBorders>
          </w:tcPr>
          <w:p w14:paraId="6F243F20"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Community Awareness and Capacity Building</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C969726" w14:textId="77777777" w:rsidR="00953522" w:rsidRPr="0064231D" w:rsidRDefault="00953522" w:rsidP="009C4829">
            <w:pPr>
              <w:spacing w:before="40" w:after="40" w:line="276" w:lineRule="auto"/>
              <w:rPr>
                <w:bCs/>
                <w:sz w:val="18"/>
                <w:szCs w:val="18"/>
              </w:rPr>
            </w:pPr>
            <w:r w:rsidRPr="0064231D">
              <w:rPr>
                <w:bCs/>
                <w:sz w:val="18"/>
                <w:szCs w:val="18"/>
              </w:rPr>
              <w:t>Mount Isa, Cloncurry, Julia Creek, Richmond, Hughenden, Charters Towers, Boulia, Winton, Longreach</w:t>
            </w:r>
          </w:p>
        </w:tc>
      </w:tr>
      <w:tr w:rsidR="0064231D" w:rsidRPr="003E282E" w14:paraId="4700B5FA" w14:textId="77777777" w:rsidTr="0064231D">
        <w:trPr>
          <w:cantSplit/>
        </w:trPr>
        <w:tc>
          <w:tcPr>
            <w:tcW w:w="505" w:type="pct"/>
          </w:tcPr>
          <w:p w14:paraId="23A2D99F" w14:textId="77777777" w:rsidR="00EA5A9B" w:rsidRPr="0064231D" w:rsidRDefault="00EA5A9B" w:rsidP="00F8016E">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Charleville Western Areas Aboriginal Torres Strait Islander Community Health LTD (CWAATSICH)</w:t>
            </w:r>
          </w:p>
        </w:tc>
        <w:tc>
          <w:tcPr>
            <w:tcW w:w="368" w:type="pct"/>
          </w:tcPr>
          <w:p w14:paraId="3983695A" w14:textId="77777777" w:rsidR="00EA5A9B" w:rsidRPr="0064231D" w:rsidRDefault="00EA5A9B" w:rsidP="00F8016E">
            <w:pPr>
              <w:spacing w:before="40" w:after="40" w:line="276" w:lineRule="auto"/>
              <w:rPr>
                <w:color w:val="000000"/>
                <w:sz w:val="18"/>
                <w:szCs w:val="18"/>
              </w:rPr>
            </w:pPr>
            <w:r w:rsidRPr="0064231D">
              <w:rPr>
                <w:color w:val="000000"/>
                <w:sz w:val="18"/>
                <w:szCs w:val="18"/>
              </w:rPr>
              <w:t>QLD South</w:t>
            </w:r>
          </w:p>
        </w:tc>
        <w:tc>
          <w:tcPr>
            <w:tcW w:w="460" w:type="pct"/>
          </w:tcPr>
          <w:p w14:paraId="016D6B34" w14:textId="77777777" w:rsidR="00EA5A9B" w:rsidRPr="0064231D" w:rsidRDefault="00EA5A9B" w:rsidP="00F8016E">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Development of a culturally appropriate animation and audio-visual web based NDIS mobile app</w:t>
            </w:r>
          </w:p>
        </w:tc>
        <w:tc>
          <w:tcPr>
            <w:tcW w:w="2119" w:type="pct"/>
          </w:tcPr>
          <w:p w14:paraId="5DB664A2" w14:textId="77777777" w:rsidR="00EA5A9B" w:rsidRPr="0064231D" w:rsidRDefault="00EA5A9B" w:rsidP="00F8016E">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This two year project proposes to develop an interactive App that provides the information of disabilities, the NDIS and local support services using culturally specific animations and voice over. The App is aimed to be used by service providers to facilitate conversations about disability using a culturally specific tool and help build individual knowledge. The App will be developed through extensive community consultation to understand information and knowledge gaps and approaches that the App can use. In undertaking this consultation, the development phase in itself will contribute towards conversations and awareness raising around inclusion. Following development, people with disability, stakeholders and service providers will be trained in the use of the App. </w:t>
            </w:r>
          </w:p>
          <w:p w14:paraId="393F8447" w14:textId="77777777" w:rsidR="00EA5A9B" w:rsidRPr="0064231D" w:rsidRDefault="00EA5A9B" w:rsidP="00F8016E">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CWAATSICH is an Aboriginal Community Controlled Health Organisation working to reduce sickness, poverty and disadvantage amongst Aboriginal Torres Strait Islander population of Charleville and Western Area.</w:t>
            </w:r>
          </w:p>
        </w:tc>
        <w:tc>
          <w:tcPr>
            <w:tcW w:w="506" w:type="pct"/>
            <w:tcBorders>
              <w:right w:val="single" w:sz="4" w:space="0" w:color="auto"/>
            </w:tcBorders>
          </w:tcPr>
          <w:p w14:paraId="54C26C89" w14:textId="77777777" w:rsidR="00EA5A9B" w:rsidRPr="0064231D" w:rsidRDefault="00EA5A9B" w:rsidP="00F8016E">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$825,000.00</w:t>
            </w:r>
          </w:p>
        </w:tc>
        <w:tc>
          <w:tcPr>
            <w:tcW w:w="445" w:type="pct"/>
            <w:tcBorders>
              <w:right w:val="single" w:sz="4" w:space="0" w:color="auto"/>
            </w:tcBorders>
          </w:tcPr>
          <w:p w14:paraId="41CAAE51" w14:textId="77777777" w:rsidR="00EA5A9B" w:rsidRPr="0064231D" w:rsidRDefault="00EA5A9B" w:rsidP="00F8016E">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78E3E82" w14:textId="77777777" w:rsidR="00EA5A9B" w:rsidRPr="0064231D" w:rsidRDefault="00EA5A9B" w:rsidP="00F8016E">
            <w:pPr>
              <w:spacing w:before="40" w:after="40" w:line="276" w:lineRule="auto"/>
              <w:rPr>
                <w:bCs/>
                <w:sz w:val="18"/>
                <w:szCs w:val="18"/>
              </w:rPr>
            </w:pPr>
            <w:r w:rsidRPr="0064231D">
              <w:rPr>
                <w:bCs/>
                <w:sz w:val="18"/>
                <w:szCs w:val="18"/>
              </w:rPr>
              <w:t>Murweh Shire Council region incorporating towns of: Charleville, Morven, Augathella and Cooladie</w:t>
            </w:r>
          </w:p>
        </w:tc>
      </w:tr>
      <w:tr w:rsidR="0064231D" w:rsidRPr="003E282E" w14:paraId="01BCB1AC" w14:textId="77777777" w:rsidTr="0064231D">
        <w:trPr>
          <w:cantSplit/>
        </w:trPr>
        <w:tc>
          <w:tcPr>
            <w:tcW w:w="505" w:type="pct"/>
          </w:tcPr>
          <w:p w14:paraId="5B5D9353" w14:textId="77777777" w:rsidR="00953522" w:rsidRPr="0064231D" w:rsidRDefault="00953522" w:rsidP="00DE6F3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lastRenderedPageBreak/>
              <w:t>Cherbourg Aboriginal Shire Council</w:t>
            </w:r>
          </w:p>
        </w:tc>
        <w:tc>
          <w:tcPr>
            <w:tcW w:w="368" w:type="pct"/>
          </w:tcPr>
          <w:p w14:paraId="2FE9B14B" w14:textId="77777777" w:rsidR="00953522" w:rsidRPr="0064231D" w:rsidRDefault="00953522" w:rsidP="00DE6F35">
            <w:pPr>
              <w:spacing w:before="40" w:after="40" w:line="276" w:lineRule="auto"/>
              <w:rPr>
                <w:color w:val="000000"/>
                <w:sz w:val="18"/>
                <w:szCs w:val="18"/>
              </w:rPr>
            </w:pPr>
            <w:r w:rsidRPr="0064231D">
              <w:rPr>
                <w:color w:val="000000"/>
                <w:sz w:val="18"/>
                <w:szCs w:val="18"/>
              </w:rPr>
              <w:t>QLD Central</w:t>
            </w:r>
          </w:p>
        </w:tc>
        <w:tc>
          <w:tcPr>
            <w:tcW w:w="460" w:type="pct"/>
          </w:tcPr>
          <w:p w14:paraId="3343516E" w14:textId="77777777" w:rsidR="00953522" w:rsidRPr="0064231D" w:rsidRDefault="00953522" w:rsidP="00DE6F3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Cherbourg Community NDIS Information Linkages and Referrals Initiative</w:t>
            </w:r>
          </w:p>
        </w:tc>
        <w:tc>
          <w:tcPr>
            <w:tcW w:w="2119" w:type="pct"/>
          </w:tcPr>
          <w:p w14:paraId="3897B1DE" w14:textId="77777777" w:rsidR="00953522" w:rsidRPr="0064231D" w:rsidRDefault="00953522" w:rsidP="00DE6F3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This multi-faceted two year project will engage project officers to work across the community to build inclusiveness and to educate and link people to the NDIS and other disability services. The project works at the individual level, linking and educating people with disability about disability supports, through to working across local events and activities to build inclusive and accessible practices. The project will be governed by a Steering Committee of local community members and will involve a local councillor with a disability as the project ambassador. The project takes a strong consultative approach, partnering with the community to identify information needs though to service needs/gaps and developing a priority plan to address these.</w:t>
            </w:r>
            <w:r w:rsidRPr="0064231D">
              <w:rPr>
                <w:rFonts w:eastAsia="Times New Roman"/>
                <w:color w:val="000000"/>
                <w:sz w:val="18"/>
                <w:szCs w:val="18"/>
                <w:lang w:eastAsia="en-AU"/>
              </w:rPr>
              <w:br/>
              <w:t>The Cherbourg Aboriginal Shire Council is the elected local government for the Cherbourg community, a discrete Aboriginal Community with a population of 1200. The majority of residents are direct descendants of Aboriginal people forcibly relocated to Cherbourg in the late 1800 to early 1900's.</w:t>
            </w:r>
          </w:p>
        </w:tc>
        <w:tc>
          <w:tcPr>
            <w:tcW w:w="506" w:type="pct"/>
            <w:tcBorders>
              <w:right w:val="single" w:sz="4" w:space="0" w:color="auto"/>
            </w:tcBorders>
          </w:tcPr>
          <w:p w14:paraId="2E8F6160" w14:textId="77777777" w:rsidR="00953522" w:rsidRPr="0064231D" w:rsidRDefault="00953522" w:rsidP="00DE6F35">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$853,462.50 </w:t>
            </w:r>
          </w:p>
        </w:tc>
        <w:tc>
          <w:tcPr>
            <w:tcW w:w="445" w:type="pct"/>
            <w:tcBorders>
              <w:right w:val="single" w:sz="4" w:space="0" w:color="auto"/>
            </w:tcBorders>
          </w:tcPr>
          <w:p w14:paraId="4D975D8A" w14:textId="77777777" w:rsidR="00953522" w:rsidRPr="0064231D" w:rsidRDefault="00953522" w:rsidP="00DE6F3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Community Awareness and Capacity Building</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2EC63C7" w14:textId="77777777" w:rsidR="00953522" w:rsidRPr="0064231D" w:rsidRDefault="00953522" w:rsidP="00DE6F35">
            <w:pPr>
              <w:rPr>
                <w:color w:val="000000"/>
                <w:sz w:val="18"/>
                <w:szCs w:val="18"/>
              </w:rPr>
            </w:pPr>
            <w:r w:rsidRPr="0064231D">
              <w:rPr>
                <w:color w:val="000000"/>
                <w:sz w:val="18"/>
                <w:szCs w:val="18"/>
              </w:rPr>
              <w:t>Cherbourg with outreach to, Murgon, Eidsvold, and Gayndah</w:t>
            </w:r>
          </w:p>
        </w:tc>
      </w:tr>
      <w:tr w:rsidR="0064231D" w:rsidRPr="003E282E" w14:paraId="700C854C" w14:textId="77777777" w:rsidTr="0064231D">
        <w:trPr>
          <w:cantSplit/>
        </w:trPr>
        <w:tc>
          <w:tcPr>
            <w:tcW w:w="505" w:type="pct"/>
          </w:tcPr>
          <w:p w14:paraId="242F8CF3" w14:textId="77777777" w:rsidR="00953522" w:rsidRPr="0064231D" w:rsidRDefault="00953522" w:rsidP="00E736AB">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Community Living Australia</w:t>
            </w:r>
          </w:p>
        </w:tc>
        <w:tc>
          <w:tcPr>
            <w:tcW w:w="368" w:type="pct"/>
          </w:tcPr>
          <w:p w14:paraId="4F3F1207" w14:textId="77777777" w:rsidR="00953522" w:rsidRPr="0064231D" w:rsidRDefault="00953522" w:rsidP="00E736AB">
            <w:pPr>
              <w:spacing w:before="40" w:after="40" w:line="276" w:lineRule="auto"/>
              <w:rPr>
                <w:color w:val="000000"/>
                <w:sz w:val="18"/>
                <w:szCs w:val="18"/>
              </w:rPr>
            </w:pPr>
            <w:r w:rsidRPr="0064231D">
              <w:rPr>
                <w:color w:val="000000"/>
                <w:sz w:val="18"/>
                <w:szCs w:val="18"/>
              </w:rPr>
              <w:t>SA</w:t>
            </w:r>
          </w:p>
        </w:tc>
        <w:tc>
          <w:tcPr>
            <w:tcW w:w="460" w:type="pct"/>
          </w:tcPr>
          <w:p w14:paraId="41A388E2" w14:textId="77777777" w:rsidR="00953522" w:rsidRPr="0064231D" w:rsidRDefault="00953522" w:rsidP="00E736AB">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Be strong. Be Safe</w:t>
            </w:r>
          </w:p>
        </w:tc>
        <w:tc>
          <w:tcPr>
            <w:tcW w:w="2119" w:type="pct"/>
          </w:tcPr>
          <w:p w14:paraId="39C726FC" w14:textId="17F2FB65" w:rsidR="00953522" w:rsidRPr="0064231D" w:rsidRDefault="0064231D" w:rsidP="00E736AB">
            <w:pPr>
              <w:spacing w:before="40" w:after="40" w:line="276" w:lineRule="auto"/>
              <w:rPr>
                <w:rFonts w:eastAsia="Times New Roman"/>
                <w:color w:val="000000"/>
                <w:sz w:val="18"/>
                <w:szCs w:val="18"/>
                <w:lang w:eastAsia="en-AU"/>
              </w:rPr>
            </w:pPr>
            <w:r>
              <w:rPr>
                <w:rFonts w:eastAsia="Times New Roman"/>
                <w:color w:val="000000"/>
                <w:sz w:val="18"/>
                <w:szCs w:val="18"/>
                <w:lang w:eastAsia="en-AU"/>
              </w:rPr>
              <w:t xml:space="preserve">Be Strong. Stay Safe </w:t>
            </w:r>
            <w:r w:rsidR="00953522" w:rsidRPr="0064231D">
              <w:rPr>
                <w:rFonts w:eastAsia="Times New Roman"/>
                <w:color w:val="000000"/>
                <w:sz w:val="18"/>
                <w:szCs w:val="18"/>
                <w:lang w:eastAsia="en-AU"/>
              </w:rPr>
              <w:t xml:space="preserve">is a two year program to develop and deliver a training package for 10 peer support facilitators, all of whom have an intellectual disability. The Peer facilitators will receive coaching and support to be employed to deliver the Be Strong. Stay Safe training to other people with disability and disability support organisations on Kangaroo Island. </w:t>
            </w:r>
          </w:p>
          <w:p w14:paraId="282F6611" w14:textId="77777777" w:rsidR="00953522" w:rsidRPr="0064231D" w:rsidRDefault="00953522" w:rsidP="00E736AB">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The training takes a key focus on building capacity and understanding of personal rights and risks of abuse, building decision making capacity and confidence to enable increased community participation.</w:t>
            </w:r>
          </w:p>
          <w:p w14:paraId="3D6B6FD2" w14:textId="77777777" w:rsidR="00953522" w:rsidRPr="0064231D" w:rsidRDefault="00953522" w:rsidP="00E736AB">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Community Living Australia has over 30 years’ experience in delivering disability service across regional South Australia and currently delivers services to 20 clients on Kangaroo Island. </w:t>
            </w:r>
          </w:p>
        </w:tc>
        <w:tc>
          <w:tcPr>
            <w:tcW w:w="506" w:type="pct"/>
            <w:tcBorders>
              <w:right w:val="single" w:sz="4" w:space="0" w:color="auto"/>
            </w:tcBorders>
          </w:tcPr>
          <w:p w14:paraId="5DAD965E" w14:textId="77777777" w:rsidR="00953522" w:rsidRPr="0064231D" w:rsidRDefault="00953522" w:rsidP="00E736AB">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$256,483.70</w:t>
            </w:r>
          </w:p>
        </w:tc>
        <w:tc>
          <w:tcPr>
            <w:tcW w:w="445" w:type="pct"/>
            <w:tcBorders>
              <w:right w:val="single" w:sz="4" w:space="0" w:color="auto"/>
            </w:tcBorders>
          </w:tcPr>
          <w:p w14:paraId="676E6E23" w14:textId="77777777" w:rsidR="00953522" w:rsidRPr="0064231D" w:rsidRDefault="00953522" w:rsidP="00E736AB">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Individual Capacity Building</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2841454" w14:textId="77777777" w:rsidR="00953522" w:rsidRPr="0064231D" w:rsidRDefault="00953522" w:rsidP="00E736AB">
            <w:pPr>
              <w:spacing w:before="40" w:after="40" w:line="276" w:lineRule="auto"/>
              <w:rPr>
                <w:bCs/>
                <w:sz w:val="18"/>
                <w:szCs w:val="18"/>
              </w:rPr>
            </w:pPr>
            <w:r w:rsidRPr="0064231D">
              <w:rPr>
                <w:bCs/>
                <w:sz w:val="18"/>
                <w:szCs w:val="18"/>
              </w:rPr>
              <w:t>Kangaroo Island</w:t>
            </w:r>
          </w:p>
        </w:tc>
      </w:tr>
      <w:tr w:rsidR="0064231D" w:rsidRPr="003E282E" w14:paraId="6DBBE069" w14:textId="77777777" w:rsidTr="0064231D">
        <w:trPr>
          <w:cantSplit/>
        </w:trPr>
        <w:tc>
          <w:tcPr>
            <w:tcW w:w="505" w:type="pct"/>
          </w:tcPr>
          <w:p w14:paraId="0A858D82" w14:textId="77777777" w:rsidR="00EA5A9B" w:rsidRPr="0064231D" w:rsidRDefault="00EA5A9B" w:rsidP="004E42D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lastRenderedPageBreak/>
              <w:t>Indigenous Community Programs Incorporated (InComPro)</w:t>
            </w:r>
          </w:p>
        </w:tc>
        <w:tc>
          <w:tcPr>
            <w:tcW w:w="368" w:type="pct"/>
          </w:tcPr>
          <w:p w14:paraId="40926AD9" w14:textId="77777777" w:rsidR="00EA5A9B" w:rsidRPr="0064231D" w:rsidRDefault="00EA5A9B" w:rsidP="004E42D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APY Lands </w:t>
            </w:r>
          </w:p>
        </w:tc>
        <w:tc>
          <w:tcPr>
            <w:tcW w:w="460" w:type="pct"/>
          </w:tcPr>
          <w:p w14:paraId="4C19F0A1" w14:textId="77777777" w:rsidR="00EA5A9B" w:rsidRPr="0064231D" w:rsidRDefault="00EA5A9B" w:rsidP="004E42D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APY Land Psychosocial Disability Evaluation and Support Project </w:t>
            </w:r>
          </w:p>
        </w:tc>
        <w:tc>
          <w:tcPr>
            <w:tcW w:w="2119" w:type="pct"/>
          </w:tcPr>
          <w:p w14:paraId="1A313C9D" w14:textId="77777777" w:rsidR="00EA5A9B" w:rsidRPr="0064231D" w:rsidRDefault="00EA5A9B" w:rsidP="004E42D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This two year project intends to evaluate unmet needs for psychosocial disability support across the Aṉangu Pitjantjatjara Yankunytjatjara region of Australia (APY Lands). The evaluation includes mapping psychosocial disability needs including linking people to NDIA and community supports. Part of the project will evaluate the capacity of family and community supports associated with psychosocial support needs to inform the development of the APY Land Psychosocial Specialist Support Coordination Cultural Model of Practice.</w:t>
            </w:r>
          </w:p>
          <w:p w14:paraId="6DEF0AA1" w14:textId="77777777" w:rsidR="00EA5A9B" w:rsidRPr="0064231D" w:rsidRDefault="00EA5A9B" w:rsidP="004E42D5">
            <w:pPr>
              <w:spacing w:before="60" w:after="40"/>
              <w:rPr>
                <w:sz w:val="18"/>
                <w:szCs w:val="18"/>
              </w:rPr>
            </w:pPr>
            <w:r w:rsidRPr="0064231D">
              <w:rPr>
                <w:sz w:val="18"/>
                <w:szCs w:val="18"/>
              </w:rPr>
              <w:t>InComPro Inc. is a nine million dollar, independent Aboriginal organisation (Aboriginal Board and executive management) delivering a range of social services within South Australia.</w:t>
            </w:r>
          </w:p>
          <w:p w14:paraId="0677BA27" w14:textId="77777777" w:rsidR="00EA5A9B" w:rsidRPr="0064231D" w:rsidRDefault="00EA5A9B" w:rsidP="004E42D5">
            <w:pPr>
              <w:spacing w:before="60" w:after="40"/>
              <w:rPr>
                <w:sz w:val="18"/>
                <w:szCs w:val="18"/>
              </w:rPr>
            </w:pPr>
            <w:r w:rsidRPr="0064231D">
              <w:rPr>
                <w:sz w:val="18"/>
                <w:szCs w:val="18"/>
              </w:rPr>
              <w:t>Funding is directed towards project staffing and travel expenses.</w:t>
            </w:r>
          </w:p>
        </w:tc>
        <w:tc>
          <w:tcPr>
            <w:tcW w:w="506" w:type="pct"/>
            <w:tcBorders>
              <w:right w:val="single" w:sz="4" w:space="0" w:color="auto"/>
            </w:tcBorders>
          </w:tcPr>
          <w:p w14:paraId="3A2D20CB" w14:textId="77777777" w:rsidR="00EA5A9B" w:rsidRPr="0064231D" w:rsidRDefault="00EA5A9B" w:rsidP="004E42D5">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$1,085,695.60 </w:t>
            </w:r>
          </w:p>
        </w:tc>
        <w:tc>
          <w:tcPr>
            <w:tcW w:w="445" w:type="pct"/>
            <w:tcBorders>
              <w:right w:val="single" w:sz="4" w:space="0" w:color="auto"/>
            </w:tcBorders>
          </w:tcPr>
          <w:p w14:paraId="704FCF2E" w14:textId="77777777" w:rsidR="00EA5A9B" w:rsidRPr="0064231D" w:rsidRDefault="00EA5A9B" w:rsidP="004E42D5">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0CC03D5" w14:textId="77777777" w:rsidR="00EA5A9B" w:rsidRPr="0064231D" w:rsidRDefault="00EA5A9B" w:rsidP="004E42D5">
            <w:pPr>
              <w:spacing w:before="40" w:after="40" w:line="276" w:lineRule="auto"/>
              <w:rPr>
                <w:bCs/>
                <w:sz w:val="18"/>
                <w:szCs w:val="18"/>
              </w:rPr>
            </w:pPr>
            <w:r w:rsidRPr="0064231D">
              <w:rPr>
                <w:bCs/>
                <w:sz w:val="18"/>
                <w:szCs w:val="18"/>
              </w:rPr>
              <w:t>Amata, Iwantja (Indulkana), Kalka, Kaltjiti (Fregon) Mimili, Nyapari/Kanpi (Murpatja), Pipalyatjara, Pukatja (Ernabella), Umuwa, Watarru</w:t>
            </w:r>
          </w:p>
        </w:tc>
      </w:tr>
      <w:tr w:rsidR="0064231D" w:rsidRPr="003E282E" w14:paraId="0F826707" w14:textId="77777777" w:rsidTr="0064231D">
        <w:trPr>
          <w:cantSplit/>
        </w:trPr>
        <w:tc>
          <w:tcPr>
            <w:tcW w:w="505" w:type="pct"/>
          </w:tcPr>
          <w:p w14:paraId="27F0E038" w14:textId="77777777" w:rsidR="00EA5A9B" w:rsidRPr="0064231D" w:rsidRDefault="00EA5A9B" w:rsidP="008A28D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Keep Moving</w:t>
            </w:r>
          </w:p>
        </w:tc>
        <w:tc>
          <w:tcPr>
            <w:tcW w:w="368" w:type="pct"/>
          </w:tcPr>
          <w:p w14:paraId="5ED68DD9" w14:textId="77777777" w:rsidR="00EA5A9B" w:rsidRPr="0064231D" w:rsidRDefault="00EA5A9B" w:rsidP="008A28D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NT</w:t>
            </w:r>
          </w:p>
        </w:tc>
        <w:tc>
          <w:tcPr>
            <w:tcW w:w="460" w:type="pct"/>
          </w:tcPr>
          <w:p w14:paraId="680C9EF0" w14:textId="77777777" w:rsidR="00EA5A9B" w:rsidRPr="0064231D" w:rsidRDefault="00EA5A9B" w:rsidP="008A28D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AT On Community </w:t>
            </w:r>
          </w:p>
        </w:tc>
        <w:tc>
          <w:tcPr>
            <w:tcW w:w="2119" w:type="pct"/>
          </w:tcPr>
          <w:p w14:paraId="473A469D" w14:textId="77777777" w:rsidR="00EA5A9B" w:rsidRPr="0064231D" w:rsidRDefault="00EA5A9B" w:rsidP="008A28D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Over two years, a team that includes an Occupational Therapist and Mobility/seating Technician will visit 53 very remote communities in the Northern Territory to introduce and fit people with disability to Assistive Technology (AT). The team will raise awareness of the value of AT to reduce reliance on other supports and train local residents in maintaining and repairing AT devices. The team will also work with community members and service providers to build the capacity of local people in identifying disability support needs.</w:t>
            </w:r>
          </w:p>
          <w:p w14:paraId="21B3BE51" w14:textId="77777777" w:rsidR="00EA5A9B" w:rsidRPr="0064231D" w:rsidRDefault="00EA5A9B" w:rsidP="008A28D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Keep Moving have been visiting remote Aboriginal and Torres Strait Islander communities since 2009 and have developed extensive experience in matching AT options to meet the ruggedness and durability required for remote communities. </w:t>
            </w:r>
          </w:p>
        </w:tc>
        <w:tc>
          <w:tcPr>
            <w:tcW w:w="506" w:type="pct"/>
            <w:tcBorders>
              <w:right w:val="single" w:sz="4" w:space="0" w:color="auto"/>
            </w:tcBorders>
          </w:tcPr>
          <w:p w14:paraId="0798F5A2" w14:textId="77777777" w:rsidR="00EA5A9B" w:rsidRPr="0064231D" w:rsidRDefault="00EA5A9B" w:rsidP="008A28D6">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$868,617.20</w:t>
            </w:r>
          </w:p>
        </w:tc>
        <w:tc>
          <w:tcPr>
            <w:tcW w:w="445" w:type="pct"/>
            <w:tcBorders>
              <w:right w:val="single" w:sz="4" w:space="0" w:color="auto"/>
            </w:tcBorders>
          </w:tcPr>
          <w:p w14:paraId="1213F0EA" w14:textId="77777777" w:rsidR="00EA5A9B" w:rsidRPr="0064231D" w:rsidRDefault="00EA5A9B" w:rsidP="008A28D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20E092A" w14:textId="77777777" w:rsidR="00EA5A9B" w:rsidRPr="0064231D" w:rsidRDefault="00EA5A9B" w:rsidP="008A28D6">
            <w:pPr>
              <w:rPr>
                <w:rFonts w:eastAsia="Times New Roman"/>
                <w:color w:val="000000"/>
                <w:sz w:val="18"/>
                <w:szCs w:val="18"/>
                <w:lang w:eastAsia="en-AU"/>
              </w:rPr>
            </w:pPr>
            <w:r w:rsidRPr="0064231D">
              <w:rPr>
                <w:rFonts w:eastAsia="Times New Roman"/>
                <w:color w:val="000000"/>
                <w:sz w:val="18"/>
                <w:szCs w:val="18"/>
                <w:lang w:eastAsia="en-AU"/>
              </w:rPr>
              <w:t>Top End West, West Arnhem, East Arnhem North, East Arnhem South, Katherine, Central Desert Region, Alice Springs Region, MacDonnell Shire, Southern Central Australia Region, MacDonnell Region, Simpson Desert, Central Desert Region.</w:t>
            </w:r>
          </w:p>
        </w:tc>
      </w:tr>
      <w:tr w:rsidR="0064231D" w:rsidRPr="003E282E" w14:paraId="24153F8B" w14:textId="77777777" w:rsidTr="0064231D">
        <w:trPr>
          <w:cantSplit/>
        </w:trPr>
        <w:tc>
          <w:tcPr>
            <w:tcW w:w="505" w:type="pct"/>
            <w:tcBorders>
              <w:bottom w:val="single" w:sz="4" w:space="0" w:color="auto"/>
            </w:tcBorders>
          </w:tcPr>
          <w:p w14:paraId="326D6C9D"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lastRenderedPageBreak/>
              <w:t>Moorundi Aboriginal Community Controlled Health Service Inc</w:t>
            </w:r>
          </w:p>
        </w:tc>
        <w:tc>
          <w:tcPr>
            <w:tcW w:w="368" w:type="pct"/>
            <w:tcBorders>
              <w:bottom w:val="single" w:sz="4" w:space="0" w:color="auto"/>
            </w:tcBorders>
          </w:tcPr>
          <w:p w14:paraId="2AEC89B2" w14:textId="77777777" w:rsidR="00953522" w:rsidRPr="0064231D" w:rsidRDefault="00953522" w:rsidP="009C4829">
            <w:pPr>
              <w:spacing w:before="40" w:after="40" w:line="276" w:lineRule="auto"/>
              <w:rPr>
                <w:color w:val="000000"/>
                <w:sz w:val="18"/>
                <w:szCs w:val="18"/>
              </w:rPr>
            </w:pPr>
            <w:r w:rsidRPr="0064231D">
              <w:rPr>
                <w:color w:val="000000"/>
                <w:sz w:val="18"/>
                <w:szCs w:val="18"/>
              </w:rPr>
              <w:t>SA</w:t>
            </w:r>
          </w:p>
        </w:tc>
        <w:tc>
          <w:tcPr>
            <w:tcW w:w="460" w:type="pct"/>
            <w:tcBorders>
              <w:bottom w:val="single" w:sz="4" w:space="0" w:color="auto"/>
            </w:tcBorders>
          </w:tcPr>
          <w:p w14:paraId="4F6B3027"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Community Awareness and Capacity Building</w:t>
            </w:r>
          </w:p>
        </w:tc>
        <w:tc>
          <w:tcPr>
            <w:tcW w:w="2119" w:type="pct"/>
            <w:tcBorders>
              <w:bottom w:val="single" w:sz="4" w:space="0" w:color="auto"/>
            </w:tcBorders>
          </w:tcPr>
          <w:p w14:paraId="5E2334BD"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This two year project establishes a team of community development workers to provide information, linkages and referrals for people with disability and the boarder community living or visiting the Raukkan community. The workers will undertake a community assessment to understand the extent of disability needs and community understanding of NDIS and other disability supports. Tailored information and linkage activities, focusing on working through existing community structures and networks will enable people to gain knowledge to access support in familiar settings. The project will also build relationships between Moorundi Aboriginal Community Controlled Health Service and the NDIS regional staff, better supporting information and cultural exchange.</w:t>
            </w:r>
          </w:p>
          <w:p w14:paraId="07AB1812"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Moorundi is an Aboriginal Community Controlled Health Service covering the Murray Mallee, Lower Lakes, Adelaide Hills and Southern Fleurieu Areas of South Australia.</w:t>
            </w:r>
          </w:p>
        </w:tc>
        <w:tc>
          <w:tcPr>
            <w:tcW w:w="506" w:type="pct"/>
            <w:tcBorders>
              <w:bottom w:val="single" w:sz="4" w:space="0" w:color="auto"/>
              <w:right w:val="single" w:sz="4" w:space="0" w:color="auto"/>
            </w:tcBorders>
          </w:tcPr>
          <w:p w14:paraId="49C7231C" w14:textId="77777777" w:rsidR="00953522" w:rsidRPr="0064231D" w:rsidRDefault="00953522" w:rsidP="009C4829">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$874,885.00</w:t>
            </w:r>
          </w:p>
        </w:tc>
        <w:tc>
          <w:tcPr>
            <w:tcW w:w="445" w:type="pct"/>
            <w:tcBorders>
              <w:bottom w:val="single" w:sz="4" w:space="0" w:color="auto"/>
              <w:right w:val="single" w:sz="4" w:space="0" w:color="auto"/>
            </w:tcBorders>
          </w:tcPr>
          <w:p w14:paraId="779AC854"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8043295" w14:textId="77777777" w:rsidR="00953522" w:rsidRPr="0064231D" w:rsidRDefault="00953522" w:rsidP="009C4829">
            <w:pPr>
              <w:rPr>
                <w:color w:val="000000"/>
                <w:sz w:val="18"/>
                <w:szCs w:val="18"/>
              </w:rPr>
            </w:pPr>
            <w:r w:rsidRPr="0064231D">
              <w:rPr>
                <w:color w:val="000000"/>
                <w:sz w:val="18"/>
                <w:szCs w:val="18"/>
              </w:rPr>
              <w:t xml:space="preserve">Raukkan </w:t>
            </w:r>
          </w:p>
        </w:tc>
      </w:tr>
      <w:tr w:rsidR="00953522" w:rsidRPr="003E282E" w14:paraId="58F0063A" w14:textId="77777777" w:rsidTr="0064231D">
        <w:trPr>
          <w:cantSplit/>
        </w:trPr>
        <w:tc>
          <w:tcPr>
            <w:tcW w:w="505" w:type="pct"/>
          </w:tcPr>
          <w:p w14:paraId="209E8B56"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Nganampa Health Council</w:t>
            </w:r>
          </w:p>
        </w:tc>
        <w:tc>
          <w:tcPr>
            <w:tcW w:w="368" w:type="pct"/>
          </w:tcPr>
          <w:p w14:paraId="7D5417E3" w14:textId="72B306ED" w:rsidR="00D34903" w:rsidRPr="0064231D" w:rsidRDefault="00D34903" w:rsidP="00D1117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APY Lands </w:t>
            </w:r>
          </w:p>
        </w:tc>
        <w:tc>
          <w:tcPr>
            <w:tcW w:w="460" w:type="pct"/>
          </w:tcPr>
          <w:p w14:paraId="1E2561C4"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A</w:t>
            </w:r>
            <w:r w:rsidRPr="0064231D">
              <w:rPr>
                <w:rFonts w:eastAsia="Times New Roman"/>
                <w:color w:val="000000"/>
                <w:sz w:val="18"/>
                <w:szCs w:val="18"/>
                <w:u w:val="single"/>
                <w:lang w:eastAsia="en-AU"/>
              </w:rPr>
              <w:t>n</w:t>
            </w:r>
            <w:r w:rsidRPr="0064231D">
              <w:rPr>
                <w:rFonts w:eastAsia="Times New Roman"/>
                <w:color w:val="000000"/>
                <w:sz w:val="18"/>
                <w:szCs w:val="18"/>
                <w:lang w:eastAsia="en-AU"/>
              </w:rPr>
              <w:t>angu Pitjantjatjara Yankunytjatjara Lands Access Project</w:t>
            </w:r>
          </w:p>
        </w:tc>
        <w:tc>
          <w:tcPr>
            <w:tcW w:w="2119" w:type="pct"/>
          </w:tcPr>
          <w:p w14:paraId="1B247140"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This one year project will fund the Nganampa Health Council Community Health Nurse to undertake a 10 week project to register the anticipated 100 APY Lands residents who are believed to be eligible for the NDIS. The organisation draws from its strong knowledge and presence in the local community as well as working with a range of agencies providing services to the APY lands residents to identify eligible participants. This project will result in eligible participant making first contact with the NDIS through a trusted local service. </w:t>
            </w:r>
          </w:p>
          <w:p w14:paraId="4835E182" w14:textId="4080A2C2"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Nganampa Health Council (NHC) is an Aboriginal Community Controlled Health Organisation delivering comprehensive primary health care on the Anangu Pitjantjatjara Yankunytjatjara (APY) Lands in the remote north west of South Australia.</w:t>
            </w:r>
          </w:p>
        </w:tc>
        <w:tc>
          <w:tcPr>
            <w:tcW w:w="506" w:type="pct"/>
            <w:tcBorders>
              <w:right w:val="single" w:sz="4" w:space="0" w:color="auto"/>
            </w:tcBorders>
          </w:tcPr>
          <w:p w14:paraId="561914D6" w14:textId="1F0EC55D" w:rsidR="00D34903" w:rsidRPr="0064231D" w:rsidRDefault="00AE21A8" w:rsidP="00D34903">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$39,996.00</w:t>
            </w:r>
          </w:p>
        </w:tc>
        <w:tc>
          <w:tcPr>
            <w:tcW w:w="445" w:type="pct"/>
            <w:tcBorders>
              <w:right w:val="single" w:sz="4" w:space="0" w:color="auto"/>
            </w:tcBorders>
          </w:tcPr>
          <w:p w14:paraId="1B414311"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1B6972D" w14:textId="4151DAD5" w:rsidR="00D34903" w:rsidRPr="0064231D" w:rsidRDefault="00434A58" w:rsidP="00D34903">
            <w:pPr>
              <w:rPr>
                <w:color w:val="000000"/>
                <w:sz w:val="18"/>
                <w:szCs w:val="18"/>
              </w:rPr>
            </w:pPr>
            <w:r w:rsidRPr="0064231D">
              <w:rPr>
                <w:color w:val="000000"/>
                <w:sz w:val="18"/>
                <w:szCs w:val="18"/>
              </w:rPr>
              <w:t xml:space="preserve">Iwantja, Mimili, Fregon, Pukatja, Amata and Pipalyatjara and Nyapari </w:t>
            </w:r>
          </w:p>
        </w:tc>
      </w:tr>
      <w:tr w:rsidR="0064231D" w:rsidRPr="003E282E" w14:paraId="56F556D3" w14:textId="77777777" w:rsidTr="0064231D">
        <w:trPr>
          <w:cantSplit/>
        </w:trPr>
        <w:tc>
          <w:tcPr>
            <w:tcW w:w="505" w:type="pct"/>
          </w:tcPr>
          <w:p w14:paraId="23AC09BE"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lastRenderedPageBreak/>
              <w:t xml:space="preserve">North West Remote Health </w:t>
            </w:r>
          </w:p>
        </w:tc>
        <w:tc>
          <w:tcPr>
            <w:tcW w:w="368" w:type="pct"/>
          </w:tcPr>
          <w:p w14:paraId="19FE71A7" w14:textId="77777777" w:rsidR="00953522" w:rsidRPr="0064231D" w:rsidRDefault="00953522" w:rsidP="009C4829">
            <w:pPr>
              <w:spacing w:before="40" w:after="40" w:line="276" w:lineRule="auto"/>
              <w:rPr>
                <w:color w:val="000000"/>
                <w:sz w:val="18"/>
                <w:szCs w:val="18"/>
              </w:rPr>
            </w:pPr>
            <w:r w:rsidRPr="0064231D">
              <w:rPr>
                <w:color w:val="000000"/>
                <w:sz w:val="18"/>
                <w:szCs w:val="18"/>
              </w:rPr>
              <w:t>QLD North</w:t>
            </w:r>
          </w:p>
        </w:tc>
        <w:tc>
          <w:tcPr>
            <w:tcW w:w="460" w:type="pct"/>
          </w:tcPr>
          <w:p w14:paraId="515ACCEA"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Building the capacity of Individual, families and communities in remote areas to connect with services and the NDIS</w:t>
            </w:r>
          </w:p>
        </w:tc>
        <w:tc>
          <w:tcPr>
            <w:tcW w:w="2119" w:type="pct"/>
          </w:tcPr>
          <w:p w14:paraId="2373FE28"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This two year program engages project officers to work across remote communities to provide information, linkages and referrals to people with disability and to deliver activities to increase community inclusiveness. A key focus of the project is in leveraging North West Remote Health’s understanding of the health and wellbeing needs of the local community to identify individuals that need support. Their strengths are also in working with other service providers to link and connect services, reducing the burden on the individual and ensuing a more holistic approach to their support. The project officers will develop a deeper understanding of local needs through extensive consultation and engagement which will be translated into delivering disability promotional plans and culturally specific information, as well streamlining service access.</w:t>
            </w:r>
          </w:p>
          <w:p w14:paraId="33EA1382"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North West Remote Health is the government contracted primary health care organisation servicing 40 communities across Central, North and West Queensland, coastal areas and the Gulf. </w:t>
            </w:r>
          </w:p>
        </w:tc>
        <w:tc>
          <w:tcPr>
            <w:tcW w:w="506" w:type="pct"/>
            <w:tcBorders>
              <w:right w:val="single" w:sz="4" w:space="0" w:color="auto"/>
            </w:tcBorders>
          </w:tcPr>
          <w:p w14:paraId="35FB26F0" w14:textId="77777777" w:rsidR="00953522" w:rsidRPr="0064231D" w:rsidRDefault="00953522" w:rsidP="009C4829">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$800,000.30</w:t>
            </w:r>
          </w:p>
        </w:tc>
        <w:tc>
          <w:tcPr>
            <w:tcW w:w="445" w:type="pct"/>
            <w:tcBorders>
              <w:right w:val="single" w:sz="4" w:space="0" w:color="auto"/>
            </w:tcBorders>
          </w:tcPr>
          <w:p w14:paraId="7F118E50" w14:textId="77777777" w:rsidR="00953522" w:rsidRPr="0064231D" w:rsidRDefault="00953522" w:rsidP="009C4829">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F8D9E0E" w14:textId="77777777" w:rsidR="00953522" w:rsidRPr="0064231D" w:rsidRDefault="00953522" w:rsidP="009C4829">
            <w:pPr>
              <w:rPr>
                <w:color w:val="000000"/>
                <w:sz w:val="18"/>
                <w:szCs w:val="18"/>
              </w:rPr>
            </w:pPr>
            <w:r w:rsidRPr="0064231D">
              <w:rPr>
                <w:color w:val="000000"/>
                <w:sz w:val="18"/>
                <w:szCs w:val="18"/>
              </w:rPr>
              <w:t>Mornington Island, Doomadgee, Burketown, Gregory, Normanton, Karumba, Emerald Longreach and Barcaldine</w:t>
            </w:r>
          </w:p>
        </w:tc>
      </w:tr>
      <w:tr w:rsidR="00953522" w:rsidRPr="003E282E" w14:paraId="2986364A" w14:textId="77777777" w:rsidTr="0064231D">
        <w:trPr>
          <w:cantSplit/>
        </w:trPr>
        <w:tc>
          <w:tcPr>
            <w:tcW w:w="505" w:type="pct"/>
          </w:tcPr>
          <w:p w14:paraId="0B2BD649"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Regional Anangu Services Aboriginal Corporation (RASAC)</w:t>
            </w:r>
          </w:p>
        </w:tc>
        <w:tc>
          <w:tcPr>
            <w:tcW w:w="368" w:type="pct"/>
          </w:tcPr>
          <w:p w14:paraId="2BC8619F" w14:textId="591D9587" w:rsidR="00D34903" w:rsidRPr="0064231D" w:rsidRDefault="00D34903" w:rsidP="00D11176">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APY Lands </w:t>
            </w:r>
          </w:p>
        </w:tc>
        <w:tc>
          <w:tcPr>
            <w:tcW w:w="460" w:type="pct"/>
          </w:tcPr>
          <w:p w14:paraId="4155E5F5"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A</w:t>
            </w:r>
            <w:r w:rsidRPr="0064231D">
              <w:rPr>
                <w:rFonts w:eastAsia="Times New Roman"/>
                <w:color w:val="000000"/>
                <w:sz w:val="18"/>
                <w:szCs w:val="18"/>
                <w:u w:val="single"/>
                <w:lang w:eastAsia="en-AU"/>
              </w:rPr>
              <w:t>n</w:t>
            </w:r>
            <w:r w:rsidRPr="0064231D">
              <w:rPr>
                <w:rFonts w:eastAsia="Times New Roman"/>
                <w:color w:val="000000"/>
                <w:sz w:val="18"/>
                <w:szCs w:val="18"/>
                <w:lang w:eastAsia="en-AU"/>
              </w:rPr>
              <w:t>angu employment and economic participation in NDIS on the APY Lands</w:t>
            </w:r>
          </w:p>
        </w:tc>
        <w:tc>
          <w:tcPr>
            <w:tcW w:w="2119" w:type="pct"/>
          </w:tcPr>
          <w:p w14:paraId="1763AFA3" w14:textId="3CDDF0BC"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This two year project employs an NDIS Officer </w:t>
            </w:r>
            <w:r w:rsidR="00621852" w:rsidRPr="0064231D">
              <w:rPr>
                <w:rFonts w:eastAsia="Times New Roman"/>
                <w:color w:val="000000"/>
                <w:sz w:val="18"/>
                <w:szCs w:val="18"/>
                <w:lang w:eastAsia="en-AU"/>
              </w:rPr>
              <w:t>who</w:t>
            </w:r>
            <w:r w:rsidRPr="0064231D">
              <w:rPr>
                <w:rFonts w:eastAsia="Times New Roman"/>
                <w:color w:val="000000"/>
                <w:sz w:val="18"/>
                <w:szCs w:val="18"/>
                <w:lang w:eastAsia="en-AU"/>
              </w:rPr>
              <w:t xml:space="preserve"> will work in partnership with the NDIS and disability service providers to build workforce capacity to better support the roll out and community uptake of the NDIS in the APY lands. This project will identify and deliver training to upskill local people in disability services, build the capacity of service providers to engage local Anangu workers and assist Anangu organisations and people to identify and develop employment or small business opportunities to support disability service provision in their communities.</w:t>
            </w:r>
          </w:p>
          <w:p w14:paraId="6655CC91" w14:textId="7730D8E3"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Through employing and training local people RASAC will support the NDIS roll out to be culturally </w:t>
            </w:r>
            <w:r w:rsidR="00621852" w:rsidRPr="0064231D">
              <w:rPr>
                <w:rFonts w:eastAsia="Times New Roman"/>
                <w:color w:val="000000"/>
                <w:sz w:val="18"/>
                <w:szCs w:val="18"/>
                <w:lang w:eastAsia="en-AU"/>
              </w:rPr>
              <w:t>safe and appropriate, increase</w:t>
            </w:r>
            <w:r w:rsidRPr="0064231D">
              <w:rPr>
                <w:rFonts w:eastAsia="Times New Roman"/>
                <w:color w:val="000000"/>
                <w:sz w:val="18"/>
                <w:szCs w:val="18"/>
                <w:lang w:eastAsia="en-AU"/>
              </w:rPr>
              <w:t xml:space="preserve"> local uptake and </w:t>
            </w:r>
            <w:r w:rsidR="00621852" w:rsidRPr="0064231D">
              <w:rPr>
                <w:rFonts w:eastAsia="Times New Roman"/>
                <w:color w:val="000000"/>
                <w:sz w:val="18"/>
                <w:szCs w:val="18"/>
                <w:lang w:eastAsia="en-AU"/>
              </w:rPr>
              <w:t>build</w:t>
            </w:r>
            <w:r w:rsidRPr="0064231D">
              <w:rPr>
                <w:rFonts w:eastAsia="Times New Roman"/>
                <w:color w:val="000000"/>
                <w:sz w:val="18"/>
                <w:szCs w:val="18"/>
                <w:lang w:eastAsia="en-AU"/>
              </w:rPr>
              <w:t xml:space="preserve"> local capacity in disability services.</w:t>
            </w:r>
          </w:p>
          <w:p w14:paraId="7E28A38B" w14:textId="169284F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RASAC is an Anangu owned and governed organisation with over 30 year history in delivery across the APY lands. </w:t>
            </w:r>
          </w:p>
        </w:tc>
        <w:tc>
          <w:tcPr>
            <w:tcW w:w="506" w:type="pct"/>
            <w:tcBorders>
              <w:right w:val="single" w:sz="4" w:space="0" w:color="auto"/>
            </w:tcBorders>
          </w:tcPr>
          <w:p w14:paraId="7817095F" w14:textId="764B1DC4" w:rsidR="00D34903" w:rsidRPr="0064231D" w:rsidRDefault="00D34903" w:rsidP="00D34903">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w:t>
            </w:r>
            <w:r w:rsidR="00AE21A8" w:rsidRPr="0064231D">
              <w:rPr>
                <w:rFonts w:eastAsia="Times New Roman"/>
                <w:color w:val="000000"/>
                <w:sz w:val="18"/>
                <w:szCs w:val="18"/>
                <w:lang w:eastAsia="en-AU"/>
              </w:rPr>
              <w:t>$607,090.00</w:t>
            </w:r>
            <w:r w:rsidRPr="0064231D">
              <w:rPr>
                <w:rFonts w:eastAsia="Times New Roman"/>
                <w:color w:val="000000"/>
                <w:sz w:val="18"/>
                <w:szCs w:val="18"/>
                <w:lang w:eastAsia="en-AU"/>
              </w:rPr>
              <w:t xml:space="preserve"> </w:t>
            </w:r>
          </w:p>
        </w:tc>
        <w:tc>
          <w:tcPr>
            <w:tcW w:w="445" w:type="pct"/>
            <w:tcBorders>
              <w:right w:val="single" w:sz="4" w:space="0" w:color="auto"/>
            </w:tcBorders>
          </w:tcPr>
          <w:p w14:paraId="26CF87B6" w14:textId="5DA1E3B8"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Mainstream Capacity Building</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29610E3" w14:textId="01A7D10B" w:rsidR="00D34903" w:rsidRPr="0064231D" w:rsidRDefault="00434A58" w:rsidP="00D34903">
            <w:pPr>
              <w:rPr>
                <w:color w:val="000000"/>
                <w:sz w:val="18"/>
                <w:szCs w:val="18"/>
              </w:rPr>
            </w:pPr>
            <w:r w:rsidRPr="0064231D">
              <w:rPr>
                <w:color w:val="000000"/>
                <w:sz w:val="18"/>
                <w:szCs w:val="18"/>
              </w:rPr>
              <w:t>APY Lands including the main Anangu communities of: Indulkana (Iwantja), Mimili, Fregon (Kaltjiti), Pukatja (Ernabella), Amata and Pipalyatjara/Kalka.</w:t>
            </w:r>
          </w:p>
        </w:tc>
      </w:tr>
      <w:tr w:rsidR="00953522" w:rsidRPr="003E282E" w14:paraId="38D735A0" w14:textId="77777777" w:rsidTr="0064231D">
        <w:trPr>
          <w:cantSplit/>
        </w:trPr>
        <w:tc>
          <w:tcPr>
            <w:tcW w:w="505" w:type="pct"/>
            <w:tcBorders>
              <w:bottom w:val="single" w:sz="4" w:space="0" w:color="auto"/>
            </w:tcBorders>
          </w:tcPr>
          <w:p w14:paraId="4B5A2C4C"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lastRenderedPageBreak/>
              <w:t>Umoona Community Council Incorporated</w:t>
            </w:r>
          </w:p>
        </w:tc>
        <w:tc>
          <w:tcPr>
            <w:tcW w:w="368" w:type="pct"/>
            <w:tcBorders>
              <w:bottom w:val="single" w:sz="4" w:space="0" w:color="auto"/>
            </w:tcBorders>
          </w:tcPr>
          <w:p w14:paraId="5D623D91" w14:textId="77777777" w:rsidR="00D34903" w:rsidRPr="0064231D" w:rsidRDefault="00D34903" w:rsidP="00D34903">
            <w:pPr>
              <w:spacing w:before="40" w:after="40" w:line="276" w:lineRule="auto"/>
              <w:rPr>
                <w:color w:val="000000"/>
                <w:sz w:val="18"/>
                <w:szCs w:val="18"/>
              </w:rPr>
            </w:pPr>
            <w:r w:rsidRPr="0064231D">
              <w:rPr>
                <w:color w:val="000000"/>
                <w:sz w:val="18"/>
                <w:szCs w:val="18"/>
              </w:rPr>
              <w:t>SA</w:t>
            </w:r>
          </w:p>
        </w:tc>
        <w:tc>
          <w:tcPr>
            <w:tcW w:w="460" w:type="pct"/>
            <w:tcBorders>
              <w:bottom w:val="single" w:sz="4" w:space="0" w:color="auto"/>
            </w:tcBorders>
          </w:tcPr>
          <w:p w14:paraId="1CE0DB57"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Aboriginal Disability Support Program</w:t>
            </w:r>
          </w:p>
        </w:tc>
        <w:tc>
          <w:tcPr>
            <w:tcW w:w="2119" w:type="pct"/>
            <w:tcBorders>
              <w:bottom w:val="single" w:sz="4" w:space="0" w:color="auto"/>
            </w:tcBorders>
          </w:tcPr>
          <w:p w14:paraId="794B4F26"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This two year project engages workers with expertise in local language to provide information, linkages and referrals for people with disability in the remote areas of Antikirinya and Matu Yankunytjatjarra traditional owner regions and facilitate their reconnection to country as a means to build their confidence to exercise choice and control. </w:t>
            </w:r>
          </w:p>
          <w:p w14:paraId="59286DFF"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The workers will engage with service organisations and the community to understand the needs of people with disability and develop in-language information or referrals for people with disability to mainstream and community services. The workers will develop translated materials for use by services or individuals and provide interpreter services. </w:t>
            </w:r>
          </w:p>
          <w:p w14:paraId="7F10BFF3"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 xml:space="preserve">A key component of the project is facilitating people with disability to reconnect with their cultural and linguistic roots through cultural awareness field trips to country. These activities are intended to build a deeper sense of cultural identity and belonging to support people with disability to take pride in how they contribute to the local community. Field trips will also be run for disability service providers to build their understanding of cultural sensitivities required by health or disability service organisations. </w:t>
            </w:r>
          </w:p>
          <w:p w14:paraId="7592C702" w14:textId="243ECBD3"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Umoona Community Council are the peak indigenous community organisation within the Coober Pedy Umoona community, operating for over 41 years. The project is being delivered in consortium with Umoona Aged care Inc, Dunjiba/Oodnadatta Aboriginal Community and Parakeelya Architecture and Construction Management.</w:t>
            </w:r>
          </w:p>
        </w:tc>
        <w:tc>
          <w:tcPr>
            <w:tcW w:w="506" w:type="pct"/>
            <w:tcBorders>
              <w:bottom w:val="single" w:sz="4" w:space="0" w:color="auto"/>
              <w:right w:val="single" w:sz="4" w:space="0" w:color="auto"/>
            </w:tcBorders>
          </w:tcPr>
          <w:p w14:paraId="1AE9978F" w14:textId="3308AAB9" w:rsidR="00D34903" w:rsidRPr="0064231D" w:rsidRDefault="00D34903" w:rsidP="00D34903">
            <w:pPr>
              <w:spacing w:before="40" w:after="40" w:line="276" w:lineRule="auto"/>
              <w:jc w:val="right"/>
              <w:rPr>
                <w:rFonts w:eastAsia="Times New Roman"/>
                <w:color w:val="000000"/>
                <w:sz w:val="18"/>
                <w:szCs w:val="18"/>
                <w:lang w:eastAsia="en-AU"/>
              </w:rPr>
            </w:pPr>
            <w:r w:rsidRPr="0064231D">
              <w:rPr>
                <w:rFonts w:eastAsia="Times New Roman"/>
                <w:color w:val="000000"/>
                <w:sz w:val="18"/>
                <w:szCs w:val="18"/>
                <w:lang w:eastAsia="en-AU"/>
              </w:rPr>
              <w:t xml:space="preserve"> </w:t>
            </w:r>
            <w:r w:rsidR="00AE21A8" w:rsidRPr="0064231D">
              <w:rPr>
                <w:rFonts w:eastAsia="Times New Roman"/>
                <w:color w:val="000000"/>
                <w:sz w:val="18"/>
                <w:szCs w:val="18"/>
                <w:lang w:eastAsia="en-AU"/>
              </w:rPr>
              <w:t>$708,202.00</w:t>
            </w:r>
          </w:p>
        </w:tc>
        <w:tc>
          <w:tcPr>
            <w:tcW w:w="445" w:type="pct"/>
            <w:tcBorders>
              <w:bottom w:val="single" w:sz="4" w:space="0" w:color="auto"/>
              <w:right w:val="single" w:sz="4" w:space="0" w:color="auto"/>
            </w:tcBorders>
          </w:tcPr>
          <w:p w14:paraId="0E67F7EF" w14:textId="77777777" w:rsidR="00D34903" w:rsidRPr="0064231D" w:rsidRDefault="00D34903" w:rsidP="00D34903">
            <w:pPr>
              <w:spacing w:before="40" w:after="40" w:line="276" w:lineRule="auto"/>
              <w:rPr>
                <w:rFonts w:eastAsia="Times New Roman"/>
                <w:color w:val="000000"/>
                <w:sz w:val="18"/>
                <w:szCs w:val="18"/>
                <w:lang w:eastAsia="en-AU"/>
              </w:rPr>
            </w:pPr>
            <w:r w:rsidRPr="0064231D">
              <w:rPr>
                <w:rFonts w:eastAsia="Times New Roman"/>
                <w:color w:val="000000"/>
                <w:sz w:val="18"/>
                <w:szCs w:val="18"/>
                <w:lang w:eastAsia="en-AU"/>
              </w:rPr>
              <w:t>Information Linkages and Referrals</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59F3B07" w14:textId="226DD88E" w:rsidR="00D34903" w:rsidRPr="0064231D" w:rsidRDefault="00386B4D" w:rsidP="00D34903">
            <w:pPr>
              <w:rPr>
                <w:color w:val="000000"/>
                <w:sz w:val="18"/>
                <w:szCs w:val="18"/>
              </w:rPr>
            </w:pPr>
            <w:r w:rsidRPr="0064231D">
              <w:rPr>
                <w:color w:val="000000"/>
                <w:sz w:val="18"/>
                <w:szCs w:val="18"/>
              </w:rPr>
              <w:t>Antikirinya and Matu Yankunytjatjarra traditional owners region including Coober Pedy and Umoona Community and the surrounding areas of Oodnadatta, Kingoonya and Maree</w:t>
            </w:r>
          </w:p>
        </w:tc>
      </w:tr>
    </w:tbl>
    <w:p w14:paraId="15946E54" w14:textId="77777777" w:rsidR="001B1E8B" w:rsidRDefault="001B1E8B"/>
    <w:sectPr w:rsidR="001B1E8B" w:rsidSect="0064231D">
      <w:headerReference w:type="default" r:id="rId7"/>
      <w:footerReference w:type="default" r:id="rId8"/>
      <w:pgSz w:w="16839" w:h="11907" w:orient="landscape" w:code="9"/>
      <w:pgMar w:top="1418" w:right="720" w:bottom="720"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A43DE" w14:textId="77777777" w:rsidR="00BD2F61" w:rsidRDefault="00BD2F61" w:rsidP="00BD2F61">
      <w:pPr>
        <w:spacing w:after="0" w:line="240" w:lineRule="auto"/>
      </w:pPr>
      <w:r>
        <w:separator/>
      </w:r>
    </w:p>
  </w:endnote>
  <w:endnote w:type="continuationSeparator" w:id="0">
    <w:p w14:paraId="494D860C" w14:textId="77777777" w:rsidR="00BD2F61" w:rsidRDefault="00BD2F61"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F4363" w14:textId="5163AB35" w:rsidR="00BD2F61" w:rsidRPr="00BD2F61" w:rsidRDefault="0064231D">
    <w:pPr>
      <w:pStyle w:val="Footer"/>
      <w:rPr>
        <w:sz w:val="18"/>
      </w:rPr>
    </w:pPr>
    <w:r>
      <w:rPr>
        <w:sz w:val="18"/>
      </w:rPr>
      <w:t>V1.0</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BD2F61">
      <w:rPr>
        <w:sz w:val="18"/>
      </w:rPr>
      <w:tab/>
      <w:t xml:space="preserve">Page </w:t>
    </w:r>
    <w:r w:rsidR="00BD2F61">
      <w:rPr>
        <w:sz w:val="18"/>
      </w:rPr>
      <w:fldChar w:fldCharType="begin"/>
    </w:r>
    <w:r w:rsidR="00BD2F61">
      <w:rPr>
        <w:sz w:val="18"/>
      </w:rPr>
      <w:instrText xml:space="preserve"> PAGE  \* Arabic  \* MERGEFORMAT </w:instrText>
    </w:r>
    <w:r w:rsidR="00BD2F61">
      <w:rPr>
        <w:sz w:val="18"/>
      </w:rPr>
      <w:fldChar w:fldCharType="separate"/>
    </w:r>
    <w:r w:rsidR="003D1AC9">
      <w:rPr>
        <w:noProof/>
        <w:sz w:val="18"/>
      </w:rPr>
      <w:t>1</w:t>
    </w:r>
    <w:r w:rsidR="00BD2F61">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B0BF1" w14:textId="77777777" w:rsidR="00BD2F61" w:rsidRDefault="00BD2F61" w:rsidP="00BD2F61">
      <w:pPr>
        <w:spacing w:after="0" w:line="240" w:lineRule="auto"/>
      </w:pPr>
      <w:r>
        <w:separator/>
      </w:r>
    </w:p>
  </w:footnote>
  <w:footnote w:type="continuationSeparator" w:id="0">
    <w:p w14:paraId="1ED54CD4" w14:textId="77777777" w:rsidR="00BD2F61" w:rsidRDefault="00BD2F61" w:rsidP="00BD2F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8"/>
      <w:gridCol w:w="3371"/>
    </w:tblGrid>
    <w:tr w:rsidR="00EA5A9B" w14:paraId="09B83D71" w14:textId="5181AA3F" w:rsidTr="00EA5A9B">
      <w:tc>
        <w:tcPr>
          <w:tcW w:w="18281" w:type="dxa"/>
          <w:vAlign w:val="center"/>
        </w:tcPr>
        <w:p w14:paraId="1BB518BE" w14:textId="63386524" w:rsidR="00EA5A9B" w:rsidRDefault="00EA5A9B" w:rsidP="00EA5A9B">
          <w:pPr>
            <w:pStyle w:val="Header"/>
            <w:rPr>
              <w:b/>
              <w:color w:val="6B2976"/>
              <w:sz w:val="28"/>
              <w:szCs w:val="28"/>
            </w:rPr>
          </w:pPr>
          <w:r>
            <w:rPr>
              <w:b/>
              <w:color w:val="6B2976"/>
              <w:sz w:val="28"/>
              <w:szCs w:val="28"/>
            </w:rPr>
            <w:t>Information Linkages and Capacity Building (ILC) Remote Grant Round (Round 1)</w:t>
          </w:r>
          <w:r w:rsidRPr="0016046F">
            <w:rPr>
              <w:b/>
              <w:noProof/>
              <w:color w:val="6B2976"/>
              <w:sz w:val="28"/>
              <w:szCs w:val="28"/>
              <w:lang w:eastAsia="en-AU"/>
            </w:rPr>
            <w:t xml:space="preserve"> </w:t>
          </w:r>
        </w:p>
        <w:p w14:paraId="0668B49D" w14:textId="0C556B1B" w:rsidR="00EA5A9B" w:rsidRPr="00EA5A9B" w:rsidRDefault="00EA5A9B" w:rsidP="00EA5A9B">
          <w:pPr>
            <w:pStyle w:val="Header"/>
          </w:pPr>
          <w:r w:rsidRPr="008F5C3C">
            <w:rPr>
              <w:b/>
              <w:color w:val="6B2976"/>
              <w:sz w:val="28"/>
              <w:szCs w:val="28"/>
            </w:rPr>
            <w:t xml:space="preserve">Summary of </w:t>
          </w:r>
          <w:r>
            <w:rPr>
              <w:b/>
              <w:color w:val="6B2976"/>
              <w:sz w:val="28"/>
              <w:szCs w:val="28"/>
            </w:rPr>
            <w:t>Funded</w:t>
          </w:r>
          <w:r w:rsidRPr="008F5C3C">
            <w:rPr>
              <w:b/>
              <w:color w:val="6B2976"/>
              <w:sz w:val="28"/>
              <w:szCs w:val="28"/>
            </w:rPr>
            <w:t xml:space="preserve"> </w:t>
          </w:r>
          <w:r>
            <w:rPr>
              <w:b/>
              <w:color w:val="6B2976"/>
              <w:sz w:val="28"/>
              <w:szCs w:val="28"/>
            </w:rPr>
            <w:t>Activities</w:t>
          </w:r>
        </w:p>
      </w:tc>
      <w:tc>
        <w:tcPr>
          <w:tcW w:w="4083" w:type="dxa"/>
        </w:tcPr>
        <w:p w14:paraId="766D0694" w14:textId="21D048D8" w:rsidR="00EA5A9B" w:rsidRPr="00166A70" w:rsidRDefault="00EA5A9B" w:rsidP="00EA5A9B">
          <w:pPr>
            <w:pStyle w:val="Header"/>
            <w:rPr>
              <w:b/>
            </w:rPr>
          </w:pPr>
          <w:r>
            <w:rPr>
              <w:b/>
              <w:noProof/>
              <w:color w:val="6B2976"/>
              <w:sz w:val="28"/>
              <w:szCs w:val="28"/>
              <w:lang w:eastAsia="en-AU"/>
            </w:rPr>
            <w:drawing>
              <wp:anchor distT="0" distB="0" distL="114300" distR="114300" simplePos="0" relativeHeight="251659264" behindDoc="1" locked="0" layoutInCell="1" allowOverlap="1" wp14:anchorId="4E873E4A" wp14:editId="7D151475">
                <wp:simplePos x="0" y="0"/>
                <wp:positionH relativeFrom="margin">
                  <wp:posOffset>355406</wp:posOffset>
                </wp:positionH>
                <wp:positionV relativeFrom="paragraph">
                  <wp:posOffset>0</wp:posOffset>
                </wp:positionV>
                <wp:extent cx="1260000" cy="871882"/>
                <wp:effectExtent l="0" t="0" r="0" b="4445"/>
                <wp:wrapTight wrapText="bothSides">
                  <wp:wrapPolygon edited="0">
                    <wp:start x="0" y="0"/>
                    <wp:lineTo x="0" y="21238"/>
                    <wp:lineTo x="21230" y="21238"/>
                    <wp:lineTo x="212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C Grant Logo - Funded by NDI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871882"/>
                        </a:xfrm>
                        <a:prstGeom prst="rect">
                          <a:avLst/>
                        </a:prstGeom>
                      </pic:spPr>
                    </pic:pic>
                  </a:graphicData>
                </a:graphic>
                <wp14:sizeRelH relativeFrom="page">
                  <wp14:pctWidth>0</wp14:pctWidth>
                </wp14:sizeRelH>
                <wp14:sizeRelV relativeFrom="page">
                  <wp14:pctHeight>0</wp14:pctHeight>
                </wp14:sizeRelV>
              </wp:anchor>
            </w:drawing>
          </w:r>
        </w:p>
      </w:tc>
    </w:tr>
  </w:tbl>
  <w:p w14:paraId="059E9165" w14:textId="2F3866E6" w:rsidR="00166A70" w:rsidRPr="00166A70" w:rsidRDefault="00166A70" w:rsidP="00166A70">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01D56"/>
    <w:multiLevelType w:val="hybridMultilevel"/>
    <w:tmpl w:val="45648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F554535"/>
    <w:multiLevelType w:val="hybridMultilevel"/>
    <w:tmpl w:val="A9743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6B"/>
    <w:rsid w:val="00015BC1"/>
    <w:rsid w:val="00063A27"/>
    <w:rsid w:val="000D73E5"/>
    <w:rsid w:val="0010609A"/>
    <w:rsid w:val="001277C1"/>
    <w:rsid w:val="00144E14"/>
    <w:rsid w:val="00147144"/>
    <w:rsid w:val="00166A70"/>
    <w:rsid w:val="00167C04"/>
    <w:rsid w:val="001B1E8B"/>
    <w:rsid w:val="002A2088"/>
    <w:rsid w:val="003041CC"/>
    <w:rsid w:val="003511C3"/>
    <w:rsid w:val="00386B4D"/>
    <w:rsid w:val="003A1DCD"/>
    <w:rsid w:val="003D1AC9"/>
    <w:rsid w:val="00434A58"/>
    <w:rsid w:val="004A3229"/>
    <w:rsid w:val="004E42DA"/>
    <w:rsid w:val="0056786D"/>
    <w:rsid w:val="005A56C0"/>
    <w:rsid w:val="005D09BB"/>
    <w:rsid w:val="00621852"/>
    <w:rsid w:val="0064231D"/>
    <w:rsid w:val="00653F07"/>
    <w:rsid w:val="00685134"/>
    <w:rsid w:val="006A1E61"/>
    <w:rsid w:val="00783F5B"/>
    <w:rsid w:val="007B2D22"/>
    <w:rsid w:val="00833673"/>
    <w:rsid w:val="00866975"/>
    <w:rsid w:val="008B4A64"/>
    <w:rsid w:val="008D1FDE"/>
    <w:rsid w:val="008D4837"/>
    <w:rsid w:val="008F5880"/>
    <w:rsid w:val="00953522"/>
    <w:rsid w:val="00994C8C"/>
    <w:rsid w:val="009A7205"/>
    <w:rsid w:val="009D26DE"/>
    <w:rsid w:val="009F15DA"/>
    <w:rsid w:val="00A43269"/>
    <w:rsid w:val="00A65F04"/>
    <w:rsid w:val="00A8278E"/>
    <w:rsid w:val="00A91745"/>
    <w:rsid w:val="00AE21A8"/>
    <w:rsid w:val="00B5687F"/>
    <w:rsid w:val="00BD2F61"/>
    <w:rsid w:val="00C43530"/>
    <w:rsid w:val="00C94541"/>
    <w:rsid w:val="00CE0E8F"/>
    <w:rsid w:val="00D11176"/>
    <w:rsid w:val="00D311B7"/>
    <w:rsid w:val="00D34903"/>
    <w:rsid w:val="00D413FD"/>
    <w:rsid w:val="00D85E2B"/>
    <w:rsid w:val="00DB095C"/>
    <w:rsid w:val="00DB51CF"/>
    <w:rsid w:val="00E563A9"/>
    <w:rsid w:val="00E6778A"/>
    <w:rsid w:val="00EA5A9B"/>
    <w:rsid w:val="00EB742A"/>
    <w:rsid w:val="00EC2798"/>
    <w:rsid w:val="00ED5A8D"/>
    <w:rsid w:val="00F0306B"/>
    <w:rsid w:val="00F36D23"/>
    <w:rsid w:val="00F64DE6"/>
    <w:rsid w:val="00F719E0"/>
    <w:rsid w:val="00F96F04"/>
    <w:rsid w:val="00F9792A"/>
    <w:rsid w:val="00FC4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40EEB"/>
  <w15:chartTrackingRefBased/>
  <w15:docId w15:val="{864A77B7-14A6-45B4-AB77-AA48008A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236944683">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3148201">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3940946">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764833200">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73416745">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Petty, Kerry</dc:creator>
  <cp:keywords/>
  <dc:description/>
  <cp:lastModifiedBy>Williams, Traci</cp:lastModifiedBy>
  <cp:revision>2</cp:revision>
  <dcterms:created xsi:type="dcterms:W3CDTF">2018-08-20T22:51:00Z</dcterms:created>
  <dcterms:modified xsi:type="dcterms:W3CDTF">2018-08-20T22:51:00Z</dcterms:modified>
</cp:coreProperties>
</file>