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2180793"/>
    <w:p w14:paraId="293E1ABB" w14:textId="147A87CC" w:rsidR="006A5D73" w:rsidRDefault="006A5D73" w:rsidP="004E79AC">
      <w:pPr>
        <w:spacing w:after="200"/>
        <w:ind w:left="-284"/>
        <w:rPr>
          <w:color w:val="FFFFFF" w:themeColor="background1"/>
          <w:spacing w:val="5"/>
          <w:sz w:val="44"/>
          <w:szCs w:val="28"/>
        </w:rPr>
      </w:pPr>
      <w:r>
        <w:rPr>
          <w:noProof/>
          <w:lang w:eastAsia="en-AU"/>
        </w:rPr>
        <mc:AlternateContent>
          <mc:Choice Requires="wps">
            <w:drawing>
              <wp:inline distT="0" distB="0" distL="0" distR="0" wp14:anchorId="3BB85E13" wp14:editId="4FBE0154">
                <wp:extent cx="6715125" cy="9656698"/>
                <wp:effectExtent l="0" t="0" r="28575" b="20955"/>
                <wp:docPr id="1" name="Rounded Rectangle 1"/>
                <wp:cNvGraphicFramePr/>
                <a:graphic xmlns:a="http://schemas.openxmlformats.org/drawingml/2006/main">
                  <a:graphicData uri="http://schemas.microsoft.com/office/word/2010/wordprocessingShape">
                    <wps:wsp>
                      <wps:cNvSpPr/>
                      <wps:spPr>
                        <a:xfrm>
                          <a:off x="0" y="0"/>
                          <a:ext cx="6715125" cy="9656698"/>
                        </a:xfrm>
                        <a:prstGeom prst="roundRect">
                          <a:avLst/>
                        </a:prstGeom>
                        <a:solidFill>
                          <a:srgbClr val="652F76"/>
                        </a:solidFill>
                        <a:ln>
                          <a:solidFill>
                            <a:srgbClr val="652F7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0E1AC" w14:textId="77777777" w:rsidR="004E79AC" w:rsidRDefault="006A5D73" w:rsidP="006A5D73">
                            <w:pPr>
                              <w:spacing w:before="1080"/>
                              <w:rPr>
                                <w:rFonts w:cs="Arial"/>
                                <w:b/>
                                <w:sz w:val="96"/>
                                <w:szCs w:val="96"/>
                              </w:rPr>
                            </w:pPr>
                            <w:r w:rsidRPr="004C5256">
                              <w:rPr>
                                <w:rFonts w:cs="Arial"/>
                                <w:b/>
                                <w:sz w:val="96"/>
                                <w:szCs w:val="96"/>
                              </w:rPr>
                              <w:t xml:space="preserve">Supports in Employment Provider </w:t>
                            </w:r>
                          </w:p>
                          <w:p w14:paraId="6EABA4E9" w14:textId="23783E75" w:rsidR="006A5D73" w:rsidRPr="004C5256" w:rsidRDefault="006A5D73" w:rsidP="004E79AC">
                            <w:pPr>
                              <w:rPr>
                                <w:rFonts w:cs="Arial"/>
                                <w:b/>
                                <w:sz w:val="96"/>
                                <w:szCs w:val="96"/>
                              </w:rPr>
                            </w:pPr>
                            <w:r w:rsidRPr="004C5256">
                              <w:rPr>
                                <w:rFonts w:cs="Arial"/>
                                <w:b/>
                                <w:sz w:val="96"/>
                                <w:szCs w:val="96"/>
                              </w:rPr>
                              <w:t>Handbook</w:t>
                            </w:r>
                          </w:p>
                          <w:p w14:paraId="49E262F9" w14:textId="77777777" w:rsidR="006A5D73" w:rsidRDefault="006A5D73" w:rsidP="006A5D73">
                            <w:pPr>
                              <w:rPr>
                                <w:rFonts w:cs="Arial"/>
                                <w:b/>
                                <w:sz w:val="44"/>
                                <w:szCs w:val="44"/>
                              </w:rPr>
                            </w:pPr>
                          </w:p>
                          <w:p w14:paraId="0CFBCCB1" w14:textId="77777777" w:rsidR="006A5D73" w:rsidRDefault="006A5D73" w:rsidP="006A5D73">
                            <w:pPr>
                              <w:rPr>
                                <w:rFonts w:cs="Arial"/>
                                <w:b/>
                                <w:sz w:val="44"/>
                                <w:szCs w:val="44"/>
                              </w:rPr>
                            </w:pPr>
                            <w:r w:rsidRPr="004C5256">
                              <w:rPr>
                                <w:rFonts w:cs="Arial"/>
                                <w:b/>
                                <w:sz w:val="44"/>
                                <w:szCs w:val="44"/>
                              </w:rPr>
                              <w:t>January 2021</w:t>
                            </w:r>
                          </w:p>
                          <w:p w14:paraId="32E85ACC" w14:textId="77777777" w:rsidR="006A5D73" w:rsidRDefault="006A5D73" w:rsidP="006A5D73">
                            <w:pPr>
                              <w:rPr>
                                <w:rFonts w:cs="Arial"/>
                                <w:b/>
                                <w:sz w:val="44"/>
                                <w:szCs w:val="44"/>
                              </w:rPr>
                            </w:pPr>
                          </w:p>
                          <w:p w14:paraId="16F01C4E" w14:textId="77777777" w:rsidR="006A5D73" w:rsidRPr="004C5256" w:rsidRDefault="006A5D73" w:rsidP="006A5D73">
                            <w:pPr>
                              <w:rPr>
                                <w:rFonts w:cs="Arial"/>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BB85E13" id="Rounded Rectangle 1" o:spid="_x0000_s1026" style="width:528.75pt;height:760.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" fillcolor="#652f76" strokecolor="#652f76" strokeweight="2pt">
                <v:textbox>
                  <w:txbxContent>
                    <w:p w14:paraId="5700E1AC" w14:textId="77777777" w:rsidR="004E79AC" w:rsidRDefault="006A5D73" w:rsidP="006A5D73">
                      <w:pPr>
                        <w:spacing w:before="1080"/>
                        <w:rPr>
                          <w:rFonts w:cs="Arial"/>
                          <w:b/>
                          <w:sz w:val="96"/>
                          <w:szCs w:val="96"/>
                        </w:rPr>
                      </w:pPr>
                      <w:r w:rsidRPr="004C5256">
                        <w:rPr>
                          <w:rFonts w:cs="Arial"/>
                          <w:b/>
                          <w:sz w:val="96"/>
                          <w:szCs w:val="96"/>
                        </w:rPr>
                        <w:t xml:space="preserve">Supports in Employment </w:t>
                      </w:r>
                      <w:bookmarkStart w:id="2" w:name="_GoBack"/>
                      <w:bookmarkEnd w:id="2"/>
                      <w:r w:rsidRPr="004C5256">
                        <w:rPr>
                          <w:rFonts w:cs="Arial"/>
                          <w:b/>
                          <w:sz w:val="96"/>
                          <w:szCs w:val="96"/>
                        </w:rPr>
                        <w:t xml:space="preserve">Provider </w:t>
                      </w:r>
                    </w:p>
                    <w:p w14:paraId="6EABA4E9" w14:textId="23783E75" w:rsidR="006A5D73" w:rsidRPr="004C5256" w:rsidRDefault="006A5D73" w:rsidP="004E79AC">
                      <w:pPr>
                        <w:rPr>
                          <w:rFonts w:cs="Arial"/>
                          <w:b/>
                          <w:sz w:val="96"/>
                          <w:szCs w:val="96"/>
                        </w:rPr>
                      </w:pPr>
                      <w:r w:rsidRPr="004C5256">
                        <w:rPr>
                          <w:rFonts w:cs="Arial"/>
                          <w:b/>
                          <w:sz w:val="96"/>
                          <w:szCs w:val="96"/>
                        </w:rPr>
                        <w:t>Handbook</w:t>
                      </w:r>
                    </w:p>
                    <w:p w14:paraId="49E262F9" w14:textId="77777777" w:rsidR="006A5D73" w:rsidRDefault="006A5D73" w:rsidP="006A5D73">
                      <w:pPr>
                        <w:rPr>
                          <w:rFonts w:cs="Arial"/>
                          <w:b/>
                          <w:sz w:val="44"/>
                          <w:szCs w:val="44"/>
                        </w:rPr>
                      </w:pPr>
                    </w:p>
                    <w:p w14:paraId="0CFBCCB1" w14:textId="77777777" w:rsidR="006A5D73" w:rsidRDefault="006A5D73" w:rsidP="006A5D73">
                      <w:pPr>
                        <w:rPr>
                          <w:rFonts w:cs="Arial"/>
                          <w:b/>
                          <w:sz w:val="44"/>
                          <w:szCs w:val="44"/>
                        </w:rPr>
                      </w:pPr>
                      <w:r w:rsidRPr="004C5256">
                        <w:rPr>
                          <w:rFonts w:cs="Arial"/>
                          <w:b/>
                          <w:sz w:val="44"/>
                          <w:szCs w:val="44"/>
                        </w:rPr>
                        <w:t>January 2021</w:t>
                      </w:r>
                    </w:p>
                    <w:p w14:paraId="32E85ACC" w14:textId="77777777" w:rsidR="006A5D73" w:rsidRDefault="006A5D73" w:rsidP="006A5D73">
                      <w:pPr>
                        <w:rPr>
                          <w:rFonts w:cs="Arial"/>
                          <w:b/>
                          <w:sz w:val="44"/>
                          <w:szCs w:val="44"/>
                        </w:rPr>
                      </w:pPr>
                    </w:p>
                    <w:p w14:paraId="16F01C4E" w14:textId="77777777" w:rsidR="006A5D73" w:rsidRPr="004C5256" w:rsidRDefault="006A5D73" w:rsidP="006A5D73">
                      <w:pPr>
                        <w:rPr>
                          <w:rFonts w:cs="Arial"/>
                          <w:b/>
                          <w:sz w:val="44"/>
                          <w:szCs w:val="44"/>
                        </w:rPr>
                      </w:pPr>
                    </w:p>
                  </w:txbxContent>
                </v:textbox>
                <w10:anchorlock/>
              </v:roundrect>
            </w:pict>
          </mc:Fallback>
        </mc:AlternateContent>
      </w:r>
      <w:r>
        <w:rPr>
          <w:b/>
          <w:bCs/>
          <w:color w:val="FFFFFF" w:themeColor="background1"/>
          <w:spacing w:val="5"/>
          <w:sz w:val="44"/>
          <w:szCs w:val="28"/>
        </w:rPr>
        <w:br w:type="page"/>
      </w:r>
    </w:p>
    <w:bookmarkStart w:id="1" w:name="_Toc62130348" w:displacedByCustomXml="next"/>
    <w:sdt>
      <w:sdtPr>
        <w:rPr>
          <w:rFonts w:eastAsiaTheme="minorHAnsi" w:cstheme="minorBidi"/>
          <w:b w:val="0"/>
          <w:bCs w:val="0"/>
          <w:color w:val="FFFFFF" w:themeColor="background1"/>
          <w:spacing w:val="5"/>
          <w:sz w:val="44"/>
          <w:szCs w:val="28"/>
        </w:rPr>
        <w:id w:val="475730574"/>
        <w:docPartObj>
          <w:docPartGallery w:val="Table of Contents"/>
          <w:docPartUnique/>
        </w:docPartObj>
      </w:sdtPr>
      <w:sdtEndPr>
        <w:rPr>
          <w:noProof/>
          <w:color w:val="auto"/>
          <w:spacing w:val="0"/>
          <w:sz w:val="24"/>
          <w:szCs w:val="22"/>
        </w:rPr>
      </w:sdtEndPr>
      <w:sdtContent>
        <w:p w14:paraId="148D465D" w14:textId="0C04A517" w:rsidR="00812F1A" w:rsidRPr="003C7526" w:rsidRDefault="00DE192C" w:rsidP="00244989">
          <w:pPr>
            <w:pStyle w:val="Heading3"/>
            <w:spacing w:line="276" w:lineRule="auto"/>
            <w:rPr>
              <w:b w:val="0"/>
              <w:color w:val="6B2976"/>
              <w:sz w:val="32"/>
              <w:szCs w:val="32"/>
            </w:rPr>
          </w:pPr>
          <w:r w:rsidRPr="003C7526">
            <w:rPr>
              <w:color w:val="6B2976"/>
              <w:sz w:val="32"/>
              <w:szCs w:val="32"/>
            </w:rPr>
            <w:t>Contents</w:t>
          </w:r>
          <w:bookmarkEnd w:id="0"/>
          <w:bookmarkEnd w:id="1"/>
        </w:p>
        <w:p w14:paraId="3F772B15" w14:textId="1B696765" w:rsidR="001D0E41" w:rsidRDefault="009F2248" w:rsidP="00E5776A">
          <w:pPr>
            <w:pStyle w:val="NoSpacing"/>
            <w:rPr>
              <w:rFonts w:asciiTheme="minorHAnsi" w:eastAsiaTheme="minorEastAsia" w:hAnsiTheme="minorHAnsi"/>
              <w:noProof/>
              <w:sz w:val="22"/>
              <w:lang w:eastAsia="en-AU"/>
            </w:rPr>
          </w:pPr>
          <w:r>
            <w:rPr>
              <w:rStyle w:val="Heading2Char"/>
            </w:rPr>
            <w:t xml:space="preserve"> </w:t>
          </w:r>
          <w:r w:rsidR="00DE192C">
            <w:fldChar w:fldCharType="begin"/>
          </w:r>
          <w:r w:rsidR="00DE192C">
            <w:instrText xml:space="preserve"> TOC \o "1-3" \h \z \u </w:instrText>
          </w:r>
          <w:r w:rsidR="00DE192C">
            <w:fldChar w:fldCharType="separate"/>
          </w:r>
        </w:p>
        <w:p w14:paraId="59BC92A1" w14:textId="7622A75D" w:rsidR="001D0E41" w:rsidRDefault="00ED6D37">
          <w:pPr>
            <w:pStyle w:val="TOC2"/>
            <w:rPr>
              <w:rFonts w:asciiTheme="minorHAnsi" w:eastAsiaTheme="minorEastAsia" w:hAnsiTheme="minorHAnsi"/>
              <w:noProof/>
              <w:sz w:val="22"/>
              <w:lang w:eastAsia="en-AU"/>
            </w:rPr>
          </w:pPr>
          <w:hyperlink w:anchor="_Toc62130349" w:history="1">
            <w:r w:rsidR="001D0E41" w:rsidRPr="009D61D8">
              <w:rPr>
                <w:rStyle w:val="Hyperlink"/>
                <w:noProof/>
              </w:rPr>
              <w:t>About this handbook</w:t>
            </w:r>
            <w:r w:rsidR="001D0E41">
              <w:rPr>
                <w:noProof/>
                <w:webHidden/>
              </w:rPr>
              <w:tab/>
            </w:r>
            <w:r w:rsidR="001D0E41">
              <w:rPr>
                <w:noProof/>
                <w:webHidden/>
              </w:rPr>
              <w:fldChar w:fldCharType="begin"/>
            </w:r>
            <w:r w:rsidR="001D0E41">
              <w:rPr>
                <w:noProof/>
                <w:webHidden/>
              </w:rPr>
              <w:instrText xml:space="preserve"> PAGEREF _Toc62130349 \h </w:instrText>
            </w:r>
            <w:r w:rsidR="001D0E41">
              <w:rPr>
                <w:noProof/>
                <w:webHidden/>
              </w:rPr>
            </w:r>
            <w:r w:rsidR="001D0E41">
              <w:rPr>
                <w:noProof/>
                <w:webHidden/>
              </w:rPr>
              <w:fldChar w:fldCharType="separate"/>
            </w:r>
            <w:r>
              <w:rPr>
                <w:noProof/>
                <w:webHidden/>
              </w:rPr>
              <w:t>3</w:t>
            </w:r>
            <w:r w:rsidR="001D0E41">
              <w:rPr>
                <w:noProof/>
                <w:webHidden/>
              </w:rPr>
              <w:fldChar w:fldCharType="end"/>
            </w:r>
          </w:hyperlink>
        </w:p>
        <w:p w14:paraId="325207B3" w14:textId="639C6627" w:rsidR="001D0E41" w:rsidRDefault="00ED6D37">
          <w:pPr>
            <w:pStyle w:val="TOC2"/>
            <w:rPr>
              <w:rFonts w:asciiTheme="minorHAnsi" w:eastAsiaTheme="minorEastAsia" w:hAnsiTheme="minorHAnsi"/>
              <w:noProof/>
              <w:sz w:val="22"/>
              <w:lang w:eastAsia="en-AU"/>
            </w:rPr>
          </w:pPr>
          <w:hyperlink w:anchor="_Toc62130350" w:history="1">
            <w:r w:rsidR="001D0E41" w:rsidRPr="009D61D8">
              <w:rPr>
                <w:rStyle w:val="Hyperlink"/>
                <w:noProof/>
              </w:rPr>
              <w:t>Background</w:t>
            </w:r>
            <w:r w:rsidR="001D0E41">
              <w:rPr>
                <w:noProof/>
                <w:webHidden/>
              </w:rPr>
              <w:tab/>
            </w:r>
            <w:r w:rsidR="001D0E41">
              <w:rPr>
                <w:noProof/>
                <w:webHidden/>
              </w:rPr>
              <w:fldChar w:fldCharType="begin"/>
            </w:r>
            <w:r w:rsidR="001D0E41">
              <w:rPr>
                <w:noProof/>
                <w:webHidden/>
              </w:rPr>
              <w:instrText xml:space="preserve"> PAGEREF _Toc62130350 \h </w:instrText>
            </w:r>
            <w:r w:rsidR="001D0E41">
              <w:rPr>
                <w:noProof/>
                <w:webHidden/>
              </w:rPr>
            </w:r>
            <w:r w:rsidR="001D0E41">
              <w:rPr>
                <w:noProof/>
                <w:webHidden/>
              </w:rPr>
              <w:fldChar w:fldCharType="separate"/>
            </w:r>
            <w:r>
              <w:rPr>
                <w:noProof/>
                <w:webHidden/>
              </w:rPr>
              <w:t>3</w:t>
            </w:r>
            <w:r w:rsidR="001D0E41">
              <w:rPr>
                <w:noProof/>
                <w:webHidden/>
              </w:rPr>
              <w:fldChar w:fldCharType="end"/>
            </w:r>
          </w:hyperlink>
        </w:p>
        <w:p w14:paraId="0FFE365F" w14:textId="03C48032" w:rsidR="001D0E41" w:rsidRDefault="00ED6D37">
          <w:pPr>
            <w:pStyle w:val="TOC3"/>
            <w:tabs>
              <w:tab w:val="right" w:leader="dot" w:pos="9770"/>
            </w:tabs>
            <w:rPr>
              <w:rFonts w:asciiTheme="minorHAnsi" w:eastAsiaTheme="minorEastAsia" w:hAnsiTheme="minorHAnsi"/>
              <w:noProof/>
              <w:sz w:val="22"/>
              <w:lang w:eastAsia="en-AU"/>
            </w:rPr>
          </w:pPr>
          <w:hyperlink w:anchor="_Toc62130351" w:history="1">
            <w:r w:rsidR="001D0E41" w:rsidRPr="009D61D8">
              <w:rPr>
                <w:rStyle w:val="Hyperlink"/>
                <w:noProof/>
              </w:rPr>
              <w:t>The value of employment</w:t>
            </w:r>
            <w:r w:rsidR="001D0E41">
              <w:rPr>
                <w:noProof/>
                <w:webHidden/>
              </w:rPr>
              <w:tab/>
            </w:r>
            <w:r w:rsidR="001D0E41">
              <w:rPr>
                <w:noProof/>
                <w:webHidden/>
              </w:rPr>
              <w:fldChar w:fldCharType="begin"/>
            </w:r>
            <w:r w:rsidR="001D0E41">
              <w:rPr>
                <w:noProof/>
                <w:webHidden/>
              </w:rPr>
              <w:instrText xml:space="preserve"> PAGEREF _Toc62130351 \h </w:instrText>
            </w:r>
            <w:r w:rsidR="001D0E41">
              <w:rPr>
                <w:noProof/>
                <w:webHidden/>
              </w:rPr>
            </w:r>
            <w:r w:rsidR="001D0E41">
              <w:rPr>
                <w:noProof/>
                <w:webHidden/>
              </w:rPr>
              <w:fldChar w:fldCharType="separate"/>
            </w:r>
            <w:r>
              <w:rPr>
                <w:noProof/>
                <w:webHidden/>
              </w:rPr>
              <w:t>3</w:t>
            </w:r>
            <w:r w:rsidR="001D0E41">
              <w:rPr>
                <w:noProof/>
                <w:webHidden/>
              </w:rPr>
              <w:fldChar w:fldCharType="end"/>
            </w:r>
          </w:hyperlink>
        </w:p>
        <w:p w14:paraId="267893E9" w14:textId="7A5E5429" w:rsidR="001D0E41" w:rsidRDefault="00ED6D37">
          <w:pPr>
            <w:pStyle w:val="TOC3"/>
            <w:tabs>
              <w:tab w:val="right" w:leader="dot" w:pos="9770"/>
            </w:tabs>
            <w:rPr>
              <w:rFonts w:asciiTheme="minorHAnsi" w:eastAsiaTheme="minorEastAsia" w:hAnsiTheme="minorHAnsi"/>
              <w:noProof/>
              <w:sz w:val="22"/>
              <w:lang w:eastAsia="en-AU"/>
            </w:rPr>
          </w:pPr>
          <w:hyperlink w:anchor="_Toc62130352" w:history="1">
            <w:r w:rsidR="001D0E41" w:rsidRPr="009D61D8">
              <w:rPr>
                <w:rStyle w:val="Hyperlink"/>
                <w:noProof/>
              </w:rPr>
              <w:t>Supports in employment</w:t>
            </w:r>
            <w:r w:rsidR="001D0E41">
              <w:rPr>
                <w:noProof/>
                <w:webHidden/>
              </w:rPr>
              <w:tab/>
            </w:r>
            <w:r w:rsidR="001D0E41">
              <w:rPr>
                <w:noProof/>
                <w:webHidden/>
              </w:rPr>
              <w:fldChar w:fldCharType="begin"/>
            </w:r>
            <w:r w:rsidR="001D0E41">
              <w:rPr>
                <w:noProof/>
                <w:webHidden/>
              </w:rPr>
              <w:instrText xml:space="preserve"> PAGEREF _Toc62130352 \h </w:instrText>
            </w:r>
            <w:r w:rsidR="001D0E41">
              <w:rPr>
                <w:noProof/>
                <w:webHidden/>
              </w:rPr>
            </w:r>
            <w:r w:rsidR="001D0E41">
              <w:rPr>
                <w:noProof/>
                <w:webHidden/>
              </w:rPr>
              <w:fldChar w:fldCharType="separate"/>
            </w:r>
            <w:r>
              <w:rPr>
                <w:noProof/>
                <w:webHidden/>
              </w:rPr>
              <w:t>3</w:t>
            </w:r>
            <w:r w:rsidR="001D0E41">
              <w:rPr>
                <w:noProof/>
                <w:webHidden/>
              </w:rPr>
              <w:fldChar w:fldCharType="end"/>
            </w:r>
          </w:hyperlink>
        </w:p>
        <w:p w14:paraId="7ACF0A5D" w14:textId="2BB27013" w:rsidR="001D0E41" w:rsidRDefault="00ED6D37">
          <w:pPr>
            <w:pStyle w:val="TOC3"/>
            <w:tabs>
              <w:tab w:val="right" w:leader="dot" w:pos="9770"/>
            </w:tabs>
            <w:rPr>
              <w:rFonts w:asciiTheme="minorHAnsi" w:eastAsiaTheme="minorEastAsia" w:hAnsiTheme="minorHAnsi"/>
              <w:noProof/>
              <w:sz w:val="22"/>
              <w:lang w:eastAsia="en-AU"/>
            </w:rPr>
          </w:pPr>
          <w:hyperlink w:anchor="_Toc62130353" w:history="1">
            <w:r w:rsidR="001D0E41" w:rsidRPr="009D61D8">
              <w:rPr>
                <w:rStyle w:val="Hyperlink"/>
                <w:noProof/>
              </w:rPr>
              <w:t>How the NDIS funds supports in employment</w:t>
            </w:r>
            <w:r w:rsidR="001D0E41">
              <w:rPr>
                <w:noProof/>
                <w:webHidden/>
              </w:rPr>
              <w:tab/>
            </w:r>
            <w:r w:rsidR="001D0E41">
              <w:rPr>
                <w:noProof/>
                <w:webHidden/>
              </w:rPr>
              <w:fldChar w:fldCharType="begin"/>
            </w:r>
            <w:r w:rsidR="001D0E41">
              <w:rPr>
                <w:noProof/>
                <w:webHidden/>
              </w:rPr>
              <w:instrText xml:space="preserve"> PAGEREF _Toc62130353 \h </w:instrText>
            </w:r>
            <w:r w:rsidR="001D0E41">
              <w:rPr>
                <w:noProof/>
                <w:webHidden/>
              </w:rPr>
            </w:r>
            <w:r w:rsidR="001D0E41">
              <w:rPr>
                <w:noProof/>
                <w:webHidden/>
              </w:rPr>
              <w:fldChar w:fldCharType="separate"/>
            </w:r>
            <w:r>
              <w:rPr>
                <w:noProof/>
                <w:webHidden/>
              </w:rPr>
              <w:t>5</w:t>
            </w:r>
            <w:r w:rsidR="001D0E41">
              <w:rPr>
                <w:noProof/>
                <w:webHidden/>
              </w:rPr>
              <w:fldChar w:fldCharType="end"/>
            </w:r>
          </w:hyperlink>
        </w:p>
        <w:p w14:paraId="73CD7EE1" w14:textId="5DE25DEA" w:rsidR="001D0E41" w:rsidRDefault="00ED6D37">
          <w:pPr>
            <w:pStyle w:val="TOC2"/>
            <w:rPr>
              <w:rFonts w:asciiTheme="minorHAnsi" w:eastAsiaTheme="minorEastAsia" w:hAnsiTheme="minorHAnsi"/>
              <w:noProof/>
              <w:sz w:val="22"/>
              <w:lang w:eastAsia="en-AU"/>
            </w:rPr>
          </w:pPr>
          <w:hyperlink w:anchor="_Toc62130354" w:history="1">
            <w:r w:rsidR="001D0E41" w:rsidRPr="009D61D8">
              <w:rPr>
                <w:rStyle w:val="Hyperlink"/>
                <w:noProof/>
              </w:rPr>
              <w:t>Understanding the new pricing framework</w:t>
            </w:r>
            <w:r w:rsidR="001D0E41">
              <w:rPr>
                <w:noProof/>
                <w:webHidden/>
              </w:rPr>
              <w:tab/>
            </w:r>
            <w:r w:rsidR="001D0E41">
              <w:rPr>
                <w:noProof/>
                <w:webHidden/>
              </w:rPr>
              <w:fldChar w:fldCharType="begin"/>
            </w:r>
            <w:r w:rsidR="001D0E41">
              <w:rPr>
                <w:noProof/>
                <w:webHidden/>
              </w:rPr>
              <w:instrText xml:space="preserve"> PAGEREF _Toc62130354 \h </w:instrText>
            </w:r>
            <w:r w:rsidR="001D0E41">
              <w:rPr>
                <w:noProof/>
                <w:webHidden/>
              </w:rPr>
            </w:r>
            <w:r w:rsidR="001D0E41">
              <w:rPr>
                <w:noProof/>
                <w:webHidden/>
              </w:rPr>
              <w:fldChar w:fldCharType="separate"/>
            </w:r>
            <w:r>
              <w:rPr>
                <w:noProof/>
                <w:webHidden/>
              </w:rPr>
              <w:t>5</w:t>
            </w:r>
            <w:r w:rsidR="001D0E41">
              <w:rPr>
                <w:noProof/>
                <w:webHidden/>
              </w:rPr>
              <w:fldChar w:fldCharType="end"/>
            </w:r>
          </w:hyperlink>
        </w:p>
        <w:p w14:paraId="2D896990" w14:textId="505961A4" w:rsidR="001D0E41" w:rsidRDefault="00ED6D37">
          <w:pPr>
            <w:pStyle w:val="TOC3"/>
            <w:tabs>
              <w:tab w:val="right" w:leader="dot" w:pos="9770"/>
            </w:tabs>
            <w:rPr>
              <w:rFonts w:asciiTheme="minorHAnsi" w:eastAsiaTheme="minorEastAsia" w:hAnsiTheme="minorHAnsi"/>
              <w:noProof/>
              <w:sz w:val="22"/>
              <w:lang w:eastAsia="en-AU"/>
            </w:rPr>
          </w:pPr>
          <w:hyperlink w:anchor="_Toc62130355" w:history="1">
            <w:r w:rsidR="001D0E41" w:rsidRPr="009D61D8">
              <w:rPr>
                <w:rStyle w:val="Hyperlink"/>
                <w:noProof/>
              </w:rPr>
              <w:t>Supports in employment</w:t>
            </w:r>
            <w:r w:rsidR="001D0E41">
              <w:rPr>
                <w:noProof/>
                <w:webHidden/>
              </w:rPr>
              <w:tab/>
            </w:r>
            <w:r w:rsidR="001D0E41">
              <w:rPr>
                <w:noProof/>
                <w:webHidden/>
              </w:rPr>
              <w:fldChar w:fldCharType="begin"/>
            </w:r>
            <w:r w:rsidR="001D0E41">
              <w:rPr>
                <w:noProof/>
                <w:webHidden/>
              </w:rPr>
              <w:instrText xml:space="preserve"> PAGEREF _Toc62130355 \h </w:instrText>
            </w:r>
            <w:r w:rsidR="001D0E41">
              <w:rPr>
                <w:noProof/>
                <w:webHidden/>
              </w:rPr>
            </w:r>
            <w:r w:rsidR="001D0E41">
              <w:rPr>
                <w:noProof/>
                <w:webHidden/>
              </w:rPr>
              <w:fldChar w:fldCharType="separate"/>
            </w:r>
            <w:r>
              <w:rPr>
                <w:noProof/>
                <w:webHidden/>
              </w:rPr>
              <w:t>5</w:t>
            </w:r>
            <w:r w:rsidR="001D0E41">
              <w:rPr>
                <w:noProof/>
                <w:webHidden/>
              </w:rPr>
              <w:fldChar w:fldCharType="end"/>
            </w:r>
          </w:hyperlink>
        </w:p>
        <w:p w14:paraId="0BA37B7A" w14:textId="7A204059" w:rsidR="001D0E41" w:rsidRDefault="00ED6D37">
          <w:pPr>
            <w:pStyle w:val="TOC3"/>
            <w:tabs>
              <w:tab w:val="right" w:leader="dot" w:pos="9770"/>
            </w:tabs>
            <w:rPr>
              <w:rFonts w:asciiTheme="minorHAnsi" w:eastAsiaTheme="minorEastAsia" w:hAnsiTheme="minorHAnsi"/>
              <w:noProof/>
              <w:sz w:val="22"/>
              <w:lang w:eastAsia="en-AU"/>
            </w:rPr>
          </w:pPr>
          <w:hyperlink w:anchor="_Toc62130356" w:history="1">
            <w:r w:rsidR="001D0E41" w:rsidRPr="009D61D8">
              <w:rPr>
                <w:rStyle w:val="Hyperlink"/>
                <w:noProof/>
              </w:rPr>
              <w:t>Group-based support</w:t>
            </w:r>
            <w:r w:rsidR="001D0E41">
              <w:rPr>
                <w:noProof/>
                <w:webHidden/>
              </w:rPr>
              <w:tab/>
            </w:r>
            <w:r w:rsidR="001D0E41">
              <w:rPr>
                <w:noProof/>
                <w:webHidden/>
              </w:rPr>
              <w:fldChar w:fldCharType="begin"/>
            </w:r>
            <w:r w:rsidR="001D0E41">
              <w:rPr>
                <w:noProof/>
                <w:webHidden/>
              </w:rPr>
              <w:instrText xml:space="preserve"> PAGEREF _Toc62130356 \h </w:instrText>
            </w:r>
            <w:r w:rsidR="001D0E41">
              <w:rPr>
                <w:noProof/>
                <w:webHidden/>
              </w:rPr>
            </w:r>
            <w:r w:rsidR="001D0E41">
              <w:rPr>
                <w:noProof/>
                <w:webHidden/>
              </w:rPr>
              <w:fldChar w:fldCharType="separate"/>
            </w:r>
            <w:r>
              <w:rPr>
                <w:noProof/>
                <w:webHidden/>
              </w:rPr>
              <w:t>6</w:t>
            </w:r>
            <w:r w:rsidR="001D0E41">
              <w:rPr>
                <w:noProof/>
                <w:webHidden/>
              </w:rPr>
              <w:fldChar w:fldCharType="end"/>
            </w:r>
          </w:hyperlink>
        </w:p>
        <w:p w14:paraId="19C4B9B6" w14:textId="4C9073F8" w:rsidR="001D0E41" w:rsidRDefault="00ED6D37">
          <w:pPr>
            <w:pStyle w:val="TOC3"/>
            <w:tabs>
              <w:tab w:val="right" w:leader="dot" w:pos="9770"/>
            </w:tabs>
            <w:rPr>
              <w:rFonts w:asciiTheme="minorHAnsi" w:eastAsiaTheme="minorEastAsia" w:hAnsiTheme="minorHAnsi"/>
              <w:noProof/>
              <w:sz w:val="22"/>
              <w:lang w:eastAsia="en-AU"/>
            </w:rPr>
          </w:pPr>
          <w:hyperlink w:anchor="_Toc62130357" w:history="1">
            <w:r w:rsidR="001D0E41" w:rsidRPr="009D61D8">
              <w:rPr>
                <w:rStyle w:val="Hyperlink"/>
                <w:noProof/>
              </w:rPr>
              <w:t>Peer support workers</w:t>
            </w:r>
            <w:r w:rsidR="001D0E41">
              <w:rPr>
                <w:noProof/>
                <w:webHidden/>
              </w:rPr>
              <w:tab/>
            </w:r>
            <w:r w:rsidR="001D0E41">
              <w:rPr>
                <w:noProof/>
                <w:webHidden/>
              </w:rPr>
              <w:fldChar w:fldCharType="begin"/>
            </w:r>
            <w:r w:rsidR="001D0E41">
              <w:rPr>
                <w:noProof/>
                <w:webHidden/>
              </w:rPr>
              <w:instrText xml:space="preserve"> PAGEREF _Toc62130357 \h </w:instrText>
            </w:r>
            <w:r w:rsidR="001D0E41">
              <w:rPr>
                <w:noProof/>
                <w:webHidden/>
              </w:rPr>
            </w:r>
            <w:r w:rsidR="001D0E41">
              <w:rPr>
                <w:noProof/>
                <w:webHidden/>
              </w:rPr>
              <w:fldChar w:fldCharType="separate"/>
            </w:r>
            <w:r>
              <w:rPr>
                <w:noProof/>
                <w:webHidden/>
              </w:rPr>
              <w:t>7</w:t>
            </w:r>
            <w:r w:rsidR="001D0E41">
              <w:rPr>
                <w:noProof/>
                <w:webHidden/>
              </w:rPr>
              <w:fldChar w:fldCharType="end"/>
            </w:r>
          </w:hyperlink>
        </w:p>
        <w:p w14:paraId="2B152C0C" w14:textId="76FCB18E" w:rsidR="001D0E41" w:rsidRDefault="00ED6D37">
          <w:pPr>
            <w:pStyle w:val="TOC3"/>
            <w:tabs>
              <w:tab w:val="right" w:leader="dot" w:pos="9770"/>
            </w:tabs>
            <w:rPr>
              <w:rFonts w:asciiTheme="minorHAnsi" w:eastAsiaTheme="minorEastAsia" w:hAnsiTheme="minorHAnsi"/>
              <w:noProof/>
              <w:sz w:val="22"/>
              <w:lang w:eastAsia="en-AU"/>
            </w:rPr>
          </w:pPr>
          <w:hyperlink w:anchor="_Toc62130358" w:history="1">
            <w:r w:rsidR="001D0E41" w:rsidRPr="009D61D8">
              <w:rPr>
                <w:rStyle w:val="Hyperlink"/>
                <w:noProof/>
              </w:rPr>
              <w:t>Programs of support and typical patterns of support</w:t>
            </w:r>
            <w:r w:rsidR="001D0E41">
              <w:rPr>
                <w:noProof/>
                <w:webHidden/>
              </w:rPr>
              <w:tab/>
            </w:r>
            <w:r w:rsidR="001D0E41">
              <w:rPr>
                <w:noProof/>
                <w:webHidden/>
              </w:rPr>
              <w:fldChar w:fldCharType="begin"/>
            </w:r>
            <w:r w:rsidR="001D0E41">
              <w:rPr>
                <w:noProof/>
                <w:webHidden/>
              </w:rPr>
              <w:instrText xml:space="preserve"> PAGEREF _Toc62130358 \h </w:instrText>
            </w:r>
            <w:r w:rsidR="001D0E41">
              <w:rPr>
                <w:noProof/>
                <w:webHidden/>
              </w:rPr>
            </w:r>
            <w:r w:rsidR="001D0E41">
              <w:rPr>
                <w:noProof/>
                <w:webHidden/>
              </w:rPr>
              <w:fldChar w:fldCharType="separate"/>
            </w:r>
            <w:r>
              <w:rPr>
                <w:noProof/>
                <w:webHidden/>
              </w:rPr>
              <w:t>7</w:t>
            </w:r>
            <w:r w:rsidR="001D0E41">
              <w:rPr>
                <w:noProof/>
                <w:webHidden/>
              </w:rPr>
              <w:fldChar w:fldCharType="end"/>
            </w:r>
          </w:hyperlink>
        </w:p>
        <w:p w14:paraId="66479349" w14:textId="164E45CB" w:rsidR="001D0E41" w:rsidRDefault="00ED6D37">
          <w:pPr>
            <w:pStyle w:val="TOC3"/>
            <w:tabs>
              <w:tab w:val="right" w:leader="dot" w:pos="9770"/>
            </w:tabs>
            <w:rPr>
              <w:rFonts w:asciiTheme="minorHAnsi" w:eastAsiaTheme="minorEastAsia" w:hAnsiTheme="minorHAnsi"/>
              <w:noProof/>
              <w:sz w:val="22"/>
              <w:lang w:eastAsia="en-AU"/>
            </w:rPr>
          </w:pPr>
          <w:hyperlink w:anchor="_Toc62130359" w:history="1">
            <w:r w:rsidR="001D0E41" w:rsidRPr="009D61D8">
              <w:rPr>
                <w:rStyle w:val="Hyperlink"/>
                <w:noProof/>
              </w:rPr>
              <w:t>Establishment fee rules for supports in employment</w:t>
            </w:r>
            <w:r w:rsidR="001D0E41">
              <w:rPr>
                <w:noProof/>
                <w:webHidden/>
              </w:rPr>
              <w:tab/>
            </w:r>
            <w:r w:rsidR="001D0E41">
              <w:rPr>
                <w:noProof/>
                <w:webHidden/>
              </w:rPr>
              <w:fldChar w:fldCharType="begin"/>
            </w:r>
            <w:r w:rsidR="001D0E41">
              <w:rPr>
                <w:noProof/>
                <w:webHidden/>
              </w:rPr>
              <w:instrText xml:space="preserve"> PAGEREF _Toc62130359 \h </w:instrText>
            </w:r>
            <w:r w:rsidR="001D0E41">
              <w:rPr>
                <w:noProof/>
                <w:webHidden/>
              </w:rPr>
            </w:r>
            <w:r w:rsidR="001D0E41">
              <w:rPr>
                <w:noProof/>
                <w:webHidden/>
              </w:rPr>
              <w:fldChar w:fldCharType="separate"/>
            </w:r>
            <w:r>
              <w:rPr>
                <w:noProof/>
                <w:webHidden/>
              </w:rPr>
              <w:t>9</w:t>
            </w:r>
            <w:r w:rsidR="001D0E41">
              <w:rPr>
                <w:noProof/>
                <w:webHidden/>
              </w:rPr>
              <w:fldChar w:fldCharType="end"/>
            </w:r>
          </w:hyperlink>
        </w:p>
        <w:p w14:paraId="62EA49EF" w14:textId="2731F2B8" w:rsidR="001D0E41" w:rsidRDefault="00ED6D37">
          <w:pPr>
            <w:pStyle w:val="TOC3"/>
            <w:tabs>
              <w:tab w:val="right" w:leader="dot" w:pos="9770"/>
            </w:tabs>
            <w:rPr>
              <w:rFonts w:asciiTheme="minorHAnsi" w:eastAsiaTheme="minorEastAsia" w:hAnsiTheme="minorHAnsi"/>
              <w:noProof/>
              <w:sz w:val="22"/>
              <w:lang w:eastAsia="en-AU"/>
            </w:rPr>
          </w:pPr>
          <w:hyperlink w:anchor="_Toc62130360" w:history="1">
            <w:r w:rsidR="001D0E41" w:rsidRPr="009D61D8">
              <w:rPr>
                <w:rStyle w:val="Hyperlink"/>
                <w:noProof/>
              </w:rPr>
              <w:t>New employees</w:t>
            </w:r>
            <w:r w:rsidR="001D0E41">
              <w:rPr>
                <w:noProof/>
                <w:webHidden/>
              </w:rPr>
              <w:tab/>
            </w:r>
            <w:r w:rsidR="001D0E41">
              <w:rPr>
                <w:noProof/>
                <w:webHidden/>
              </w:rPr>
              <w:fldChar w:fldCharType="begin"/>
            </w:r>
            <w:r w:rsidR="001D0E41">
              <w:rPr>
                <w:noProof/>
                <w:webHidden/>
              </w:rPr>
              <w:instrText xml:space="preserve"> PAGEREF _Toc62130360 \h </w:instrText>
            </w:r>
            <w:r w:rsidR="001D0E41">
              <w:rPr>
                <w:noProof/>
                <w:webHidden/>
              </w:rPr>
            </w:r>
            <w:r w:rsidR="001D0E41">
              <w:rPr>
                <w:noProof/>
                <w:webHidden/>
              </w:rPr>
              <w:fldChar w:fldCharType="separate"/>
            </w:r>
            <w:r>
              <w:rPr>
                <w:noProof/>
                <w:webHidden/>
              </w:rPr>
              <w:t>9</w:t>
            </w:r>
            <w:r w:rsidR="001D0E41">
              <w:rPr>
                <w:noProof/>
                <w:webHidden/>
              </w:rPr>
              <w:fldChar w:fldCharType="end"/>
            </w:r>
          </w:hyperlink>
        </w:p>
        <w:p w14:paraId="51233DAD" w14:textId="28725AC8" w:rsidR="001D0E41" w:rsidRDefault="00ED6D37">
          <w:pPr>
            <w:pStyle w:val="TOC3"/>
            <w:tabs>
              <w:tab w:val="right" w:leader="dot" w:pos="9770"/>
            </w:tabs>
            <w:rPr>
              <w:rFonts w:asciiTheme="minorHAnsi" w:eastAsiaTheme="minorEastAsia" w:hAnsiTheme="minorHAnsi"/>
              <w:noProof/>
              <w:sz w:val="22"/>
              <w:lang w:eastAsia="en-AU"/>
            </w:rPr>
          </w:pPr>
          <w:hyperlink w:anchor="_Toc62130361" w:history="1">
            <w:r w:rsidR="001D0E41" w:rsidRPr="009D61D8">
              <w:rPr>
                <w:rStyle w:val="Hyperlink"/>
                <w:noProof/>
                <w:lang w:eastAsia="en-AU"/>
              </w:rPr>
              <w:t>NDIS Disability Support Worker Cost Model</w:t>
            </w:r>
            <w:r w:rsidR="001D0E41">
              <w:rPr>
                <w:noProof/>
                <w:webHidden/>
              </w:rPr>
              <w:tab/>
            </w:r>
            <w:r w:rsidR="001D0E41">
              <w:rPr>
                <w:noProof/>
                <w:webHidden/>
              </w:rPr>
              <w:fldChar w:fldCharType="begin"/>
            </w:r>
            <w:r w:rsidR="001D0E41">
              <w:rPr>
                <w:noProof/>
                <w:webHidden/>
              </w:rPr>
              <w:instrText xml:space="preserve"> PAGEREF _Toc62130361 \h </w:instrText>
            </w:r>
            <w:r w:rsidR="001D0E41">
              <w:rPr>
                <w:noProof/>
                <w:webHidden/>
              </w:rPr>
            </w:r>
            <w:r w:rsidR="001D0E41">
              <w:rPr>
                <w:noProof/>
                <w:webHidden/>
              </w:rPr>
              <w:fldChar w:fldCharType="separate"/>
            </w:r>
            <w:r>
              <w:rPr>
                <w:noProof/>
                <w:webHidden/>
              </w:rPr>
              <w:t>10</w:t>
            </w:r>
            <w:r w:rsidR="001D0E41">
              <w:rPr>
                <w:noProof/>
                <w:webHidden/>
              </w:rPr>
              <w:fldChar w:fldCharType="end"/>
            </w:r>
          </w:hyperlink>
        </w:p>
        <w:p w14:paraId="5001E63F" w14:textId="2415A75C" w:rsidR="001D0E41" w:rsidRDefault="00ED6D37">
          <w:pPr>
            <w:pStyle w:val="TOC3"/>
            <w:tabs>
              <w:tab w:val="right" w:leader="dot" w:pos="9770"/>
            </w:tabs>
            <w:rPr>
              <w:rFonts w:asciiTheme="minorHAnsi" w:eastAsiaTheme="minorEastAsia" w:hAnsiTheme="minorHAnsi"/>
              <w:noProof/>
              <w:sz w:val="22"/>
              <w:lang w:eastAsia="en-AU"/>
            </w:rPr>
          </w:pPr>
          <w:hyperlink w:anchor="_Toc62130362" w:history="1">
            <w:r w:rsidR="001D0E41" w:rsidRPr="009D61D8">
              <w:rPr>
                <w:rStyle w:val="Hyperlink"/>
                <w:noProof/>
                <w:lang w:eastAsia="en-AU"/>
              </w:rPr>
              <w:t>Pricing arrangements in remote and very remote areas</w:t>
            </w:r>
            <w:r w:rsidR="001D0E41">
              <w:rPr>
                <w:noProof/>
                <w:webHidden/>
              </w:rPr>
              <w:tab/>
            </w:r>
            <w:r w:rsidR="001D0E41">
              <w:rPr>
                <w:noProof/>
                <w:webHidden/>
              </w:rPr>
              <w:fldChar w:fldCharType="begin"/>
            </w:r>
            <w:r w:rsidR="001D0E41">
              <w:rPr>
                <w:noProof/>
                <w:webHidden/>
              </w:rPr>
              <w:instrText xml:space="preserve"> PAGEREF _Toc62130362 \h </w:instrText>
            </w:r>
            <w:r w:rsidR="001D0E41">
              <w:rPr>
                <w:noProof/>
                <w:webHidden/>
              </w:rPr>
            </w:r>
            <w:r w:rsidR="001D0E41">
              <w:rPr>
                <w:noProof/>
                <w:webHidden/>
              </w:rPr>
              <w:fldChar w:fldCharType="separate"/>
            </w:r>
            <w:r>
              <w:rPr>
                <w:noProof/>
                <w:webHidden/>
              </w:rPr>
              <w:t>10</w:t>
            </w:r>
            <w:r w:rsidR="001D0E41">
              <w:rPr>
                <w:noProof/>
                <w:webHidden/>
              </w:rPr>
              <w:fldChar w:fldCharType="end"/>
            </w:r>
          </w:hyperlink>
        </w:p>
        <w:p w14:paraId="73EAD4E7" w14:textId="510D9FD9" w:rsidR="001D0E41" w:rsidRDefault="00ED6D37">
          <w:pPr>
            <w:pStyle w:val="TOC2"/>
            <w:rPr>
              <w:rFonts w:asciiTheme="minorHAnsi" w:eastAsiaTheme="minorEastAsia" w:hAnsiTheme="minorHAnsi"/>
              <w:noProof/>
              <w:sz w:val="22"/>
              <w:lang w:eastAsia="en-AU"/>
            </w:rPr>
          </w:pPr>
          <w:hyperlink w:anchor="_Toc62130363" w:history="1">
            <w:r w:rsidR="001D0E41" w:rsidRPr="009D61D8">
              <w:rPr>
                <w:rStyle w:val="Hyperlink"/>
                <w:noProof/>
              </w:rPr>
              <w:t>Transition to the new pricing framework</w:t>
            </w:r>
            <w:r w:rsidR="001D0E41">
              <w:rPr>
                <w:noProof/>
                <w:webHidden/>
              </w:rPr>
              <w:tab/>
            </w:r>
            <w:r w:rsidR="001D0E41">
              <w:rPr>
                <w:noProof/>
                <w:webHidden/>
              </w:rPr>
              <w:fldChar w:fldCharType="begin"/>
            </w:r>
            <w:r w:rsidR="001D0E41">
              <w:rPr>
                <w:noProof/>
                <w:webHidden/>
              </w:rPr>
              <w:instrText xml:space="preserve"> PAGEREF _Toc62130363 \h </w:instrText>
            </w:r>
            <w:r w:rsidR="001D0E41">
              <w:rPr>
                <w:noProof/>
                <w:webHidden/>
              </w:rPr>
            </w:r>
            <w:r w:rsidR="001D0E41">
              <w:rPr>
                <w:noProof/>
                <w:webHidden/>
              </w:rPr>
              <w:fldChar w:fldCharType="separate"/>
            </w:r>
            <w:r>
              <w:rPr>
                <w:noProof/>
                <w:webHidden/>
              </w:rPr>
              <w:t>11</w:t>
            </w:r>
            <w:r w:rsidR="001D0E41">
              <w:rPr>
                <w:noProof/>
                <w:webHidden/>
              </w:rPr>
              <w:fldChar w:fldCharType="end"/>
            </w:r>
          </w:hyperlink>
        </w:p>
        <w:p w14:paraId="12F68FD7" w14:textId="0C737516" w:rsidR="001D0E41" w:rsidRDefault="00ED6D37">
          <w:pPr>
            <w:pStyle w:val="TOC3"/>
            <w:tabs>
              <w:tab w:val="right" w:leader="dot" w:pos="9770"/>
            </w:tabs>
            <w:rPr>
              <w:rFonts w:asciiTheme="minorHAnsi" w:eastAsiaTheme="minorEastAsia" w:hAnsiTheme="minorHAnsi"/>
              <w:noProof/>
              <w:sz w:val="22"/>
              <w:lang w:eastAsia="en-AU"/>
            </w:rPr>
          </w:pPr>
          <w:hyperlink w:anchor="_Toc62130364" w:history="1">
            <w:r w:rsidR="001D0E41" w:rsidRPr="009D61D8">
              <w:rPr>
                <w:rStyle w:val="Hyperlink"/>
                <w:noProof/>
              </w:rPr>
              <w:t>Preparing participants and NDIA staff for the change</w:t>
            </w:r>
            <w:r w:rsidR="001D0E41">
              <w:rPr>
                <w:noProof/>
                <w:webHidden/>
              </w:rPr>
              <w:tab/>
            </w:r>
            <w:r w:rsidR="001D0E41">
              <w:rPr>
                <w:noProof/>
                <w:webHidden/>
              </w:rPr>
              <w:fldChar w:fldCharType="begin"/>
            </w:r>
            <w:r w:rsidR="001D0E41">
              <w:rPr>
                <w:noProof/>
                <w:webHidden/>
              </w:rPr>
              <w:instrText xml:space="preserve"> PAGEREF _Toc62130364 \h </w:instrText>
            </w:r>
            <w:r w:rsidR="001D0E41">
              <w:rPr>
                <w:noProof/>
                <w:webHidden/>
              </w:rPr>
            </w:r>
            <w:r w:rsidR="001D0E41">
              <w:rPr>
                <w:noProof/>
                <w:webHidden/>
              </w:rPr>
              <w:fldChar w:fldCharType="separate"/>
            </w:r>
            <w:r>
              <w:rPr>
                <w:noProof/>
                <w:webHidden/>
              </w:rPr>
              <w:t>11</w:t>
            </w:r>
            <w:r w:rsidR="001D0E41">
              <w:rPr>
                <w:noProof/>
                <w:webHidden/>
              </w:rPr>
              <w:fldChar w:fldCharType="end"/>
            </w:r>
          </w:hyperlink>
        </w:p>
        <w:p w14:paraId="17F8F091" w14:textId="20CFF63F" w:rsidR="001D0E41" w:rsidRDefault="00ED6D37">
          <w:pPr>
            <w:pStyle w:val="TOC3"/>
            <w:tabs>
              <w:tab w:val="right" w:leader="dot" w:pos="9770"/>
            </w:tabs>
            <w:rPr>
              <w:rFonts w:asciiTheme="minorHAnsi" w:eastAsiaTheme="minorEastAsia" w:hAnsiTheme="minorHAnsi"/>
              <w:noProof/>
              <w:sz w:val="22"/>
              <w:lang w:eastAsia="en-AU"/>
            </w:rPr>
          </w:pPr>
          <w:hyperlink w:anchor="_Toc62130365" w:history="1">
            <w:r w:rsidR="001D0E41" w:rsidRPr="009D61D8">
              <w:rPr>
                <w:rStyle w:val="Hyperlink"/>
                <w:noProof/>
              </w:rPr>
              <w:t>ADEs choosing when to transition</w:t>
            </w:r>
            <w:r w:rsidR="001D0E41">
              <w:rPr>
                <w:noProof/>
                <w:webHidden/>
              </w:rPr>
              <w:tab/>
            </w:r>
            <w:r w:rsidR="001D0E41">
              <w:rPr>
                <w:noProof/>
                <w:webHidden/>
              </w:rPr>
              <w:fldChar w:fldCharType="begin"/>
            </w:r>
            <w:r w:rsidR="001D0E41">
              <w:rPr>
                <w:noProof/>
                <w:webHidden/>
              </w:rPr>
              <w:instrText xml:space="preserve"> PAGEREF _Toc62130365 \h </w:instrText>
            </w:r>
            <w:r w:rsidR="001D0E41">
              <w:rPr>
                <w:noProof/>
                <w:webHidden/>
              </w:rPr>
            </w:r>
            <w:r w:rsidR="001D0E41">
              <w:rPr>
                <w:noProof/>
                <w:webHidden/>
              </w:rPr>
              <w:fldChar w:fldCharType="separate"/>
            </w:r>
            <w:r>
              <w:rPr>
                <w:noProof/>
                <w:webHidden/>
              </w:rPr>
              <w:t>11</w:t>
            </w:r>
            <w:r w:rsidR="001D0E41">
              <w:rPr>
                <w:noProof/>
                <w:webHidden/>
              </w:rPr>
              <w:fldChar w:fldCharType="end"/>
            </w:r>
          </w:hyperlink>
        </w:p>
        <w:p w14:paraId="4431ACC3" w14:textId="1660420A" w:rsidR="001D0E41" w:rsidRDefault="00ED6D37">
          <w:pPr>
            <w:pStyle w:val="TOC3"/>
            <w:tabs>
              <w:tab w:val="right" w:leader="dot" w:pos="9770"/>
            </w:tabs>
            <w:rPr>
              <w:rFonts w:asciiTheme="minorHAnsi" w:eastAsiaTheme="minorEastAsia" w:hAnsiTheme="minorHAnsi"/>
              <w:noProof/>
              <w:sz w:val="22"/>
              <w:lang w:eastAsia="en-AU"/>
            </w:rPr>
          </w:pPr>
          <w:hyperlink w:anchor="_Toc62130366" w:history="1">
            <w:r w:rsidR="001D0E41" w:rsidRPr="009D61D8">
              <w:rPr>
                <w:rStyle w:val="Hyperlink"/>
                <w:noProof/>
              </w:rPr>
              <w:t>Claiming during transition</w:t>
            </w:r>
            <w:r w:rsidR="001D0E41">
              <w:rPr>
                <w:noProof/>
                <w:webHidden/>
              </w:rPr>
              <w:tab/>
            </w:r>
            <w:r w:rsidR="001D0E41">
              <w:rPr>
                <w:noProof/>
                <w:webHidden/>
              </w:rPr>
              <w:fldChar w:fldCharType="begin"/>
            </w:r>
            <w:r w:rsidR="001D0E41">
              <w:rPr>
                <w:noProof/>
                <w:webHidden/>
              </w:rPr>
              <w:instrText xml:space="preserve"> PAGEREF _Toc62130366 \h </w:instrText>
            </w:r>
            <w:r w:rsidR="001D0E41">
              <w:rPr>
                <w:noProof/>
                <w:webHidden/>
              </w:rPr>
            </w:r>
            <w:r w:rsidR="001D0E41">
              <w:rPr>
                <w:noProof/>
                <w:webHidden/>
              </w:rPr>
              <w:fldChar w:fldCharType="separate"/>
            </w:r>
            <w:r>
              <w:rPr>
                <w:noProof/>
                <w:webHidden/>
              </w:rPr>
              <w:t>11</w:t>
            </w:r>
            <w:r w:rsidR="001D0E41">
              <w:rPr>
                <w:noProof/>
                <w:webHidden/>
              </w:rPr>
              <w:fldChar w:fldCharType="end"/>
            </w:r>
          </w:hyperlink>
        </w:p>
        <w:p w14:paraId="40BD969F" w14:textId="6CC88971" w:rsidR="001D0E41" w:rsidRDefault="00ED6D37">
          <w:pPr>
            <w:pStyle w:val="TOC2"/>
            <w:rPr>
              <w:rFonts w:asciiTheme="minorHAnsi" w:eastAsiaTheme="minorEastAsia" w:hAnsiTheme="minorHAnsi"/>
              <w:noProof/>
              <w:sz w:val="22"/>
              <w:lang w:eastAsia="en-AU"/>
            </w:rPr>
          </w:pPr>
          <w:hyperlink w:anchor="_Toc62130367" w:history="1">
            <w:r w:rsidR="001D0E41" w:rsidRPr="009D61D8">
              <w:rPr>
                <w:rStyle w:val="Hyperlink"/>
                <w:noProof/>
              </w:rPr>
              <w:t>Provider responsibilities</w:t>
            </w:r>
            <w:r w:rsidR="001D0E41">
              <w:rPr>
                <w:noProof/>
                <w:webHidden/>
              </w:rPr>
              <w:tab/>
            </w:r>
            <w:r w:rsidR="001D0E41">
              <w:rPr>
                <w:noProof/>
                <w:webHidden/>
              </w:rPr>
              <w:fldChar w:fldCharType="begin"/>
            </w:r>
            <w:r w:rsidR="001D0E41">
              <w:rPr>
                <w:noProof/>
                <w:webHidden/>
              </w:rPr>
              <w:instrText xml:space="preserve"> PAGEREF _Toc62130367 \h </w:instrText>
            </w:r>
            <w:r w:rsidR="001D0E41">
              <w:rPr>
                <w:noProof/>
                <w:webHidden/>
              </w:rPr>
            </w:r>
            <w:r w:rsidR="001D0E41">
              <w:rPr>
                <w:noProof/>
                <w:webHidden/>
              </w:rPr>
              <w:fldChar w:fldCharType="separate"/>
            </w:r>
            <w:r>
              <w:rPr>
                <w:noProof/>
                <w:webHidden/>
              </w:rPr>
              <w:t>14</w:t>
            </w:r>
            <w:r w:rsidR="001D0E41">
              <w:rPr>
                <w:noProof/>
                <w:webHidden/>
              </w:rPr>
              <w:fldChar w:fldCharType="end"/>
            </w:r>
          </w:hyperlink>
        </w:p>
        <w:p w14:paraId="44482D2D" w14:textId="1350FBA4" w:rsidR="001D0E41" w:rsidRDefault="00ED6D37">
          <w:pPr>
            <w:pStyle w:val="TOC3"/>
            <w:tabs>
              <w:tab w:val="right" w:leader="dot" w:pos="9770"/>
            </w:tabs>
            <w:rPr>
              <w:rFonts w:asciiTheme="minorHAnsi" w:eastAsiaTheme="minorEastAsia" w:hAnsiTheme="minorHAnsi"/>
              <w:noProof/>
              <w:sz w:val="22"/>
              <w:lang w:eastAsia="en-AU"/>
            </w:rPr>
          </w:pPr>
          <w:hyperlink w:anchor="_Toc62130368" w:history="1">
            <w:r w:rsidR="001D0E41" w:rsidRPr="009D61D8">
              <w:rPr>
                <w:rStyle w:val="Hyperlink"/>
                <w:noProof/>
              </w:rPr>
              <w:t>Service agreements and Employment Contracts</w:t>
            </w:r>
            <w:r w:rsidR="001D0E41">
              <w:rPr>
                <w:noProof/>
                <w:webHidden/>
              </w:rPr>
              <w:tab/>
            </w:r>
            <w:r w:rsidR="001D0E41">
              <w:rPr>
                <w:noProof/>
                <w:webHidden/>
              </w:rPr>
              <w:fldChar w:fldCharType="begin"/>
            </w:r>
            <w:r w:rsidR="001D0E41">
              <w:rPr>
                <w:noProof/>
                <w:webHidden/>
              </w:rPr>
              <w:instrText xml:space="preserve"> PAGEREF _Toc62130368 \h </w:instrText>
            </w:r>
            <w:r w:rsidR="001D0E41">
              <w:rPr>
                <w:noProof/>
                <w:webHidden/>
              </w:rPr>
            </w:r>
            <w:r w:rsidR="001D0E41">
              <w:rPr>
                <w:noProof/>
                <w:webHidden/>
              </w:rPr>
              <w:fldChar w:fldCharType="separate"/>
            </w:r>
            <w:r>
              <w:rPr>
                <w:noProof/>
                <w:webHidden/>
              </w:rPr>
              <w:t>14</w:t>
            </w:r>
            <w:r w:rsidR="001D0E41">
              <w:rPr>
                <w:noProof/>
                <w:webHidden/>
              </w:rPr>
              <w:fldChar w:fldCharType="end"/>
            </w:r>
          </w:hyperlink>
        </w:p>
        <w:p w14:paraId="1FF9E1E7" w14:textId="3949E5C9" w:rsidR="001D0E41" w:rsidRDefault="00ED6D37">
          <w:pPr>
            <w:pStyle w:val="TOC3"/>
            <w:tabs>
              <w:tab w:val="right" w:leader="dot" w:pos="9770"/>
            </w:tabs>
            <w:rPr>
              <w:rFonts w:asciiTheme="minorHAnsi" w:eastAsiaTheme="minorEastAsia" w:hAnsiTheme="minorHAnsi"/>
              <w:noProof/>
              <w:sz w:val="22"/>
              <w:lang w:eastAsia="en-AU"/>
            </w:rPr>
          </w:pPr>
          <w:hyperlink w:anchor="_Toc62130369" w:history="1">
            <w:r w:rsidR="001D0E41" w:rsidRPr="009D61D8">
              <w:rPr>
                <w:rStyle w:val="Hyperlink"/>
                <w:noProof/>
              </w:rPr>
              <w:t>Evidence of service</w:t>
            </w:r>
            <w:r w:rsidR="001D0E41">
              <w:rPr>
                <w:noProof/>
                <w:webHidden/>
              </w:rPr>
              <w:tab/>
            </w:r>
            <w:r w:rsidR="001D0E41">
              <w:rPr>
                <w:noProof/>
                <w:webHidden/>
              </w:rPr>
              <w:fldChar w:fldCharType="begin"/>
            </w:r>
            <w:r w:rsidR="001D0E41">
              <w:rPr>
                <w:noProof/>
                <w:webHidden/>
              </w:rPr>
              <w:instrText xml:space="preserve"> PAGEREF _Toc62130369 \h </w:instrText>
            </w:r>
            <w:r w:rsidR="001D0E41">
              <w:rPr>
                <w:noProof/>
                <w:webHidden/>
              </w:rPr>
            </w:r>
            <w:r w:rsidR="001D0E41">
              <w:rPr>
                <w:noProof/>
                <w:webHidden/>
              </w:rPr>
              <w:fldChar w:fldCharType="separate"/>
            </w:r>
            <w:r>
              <w:rPr>
                <w:noProof/>
                <w:webHidden/>
              </w:rPr>
              <w:t>14</w:t>
            </w:r>
            <w:r w:rsidR="001D0E41">
              <w:rPr>
                <w:noProof/>
                <w:webHidden/>
              </w:rPr>
              <w:fldChar w:fldCharType="end"/>
            </w:r>
          </w:hyperlink>
        </w:p>
        <w:p w14:paraId="505C2A7E" w14:textId="3BE9AE8A" w:rsidR="001D0E41" w:rsidRDefault="00ED6D37">
          <w:pPr>
            <w:pStyle w:val="TOC2"/>
            <w:rPr>
              <w:rFonts w:asciiTheme="minorHAnsi" w:eastAsiaTheme="minorEastAsia" w:hAnsiTheme="minorHAnsi"/>
              <w:noProof/>
              <w:sz w:val="22"/>
              <w:lang w:eastAsia="en-AU"/>
            </w:rPr>
          </w:pPr>
          <w:hyperlink w:anchor="_Toc62130370" w:history="1">
            <w:r w:rsidR="001D0E41" w:rsidRPr="009D61D8">
              <w:rPr>
                <w:rStyle w:val="Hyperlink"/>
                <w:noProof/>
              </w:rPr>
              <w:t>Additional resources</w:t>
            </w:r>
            <w:r w:rsidR="001D0E41">
              <w:rPr>
                <w:noProof/>
                <w:webHidden/>
              </w:rPr>
              <w:tab/>
            </w:r>
            <w:r w:rsidR="001D0E41">
              <w:rPr>
                <w:noProof/>
                <w:webHidden/>
              </w:rPr>
              <w:fldChar w:fldCharType="begin"/>
            </w:r>
            <w:r w:rsidR="001D0E41">
              <w:rPr>
                <w:noProof/>
                <w:webHidden/>
              </w:rPr>
              <w:instrText xml:space="preserve"> PAGEREF _Toc62130370 \h </w:instrText>
            </w:r>
            <w:r w:rsidR="001D0E41">
              <w:rPr>
                <w:noProof/>
                <w:webHidden/>
              </w:rPr>
            </w:r>
            <w:r w:rsidR="001D0E41">
              <w:rPr>
                <w:noProof/>
                <w:webHidden/>
              </w:rPr>
              <w:fldChar w:fldCharType="separate"/>
            </w:r>
            <w:r>
              <w:rPr>
                <w:noProof/>
                <w:webHidden/>
              </w:rPr>
              <w:t>14</w:t>
            </w:r>
            <w:r w:rsidR="001D0E41">
              <w:rPr>
                <w:noProof/>
                <w:webHidden/>
              </w:rPr>
              <w:fldChar w:fldCharType="end"/>
            </w:r>
          </w:hyperlink>
        </w:p>
        <w:p w14:paraId="414DA9EE" w14:textId="68592898" w:rsidR="00DE192C" w:rsidRDefault="00DE192C" w:rsidP="00A24AD9">
          <w:r>
            <w:rPr>
              <w:b/>
              <w:bCs/>
              <w:noProof/>
            </w:rPr>
            <w:fldChar w:fldCharType="end"/>
          </w:r>
        </w:p>
      </w:sdtContent>
    </w:sdt>
    <w:p w14:paraId="6517996C" w14:textId="09D0F939" w:rsidR="00026CB6" w:rsidRDefault="00026CB6">
      <w:pPr>
        <w:spacing w:after="200"/>
        <w:rPr>
          <w:rFonts w:eastAsiaTheme="majorEastAsia" w:cstheme="majorBidi"/>
          <w:b/>
          <w:color w:val="652F76"/>
          <w:sz w:val="32"/>
          <w:szCs w:val="26"/>
        </w:rPr>
      </w:pPr>
      <w:r>
        <w:br w:type="page"/>
      </w:r>
    </w:p>
    <w:p w14:paraId="5565AE68" w14:textId="77777777" w:rsidR="00DE192C" w:rsidRPr="009165D4" w:rsidRDefault="00DE192C" w:rsidP="00A24AD9">
      <w:pPr>
        <w:pStyle w:val="Heading2"/>
        <w:spacing w:line="276" w:lineRule="auto"/>
      </w:pPr>
      <w:bookmarkStart w:id="2" w:name="_Toc62130349"/>
      <w:r w:rsidRPr="009165D4">
        <w:lastRenderedPageBreak/>
        <w:t xml:space="preserve">About </w:t>
      </w:r>
      <w:r w:rsidR="008B2991">
        <w:t>t</w:t>
      </w:r>
      <w:r w:rsidRPr="009165D4">
        <w:t>his handbook</w:t>
      </w:r>
      <w:bookmarkEnd w:id="2"/>
    </w:p>
    <w:p w14:paraId="38E0B462" w14:textId="77777777" w:rsidR="00DE192C" w:rsidRPr="008873E8" w:rsidRDefault="00DE192C" w:rsidP="00A24AD9">
      <w:r>
        <w:t>The</w:t>
      </w:r>
      <w:r w:rsidRPr="008873E8">
        <w:t xml:space="preserve"> N</w:t>
      </w:r>
      <w:r>
        <w:t xml:space="preserve">ational </w:t>
      </w:r>
      <w:r w:rsidRPr="008873E8">
        <w:t>D</w:t>
      </w:r>
      <w:r>
        <w:t xml:space="preserve">isability </w:t>
      </w:r>
      <w:r w:rsidRPr="008873E8">
        <w:t>I</w:t>
      </w:r>
      <w:r>
        <w:t xml:space="preserve">nsurance </w:t>
      </w:r>
      <w:r w:rsidRPr="008873E8">
        <w:t>A</w:t>
      </w:r>
      <w:r>
        <w:t>gency</w:t>
      </w:r>
      <w:r w:rsidRPr="008873E8">
        <w:t xml:space="preserve"> </w:t>
      </w:r>
      <w:r w:rsidR="007B59A8">
        <w:t xml:space="preserve">(NDIA) </w:t>
      </w:r>
      <w:r>
        <w:t>funds</w:t>
      </w:r>
      <w:r w:rsidRPr="008873E8">
        <w:t xml:space="preserve"> a range of supports to assist </w:t>
      </w:r>
      <w:r w:rsidR="007B59A8">
        <w:t xml:space="preserve">National Disability Insurance Scheme (NDIS) </w:t>
      </w:r>
      <w:r w:rsidRPr="008873E8">
        <w:t>participants achieve their employment goals</w:t>
      </w:r>
      <w:r w:rsidR="007B59A8">
        <w:t>.</w:t>
      </w:r>
      <w:r w:rsidRPr="008873E8">
        <w:t xml:space="preserve"> </w:t>
      </w:r>
      <w:r>
        <w:t>S</w:t>
      </w:r>
      <w:r w:rsidRPr="008873E8">
        <w:t xml:space="preserve">upports in </w:t>
      </w:r>
      <w:r w:rsidR="005F493D">
        <w:t>e</w:t>
      </w:r>
      <w:r w:rsidR="005F493D" w:rsidRPr="008873E8">
        <w:t xml:space="preserve">mployment </w:t>
      </w:r>
      <w:r w:rsidRPr="008873E8">
        <w:t>is one</w:t>
      </w:r>
      <w:r w:rsidR="007B59A8">
        <w:t xml:space="preserve"> of these types of support</w:t>
      </w:r>
      <w:r w:rsidRPr="008873E8">
        <w:t>.</w:t>
      </w:r>
    </w:p>
    <w:p w14:paraId="1F74DCF5" w14:textId="77777777" w:rsidR="00DE192C" w:rsidRPr="008873E8" w:rsidRDefault="00DE192C" w:rsidP="00A24AD9">
      <w:r w:rsidRPr="008873E8">
        <w:t xml:space="preserve">This handbook is primarily for providers of </w:t>
      </w:r>
      <w:r w:rsidR="005F493D">
        <w:t>s</w:t>
      </w:r>
      <w:r w:rsidR="005F493D" w:rsidRPr="008873E8">
        <w:t xml:space="preserve">upports </w:t>
      </w:r>
      <w:r w:rsidRPr="008873E8">
        <w:t xml:space="preserve">in </w:t>
      </w:r>
      <w:r w:rsidR="005F493D">
        <w:t>e</w:t>
      </w:r>
      <w:r w:rsidRPr="008873E8">
        <w:t xml:space="preserve">mployment under the registration group </w:t>
      </w:r>
      <w:r>
        <w:t xml:space="preserve">Specialised Supported Employment. The information is tailored to the </w:t>
      </w:r>
      <w:r w:rsidR="007B59A8">
        <w:t>Australian Disability Enterprise (</w:t>
      </w:r>
      <w:r>
        <w:t>ADE</w:t>
      </w:r>
      <w:r w:rsidR="007B59A8">
        <w:t>)</w:t>
      </w:r>
      <w:r>
        <w:t xml:space="preserve"> environment to</w:t>
      </w:r>
      <w:r w:rsidRPr="008873E8">
        <w:t xml:space="preserve"> support the </w:t>
      </w:r>
      <w:r>
        <w:t xml:space="preserve">transition of </w:t>
      </w:r>
      <w:r w:rsidR="007B59A8">
        <w:t>ADE</w:t>
      </w:r>
      <w:r w:rsidR="00A369FB">
        <w:t xml:space="preserve">s </w:t>
      </w:r>
      <w:r w:rsidR="007B59A8">
        <w:t xml:space="preserve">and ADE </w:t>
      </w:r>
      <w:r w:rsidR="00CE2045">
        <w:t>employees to</w:t>
      </w:r>
      <w:r>
        <w:t xml:space="preserve"> the </w:t>
      </w:r>
      <w:r w:rsidR="007B59A8">
        <w:t xml:space="preserve">NDIA’s </w:t>
      </w:r>
      <w:r>
        <w:t xml:space="preserve">new </w:t>
      </w:r>
      <w:r w:rsidRPr="008873E8">
        <w:t>pricing framework</w:t>
      </w:r>
      <w:r w:rsidR="00A369FB">
        <w:t xml:space="preserve"> for support</w:t>
      </w:r>
      <w:r w:rsidR="005F493D">
        <w:t xml:space="preserve">s in </w:t>
      </w:r>
      <w:r w:rsidR="00A369FB" w:rsidRPr="008873E8">
        <w:t>employment</w:t>
      </w:r>
      <w:r w:rsidRPr="008873E8">
        <w:t xml:space="preserve">. </w:t>
      </w:r>
    </w:p>
    <w:p w14:paraId="614D762C" w14:textId="25828B62" w:rsidR="00DE192C" w:rsidRDefault="00DE192C" w:rsidP="00A24AD9">
      <w:r w:rsidRPr="008873E8">
        <w:t>Th</w:t>
      </w:r>
      <w:r w:rsidR="006E1755">
        <w:t>e</w:t>
      </w:r>
      <w:r w:rsidRPr="008873E8">
        <w:t xml:space="preserve"> </w:t>
      </w:r>
      <w:r w:rsidR="00BD2C31">
        <w:t>contents are</w:t>
      </w:r>
      <w:r w:rsidRPr="008873E8">
        <w:t xml:space="preserve"> not intended to replicate </w:t>
      </w:r>
      <w:r w:rsidR="00BD2C31">
        <w:t xml:space="preserve">or replace </w:t>
      </w:r>
      <w:r w:rsidRPr="008873E8">
        <w:t xml:space="preserve">the information contained in the </w:t>
      </w:r>
      <w:hyperlink r:id="rId11" w:history="1">
        <w:r w:rsidRPr="00A369FB">
          <w:rPr>
            <w:rStyle w:val="Hyperlink"/>
          </w:rPr>
          <w:t>NDIS Pric</w:t>
        </w:r>
        <w:r w:rsidR="00A326AF">
          <w:rPr>
            <w:rStyle w:val="Hyperlink"/>
          </w:rPr>
          <w:t>ing Arrangements and Price Limits</w:t>
        </w:r>
      </w:hyperlink>
      <w:r>
        <w:t xml:space="preserve">. </w:t>
      </w:r>
    </w:p>
    <w:p w14:paraId="73BB67A6" w14:textId="77777777" w:rsidR="00DE192C" w:rsidRPr="008B2991" w:rsidRDefault="00DE192C" w:rsidP="00A24AD9">
      <w:pPr>
        <w:pStyle w:val="Heading2"/>
        <w:spacing w:line="276" w:lineRule="auto"/>
      </w:pPr>
      <w:bookmarkStart w:id="3" w:name="_Toc62130350"/>
      <w:r>
        <w:t>Background</w:t>
      </w:r>
      <w:bookmarkEnd w:id="3"/>
    </w:p>
    <w:p w14:paraId="77843A32" w14:textId="77777777" w:rsidR="00B528FC" w:rsidRPr="0023664C" w:rsidRDefault="0023664C" w:rsidP="00A24AD9">
      <w:pPr>
        <w:pStyle w:val="Heading3"/>
        <w:spacing w:line="276" w:lineRule="auto"/>
      </w:pPr>
      <w:bookmarkStart w:id="4" w:name="_Toc62130351"/>
      <w:r w:rsidRPr="0023664C">
        <w:t>The value of employment</w:t>
      </w:r>
      <w:bookmarkEnd w:id="4"/>
    </w:p>
    <w:p w14:paraId="26B989C6" w14:textId="77777777" w:rsidR="00B528FC" w:rsidRDefault="005F737E" w:rsidP="00A24AD9">
      <w:r>
        <w:t>The</w:t>
      </w:r>
      <w:r w:rsidR="0097024B">
        <w:t>re are many</w:t>
      </w:r>
      <w:r>
        <w:t xml:space="preserve"> benefits </w:t>
      </w:r>
      <w:r w:rsidR="005F493D">
        <w:t>to having a job</w:t>
      </w:r>
      <w:r w:rsidR="0097024B">
        <w:t>.</w:t>
      </w:r>
      <w:r w:rsidR="00182E14">
        <w:t xml:space="preserve"> </w:t>
      </w:r>
      <w:r w:rsidR="0097024B">
        <w:t xml:space="preserve">It can build </w:t>
      </w:r>
      <w:r w:rsidR="00695ECA">
        <w:t>financial</w:t>
      </w:r>
      <w:r w:rsidR="009116D4">
        <w:t xml:space="preserve"> </w:t>
      </w:r>
      <w:r w:rsidR="007578E5">
        <w:t>independence</w:t>
      </w:r>
      <w:r w:rsidR="002A0423">
        <w:t xml:space="preserve"> and </w:t>
      </w:r>
      <w:r w:rsidR="00A74239">
        <w:t>self-</w:t>
      </w:r>
      <w:r w:rsidR="00695ECA">
        <w:t>worth</w:t>
      </w:r>
      <w:r w:rsidR="00AD1738">
        <w:t xml:space="preserve">, </w:t>
      </w:r>
      <w:r w:rsidR="00437C7B">
        <w:t>improve</w:t>
      </w:r>
      <w:r>
        <w:t xml:space="preserve"> health and</w:t>
      </w:r>
      <w:r w:rsidR="00182E14">
        <w:t xml:space="preserve"> </w:t>
      </w:r>
      <w:r w:rsidR="00D514EE">
        <w:t>we</w:t>
      </w:r>
      <w:r w:rsidR="00975BCF">
        <w:t>ll</w:t>
      </w:r>
      <w:r w:rsidR="00D514EE">
        <w:t>being</w:t>
      </w:r>
      <w:r>
        <w:t>, strengthen social connections</w:t>
      </w:r>
      <w:r w:rsidR="00182E14">
        <w:t xml:space="preserve"> </w:t>
      </w:r>
      <w:r w:rsidR="00AD1738">
        <w:t>and</w:t>
      </w:r>
      <w:r w:rsidR="00075713">
        <w:t xml:space="preserve"> </w:t>
      </w:r>
      <w:r w:rsidR="00217700">
        <w:t>open opportunities</w:t>
      </w:r>
      <w:r w:rsidR="007578E5">
        <w:t xml:space="preserve"> for </w:t>
      </w:r>
      <w:r w:rsidR="00867DC8">
        <w:t>skill</w:t>
      </w:r>
      <w:r w:rsidR="00182E14">
        <w:t xml:space="preserve"> development</w:t>
      </w:r>
      <w:r w:rsidR="000E4C08">
        <w:t>.</w:t>
      </w:r>
      <w:r w:rsidR="00A74239">
        <w:t xml:space="preserve"> </w:t>
      </w:r>
      <w:r w:rsidR="00FC65A7">
        <w:t xml:space="preserve">NDIS funding </w:t>
      </w:r>
      <w:r w:rsidR="002A0423">
        <w:t xml:space="preserve">can </w:t>
      </w:r>
      <w:r w:rsidR="001E1B96">
        <w:t xml:space="preserve">play a </w:t>
      </w:r>
      <w:r w:rsidR="002A0423">
        <w:t>significant</w:t>
      </w:r>
      <w:r w:rsidR="001E1B96">
        <w:t xml:space="preserve"> role in enabling</w:t>
      </w:r>
      <w:r w:rsidR="00901471">
        <w:t xml:space="preserve"> </w:t>
      </w:r>
      <w:r w:rsidR="001D0980">
        <w:t>participants</w:t>
      </w:r>
      <w:r w:rsidR="00BD2C31">
        <w:t xml:space="preserve"> to share in the</w:t>
      </w:r>
      <w:r w:rsidR="001E1B96">
        <w:t>se benefits</w:t>
      </w:r>
      <w:r w:rsidR="00182E14">
        <w:t>.</w:t>
      </w:r>
      <w:r w:rsidR="000E4C08">
        <w:t xml:space="preserve"> </w:t>
      </w:r>
    </w:p>
    <w:p w14:paraId="36E74347" w14:textId="079DCB58" w:rsidR="00B528FC" w:rsidRDefault="00182E14" w:rsidP="00A24AD9">
      <w:r>
        <w:t>The employment rate of Australians with disability</w:t>
      </w:r>
      <w:r w:rsidR="001E1B96">
        <w:t xml:space="preserve">, </w:t>
      </w:r>
      <w:r>
        <w:t xml:space="preserve">particularly people with </w:t>
      </w:r>
      <w:r w:rsidR="000262BE">
        <w:t>significant</w:t>
      </w:r>
      <w:r w:rsidR="00DE192C">
        <w:t xml:space="preserve"> and</w:t>
      </w:r>
      <w:r w:rsidR="000262BE">
        <w:t xml:space="preserve"> lifelong </w:t>
      </w:r>
      <w:r>
        <w:t>disability</w:t>
      </w:r>
      <w:r w:rsidR="008A2503">
        <w:t>, is low</w:t>
      </w:r>
      <w:r>
        <w:t xml:space="preserve">. </w:t>
      </w:r>
      <w:r w:rsidR="008A2503">
        <w:t>Reflecting this, o</w:t>
      </w:r>
      <w:r>
        <w:t>nly 2</w:t>
      </w:r>
      <w:r w:rsidR="000262BE">
        <w:t>4</w:t>
      </w:r>
      <w:r>
        <w:t>% of working-age NDIS</w:t>
      </w:r>
      <w:r w:rsidR="001E1B96">
        <w:t xml:space="preserve"> </w:t>
      </w:r>
      <w:r w:rsidR="001D0980">
        <w:t>participants</w:t>
      </w:r>
      <w:r w:rsidR="003A567E">
        <w:t xml:space="preserve"> </w:t>
      </w:r>
      <w:r w:rsidR="001E1B96">
        <w:t xml:space="preserve">are </w:t>
      </w:r>
      <w:r w:rsidR="004F7F66">
        <w:t xml:space="preserve">in paid </w:t>
      </w:r>
      <w:r w:rsidR="004F7F66" w:rsidRPr="00390739">
        <w:t>work</w:t>
      </w:r>
      <w:r w:rsidR="003A567E" w:rsidRPr="00390739">
        <w:t xml:space="preserve"> (as per</w:t>
      </w:r>
      <w:r w:rsidR="003A567E">
        <w:t xml:space="preserve"> NDIS Participant Employment Strategy from 30 June 2019)</w:t>
      </w:r>
      <w:r w:rsidR="004F7F66">
        <w:t>. With your help, the NDIA</w:t>
      </w:r>
      <w:r w:rsidR="00BD2C31">
        <w:t xml:space="preserve"> intends</w:t>
      </w:r>
      <w:r w:rsidR="001E1B96">
        <w:t xml:space="preserve"> </w:t>
      </w:r>
      <w:r w:rsidR="00341FDF">
        <w:t xml:space="preserve">to increase this to 30% by </w:t>
      </w:r>
      <w:r w:rsidR="002A0423">
        <w:t xml:space="preserve">June </w:t>
      </w:r>
      <w:r w:rsidR="00341FDF">
        <w:t xml:space="preserve">2023. </w:t>
      </w:r>
    </w:p>
    <w:p w14:paraId="610CC62B" w14:textId="77777777" w:rsidR="00465A05" w:rsidRDefault="00BF39C0" w:rsidP="00A24AD9">
      <w:pPr>
        <w:pStyle w:val="Heading3"/>
        <w:spacing w:line="276" w:lineRule="auto"/>
      </w:pPr>
      <w:bookmarkStart w:id="5" w:name="_Toc62130352"/>
      <w:r>
        <w:t>Supports in employment</w:t>
      </w:r>
      <w:bookmarkEnd w:id="5"/>
    </w:p>
    <w:p w14:paraId="421B557C" w14:textId="77777777" w:rsidR="008D2178" w:rsidRDefault="00465A05" w:rsidP="00A24AD9">
      <w:r>
        <w:t>Support</w:t>
      </w:r>
      <w:r w:rsidR="003D0B16">
        <w:t>s</w:t>
      </w:r>
      <w:r>
        <w:t xml:space="preserve"> </w:t>
      </w:r>
      <w:r w:rsidR="004F3AE1">
        <w:t>in</w:t>
      </w:r>
      <w:r>
        <w:t xml:space="preserve"> </w:t>
      </w:r>
      <w:r w:rsidR="00BF39C0">
        <w:t>employment</w:t>
      </w:r>
      <w:r w:rsidR="004F3AE1">
        <w:t xml:space="preserve">, </w:t>
      </w:r>
      <w:r w:rsidR="001D0DEC">
        <w:t xml:space="preserve">formerly </w:t>
      </w:r>
      <w:r w:rsidR="004F3AE1">
        <w:t xml:space="preserve">known as </w:t>
      </w:r>
      <w:r w:rsidR="00695ECA">
        <w:t xml:space="preserve">specialised </w:t>
      </w:r>
      <w:r w:rsidR="00DA28C5">
        <w:t>supported employment</w:t>
      </w:r>
      <w:r w:rsidR="004F3AE1">
        <w:t>,</w:t>
      </w:r>
      <w:r>
        <w:t xml:space="preserve"> is </w:t>
      </w:r>
      <w:r w:rsidR="003D0B16">
        <w:t xml:space="preserve">day-to-day assistance </w:t>
      </w:r>
      <w:r w:rsidR="001D0DEC">
        <w:t xml:space="preserve">in the workplace to maintain employment, </w:t>
      </w:r>
      <w:r w:rsidR="003D0B16">
        <w:t>which the NDIS funds.</w:t>
      </w:r>
      <w:r>
        <w:t xml:space="preserve"> Currently these supports are </w:t>
      </w:r>
      <w:r w:rsidR="003D0B16">
        <w:t xml:space="preserve">mostly </w:t>
      </w:r>
      <w:r>
        <w:t xml:space="preserve">delivered </w:t>
      </w:r>
      <w:r w:rsidR="00A74239">
        <w:t>in Australian</w:t>
      </w:r>
      <w:r>
        <w:t xml:space="preserve"> Disability Enterprises (ADE</w:t>
      </w:r>
      <w:r w:rsidR="005645F8">
        <w:t>s</w:t>
      </w:r>
      <w:r>
        <w:t xml:space="preserve">). </w:t>
      </w:r>
    </w:p>
    <w:p w14:paraId="2DAB452C" w14:textId="77777777" w:rsidR="008D2178" w:rsidRDefault="00465A05" w:rsidP="00A24AD9">
      <w:r>
        <w:t>The NDIS also funds capacity</w:t>
      </w:r>
      <w:r w:rsidR="00BF39C0">
        <w:t xml:space="preserve"> </w:t>
      </w:r>
      <w:r>
        <w:t xml:space="preserve">building employment supports, </w:t>
      </w:r>
      <w:r w:rsidR="00BD2C31">
        <w:t>such as</w:t>
      </w:r>
      <w:r w:rsidR="008D2178">
        <w:t>:</w:t>
      </w:r>
    </w:p>
    <w:p w14:paraId="1E897BA2" w14:textId="77777777" w:rsidR="008D2178" w:rsidRDefault="00465A05" w:rsidP="003C4B1E">
      <w:pPr>
        <w:pStyle w:val="ListParagraph"/>
        <w:numPr>
          <w:ilvl w:val="0"/>
          <w:numId w:val="45"/>
        </w:numPr>
      </w:pPr>
      <w:r w:rsidRPr="00740D0E">
        <w:t>employment-related assessment and counselling</w:t>
      </w:r>
    </w:p>
    <w:p w14:paraId="1B58B6BE" w14:textId="77777777" w:rsidR="008D2178" w:rsidRPr="003C4B1E" w:rsidRDefault="00E237BE" w:rsidP="003C4B1E">
      <w:pPr>
        <w:pStyle w:val="ListParagraph"/>
        <w:numPr>
          <w:ilvl w:val="0"/>
          <w:numId w:val="45"/>
        </w:numPr>
      </w:pPr>
      <w:r w:rsidRPr="003C4B1E">
        <w:t>workplace assistance</w:t>
      </w:r>
    </w:p>
    <w:p w14:paraId="3567560A" w14:textId="77777777" w:rsidR="00465A05" w:rsidRDefault="00465A05" w:rsidP="003C4B1E">
      <w:pPr>
        <w:pStyle w:val="ListParagraph"/>
        <w:numPr>
          <w:ilvl w:val="0"/>
          <w:numId w:val="45"/>
        </w:numPr>
      </w:pPr>
      <w:proofErr w:type="gramStart"/>
      <w:r w:rsidRPr="00740D0E">
        <w:t>sc</w:t>
      </w:r>
      <w:r>
        <w:t>hool</w:t>
      </w:r>
      <w:proofErr w:type="gramEnd"/>
      <w:r>
        <w:t xml:space="preserve"> leaver employment supports. </w:t>
      </w:r>
    </w:p>
    <w:p w14:paraId="585C8E41" w14:textId="77777777" w:rsidR="00465A05" w:rsidRDefault="00465A05" w:rsidP="00A24AD9">
      <w:r>
        <w:t xml:space="preserve">Supported employment has historically been provided through the Department of Social Services (DSS) </w:t>
      </w:r>
      <w:r w:rsidR="005B7532">
        <w:t>with funding provided directly to an ADE as the employer</w:t>
      </w:r>
      <w:r w:rsidR="005645F8">
        <w:t>.</w:t>
      </w:r>
      <w:r>
        <w:t xml:space="preserve"> </w:t>
      </w:r>
      <w:r w:rsidR="00162FD5">
        <w:t xml:space="preserve">The NDIA and DSS are working together to enable </w:t>
      </w:r>
      <w:r>
        <w:t>more than 20,000 supported employees who work in ADEs to transition to the NDIS</w:t>
      </w:r>
      <w:r w:rsidR="00162FD5">
        <w:t>.</w:t>
      </w:r>
    </w:p>
    <w:p w14:paraId="71CA3E89" w14:textId="77777777" w:rsidR="00465A05" w:rsidRDefault="006165B0" w:rsidP="00A24AD9">
      <w:r>
        <w:t>Many</w:t>
      </w:r>
      <w:r w:rsidR="00465A05">
        <w:t xml:space="preserve"> </w:t>
      </w:r>
      <w:r w:rsidR="00DA28C5">
        <w:t>participant</w:t>
      </w:r>
      <w:r w:rsidR="00465A05">
        <w:t>s will continue to choose an ADE as their preferred employment option</w:t>
      </w:r>
      <w:r>
        <w:t>. Some participants</w:t>
      </w:r>
      <w:r w:rsidR="00801CAD">
        <w:t xml:space="preserve"> working in ADEs </w:t>
      </w:r>
      <w:r>
        <w:t xml:space="preserve">would like </w:t>
      </w:r>
      <w:r w:rsidR="00801CAD">
        <w:t xml:space="preserve">to try something new or create a combination of work options </w:t>
      </w:r>
      <w:r>
        <w:t xml:space="preserve">to </w:t>
      </w:r>
      <w:r w:rsidR="00801CAD">
        <w:t xml:space="preserve">suit them. There are </w:t>
      </w:r>
      <w:r>
        <w:t xml:space="preserve">also </w:t>
      </w:r>
      <w:r w:rsidR="00801CAD">
        <w:t xml:space="preserve">many </w:t>
      </w:r>
      <w:r w:rsidR="00465A05" w:rsidRPr="00143CCF">
        <w:t xml:space="preserve">participants with </w:t>
      </w:r>
      <w:r w:rsidR="005645F8">
        <w:t>significant</w:t>
      </w:r>
      <w:r w:rsidR="00465A05" w:rsidRPr="00143CCF">
        <w:t xml:space="preserve"> support needs who </w:t>
      </w:r>
      <w:r w:rsidRPr="00143CCF">
        <w:t>w</w:t>
      </w:r>
      <w:r>
        <w:t xml:space="preserve">ould like </w:t>
      </w:r>
      <w:r w:rsidR="00465A05" w:rsidRPr="00143CCF">
        <w:t xml:space="preserve">to work and </w:t>
      </w:r>
      <w:r w:rsidR="002855EA">
        <w:t>are able to</w:t>
      </w:r>
      <w:r w:rsidR="002855EA" w:rsidRPr="00143CCF">
        <w:t xml:space="preserve"> </w:t>
      </w:r>
      <w:r w:rsidR="00465A05" w:rsidRPr="00143CCF">
        <w:t xml:space="preserve">work with the right level of support.  </w:t>
      </w:r>
    </w:p>
    <w:p w14:paraId="76CDEF53" w14:textId="77777777" w:rsidR="00465A05" w:rsidRDefault="00FF2FCF" w:rsidP="00A24AD9">
      <w:r>
        <w:t xml:space="preserve">To help us increase the number of working-age participants in paid work, </w:t>
      </w:r>
      <w:r w:rsidR="00465A05" w:rsidRPr="00143CCF">
        <w:t xml:space="preserve">the </w:t>
      </w:r>
      <w:proofErr w:type="gramStart"/>
      <w:r w:rsidR="009116D4">
        <w:t>NDIA</w:t>
      </w:r>
      <w:r w:rsidR="00465A05" w:rsidRPr="00143CCF">
        <w:t xml:space="preserve"> </w:t>
      </w:r>
      <w:r w:rsidR="00B01411">
        <w:t xml:space="preserve"> is</w:t>
      </w:r>
      <w:proofErr w:type="gramEnd"/>
      <w:r w:rsidR="00465A05" w:rsidRPr="00143CCF">
        <w:t xml:space="preserve"> </w:t>
      </w:r>
      <w:r w:rsidR="00DA28C5">
        <w:t>put</w:t>
      </w:r>
      <w:r w:rsidR="00B01411">
        <w:t>ting</w:t>
      </w:r>
      <w:r w:rsidR="00DA28C5">
        <w:t xml:space="preserve"> in place</w:t>
      </w:r>
      <w:r w:rsidR="00465A05" w:rsidRPr="00143CCF">
        <w:t xml:space="preserve"> strategies </w:t>
      </w:r>
      <w:r>
        <w:t>to</w:t>
      </w:r>
      <w:r w:rsidRPr="00143CCF">
        <w:t xml:space="preserve"> </w:t>
      </w:r>
      <w:r w:rsidR="00465A05" w:rsidRPr="00143CCF">
        <w:t xml:space="preserve">diversify the range of </w:t>
      </w:r>
      <w:r>
        <w:t xml:space="preserve">employment settings </w:t>
      </w:r>
      <w:r w:rsidR="00FD12CC">
        <w:t xml:space="preserve">where </w:t>
      </w:r>
      <w:r w:rsidR="00B01411">
        <w:t xml:space="preserve">support can be provided. </w:t>
      </w:r>
      <w:r w:rsidR="00416EC1">
        <w:t xml:space="preserve">This includes new pricing for supports in employment. </w:t>
      </w:r>
    </w:p>
    <w:p w14:paraId="5563302C" w14:textId="77777777" w:rsidR="00C35905" w:rsidRPr="00973063" w:rsidRDefault="00C35905" w:rsidP="00BF7AC9">
      <w:r w:rsidRPr="00973063">
        <w:lastRenderedPageBreak/>
        <w:t>The new pricing for supports in employment gives participants greater choice and control about where and how they work, and who provides their supports</w:t>
      </w:r>
      <w:r w:rsidR="00695ECA" w:rsidRPr="00973063">
        <w:t>. Participants may choose to purchase support in a range of employment settings including:</w:t>
      </w:r>
    </w:p>
    <w:p w14:paraId="593BECE9" w14:textId="77777777" w:rsidR="00695ECA" w:rsidRPr="00973063" w:rsidRDefault="00695ECA" w:rsidP="003C4B1E">
      <w:pPr>
        <w:pStyle w:val="ListParagraph"/>
        <w:numPr>
          <w:ilvl w:val="0"/>
          <w:numId w:val="61"/>
        </w:numPr>
      </w:pPr>
      <w:r w:rsidRPr="00973063">
        <w:t>private enterprise</w:t>
      </w:r>
    </w:p>
    <w:p w14:paraId="6AFC9A2F" w14:textId="77777777" w:rsidR="00695ECA" w:rsidRPr="00973063" w:rsidRDefault="00695ECA" w:rsidP="003C4B1E">
      <w:pPr>
        <w:pStyle w:val="ListParagraph"/>
        <w:numPr>
          <w:ilvl w:val="0"/>
          <w:numId w:val="61"/>
        </w:numPr>
      </w:pPr>
      <w:r w:rsidRPr="00973063">
        <w:t>not-for-profit</w:t>
      </w:r>
    </w:p>
    <w:p w14:paraId="77B3DA5B" w14:textId="77777777" w:rsidR="00695ECA" w:rsidRPr="00973063" w:rsidRDefault="00695ECA" w:rsidP="003C4B1E">
      <w:pPr>
        <w:pStyle w:val="ListParagraph"/>
        <w:numPr>
          <w:ilvl w:val="0"/>
          <w:numId w:val="61"/>
        </w:numPr>
      </w:pPr>
      <w:r w:rsidRPr="00973063">
        <w:t>public sector</w:t>
      </w:r>
    </w:p>
    <w:p w14:paraId="49CCDACE" w14:textId="77777777" w:rsidR="00695ECA" w:rsidRPr="00973063" w:rsidRDefault="00695ECA" w:rsidP="003C4B1E">
      <w:pPr>
        <w:pStyle w:val="ListParagraph"/>
        <w:numPr>
          <w:ilvl w:val="0"/>
          <w:numId w:val="61"/>
        </w:numPr>
      </w:pPr>
      <w:r w:rsidRPr="00973063">
        <w:t>family business</w:t>
      </w:r>
    </w:p>
    <w:p w14:paraId="52F2F384" w14:textId="77777777" w:rsidR="00695ECA" w:rsidRPr="00973063" w:rsidRDefault="00695ECA" w:rsidP="003C4B1E">
      <w:pPr>
        <w:pStyle w:val="ListParagraph"/>
        <w:numPr>
          <w:ilvl w:val="0"/>
          <w:numId w:val="61"/>
        </w:numPr>
      </w:pPr>
      <w:r w:rsidRPr="00973063">
        <w:t>self-employment</w:t>
      </w:r>
    </w:p>
    <w:p w14:paraId="4D74F142" w14:textId="77777777" w:rsidR="00695ECA" w:rsidRPr="00973063" w:rsidRDefault="00CA5167" w:rsidP="003C4B1E">
      <w:pPr>
        <w:pStyle w:val="ListParagraph"/>
        <w:numPr>
          <w:ilvl w:val="0"/>
          <w:numId w:val="61"/>
        </w:numPr>
      </w:pPr>
      <w:r w:rsidRPr="00973063">
        <w:t>social enter</w:t>
      </w:r>
      <w:r w:rsidR="00695ECA" w:rsidRPr="00973063">
        <w:t>p</w:t>
      </w:r>
      <w:r w:rsidRPr="00973063">
        <w:t>r</w:t>
      </w:r>
      <w:r w:rsidR="00695ECA" w:rsidRPr="00973063">
        <w:t>ise</w:t>
      </w:r>
    </w:p>
    <w:p w14:paraId="1A5856CF" w14:textId="77777777" w:rsidR="00695ECA" w:rsidRPr="00973063" w:rsidRDefault="00695ECA" w:rsidP="003C4B1E">
      <w:pPr>
        <w:pStyle w:val="ListParagraph"/>
        <w:numPr>
          <w:ilvl w:val="0"/>
          <w:numId w:val="61"/>
        </w:numPr>
      </w:pPr>
      <w:r w:rsidRPr="00973063">
        <w:t>ADE.</w:t>
      </w:r>
    </w:p>
    <w:p w14:paraId="4A06F0E8" w14:textId="77777777" w:rsidR="00C35905" w:rsidRPr="003C4B1E" w:rsidRDefault="00DD4045" w:rsidP="00BF7AC9">
      <w:pPr>
        <w:rPr>
          <w:color w:val="111111"/>
          <w:spacing w:val="-3"/>
          <w:szCs w:val="24"/>
          <w:bdr w:val="none" w:sz="0" w:space="0" w:color="auto" w:frame="1"/>
          <w:shd w:val="clear" w:color="auto" w:fill="FAFAFA"/>
        </w:rPr>
      </w:pPr>
      <w:r w:rsidRPr="003C4B1E">
        <w:rPr>
          <w:shd w:val="clear" w:color="auto" w:fill="FAFAFA"/>
        </w:rPr>
        <w:t xml:space="preserve">In the new </w:t>
      </w:r>
      <w:r w:rsidR="00DA28C5" w:rsidRPr="003C4B1E">
        <w:rPr>
          <w:shd w:val="clear" w:color="auto" w:fill="FAFAFA"/>
        </w:rPr>
        <w:t>s</w:t>
      </w:r>
      <w:r w:rsidRPr="003C4B1E">
        <w:rPr>
          <w:shd w:val="clear" w:color="auto" w:fill="FAFAFA"/>
        </w:rPr>
        <w:t xml:space="preserve">upports in </w:t>
      </w:r>
      <w:r w:rsidR="00DA28C5" w:rsidRPr="003C4B1E">
        <w:rPr>
          <w:shd w:val="clear" w:color="auto" w:fill="FAFAFA"/>
        </w:rPr>
        <w:t>e</w:t>
      </w:r>
      <w:r w:rsidRPr="003C4B1E">
        <w:rPr>
          <w:shd w:val="clear" w:color="auto" w:fill="FAFAFA"/>
        </w:rPr>
        <w:t>mployment framework, the provider of employment supports does not need to be the participant’s employer</w:t>
      </w:r>
      <w:r w:rsidRPr="003C4B1E">
        <w:rPr>
          <w:color w:val="111111"/>
          <w:spacing w:val="-3"/>
          <w:szCs w:val="24"/>
          <w:bdr w:val="none" w:sz="0" w:space="0" w:color="auto" w:frame="1"/>
          <w:shd w:val="clear" w:color="auto" w:fill="FAFAFA"/>
        </w:rPr>
        <w:t xml:space="preserve">. </w:t>
      </w:r>
      <w:r w:rsidR="00CA5167" w:rsidRPr="00CA5167">
        <w:rPr>
          <w:color w:val="111111"/>
          <w:spacing w:val="-3"/>
          <w:szCs w:val="24"/>
          <w:bdr w:val="none" w:sz="0" w:space="0" w:color="auto" w:frame="1"/>
          <w:shd w:val="clear" w:color="auto" w:fill="FAFAFA"/>
        </w:rPr>
        <w:t>Separating</w:t>
      </w:r>
      <w:r w:rsidRPr="003C4B1E">
        <w:rPr>
          <w:color w:val="111111"/>
          <w:spacing w:val="-3"/>
          <w:szCs w:val="24"/>
          <w:bdr w:val="none" w:sz="0" w:space="0" w:color="auto" w:frame="1"/>
          <w:shd w:val="clear" w:color="auto" w:fill="FAFAFA"/>
        </w:rPr>
        <w:t xml:space="preserve"> these roles creates new opportunities for participants and providers. </w:t>
      </w:r>
    </w:p>
    <w:p w14:paraId="0754C67B" w14:textId="77777777" w:rsidR="00C33900" w:rsidRDefault="00C33900" w:rsidP="00A24AD9">
      <w:r>
        <w:t>It will take time to change the market and success will depend on:</w:t>
      </w:r>
    </w:p>
    <w:p w14:paraId="5A4F1A20" w14:textId="77777777" w:rsidR="00723A88" w:rsidRDefault="00465A05" w:rsidP="0004164D">
      <w:pPr>
        <w:pStyle w:val="ListParagraph"/>
        <w:numPr>
          <w:ilvl w:val="0"/>
          <w:numId w:val="46"/>
        </w:numPr>
      </w:pPr>
      <w:r>
        <w:t xml:space="preserve">market development </w:t>
      </w:r>
    </w:p>
    <w:p w14:paraId="27AA155E" w14:textId="77777777" w:rsidR="00723A88" w:rsidRDefault="00465A05" w:rsidP="0004164D">
      <w:pPr>
        <w:pStyle w:val="ListParagraph"/>
        <w:numPr>
          <w:ilvl w:val="0"/>
          <w:numId w:val="46"/>
        </w:numPr>
      </w:pPr>
      <w:r>
        <w:t>diversification among existing providers</w:t>
      </w:r>
    </w:p>
    <w:p w14:paraId="43028586" w14:textId="77777777" w:rsidR="00723A88" w:rsidRDefault="00465A05" w:rsidP="0004164D">
      <w:pPr>
        <w:pStyle w:val="ListParagraph"/>
        <w:numPr>
          <w:ilvl w:val="0"/>
          <w:numId w:val="46"/>
        </w:numPr>
      </w:pPr>
      <w:r>
        <w:t xml:space="preserve">the emergence of new providers </w:t>
      </w:r>
    </w:p>
    <w:p w14:paraId="52C93F5E" w14:textId="77777777" w:rsidR="00723A88" w:rsidRDefault="00465A05" w:rsidP="0004164D">
      <w:pPr>
        <w:pStyle w:val="ListParagraph"/>
        <w:numPr>
          <w:ilvl w:val="0"/>
          <w:numId w:val="46"/>
        </w:numPr>
      </w:pPr>
      <w:proofErr w:type="gramStart"/>
      <w:r>
        <w:t>participant</w:t>
      </w:r>
      <w:proofErr w:type="gramEnd"/>
      <w:r>
        <w:t xml:space="preserve"> demand</w:t>
      </w:r>
      <w:r w:rsidR="00723A88">
        <w:t xml:space="preserve"> for new services</w:t>
      </w:r>
      <w:r>
        <w:t xml:space="preserve">. </w:t>
      </w:r>
    </w:p>
    <w:p w14:paraId="0D90E340" w14:textId="77777777" w:rsidR="002C43E9" w:rsidRDefault="00723A88" w:rsidP="00A24AD9">
      <w:r>
        <w:t>Funding</w:t>
      </w:r>
      <w:r w:rsidR="00804D45">
        <w:t xml:space="preserve"> for </w:t>
      </w:r>
      <w:r w:rsidR="00DA28C5">
        <w:t>supports in employment</w:t>
      </w:r>
      <w:r w:rsidR="00C54432">
        <w:t xml:space="preserve"> is located in the </w:t>
      </w:r>
      <w:hyperlink r:id="rId12" w:history="1">
        <w:r w:rsidR="00C54432" w:rsidRPr="0096361F">
          <w:rPr>
            <w:rStyle w:val="Hyperlink"/>
          </w:rPr>
          <w:t xml:space="preserve">Core </w:t>
        </w:r>
        <w:r w:rsidR="0053537B" w:rsidRPr="0096361F">
          <w:rPr>
            <w:rStyle w:val="Hyperlink"/>
          </w:rPr>
          <w:t>budget</w:t>
        </w:r>
      </w:hyperlink>
      <w:r w:rsidR="0053537B">
        <w:t xml:space="preserve"> </w:t>
      </w:r>
      <w:r w:rsidR="00C54432">
        <w:t>of a participant’s plan</w:t>
      </w:r>
      <w:r w:rsidR="00256AE2">
        <w:t xml:space="preserve"> </w:t>
      </w:r>
      <w:r w:rsidR="00E37874">
        <w:t>under</w:t>
      </w:r>
      <w:r w:rsidR="00256AE2">
        <w:t xml:space="preserve"> the support category Assistance with </w:t>
      </w:r>
      <w:r w:rsidR="00F95D38">
        <w:t>Social Economic</w:t>
      </w:r>
      <w:r w:rsidR="00256AE2">
        <w:t xml:space="preserve"> </w:t>
      </w:r>
      <w:r w:rsidR="00E237BE">
        <w:t xml:space="preserve">and Community </w:t>
      </w:r>
      <w:r w:rsidR="00256AE2">
        <w:t xml:space="preserve">Participation. </w:t>
      </w:r>
      <w:r w:rsidR="00C54432">
        <w:t xml:space="preserve">This </w:t>
      </w:r>
      <w:r w:rsidR="005E4BB3">
        <w:t xml:space="preserve">reflects the day-to-day nature of supports in employment and allows for </w:t>
      </w:r>
      <w:r w:rsidR="00CA5167">
        <w:t xml:space="preserve">greater </w:t>
      </w:r>
      <w:r w:rsidR="00C54432">
        <w:t>flexibility</w:t>
      </w:r>
      <w:r w:rsidR="001D0DEC">
        <w:t>,</w:t>
      </w:r>
      <w:r w:rsidR="007569FD">
        <w:t xml:space="preserve"> such as allowing </w:t>
      </w:r>
      <w:r w:rsidR="00804D45">
        <w:t>participants</w:t>
      </w:r>
      <w:r w:rsidR="00C54432">
        <w:t xml:space="preserve"> to increase their working hours</w:t>
      </w:r>
      <w:r w:rsidR="005E4BB3">
        <w:t xml:space="preserve"> </w:t>
      </w:r>
      <w:r w:rsidR="00C54432">
        <w:t>without having to seek a plan review</w:t>
      </w:r>
      <w:r w:rsidR="00121950">
        <w:t xml:space="preserve"> if more supports are needed</w:t>
      </w:r>
      <w:r w:rsidR="00C54432">
        <w:t xml:space="preserve">. </w:t>
      </w:r>
    </w:p>
    <w:p w14:paraId="0A6AC986" w14:textId="77777777" w:rsidR="005E4BB3" w:rsidRDefault="00256AE2" w:rsidP="00A24AD9">
      <w:r>
        <w:t>T</w:t>
      </w:r>
      <w:r w:rsidR="007569FD">
        <w:t>he NDIA uses</w:t>
      </w:r>
      <w:r w:rsidR="00CA5167">
        <w:t xml:space="preserve"> 3</w:t>
      </w:r>
      <w:r w:rsidR="007569FD">
        <w:t xml:space="preserve"> things t</w:t>
      </w:r>
      <w:r>
        <w:t xml:space="preserve">o determine the budget for </w:t>
      </w:r>
      <w:r w:rsidR="00DA28C5">
        <w:t xml:space="preserve">supports </w:t>
      </w:r>
      <w:r>
        <w:t xml:space="preserve">in </w:t>
      </w:r>
      <w:r w:rsidR="00DA28C5">
        <w:t>employment</w:t>
      </w:r>
      <w:r w:rsidR="007569FD">
        <w:t>:</w:t>
      </w:r>
    </w:p>
    <w:p w14:paraId="3DC1C0CB" w14:textId="77777777" w:rsidR="005E4BB3" w:rsidRDefault="00CC0B7C" w:rsidP="003C4B1E">
      <w:pPr>
        <w:pStyle w:val="ListParagraph"/>
        <w:numPr>
          <w:ilvl w:val="0"/>
          <w:numId w:val="58"/>
        </w:numPr>
      </w:pPr>
      <w:r>
        <w:t xml:space="preserve">reports </w:t>
      </w:r>
      <w:r w:rsidR="005E4BB3">
        <w:t>and assessments</w:t>
      </w:r>
    </w:p>
    <w:p w14:paraId="4D0DFE8B" w14:textId="77777777" w:rsidR="00C54432" w:rsidRDefault="002C43E9" w:rsidP="003C4B1E">
      <w:pPr>
        <w:pStyle w:val="ListParagraph"/>
        <w:numPr>
          <w:ilvl w:val="0"/>
          <w:numId w:val="58"/>
        </w:numPr>
      </w:pPr>
      <w:r>
        <w:t>participant consultation</w:t>
      </w:r>
      <w:r w:rsidR="005E4BB3">
        <w:t xml:space="preserve"> </w:t>
      </w:r>
    </w:p>
    <w:p w14:paraId="2CEAE952" w14:textId="77777777" w:rsidR="002C43E9" w:rsidRDefault="002C43E9" w:rsidP="003C4B1E">
      <w:pPr>
        <w:pStyle w:val="ListParagraph"/>
        <w:numPr>
          <w:ilvl w:val="0"/>
          <w:numId w:val="58"/>
        </w:numPr>
      </w:pPr>
      <w:proofErr w:type="gramStart"/>
      <w:r>
        <w:t>participant</w:t>
      </w:r>
      <w:proofErr w:type="gramEnd"/>
      <w:r>
        <w:t xml:space="preserve"> employment goals.</w:t>
      </w:r>
    </w:p>
    <w:p w14:paraId="4B05CBED" w14:textId="77777777" w:rsidR="0004164D" w:rsidRPr="0096361F" w:rsidRDefault="002C43E9" w:rsidP="00BF7AC9">
      <w:pPr>
        <w:rPr>
          <w:rFonts w:cs="Arial"/>
          <w:szCs w:val="24"/>
        </w:rPr>
      </w:pPr>
      <w:r w:rsidRPr="0096361F">
        <w:rPr>
          <w:rFonts w:cs="Arial"/>
          <w:szCs w:val="24"/>
        </w:rPr>
        <w:t xml:space="preserve">Download the </w:t>
      </w:r>
      <w:hyperlink r:id="rId13" w:history="1">
        <w:proofErr w:type="gramStart"/>
        <w:r w:rsidRPr="0096361F">
          <w:rPr>
            <w:rStyle w:val="Hyperlink"/>
            <w:rFonts w:cs="Arial"/>
            <w:szCs w:val="24"/>
          </w:rPr>
          <w:t>Let’s</w:t>
        </w:r>
        <w:proofErr w:type="gramEnd"/>
        <w:r w:rsidRPr="0096361F">
          <w:rPr>
            <w:rStyle w:val="Hyperlink"/>
            <w:rFonts w:cs="Arial"/>
            <w:szCs w:val="24"/>
          </w:rPr>
          <w:t xml:space="preserve"> talk about work booklet</w:t>
        </w:r>
      </w:hyperlink>
      <w:r w:rsidRPr="0096361F">
        <w:rPr>
          <w:rFonts w:cs="Arial"/>
          <w:szCs w:val="24"/>
        </w:rPr>
        <w:t xml:space="preserve"> for more information</w:t>
      </w:r>
      <w:r w:rsidR="0004164D" w:rsidRPr="0096361F">
        <w:rPr>
          <w:rFonts w:cs="Arial"/>
          <w:szCs w:val="24"/>
        </w:rPr>
        <w:t xml:space="preserve"> on helping participants to:</w:t>
      </w:r>
    </w:p>
    <w:p w14:paraId="386D1478" w14:textId="77777777" w:rsidR="0004164D" w:rsidRPr="0096361F" w:rsidRDefault="0004164D" w:rsidP="003C4B1E">
      <w:pPr>
        <w:pStyle w:val="ListParagraph"/>
        <w:numPr>
          <w:ilvl w:val="0"/>
          <w:numId w:val="59"/>
        </w:numPr>
        <w:autoSpaceDE w:val="0"/>
        <w:autoSpaceDN w:val="0"/>
        <w:adjustRightInd w:val="0"/>
        <w:spacing w:after="0" w:line="240" w:lineRule="auto"/>
        <w:rPr>
          <w:rFonts w:cs="Arial"/>
          <w:szCs w:val="24"/>
          <w:lang w:val="en-GB"/>
        </w:rPr>
      </w:pPr>
      <w:r w:rsidRPr="003C4B1E">
        <w:rPr>
          <w:rFonts w:cs="Arial"/>
          <w:szCs w:val="24"/>
          <w:lang w:val="en-GB"/>
        </w:rPr>
        <w:t>plan</w:t>
      </w:r>
      <w:r w:rsidRPr="0096361F">
        <w:rPr>
          <w:rFonts w:cs="Arial"/>
          <w:szCs w:val="24"/>
          <w:lang w:val="en-GB"/>
        </w:rPr>
        <w:t xml:space="preserve"> for employment</w:t>
      </w:r>
    </w:p>
    <w:p w14:paraId="4BB72379" w14:textId="77777777" w:rsidR="0004164D" w:rsidRPr="0096361F" w:rsidRDefault="0004164D" w:rsidP="003C4B1E">
      <w:pPr>
        <w:pStyle w:val="ListParagraph"/>
        <w:numPr>
          <w:ilvl w:val="0"/>
          <w:numId w:val="59"/>
        </w:numPr>
        <w:autoSpaceDE w:val="0"/>
        <w:autoSpaceDN w:val="0"/>
        <w:adjustRightInd w:val="0"/>
        <w:spacing w:after="0" w:line="240" w:lineRule="auto"/>
        <w:rPr>
          <w:rFonts w:cs="Arial"/>
          <w:szCs w:val="24"/>
          <w:lang w:val="en-GB"/>
        </w:rPr>
      </w:pPr>
      <w:r w:rsidRPr="0096361F">
        <w:rPr>
          <w:rFonts w:cs="Arial"/>
          <w:szCs w:val="24"/>
          <w:lang w:val="en-GB"/>
        </w:rPr>
        <w:t>explor</w:t>
      </w:r>
      <w:r w:rsidRPr="003C4B1E">
        <w:rPr>
          <w:rFonts w:cs="Arial"/>
          <w:szCs w:val="24"/>
          <w:lang w:val="en-GB"/>
        </w:rPr>
        <w:t>e</w:t>
      </w:r>
      <w:r w:rsidRPr="0096361F">
        <w:rPr>
          <w:rFonts w:cs="Arial"/>
          <w:szCs w:val="24"/>
          <w:lang w:val="en-GB"/>
        </w:rPr>
        <w:t xml:space="preserve"> employment goals</w:t>
      </w:r>
    </w:p>
    <w:p w14:paraId="4BD8B7AA" w14:textId="77777777" w:rsidR="0004164D" w:rsidRPr="0096361F" w:rsidRDefault="0004164D" w:rsidP="003C4B1E">
      <w:pPr>
        <w:pStyle w:val="ListParagraph"/>
        <w:numPr>
          <w:ilvl w:val="0"/>
          <w:numId w:val="59"/>
        </w:numPr>
        <w:autoSpaceDE w:val="0"/>
        <w:autoSpaceDN w:val="0"/>
        <w:adjustRightInd w:val="0"/>
        <w:spacing w:after="0" w:line="240" w:lineRule="auto"/>
        <w:rPr>
          <w:rFonts w:cs="Arial"/>
          <w:szCs w:val="24"/>
          <w:lang w:val="en-GB"/>
        </w:rPr>
      </w:pPr>
      <w:r w:rsidRPr="0096361F">
        <w:rPr>
          <w:rFonts w:cs="Arial"/>
          <w:szCs w:val="24"/>
          <w:lang w:val="en-GB"/>
        </w:rPr>
        <w:t xml:space="preserve">plan for </w:t>
      </w:r>
      <w:r w:rsidRPr="003C4B1E">
        <w:rPr>
          <w:rFonts w:cs="Arial"/>
          <w:szCs w:val="24"/>
          <w:lang w:val="en-GB"/>
        </w:rPr>
        <w:t>leaving</w:t>
      </w:r>
      <w:r w:rsidRPr="0096361F">
        <w:rPr>
          <w:rFonts w:cs="Arial"/>
          <w:szCs w:val="24"/>
          <w:lang w:val="en-GB"/>
        </w:rPr>
        <w:t xml:space="preserve"> school</w:t>
      </w:r>
    </w:p>
    <w:p w14:paraId="540AE560" w14:textId="77777777" w:rsidR="002C43E9" w:rsidRPr="0096361F" w:rsidRDefault="0004164D" w:rsidP="003C4B1E">
      <w:pPr>
        <w:pStyle w:val="ListParagraph"/>
        <w:numPr>
          <w:ilvl w:val="0"/>
          <w:numId w:val="59"/>
        </w:numPr>
        <w:rPr>
          <w:rFonts w:cs="Arial"/>
          <w:szCs w:val="24"/>
        </w:rPr>
      </w:pPr>
      <w:proofErr w:type="gramStart"/>
      <w:r w:rsidRPr="003C4B1E">
        <w:rPr>
          <w:rFonts w:cs="Arial"/>
          <w:szCs w:val="24"/>
          <w:lang w:val="en-GB"/>
        </w:rPr>
        <w:t>find</w:t>
      </w:r>
      <w:proofErr w:type="gramEnd"/>
      <w:r w:rsidRPr="0096361F">
        <w:rPr>
          <w:rFonts w:cs="Arial"/>
          <w:szCs w:val="24"/>
          <w:lang w:val="en-GB"/>
        </w:rPr>
        <w:t xml:space="preserve"> employment providers.</w:t>
      </w:r>
      <w:r w:rsidRPr="0096361F">
        <w:rPr>
          <w:rFonts w:cs="Arial"/>
          <w:szCs w:val="24"/>
        </w:rPr>
        <w:t xml:space="preserve"> </w:t>
      </w:r>
    </w:p>
    <w:p w14:paraId="410E6DF0" w14:textId="77777777" w:rsidR="00C54432" w:rsidRDefault="00C54432" w:rsidP="00A24AD9">
      <w:r>
        <w:t>Capacity</w:t>
      </w:r>
      <w:r w:rsidR="000B3941">
        <w:t>-</w:t>
      </w:r>
      <w:r>
        <w:t xml:space="preserve">building </w:t>
      </w:r>
      <w:r w:rsidR="0096361F">
        <w:t xml:space="preserve">employment </w:t>
      </w:r>
      <w:r>
        <w:t xml:space="preserve">supports </w:t>
      </w:r>
      <w:r w:rsidR="00C4238B">
        <w:t xml:space="preserve">are </w:t>
      </w:r>
      <w:r w:rsidR="00A7446A">
        <w:t>for</w:t>
      </w:r>
      <w:r w:rsidR="00C4238B">
        <w:t xml:space="preserve"> participants</w:t>
      </w:r>
      <w:r w:rsidR="00A7446A">
        <w:t xml:space="preserve"> who</w:t>
      </w:r>
      <w:r w:rsidR="00C4238B">
        <w:t xml:space="preserve"> </w:t>
      </w:r>
      <w:r w:rsidR="00A7446A">
        <w:t xml:space="preserve">need </w:t>
      </w:r>
      <w:r w:rsidR="00C4238B">
        <w:t xml:space="preserve">time-limited </w:t>
      </w:r>
      <w:r w:rsidR="00C4238B" w:rsidRPr="00BF7AC9">
        <w:t>capacity</w:t>
      </w:r>
      <w:r w:rsidR="002C43E9" w:rsidRPr="003C4B1E">
        <w:t>-</w:t>
      </w:r>
      <w:r w:rsidR="00C4238B" w:rsidRPr="00BF7AC9">
        <w:t>building</w:t>
      </w:r>
      <w:r w:rsidR="00C4238B">
        <w:t xml:space="preserve"> supports to </w:t>
      </w:r>
      <w:r w:rsidR="00A7446A">
        <w:t xml:space="preserve">help them </w:t>
      </w:r>
      <w:r w:rsidR="00C4238B">
        <w:t xml:space="preserve">pursue their employment goals. In </w:t>
      </w:r>
      <w:r w:rsidR="00EC1A02">
        <w:t>an</w:t>
      </w:r>
      <w:r w:rsidR="00C4238B">
        <w:t xml:space="preserve"> ADE setting this may include</w:t>
      </w:r>
      <w:r>
        <w:t xml:space="preserve">: </w:t>
      </w:r>
    </w:p>
    <w:p w14:paraId="619C76C3" w14:textId="77777777" w:rsidR="00C54432" w:rsidRDefault="000B3941" w:rsidP="003C4B1E">
      <w:pPr>
        <w:pStyle w:val="ListParagraph"/>
        <w:numPr>
          <w:ilvl w:val="0"/>
          <w:numId w:val="50"/>
        </w:numPr>
        <w:ind w:left="851" w:hanging="425"/>
      </w:pPr>
      <w:r>
        <w:t>i</w:t>
      </w:r>
      <w:r w:rsidR="00217700">
        <w:t>nterventions</w:t>
      </w:r>
      <w:r w:rsidR="00C54432">
        <w:t xml:space="preserve"> to reduce complex behaviours and barriers to sustaining employment</w:t>
      </w:r>
    </w:p>
    <w:p w14:paraId="4A850A3B" w14:textId="77777777" w:rsidR="00C54432" w:rsidRDefault="000B3941" w:rsidP="003C4B1E">
      <w:pPr>
        <w:pStyle w:val="ListParagraph"/>
        <w:numPr>
          <w:ilvl w:val="0"/>
          <w:numId w:val="50"/>
        </w:numPr>
        <w:ind w:left="851" w:hanging="425"/>
      </w:pPr>
      <w:r>
        <w:t xml:space="preserve">skills </w:t>
      </w:r>
      <w:r w:rsidR="00C54432">
        <w:t>development to transition from a current role to a new role either in the ADE or with a new employer</w:t>
      </w:r>
    </w:p>
    <w:p w14:paraId="6CE648C8" w14:textId="77777777" w:rsidR="008B2991" w:rsidRDefault="000B3941" w:rsidP="003C4B1E">
      <w:pPr>
        <w:pStyle w:val="ListParagraph"/>
        <w:numPr>
          <w:ilvl w:val="0"/>
          <w:numId w:val="50"/>
        </w:numPr>
        <w:ind w:left="851" w:hanging="425"/>
      </w:pPr>
      <w:proofErr w:type="gramStart"/>
      <w:r>
        <w:t>developing</w:t>
      </w:r>
      <w:proofErr w:type="gramEnd"/>
      <w:r>
        <w:t xml:space="preserve"> </w:t>
      </w:r>
      <w:r w:rsidR="00C54432">
        <w:t>a career plan.</w:t>
      </w:r>
    </w:p>
    <w:p w14:paraId="59830835" w14:textId="77777777" w:rsidR="00B7589F" w:rsidRPr="008873E8" w:rsidRDefault="0004164D" w:rsidP="00B7589F">
      <w:r>
        <w:t>NDIS p</w:t>
      </w:r>
      <w:r w:rsidR="00B7589F">
        <w:t xml:space="preserve">articipants </w:t>
      </w:r>
      <w:r w:rsidR="00CB65A5">
        <w:t>can also</w:t>
      </w:r>
      <w:r w:rsidR="00B7589F">
        <w:t xml:space="preserve"> access a range of employment supports provided by the Australian Government. More information can be found </w:t>
      </w:r>
      <w:r w:rsidR="00CB65A5">
        <w:t xml:space="preserve">on the </w:t>
      </w:r>
      <w:hyperlink r:id="rId14" w:history="1">
        <w:r w:rsidR="00CB65A5" w:rsidRPr="00CB65A5">
          <w:rPr>
            <w:rStyle w:val="Hyperlink"/>
          </w:rPr>
          <w:t>Job Access website</w:t>
        </w:r>
      </w:hyperlink>
      <w:r w:rsidR="00CB65A5">
        <w:t>.</w:t>
      </w:r>
      <w:r w:rsidR="00B7589F">
        <w:t xml:space="preserve"> </w:t>
      </w:r>
    </w:p>
    <w:p w14:paraId="027B363B" w14:textId="77777777" w:rsidR="003A567E" w:rsidRDefault="003A567E" w:rsidP="00787063">
      <w:pPr>
        <w:pStyle w:val="Heading3"/>
        <w:spacing w:line="276" w:lineRule="auto"/>
      </w:pPr>
    </w:p>
    <w:p w14:paraId="12DEB44B" w14:textId="4ED5FDEC" w:rsidR="00787063" w:rsidRPr="001F5797" w:rsidRDefault="00787063" w:rsidP="00787063">
      <w:pPr>
        <w:pStyle w:val="Heading3"/>
        <w:spacing w:line="276" w:lineRule="auto"/>
      </w:pPr>
      <w:bookmarkStart w:id="6" w:name="_Toc62130353"/>
      <w:r>
        <w:lastRenderedPageBreak/>
        <w:t>How the NDIS funds</w:t>
      </w:r>
      <w:r w:rsidR="00DA28C5">
        <w:t xml:space="preserve"> supports in e</w:t>
      </w:r>
      <w:r>
        <w:t>mployment</w:t>
      </w:r>
      <w:bookmarkEnd w:id="6"/>
    </w:p>
    <w:p w14:paraId="04B76F53" w14:textId="77777777" w:rsidR="00787063" w:rsidRDefault="00787063" w:rsidP="00787063">
      <w:r>
        <w:t>The NDIS funds participants through their NDIS plan to purchase supports</w:t>
      </w:r>
      <w:r w:rsidR="00EC1A02">
        <w:t>. I</w:t>
      </w:r>
      <w:r>
        <w:t>t does not fund providers directly.</w:t>
      </w:r>
    </w:p>
    <w:p w14:paraId="0C3680F9" w14:textId="77777777" w:rsidR="00787063" w:rsidRDefault="00DA28C5" w:rsidP="00787063">
      <w:r>
        <w:t>Supports in employment</w:t>
      </w:r>
      <w:r w:rsidR="00787063" w:rsidRPr="00361A02">
        <w:t xml:space="preserve"> funding</w:t>
      </w:r>
      <w:r w:rsidR="00787063">
        <w:t xml:space="preserve"> is available to anyone</w:t>
      </w:r>
      <w:r w:rsidR="00787063" w:rsidRPr="00361A02">
        <w:t xml:space="preserve"> who meets NDIS access requirements</w:t>
      </w:r>
      <w:r w:rsidR="00787063">
        <w:t>, has a goal to work</w:t>
      </w:r>
      <w:r w:rsidR="00787063" w:rsidRPr="00361A02">
        <w:t xml:space="preserve"> and who, due to the nature and impact of their disability</w:t>
      </w:r>
      <w:r w:rsidR="00787063">
        <w:t>, will require ongoing, frequent on-the-job support</w:t>
      </w:r>
      <w:r w:rsidR="00787063" w:rsidRPr="00361A02">
        <w:t xml:space="preserve"> to pursue </w:t>
      </w:r>
      <w:r w:rsidR="00787063">
        <w:t xml:space="preserve">and achieve </w:t>
      </w:r>
      <w:r w:rsidR="00787063" w:rsidRPr="00361A02">
        <w:t>their employment goals.</w:t>
      </w:r>
    </w:p>
    <w:p w14:paraId="21FE7E51" w14:textId="77777777" w:rsidR="00787063" w:rsidRDefault="00787063" w:rsidP="00787063">
      <w:r>
        <w:t>In determining</w:t>
      </w:r>
      <w:r w:rsidRPr="00361A02">
        <w:t xml:space="preserve"> the </w:t>
      </w:r>
      <w:r>
        <w:t xml:space="preserve">funds in a participant’s plan, the NDIA applies the </w:t>
      </w:r>
      <w:r w:rsidRPr="00361A02">
        <w:t xml:space="preserve">principle of </w:t>
      </w:r>
      <w:hyperlink r:id="rId15" w:history="1">
        <w:r w:rsidRPr="0004164D">
          <w:rPr>
            <w:rStyle w:val="Hyperlink"/>
          </w:rPr>
          <w:t>reasonable and necessary</w:t>
        </w:r>
      </w:hyperlink>
      <w:r w:rsidR="00A7446A">
        <w:t xml:space="preserve"> decision </w:t>
      </w:r>
      <w:r w:rsidRPr="00361A02">
        <w:t>making under the NDI</w:t>
      </w:r>
      <w:r>
        <w:t xml:space="preserve">S Act. The </w:t>
      </w:r>
      <w:r w:rsidR="002D595E">
        <w:t>NDIA</w:t>
      </w:r>
      <w:r>
        <w:t xml:space="preserve"> considers </w:t>
      </w:r>
      <w:r w:rsidRPr="00361A02">
        <w:t>the p</w:t>
      </w:r>
      <w:r>
        <w:t xml:space="preserve">articipant’s </w:t>
      </w:r>
      <w:r w:rsidRPr="00361A02">
        <w:t xml:space="preserve">employment goals, the number of hours the participant is </w:t>
      </w:r>
      <w:r>
        <w:t>working (or</w:t>
      </w:r>
      <w:r w:rsidRPr="00361A02">
        <w:t xml:space="preserve"> would li</w:t>
      </w:r>
      <w:r>
        <w:t>ke to work), the impact of the participant’s</w:t>
      </w:r>
      <w:r w:rsidRPr="00361A02">
        <w:t xml:space="preserve"> disability and the level of support or supervision </w:t>
      </w:r>
      <w:r>
        <w:t xml:space="preserve">the participant requires to engage in work </w:t>
      </w:r>
      <w:r w:rsidRPr="00361A02">
        <w:t xml:space="preserve">and complete their work tasks. </w:t>
      </w:r>
    </w:p>
    <w:p w14:paraId="3B40A332" w14:textId="77777777" w:rsidR="00A7446A" w:rsidRDefault="00787063" w:rsidP="0004164D">
      <w:r>
        <w:t xml:space="preserve">In implementing their plan, participants will be encouraged to discuss their employment support needs with their provider, </w:t>
      </w:r>
      <w:proofErr w:type="gramStart"/>
      <w:r>
        <w:t>including  skills</w:t>
      </w:r>
      <w:proofErr w:type="gramEnd"/>
      <w:r>
        <w:t xml:space="preserve"> development or desire for job changes. Plan budgets can be used flexibly to assist with managing changes</w:t>
      </w:r>
      <w:r w:rsidR="0004164D">
        <w:t>.</w:t>
      </w:r>
      <w:r>
        <w:t xml:space="preserve"> </w:t>
      </w:r>
    </w:p>
    <w:p w14:paraId="39C190BA" w14:textId="77777777" w:rsidR="00B7589F" w:rsidRDefault="00A7446A" w:rsidP="0004164D">
      <w:r>
        <w:t xml:space="preserve">For more information </w:t>
      </w:r>
      <w:r>
        <w:rPr>
          <w:rFonts w:cs="Arial"/>
          <w:color w:val="000000"/>
          <w:shd w:val="clear" w:color="auto" w:fill="FFFFFF"/>
        </w:rPr>
        <w:t>about supports in employment funding visit the</w:t>
      </w:r>
      <w:r>
        <w:t xml:space="preserve"> </w:t>
      </w:r>
      <w:hyperlink r:id="rId16" w:history="1">
        <w:r w:rsidRPr="00D26BAD">
          <w:rPr>
            <w:rStyle w:val="Hyperlink"/>
          </w:rPr>
          <w:t>Work and Study Operational Guide</w:t>
        </w:r>
      </w:hyperlink>
      <w:r w:rsidR="00D26BAD">
        <w:t>.</w:t>
      </w:r>
    </w:p>
    <w:p w14:paraId="51DA080F" w14:textId="77777777" w:rsidR="008B2991" w:rsidRPr="008B2991" w:rsidRDefault="008B2991" w:rsidP="00A24AD9">
      <w:pPr>
        <w:pStyle w:val="Heading2"/>
        <w:spacing w:line="276" w:lineRule="auto"/>
      </w:pPr>
      <w:bookmarkStart w:id="7" w:name="_Toc62130354"/>
      <w:r>
        <w:t>Understanding the new pricing framework</w:t>
      </w:r>
      <w:bookmarkEnd w:id="7"/>
    </w:p>
    <w:p w14:paraId="34741525" w14:textId="77777777" w:rsidR="00404B45" w:rsidRPr="008873E8" w:rsidRDefault="00DA28C5" w:rsidP="00A24AD9">
      <w:pPr>
        <w:pStyle w:val="Heading3"/>
        <w:spacing w:line="276" w:lineRule="auto"/>
        <w:rPr>
          <w:color w:val="auto"/>
          <w:szCs w:val="28"/>
        </w:rPr>
      </w:pPr>
      <w:bookmarkStart w:id="8" w:name="_Toc62130355"/>
      <w:r>
        <w:rPr>
          <w:color w:val="auto"/>
          <w:szCs w:val="28"/>
        </w:rPr>
        <w:t>Supports in employment</w:t>
      </w:r>
      <w:bookmarkEnd w:id="8"/>
    </w:p>
    <w:p w14:paraId="645C0348" w14:textId="77777777" w:rsidR="00404B45" w:rsidRPr="00321F81" w:rsidRDefault="00DA28C5" w:rsidP="00A24AD9">
      <w:r>
        <w:t>Supports in employment</w:t>
      </w:r>
      <w:r w:rsidR="003231FB">
        <w:t xml:space="preserve"> </w:t>
      </w:r>
      <w:r w:rsidR="00404B45" w:rsidRPr="00321F81">
        <w:t>are fo</w:t>
      </w:r>
      <w:r w:rsidR="00404B45">
        <w:t xml:space="preserve">r participants who are employed and </w:t>
      </w:r>
      <w:r w:rsidR="002D595E">
        <w:t xml:space="preserve">need </w:t>
      </w:r>
      <w:r w:rsidR="002D595E" w:rsidRPr="003C4B1E">
        <w:rPr>
          <w:rStyle w:val="Emphasis"/>
          <w:b w:val="0"/>
          <w:i w:val="0"/>
        </w:rPr>
        <w:t>extra support because of their disability</w:t>
      </w:r>
      <w:r w:rsidR="002D595E">
        <w:rPr>
          <w:rStyle w:val="Emphasis"/>
        </w:rPr>
        <w:t>.</w:t>
      </w:r>
    </w:p>
    <w:p w14:paraId="38F6CF00" w14:textId="77777777" w:rsidR="00811082" w:rsidRDefault="00404B45" w:rsidP="00A24AD9">
      <w:r w:rsidRPr="00321F81">
        <w:t>Supports may be provided one</w:t>
      </w:r>
      <w:r w:rsidR="004B4DF2">
        <w:t>-</w:t>
      </w:r>
      <w:r w:rsidRPr="00321F81">
        <w:t>to</w:t>
      </w:r>
      <w:r w:rsidR="004B4DF2">
        <w:t>-</w:t>
      </w:r>
      <w:r w:rsidRPr="00321F81">
        <w:t>one or within a group</w:t>
      </w:r>
      <w:r w:rsidR="004B4DF2">
        <w:t>-</w:t>
      </w:r>
      <w:r w:rsidRPr="00321F81">
        <w:t>based setting</w:t>
      </w:r>
      <w:r>
        <w:t xml:space="preserve">, </w:t>
      </w:r>
      <w:r w:rsidRPr="00CB65A5">
        <w:t>compl</w:t>
      </w:r>
      <w:r w:rsidR="004B4DF2" w:rsidRPr="00CB65A5">
        <w:t>e</w:t>
      </w:r>
      <w:r w:rsidRPr="00CB65A5">
        <w:t>menting</w:t>
      </w:r>
      <w:r>
        <w:t xml:space="preserve"> existing or expected employer supports</w:t>
      </w:r>
      <w:r w:rsidR="00CB65A5">
        <w:t>.</w:t>
      </w:r>
      <w:r w:rsidR="00CB65A5" w:rsidRPr="00321F81">
        <w:t xml:space="preserve"> </w:t>
      </w:r>
      <w:r w:rsidR="00CB65A5">
        <w:t>Supports are</w:t>
      </w:r>
      <w:r w:rsidR="00CB65A5" w:rsidRPr="00321F81">
        <w:t xml:space="preserve"> </w:t>
      </w:r>
      <w:r w:rsidRPr="00321F81">
        <w:t xml:space="preserve">claimed according to the intensity and frequency of supports delivered to achieve employment goals. </w:t>
      </w:r>
    </w:p>
    <w:p w14:paraId="6F7017C7" w14:textId="77777777" w:rsidR="00404B45" w:rsidRPr="00321F81" w:rsidRDefault="00404B45" w:rsidP="00A24AD9">
      <w:r w:rsidRPr="00321F81">
        <w:t xml:space="preserve">Supports can include: </w:t>
      </w:r>
    </w:p>
    <w:p w14:paraId="3A4D12E5" w14:textId="77777777" w:rsidR="00404B45" w:rsidRPr="008873E8" w:rsidRDefault="000B3941" w:rsidP="00A24AD9">
      <w:pPr>
        <w:pStyle w:val="DotPoint"/>
        <w:spacing w:line="276" w:lineRule="auto"/>
        <w:rPr>
          <w:rFonts w:ascii="Arial" w:hAnsi="Arial"/>
          <w:sz w:val="24"/>
        </w:rPr>
      </w:pPr>
      <w:r>
        <w:rPr>
          <w:rFonts w:ascii="Arial" w:hAnsi="Arial"/>
          <w:sz w:val="24"/>
        </w:rPr>
        <w:t>o</w:t>
      </w:r>
      <w:r w:rsidRPr="008873E8">
        <w:rPr>
          <w:rFonts w:ascii="Arial" w:hAnsi="Arial"/>
          <w:sz w:val="24"/>
        </w:rPr>
        <w:t>n</w:t>
      </w:r>
      <w:r w:rsidR="004B4DF2">
        <w:rPr>
          <w:rFonts w:ascii="Arial" w:hAnsi="Arial"/>
          <w:sz w:val="24"/>
        </w:rPr>
        <w:t>-</w:t>
      </w:r>
      <w:r w:rsidR="00404B45" w:rsidRPr="008873E8">
        <w:rPr>
          <w:rFonts w:ascii="Arial" w:hAnsi="Arial"/>
          <w:sz w:val="24"/>
        </w:rPr>
        <w:t>the</w:t>
      </w:r>
      <w:r w:rsidR="004B4DF2">
        <w:rPr>
          <w:rFonts w:ascii="Arial" w:hAnsi="Arial"/>
          <w:sz w:val="24"/>
        </w:rPr>
        <w:t>-</w:t>
      </w:r>
      <w:r w:rsidR="00404B45" w:rsidRPr="008873E8">
        <w:rPr>
          <w:rFonts w:ascii="Arial" w:hAnsi="Arial"/>
          <w:sz w:val="24"/>
        </w:rPr>
        <w:t>job assessments related to the impact of a person’s disability on their ability to work</w:t>
      </w:r>
    </w:p>
    <w:p w14:paraId="39DAC0B8" w14:textId="77777777" w:rsidR="00404B45" w:rsidRPr="008873E8" w:rsidRDefault="00404B45" w:rsidP="00A24AD9">
      <w:pPr>
        <w:pStyle w:val="DotPoint"/>
        <w:spacing w:line="276" w:lineRule="auto"/>
        <w:rPr>
          <w:rFonts w:ascii="Arial" w:hAnsi="Arial"/>
          <w:sz w:val="24"/>
        </w:rPr>
      </w:pPr>
      <w:r w:rsidRPr="008873E8">
        <w:rPr>
          <w:rFonts w:ascii="Arial" w:hAnsi="Arial"/>
          <w:sz w:val="24"/>
        </w:rPr>
        <w:t>job customisation</w:t>
      </w:r>
    </w:p>
    <w:p w14:paraId="18203168" w14:textId="77777777" w:rsidR="00404B45" w:rsidRPr="008873E8" w:rsidRDefault="00404B45" w:rsidP="00A24AD9">
      <w:pPr>
        <w:pStyle w:val="DotPoint"/>
        <w:spacing w:line="276" w:lineRule="auto"/>
        <w:rPr>
          <w:rFonts w:ascii="Arial" w:hAnsi="Arial"/>
          <w:sz w:val="24"/>
        </w:rPr>
      </w:pPr>
      <w:r w:rsidRPr="008873E8">
        <w:rPr>
          <w:rFonts w:ascii="Arial" w:hAnsi="Arial"/>
          <w:sz w:val="24"/>
        </w:rPr>
        <w:t>on-the-job training and intermittent support with daily work tasks</w:t>
      </w:r>
    </w:p>
    <w:p w14:paraId="26141F1A" w14:textId="77777777" w:rsidR="00404B45" w:rsidRPr="008873E8" w:rsidRDefault="00404B45" w:rsidP="00A24AD9">
      <w:pPr>
        <w:pStyle w:val="DotPoint"/>
        <w:spacing w:line="276" w:lineRule="auto"/>
        <w:rPr>
          <w:rFonts w:ascii="Arial" w:hAnsi="Arial"/>
          <w:sz w:val="24"/>
        </w:rPr>
      </w:pPr>
      <w:r w:rsidRPr="008873E8">
        <w:rPr>
          <w:rFonts w:ascii="Arial" w:hAnsi="Arial"/>
          <w:sz w:val="24"/>
        </w:rPr>
        <w:t>direct supervision and/or group-based support to enable meaningful participation at work</w:t>
      </w:r>
    </w:p>
    <w:p w14:paraId="6CF9E463" w14:textId="77777777" w:rsidR="00404B45" w:rsidRPr="008873E8" w:rsidRDefault="00404B45" w:rsidP="00A24AD9">
      <w:pPr>
        <w:pStyle w:val="DotPoint"/>
        <w:spacing w:line="276" w:lineRule="auto"/>
        <w:rPr>
          <w:rFonts w:ascii="Arial" w:hAnsi="Arial"/>
          <w:sz w:val="24"/>
        </w:rPr>
      </w:pPr>
      <w:r w:rsidRPr="008873E8">
        <w:rPr>
          <w:rFonts w:ascii="Arial" w:hAnsi="Arial"/>
          <w:sz w:val="24"/>
        </w:rPr>
        <w:t>supports to manage disability-related behaviour or complex needs at work</w:t>
      </w:r>
    </w:p>
    <w:p w14:paraId="49BB8FCB" w14:textId="77777777" w:rsidR="00404B45" w:rsidRDefault="00404B45" w:rsidP="00A24AD9">
      <w:pPr>
        <w:pStyle w:val="DotPoint"/>
        <w:spacing w:line="276" w:lineRule="auto"/>
        <w:rPr>
          <w:rFonts w:ascii="Arial" w:hAnsi="Arial"/>
          <w:sz w:val="24"/>
        </w:rPr>
      </w:pPr>
      <w:proofErr w:type="gramStart"/>
      <w:r w:rsidRPr="008873E8">
        <w:rPr>
          <w:rFonts w:ascii="Arial" w:hAnsi="Arial"/>
          <w:sz w:val="24"/>
        </w:rPr>
        <w:t>non</w:t>
      </w:r>
      <w:r w:rsidR="00B374B0">
        <w:rPr>
          <w:rFonts w:ascii="Arial" w:hAnsi="Arial"/>
          <w:sz w:val="24"/>
        </w:rPr>
        <w:t>-</w:t>
      </w:r>
      <w:r w:rsidRPr="008873E8">
        <w:rPr>
          <w:rFonts w:ascii="Arial" w:hAnsi="Arial"/>
          <w:sz w:val="24"/>
        </w:rPr>
        <w:t>face-to-face</w:t>
      </w:r>
      <w:proofErr w:type="gramEnd"/>
      <w:r w:rsidRPr="008873E8">
        <w:rPr>
          <w:rFonts w:ascii="Arial" w:hAnsi="Arial"/>
          <w:sz w:val="24"/>
        </w:rPr>
        <w:t xml:space="preserve"> activities that are directly related to supporting a participant’s employment</w:t>
      </w:r>
      <w:r w:rsidR="00BD2C31">
        <w:rPr>
          <w:rFonts w:ascii="Arial" w:hAnsi="Arial"/>
          <w:sz w:val="24"/>
        </w:rPr>
        <w:t xml:space="preserve">, taking into account a </w:t>
      </w:r>
      <w:r w:rsidR="006F5FAD">
        <w:rPr>
          <w:rFonts w:ascii="Arial" w:hAnsi="Arial"/>
          <w:sz w:val="24"/>
        </w:rPr>
        <w:t>participant’s</w:t>
      </w:r>
      <w:r w:rsidR="00BD2C31">
        <w:rPr>
          <w:rFonts w:ascii="Arial" w:hAnsi="Arial"/>
          <w:sz w:val="24"/>
        </w:rPr>
        <w:t xml:space="preserve"> </w:t>
      </w:r>
      <w:r w:rsidR="006F5FAD">
        <w:rPr>
          <w:rFonts w:ascii="Arial" w:hAnsi="Arial"/>
          <w:sz w:val="24"/>
        </w:rPr>
        <w:t>disability</w:t>
      </w:r>
      <w:r w:rsidRPr="008873E8">
        <w:rPr>
          <w:rFonts w:ascii="Arial" w:hAnsi="Arial"/>
          <w:sz w:val="24"/>
        </w:rPr>
        <w:t>.</w:t>
      </w:r>
    </w:p>
    <w:p w14:paraId="3B8832E4" w14:textId="77777777" w:rsidR="00E07E26" w:rsidRPr="003C4B1E" w:rsidRDefault="00E07E26" w:rsidP="003C4B1E">
      <w:pPr>
        <w:pStyle w:val="DotPoint"/>
        <w:numPr>
          <w:ilvl w:val="0"/>
          <w:numId w:val="0"/>
        </w:numPr>
        <w:spacing w:line="276" w:lineRule="auto"/>
        <w:rPr>
          <w:rFonts w:ascii="Arial" w:hAnsi="Arial"/>
          <w:sz w:val="24"/>
        </w:rPr>
      </w:pPr>
      <w:r w:rsidRPr="003C4B1E">
        <w:rPr>
          <w:rFonts w:ascii="Arial" w:hAnsi="Arial"/>
          <w:sz w:val="24"/>
        </w:rPr>
        <w:t xml:space="preserve">Physical assistance and personal care delivered in the workplace </w:t>
      </w:r>
      <w:r>
        <w:rPr>
          <w:rFonts w:ascii="Arial" w:hAnsi="Arial"/>
          <w:sz w:val="24"/>
        </w:rPr>
        <w:t>should</w:t>
      </w:r>
      <w:r w:rsidRPr="003C4B1E">
        <w:rPr>
          <w:rFonts w:ascii="Arial" w:hAnsi="Arial"/>
          <w:sz w:val="24"/>
        </w:rPr>
        <w:t xml:space="preserve"> be claimed from a participant’s Core – Assistance with Daily Life budget. These supports are provided individually to participants in a range of environments, including the workplace. </w:t>
      </w:r>
    </w:p>
    <w:p w14:paraId="73152DFD" w14:textId="77777777" w:rsidR="004170BE" w:rsidRDefault="00E07E26" w:rsidP="00A24AD9">
      <w:pPr>
        <w:pStyle w:val="DotPoint"/>
        <w:numPr>
          <w:ilvl w:val="0"/>
          <w:numId w:val="0"/>
        </w:numPr>
        <w:spacing w:line="276" w:lineRule="auto"/>
        <w:rPr>
          <w:rFonts w:ascii="Arial" w:hAnsi="Arial"/>
          <w:sz w:val="24"/>
        </w:rPr>
      </w:pPr>
      <w:r w:rsidRPr="003F7BFB">
        <w:rPr>
          <w:rFonts w:ascii="Arial" w:hAnsi="Arial"/>
          <w:sz w:val="24"/>
        </w:rPr>
        <w:t xml:space="preserve">Supports like managing relationships outside of work, financial </w:t>
      </w:r>
      <w:r>
        <w:rPr>
          <w:rFonts w:ascii="Arial" w:hAnsi="Arial"/>
          <w:sz w:val="24"/>
        </w:rPr>
        <w:t>and</w:t>
      </w:r>
      <w:r w:rsidRPr="003F7BFB">
        <w:rPr>
          <w:rFonts w:ascii="Arial" w:hAnsi="Arial"/>
          <w:sz w:val="24"/>
        </w:rPr>
        <w:t xml:space="preserve"> housing issues or other daily living support needs</w:t>
      </w:r>
      <w:r>
        <w:rPr>
          <w:rFonts w:ascii="Arial" w:hAnsi="Arial"/>
          <w:sz w:val="24"/>
        </w:rPr>
        <w:t xml:space="preserve"> </w:t>
      </w:r>
      <w:r w:rsidR="00452099" w:rsidRPr="008873E8">
        <w:rPr>
          <w:rFonts w:ascii="Arial" w:hAnsi="Arial"/>
          <w:sz w:val="24"/>
        </w:rPr>
        <w:t xml:space="preserve">might impact </w:t>
      </w:r>
      <w:r w:rsidR="00452099">
        <w:rPr>
          <w:rFonts w:ascii="Arial" w:hAnsi="Arial"/>
          <w:sz w:val="24"/>
        </w:rPr>
        <w:t>a participant’s attendance and focus at work</w:t>
      </w:r>
      <w:r w:rsidR="00C863FC">
        <w:rPr>
          <w:rFonts w:ascii="Arial" w:hAnsi="Arial"/>
          <w:sz w:val="24"/>
        </w:rPr>
        <w:t>.</w:t>
      </w:r>
      <w:r w:rsidR="00452099">
        <w:rPr>
          <w:rFonts w:ascii="Arial" w:hAnsi="Arial"/>
          <w:sz w:val="24"/>
        </w:rPr>
        <w:t xml:space="preserve"> </w:t>
      </w:r>
      <w:r w:rsidR="00FA1A9D" w:rsidRPr="00FA1A9D">
        <w:rPr>
          <w:rFonts w:ascii="Arial" w:hAnsi="Arial"/>
          <w:sz w:val="24"/>
        </w:rPr>
        <w:t>T</w:t>
      </w:r>
      <w:r w:rsidR="00452099" w:rsidRPr="00FA1A9D">
        <w:rPr>
          <w:rFonts w:ascii="Arial" w:hAnsi="Arial"/>
          <w:sz w:val="24"/>
        </w:rPr>
        <w:t>he</w:t>
      </w:r>
      <w:r w:rsidR="00FA1A9D" w:rsidRPr="00FA1A9D">
        <w:rPr>
          <w:rFonts w:ascii="Arial" w:hAnsi="Arial"/>
          <w:sz w:val="24"/>
        </w:rPr>
        <w:t xml:space="preserve">se </w:t>
      </w:r>
      <w:r w:rsidR="00DA28C5" w:rsidRPr="00FA1A9D">
        <w:rPr>
          <w:rFonts w:ascii="Arial" w:hAnsi="Arial"/>
          <w:sz w:val="24"/>
        </w:rPr>
        <w:lastRenderedPageBreak/>
        <w:t>s</w:t>
      </w:r>
      <w:r w:rsidR="00FA1A9D" w:rsidRPr="00FA1A9D">
        <w:rPr>
          <w:rFonts w:ascii="Arial" w:hAnsi="Arial"/>
          <w:sz w:val="24"/>
        </w:rPr>
        <w:t>upports are outside the scope of</w:t>
      </w:r>
      <w:r w:rsidR="00452099" w:rsidRPr="00FA1A9D">
        <w:rPr>
          <w:rFonts w:ascii="Arial" w:hAnsi="Arial"/>
          <w:sz w:val="24"/>
        </w:rPr>
        <w:t xml:space="preserve"> </w:t>
      </w:r>
      <w:r w:rsidR="00DA28C5" w:rsidRPr="00FA1A9D">
        <w:rPr>
          <w:rFonts w:ascii="Arial" w:hAnsi="Arial"/>
          <w:sz w:val="24"/>
        </w:rPr>
        <w:t>e</w:t>
      </w:r>
      <w:r w:rsidR="00452099" w:rsidRPr="00FA1A9D">
        <w:rPr>
          <w:rFonts w:ascii="Arial" w:hAnsi="Arial"/>
          <w:sz w:val="24"/>
        </w:rPr>
        <w:t>mployment funding</w:t>
      </w:r>
      <w:r w:rsidR="00FA1A9D" w:rsidRPr="00FA1A9D">
        <w:rPr>
          <w:rFonts w:ascii="Arial" w:hAnsi="Arial"/>
          <w:sz w:val="24"/>
        </w:rPr>
        <w:t xml:space="preserve"> and, if needed, should be discussed with a planner or LAC, to be included in a participant’s plan.</w:t>
      </w:r>
      <w:r w:rsidR="00F23C2F" w:rsidRPr="00FA1A9D">
        <w:rPr>
          <w:rFonts w:ascii="Arial" w:hAnsi="Arial"/>
          <w:sz w:val="24"/>
        </w:rPr>
        <w:t xml:space="preserve"> </w:t>
      </w:r>
    </w:p>
    <w:p w14:paraId="0E9248F6" w14:textId="77777777" w:rsidR="008B2991" w:rsidRPr="00A85983" w:rsidRDefault="008B2991" w:rsidP="00A24AD9">
      <w:pPr>
        <w:spacing w:after="0"/>
        <w:rPr>
          <w:rFonts w:eastAsia="Cambria" w:cstheme="minorHAnsi"/>
          <w:szCs w:val="24"/>
        </w:rPr>
      </w:pPr>
    </w:p>
    <w:p w14:paraId="1D05B732" w14:textId="77777777" w:rsidR="003231FB" w:rsidRPr="00A85983" w:rsidRDefault="003231FB" w:rsidP="00A24AD9">
      <w:pPr>
        <w:pStyle w:val="Heading3"/>
        <w:spacing w:line="276" w:lineRule="auto"/>
      </w:pPr>
      <w:bookmarkStart w:id="9" w:name="_Toc62130356"/>
      <w:r w:rsidRPr="00452099">
        <w:t>Group</w:t>
      </w:r>
      <w:r w:rsidR="000A3577" w:rsidRPr="00452099">
        <w:t>-</w:t>
      </w:r>
      <w:r w:rsidRPr="00452099">
        <w:t>based</w:t>
      </w:r>
      <w:r w:rsidRPr="00A85983">
        <w:t xml:space="preserve"> support</w:t>
      </w:r>
      <w:bookmarkEnd w:id="9"/>
    </w:p>
    <w:p w14:paraId="7F51CAFB" w14:textId="590C66A8" w:rsidR="00417889" w:rsidRPr="009B498C" w:rsidRDefault="00417889" w:rsidP="00417889">
      <w:pPr>
        <w:spacing w:after="160" w:line="259" w:lineRule="auto"/>
        <w:rPr>
          <w:rFonts w:eastAsia="Calibri" w:cs="Arial"/>
        </w:rPr>
      </w:pPr>
      <w:r w:rsidRPr="009B498C">
        <w:rPr>
          <w:rFonts w:eastAsia="Calibri" w:cs="Arial"/>
        </w:rPr>
        <w:t xml:space="preserve">The </w:t>
      </w:r>
      <w:r w:rsidR="00A326AF">
        <w:rPr>
          <w:rFonts w:eastAsia="Calibri" w:cs="Arial"/>
        </w:rPr>
        <w:t>NDIS Pricing Arrangements and Price Limits</w:t>
      </w:r>
      <w:r w:rsidRPr="009B498C">
        <w:rPr>
          <w:rFonts w:eastAsia="Calibri" w:cs="Arial"/>
        </w:rPr>
        <w:t xml:space="preserve"> now lists a single unit (hourly) price for delivery of group supports. This means that providers no longer need to use the worker to participant ratio support items. Instead all group supports </w:t>
      </w:r>
      <w:r w:rsidR="00E07E26">
        <w:rPr>
          <w:rFonts w:eastAsia="Calibri" w:cs="Arial"/>
        </w:rPr>
        <w:t>can</w:t>
      </w:r>
      <w:r w:rsidRPr="009B498C">
        <w:rPr>
          <w:rFonts w:eastAsia="Calibri" w:cs="Arial"/>
        </w:rPr>
        <w:t xml:space="preserve"> be claimed by apportioning the hourly rate across the participants receiving support in the group.</w:t>
      </w:r>
    </w:p>
    <w:p w14:paraId="7FE50CDF" w14:textId="77777777" w:rsidR="00417889" w:rsidRPr="009B498C" w:rsidRDefault="00417889" w:rsidP="00417889">
      <w:pPr>
        <w:spacing w:after="160" w:line="259" w:lineRule="auto"/>
        <w:rPr>
          <w:rFonts w:eastAsia="Calibri" w:cs="Arial"/>
          <w:b/>
          <w:bCs/>
        </w:rPr>
      </w:pPr>
      <w:r w:rsidRPr="009B498C">
        <w:rPr>
          <w:rFonts w:eastAsia="Calibri" w:cs="Arial"/>
        </w:rPr>
        <w:t xml:space="preserve">We have made this change because: </w:t>
      </w:r>
    </w:p>
    <w:p w14:paraId="112BB370" w14:textId="77777777" w:rsidR="00417889" w:rsidRPr="009B498C" w:rsidRDefault="00417889" w:rsidP="00417889">
      <w:pPr>
        <w:numPr>
          <w:ilvl w:val="0"/>
          <w:numId w:val="52"/>
        </w:numPr>
        <w:spacing w:after="160" w:line="259" w:lineRule="auto"/>
        <w:rPr>
          <w:rFonts w:eastAsia="Calibri" w:cs="Arial"/>
        </w:rPr>
      </w:pPr>
      <w:r w:rsidRPr="009B498C">
        <w:rPr>
          <w:rFonts w:eastAsia="Calibri" w:cs="Arial"/>
        </w:rPr>
        <w:t>This ensures participants are paying for the supports they actually receive.</w:t>
      </w:r>
    </w:p>
    <w:p w14:paraId="548F7CDE" w14:textId="77777777" w:rsidR="00417889" w:rsidRPr="009B498C" w:rsidRDefault="00417889" w:rsidP="00417889">
      <w:pPr>
        <w:numPr>
          <w:ilvl w:val="0"/>
          <w:numId w:val="52"/>
        </w:numPr>
        <w:spacing w:after="160" w:line="259" w:lineRule="auto"/>
        <w:rPr>
          <w:rFonts w:eastAsia="Calibri" w:cs="Arial"/>
        </w:rPr>
      </w:pPr>
      <w:r w:rsidRPr="009B498C">
        <w:rPr>
          <w:rFonts w:eastAsia="Calibri" w:cs="Arial"/>
        </w:rPr>
        <w:t xml:space="preserve">It avoids a situation where someone working in a group of 15 </w:t>
      </w:r>
      <w:r>
        <w:rPr>
          <w:rFonts w:eastAsia="Calibri" w:cs="Arial"/>
        </w:rPr>
        <w:t>i</w:t>
      </w:r>
      <w:r w:rsidRPr="009B498C">
        <w:rPr>
          <w:rFonts w:eastAsia="Calibri" w:cs="Arial"/>
        </w:rPr>
        <w:t xml:space="preserve">s paying the same as another in a group of </w:t>
      </w:r>
      <w:r>
        <w:rPr>
          <w:rFonts w:eastAsia="Calibri" w:cs="Arial"/>
        </w:rPr>
        <w:t>seven</w:t>
      </w:r>
      <w:r w:rsidRPr="009B498C">
        <w:rPr>
          <w:rFonts w:eastAsia="Calibri" w:cs="Arial"/>
        </w:rPr>
        <w:t xml:space="preserve">, even though the level of support </w:t>
      </w:r>
      <w:r>
        <w:rPr>
          <w:rFonts w:eastAsia="Calibri" w:cs="Arial"/>
        </w:rPr>
        <w:t>i</w:t>
      </w:r>
      <w:r w:rsidRPr="009B498C">
        <w:rPr>
          <w:rFonts w:eastAsia="Calibri" w:cs="Arial"/>
        </w:rPr>
        <w:t>s different.</w:t>
      </w:r>
    </w:p>
    <w:p w14:paraId="1FB63ECC" w14:textId="77777777" w:rsidR="00417889" w:rsidRPr="009B498C" w:rsidRDefault="00417889" w:rsidP="00417889">
      <w:pPr>
        <w:numPr>
          <w:ilvl w:val="0"/>
          <w:numId w:val="52"/>
        </w:numPr>
        <w:spacing w:after="160" w:line="259" w:lineRule="auto"/>
        <w:rPr>
          <w:rFonts w:eastAsia="Calibri" w:cs="Arial"/>
        </w:rPr>
      </w:pPr>
      <w:r w:rsidRPr="009B498C">
        <w:rPr>
          <w:rFonts w:eastAsia="Calibri" w:cs="Arial"/>
        </w:rPr>
        <w:t>It addresses concerns that the NDIS inadvertently builds in a perverse incentive for providers to increase group sizes.</w:t>
      </w:r>
    </w:p>
    <w:p w14:paraId="2D93CC09" w14:textId="77777777" w:rsidR="00C06055" w:rsidRPr="00973063" w:rsidRDefault="00417889" w:rsidP="00973063">
      <w:pPr>
        <w:numPr>
          <w:ilvl w:val="0"/>
          <w:numId w:val="52"/>
        </w:numPr>
        <w:spacing w:after="160" w:line="259" w:lineRule="auto"/>
        <w:rPr>
          <w:rFonts w:cs="Arial"/>
        </w:rPr>
      </w:pPr>
      <w:r w:rsidRPr="009B498C">
        <w:rPr>
          <w:rFonts w:eastAsia="Calibri" w:cs="Arial"/>
        </w:rPr>
        <w:t>Having a single unit price, along w</w:t>
      </w:r>
      <w:r w:rsidR="00A82C69">
        <w:rPr>
          <w:rFonts w:eastAsia="Calibri" w:cs="Arial"/>
        </w:rPr>
        <w:t>ith the new p</w:t>
      </w:r>
      <w:r>
        <w:rPr>
          <w:rFonts w:eastAsia="Calibri" w:cs="Arial"/>
        </w:rPr>
        <w:t xml:space="preserve">rograms of </w:t>
      </w:r>
      <w:r w:rsidR="00A82C69">
        <w:rPr>
          <w:rFonts w:eastAsia="Calibri" w:cs="Arial"/>
        </w:rPr>
        <w:t>s</w:t>
      </w:r>
      <w:r>
        <w:rPr>
          <w:rFonts w:eastAsia="Calibri" w:cs="Arial"/>
        </w:rPr>
        <w:t>upport</w:t>
      </w:r>
      <w:r w:rsidRPr="009B498C">
        <w:rPr>
          <w:rFonts w:eastAsia="Calibri" w:cs="Arial"/>
        </w:rPr>
        <w:t xml:space="preserve"> approach helps with provider administration.</w:t>
      </w:r>
    </w:p>
    <w:p w14:paraId="1A074A64" w14:textId="77777777" w:rsidR="00AD55A4" w:rsidRDefault="00AD55A4" w:rsidP="00A24AD9">
      <w:pPr>
        <w:spacing w:after="0"/>
        <w:rPr>
          <w:rFonts w:cs="Arial"/>
        </w:rPr>
      </w:pPr>
    </w:p>
    <w:p w14:paraId="24BD9EFE" w14:textId="77777777" w:rsidR="00B7589F" w:rsidRDefault="00697487" w:rsidP="003C4B1E">
      <w:pPr>
        <w:pStyle w:val="Heading4"/>
        <w:pBdr>
          <w:top w:val="single" w:sz="4" w:space="1" w:color="auto"/>
          <w:left w:val="single" w:sz="4" w:space="1" w:color="auto"/>
          <w:bottom w:val="single" w:sz="4" w:space="1" w:color="auto"/>
          <w:right w:val="single" w:sz="4" w:space="0" w:color="auto"/>
        </w:pBdr>
        <w:shd w:val="clear" w:color="auto" w:fill="EEE2F3"/>
      </w:pPr>
      <w:r>
        <w:t>Scenario 1</w:t>
      </w:r>
      <w:r w:rsidR="00361163">
        <w:t xml:space="preserve"> – Simple apportioning of group-</w:t>
      </w:r>
      <w:r w:rsidR="00B7589F" w:rsidRPr="00B7589F">
        <w:t>based supports</w:t>
      </w:r>
      <w:r w:rsidR="00B7589F">
        <w:br/>
      </w:r>
    </w:p>
    <w:p w14:paraId="198946C0" w14:textId="77777777" w:rsidR="00B7589F" w:rsidRDefault="00B7589F" w:rsidP="00B7589F">
      <w:pPr>
        <w:pBdr>
          <w:top w:val="single" w:sz="4" w:space="1" w:color="auto"/>
          <w:left w:val="single" w:sz="4" w:space="1" w:color="auto"/>
          <w:bottom w:val="single" w:sz="4" w:space="1" w:color="auto"/>
          <w:right w:val="single" w:sz="4" w:space="0" w:color="auto"/>
        </w:pBdr>
        <w:shd w:val="clear" w:color="auto" w:fill="EEE2F3"/>
      </w:pPr>
      <w:r>
        <w:t xml:space="preserve"> </w:t>
      </w:r>
      <w:r w:rsidR="009142A3">
        <w:t xml:space="preserve">XYZ </w:t>
      </w:r>
      <w:r>
        <w:t xml:space="preserve">ADE supports 53 NDIS participants who work across a variety of shifts at their manufacturing plant during the week. On Mondays, there is a group of </w:t>
      </w:r>
      <w:r w:rsidR="00BF7AC9">
        <w:t>8</w:t>
      </w:r>
      <w:r>
        <w:t xml:space="preserve"> participants working a</w:t>
      </w:r>
      <w:r w:rsidR="00BF7AC9">
        <w:t xml:space="preserve"> 6</w:t>
      </w:r>
      <w:r>
        <w:t xml:space="preserve"> hour shift. The group is supported by one supervising support worker. </w:t>
      </w:r>
    </w:p>
    <w:p w14:paraId="426BEA5F" w14:textId="77777777" w:rsidR="00B7589F" w:rsidRDefault="00361163" w:rsidP="00B7589F">
      <w:pPr>
        <w:pBdr>
          <w:top w:val="single" w:sz="4" w:space="1" w:color="auto"/>
          <w:left w:val="single" w:sz="4" w:space="1" w:color="auto"/>
          <w:bottom w:val="single" w:sz="4" w:space="1" w:color="auto"/>
          <w:right w:val="single" w:sz="4" w:space="0" w:color="auto"/>
        </w:pBdr>
        <w:shd w:val="clear" w:color="auto" w:fill="EEE2F3"/>
      </w:pPr>
      <w:r>
        <w:t>Under the new group-</w:t>
      </w:r>
      <w:r w:rsidR="00B7589F">
        <w:t xml:space="preserve">based supports approach, </w:t>
      </w:r>
      <w:r w:rsidR="009142A3">
        <w:t xml:space="preserve">XYZ ADE </w:t>
      </w:r>
      <w:r w:rsidR="00B7589F">
        <w:t>needs to apportion the supports provided to the group across each participant</w:t>
      </w:r>
      <w:r w:rsidR="00BF7AC9">
        <w:t>’</w:t>
      </w:r>
      <w:r w:rsidR="00B7589F">
        <w:t xml:space="preserve">s plan. </w:t>
      </w:r>
    </w:p>
    <w:p w14:paraId="410B2850" w14:textId="77777777" w:rsidR="00B7589F" w:rsidRDefault="00B7589F" w:rsidP="00B7589F">
      <w:pPr>
        <w:pBdr>
          <w:top w:val="single" w:sz="4" w:space="1" w:color="auto"/>
          <w:left w:val="single" w:sz="4" w:space="1" w:color="auto"/>
          <w:bottom w:val="single" w:sz="4" w:space="1" w:color="auto"/>
          <w:right w:val="single" w:sz="4" w:space="0" w:color="auto"/>
        </w:pBdr>
        <w:shd w:val="clear" w:color="auto" w:fill="EEE2F3"/>
      </w:pPr>
      <w:r>
        <w:t xml:space="preserve">This can be done by dividing the total time of the supports delivered by the ratio of support for the group working on the shift. </w:t>
      </w:r>
    </w:p>
    <w:p w14:paraId="64164AD2" w14:textId="77777777" w:rsidR="00B7589F" w:rsidRDefault="00B7589F" w:rsidP="00B7589F">
      <w:pPr>
        <w:pBdr>
          <w:top w:val="single" w:sz="4" w:space="1" w:color="auto"/>
          <w:left w:val="single" w:sz="4" w:space="1" w:color="auto"/>
          <w:bottom w:val="single" w:sz="4" w:space="1" w:color="auto"/>
          <w:right w:val="single" w:sz="4" w:space="0" w:color="auto"/>
        </w:pBdr>
        <w:shd w:val="clear" w:color="auto" w:fill="EEE2F3"/>
      </w:pPr>
      <w:r>
        <w:t>360 minutes / 8 = 45 minutes of support per participant.</w:t>
      </w:r>
    </w:p>
    <w:p w14:paraId="46413840" w14:textId="77777777" w:rsidR="00B7589F" w:rsidRDefault="00B7589F" w:rsidP="00A24AD9">
      <w:pPr>
        <w:spacing w:after="0"/>
        <w:rPr>
          <w:rFonts w:cs="Arial"/>
        </w:rPr>
      </w:pPr>
    </w:p>
    <w:p w14:paraId="4F17C08C" w14:textId="77777777" w:rsidR="003231FB" w:rsidRDefault="008C7BF5" w:rsidP="00A24AD9">
      <w:r>
        <w:t>W</w:t>
      </w:r>
      <w:r w:rsidR="003231FB">
        <w:t>hile the</w:t>
      </w:r>
      <w:r w:rsidR="00365641">
        <w:t xml:space="preserve"> </w:t>
      </w:r>
      <w:r w:rsidR="003231FB">
        <w:t xml:space="preserve">expected </w:t>
      </w:r>
      <w:r w:rsidR="00365641">
        <w:t xml:space="preserve">frequency </w:t>
      </w:r>
      <w:r w:rsidR="003231FB">
        <w:t>of support will influence the funding in a participant</w:t>
      </w:r>
      <w:r w:rsidR="00281479">
        <w:t>’</w:t>
      </w:r>
      <w:r w:rsidR="003231FB">
        <w:t>s plan, the</w:t>
      </w:r>
      <w:r w:rsidR="003231FB" w:rsidRPr="00BA52E6">
        <w:t xml:space="preserve"> NDIA </w:t>
      </w:r>
      <w:r w:rsidR="003231FB">
        <w:t xml:space="preserve">does not mandate the ratios </w:t>
      </w:r>
      <w:r w:rsidR="003231FB" w:rsidRPr="00BA52E6">
        <w:t xml:space="preserve">of support </w:t>
      </w:r>
      <w:r w:rsidR="003231FB">
        <w:t>delivered in the workplace. Providers claim payments based on</w:t>
      </w:r>
      <w:r w:rsidR="003231FB" w:rsidRPr="005A4EFB">
        <w:t xml:space="preserve"> the actual</w:t>
      </w:r>
      <w:r w:rsidR="003231FB">
        <w:t xml:space="preserve"> staff-to-participant</w:t>
      </w:r>
      <w:r w:rsidR="003231FB" w:rsidRPr="005A4EFB">
        <w:t xml:space="preserve"> ratio of support they provide in the workplace</w:t>
      </w:r>
      <w:r w:rsidR="003231FB">
        <w:t xml:space="preserve"> and the frequency of that support, typically matched to the hours of work.</w:t>
      </w:r>
      <w:r w:rsidR="003231FB" w:rsidRPr="005A4EFB">
        <w:t xml:space="preserve"> </w:t>
      </w:r>
    </w:p>
    <w:p w14:paraId="5D4297C5" w14:textId="77777777" w:rsidR="003231FB" w:rsidRPr="005A4EFB" w:rsidRDefault="003231FB" w:rsidP="00A24AD9">
      <w:r w:rsidRPr="005A4EFB">
        <w:t>When determining the ratio of support, providers should consider the</w:t>
      </w:r>
      <w:r>
        <w:t xml:space="preserve"> supervision and support </w:t>
      </w:r>
      <w:r w:rsidRPr="005A4EFB">
        <w:t xml:space="preserve">provided directly to the participant during their time at work. </w:t>
      </w:r>
      <w:r w:rsidR="00361163">
        <w:t xml:space="preserve">Support </w:t>
      </w:r>
      <w:r w:rsidR="00365641">
        <w:t xml:space="preserve">roles </w:t>
      </w:r>
      <w:r w:rsidR="00281479">
        <w:t xml:space="preserve">in ADEs </w:t>
      </w:r>
      <w:r w:rsidR="00365641">
        <w:t>are described in many different ways, including:</w:t>
      </w:r>
    </w:p>
    <w:p w14:paraId="5EC54365" w14:textId="77777777" w:rsidR="003231FB" w:rsidRDefault="00365641" w:rsidP="00A24AD9">
      <w:pPr>
        <w:pStyle w:val="ListParagraph"/>
        <w:numPr>
          <w:ilvl w:val="0"/>
          <w:numId w:val="25"/>
        </w:numPr>
      </w:pPr>
      <w:r>
        <w:t xml:space="preserve">direct </w:t>
      </w:r>
      <w:r w:rsidR="003231FB">
        <w:t>supervisor</w:t>
      </w:r>
    </w:p>
    <w:p w14:paraId="50B769EF" w14:textId="77777777" w:rsidR="00365641" w:rsidRDefault="00365641" w:rsidP="00A24AD9">
      <w:pPr>
        <w:pStyle w:val="ListParagraph"/>
        <w:numPr>
          <w:ilvl w:val="0"/>
          <w:numId w:val="25"/>
        </w:numPr>
      </w:pPr>
      <w:r>
        <w:t>production manager</w:t>
      </w:r>
    </w:p>
    <w:p w14:paraId="2767D369" w14:textId="77777777" w:rsidR="003231FB" w:rsidRPr="005A4EFB" w:rsidRDefault="003231FB" w:rsidP="00A24AD9">
      <w:pPr>
        <w:pStyle w:val="ListParagraph"/>
        <w:numPr>
          <w:ilvl w:val="0"/>
          <w:numId w:val="25"/>
        </w:numPr>
      </w:pPr>
      <w:r w:rsidRPr="005A4EFB">
        <w:t>disability support worker</w:t>
      </w:r>
    </w:p>
    <w:p w14:paraId="552637F6" w14:textId="77777777" w:rsidR="003231FB" w:rsidRDefault="003231FB" w:rsidP="00A24AD9">
      <w:pPr>
        <w:pStyle w:val="ListParagraph"/>
        <w:numPr>
          <w:ilvl w:val="0"/>
          <w:numId w:val="25"/>
        </w:numPr>
      </w:pPr>
      <w:r>
        <w:t>on-site trainer</w:t>
      </w:r>
    </w:p>
    <w:p w14:paraId="363DC9E2" w14:textId="77777777" w:rsidR="003231FB" w:rsidRDefault="003231FB" w:rsidP="00A24AD9">
      <w:pPr>
        <w:pStyle w:val="ListParagraph"/>
        <w:numPr>
          <w:ilvl w:val="0"/>
          <w:numId w:val="25"/>
        </w:numPr>
      </w:pPr>
      <w:r>
        <w:t>employment coach</w:t>
      </w:r>
    </w:p>
    <w:p w14:paraId="7B76C40E" w14:textId="77777777" w:rsidR="003231FB" w:rsidRDefault="003231FB" w:rsidP="00A24AD9">
      <w:pPr>
        <w:pStyle w:val="ListParagraph"/>
        <w:numPr>
          <w:ilvl w:val="0"/>
          <w:numId w:val="25"/>
        </w:numPr>
      </w:pPr>
      <w:proofErr w:type="gramStart"/>
      <w:r>
        <w:t>personal</w:t>
      </w:r>
      <w:proofErr w:type="gramEnd"/>
      <w:r>
        <w:t xml:space="preserve"> care worker</w:t>
      </w:r>
      <w:r w:rsidR="00BF7AC9">
        <w:t>.</w:t>
      </w:r>
    </w:p>
    <w:p w14:paraId="164C4EF1" w14:textId="77777777" w:rsidR="00365641" w:rsidRPr="00A85983" w:rsidRDefault="00365641" w:rsidP="00A24AD9">
      <w:r w:rsidRPr="00A85983">
        <w:lastRenderedPageBreak/>
        <w:t xml:space="preserve">Whatever the title, the </w:t>
      </w:r>
      <w:r w:rsidR="00217700" w:rsidRPr="00A85983">
        <w:t>important</w:t>
      </w:r>
      <w:r w:rsidRPr="00A85983">
        <w:t xml:space="preserve"> distinction </w:t>
      </w:r>
      <w:r w:rsidR="00217700" w:rsidRPr="00A85983">
        <w:t>is</w:t>
      </w:r>
      <w:r w:rsidRPr="00A85983">
        <w:t xml:space="preserve"> that a support worker provides direct on</w:t>
      </w:r>
      <w:r w:rsidR="00281479" w:rsidRPr="00A85983">
        <w:t>-</w:t>
      </w:r>
      <w:r w:rsidRPr="00A85983">
        <w:t>the</w:t>
      </w:r>
      <w:r w:rsidR="00281479" w:rsidRPr="00A85983">
        <w:t>-</w:t>
      </w:r>
      <w:r w:rsidRPr="00A85983">
        <w:t>job or non</w:t>
      </w:r>
      <w:r w:rsidR="00281479" w:rsidRPr="00A85983">
        <w:t>-</w:t>
      </w:r>
      <w:r w:rsidRPr="00A85983">
        <w:t>face</w:t>
      </w:r>
      <w:r w:rsidR="00281479" w:rsidRPr="00A85983">
        <w:t>-</w:t>
      </w:r>
      <w:r w:rsidRPr="00A85983">
        <w:t>to</w:t>
      </w:r>
      <w:r w:rsidR="00281479" w:rsidRPr="00A85983">
        <w:t>-</w:t>
      </w:r>
      <w:r w:rsidR="00706A09">
        <w:t>face employment</w:t>
      </w:r>
      <w:r w:rsidR="008D0CEF">
        <w:t>-</w:t>
      </w:r>
      <w:r w:rsidR="00706A09">
        <w:t>related</w:t>
      </w:r>
      <w:r w:rsidRPr="00A85983">
        <w:t xml:space="preserve"> supports. </w:t>
      </w:r>
    </w:p>
    <w:p w14:paraId="087D1ECA" w14:textId="77777777" w:rsidR="00B03AE5" w:rsidRDefault="00B03AE5" w:rsidP="003C4B1E">
      <w:pPr>
        <w:pStyle w:val="Heading3"/>
        <w:spacing w:line="276" w:lineRule="auto"/>
      </w:pPr>
      <w:bookmarkStart w:id="10" w:name="_Toc62130357"/>
      <w:r w:rsidRPr="00390739">
        <w:t>Peer support workers</w:t>
      </w:r>
      <w:bookmarkEnd w:id="10"/>
    </w:p>
    <w:p w14:paraId="4312D771" w14:textId="77777777" w:rsidR="001D00B8" w:rsidRDefault="008D0CEF" w:rsidP="00A24AD9">
      <w:r>
        <w:t>S</w:t>
      </w:r>
      <w:r w:rsidR="00281479" w:rsidRPr="00A85983">
        <w:t>ome workplaces have</w:t>
      </w:r>
      <w:r w:rsidR="00A86DF5">
        <w:t xml:space="preserve"> participant </w:t>
      </w:r>
      <w:r w:rsidR="00365641" w:rsidRPr="00A85983">
        <w:t>peer support workers</w:t>
      </w:r>
      <w:r w:rsidR="00281479" w:rsidRPr="00A85983">
        <w:t>.</w:t>
      </w:r>
      <w:r w:rsidR="00365641" w:rsidRPr="00A85983">
        <w:t xml:space="preserve"> If these workers have a defined role to supervise and support others </w:t>
      </w:r>
      <w:r w:rsidR="009760B7" w:rsidRPr="00A85983">
        <w:t xml:space="preserve">in their work crew, </w:t>
      </w:r>
      <w:r w:rsidR="001D00B8">
        <w:t xml:space="preserve">the ADE </w:t>
      </w:r>
      <w:r w:rsidR="00281479" w:rsidRPr="00A85983">
        <w:t xml:space="preserve">should consider recognising them as part of </w:t>
      </w:r>
      <w:r w:rsidR="002227B2">
        <w:t xml:space="preserve">the </w:t>
      </w:r>
      <w:r w:rsidR="00281479" w:rsidRPr="00A85983">
        <w:t>support</w:t>
      </w:r>
      <w:r w:rsidR="002227B2">
        <w:t>ing</w:t>
      </w:r>
      <w:r w:rsidR="00281479" w:rsidRPr="00A85983">
        <w:t xml:space="preserve"> workforce</w:t>
      </w:r>
      <w:r w:rsidR="009760B7" w:rsidRPr="00A85983">
        <w:t xml:space="preserve">, rather than </w:t>
      </w:r>
      <w:r>
        <w:t>as</w:t>
      </w:r>
      <w:r w:rsidR="009760B7" w:rsidRPr="00A85983">
        <w:t xml:space="preserve"> a supported employee</w:t>
      </w:r>
      <w:r w:rsidR="00365641" w:rsidRPr="00A85983">
        <w:t xml:space="preserve">. </w:t>
      </w:r>
    </w:p>
    <w:p w14:paraId="44DFDC66" w14:textId="77777777" w:rsidR="00697487" w:rsidRDefault="008D4788" w:rsidP="00A24AD9">
      <w:r w:rsidRPr="00A85983">
        <w:t xml:space="preserve">If </w:t>
      </w:r>
      <w:r w:rsidR="001D00B8">
        <w:t>the worker</w:t>
      </w:r>
      <w:r w:rsidR="00365641" w:rsidRPr="00A85983">
        <w:t xml:space="preserve"> require</w:t>
      </w:r>
      <w:r w:rsidR="001D00B8">
        <w:t>s</w:t>
      </w:r>
      <w:r w:rsidR="00365641" w:rsidRPr="00A85983">
        <w:t xml:space="preserve"> </w:t>
      </w:r>
      <w:r w:rsidR="00217700" w:rsidRPr="00A85983">
        <w:t>more</w:t>
      </w:r>
      <w:r w:rsidR="00365641" w:rsidRPr="00A85983">
        <w:t xml:space="preserve"> than </w:t>
      </w:r>
      <w:r w:rsidR="00217700" w:rsidRPr="00A85983">
        <w:t>reasonable</w:t>
      </w:r>
      <w:r w:rsidR="00365641" w:rsidRPr="00A85983">
        <w:t xml:space="preserve"> adjustment</w:t>
      </w:r>
      <w:r w:rsidR="001D00B8">
        <w:t>s</w:t>
      </w:r>
      <w:r w:rsidR="00365641" w:rsidRPr="00A85983">
        <w:t xml:space="preserve"> </w:t>
      </w:r>
      <w:r w:rsidR="001D00B8">
        <w:t>to perform their</w:t>
      </w:r>
      <w:r w:rsidR="009760B7" w:rsidRPr="00A85983">
        <w:t xml:space="preserve"> role</w:t>
      </w:r>
      <w:r w:rsidR="004B377E" w:rsidRPr="00A85983">
        <w:t xml:space="preserve">, </w:t>
      </w:r>
      <w:r w:rsidR="001D00B8">
        <w:t>any</w:t>
      </w:r>
      <w:r w:rsidR="00365641" w:rsidRPr="00A85983">
        <w:t xml:space="preserve"> additional supports </w:t>
      </w:r>
      <w:r w:rsidR="002227B2">
        <w:t>need to be identified and discussed with the employee</w:t>
      </w:r>
      <w:r w:rsidR="001D00B8">
        <w:t xml:space="preserve">, and should be </w:t>
      </w:r>
      <w:r w:rsidR="001D00B8" w:rsidRPr="00A85983">
        <w:t>funded</w:t>
      </w:r>
      <w:r w:rsidR="001D00B8">
        <w:t xml:space="preserve"> from the worker’s</w:t>
      </w:r>
      <w:r w:rsidR="001D00B8" w:rsidRPr="00A85983">
        <w:t xml:space="preserve"> plan</w:t>
      </w:r>
      <w:r w:rsidR="001D00B8">
        <w:t>.</w:t>
      </w:r>
    </w:p>
    <w:p w14:paraId="5B17006E" w14:textId="77777777" w:rsidR="00697487" w:rsidRDefault="00697487" w:rsidP="00697487">
      <w:pPr>
        <w:spacing w:after="0"/>
        <w:rPr>
          <w:rFonts w:cs="Arial"/>
        </w:rPr>
      </w:pPr>
    </w:p>
    <w:p w14:paraId="1C7871D3" w14:textId="77777777" w:rsidR="00697487" w:rsidRDefault="00697487" w:rsidP="00697487">
      <w:pPr>
        <w:pStyle w:val="Heading4"/>
        <w:pBdr>
          <w:top w:val="single" w:sz="4" w:space="1" w:color="auto"/>
          <w:left w:val="single" w:sz="4" w:space="1" w:color="auto"/>
          <w:bottom w:val="single" w:sz="4" w:space="1" w:color="auto"/>
          <w:right w:val="single" w:sz="4" w:space="0" w:color="auto"/>
        </w:pBdr>
        <w:shd w:val="clear" w:color="auto" w:fill="EEE2F3"/>
      </w:pPr>
      <w:r w:rsidRPr="00697487">
        <w:t xml:space="preserve">Scenario </w:t>
      </w:r>
      <w:r>
        <w:t>2</w:t>
      </w:r>
      <w:r w:rsidRPr="00697487">
        <w:t xml:space="preserve"> - Peer </w:t>
      </w:r>
      <w:r>
        <w:t>s</w:t>
      </w:r>
      <w:r w:rsidRPr="00697487">
        <w:t xml:space="preserve">upport </w:t>
      </w:r>
      <w:r>
        <w:t>w</w:t>
      </w:r>
      <w:r w:rsidRPr="00697487">
        <w:t>orkers</w:t>
      </w:r>
      <w:r>
        <w:br/>
      </w:r>
    </w:p>
    <w:p w14:paraId="53B37AC7" w14:textId="77777777" w:rsidR="00697487" w:rsidRDefault="00697487" w:rsidP="00697487">
      <w:pPr>
        <w:pBdr>
          <w:top w:val="single" w:sz="4" w:space="1" w:color="auto"/>
          <w:left w:val="single" w:sz="4" w:space="1" w:color="auto"/>
          <w:bottom w:val="single" w:sz="4" w:space="1" w:color="auto"/>
          <w:right w:val="single" w:sz="4" w:space="0" w:color="auto"/>
        </w:pBdr>
        <w:shd w:val="clear" w:color="auto" w:fill="EEE2F3"/>
      </w:pPr>
      <w:r>
        <w:t xml:space="preserve">Jack has worked for </w:t>
      </w:r>
      <w:r w:rsidR="009142A3">
        <w:t xml:space="preserve">XYZ </w:t>
      </w:r>
      <w:r>
        <w:t xml:space="preserve">ADE as a supported employee for the last 10 years. He is very experienced in his role, works quite independently and provides support and supervision to his co-workers that work on the same production line to make sure they are staying on task during the shift. </w:t>
      </w:r>
    </w:p>
    <w:p w14:paraId="2779F6F1" w14:textId="77777777" w:rsidR="00697487" w:rsidRDefault="00697487" w:rsidP="00697487">
      <w:pPr>
        <w:pBdr>
          <w:top w:val="single" w:sz="4" w:space="1" w:color="auto"/>
          <w:left w:val="single" w:sz="4" w:space="1" w:color="auto"/>
          <w:bottom w:val="single" w:sz="4" w:space="1" w:color="auto"/>
          <w:right w:val="single" w:sz="4" w:space="0" w:color="auto"/>
        </w:pBdr>
        <w:shd w:val="clear" w:color="auto" w:fill="EEE2F3"/>
      </w:pPr>
      <w:r>
        <w:t xml:space="preserve">Jack works with </w:t>
      </w:r>
      <w:r w:rsidR="00BF7AC9">
        <w:t>8</w:t>
      </w:r>
      <w:r>
        <w:t xml:space="preserve"> other supported employees each shift and a supervising support worker is present to oversee the entirety of the production line. Jack still needs some support at the start of the day to get him started with his work, prompting after lunch and at the end of the shift</w:t>
      </w:r>
      <w:r w:rsidR="00BF1210">
        <w:t xml:space="preserve"> but</w:t>
      </w:r>
      <w:r>
        <w:t xml:space="preserve"> he needs little ongoing support through the day. </w:t>
      </w:r>
      <w:r w:rsidR="009142A3">
        <w:t xml:space="preserve">XYZ ADE </w:t>
      </w:r>
      <w:r>
        <w:t xml:space="preserve">considers Jack to be a peer supervisor, although he is still a supported employee, and as a result considers the group supervised at a ratio of 1:8. </w:t>
      </w:r>
    </w:p>
    <w:p w14:paraId="0D033C71" w14:textId="77777777" w:rsidR="00697487" w:rsidRDefault="009142A3" w:rsidP="00697487">
      <w:pPr>
        <w:pBdr>
          <w:top w:val="single" w:sz="4" w:space="1" w:color="auto"/>
          <w:left w:val="single" w:sz="4" w:space="1" w:color="auto"/>
          <w:bottom w:val="single" w:sz="4" w:space="1" w:color="auto"/>
          <w:right w:val="single" w:sz="4" w:space="0" w:color="auto"/>
        </w:pBdr>
        <w:shd w:val="clear" w:color="auto" w:fill="EEE2F3"/>
      </w:pPr>
      <w:r>
        <w:t xml:space="preserve">XYZ ADE </w:t>
      </w:r>
      <w:r w:rsidR="00697487">
        <w:t>claims for the supports they provide Jack above reasonable adjustment, which averages one hour of 1:1 support each shift.</w:t>
      </w:r>
    </w:p>
    <w:p w14:paraId="50327A11" w14:textId="77777777" w:rsidR="00697487" w:rsidRPr="00EE6A81" w:rsidRDefault="00697487" w:rsidP="00A24AD9"/>
    <w:p w14:paraId="3B81AECD" w14:textId="77777777" w:rsidR="004B377E" w:rsidRPr="00D57184" w:rsidRDefault="001D00B8" w:rsidP="00A24AD9">
      <w:pPr>
        <w:pStyle w:val="Heading3"/>
        <w:spacing w:line="276" w:lineRule="auto"/>
      </w:pPr>
      <w:bookmarkStart w:id="11" w:name="_Toc62130358"/>
      <w:r w:rsidRPr="00390739">
        <w:t>Programs of support and t</w:t>
      </w:r>
      <w:r w:rsidR="00C863FC" w:rsidRPr="00390739">
        <w:t xml:space="preserve">ypical </w:t>
      </w:r>
      <w:r w:rsidRPr="00390739">
        <w:t>p</w:t>
      </w:r>
      <w:r w:rsidR="00C863FC" w:rsidRPr="00390739">
        <w:t xml:space="preserve">atterns of </w:t>
      </w:r>
      <w:r w:rsidRPr="00390739">
        <w:t>s</w:t>
      </w:r>
      <w:r w:rsidR="00C863FC" w:rsidRPr="00390739">
        <w:t>upport</w:t>
      </w:r>
      <w:bookmarkEnd w:id="11"/>
      <w:r w:rsidR="00697487" w:rsidRPr="00D57184">
        <w:t xml:space="preserve"> </w:t>
      </w:r>
    </w:p>
    <w:p w14:paraId="791BB307" w14:textId="3306C316" w:rsidR="00973063" w:rsidRDefault="00A326AF" w:rsidP="00A24AD9">
      <w:r>
        <w:rPr>
          <w:rFonts w:eastAsia="MS Mincho" w:cs="FSMe-Bold"/>
          <w:spacing w:val="-2"/>
        </w:rPr>
        <w:t>In 2020, the NDIA</w:t>
      </w:r>
      <w:r w:rsidR="00EA5668" w:rsidRPr="008663CD">
        <w:rPr>
          <w:rFonts w:eastAsia="MS Mincho" w:cs="FSMe-Bold"/>
          <w:spacing w:val="-2"/>
        </w:rPr>
        <w:t xml:space="preserve"> introduced </w:t>
      </w:r>
      <w:r w:rsidR="00EA5668" w:rsidRPr="00FA1A9D">
        <w:rPr>
          <w:rFonts w:eastAsia="MS Mincho" w:cs="FSMe-Bold"/>
          <w:b/>
          <w:spacing w:val="-2"/>
        </w:rPr>
        <w:t>programs of support</w:t>
      </w:r>
      <w:r w:rsidR="00EA5668" w:rsidRPr="00370E2D">
        <w:rPr>
          <w:rFonts w:eastAsia="MS Mincho" w:cs="FSMe-Bold"/>
          <w:spacing w:val="-2"/>
        </w:rPr>
        <w:t>,</w:t>
      </w:r>
      <w:r w:rsidR="00EA5668" w:rsidRPr="008663CD">
        <w:rPr>
          <w:rFonts w:eastAsia="MS Mincho" w:cs="FSMe-Bold"/>
          <w:spacing w:val="-2"/>
        </w:rPr>
        <w:t xml:space="preserve"> designed to simplify claiming arrangements when there is a typical pattern of group-based supports</w:t>
      </w:r>
      <w:r w:rsidR="00EA5668">
        <w:rPr>
          <w:rFonts w:eastAsia="MS Mincho" w:cs="FSMe-Bold"/>
          <w:spacing w:val="-2"/>
        </w:rPr>
        <w:t>.</w:t>
      </w:r>
    </w:p>
    <w:p w14:paraId="36B01B77" w14:textId="77777777" w:rsidR="004B377E" w:rsidRPr="00973063" w:rsidRDefault="008D4788" w:rsidP="00A24AD9">
      <w:pPr>
        <w:rPr>
          <w:rFonts w:eastAsia="MS Mincho" w:cs="FSMe-Bold"/>
          <w:spacing w:val="-2"/>
        </w:rPr>
      </w:pPr>
      <w:r w:rsidRPr="00A85983">
        <w:t>P</w:t>
      </w:r>
      <w:r w:rsidR="004B377E" w:rsidRPr="00A85983">
        <w:t xml:space="preserve">roviders can claim agreed </w:t>
      </w:r>
      <w:r w:rsidR="00D473D0" w:rsidRPr="00A85983">
        <w:t>p</w:t>
      </w:r>
      <w:r w:rsidR="00AC1529">
        <w:t>rogram</w:t>
      </w:r>
      <w:r w:rsidR="008D0CEF">
        <w:t>s</w:t>
      </w:r>
      <w:r w:rsidR="00D473D0" w:rsidRPr="00A85983">
        <w:t xml:space="preserve"> </w:t>
      </w:r>
      <w:r w:rsidR="004B377E" w:rsidRPr="00A85983">
        <w:t>of support against the related support item</w:t>
      </w:r>
      <w:r w:rsidR="00F52EC7">
        <w:t>s</w:t>
      </w:r>
      <w:r w:rsidR="004B377E" w:rsidRPr="00A85983">
        <w:t xml:space="preserve">, using the typical pattern of support to arrive at </w:t>
      </w:r>
      <w:r w:rsidR="00F52EC7">
        <w:t xml:space="preserve">the </w:t>
      </w:r>
      <w:r w:rsidR="006F5FAD">
        <w:t>frequency</w:t>
      </w:r>
      <w:r w:rsidR="00F52EC7">
        <w:t xml:space="preserve"> of support</w:t>
      </w:r>
      <w:r w:rsidR="004B377E" w:rsidRPr="00A85983">
        <w:t xml:space="preserve"> </w:t>
      </w:r>
      <w:r w:rsidR="00F52EC7">
        <w:t xml:space="preserve">within a defined time period, usually a week, </w:t>
      </w:r>
      <w:r w:rsidR="004B377E" w:rsidRPr="00A85983">
        <w:t>which is then claimed as a multiplier of the unit price</w:t>
      </w:r>
      <w:r w:rsidR="00A86DF5">
        <w:t>.</w:t>
      </w:r>
      <w:r w:rsidR="004B377E" w:rsidRPr="00A85983">
        <w:t xml:space="preserve"> </w:t>
      </w:r>
    </w:p>
    <w:p w14:paraId="1D1A6AE4" w14:textId="77777777" w:rsidR="004B377E" w:rsidRDefault="004B377E" w:rsidP="00A24AD9">
      <w:r>
        <w:t>This typical pattern of support, when recorded and agreed with a participant, form</w:t>
      </w:r>
      <w:r w:rsidR="00F52EC7">
        <w:t>s</w:t>
      </w:r>
      <w:r>
        <w:t xml:space="preserve"> the basis of the </w:t>
      </w:r>
      <w:r w:rsidR="000B3941">
        <w:t>s</w:t>
      </w:r>
      <w:r w:rsidRPr="00EA5668">
        <w:t xml:space="preserve">ervice </w:t>
      </w:r>
      <w:r w:rsidR="000B3941">
        <w:t>a</w:t>
      </w:r>
      <w:r w:rsidR="000B3941" w:rsidRPr="00EA5668">
        <w:t>greement</w:t>
      </w:r>
      <w:r w:rsidR="000B3941" w:rsidRPr="00F52EC7">
        <w:rPr>
          <w:i/>
        </w:rPr>
        <w:t xml:space="preserve"> </w:t>
      </w:r>
      <w:r w:rsidR="00F52EC7" w:rsidRPr="006B30AD">
        <w:t>and the</w:t>
      </w:r>
      <w:r w:rsidR="00F52EC7" w:rsidRPr="00F52EC7">
        <w:rPr>
          <w:i/>
        </w:rPr>
        <w:t xml:space="preserve"> </w:t>
      </w:r>
      <w:r w:rsidR="004858EF">
        <w:t>p</w:t>
      </w:r>
      <w:r w:rsidR="004858EF" w:rsidRPr="00EA5668">
        <w:t xml:space="preserve">rogram </w:t>
      </w:r>
      <w:r w:rsidR="00F52EC7" w:rsidRPr="00EA5668">
        <w:t xml:space="preserve">of </w:t>
      </w:r>
      <w:r w:rsidR="004858EF">
        <w:t>s</w:t>
      </w:r>
      <w:r w:rsidR="00F52EC7" w:rsidRPr="00EA5668">
        <w:t>upport</w:t>
      </w:r>
      <w:r w:rsidR="00F52EC7" w:rsidRPr="000B3941">
        <w:t xml:space="preserve"> </w:t>
      </w:r>
      <w:r>
        <w:t>between the provider and participant</w:t>
      </w:r>
      <w:r w:rsidR="00F52EC7">
        <w:t xml:space="preserve">. The agreed </w:t>
      </w:r>
      <w:r w:rsidR="004858EF">
        <w:t>program</w:t>
      </w:r>
      <w:r>
        <w:t xml:space="preserve"> enable</w:t>
      </w:r>
      <w:r w:rsidR="00F52EC7">
        <w:t>s</w:t>
      </w:r>
      <w:r>
        <w:t xml:space="preserve"> the provid</w:t>
      </w:r>
      <w:r w:rsidR="00F52EC7">
        <w:t>er to claim a regular weekly amount</w:t>
      </w:r>
      <w:r>
        <w:t xml:space="preserve"> for delivering supports</w:t>
      </w:r>
      <w:r w:rsidR="002571BA">
        <w:t xml:space="preserve"> during </w:t>
      </w:r>
      <w:r w:rsidR="00F52EC7">
        <w:t xml:space="preserve">a specified </w:t>
      </w:r>
      <w:r w:rsidR="002571BA">
        <w:t>pe</w:t>
      </w:r>
      <w:r w:rsidR="008D4788">
        <w:t>r</w:t>
      </w:r>
      <w:r w:rsidR="00F52EC7">
        <w:t xml:space="preserve">iod </w:t>
      </w:r>
      <w:r w:rsidR="001D00B8">
        <w:t>for</w:t>
      </w:r>
      <w:r w:rsidR="00F52EC7">
        <w:t xml:space="preserve"> no longer than 12 weeks.</w:t>
      </w:r>
    </w:p>
    <w:p w14:paraId="19836B52" w14:textId="77777777" w:rsidR="002571BA" w:rsidRPr="00FD12CC" w:rsidRDefault="002817B5" w:rsidP="00FD12CC">
      <w:r w:rsidRPr="008663CD">
        <w:rPr>
          <w:rFonts w:eastAsia="MS Mincho" w:cs="Arial"/>
          <w:spacing w:val="-2"/>
        </w:rPr>
        <w:t xml:space="preserve">This </w:t>
      </w:r>
      <w:r w:rsidRPr="008663CD">
        <w:rPr>
          <w:rFonts w:eastAsia="MS Mincho" w:cs="FSMe-Bold"/>
          <w:spacing w:val="-2"/>
        </w:rPr>
        <w:t>reduces</w:t>
      </w:r>
      <w:r w:rsidRPr="008663CD">
        <w:rPr>
          <w:rFonts w:eastAsia="MS Mincho" w:cs="Arial"/>
          <w:spacing w:val="-2"/>
        </w:rPr>
        <w:t xml:space="preserve"> the need for providers to record each minor change in hours or su</w:t>
      </w:r>
      <w:r w:rsidRPr="008663CD">
        <w:rPr>
          <w:rFonts w:eastAsia="MS Mincho" w:cs="FSMe-Bold"/>
          <w:spacing w:val="-2"/>
        </w:rPr>
        <w:t xml:space="preserve">pport ratios. </w:t>
      </w:r>
      <w:r w:rsidR="00F52EC7">
        <w:rPr>
          <w:rFonts w:cs="Arial"/>
        </w:rPr>
        <w:t>P</w:t>
      </w:r>
      <w:r w:rsidR="00565B72" w:rsidRPr="00FD12CC">
        <w:t>lanned</w:t>
      </w:r>
      <w:r w:rsidR="002571BA" w:rsidRPr="00FD12CC">
        <w:t xml:space="preserve"> absences </w:t>
      </w:r>
      <w:r w:rsidR="008D0CEF" w:rsidRPr="00FD12CC">
        <w:t xml:space="preserve">do </w:t>
      </w:r>
      <w:r w:rsidR="002571BA" w:rsidRPr="00FD12CC">
        <w:t xml:space="preserve">not form part of </w:t>
      </w:r>
      <w:r w:rsidR="00AC1529" w:rsidRPr="00FD12CC">
        <w:t xml:space="preserve">a </w:t>
      </w:r>
      <w:r w:rsidR="004858EF" w:rsidRPr="00FD12CC">
        <w:t xml:space="preserve">program </w:t>
      </w:r>
      <w:r w:rsidR="00565B72" w:rsidRPr="00FD12CC">
        <w:t xml:space="preserve">of </w:t>
      </w:r>
      <w:r w:rsidR="004858EF" w:rsidRPr="00FD12CC">
        <w:t>support</w:t>
      </w:r>
      <w:r w:rsidR="002571BA" w:rsidRPr="00FD12CC">
        <w:t xml:space="preserve">, </w:t>
      </w:r>
      <w:r w:rsidR="00AC1529" w:rsidRPr="00FD12CC">
        <w:t xml:space="preserve">but </w:t>
      </w:r>
      <w:r w:rsidR="002571BA" w:rsidRPr="00FD12CC">
        <w:t xml:space="preserve">providers can claim for </w:t>
      </w:r>
      <w:r w:rsidR="00565B72" w:rsidRPr="00FD12CC">
        <w:t>unscheduled absences</w:t>
      </w:r>
      <w:r w:rsidR="002571BA" w:rsidRPr="00FD12CC">
        <w:t xml:space="preserve">, as long as </w:t>
      </w:r>
      <w:r w:rsidR="00F52EC7" w:rsidRPr="00FD12CC">
        <w:t>they</w:t>
      </w:r>
      <w:r w:rsidR="002571BA" w:rsidRPr="00FD12CC">
        <w:t xml:space="preserve"> had the capacity to deliver the support.</w:t>
      </w:r>
    </w:p>
    <w:p w14:paraId="61B8EEFF" w14:textId="77777777" w:rsidR="00994AC9" w:rsidRDefault="00C863FC" w:rsidP="00FD12CC">
      <w:r>
        <w:t>Unscheduled absences include sick leave or failure to arrive at work, but not annual leave, public holidays, long service leave or ex</w:t>
      </w:r>
      <w:r w:rsidR="00FD12CC">
        <w:t>tended periods of sick leave.</w:t>
      </w:r>
    </w:p>
    <w:p w14:paraId="0EB58E0C" w14:textId="77777777" w:rsidR="002571BA" w:rsidRPr="00FD12CC" w:rsidRDefault="00994AC9" w:rsidP="00FD12CC">
      <w:r>
        <w:lastRenderedPageBreak/>
        <w:t>The typical pattern of supports can be based on a weekly or other agreed period and can include days of attendance, hours, individual, group, non-face</w:t>
      </w:r>
      <w:r w:rsidR="00AC1529">
        <w:t>-</w:t>
      </w:r>
      <w:r>
        <w:t>to</w:t>
      </w:r>
      <w:r w:rsidR="00AC1529">
        <w:t>-</w:t>
      </w:r>
      <w:r>
        <w:t>face</w:t>
      </w:r>
      <w:r w:rsidR="00F24F1D">
        <w:t xml:space="preserve"> supports</w:t>
      </w:r>
      <w:r>
        <w:t>, transport, and capital centre cost</w:t>
      </w:r>
      <w:r w:rsidR="008D0CEF">
        <w:t>s</w:t>
      </w:r>
      <w:r>
        <w:t xml:space="preserve">. </w:t>
      </w:r>
      <w:r w:rsidR="00F24F1D">
        <w:t>C</w:t>
      </w:r>
      <w:r>
        <w:t xml:space="preserve">apital centre costs </w:t>
      </w:r>
      <w:r w:rsidR="00F24F1D">
        <w:t>can be considered in the context of</w:t>
      </w:r>
      <w:r>
        <w:t xml:space="preserve"> usual </w:t>
      </w:r>
      <w:r w:rsidRPr="00FD12CC">
        <w:t>weather patterns whe</w:t>
      </w:r>
      <w:r w:rsidR="00143181" w:rsidRPr="00FD12CC">
        <w:t>re</w:t>
      </w:r>
      <w:r w:rsidRPr="00FD12CC">
        <w:t xml:space="preserve"> employees work mainly in outdoor settings but use indoor facilities in </w:t>
      </w:r>
      <w:r w:rsidR="006C6AC5" w:rsidRPr="00FD12CC">
        <w:t>bad</w:t>
      </w:r>
      <w:r w:rsidR="00F24F1D" w:rsidRPr="00FD12CC">
        <w:t xml:space="preserve"> </w:t>
      </w:r>
      <w:r w:rsidRPr="00FD12CC">
        <w:t>weather.</w:t>
      </w:r>
    </w:p>
    <w:p w14:paraId="66171AEE" w14:textId="77777777" w:rsidR="00697487" w:rsidRDefault="00697487" w:rsidP="00A24AD9">
      <w:pPr>
        <w:pStyle w:val="NoSpacing"/>
        <w:spacing w:line="276" w:lineRule="auto"/>
      </w:pPr>
    </w:p>
    <w:p w14:paraId="1F70FB9F" w14:textId="77777777" w:rsidR="00787256" w:rsidRDefault="00787256" w:rsidP="00787256">
      <w:pPr>
        <w:pStyle w:val="Heading4"/>
        <w:pBdr>
          <w:top w:val="single" w:sz="4" w:space="1" w:color="auto"/>
          <w:left w:val="single" w:sz="4" w:space="1" w:color="auto"/>
          <w:bottom w:val="single" w:sz="4" w:space="1" w:color="auto"/>
          <w:right w:val="single" w:sz="4" w:space="0" w:color="auto"/>
        </w:pBdr>
        <w:shd w:val="clear" w:color="auto" w:fill="EEE2F3"/>
      </w:pPr>
      <w:r w:rsidRPr="00697487">
        <w:t xml:space="preserve">Scenario </w:t>
      </w:r>
      <w:r>
        <w:t>3</w:t>
      </w:r>
      <w:r w:rsidRPr="00697487">
        <w:t xml:space="preserve"> – Programs of </w:t>
      </w:r>
      <w:r>
        <w:t>s</w:t>
      </w:r>
      <w:r w:rsidRPr="00697487">
        <w:t>upport</w:t>
      </w:r>
    </w:p>
    <w:p w14:paraId="4C71D076"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br/>
        <w:t xml:space="preserve">Sam currently works an average of 15 hours per week over 3 days for his local ADE. Before accessing the NDIS, Sam was assessed at DMI level 4. He works in transfer station recycling, </w:t>
      </w:r>
      <w:proofErr w:type="spellStart"/>
      <w:r>
        <w:t>sorting</w:t>
      </w:r>
      <w:proofErr w:type="spellEnd"/>
      <w:r>
        <w:t xml:space="preserve"> goods for sale and providing customer service. Sam would like to increase his work hours and is interested in building his customer service skills. </w:t>
      </w:r>
    </w:p>
    <w:p w14:paraId="45572691"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 xml:space="preserve">Generally, Sam works with a group of 17 employees in the recycling market, directly supervised by one staff member. He is relatively independent in his role; however, does need some 1:1 support during the day to help him with some aspects of his work, particularly when working with customers.  </w:t>
      </w:r>
    </w:p>
    <w:p w14:paraId="3B6F7180" w14:textId="77777777" w:rsidR="006C6AC5" w:rsidRDefault="00787256" w:rsidP="00787256">
      <w:pPr>
        <w:pBdr>
          <w:top w:val="single" w:sz="4" w:space="1" w:color="auto"/>
          <w:left w:val="single" w:sz="4" w:space="1" w:color="auto"/>
          <w:bottom w:val="single" w:sz="4" w:space="1" w:color="auto"/>
          <w:right w:val="single" w:sz="4" w:space="0" w:color="auto"/>
        </w:pBdr>
        <w:shd w:val="clear" w:color="auto" w:fill="EEE2F3"/>
      </w:pPr>
      <w:r>
        <w:t>Sam and his supervisor work together on a development plan for the next 12 weeks to help Sam build his capacity for extr</w:t>
      </w:r>
      <w:r w:rsidR="006C6AC5">
        <w:t>a hours and learn new skills. The new plan</w:t>
      </w:r>
      <w:r>
        <w:t xml:space="preserve"> takes into account</w:t>
      </w:r>
      <w:r w:rsidR="006C6AC5">
        <w:t>:</w:t>
      </w:r>
    </w:p>
    <w:p w14:paraId="3D6219C3" w14:textId="6B4AD464" w:rsidR="006C6AC5" w:rsidRDefault="00244989"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 xml:space="preserve">•  </w:t>
      </w:r>
      <w:r w:rsidR="006C6AC5">
        <w:t>Sam’s</w:t>
      </w:r>
      <w:proofErr w:type="gramEnd"/>
      <w:r w:rsidR="00787256">
        <w:t xml:space="preserve"> current typical pattern of supports in the group work setting and 1:1</w:t>
      </w:r>
    </w:p>
    <w:p w14:paraId="778314A5" w14:textId="265286E6" w:rsidR="006C6AC5" w:rsidRDefault="006C6AC5"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rsidR="00787256">
        <w:t>additional</w:t>
      </w:r>
      <w:proofErr w:type="gramEnd"/>
      <w:r w:rsidR="00787256">
        <w:t xml:space="preserve"> training and </w:t>
      </w:r>
      <w:r>
        <w:t>development</w:t>
      </w:r>
    </w:p>
    <w:p w14:paraId="7ABBF0BA" w14:textId="78B3FCC3" w:rsidR="006C6AC5" w:rsidRDefault="006C6AC5"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t>non</w:t>
      </w:r>
      <w:proofErr w:type="gramEnd"/>
      <w:r>
        <w:t>-face-to-</w:t>
      </w:r>
      <w:r w:rsidR="00787256">
        <w:t>face time</w:t>
      </w:r>
      <w:r>
        <w:t xml:space="preserve"> needed to prepare training</w:t>
      </w:r>
    </w:p>
    <w:p w14:paraId="170F1A44" w14:textId="27C8BA2F" w:rsidR="006C6AC5" w:rsidRDefault="006C6AC5"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t>new</w:t>
      </w:r>
      <w:proofErr w:type="gramEnd"/>
      <w:r>
        <w:t xml:space="preserve"> on the job supports</w:t>
      </w:r>
    </w:p>
    <w:p w14:paraId="396F5E92" w14:textId="3FE11261" w:rsidR="00787256" w:rsidRDefault="006C6AC5"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rsidR="00787256">
        <w:t>monitor</w:t>
      </w:r>
      <w:r>
        <w:t>ing</w:t>
      </w:r>
      <w:proofErr w:type="gramEnd"/>
      <w:r w:rsidR="00787256">
        <w:t xml:space="preserve"> and record</w:t>
      </w:r>
      <w:r>
        <w:t>ing</w:t>
      </w:r>
      <w:r w:rsidR="00787256">
        <w:t xml:space="preserve"> Sam’s progress. </w:t>
      </w:r>
    </w:p>
    <w:p w14:paraId="008BE5E7" w14:textId="77777777" w:rsidR="00787256" w:rsidRDefault="006C6AC5" w:rsidP="00787256">
      <w:pPr>
        <w:pBdr>
          <w:top w:val="single" w:sz="4" w:space="1" w:color="auto"/>
          <w:left w:val="single" w:sz="4" w:space="1" w:color="auto"/>
          <w:bottom w:val="single" w:sz="4" w:space="1" w:color="auto"/>
          <w:right w:val="single" w:sz="4" w:space="0" w:color="auto"/>
        </w:pBdr>
        <w:shd w:val="clear" w:color="auto" w:fill="EEE2F3"/>
      </w:pPr>
      <w:r>
        <w:br/>
      </w:r>
      <w:r w:rsidR="00787256">
        <w:t xml:space="preserve">Sam’s typical pattern of supports looks like: </w:t>
      </w:r>
    </w:p>
    <w:p w14:paraId="11FF80C0" w14:textId="50BFEA10" w:rsidR="00787256" w:rsidRDefault="00787256"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t>10</w:t>
      </w:r>
      <w:proofErr w:type="gramEnd"/>
      <w:r>
        <w:t xml:space="preserve"> hours per week at 1:17</w:t>
      </w:r>
    </w:p>
    <w:p w14:paraId="11FAF136" w14:textId="59B68630" w:rsidR="00787256" w:rsidRDefault="00787256"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t>5</w:t>
      </w:r>
      <w:proofErr w:type="gramEnd"/>
      <w:r>
        <w:t xml:space="preserve"> hours per week at 1:1</w:t>
      </w:r>
    </w:p>
    <w:p w14:paraId="63047114" w14:textId="7F3EC153" w:rsidR="00787256" w:rsidRDefault="00787256"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rsidR="006C6AC5">
        <w:t>1</w:t>
      </w:r>
      <w:proofErr w:type="gramEnd"/>
      <w:r w:rsidR="006C6AC5">
        <w:t xml:space="preserve"> hour per week 1:1 non-face-to-</w:t>
      </w:r>
      <w:r>
        <w:t>face time</w:t>
      </w:r>
    </w:p>
    <w:p w14:paraId="3C730743"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This means Sam’s ADE claims 6 hours and 35 minutes per week for Sam’s typical supports.</w:t>
      </w:r>
    </w:p>
    <w:p w14:paraId="23EA6238"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600 minu</w:t>
      </w:r>
      <w:r w:rsidR="006C6AC5">
        <w:t>tes / 17 = 35 minutes for group-</w:t>
      </w:r>
      <w:r>
        <w:t xml:space="preserve">based supports </w:t>
      </w:r>
    </w:p>
    <w:p w14:paraId="71C6BFC1"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5</w:t>
      </w:r>
      <w:r w:rsidR="006C6AC5">
        <w:t xml:space="preserve"> </w:t>
      </w:r>
      <w:r>
        <w:t>hours + 1 hour = 6 hours for 1:1 supports</w:t>
      </w:r>
    </w:p>
    <w:p w14:paraId="70B73EE7"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 xml:space="preserve">Total weekly amount for supports = 6h.35m x $54.30 </w:t>
      </w:r>
      <w:proofErr w:type="spellStart"/>
      <w:r>
        <w:t>ph</w:t>
      </w:r>
      <w:proofErr w:type="spellEnd"/>
      <w:r>
        <w:t xml:space="preserve"> = $357.48</w:t>
      </w:r>
    </w:p>
    <w:p w14:paraId="40F5246C"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Because Sam works in a centre based environment, the ADE can also claim the centre capital cost unit price for each hour* he works</w:t>
      </w:r>
    </w:p>
    <w:p w14:paraId="17830A7E"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15 x $2.15 = $32.25 per week</w:t>
      </w:r>
    </w:p>
    <w:p w14:paraId="193653A6"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 xml:space="preserve">Sam and his supervisor have agreed that to help him achieve his goal of working more hours in customer service for the next 12 weeks Sam will also need the following changes to his typical pattern of supports: </w:t>
      </w:r>
    </w:p>
    <w:p w14:paraId="5433D2E8" w14:textId="128CC3CB" w:rsidR="00787256" w:rsidRDefault="006C6AC5"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rsidR="000D18F8">
        <w:t>+</w:t>
      </w:r>
      <w:proofErr w:type="gramEnd"/>
      <w:r w:rsidR="00787256">
        <w:t xml:space="preserve"> </w:t>
      </w:r>
      <w:r>
        <w:t xml:space="preserve">2 </w:t>
      </w:r>
      <w:r w:rsidR="00787256">
        <w:t xml:space="preserve">hours per week </w:t>
      </w:r>
      <w:r w:rsidR="000D18F8">
        <w:t xml:space="preserve">of </w:t>
      </w:r>
      <w:r w:rsidR="00787256">
        <w:t>training with 2 other employees with similar goals (at 1:3)</w:t>
      </w:r>
    </w:p>
    <w:p w14:paraId="632EF2AF" w14:textId="046E5D93" w:rsidR="00787256" w:rsidRDefault="000D18F8"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lastRenderedPageBreak/>
        <w:t>•</w:t>
      </w:r>
      <w:r w:rsidR="00244989">
        <w:t xml:space="preserve">  </w:t>
      </w:r>
      <w:r>
        <w:t>+</w:t>
      </w:r>
      <w:proofErr w:type="gramEnd"/>
      <w:r w:rsidR="00787256">
        <w:t xml:space="preserve"> </w:t>
      </w:r>
      <w:r>
        <w:t xml:space="preserve">2 hours of </w:t>
      </w:r>
      <w:r w:rsidR="00787256">
        <w:t>1:1 support while doing extra customer service shifts (7 hours total at 1:1)</w:t>
      </w:r>
    </w:p>
    <w:p w14:paraId="1B210CB4" w14:textId="44FB32F3" w:rsidR="00787256" w:rsidRDefault="00787256"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rsidR="000D18F8">
        <w:t>-</w:t>
      </w:r>
      <w:proofErr w:type="gramEnd"/>
      <w:r w:rsidR="000D18F8">
        <w:t xml:space="preserve"> </w:t>
      </w:r>
      <w:r>
        <w:t xml:space="preserve">2 hours per week in his group based work (8 hours total at 1:17 instead of 10) </w:t>
      </w:r>
    </w:p>
    <w:p w14:paraId="5DF102CC" w14:textId="487AD6EF" w:rsidR="00787256" w:rsidRDefault="000D18F8"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t>+</w:t>
      </w:r>
      <w:proofErr w:type="gramEnd"/>
      <w:r w:rsidR="00787256">
        <w:t xml:space="preserve"> </w:t>
      </w:r>
      <w:r>
        <w:t>1 hour of non-face-to-</w:t>
      </w:r>
      <w:r w:rsidR="00787256">
        <w:t>face support (2 hours total at 1:1)</w:t>
      </w:r>
    </w:p>
    <w:p w14:paraId="020528CD" w14:textId="3E88A7F8" w:rsidR="00787256" w:rsidRDefault="00787256" w:rsidP="00244989">
      <w:pPr>
        <w:pBdr>
          <w:top w:val="single" w:sz="4" w:space="1" w:color="auto"/>
          <w:left w:val="single" w:sz="4" w:space="1" w:color="auto"/>
          <w:bottom w:val="single" w:sz="4" w:space="1" w:color="auto"/>
          <w:right w:val="single" w:sz="4" w:space="0" w:color="auto"/>
        </w:pBdr>
        <w:shd w:val="clear" w:color="auto" w:fill="EEE2F3"/>
        <w:ind w:firstLine="720"/>
      </w:pPr>
      <w:proofErr w:type="gramStart"/>
      <w:r>
        <w:t>•</w:t>
      </w:r>
      <w:r w:rsidR="00244989">
        <w:t xml:space="preserve">  </w:t>
      </w:r>
      <w:r>
        <w:t>centre</w:t>
      </w:r>
      <w:proofErr w:type="gramEnd"/>
      <w:r>
        <w:t xml:space="preserve"> capital costs for 17 hours</w:t>
      </w:r>
    </w:p>
    <w:p w14:paraId="1AFAE80A"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This forms the basis of Sam’s new program of support, which means that for the next 12 weeks, the ADE will claim a total of 10 hours and 6 minutes in supports from Sam’s plan for each week he is working or $564.03.</w:t>
      </w:r>
    </w:p>
    <w:p w14:paraId="26A47784"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 xml:space="preserve">During the 12 weeks, Sam has a scheduled week of annual leave. The ADE does not charge Sam for this week as it is a known and expected absence. </w:t>
      </w:r>
    </w:p>
    <w:p w14:paraId="0E89D00F"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 xml:space="preserve">This means the total cost of Sam’s program of support is $6,204.33 over the 12 weeks. </w:t>
      </w:r>
    </w:p>
    <w:p w14:paraId="57FF7F67" w14:textId="77777777" w:rsidR="00787256" w:rsidRDefault="00787256" w:rsidP="00787256">
      <w:pPr>
        <w:pBdr>
          <w:top w:val="single" w:sz="4" w:space="1" w:color="auto"/>
          <w:left w:val="single" w:sz="4" w:space="1" w:color="auto"/>
          <w:bottom w:val="single" w:sz="4" w:space="1" w:color="auto"/>
          <w:right w:val="single" w:sz="4" w:space="0" w:color="auto"/>
        </w:pBdr>
        <w:shd w:val="clear" w:color="auto" w:fill="EEE2F3"/>
      </w:pPr>
      <w:r>
        <w:t>At the end of these 12 weeks, Sam and his supervisor will review Sam’s progress towards his goal; document what has been achieved and (if relevant) the development milestones still to be achieved and make any adjustments to his support needs.</w:t>
      </w:r>
    </w:p>
    <w:p w14:paraId="7FC775D8" w14:textId="78852ED9" w:rsidR="00F83AE2" w:rsidRDefault="00F83AE2" w:rsidP="00787256">
      <w:pPr>
        <w:pBdr>
          <w:top w:val="single" w:sz="4" w:space="1" w:color="auto"/>
          <w:left w:val="single" w:sz="4" w:space="1" w:color="auto"/>
          <w:bottom w:val="single" w:sz="4" w:space="1" w:color="auto"/>
          <w:right w:val="single" w:sz="4" w:space="0" w:color="auto"/>
        </w:pBdr>
        <w:shd w:val="clear" w:color="auto" w:fill="EEE2F3"/>
      </w:pPr>
      <w:r>
        <w:t xml:space="preserve">*Refer to the NDIS </w:t>
      </w:r>
      <w:r w:rsidR="00A326AF">
        <w:t>Pricing Arrangements and Price Limits</w:t>
      </w:r>
      <w:r>
        <w:t>.</w:t>
      </w:r>
    </w:p>
    <w:p w14:paraId="2200E119" w14:textId="77777777" w:rsidR="00697487" w:rsidRDefault="00697487" w:rsidP="00A24AD9">
      <w:pPr>
        <w:pStyle w:val="NoSpacing"/>
        <w:spacing w:line="276" w:lineRule="auto"/>
      </w:pPr>
    </w:p>
    <w:p w14:paraId="16C838DA" w14:textId="5B0D64D0" w:rsidR="002817B5" w:rsidRPr="008663CD" w:rsidRDefault="002817B5" w:rsidP="002817B5">
      <w:pPr>
        <w:rPr>
          <w:rFonts w:eastAsia="MS Mincho" w:cs="FSMe-Bold"/>
          <w:spacing w:val="-2"/>
        </w:rPr>
      </w:pPr>
      <w:r w:rsidRPr="008663CD">
        <w:rPr>
          <w:rFonts w:eastAsia="MS Mincho" w:cs="FSMe-Bold"/>
          <w:spacing w:val="-2"/>
        </w:rPr>
        <w:t xml:space="preserve">Programs of support, including the amount to be claimed, must be reviewed every 12 weeks – unless specifically allowed for in the NDIS </w:t>
      </w:r>
      <w:r w:rsidR="00A326AF">
        <w:t>Pricing Arrangements and Price Limits</w:t>
      </w:r>
      <w:r w:rsidRPr="008663CD">
        <w:rPr>
          <w:rFonts w:eastAsia="MS Mincho" w:cs="FSMe-Bold"/>
          <w:spacing w:val="-2"/>
        </w:rPr>
        <w:t>. This is an opportunity to evaluate progress, review goals and reset supports if needed.</w:t>
      </w:r>
    </w:p>
    <w:p w14:paraId="1A39C296" w14:textId="77777777" w:rsidR="002817B5" w:rsidRPr="008663CD" w:rsidRDefault="002817B5" w:rsidP="002817B5">
      <w:pPr>
        <w:rPr>
          <w:rFonts w:eastAsia="MS Mincho" w:cs="FSMe-Bold"/>
          <w:spacing w:val="-2"/>
        </w:rPr>
      </w:pPr>
      <w:r w:rsidRPr="008663CD">
        <w:rPr>
          <w:rFonts w:eastAsia="MS Mincho" w:cs="FSMe-Bold"/>
          <w:spacing w:val="-2"/>
        </w:rPr>
        <w:t>Participants can exit from an agreed program of support with 2 weeks’ notice without cost.</w:t>
      </w:r>
    </w:p>
    <w:p w14:paraId="34EAC198" w14:textId="77777777" w:rsidR="002817B5" w:rsidRPr="008663CD" w:rsidRDefault="00740E2E" w:rsidP="002817B5">
      <w:r>
        <w:t xml:space="preserve">Details of any </w:t>
      </w:r>
      <w:r w:rsidR="002817B5" w:rsidRPr="008663CD">
        <w:t xml:space="preserve">program of support </w:t>
      </w:r>
      <w:r>
        <w:t>should be included in the</w:t>
      </w:r>
      <w:r w:rsidR="005E5E9F">
        <w:t xml:space="preserve"> </w:t>
      </w:r>
      <w:r w:rsidR="002817B5" w:rsidRPr="008663CD">
        <w:t xml:space="preserve">service agreement and </w:t>
      </w:r>
      <w:r>
        <w:t xml:space="preserve">form the basis of </w:t>
      </w:r>
      <w:r w:rsidR="002817B5" w:rsidRPr="008663CD">
        <w:t>a service booking</w:t>
      </w:r>
      <w:r w:rsidR="002C2BEE">
        <w:t>.</w:t>
      </w:r>
      <w:r w:rsidR="00FD12CC">
        <w:t xml:space="preserve"> The service agreements and service b</w:t>
      </w:r>
      <w:r w:rsidR="00EC44BD">
        <w:t>ooking</w:t>
      </w:r>
      <w:r w:rsidR="00FD12CC">
        <w:t>s</w:t>
      </w:r>
      <w:r w:rsidR="002817B5" w:rsidRPr="008663CD">
        <w:t xml:space="preserve"> can be for the same duration</w:t>
      </w:r>
      <w:r w:rsidR="002C2BEE">
        <w:t xml:space="preserve"> as the </w:t>
      </w:r>
      <w:proofErr w:type="spellStart"/>
      <w:r w:rsidR="002C2BEE">
        <w:t>particpant’s</w:t>
      </w:r>
      <w:proofErr w:type="spellEnd"/>
      <w:r w:rsidR="002C2BEE">
        <w:t xml:space="preserve"> plan</w:t>
      </w:r>
      <w:r w:rsidR="002817B5" w:rsidRPr="008663CD">
        <w:t xml:space="preserve">. </w:t>
      </w:r>
    </w:p>
    <w:p w14:paraId="2D11BA8A" w14:textId="77777777" w:rsidR="003231FB" w:rsidRDefault="0067061D" w:rsidP="00A24AD9">
      <w:r>
        <w:t xml:space="preserve">If a participant </w:t>
      </w:r>
      <w:r w:rsidR="000D18F8">
        <w:t>doesn’t</w:t>
      </w:r>
      <w:r>
        <w:t xml:space="preserve"> agree to a </w:t>
      </w:r>
      <w:r w:rsidR="00697487">
        <w:t xml:space="preserve">program </w:t>
      </w:r>
      <w:r>
        <w:t xml:space="preserve">of </w:t>
      </w:r>
      <w:r w:rsidR="00697487">
        <w:t>support</w:t>
      </w:r>
      <w:r>
        <w:t xml:space="preserve">, short notice cancellation rules will apply. </w:t>
      </w:r>
    </w:p>
    <w:p w14:paraId="1C2DFD34" w14:textId="77777777" w:rsidR="00244789" w:rsidRPr="00767E16" w:rsidRDefault="00973063" w:rsidP="00973063">
      <w:pPr>
        <w:pStyle w:val="Heading3"/>
        <w:spacing w:line="276" w:lineRule="auto"/>
      </w:pPr>
      <w:bookmarkStart w:id="12" w:name="ColumnTitle_1"/>
      <w:bookmarkEnd w:id="12"/>
      <w:r>
        <w:br/>
      </w:r>
      <w:bookmarkStart w:id="13" w:name="_Toc62130359"/>
      <w:r w:rsidR="00394F42">
        <w:t xml:space="preserve">Establishment </w:t>
      </w:r>
      <w:r w:rsidR="005B3873">
        <w:t>f</w:t>
      </w:r>
      <w:r w:rsidR="005B3873" w:rsidRPr="00767E16">
        <w:t xml:space="preserve">ee </w:t>
      </w:r>
      <w:r w:rsidR="00244789" w:rsidRPr="00767E16">
        <w:t xml:space="preserve">rules for </w:t>
      </w:r>
      <w:r w:rsidR="00DA28C5">
        <w:t>s</w:t>
      </w:r>
      <w:r w:rsidR="00244789" w:rsidRPr="00767E16">
        <w:t xml:space="preserve">upports in </w:t>
      </w:r>
      <w:r w:rsidR="00DA28C5">
        <w:t>e</w:t>
      </w:r>
      <w:r w:rsidR="00DA28C5" w:rsidRPr="00767E16">
        <w:t>mployment</w:t>
      </w:r>
      <w:bookmarkEnd w:id="13"/>
    </w:p>
    <w:p w14:paraId="2B5768CB" w14:textId="77777777" w:rsidR="00244789" w:rsidRPr="00452A05" w:rsidRDefault="00244789" w:rsidP="00A24AD9">
      <w:pPr>
        <w:pStyle w:val="NoSpacing"/>
        <w:spacing w:line="276" w:lineRule="auto"/>
        <w:rPr>
          <w:rFonts w:cs="Arial"/>
        </w:rPr>
      </w:pPr>
      <w:r w:rsidRPr="00452A05">
        <w:rPr>
          <w:rFonts w:cs="Arial"/>
        </w:rPr>
        <w:t xml:space="preserve">Providers can claim an establishment fee for </w:t>
      </w:r>
      <w:r w:rsidR="00DA28C5">
        <w:rPr>
          <w:rFonts w:cs="Arial"/>
        </w:rPr>
        <w:t>s</w:t>
      </w:r>
      <w:r w:rsidR="00DA28C5" w:rsidRPr="00452A05">
        <w:rPr>
          <w:rFonts w:cs="Arial"/>
        </w:rPr>
        <w:t xml:space="preserve">upports </w:t>
      </w:r>
      <w:r w:rsidRPr="00452A05">
        <w:rPr>
          <w:rFonts w:cs="Arial"/>
        </w:rPr>
        <w:t xml:space="preserve">in </w:t>
      </w:r>
      <w:r w:rsidR="00DA28C5">
        <w:rPr>
          <w:rFonts w:cs="Arial"/>
        </w:rPr>
        <w:t>e</w:t>
      </w:r>
      <w:r w:rsidR="00DA28C5" w:rsidRPr="00452A05">
        <w:rPr>
          <w:rFonts w:cs="Arial"/>
        </w:rPr>
        <w:t>mployment</w:t>
      </w:r>
      <w:r w:rsidR="002C2BEE">
        <w:rPr>
          <w:rFonts w:cs="Arial"/>
        </w:rPr>
        <w:t xml:space="preserve"> for a new employee</w:t>
      </w:r>
      <w:r w:rsidRPr="00452A05">
        <w:rPr>
          <w:rFonts w:cs="Arial"/>
        </w:rPr>
        <w:t xml:space="preserve">. </w:t>
      </w:r>
      <w:r w:rsidRPr="00452A05">
        <w:rPr>
          <w:rFonts w:cs="Arial"/>
        </w:rPr>
        <w:br/>
      </w:r>
    </w:p>
    <w:p w14:paraId="535BF05D" w14:textId="77777777" w:rsidR="00244789" w:rsidRPr="00452A05" w:rsidRDefault="000D18F8" w:rsidP="00A24AD9">
      <w:pPr>
        <w:pStyle w:val="NoSpacing"/>
        <w:spacing w:line="276" w:lineRule="auto"/>
        <w:rPr>
          <w:rFonts w:cs="Arial"/>
        </w:rPr>
      </w:pPr>
      <w:r w:rsidRPr="003C4B1E">
        <w:rPr>
          <w:rFonts w:cs="Arial"/>
        </w:rPr>
        <w:t>This fee recognises the time it takes to set up supports for a new participant and help them to implement their first plan.</w:t>
      </w:r>
    </w:p>
    <w:p w14:paraId="0920F79B" w14:textId="77777777" w:rsidR="003C782A" w:rsidRDefault="003C782A" w:rsidP="00A24AD9">
      <w:pPr>
        <w:pStyle w:val="NoSpacing"/>
        <w:spacing w:line="276" w:lineRule="auto"/>
        <w:rPr>
          <w:rFonts w:cs="Arial"/>
        </w:rPr>
      </w:pPr>
    </w:p>
    <w:p w14:paraId="50C7A44A" w14:textId="77777777" w:rsidR="001C1184" w:rsidRDefault="00E46C47" w:rsidP="00A24AD9">
      <w:pPr>
        <w:pStyle w:val="NoSpacing"/>
        <w:spacing w:line="276" w:lineRule="auto"/>
        <w:rPr>
          <w:rFonts w:cs="Arial"/>
        </w:rPr>
      </w:pPr>
      <w:r>
        <w:rPr>
          <w:rFonts w:cs="Arial"/>
        </w:rPr>
        <w:t>To claim an establishment fee, a</w:t>
      </w:r>
      <w:r w:rsidR="00244789" w:rsidRPr="00452A05">
        <w:rPr>
          <w:rFonts w:cs="Arial"/>
        </w:rPr>
        <w:t xml:space="preserve">t least 20 hours of support per month </w:t>
      </w:r>
      <w:r w:rsidR="00BA050F">
        <w:rPr>
          <w:rFonts w:cs="Arial"/>
        </w:rPr>
        <w:t xml:space="preserve">must be delivered </w:t>
      </w:r>
      <w:r w:rsidR="00244789" w:rsidRPr="00452A05">
        <w:rPr>
          <w:rFonts w:cs="Arial"/>
        </w:rPr>
        <w:t xml:space="preserve">for </w:t>
      </w:r>
      <w:r w:rsidR="001C1184">
        <w:rPr>
          <w:rFonts w:cs="Arial"/>
        </w:rPr>
        <w:t>3</w:t>
      </w:r>
      <w:r w:rsidR="001C1184" w:rsidRPr="00452A05">
        <w:rPr>
          <w:rFonts w:cs="Arial"/>
        </w:rPr>
        <w:t xml:space="preserve"> </w:t>
      </w:r>
      <w:r w:rsidR="00244789" w:rsidRPr="00452A05">
        <w:rPr>
          <w:rFonts w:cs="Arial"/>
        </w:rPr>
        <w:t>or more consecutive months</w:t>
      </w:r>
      <w:r w:rsidR="00BA050F">
        <w:rPr>
          <w:rFonts w:cs="Arial"/>
        </w:rPr>
        <w:t xml:space="preserve">. The fee is only </w:t>
      </w:r>
      <w:r>
        <w:rPr>
          <w:rFonts w:cs="Arial"/>
        </w:rPr>
        <w:t xml:space="preserve">claimable </w:t>
      </w:r>
      <w:r w:rsidR="00BA050F">
        <w:rPr>
          <w:rFonts w:cs="Arial"/>
        </w:rPr>
        <w:t xml:space="preserve">once </w:t>
      </w:r>
      <w:r>
        <w:rPr>
          <w:rFonts w:cs="Arial"/>
        </w:rPr>
        <w:t>per</w:t>
      </w:r>
      <w:r w:rsidR="00BA050F">
        <w:rPr>
          <w:rFonts w:cs="Arial"/>
        </w:rPr>
        <w:t xml:space="preserve"> participant</w:t>
      </w:r>
      <w:r>
        <w:rPr>
          <w:rFonts w:cs="Arial"/>
        </w:rPr>
        <w:t>,</w:t>
      </w:r>
      <w:r w:rsidR="00BA050F">
        <w:rPr>
          <w:rFonts w:cs="Arial"/>
        </w:rPr>
        <w:t xml:space="preserve"> unless there is a significant change in the </w:t>
      </w:r>
      <w:r w:rsidR="006F5FAD">
        <w:rPr>
          <w:rFonts w:cs="Arial"/>
        </w:rPr>
        <w:t>pattern</w:t>
      </w:r>
      <w:r w:rsidR="00BA050F">
        <w:rPr>
          <w:rFonts w:cs="Arial"/>
        </w:rPr>
        <w:t xml:space="preserve"> of supports. </w:t>
      </w:r>
      <w:r>
        <w:rPr>
          <w:rFonts w:cs="Arial"/>
        </w:rPr>
        <w:t>Claiming</w:t>
      </w:r>
      <w:r w:rsidR="00BA050F">
        <w:rPr>
          <w:rFonts w:cs="Arial"/>
        </w:rPr>
        <w:t xml:space="preserve"> additi</w:t>
      </w:r>
      <w:r w:rsidR="00394F42">
        <w:rPr>
          <w:rFonts w:cs="Arial"/>
        </w:rPr>
        <w:t xml:space="preserve">onal </w:t>
      </w:r>
      <w:r w:rsidR="001C1184">
        <w:rPr>
          <w:rFonts w:cs="Arial"/>
        </w:rPr>
        <w:t>non-face-to-face</w:t>
      </w:r>
      <w:r w:rsidR="00394F42">
        <w:rPr>
          <w:rFonts w:cs="Arial"/>
        </w:rPr>
        <w:t xml:space="preserve"> time could </w:t>
      </w:r>
      <w:r w:rsidR="00BA050F">
        <w:rPr>
          <w:rFonts w:cs="Arial"/>
        </w:rPr>
        <w:t xml:space="preserve">suffice in most </w:t>
      </w:r>
      <w:r w:rsidR="00EC44BD">
        <w:rPr>
          <w:rFonts w:cs="Arial"/>
        </w:rPr>
        <w:t xml:space="preserve">of these </w:t>
      </w:r>
      <w:r w:rsidR="00BA050F">
        <w:rPr>
          <w:rFonts w:cs="Arial"/>
        </w:rPr>
        <w:t xml:space="preserve">instances. </w:t>
      </w:r>
    </w:p>
    <w:p w14:paraId="15F68074" w14:textId="77777777" w:rsidR="001C1184" w:rsidRDefault="001C1184" w:rsidP="00A24AD9">
      <w:pPr>
        <w:pStyle w:val="NoSpacing"/>
        <w:spacing w:line="276" w:lineRule="auto"/>
        <w:rPr>
          <w:rFonts w:cs="Arial"/>
        </w:rPr>
      </w:pPr>
    </w:p>
    <w:p w14:paraId="2CAAA640" w14:textId="595297D0" w:rsidR="00994AC9" w:rsidRDefault="001E4ADA" w:rsidP="00A24AD9">
      <w:pPr>
        <w:pStyle w:val="NoSpacing"/>
        <w:spacing w:line="276" w:lineRule="auto"/>
        <w:rPr>
          <w:rFonts w:cs="Arial"/>
        </w:rPr>
      </w:pPr>
      <w:r>
        <w:rPr>
          <w:rFonts w:cs="Arial"/>
        </w:rPr>
        <w:t xml:space="preserve">Refer to the </w:t>
      </w:r>
      <w:hyperlink r:id="rId17" w:history="1">
        <w:r w:rsidR="00A326AF">
          <w:rPr>
            <w:rStyle w:val="Hyperlink"/>
            <w:rFonts w:cs="Arial"/>
          </w:rPr>
          <w:t>NDIS P</w:t>
        </w:r>
        <w:r w:rsidRPr="001C1184">
          <w:rPr>
            <w:rStyle w:val="Hyperlink"/>
            <w:rFonts w:cs="Arial"/>
          </w:rPr>
          <w:t>ric</w:t>
        </w:r>
        <w:r w:rsidR="00A326AF">
          <w:rPr>
            <w:rStyle w:val="Hyperlink"/>
            <w:rFonts w:cs="Arial"/>
          </w:rPr>
          <w:t>ing Arrangements and Price Limits</w:t>
        </w:r>
      </w:hyperlink>
      <w:r>
        <w:rPr>
          <w:rFonts w:cs="Arial"/>
        </w:rPr>
        <w:t xml:space="preserve"> for information about claiming of </w:t>
      </w:r>
      <w:r w:rsidR="006F5FAD">
        <w:rPr>
          <w:rFonts w:cs="Arial"/>
        </w:rPr>
        <w:t>non-face</w:t>
      </w:r>
      <w:r w:rsidR="001C1184">
        <w:rPr>
          <w:rFonts w:cs="Arial"/>
        </w:rPr>
        <w:t>-</w:t>
      </w:r>
      <w:r>
        <w:rPr>
          <w:rFonts w:cs="Arial"/>
        </w:rPr>
        <w:t>to</w:t>
      </w:r>
      <w:r w:rsidR="001C1184">
        <w:rPr>
          <w:rFonts w:cs="Arial"/>
        </w:rPr>
        <w:t>-</w:t>
      </w:r>
      <w:r>
        <w:rPr>
          <w:rFonts w:cs="Arial"/>
        </w:rPr>
        <w:t>face support provision.</w:t>
      </w:r>
    </w:p>
    <w:p w14:paraId="29B8C35D" w14:textId="77777777" w:rsidR="00994AC9" w:rsidRDefault="00994AC9" w:rsidP="00A24AD9">
      <w:pPr>
        <w:pStyle w:val="NoSpacing"/>
        <w:spacing w:line="276" w:lineRule="auto"/>
        <w:rPr>
          <w:rFonts w:cs="Arial"/>
        </w:rPr>
      </w:pPr>
    </w:p>
    <w:p w14:paraId="302B7FA8" w14:textId="77777777" w:rsidR="00994AC9" w:rsidRPr="005E5E94" w:rsidRDefault="00994AC9" w:rsidP="00A24AD9">
      <w:pPr>
        <w:pStyle w:val="Heading3"/>
        <w:spacing w:line="276" w:lineRule="auto"/>
      </w:pPr>
      <w:bookmarkStart w:id="14" w:name="_Toc62130360"/>
      <w:r w:rsidRPr="001D00B8">
        <w:t xml:space="preserve">New </w:t>
      </w:r>
      <w:r w:rsidR="00A11DD3" w:rsidRPr="001D00B8">
        <w:t>employees</w:t>
      </w:r>
      <w:bookmarkEnd w:id="14"/>
    </w:p>
    <w:p w14:paraId="0FCD24B4" w14:textId="77777777" w:rsidR="00994AC9" w:rsidRDefault="001D00B8" w:rsidP="00A24AD9">
      <w:pPr>
        <w:pStyle w:val="NoSpacing"/>
        <w:spacing w:line="276" w:lineRule="auto"/>
        <w:rPr>
          <w:rFonts w:cs="Arial"/>
        </w:rPr>
      </w:pPr>
      <w:r>
        <w:rPr>
          <w:rFonts w:cs="Arial"/>
        </w:rPr>
        <w:lastRenderedPageBreak/>
        <w:t>P</w:t>
      </w:r>
      <w:r w:rsidR="00A11DD3">
        <w:rPr>
          <w:rFonts w:cs="Arial"/>
        </w:rPr>
        <w:t xml:space="preserve">roviders </w:t>
      </w:r>
      <w:r>
        <w:rPr>
          <w:rFonts w:cs="Arial"/>
        </w:rPr>
        <w:t>can claim for</w:t>
      </w:r>
      <w:r w:rsidR="00994AC9">
        <w:rPr>
          <w:rFonts w:cs="Arial"/>
        </w:rPr>
        <w:t xml:space="preserve"> funding in a </w:t>
      </w:r>
      <w:r w:rsidR="006F5FAD">
        <w:rPr>
          <w:rFonts w:cs="Arial"/>
        </w:rPr>
        <w:t>participant’s</w:t>
      </w:r>
      <w:r w:rsidR="00994AC9">
        <w:rPr>
          <w:rFonts w:cs="Arial"/>
        </w:rPr>
        <w:t xml:space="preserve"> plan </w:t>
      </w:r>
      <w:r>
        <w:rPr>
          <w:rFonts w:cs="Arial"/>
        </w:rPr>
        <w:t>to establish their workplace support needs</w:t>
      </w:r>
      <w:r w:rsidR="00994AC9" w:rsidRPr="00E46C47">
        <w:rPr>
          <w:rFonts w:cs="Arial"/>
        </w:rPr>
        <w:t xml:space="preserve">. This funding can be from the participant’s </w:t>
      </w:r>
      <w:r w:rsidR="00A11DD3" w:rsidRPr="00E46C47">
        <w:rPr>
          <w:rFonts w:cs="Arial"/>
        </w:rPr>
        <w:t>Core</w:t>
      </w:r>
      <w:r w:rsidR="00994AC9" w:rsidRPr="00E46C47">
        <w:rPr>
          <w:rFonts w:cs="Arial"/>
        </w:rPr>
        <w:t xml:space="preserve"> budget or their </w:t>
      </w:r>
      <w:r w:rsidR="001C1184" w:rsidRPr="00E46C47">
        <w:rPr>
          <w:rFonts w:cs="Arial"/>
        </w:rPr>
        <w:t xml:space="preserve">Capacity Building </w:t>
      </w:r>
      <w:r w:rsidR="00994AC9" w:rsidRPr="00E46C47">
        <w:rPr>
          <w:rFonts w:cs="Arial"/>
        </w:rPr>
        <w:t>bud</w:t>
      </w:r>
      <w:r w:rsidR="00B32E96">
        <w:rPr>
          <w:rFonts w:cs="Arial"/>
        </w:rPr>
        <w:t>get or a combination,</w:t>
      </w:r>
      <w:r w:rsidR="00FF55C8" w:rsidRPr="00E46C47">
        <w:rPr>
          <w:rFonts w:cs="Arial"/>
        </w:rPr>
        <w:t xml:space="preserve"> depending on the support being delivered.</w:t>
      </w:r>
      <w:r w:rsidR="00FF55C8">
        <w:rPr>
          <w:rFonts w:cs="Arial"/>
        </w:rPr>
        <w:t xml:space="preserve"> </w:t>
      </w:r>
    </w:p>
    <w:p w14:paraId="4C05CA9B" w14:textId="77777777" w:rsidR="00994AC9" w:rsidRDefault="00994AC9" w:rsidP="00A24AD9">
      <w:pPr>
        <w:pStyle w:val="NoSpacing"/>
        <w:spacing w:line="276" w:lineRule="auto"/>
        <w:rPr>
          <w:rFonts w:cs="Arial"/>
        </w:rPr>
      </w:pPr>
    </w:p>
    <w:p w14:paraId="153A8583" w14:textId="77777777" w:rsidR="00B32E96" w:rsidRDefault="00994AC9" w:rsidP="00A24AD9">
      <w:pPr>
        <w:pStyle w:val="NoSpacing"/>
        <w:spacing w:line="276" w:lineRule="auto"/>
        <w:rPr>
          <w:rFonts w:cs="Arial"/>
        </w:rPr>
      </w:pPr>
      <w:r>
        <w:rPr>
          <w:rFonts w:cs="Arial"/>
        </w:rPr>
        <w:t>Once the participant</w:t>
      </w:r>
      <w:r w:rsidR="00910945">
        <w:rPr>
          <w:rFonts w:cs="Arial"/>
        </w:rPr>
        <w:t xml:space="preserve"> agrees to </w:t>
      </w:r>
      <w:r w:rsidR="00B32E96">
        <w:rPr>
          <w:rFonts w:cs="Arial"/>
        </w:rPr>
        <w:t>the supports being provided,</w:t>
      </w:r>
      <w:r>
        <w:rPr>
          <w:rFonts w:cs="Arial"/>
        </w:rPr>
        <w:t xml:space="preserve"> it is important to </w:t>
      </w:r>
      <w:r w:rsidR="0060708A">
        <w:rPr>
          <w:rFonts w:cs="Arial"/>
        </w:rPr>
        <w:t xml:space="preserve">know </w:t>
      </w:r>
      <w:r>
        <w:rPr>
          <w:rFonts w:cs="Arial"/>
        </w:rPr>
        <w:t xml:space="preserve">whether there is sufficient funding in the participant’s budget to enable the participant to </w:t>
      </w:r>
      <w:r w:rsidR="0060708A">
        <w:rPr>
          <w:rFonts w:cs="Arial"/>
        </w:rPr>
        <w:t xml:space="preserve">start </w:t>
      </w:r>
      <w:r>
        <w:rPr>
          <w:rFonts w:cs="Arial"/>
        </w:rPr>
        <w:t>and continue working until their scheduled plan review. If there are not sufficient funds available, the participant</w:t>
      </w:r>
      <w:r w:rsidR="00F85775">
        <w:rPr>
          <w:rFonts w:cs="Arial"/>
        </w:rPr>
        <w:t xml:space="preserve"> can</w:t>
      </w:r>
      <w:r>
        <w:rPr>
          <w:rFonts w:cs="Arial"/>
        </w:rPr>
        <w:t xml:space="preserve"> submit a </w:t>
      </w:r>
      <w:hyperlink r:id="rId18" w:history="1">
        <w:r w:rsidR="00F85775">
          <w:rPr>
            <w:rStyle w:val="Hyperlink"/>
            <w:rFonts w:cs="Arial"/>
          </w:rPr>
          <w:t>c</w:t>
        </w:r>
        <w:r w:rsidR="00F85775" w:rsidRPr="001D7F8F">
          <w:rPr>
            <w:rStyle w:val="Hyperlink"/>
            <w:rFonts w:cs="Arial"/>
          </w:rPr>
          <w:t xml:space="preserve">hange of </w:t>
        </w:r>
        <w:r w:rsidR="00F85775">
          <w:rPr>
            <w:rStyle w:val="Hyperlink"/>
            <w:rFonts w:cs="Arial"/>
          </w:rPr>
          <w:t>c</w:t>
        </w:r>
        <w:r w:rsidR="00F85775" w:rsidRPr="001D7F8F">
          <w:rPr>
            <w:rStyle w:val="Hyperlink"/>
            <w:rFonts w:cs="Arial"/>
          </w:rPr>
          <w:t>ircumstances form</w:t>
        </w:r>
      </w:hyperlink>
      <w:r w:rsidR="00F85775">
        <w:rPr>
          <w:rFonts w:cs="Arial"/>
        </w:rPr>
        <w:t xml:space="preserve"> </w:t>
      </w:r>
      <w:r w:rsidRPr="00F726D5">
        <w:rPr>
          <w:rFonts w:cs="Arial"/>
        </w:rPr>
        <w:t xml:space="preserve"> to initiate a plan review.</w:t>
      </w:r>
      <w:r>
        <w:rPr>
          <w:rFonts w:cs="Arial"/>
        </w:rPr>
        <w:t xml:space="preserve"> </w:t>
      </w:r>
    </w:p>
    <w:p w14:paraId="0120A6F8" w14:textId="77777777" w:rsidR="00B32E96" w:rsidRDefault="00B32E96" w:rsidP="00A24AD9">
      <w:pPr>
        <w:pStyle w:val="NoSpacing"/>
        <w:spacing w:line="276" w:lineRule="auto"/>
        <w:rPr>
          <w:rFonts w:cs="Arial"/>
        </w:rPr>
      </w:pPr>
    </w:p>
    <w:p w14:paraId="5CB22A4B" w14:textId="77777777" w:rsidR="00994AC9" w:rsidRDefault="00F85775" w:rsidP="00A24AD9">
      <w:pPr>
        <w:pStyle w:val="NoSpacing"/>
        <w:spacing w:line="276" w:lineRule="auto"/>
        <w:rPr>
          <w:rFonts w:cs="Arial"/>
        </w:rPr>
      </w:pPr>
      <w:r>
        <w:rPr>
          <w:rFonts w:cs="Arial"/>
        </w:rPr>
        <w:t xml:space="preserve">Participants can also fill out the </w:t>
      </w:r>
      <w:hyperlink r:id="rId19" w:history="1">
        <w:r w:rsidRPr="00F85775">
          <w:rPr>
            <w:rStyle w:val="Hyperlink"/>
            <w:rFonts w:cs="Arial"/>
          </w:rPr>
          <w:t>Information for participants working in an ADE</w:t>
        </w:r>
      </w:hyperlink>
      <w:r>
        <w:rPr>
          <w:rFonts w:cs="Arial"/>
        </w:rPr>
        <w:t xml:space="preserve"> to assist with</w:t>
      </w:r>
      <w:r>
        <w:t xml:space="preserve"> preparation for a plan review.</w:t>
      </w:r>
      <w:r w:rsidR="001843F0">
        <w:t xml:space="preserve"> Providers </w:t>
      </w:r>
      <w:r w:rsidR="00B32E96">
        <w:t>should</w:t>
      </w:r>
      <w:r w:rsidR="001843F0">
        <w:t xml:space="preserve"> assist </w:t>
      </w:r>
      <w:proofErr w:type="spellStart"/>
      <w:r w:rsidR="001843F0">
        <w:t>partcipants</w:t>
      </w:r>
      <w:proofErr w:type="spellEnd"/>
      <w:r w:rsidR="001843F0">
        <w:t xml:space="preserve"> with completing these forms.</w:t>
      </w:r>
    </w:p>
    <w:p w14:paraId="3A0D73E9" w14:textId="77777777" w:rsidR="00994AC9" w:rsidRDefault="00994AC9" w:rsidP="00A24AD9">
      <w:pPr>
        <w:pStyle w:val="NoSpacing"/>
        <w:spacing w:line="276" w:lineRule="auto"/>
        <w:rPr>
          <w:rFonts w:cs="Arial"/>
        </w:rPr>
      </w:pPr>
    </w:p>
    <w:p w14:paraId="31248FD5" w14:textId="77777777" w:rsidR="008B2991" w:rsidRDefault="008B2991" w:rsidP="00A24AD9">
      <w:pPr>
        <w:pStyle w:val="Heading3"/>
        <w:spacing w:line="276" w:lineRule="auto"/>
      </w:pPr>
      <w:bookmarkStart w:id="15" w:name="_Toc62130361"/>
      <w:r w:rsidRPr="000B0780">
        <w:rPr>
          <w:lang w:eastAsia="en-AU"/>
        </w:rPr>
        <w:t>NDIS Disability Support Worker Cost Model</w:t>
      </w:r>
      <w:bookmarkEnd w:id="15"/>
      <w:r w:rsidRPr="000B0780">
        <w:rPr>
          <w:lang w:eastAsia="en-AU"/>
        </w:rPr>
        <w:t xml:space="preserve"> </w:t>
      </w:r>
    </w:p>
    <w:p w14:paraId="62AE9E37" w14:textId="77777777" w:rsidR="008B2991" w:rsidRPr="001D71F9" w:rsidRDefault="00F85775" w:rsidP="00F726D5">
      <w:pPr>
        <w:shd w:val="clear" w:color="auto" w:fill="FFFFFF"/>
        <w:spacing w:after="100" w:afterAutospacing="1"/>
      </w:pPr>
      <w:r>
        <w:t>Price limits</w:t>
      </w:r>
      <w:r w:rsidR="008B2991">
        <w:t xml:space="preserve"> for </w:t>
      </w:r>
      <w:r w:rsidR="00DA28C5">
        <w:t>s</w:t>
      </w:r>
      <w:r w:rsidR="00683B59">
        <w:t xml:space="preserve">upports in </w:t>
      </w:r>
      <w:r w:rsidR="00DA28C5">
        <w:t>employment</w:t>
      </w:r>
      <w:r>
        <w:t xml:space="preserve"> are</w:t>
      </w:r>
      <w:r w:rsidR="008B2991">
        <w:t xml:space="preserve"> based on the </w:t>
      </w:r>
      <w:hyperlink r:id="rId20" w:anchor="changes-to-the-disability-support-worker-cost-model" w:history="1">
        <w:r w:rsidR="008B2991" w:rsidRPr="00F85775">
          <w:rPr>
            <w:rStyle w:val="Hyperlink"/>
          </w:rPr>
          <w:t>NDIS Disability Support Worker Cost Model</w:t>
        </w:r>
      </w:hyperlink>
      <w:r w:rsidR="008B2991">
        <w:t xml:space="preserve"> and align with NDIS pricing for group supports. The Model contains the cost components of delivering a billable hour of support, including: </w:t>
      </w:r>
    </w:p>
    <w:p w14:paraId="5FF89AE4" w14:textId="77777777" w:rsidR="008B2991" w:rsidRDefault="008B2991" w:rsidP="00A24AD9">
      <w:pPr>
        <w:pStyle w:val="ListParagraph"/>
        <w:numPr>
          <w:ilvl w:val="0"/>
          <w:numId w:val="22"/>
        </w:numPr>
        <w:spacing w:before="160" w:after="160"/>
      </w:pPr>
      <w:r>
        <w:t xml:space="preserve">base pay </w:t>
      </w:r>
    </w:p>
    <w:p w14:paraId="5F5B00C8" w14:textId="77777777" w:rsidR="008B2991" w:rsidRDefault="008B2991" w:rsidP="00A24AD9">
      <w:pPr>
        <w:pStyle w:val="ListParagraph"/>
        <w:numPr>
          <w:ilvl w:val="0"/>
          <w:numId w:val="22"/>
        </w:numPr>
        <w:spacing w:before="160" w:after="160"/>
      </w:pPr>
      <w:r>
        <w:t>shift loadings</w:t>
      </w:r>
    </w:p>
    <w:p w14:paraId="4139DE56" w14:textId="77777777" w:rsidR="008B2991" w:rsidRDefault="008B2991" w:rsidP="00A24AD9">
      <w:pPr>
        <w:pStyle w:val="ListParagraph"/>
        <w:numPr>
          <w:ilvl w:val="0"/>
          <w:numId w:val="22"/>
        </w:numPr>
        <w:spacing w:before="160" w:after="160"/>
      </w:pPr>
      <w:r>
        <w:t>holiday pay</w:t>
      </w:r>
    </w:p>
    <w:p w14:paraId="64134F60" w14:textId="77777777" w:rsidR="008B2991" w:rsidRDefault="008B2991" w:rsidP="00A24AD9">
      <w:pPr>
        <w:pStyle w:val="ListParagraph"/>
        <w:numPr>
          <w:ilvl w:val="0"/>
          <w:numId w:val="22"/>
        </w:numPr>
        <w:spacing w:before="160" w:after="160"/>
      </w:pPr>
      <w:r>
        <w:t>salary on costs</w:t>
      </w:r>
    </w:p>
    <w:p w14:paraId="53D8F050" w14:textId="77777777" w:rsidR="008B2991" w:rsidRDefault="008B2991" w:rsidP="00A24AD9">
      <w:pPr>
        <w:pStyle w:val="ListParagraph"/>
        <w:numPr>
          <w:ilvl w:val="0"/>
          <w:numId w:val="22"/>
        </w:numPr>
        <w:spacing w:before="160" w:after="160"/>
      </w:pPr>
      <w:r>
        <w:t xml:space="preserve">supervision costs </w:t>
      </w:r>
    </w:p>
    <w:p w14:paraId="4488101E" w14:textId="77777777" w:rsidR="008B2991" w:rsidRDefault="008B2991" w:rsidP="00A24AD9">
      <w:pPr>
        <w:pStyle w:val="ListParagraph"/>
        <w:numPr>
          <w:ilvl w:val="0"/>
          <w:numId w:val="22"/>
        </w:numPr>
        <w:spacing w:before="160" w:after="160"/>
      </w:pPr>
      <w:r>
        <w:t xml:space="preserve">utilisation (non-billable time) </w:t>
      </w:r>
    </w:p>
    <w:p w14:paraId="32DF2DAF" w14:textId="77777777" w:rsidR="008B2991" w:rsidRDefault="008B2991" w:rsidP="00A24AD9">
      <w:pPr>
        <w:pStyle w:val="ListParagraph"/>
        <w:numPr>
          <w:ilvl w:val="0"/>
          <w:numId w:val="22"/>
        </w:numPr>
        <w:spacing w:before="160" w:after="160"/>
      </w:pPr>
      <w:r>
        <w:t xml:space="preserve">corporate overheads </w:t>
      </w:r>
    </w:p>
    <w:p w14:paraId="36E863CC" w14:textId="77777777" w:rsidR="008B2991" w:rsidRPr="00674A1F" w:rsidRDefault="008B2991" w:rsidP="00A24AD9">
      <w:pPr>
        <w:pStyle w:val="ListParagraph"/>
        <w:numPr>
          <w:ilvl w:val="0"/>
          <w:numId w:val="22"/>
        </w:numPr>
        <w:spacing w:before="160" w:after="160"/>
      </w:pPr>
      <w:proofErr w:type="gramStart"/>
      <w:r>
        <w:t>margin</w:t>
      </w:r>
      <w:proofErr w:type="gramEnd"/>
      <w:r>
        <w:t xml:space="preserve"> or profit. </w:t>
      </w:r>
    </w:p>
    <w:p w14:paraId="0C495F0E" w14:textId="77777777" w:rsidR="008B2991" w:rsidRPr="006122B5" w:rsidRDefault="008B2991" w:rsidP="00A24AD9">
      <w:pPr>
        <w:autoSpaceDE w:val="0"/>
        <w:autoSpaceDN w:val="0"/>
        <w:rPr>
          <w:rFonts w:cs="Arial"/>
          <w:lang w:eastAsia="en-AU"/>
        </w:rPr>
      </w:pPr>
      <w:r w:rsidRPr="006122B5">
        <w:rPr>
          <w:rFonts w:cs="Arial"/>
          <w:lang w:eastAsia="en-AU"/>
        </w:rPr>
        <w:t xml:space="preserve">Further information about </w:t>
      </w:r>
      <w:r w:rsidR="0060708A">
        <w:rPr>
          <w:rFonts w:cs="Arial"/>
          <w:lang w:eastAsia="en-AU"/>
        </w:rPr>
        <w:t xml:space="preserve">price limits and </w:t>
      </w:r>
      <w:r w:rsidRPr="006122B5">
        <w:rPr>
          <w:rFonts w:cs="Arial"/>
          <w:lang w:eastAsia="en-AU"/>
        </w:rPr>
        <w:t>pricing, including the broader pricing strategy and the Disability Support Worker Cost Model</w:t>
      </w:r>
      <w:r w:rsidR="0060708A">
        <w:rPr>
          <w:rFonts w:cs="Arial"/>
          <w:lang w:eastAsia="en-AU"/>
        </w:rPr>
        <w:t>,</w:t>
      </w:r>
      <w:r w:rsidRPr="006122B5">
        <w:rPr>
          <w:rFonts w:cs="Arial"/>
          <w:lang w:eastAsia="en-AU"/>
        </w:rPr>
        <w:t xml:space="preserve"> can be found on the </w:t>
      </w:r>
      <w:hyperlink r:id="rId21" w:anchor="how-pricing-works" w:history="1">
        <w:r w:rsidRPr="006122B5">
          <w:rPr>
            <w:rStyle w:val="Hyperlink"/>
            <w:rFonts w:cs="Arial"/>
            <w:lang w:eastAsia="en-AU"/>
          </w:rPr>
          <w:t>NDIS website</w:t>
        </w:r>
      </w:hyperlink>
      <w:r w:rsidRPr="006122B5">
        <w:rPr>
          <w:rFonts w:cs="Arial"/>
          <w:lang w:eastAsia="en-AU"/>
        </w:rPr>
        <w:t xml:space="preserve">. </w:t>
      </w:r>
    </w:p>
    <w:p w14:paraId="638167BE" w14:textId="77777777" w:rsidR="00390739" w:rsidRDefault="00390739" w:rsidP="003C4B1E">
      <w:pPr>
        <w:pStyle w:val="Heading3"/>
        <w:spacing w:line="276" w:lineRule="auto"/>
        <w:rPr>
          <w:lang w:eastAsia="en-AU"/>
        </w:rPr>
      </w:pPr>
    </w:p>
    <w:p w14:paraId="72109A57" w14:textId="035809EC" w:rsidR="0038421A" w:rsidRDefault="00DA447F" w:rsidP="003C4B1E">
      <w:pPr>
        <w:pStyle w:val="Heading3"/>
        <w:spacing w:line="276" w:lineRule="auto"/>
        <w:rPr>
          <w:lang w:eastAsia="en-AU"/>
        </w:rPr>
      </w:pPr>
      <w:bookmarkStart w:id="16" w:name="_Toc62130362"/>
      <w:r w:rsidRPr="007753A4">
        <w:rPr>
          <w:lang w:eastAsia="en-AU"/>
        </w:rPr>
        <w:t>Pricing arrangements in remote and very remote a</w:t>
      </w:r>
      <w:r w:rsidR="007753A4" w:rsidRPr="007753A4">
        <w:rPr>
          <w:lang w:eastAsia="en-AU"/>
        </w:rPr>
        <w:t>reas</w:t>
      </w:r>
      <w:bookmarkEnd w:id="16"/>
    </w:p>
    <w:p w14:paraId="75D05CAC" w14:textId="5B51F428" w:rsidR="009F5BF0" w:rsidRPr="0038421A" w:rsidRDefault="007753A4" w:rsidP="0038421A">
      <w:pPr>
        <w:rPr>
          <w:rFonts w:cs="Arial"/>
          <w:lang w:eastAsia="en-AU"/>
        </w:rPr>
      </w:pPr>
      <w:r w:rsidRPr="009965A1">
        <w:rPr>
          <w:rFonts w:cs="Arial"/>
          <w:lang w:eastAsia="en-AU"/>
        </w:rPr>
        <w:t xml:space="preserve">The </w:t>
      </w:r>
      <w:r w:rsidR="008B2991" w:rsidRPr="009965A1">
        <w:rPr>
          <w:rFonts w:cs="Arial"/>
          <w:lang w:eastAsia="en-AU"/>
        </w:rPr>
        <w:t xml:space="preserve">NDIS pays a loading </w:t>
      </w:r>
      <w:r w:rsidR="009D367D" w:rsidRPr="009965A1">
        <w:rPr>
          <w:rFonts w:cs="Arial"/>
          <w:lang w:eastAsia="en-AU"/>
        </w:rPr>
        <w:t xml:space="preserve">on the hourly rate </w:t>
      </w:r>
      <w:r w:rsidR="008B2991" w:rsidRPr="009965A1">
        <w:rPr>
          <w:rFonts w:cs="Arial"/>
          <w:lang w:eastAsia="en-AU"/>
        </w:rPr>
        <w:t>for services that are delivered in remote or very remote areas</w:t>
      </w:r>
      <w:r w:rsidR="00B374B0" w:rsidRPr="009965A1">
        <w:rPr>
          <w:rFonts w:cs="Arial"/>
          <w:lang w:eastAsia="en-AU"/>
        </w:rPr>
        <w:t>.</w:t>
      </w:r>
      <w:r w:rsidR="008B2991" w:rsidRPr="009965A1">
        <w:rPr>
          <w:rFonts w:cs="Arial"/>
          <w:lang w:eastAsia="en-AU"/>
        </w:rPr>
        <w:t xml:space="preserve"> </w:t>
      </w:r>
    </w:p>
    <w:p w14:paraId="5580225A" w14:textId="77777777" w:rsidR="00B374B0" w:rsidRDefault="000C0701" w:rsidP="00A24AD9">
      <w:pPr>
        <w:rPr>
          <w:rFonts w:cs="Arial"/>
          <w:lang w:eastAsia="en-AU"/>
        </w:rPr>
      </w:pPr>
      <w:r w:rsidRPr="00906005">
        <w:rPr>
          <w:rFonts w:cs="Arial"/>
          <w:lang w:eastAsia="en-AU"/>
        </w:rPr>
        <w:t xml:space="preserve">Under DSS, the Rural and Remote Supplement </w:t>
      </w:r>
      <w:r>
        <w:rPr>
          <w:rFonts w:cs="Arial"/>
          <w:lang w:eastAsia="en-AU"/>
        </w:rPr>
        <w:t xml:space="preserve">paid to ADEs </w:t>
      </w:r>
      <w:r w:rsidRPr="00906005">
        <w:rPr>
          <w:rFonts w:cs="Arial"/>
          <w:lang w:eastAsia="en-AU"/>
        </w:rPr>
        <w:t xml:space="preserve">was based on the Accessibility/Remoteness Index of Australia (ARIA) Classification and paid as a monthly supplement amount. </w:t>
      </w:r>
      <w:r w:rsidR="00161304">
        <w:rPr>
          <w:rFonts w:cs="Arial"/>
          <w:color w:val="222222"/>
          <w:shd w:val="clear" w:color="auto" w:fill="FFFFFF"/>
        </w:rPr>
        <w:t>The NDIA uses the Modified Monash Model to determine regional, remote and very remote areas. </w:t>
      </w:r>
    </w:p>
    <w:p w14:paraId="01FC9003" w14:textId="21C13560" w:rsidR="003A567E" w:rsidRDefault="008B2991" w:rsidP="003A567E">
      <w:pPr>
        <w:rPr>
          <w:rFonts w:cs="Arial"/>
          <w:lang w:eastAsia="en-AU"/>
        </w:rPr>
      </w:pPr>
      <w:r w:rsidRPr="00906005">
        <w:rPr>
          <w:rFonts w:cs="Arial"/>
          <w:lang w:eastAsia="en-AU"/>
        </w:rPr>
        <w:t xml:space="preserve">Further information on </w:t>
      </w:r>
      <w:r w:rsidR="006F5FAD" w:rsidRPr="00906005">
        <w:rPr>
          <w:rFonts w:cs="Arial"/>
          <w:lang w:eastAsia="en-AU"/>
        </w:rPr>
        <w:t>p</w:t>
      </w:r>
      <w:r w:rsidR="006F5FAD">
        <w:rPr>
          <w:rFonts w:cs="Arial"/>
          <w:lang w:eastAsia="en-AU"/>
        </w:rPr>
        <w:t>ricing</w:t>
      </w:r>
      <w:r w:rsidR="009D367D">
        <w:rPr>
          <w:rFonts w:cs="Arial"/>
          <w:lang w:eastAsia="en-AU"/>
        </w:rPr>
        <w:t xml:space="preserve"> in </w:t>
      </w:r>
      <w:r w:rsidR="006F5FAD" w:rsidRPr="00906005">
        <w:rPr>
          <w:rFonts w:cs="Arial"/>
          <w:lang w:eastAsia="en-AU"/>
        </w:rPr>
        <w:t>regional</w:t>
      </w:r>
      <w:r w:rsidRPr="00906005">
        <w:rPr>
          <w:rFonts w:cs="Arial"/>
          <w:lang w:eastAsia="en-AU"/>
        </w:rPr>
        <w:t xml:space="preserve">, remote and </w:t>
      </w:r>
      <w:r>
        <w:rPr>
          <w:rFonts w:cs="Arial"/>
          <w:lang w:eastAsia="en-AU"/>
        </w:rPr>
        <w:t>very remote areas appears</w:t>
      </w:r>
      <w:r w:rsidRPr="00906005">
        <w:rPr>
          <w:rFonts w:cs="Arial"/>
          <w:lang w:eastAsia="en-AU"/>
        </w:rPr>
        <w:t xml:space="preserve"> in the </w:t>
      </w:r>
      <w:hyperlink r:id="rId22" w:history="1">
        <w:r w:rsidRPr="00906005">
          <w:rPr>
            <w:rStyle w:val="Hyperlink"/>
            <w:rFonts w:cs="Arial"/>
            <w:lang w:eastAsia="en-AU"/>
          </w:rPr>
          <w:t>NDIS Pric</w:t>
        </w:r>
        <w:r w:rsidR="00A326AF">
          <w:rPr>
            <w:rStyle w:val="Hyperlink"/>
            <w:rFonts w:cs="Arial"/>
            <w:lang w:eastAsia="en-AU"/>
          </w:rPr>
          <w:t>ing Arrangements and Price Limits</w:t>
        </w:r>
      </w:hyperlink>
      <w:r w:rsidRPr="00906005">
        <w:rPr>
          <w:rFonts w:cs="Arial"/>
          <w:lang w:eastAsia="en-AU"/>
        </w:rPr>
        <w:t xml:space="preserve">. </w:t>
      </w:r>
    </w:p>
    <w:p w14:paraId="2308E941" w14:textId="77777777" w:rsidR="003A567E" w:rsidRPr="003A567E" w:rsidRDefault="003A567E" w:rsidP="003A567E">
      <w:pPr>
        <w:rPr>
          <w:b/>
          <w:sz w:val="28"/>
          <w:szCs w:val="28"/>
        </w:rPr>
      </w:pPr>
    </w:p>
    <w:p w14:paraId="5A55A80D" w14:textId="77777777" w:rsidR="003A567E" w:rsidRDefault="003A567E">
      <w:pPr>
        <w:spacing w:after="200"/>
        <w:rPr>
          <w:rFonts w:eastAsiaTheme="majorEastAsia" w:cstheme="majorBidi"/>
          <w:b/>
          <w:color w:val="652F76"/>
          <w:sz w:val="32"/>
          <w:szCs w:val="26"/>
        </w:rPr>
      </w:pPr>
      <w:r>
        <w:br w:type="page"/>
      </w:r>
    </w:p>
    <w:p w14:paraId="7644FCC4" w14:textId="14D213FE" w:rsidR="008B2991" w:rsidRDefault="008B2991" w:rsidP="00A24AD9">
      <w:pPr>
        <w:pStyle w:val="Heading2"/>
        <w:spacing w:line="276" w:lineRule="auto"/>
      </w:pPr>
      <w:bookmarkStart w:id="17" w:name="_Toc62130363"/>
      <w:r>
        <w:lastRenderedPageBreak/>
        <w:t>Transition to the new pricing framework</w:t>
      </w:r>
      <w:bookmarkEnd w:id="17"/>
    </w:p>
    <w:p w14:paraId="4FA1D6B9" w14:textId="77777777" w:rsidR="00CC091F" w:rsidRDefault="00CC091F" w:rsidP="00A24AD9">
      <w:pPr>
        <w:pStyle w:val="Heading3"/>
        <w:spacing w:line="276" w:lineRule="auto"/>
      </w:pPr>
      <w:bookmarkStart w:id="18" w:name="_Toc62130364"/>
      <w:r>
        <w:t xml:space="preserve">Preparing participants </w:t>
      </w:r>
      <w:r w:rsidR="002571BA">
        <w:t xml:space="preserve">and </w:t>
      </w:r>
      <w:r w:rsidR="0034388C">
        <w:t>NDIA</w:t>
      </w:r>
      <w:r w:rsidR="002571BA">
        <w:t xml:space="preserve"> staff </w:t>
      </w:r>
      <w:r>
        <w:t>for the change</w:t>
      </w:r>
      <w:bookmarkEnd w:id="18"/>
      <w:r>
        <w:t xml:space="preserve"> </w:t>
      </w:r>
    </w:p>
    <w:p w14:paraId="0EB76A3A" w14:textId="77777777" w:rsidR="002D1872" w:rsidRDefault="00CC091F" w:rsidP="002D1872">
      <w:pPr>
        <w:spacing w:after="0"/>
        <w:rPr>
          <w:rFonts w:eastAsia="Cambria" w:cstheme="minorHAnsi"/>
          <w:szCs w:val="24"/>
        </w:rPr>
      </w:pPr>
      <w:r>
        <w:rPr>
          <w:rFonts w:eastAsia="Cambria" w:cstheme="minorHAnsi"/>
          <w:szCs w:val="24"/>
        </w:rPr>
        <w:t xml:space="preserve">Participants </w:t>
      </w:r>
      <w:r w:rsidR="0094315E">
        <w:rPr>
          <w:rFonts w:eastAsia="Cambria" w:cstheme="minorHAnsi"/>
          <w:szCs w:val="24"/>
        </w:rPr>
        <w:t>with</w:t>
      </w:r>
      <w:r>
        <w:rPr>
          <w:rFonts w:eastAsia="Cambria" w:cstheme="minorHAnsi"/>
          <w:szCs w:val="24"/>
        </w:rPr>
        <w:t xml:space="preserve"> a plan review scheduled </w:t>
      </w:r>
      <w:r w:rsidR="0094315E">
        <w:rPr>
          <w:rFonts w:eastAsia="Cambria" w:cstheme="minorHAnsi"/>
          <w:szCs w:val="24"/>
        </w:rPr>
        <w:t xml:space="preserve">after </w:t>
      </w:r>
      <w:r>
        <w:rPr>
          <w:rFonts w:eastAsia="Cambria" w:cstheme="minorHAnsi"/>
          <w:szCs w:val="24"/>
        </w:rPr>
        <w:t xml:space="preserve">1 July </w:t>
      </w:r>
      <w:r w:rsidR="00F61D7E">
        <w:rPr>
          <w:rFonts w:eastAsia="Cambria" w:cstheme="minorHAnsi"/>
          <w:szCs w:val="24"/>
        </w:rPr>
        <w:t xml:space="preserve">2020 </w:t>
      </w:r>
      <w:r w:rsidR="002D1872">
        <w:rPr>
          <w:rFonts w:eastAsia="Cambria" w:cstheme="minorHAnsi"/>
          <w:szCs w:val="24"/>
        </w:rPr>
        <w:t>have been provided with</w:t>
      </w:r>
      <w:r>
        <w:rPr>
          <w:rFonts w:eastAsia="Cambria" w:cstheme="minorHAnsi"/>
          <w:szCs w:val="24"/>
        </w:rPr>
        <w:t xml:space="preserve"> information about the changes.</w:t>
      </w:r>
      <w:r w:rsidR="002D1872">
        <w:rPr>
          <w:rFonts w:eastAsia="Cambria" w:cstheme="minorHAnsi"/>
          <w:szCs w:val="24"/>
        </w:rPr>
        <w:t xml:space="preserve"> Participants </w:t>
      </w:r>
      <w:r w:rsidR="0094315E">
        <w:rPr>
          <w:rFonts w:eastAsia="Cambria" w:cstheme="minorHAnsi"/>
          <w:szCs w:val="24"/>
        </w:rPr>
        <w:t>were contacted</w:t>
      </w:r>
      <w:r w:rsidR="002D1872">
        <w:rPr>
          <w:rFonts w:eastAsia="Cambria" w:cstheme="minorHAnsi"/>
          <w:szCs w:val="24"/>
        </w:rPr>
        <w:t xml:space="preserve"> directly via email, letter or phone, depending on their communication preference. </w:t>
      </w:r>
    </w:p>
    <w:p w14:paraId="2D72DF94" w14:textId="77777777" w:rsidR="002D1872" w:rsidRDefault="002D1872" w:rsidP="002D1872">
      <w:pPr>
        <w:spacing w:after="0"/>
        <w:rPr>
          <w:rFonts w:eastAsia="Cambria" w:cstheme="minorHAnsi"/>
          <w:szCs w:val="24"/>
        </w:rPr>
      </w:pPr>
    </w:p>
    <w:p w14:paraId="2AF8068F" w14:textId="77777777" w:rsidR="002D1872" w:rsidRDefault="002D1872" w:rsidP="00A24AD9">
      <w:pPr>
        <w:spacing w:after="0"/>
        <w:rPr>
          <w:rFonts w:eastAsia="Cambria" w:cstheme="minorHAnsi"/>
          <w:szCs w:val="24"/>
        </w:rPr>
      </w:pPr>
      <w:r w:rsidRPr="000C52A6">
        <w:rPr>
          <w:rFonts w:cstheme="minorHAnsi"/>
          <w:szCs w:val="24"/>
        </w:rPr>
        <w:t>ADEs can</w:t>
      </w:r>
      <w:r>
        <w:rPr>
          <w:rFonts w:cstheme="minorHAnsi"/>
          <w:szCs w:val="24"/>
        </w:rPr>
        <w:t xml:space="preserve"> </w:t>
      </w:r>
      <w:r w:rsidR="00910945">
        <w:rPr>
          <w:rFonts w:cstheme="minorHAnsi"/>
          <w:szCs w:val="24"/>
        </w:rPr>
        <w:t>help</w:t>
      </w:r>
      <w:r w:rsidRPr="000C52A6">
        <w:rPr>
          <w:rFonts w:cstheme="minorHAnsi"/>
          <w:szCs w:val="24"/>
        </w:rPr>
        <w:t xml:space="preserve"> by </w:t>
      </w:r>
      <w:r w:rsidR="00910945">
        <w:rPr>
          <w:rFonts w:cstheme="minorHAnsi"/>
          <w:szCs w:val="24"/>
        </w:rPr>
        <w:t>sharing information with</w:t>
      </w:r>
      <w:r w:rsidRPr="000C52A6">
        <w:rPr>
          <w:rFonts w:cstheme="minorHAnsi"/>
          <w:szCs w:val="24"/>
        </w:rPr>
        <w:t xml:space="preserve"> participants </w:t>
      </w:r>
      <w:r w:rsidR="00910945">
        <w:rPr>
          <w:rFonts w:cstheme="minorHAnsi"/>
          <w:szCs w:val="24"/>
        </w:rPr>
        <w:t>to</w:t>
      </w:r>
      <w:r w:rsidRPr="000C52A6">
        <w:rPr>
          <w:rFonts w:cstheme="minorHAnsi"/>
          <w:szCs w:val="24"/>
        </w:rPr>
        <w:t xml:space="preserve"> support the planning conversation, including, where appropriate, a description of current on-the-job support arrangements. </w:t>
      </w:r>
    </w:p>
    <w:p w14:paraId="082074F8" w14:textId="77777777" w:rsidR="0094315E" w:rsidRDefault="0094315E" w:rsidP="00A24AD9">
      <w:pPr>
        <w:spacing w:after="0"/>
        <w:rPr>
          <w:rFonts w:eastAsia="Cambria" w:cstheme="minorHAnsi"/>
          <w:szCs w:val="24"/>
        </w:rPr>
      </w:pPr>
    </w:p>
    <w:p w14:paraId="6033F97A" w14:textId="77DE6EE4" w:rsidR="00161304" w:rsidRDefault="0094315E" w:rsidP="00A24AD9">
      <w:pPr>
        <w:spacing w:after="0"/>
        <w:rPr>
          <w:rFonts w:eastAsia="Cambria" w:cstheme="minorHAnsi"/>
          <w:szCs w:val="24"/>
        </w:rPr>
      </w:pPr>
      <w:r>
        <w:t xml:space="preserve">Flyers to guide the conversation and help participants can be downloaded from the </w:t>
      </w:r>
      <w:hyperlink r:id="rId23" w:history="1">
        <w:r w:rsidR="00161304" w:rsidRPr="00161304">
          <w:rPr>
            <w:rStyle w:val="Hyperlink"/>
            <w:rFonts w:eastAsia="Cambria" w:cstheme="minorHAnsi"/>
            <w:szCs w:val="24"/>
          </w:rPr>
          <w:t>Finding, keeping and changing jobs</w:t>
        </w:r>
      </w:hyperlink>
      <w:r w:rsidR="00161304">
        <w:rPr>
          <w:rFonts w:eastAsia="Cambria" w:cstheme="minorHAnsi"/>
          <w:szCs w:val="24"/>
        </w:rPr>
        <w:t xml:space="preserve"> </w:t>
      </w:r>
      <w:r w:rsidR="00390739">
        <w:rPr>
          <w:rFonts w:eastAsia="Cambria" w:cstheme="minorHAnsi"/>
          <w:szCs w:val="24"/>
        </w:rPr>
        <w:t>page</w:t>
      </w:r>
      <w:r w:rsidR="00161304">
        <w:rPr>
          <w:rFonts w:eastAsia="Cambria" w:cstheme="minorHAnsi"/>
          <w:szCs w:val="24"/>
        </w:rPr>
        <w:t xml:space="preserve"> of the NDIS website:</w:t>
      </w:r>
    </w:p>
    <w:p w14:paraId="44F69DAE" w14:textId="77777777" w:rsidR="00161304" w:rsidRDefault="00ED6D37" w:rsidP="002D1872">
      <w:pPr>
        <w:pStyle w:val="ListParagraph"/>
        <w:numPr>
          <w:ilvl w:val="0"/>
          <w:numId w:val="54"/>
        </w:numPr>
        <w:spacing w:after="0"/>
        <w:rPr>
          <w:rFonts w:eastAsia="Cambria" w:cstheme="minorHAnsi"/>
          <w:szCs w:val="24"/>
        </w:rPr>
      </w:pPr>
      <w:hyperlink r:id="rId24" w:history="1">
        <w:r w:rsidR="00161304" w:rsidRPr="0094315E">
          <w:rPr>
            <w:rStyle w:val="Hyperlink"/>
            <w:rFonts w:eastAsia="Cambria" w:cstheme="minorHAnsi"/>
            <w:szCs w:val="24"/>
          </w:rPr>
          <w:t xml:space="preserve">Information for participants working in </w:t>
        </w:r>
        <w:r w:rsidR="0094315E" w:rsidRPr="0094315E">
          <w:rPr>
            <w:rStyle w:val="Hyperlink"/>
            <w:rFonts w:eastAsia="Cambria" w:cstheme="minorHAnsi"/>
            <w:szCs w:val="24"/>
          </w:rPr>
          <w:t xml:space="preserve">an </w:t>
        </w:r>
        <w:r w:rsidR="00161304" w:rsidRPr="0094315E">
          <w:rPr>
            <w:rStyle w:val="Hyperlink"/>
            <w:rFonts w:eastAsia="Cambria" w:cstheme="minorHAnsi"/>
            <w:szCs w:val="24"/>
          </w:rPr>
          <w:t>ADE</w:t>
        </w:r>
        <w:r w:rsidR="0094315E" w:rsidRPr="0094315E">
          <w:rPr>
            <w:rStyle w:val="Hyperlink"/>
            <w:rFonts w:eastAsia="Cambria" w:cstheme="minorHAnsi"/>
            <w:szCs w:val="24"/>
          </w:rPr>
          <w:t xml:space="preserve"> (DOCX 1.3MB)</w:t>
        </w:r>
      </w:hyperlink>
    </w:p>
    <w:p w14:paraId="440BE651" w14:textId="77777777" w:rsidR="00161304" w:rsidRDefault="00ED6D37" w:rsidP="002D1872">
      <w:pPr>
        <w:pStyle w:val="ListParagraph"/>
        <w:numPr>
          <w:ilvl w:val="0"/>
          <w:numId w:val="54"/>
        </w:numPr>
        <w:spacing w:after="0"/>
        <w:rPr>
          <w:rFonts w:eastAsia="Cambria" w:cstheme="minorHAnsi"/>
          <w:szCs w:val="24"/>
        </w:rPr>
      </w:pPr>
      <w:hyperlink r:id="rId25" w:history="1">
        <w:r w:rsidR="00161304" w:rsidRPr="008F0001">
          <w:rPr>
            <w:rStyle w:val="Hyperlink"/>
            <w:rFonts w:eastAsia="Cambria" w:cstheme="minorHAnsi"/>
            <w:szCs w:val="24"/>
          </w:rPr>
          <w:t xml:space="preserve">Easy Read – Information </w:t>
        </w:r>
        <w:r w:rsidR="002D1872" w:rsidRPr="008F0001">
          <w:rPr>
            <w:rStyle w:val="Hyperlink"/>
            <w:rFonts w:eastAsia="Cambria" w:cstheme="minorHAnsi"/>
            <w:szCs w:val="24"/>
          </w:rPr>
          <w:t>for partici</w:t>
        </w:r>
        <w:r w:rsidR="00161304" w:rsidRPr="008F0001">
          <w:rPr>
            <w:rStyle w:val="Hyperlink"/>
            <w:rFonts w:eastAsia="Cambria" w:cstheme="minorHAnsi"/>
            <w:szCs w:val="24"/>
          </w:rPr>
          <w:t>p</w:t>
        </w:r>
        <w:r w:rsidR="002D1872" w:rsidRPr="008F0001">
          <w:rPr>
            <w:rStyle w:val="Hyperlink"/>
            <w:rFonts w:eastAsia="Cambria" w:cstheme="minorHAnsi"/>
            <w:szCs w:val="24"/>
          </w:rPr>
          <w:t>a</w:t>
        </w:r>
        <w:r w:rsidR="00161304" w:rsidRPr="008F0001">
          <w:rPr>
            <w:rStyle w:val="Hyperlink"/>
            <w:rFonts w:eastAsia="Cambria" w:cstheme="minorHAnsi"/>
            <w:szCs w:val="24"/>
          </w:rPr>
          <w:t>nts working in ADE</w:t>
        </w:r>
        <w:r w:rsidR="008F0001" w:rsidRPr="008F0001">
          <w:rPr>
            <w:rStyle w:val="Hyperlink"/>
            <w:rFonts w:eastAsia="Cambria" w:cstheme="minorHAnsi"/>
            <w:szCs w:val="24"/>
          </w:rPr>
          <w:t xml:space="preserve"> (PDF 6.8MB)</w:t>
        </w:r>
      </w:hyperlink>
    </w:p>
    <w:p w14:paraId="178F7D8E" w14:textId="77777777" w:rsidR="008F0001" w:rsidRPr="003C4B1E" w:rsidRDefault="00ED6D37" w:rsidP="008F0001">
      <w:pPr>
        <w:pStyle w:val="ListParagraph"/>
        <w:numPr>
          <w:ilvl w:val="0"/>
          <w:numId w:val="54"/>
        </w:numPr>
        <w:spacing w:after="0"/>
        <w:rPr>
          <w:rFonts w:eastAsia="Cambria" w:cstheme="minorHAnsi"/>
          <w:szCs w:val="24"/>
        </w:rPr>
      </w:pPr>
      <w:hyperlink r:id="rId26" w:history="1">
        <w:r w:rsidR="008F0001" w:rsidRPr="008F0001">
          <w:rPr>
            <w:rStyle w:val="Hyperlink"/>
            <w:rFonts w:eastAsia="Cambria" w:cstheme="minorHAnsi"/>
            <w:szCs w:val="24"/>
          </w:rPr>
          <w:t>Easy Read – Information for participants working in ADE (DOCX 35KB</w:t>
        </w:r>
      </w:hyperlink>
      <w:r w:rsidR="008F0001">
        <w:rPr>
          <w:rFonts w:eastAsia="Cambria" w:cstheme="minorHAnsi"/>
          <w:szCs w:val="24"/>
        </w:rPr>
        <w:t>)</w:t>
      </w:r>
    </w:p>
    <w:p w14:paraId="76D0790A" w14:textId="77777777" w:rsidR="002571BA" w:rsidRDefault="002571BA" w:rsidP="00A24AD9">
      <w:pPr>
        <w:spacing w:after="0"/>
        <w:rPr>
          <w:rFonts w:eastAsia="Cambria" w:cstheme="minorHAnsi"/>
          <w:szCs w:val="24"/>
        </w:rPr>
      </w:pPr>
    </w:p>
    <w:p w14:paraId="36C06746" w14:textId="77777777" w:rsidR="00CC091F" w:rsidRDefault="00956A20" w:rsidP="00A24AD9">
      <w:pPr>
        <w:spacing w:after="0"/>
        <w:rPr>
          <w:rFonts w:cstheme="minorHAnsi"/>
          <w:szCs w:val="24"/>
        </w:rPr>
      </w:pPr>
      <w:r>
        <w:rPr>
          <w:rFonts w:eastAsia="Cambria" w:cstheme="minorHAnsi"/>
          <w:szCs w:val="24"/>
        </w:rPr>
        <w:t xml:space="preserve">Local area coordinators and NDIA planning staff have the </w:t>
      </w:r>
      <w:r w:rsidR="009D367D" w:rsidRPr="00D013E1">
        <w:rPr>
          <w:rFonts w:eastAsia="Cambria" w:cstheme="minorHAnsi"/>
          <w:szCs w:val="24"/>
        </w:rPr>
        <w:t>tools and resources</w:t>
      </w:r>
      <w:r w:rsidR="009D367D">
        <w:rPr>
          <w:rFonts w:eastAsia="Cambria" w:cstheme="minorHAnsi"/>
          <w:szCs w:val="24"/>
        </w:rPr>
        <w:t xml:space="preserve"> to prepare</w:t>
      </w:r>
      <w:r w:rsidR="00CC091F" w:rsidRPr="000C52A6">
        <w:rPr>
          <w:rFonts w:eastAsia="Cambria" w:cstheme="minorHAnsi"/>
          <w:szCs w:val="24"/>
        </w:rPr>
        <w:t xml:space="preserve"> plans </w:t>
      </w:r>
      <w:r>
        <w:rPr>
          <w:rFonts w:eastAsia="Cambria" w:cstheme="minorHAnsi"/>
          <w:szCs w:val="24"/>
        </w:rPr>
        <w:t>to promote</w:t>
      </w:r>
      <w:r w:rsidR="00CC091F" w:rsidRPr="000C52A6">
        <w:rPr>
          <w:rFonts w:cstheme="minorHAnsi"/>
          <w:szCs w:val="24"/>
        </w:rPr>
        <w:t xml:space="preserve"> employment pathways and outcomes, including on</w:t>
      </w:r>
      <w:r w:rsidR="00840C05">
        <w:rPr>
          <w:rFonts w:cstheme="minorHAnsi"/>
          <w:szCs w:val="24"/>
        </w:rPr>
        <w:t>-</w:t>
      </w:r>
      <w:r w:rsidR="00CC091F" w:rsidRPr="000C52A6">
        <w:rPr>
          <w:rFonts w:cstheme="minorHAnsi"/>
          <w:szCs w:val="24"/>
        </w:rPr>
        <w:t>the</w:t>
      </w:r>
      <w:r w:rsidR="00840C05">
        <w:rPr>
          <w:rFonts w:cstheme="minorHAnsi"/>
          <w:szCs w:val="24"/>
        </w:rPr>
        <w:t>-</w:t>
      </w:r>
      <w:r w:rsidR="00CC091F" w:rsidRPr="000C52A6">
        <w:rPr>
          <w:rFonts w:cstheme="minorHAnsi"/>
          <w:szCs w:val="24"/>
        </w:rPr>
        <w:t xml:space="preserve">job supports to maintain employment. </w:t>
      </w:r>
      <w:r w:rsidR="00CC091F">
        <w:rPr>
          <w:rFonts w:cstheme="minorHAnsi"/>
          <w:szCs w:val="24"/>
        </w:rPr>
        <w:t>C</w:t>
      </w:r>
      <w:r w:rsidR="00CC091F" w:rsidRPr="000C52A6">
        <w:rPr>
          <w:rFonts w:cstheme="minorHAnsi"/>
          <w:szCs w:val="24"/>
        </w:rPr>
        <w:t xml:space="preserve">omprehensive education and communication activities </w:t>
      </w:r>
      <w:r w:rsidR="009D367D">
        <w:rPr>
          <w:rFonts w:cstheme="minorHAnsi"/>
          <w:szCs w:val="24"/>
        </w:rPr>
        <w:t>with th</w:t>
      </w:r>
      <w:r w:rsidR="00394F42">
        <w:rPr>
          <w:rFonts w:cstheme="minorHAnsi"/>
          <w:szCs w:val="24"/>
        </w:rPr>
        <w:t>e</w:t>
      </w:r>
      <w:r w:rsidR="009D367D">
        <w:rPr>
          <w:rFonts w:cstheme="minorHAnsi"/>
          <w:szCs w:val="24"/>
        </w:rPr>
        <w:t xml:space="preserve">se staff </w:t>
      </w:r>
      <w:r w:rsidR="00CC091F">
        <w:rPr>
          <w:rFonts w:cstheme="minorHAnsi"/>
          <w:szCs w:val="24"/>
        </w:rPr>
        <w:t>commenced</w:t>
      </w:r>
      <w:r w:rsidR="001843F0">
        <w:rPr>
          <w:rFonts w:cstheme="minorHAnsi"/>
          <w:szCs w:val="24"/>
        </w:rPr>
        <w:t xml:space="preserve"> in advance</w:t>
      </w:r>
      <w:r w:rsidR="00F83AE2">
        <w:rPr>
          <w:rFonts w:cstheme="minorHAnsi"/>
          <w:szCs w:val="24"/>
        </w:rPr>
        <w:t xml:space="preserve"> of the changes and are ongoing</w:t>
      </w:r>
      <w:r w:rsidR="00D013E1">
        <w:rPr>
          <w:rFonts w:cstheme="minorHAnsi"/>
          <w:szCs w:val="24"/>
        </w:rPr>
        <w:t>.</w:t>
      </w:r>
      <w:r w:rsidR="00CC091F">
        <w:rPr>
          <w:rFonts w:cstheme="minorHAnsi"/>
          <w:szCs w:val="24"/>
        </w:rPr>
        <w:t xml:space="preserve"> </w:t>
      </w:r>
    </w:p>
    <w:p w14:paraId="0E46BEFA" w14:textId="1DEBB00D" w:rsidR="00CC091F" w:rsidRPr="000C52A6" w:rsidRDefault="00CC091F" w:rsidP="00A24AD9">
      <w:pPr>
        <w:spacing w:after="0"/>
        <w:rPr>
          <w:rFonts w:cstheme="minorHAnsi"/>
          <w:szCs w:val="24"/>
        </w:rPr>
      </w:pPr>
    </w:p>
    <w:p w14:paraId="4B19286E" w14:textId="77777777" w:rsidR="008F0001" w:rsidRPr="008F0001" w:rsidRDefault="008F0001" w:rsidP="00A24AD9">
      <w:pPr>
        <w:spacing w:after="200"/>
        <w:rPr>
          <w:rFonts w:cstheme="minorHAnsi"/>
          <w:szCs w:val="24"/>
        </w:rPr>
      </w:pPr>
      <w:r w:rsidRPr="003C4B1E">
        <w:rPr>
          <w:rFonts w:cstheme="minorHAnsi"/>
          <w:szCs w:val="24"/>
        </w:rPr>
        <w:t xml:space="preserve">Participants can bring a family member, friend, advocate or anyone else to their </w:t>
      </w:r>
      <w:r>
        <w:rPr>
          <w:rFonts w:cstheme="minorHAnsi"/>
          <w:szCs w:val="24"/>
        </w:rPr>
        <w:t xml:space="preserve">planning </w:t>
      </w:r>
      <w:r w:rsidRPr="003C4B1E">
        <w:rPr>
          <w:rFonts w:cstheme="minorHAnsi"/>
          <w:szCs w:val="24"/>
        </w:rPr>
        <w:t xml:space="preserve">meeting. If a participant needs help to arrange an advocate to attend they can contact their </w:t>
      </w:r>
      <w:r w:rsidR="009142A3">
        <w:rPr>
          <w:rFonts w:cstheme="minorHAnsi"/>
          <w:szCs w:val="24"/>
        </w:rPr>
        <w:t>local area coordinator</w:t>
      </w:r>
      <w:r w:rsidR="009142A3" w:rsidRPr="003C4B1E">
        <w:rPr>
          <w:rFonts w:cstheme="minorHAnsi"/>
          <w:szCs w:val="24"/>
        </w:rPr>
        <w:t xml:space="preserve"> </w:t>
      </w:r>
      <w:r w:rsidRPr="003C4B1E">
        <w:rPr>
          <w:rFonts w:cstheme="minorHAnsi"/>
          <w:szCs w:val="24"/>
        </w:rPr>
        <w:t>or NDIA planner.</w:t>
      </w:r>
    </w:p>
    <w:p w14:paraId="1F30D2DD" w14:textId="496DA861" w:rsidR="006C5D9B" w:rsidRDefault="00CC091F" w:rsidP="00A24AD9">
      <w:pPr>
        <w:spacing w:after="200"/>
        <w:rPr>
          <w:rFonts w:cstheme="minorHAnsi"/>
          <w:szCs w:val="24"/>
        </w:rPr>
      </w:pPr>
      <w:r w:rsidRPr="008F0001">
        <w:rPr>
          <w:rFonts w:cstheme="minorHAnsi"/>
          <w:szCs w:val="24"/>
        </w:rPr>
        <w:t xml:space="preserve">Providers can best assist by clarifying any points that might be unclear and ensuring the participant has all necessary information in advance of their planning conversation. </w:t>
      </w:r>
    </w:p>
    <w:p w14:paraId="0EE15C8B" w14:textId="77777777" w:rsidR="000D6988" w:rsidRPr="008F0001" w:rsidRDefault="000D6988" w:rsidP="00A24AD9">
      <w:pPr>
        <w:spacing w:after="200"/>
        <w:rPr>
          <w:rFonts w:cstheme="minorHAnsi"/>
          <w:szCs w:val="24"/>
        </w:rPr>
      </w:pPr>
    </w:p>
    <w:p w14:paraId="2F162607" w14:textId="77777777" w:rsidR="009F5BF0" w:rsidRDefault="0088018F" w:rsidP="00A24AD9">
      <w:pPr>
        <w:pStyle w:val="Heading3"/>
        <w:spacing w:line="276" w:lineRule="auto"/>
        <w:rPr>
          <w:rFonts w:cs="Arial"/>
          <w:szCs w:val="28"/>
          <w:lang w:eastAsia="en-AU"/>
        </w:rPr>
      </w:pPr>
      <w:bookmarkStart w:id="19" w:name="_Toc62130365"/>
      <w:r>
        <w:t xml:space="preserve">ADEs </w:t>
      </w:r>
      <w:r w:rsidR="009A6D1B">
        <w:t>c</w:t>
      </w:r>
      <w:r w:rsidR="009F5BF0">
        <w:t>hoosing when to transition</w:t>
      </w:r>
      <w:bookmarkEnd w:id="19"/>
    </w:p>
    <w:p w14:paraId="7FBDA7CA" w14:textId="14A817CE" w:rsidR="00D013E1" w:rsidRPr="003C4B1E" w:rsidRDefault="00D013E1" w:rsidP="00A24AD9">
      <w:pPr>
        <w:rPr>
          <w:rFonts w:cstheme="minorHAnsi"/>
          <w:szCs w:val="24"/>
        </w:rPr>
      </w:pPr>
      <w:r w:rsidRPr="003C4B1E">
        <w:rPr>
          <w:rFonts w:cstheme="minorHAnsi"/>
          <w:szCs w:val="24"/>
        </w:rPr>
        <w:t>ADE providers</w:t>
      </w:r>
      <w:r w:rsidR="00956A20" w:rsidRPr="003C4B1E">
        <w:rPr>
          <w:rFonts w:cstheme="minorHAnsi"/>
          <w:szCs w:val="24"/>
        </w:rPr>
        <w:t xml:space="preserve"> have until 31 December 2021 to transition</w:t>
      </w:r>
      <w:r w:rsidR="001843F0">
        <w:rPr>
          <w:rFonts w:cstheme="minorHAnsi"/>
          <w:szCs w:val="24"/>
        </w:rPr>
        <w:t xml:space="preserve"> to the new pricing arrangements</w:t>
      </w:r>
      <w:r w:rsidR="00956A20" w:rsidRPr="003C4B1E">
        <w:rPr>
          <w:rFonts w:cstheme="minorHAnsi"/>
          <w:szCs w:val="24"/>
        </w:rPr>
        <w:t xml:space="preserve">. </w:t>
      </w:r>
    </w:p>
    <w:p w14:paraId="29DAFB00" w14:textId="77777777" w:rsidR="009F5BF0" w:rsidRPr="001E0663" w:rsidRDefault="00D013E1" w:rsidP="00A24AD9">
      <w:r>
        <w:t xml:space="preserve">Plans developed after 1 July </w:t>
      </w:r>
      <w:r w:rsidR="00383283">
        <w:t>2020,</w:t>
      </w:r>
      <w:r>
        <w:t xml:space="preserve"> when t</w:t>
      </w:r>
      <w:r w:rsidR="009F5BF0" w:rsidRPr="001E0663">
        <w:t>he new supp</w:t>
      </w:r>
      <w:r w:rsidR="009F5BF0">
        <w:t xml:space="preserve">ort items and price limits </w:t>
      </w:r>
      <w:r w:rsidR="00102321" w:rsidRPr="001E0663">
        <w:t>c</w:t>
      </w:r>
      <w:r w:rsidR="00102321">
        <w:t>a</w:t>
      </w:r>
      <w:r w:rsidR="00102321" w:rsidRPr="001E0663">
        <w:t xml:space="preserve">me </w:t>
      </w:r>
      <w:r w:rsidR="009F5BF0" w:rsidRPr="001E0663">
        <w:t>into effe</w:t>
      </w:r>
      <w:r w:rsidR="009F5BF0">
        <w:t>ct</w:t>
      </w:r>
      <w:r>
        <w:t>,</w:t>
      </w:r>
      <w:r w:rsidR="009F5BF0">
        <w:t xml:space="preserve"> </w:t>
      </w:r>
      <w:r w:rsidR="00956A20">
        <w:t>are</w:t>
      </w:r>
      <w:r w:rsidR="009F5BF0">
        <w:t xml:space="preserve"> funded under the new arrangements. </w:t>
      </w:r>
      <w:r w:rsidR="00477609" w:rsidRPr="00477609">
        <w:rPr>
          <w:rFonts w:cs="Arial"/>
          <w:color w:val="222222"/>
          <w:shd w:val="clear" w:color="auto" w:fill="FFFFFF"/>
        </w:rPr>
        <w:t xml:space="preserve"> </w:t>
      </w:r>
      <w:r w:rsidR="00477609" w:rsidRPr="00477609">
        <w:t>Funding for employment supports will</w:t>
      </w:r>
      <w:r w:rsidR="00477609">
        <w:t xml:space="preserve"> be moved from a participant’s C</w:t>
      </w:r>
      <w:r w:rsidR="00477609" w:rsidRPr="00477609">
        <w:t>apaci</w:t>
      </w:r>
      <w:r w:rsidR="00477609">
        <w:t>ty Building budget, into their C</w:t>
      </w:r>
      <w:r w:rsidR="00477609" w:rsidRPr="00477609">
        <w:t>ore budget. This will happen as they receive new or renewed plans.</w:t>
      </w:r>
    </w:p>
    <w:p w14:paraId="50DC0A56" w14:textId="3C877407" w:rsidR="000B0780" w:rsidRDefault="009142A3" w:rsidP="00A24AD9">
      <w:r>
        <w:t xml:space="preserve">From 1 July 2020, </w:t>
      </w:r>
      <w:r w:rsidR="009F5BF0">
        <w:t xml:space="preserve">ADEs </w:t>
      </w:r>
      <w:r>
        <w:t>have been able</w:t>
      </w:r>
      <w:r w:rsidR="009F5BF0">
        <w:t xml:space="preserve"> to</w:t>
      </w:r>
      <w:r>
        <w:t xml:space="preserve"> use</w:t>
      </w:r>
      <w:r w:rsidR="009F5BF0">
        <w:t xml:space="preserve"> the new pricing</w:t>
      </w:r>
      <w:r>
        <w:t xml:space="preserve">; however, they can </w:t>
      </w:r>
      <w:r w:rsidR="009F5BF0" w:rsidRPr="001E0663">
        <w:t xml:space="preserve">continue </w:t>
      </w:r>
      <w:r w:rsidR="009F5BF0">
        <w:t xml:space="preserve">to claim, for a period up to </w:t>
      </w:r>
      <w:r w:rsidR="00ED4B15">
        <w:t xml:space="preserve">31 December </w:t>
      </w:r>
      <w:r w:rsidR="00F95D38">
        <w:t>2021,</w:t>
      </w:r>
      <w:r w:rsidR="009F5BF0">
        <w:t xml:space="preserve"> the equivalent </w:t>
      </w:r>
      <w:r w:rsidR="009F5BF0" w:rsidRPr="001E0663">
        <w:t>Case</w:t>
      </w:r>
      <w:r w:rsidR="009F5BF0">
        <w:t xml:space="preserve"> Based Funding or </w:t>
      </w:r>
      <w:r w:rsidR="0034388C">
        <w:t>A</w:t>
      </w:r>
      <w:r w:rsidR="009F5BF0">
        <w:t>verage Outlet Price</w:t>
      </w:r>
      <w:r w:rsidR="001E74E0">
        <w:t xml:space="preserve"> with the agreement of the participant</w:t>
      </w:r>
      <w:r w:rsidR="00BD24E9">
        <w:t>. C</w:t>
      </w:r>
      <w:r w:rsidR="00446EAD">
        <w:t xml:space="preserve">laiming at the current levels </w:t>
      </w:r>
      <w:r w:rsidR="00BD24E9">
        <w:t xml:space="preserve">is possible </w:t>
      </w:r>
      <w:r w:rsidR="00446EAD">
        <w:t xml:space="preserve">for </w:t>
      </w:r>
      <w:r w:rsidR="00BD24E9">
        <w:t xml:space="preserve">plans that </w:t>
      </w:r>
      <w:r w:rsidR="006F5FAD">
        <w:t>include</w:t>
      </w:r>
      <w:r w:rsidR="009F5BF0">
        <w:t xml:space="preserve"> the new funding arrangements</w:t>
      </w:r>
      <w:r w:rsidR="00BD24E9">
        <w:t>.</w:t>
      </w:r>
      <w:r w:rsidR="009F5BF0">
        <w:t xml:space="preserve"> </w:t>
      </w:r>
    </w:p>
    <w:p w14:paraId="337B1028" w14:textId="77777777" w:rsidR="000D6988" w:rsidRPr="00161D71" w:rsidRDefault="000D6988" w:rsidP="00A24AD9">
      <w:pPr>
        <w:rPr>
          <w:rFonts w:cs="Arial"/>
          <w:lang w:eastAsia="en-AU"/>
        </w:rPr>
      </w:pPr>
    </w:p>
    <w:p w14:paraId="24856F31" w14:textId="77777777" w:rsidR="000B0780" w:rsidRPr="008873E8" w:rsidRDefault="009F5BF0" w:rsidP="00A24AD9">
      <w:pPr>
        <w:pStyle w:val="Heading3"/>
        <w:spacing w:line="276" w:lineRule="auto"/>
      </w:pPr>
      <w:bookmarkStart w:id="20" w:name="_Toc62130366"/>
      <w:r>
        <w:t>Claiming during transition</w:t>
      </w:r>
      <w:bookmarkEnd w:id="20"/>
      <w:r>
        <w:t xml:space="preserve"> </w:t>
      </w:r>
    </w:p>
    <w:p w14:paraId="2E077E7F" w14:textId="77777777" w:rsidR="00EE6A81" w:rsidRDefault="00EE6A81" w:rsidP="00A24AD9">
      <w:r w:rsidRPr="00EE6A81">
        <w:t xml:space="preserve">ADEs </w:t>
      </w:r>
      <w:r w:rsidR="00956A20">
        <w:t>should</w:t>
      </w:r>
      <w:r w:rsidRPr="00EE6A81">
        <w:t xml:space="preserve"> make well-informed decisions about when and how they transition to the new pricing framework.</w:t>
      </w:r>
    </w:p>
    <w:p w14:paraId="708CA3DA" w14:textId="77777777" w:rsidR="00F61D7E" w:rsidRDefault="00933B53" w:rsidP="00A24AD9">
      <w:r>
        <w:lastRenderedPageBreak/>
        <w:t>Because c</w:t>
      </w:r>
      <w:r w:rsidR="009F5BF0">
        <w:t xml:space="preserve">laiming at the new prices </w:t>
      </w:r>
      <w:r>
        <w:t>is</w:t>
      </w:r>
      <w:r w:rsidR="009F5BF0">
        <w:t xml:space="preserve"> only </w:t>
      </w:r>
      <w:r>
        <w:t>a</w:t>
      </w:r>
      <w:r w:rsidR="009F5BF0">
        <w:t xml:space="preserve">vailable for plans </w:t>
      </w:r>
      <w:r>
        <w:t>reviewed after</w:t>
      </w:r>
      <w:r w:rsidR="009F5BF0">
        <w:t xml:space="preserve"> 1 July</w:t>
      </w:r>
      <w:r w:rsidR="00B60847">
        <w:t xml:space="preserve"> 2020</w:t>
      </w:r>
      <w:r>
        <w:t>, providers</w:t>
      </w:r>
      <w:r w:rsidR="009F5BF0">
        <w:t xml:space="preserve"> will have a dual funding </w:t>
      </w:r>
      <w:r>
        <w:t xml:space="preserve">and claiming </w:t>
      </w:r>
      <w:r w:rsidR="009F5BF0">
        <w:t xml:space="preserve">method until the last supported employee completes a plan review. </w:t>
      </w:r>
      <w:r w:rsidR="00457061">
        <w:t xml:space="preserve">Current service bookings remain in place for existing plans. </w:t>
      </w:r>
    </w:p>
    <w:p w14:paraId="5E76DA9B" w14:textId="77777777" w:rsidR="00210569" w:rsidRDefault="00956A20" w:rsidP="00A24AD9">
      <w:r>
        <w:t xml:space="preserve">When participants receive an NDIS plan, funding for </w:t>
      </w:r>
      <w:r w:rsidR="00DA28C5">
        <w:t>s</w:t>
      </w:r>
      <w:r>
        <w:t xml:space="preserve">upports in </w:t>
      </w:r>
      <w:r w:rsidR="00DA28C5">
        <w:t>e</w:t>
      </w:r>
      <w:r>
        <w:t xml:space="preserve">mployment is in their </w:t>
      </w:r>
      <w:r w:rsidR="00457061">
        <w:t xml:space="preserve">Core </w:t>
      </w:r>
      <w:r w:rsidR="002C16AA">
        <w:t xml:space="preserve">budget </w:t>
      </w:r>
      <w:r w:rsidR="00457061">
        <w:t xml:space="preserve">under the support category of Assistance with Social, Economic and Community Participation. </w:t>
      </w:r>
      <w:r>
        <w:t xml:space="preserve">Providers should make appropriate </w:t>
      </w:r>
      <w:hyperlink r:id="rId27" w:history="1">
        <w:r w:rsidRPr="000F2F3C">
          <w:rPr>
            <w:rStyle w:val="Hyperlink"/>
          </w:rPr>
          <w:t>service bookings</w:t>
        </w:r>
      </w:hyperlink>
      <w:r>
        <w:t>.</w:t>
      </w:r>
    </w:p>
    <w:p w14:paraId="10AD4241" w14:textId="77777777" w:rsidR="000F2F3C" w:rsidRDefault="000F2F3C" w:rsidP="00A24AD9"/>
    <w:tbl>
      <w:tblPr>
        <w:tblStyle w:val="GridTable4-Accent2"/>
        <w:tblW w:w="5000" w:type="pct"/>
        <w:tblLayout w:type="fixed"/>
        <w:tblLook w:val="04A0" w:firstRow="1" w:lastRow="0" w:firstColumn="1" w:lastColumn="0" w:noHBand="0" w:noVBand="1"/>
        <w:tblCaption w:val="Support Categories"/>
        <w:tblDescription w:val="Lists the Support Purpose and Support Category items."/>
      </w:tblPr>
      <w:tblGrid>
        <w:gridCol w:w="1694"/>
        <w:gridCol w:w="2915"/>
        <w:gridCol w:w="5161"/>
      </w:tblGrid>
      <w:tr w:rsidR="00210569" w:rsidRPr="00C8672E" w14:paraId="04181E8A" w14:textId="77777777" w:rsidTr="001D0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shd w:val="clear" w:color="auto" w:fill="6B2976"/>
          </w:tcPr>
          <w:p w14:paraId="61D37833" w14:textId="77777777" w:rsidR="00210569" w:rsidRPr="00C8672E" w:rsidRDefault="00210569" w:rsidP="00A24AD9">
            <w:pPr>
              <w:spacing w:before="40" w:after="40" w:line="276" w:lineRule="auto"/>
              <w:rPr>
                <w:rFonts w:eastAsia="Times New Roman" w:cs="Arial"/>
                <w:sz w:val="16"/>
                <w:szCs w:val="16"/>
              </w:rPr>
            </w:pPr>
            <w:r w:rsidRPr="00C8672E">
              <w:rPr>
                <w:rFonts w:eastAsia="Times New Roman" w:cs="Arial"/>
                <w:sz w:val="16"/>
                <w:szCs w:val="16"/>
              </w:rPr>
              <w:t>PURPOSE</w:t>
            </w:r>
          </w:p>
        </w:tc>
        <w:tc>
          <w:tcPr>
            <w:tcW w:w="2690" w:type="dxa"/>
            <w:shd w:val="clear" w:color="auto" w:fill="6B2976"/>
          </w:tcPr>
          <w:p w14:paraId="08B72C66" w14:textId="77777777" w:rsidR="00210569" w:rsidRPr="00C8672E" w:rsidRDefault="00210569" w:rsidP="00A24AD9">
            <w:pPr>
              <w:spacing w:before="40" w:after="40" w:line="276" w:lineRule="auto"/>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8672E">
              <w:rPr>
                <w:rFonts w:eastAsia="Times New Roman" w:cs="Arial"/>
                <w:sz w:val="16"/>
                <w:szCs w:val="16"/>
              </w:rPr>
              <w:t>OUTCOME DOMAIN</w:t>
            </w:r>
          </w:p>
        </w:tc>
        <w:tc>
          <w:tcPr>
            <w:tcW w:w="4763" w:type="dxa"/>
            <w:shd w:val="clear" w:color="auto" w:fill="6B2976"/>
          </w:tcPr>
          <w:p w14:paraId="762EFFCC" w14:textId="77777777" w:rsidR="00210569" w:rsidRPr="00C8672E" w:rsidRDefault="00210569" w:rsidP="00A24AD9">
            <w:pPr>
              <w:numPr>
                <w:ilvl w:val="0"/>
                <w:numId w:val="42"/>
              </w:numPr>
              <w:spacing w:before="40" w:after="40" w:line="276" w:lineRule="auto"/>
              <w:ind w:left="0" w:hanging="517"/>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8672E">
              <w:rPr>
                <w:rFonts w:eastAsia="Times New Roman" w:cs="Arial"/>
                <w:sz w:val="16"/>
                <w:szCs w:val="16"/>
              </w:rPr>
              <w:t>SUPPORT CATEGORY</w:t>
            </w:r>
          </w:p>
        </w:tc>
      </w:tr>
      <w:tr w:rsidR="00210569" w:rsidRPr="00C8672E" w14:paraId="15231F2D" w14:textId="77777777" w:rsidTr="001D0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2C583720" w14:textId="77777777" w:rsidR="00210569" w:rsidRPr="00C8672E" w:rsidRDefault="00210569" w:rsidP="00A24AD9">
            <w:pPr>
              <w:spacing w:before="40" w:after="40" w:line="276" w:lineRule="auto"/>
              <w:rPr>
                <w:rFonts w:eastAsia="Times New Roman" w:cs="Arial"/>
                <w:sz w:val="16"/>
                <w:szCs w:val="16"/>
              </w:rPr>
            </w:pPr>
            <w:r w:rsidRPr="00C8672E">
              <w:rPr>
                <w:rFonts w:eastAsia="Times New Roman" w:cs="Arial"/>
                <w:sz w:val="16"/>
                <w:szCs w:val="16"/>
              </w:rPr>
              <w:t>CORE</w:t>
            </w:r>
          </w:p>
        </w:tc>
        <w:tc>
          <w:tcPr>
            <w:tcW w:w="2690" w:type="dxa"/>
          </w:tcPr>
          <w:p w14:paraId="4F4799CB"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Daily Living</w:t>
            </w:r>
          </w:p>
          <w:p w14:paraId="08E3F26A"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Daily Living</w:t>
            </w:r>
          </w:p>
          <w:p w14:paraId="2BD7950A"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Daily Living</w:t>
            </w:r>
          </w:p>
          <w:p w14:paraId="087D73E2"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Social and Community Participation</w:t>
            </w:r>
          </w:p>
          <w:p w14:paraId="4FD35102"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Work</w:t>
            </w:r>
          </w:p>
        </w:tc>
        <w:tc>
          <w:tcPr>
            <w:tcW w:w="4763" w:type="dxa"/>
          </w:tcPr>
          <w:p w14:paraId="78D7A47F"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21" w:name="_Ref25239099"/>
            <w:r w:rsidRPr="00C8672E">
              <w:rPr>
                <w:rFonts w:eastAsia="Times New Roman" w:cs="Arial"/>
                <w:sz w:val="16"/>
                <w:szCs w:val="16"/>
              </w:rPr>
              <w:t>01 Assistance with Daily Life</w:t>
            </w:r>
            <w:bookmarkEnd w:id="21"/>
          </w:p>
          <w:p w14:paraId="03CE9620" w14:textId="77777777" w:rsidR="00210569" w:rsidRPr="00C8672E" w:rsidRDefault="00210569" w:rsidP="00A24AD9">
            <w:pPr>
              <w:numPr>
                <w:ilvl w:val="0"/>
                <w:numId w:val="42"/>
              </w:numPr>
              <w:spacing w:before="40" w:after="40" w:line="276" w:lineRule="auto"/>
              <w:ind w:left="0" w:hanging="517"/>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02 Transport</w:t>
            </w:r>
          </w:p>
          <w:p w14:paraId="2761F203" w14:textId="77777777" w:rsidR="00210569" w:rsidRPr="00C8672E" w:rsidRDefault="00210569" w:rsidP="00A24AD9">
            <w:pPr>
              <w:numPr>
                <w:ilvl w:val="0"/>
                <w:numId w:val="42"/>
              </w:numPr>
              <w:spacing w:before="40" w:after="40" w:line="276" w:lineRule="auto"/>
              <w:ind w:left="0" w:hanging="517"/>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03 Consumables</w:t>
            </w:r>
          </w:p>
          <w:p w14:paraId="738E3341" w14:textId="77777777" w:rsidR="00210569" w:rsidRPr="00C8672E" w:rsidRDefault="00210569" w:rsidP="00A24AD9">
            <w:pPr>
              <w:numPr>
                <w:ilvl w:val="0"/>
                <w:numId w:val="42"/>
              </w:numPr>
              <w:spacing w:before="40" w:after="40" w:line="276" w:lineRule="auto"/>
              <w:ind w:left="0" w:hanging="517"/>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04 Assistance with Social, Economic and Community Participation</w:t>
            </w:r>
          </w:p>
          <w:p w14:paraId="31514079" w14:textId="77777777" w:rsidR="00210569" w:rsidRPr="00C8672E" w:rsidRDefault="00210569" w:rsidP="00A24AD9">
            <w:pPr>
              <w:numPr>
                <w:ilvl w:val="0"/>
                <w:numId w:val="42"/>
              </w:numPr>
              <w:spacing w:before="40" w:after="40" w:line="276" w:lineRule="auto"/>
              <w:ind w:left="0" w:hanging="517"/>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04 Assistance with Social, Economic and Community Participation</w:t>
            </w:r>
          </w:p>
        </w:tc>
      </w:tr>
      <w:tr w:rsidR="00210569" w:rsidRPr="00C8672E" w14:paraId="46719E42" w14:textId="77777777" w:rsidTr="001D0E41">
        <w:tc>
          <w:tcPr>
            <w:cnfStyle w:val="001000000000" w:firstRow="0" w:lastRow="0" w:firstColumn="1" w:lastColumn="0" w:oddVBand="0" w:evenVBand="0" w:oddHBand="0" w:evenHBand="0" w:firstRowFirstColumn="0" w:firstRowLastColumn="0" w:lastRowFirstColumn="0" w:lastRowLastColumn="0"/>
            <w:tcW w:w="1563" w:type="dxa"/>
          </w:tcPr>
          <w:p w14:paraId="7F6FC42E" w14:textId="77777777" w:rsidR="00210569" w:rsidRPr="00C8672E" w:rsidRDefault="00210569" w:rsidP="00A24AD9">
            <w:pPr>
              <w:spacing w:before="40" w:after="40" w:line="276" w:lineRule="auto"/>
              <w:rPr>
                <w:rFonts w:eastAsia="Times New Roman" w:cs="Arial"/>
                <w:sz w:val="16"/>
                <w:szCs w:val="16"/>
              </w:rPr>
            </w:pPr>
            <w:r w:rsidRPr="00C8672E">
              <w:rPr>
                <w:rFonts w:eastAsia="Times New Roman" w:cs="Arial"/>
                <w:sz w:val="16"/>
                <w:szCs w:val="16"/>
              </w:rPr>
              <w:t>CAPITAL</w:t>
            </w:r>
          </w:p>
        </w:tc>
        <w:tc>
          <w:tcPr>
            <w:tcW w:w="2690" w:type="dxa"/>
          </w:tcPr>
          <w:p w14:paraId="7DC619CF" w14:textId="77777777" w:rsidR="00210569" w:rsidRPr="00C8672E" w:rsidRDefault="00210569" w:rsidP="00A24AD9">
            <w:pPr>
              <w:spacing w:before="40" w:after="4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C8672E">
              <w:rPr>
                <w:rFonts w:eastAsia="Times New Roman" w:cs="Arial"/>
                <w:sz w:val="16"/>
                <w:szCs w:val="16"/>
              </w:rPr>
              <w:t>Daily Living</w:t>
            </w:r>
          </w:p>
          <w:p w14:paraId="33D91934" w14:textId="77777777" w:rsidR="00210569" w:rsidRPr="00C8672E" w:rsidRDefault="00210569" w:rsidP="00A24AD9">
            <w:pPr>
              <w:spacing w:before="40" w:after="4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C8672E">
              <w:rPr>
                <w:rFonts w:eastAsia="Times New Roman" w:cs="Arial"/>
                <w:sz w:val="16"/>
                <w:szCs w:val="16"/>
              </w:rPr>
              <w:t>Home</w:t>
            </w:r>
          </w:p>
        </w:tc>
        <w:tc>
          <w:tcPr>
            <w:tcW w:w="4763" w:type="dxa"/>
          </w:tcPr>
          <w:p w14:paraId="2AA8B53C" w14:textId="77777777" w:rsidR="00210569" w:rsidRPr="00C8672E" w:rsidRDefault="00210569" w:rsidP="00A24AD9">
            <w:pPr>
              <w:spacing w:before="40" w:after="40" w:line="276" w:lineRule="auto"/>
              <w:ind w:left="284" w:hanging="284"/>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C8672E">
              <w:rPr>
                <w:rFonts w:eastAsia="Times New Roman" w:cs="Arial"/>
                <w:sz w:val="16"/>
                <w:szCs w:val="16"/>
              </w:rPr>
              <w:t>05 Assistive Technology</w:t>
            </w:r>
          </w:p>
          <w:p w14:paraId="253D945E" w14:textId="77777777" w:rsidR="00210569" w:rsidRPr="00C8672E" w:rsidRDefault="00210569" w:rsidP="00A24AD9">
            <w:pPr>
              <w:spacing w:before="40" w:after="40" w:line="276" w:lineRule="auto"/>
              <w:ind w:left="284" w:hanging="284"/>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C8672E">
              <w:rPr>
                <w:rFonts w:eastAsia="Times New Roman" w:cs="Arial"/>
                <w:sz w:val="16"/>
                <w:szCs w:val="16"/>
              </w:rPr>
              <w:t>06 Home Modifications and Specialised Disability Accommodation (SDA)</w:t>
            </w:r>
          </w:p>
        </w:tc>
      </w:tr>
      <w:tr w:rsidR="00210569" w:rsidRPr="00C8672E" w14:paraId="1D06AAF0" w14:textId="77777777" w:rsidTr="001D0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0FD12817" w14:textId="77777777" w:rsidR="00210569" w:rsidRPr="00C8672E" w:rsidRDefault="00210569" w:rsidP="00A24AD9">
            <w:pPr>
              <w:spacing w:before="40" w:after="40" w:line="276" w:lineRule="auto"/>
              <w:rPr>
                <w:rFonts w:eastAsia="Times New Roman" w:cs="Arial"/>
                <w:sz w:val="16"/>
                <w:szCs w:val="16"/>
              </w:rPr>
            </w:pPr>
            <w:r w:rsidRPr="00C8672E">
              <w:rPr>
                <w:rFonts w:eastAsia="Times New Roman" w:cs="Arial"/>
                <w:sz w:val="16"/>
                <w:szCs w:val="16"/>
              </w:rPr>
              <w:t>CAPACITY BUILDING</w:t>
            </w:r>
          </w:p>
        </w:tc>
        <w:tc>
          <w:tcPr>
            <w:tcW w:w="2690" w:type="dxa"/>
          </w:tcPr>
          <w:p w14:paraId="65FBB339"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Choice and Control</w:t>
            </w:r>
          </w:p>
          <w:p w14:paraId="04178CBE"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Home</w:t>
            </w:r>
          </w:p>
          <w:p w14:paraId="167F123E"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Social and Community Participation</w:t>
            </w:r>
          </w:p>
          <w:p w14:paraId="23EB975D"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Work</w:t>
            </w:r>
          </w:p>
          <w:p w14:paraId="201A7F2A"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Relationships</w:t>
            </w:r>
          </w:p>
          <w:p w14:paraId="338D2076"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Health and Wellbeing</w:t>
            </w:r>
          </w:p>
          <w:p w14:paraId="48231D2B"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Lifelong Learning</w:t>
            </w:r>
          </w:p>
          <w:p w14:paraId="0622CD59" w14:textId="77777777" w:rsidR="00210569" w:rsidRPr="00C8672E" w:rsidRDefault="00210569" w:rsidP="00A24AD9">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Choice and Control</w:t>
            </w:r>
          </w:p>
          <w:p w14:paraId="002C70D4" w14:textId="77777777" w:rsidR="00210569" w:rsidRPr="00C8672E" w:rsidRDefault="00210569" w:rsidP="00A24AD9">
            <w:pPr>
              <w:tabs>
                <w:tab w:val="center" w:pos="2529"/>
              </w:tabs>
              <w:spacing w:before="40" w:after="40"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Daily Living</w:t>
            </w:r>
            <w:r w:rsidRPr="00C8672E">
              <w:rPr>
                <w:rFonts w:eastAsia="Times New Roman" w:cs="Arial"/>
                <w:sz w:val="16"/>
                <w:szCs w:val="16"/>
              </w:rPr>
              <w:tab/>
            </w:r>
          </w:p>
        </w:tc>
        <w:tc>
          <w:tcPr>
            <w:tcW w:w="4763" w:type="dxa"/>
          </w:tcPr>
          <w:p w14:paraId="43F12FE9"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07 Support Coordination</w:t>
            </w:r>
          </w:p>
          <w:p w14:paraId="16C7CEA5"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08 Improved Living Arrangements</w:t>
            </w:r>
          </w:p>
          <w:p w14:paraId="0A4F5F5E"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22" w:name="_Ref20396413"/>
            <w:r w:rsidRPr="00C8672E">
              <w:rPr>
                <w:rFonts w:eastAsia="Times New Roman" w:cs="Arial"/>
                <w:sz w:val="16"/>
                <w:szCs w:val="16"/>
              </w:rPr>
              <w:t>09 Increased Social and Community Participation</w:t>
            </w:r>
            <w:bookmarkEnd w:id="22"/>
          </w:p>
          <w:p w14:paraId="220A614E"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10 Finding and Keeping a Job</w:t>
            </w:r>
          </w:p>
          <w:p w14:paraId="0343C41B"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11 Improved Relationships</w:t>
            </w:r>
          </w:p>
          <w:p w14:paraId="59C70052"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12 Improved Health and Wellbeing</w:t>
            </w:r>
          </w:p>
          <w:p w14:paraId="426432B1"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13 Improved Learning</w:t>
            </w:r>
          </w:p>
          <w:p w14:paraId="18F9862C"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14 Improved Life Choices</w:t>
            </w:r>
          </w:p>
          <w:p w14:paraId="379CFF9B" w14:textId="77777777" w:rsidR="00210569" w:rsidRPr="00C8672E" w:rsidRDefault="00210569" w:rsidP="00A24AD9">
            <w:pPr>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8672E">
              <w:rPr>
                <w:rFonts w:eastAsia="Times New Roman" w:cs="Arial"/>
                <w:sz w:val="16"/>
                <w:szCs w:val="16"/>
              </w:rPr>
              <w:t>15 Improved Daily Living Skills</w:t>
            </w:r>
          </w:p>
        </w:tc>
      </w:tr>
    </w:tbl>
    <w:p w14:paraId="23D8738F" w14:textId="77777777" w:rsidR="00457061" w:rsidRDefault="00457061" w:rsidP="00A24AD9"/>
    <w:p w14:paraId="491F6E4B" w14:textId="0C88E3E2" w:rsidR="00EE6A81" w:rsidRDefault="00956A20" w:rsidP="00A24AD9">
      <w:pPr>
        <w:spacing w:after="0"/>
      </w:pPr>
      <w:r>
        <w:t xml:space="preserve">Providers can, with the agreement of the participant, charge the new prices before a plan review as long as the participant has sufficient funding in their Core support budget. </w:t>
      </w:r>
      <w:r w:rsidR="00C03278" w:rsidRPr="00EE6A81">
        <w:t xml:space="preserve">In this case, providers </w:t>
      </w:r>
      <w:r w:rsidR="001303BF">
        <w:t>should claim against existing funding</w:t>
      </w:r>
      <w:r w:rsidR="00C03278" w:rsidRPr="00EE6A81">
        <w:t xml:space="preserve"> within the</w:t>
      </w:r>
      <w:r w:rsidR="00C03278" w:rsidRPr="00A85983">
        <w:t xml:space="preserve"> </w:t>
      </w:r>
      <w:r w:rsidR="001303BF">
        <w:t xml:space="preserve">participant’s </w:t>
      </w:r>
      <w:r w:rsidR="00102321">
        <w:t>C</w:t>
      </w:r>
      <w:r w:rsidR="00102321" w:rsidRPr="00A85983">
        <w:t xml:space="preserve">apacity </w:t>
      </w:r>
      <w:r w:rsidR="00102321">
        <w:t>B</w:t>
      </w:r>
      <w:r w:rsidR="00102321" w:rsidRPr="00A85983">
        <w:t xml:space="preserve">uilding </w:t>
      </w:r>
      <w:r w:rsidR="00C03278" w:rsidRPr="00A85983">
        <w:t xml:space="preserve">budget before </w:t>
      </w:r>
      <w:r w:rsidR="001303BF">
        <w:t>claiming against</w:t>
      </w:r>
      <w:r w:rsidR="001303BF" w:rsidRPr="00A85983">
        <w:t xml:space="preserve"> </w:t>
      </w:r>
      <w:r w:rsidR="00C03278" w:rsidRPr="00A85983">
        <w:t xml:space="preserve">funding within </w:t>
      </w:r>
      <w:r w:rsidR="0034388C">
        <w:t xml:space="preserve">a </w:t>
      </w:r>
      <w:r w:rsidR="00102321">
        <w:t>C</w:t>
      </w:r>
      <w:r w:rsidR="00102321" w:rsidRPr="00A85983">
        <w:t>ore</w:t>
      </w:r>
      <w:r w:rsidR="00102321">
        <w:t xml:space="preserve"> </w:t>
      </w:r>
      <w:r w:rsidR="0034388C">
        <w:t>budget</w:t>
      </w:r>
      <w:r w:rsidR="00C03278" w:rsidRPr="00A85983">
        <w:t>.</w:t>
      </w:r>
    </w:p>
    <w:p w14:paraId="7A9B19BC" w14:textId="77777777" w:rsidR="002E4512" w:rsidRDefault="002E4512" w:rsidP="00A24AD9">
      <w:pPr>
        <w:spacing w:after="0"/>
      </w:pPr>
    </w:p>
    <w:p w14:paraId="55D6FD93" w14:textId="77777777" w:rsidR="00EE6A81" w:rsidRDefault="000F2F3C" w:rsidP="00A24AD9">
      <w:pPr>
        <w:spacing w:after="0"/>
      </w:pPr>
      <w:r>
        <w:t>Funding for supports in employment</w:t>
      </w:r>
      <w:r w:rsidR="006623C2">
        <w:t xml:space="preserve"> </w:t>
      </w:r>
      <w:r w:rsidR="000C6366">
        <w:t>will only be included in participant plans for 48 weeks</w:t>
      </w:r>
      <w:r w:rsidR="001303BF">
        <w:t xml:space="preserve">, </w:t>
      </w:r>
      <w:r>
        <w:t>allowing for</w:t>
      </w:r>
      <w:r w:rsidR="001303BF">
        <w:t xml:space="preserve"> 4 weeks of paid annual leave each year</w:t>
      </w:r>
      <w:r w:rsidR="000C6366">
        <w:t xml:space="preserve">. </w:t>
      </w:r>
    </w:p>
    <w:p w14:paraId="33CAD170" w14:textId="77777777" w:rsidR="00DA1208" w:rsidRDefault="00DA1208" w:rsidP="00A24AD9">
      <w:pPr>
        <w:spacing w:after="0"/>
      </w:pPr>
    </w:p>
    <w:p w14:paraId="06D171C9" w14:textId="77777777" w:rsidR="00DA1208" w:rsidRDefault="00DA1208" w:rsidP="00DA1208">
      <w:pPr>
        <w:pStyle w:val="Heading4"/>
        <w:pBdr>
          <w:top w:val="single" w:sz="4" w:space="1" w:color="auto"/>
          <w:left w:val="single" w:sz="4" w:space="1" w:color="auto"/>
          <w:bottom w:val="single" w:sz="4" w:space="1" w:color="auto"/>
          <w:right w:val="single" w:sz="4" w:space="0" w:color="auto"/>
        </w:pBdr>
        <w:shd w:val="clear" w:color="auto" w:fill="EEE2F3"/>
      </w:pPr>
      <w:r w:rsidRPr="00DA1208">
        <w:t xml:space="preserve">Scenario </w:t>
      </w:r>
      <w:r>
        <w:t>4</w:t>
      </w:r>
      <w:r w:rsidRPr="00DA1208">
        <w:t xml:space="preserve"> – Claiming during transition</w:t>
      </w:r>
    </w:p>
    <w:p w14:paraId="2C06D30F" w14:textId="77777777" w:rsidR="00DA1208" w:rsidRDefault="00DA1208" w:rsidP="00DA1208">
      <w:pPr>
        <w:pBdr>
          <w:top w:val="single" w:sz="4" w:space="1" w:color="auto"/>
          <w:left w:val="single" w:sz="4" w:space="1" w:color="auto"/>
          <w:bottom w:val="single" w:sz="4" w:space="1" w:color="auto"/>
          <w:right w:val="single" w:sz="4" w:space="0" w:color="auto"/>
        </w:pBdr>
        <w:shd w:val="clear" w:color="auto" w:fill="EEE2F3"/>
      </w:pPr>
      <w:r>
        <w:br/>
      </w:r>
      <w:r w:rsidR="009142A3">
        <w:t>XYZ</w:t>
      </w:r>
      <w:r>
        <w:t xml:space="preserve"> ADE have discussed the pricing transition with their NDIS participants</w:t>
      </w:r>
      <w:r w:rsidR="00854F4F">
        <w:t xml:space="preserve">. </w:t>
      </w:r>
      <w:r>
        <w:t xml:space="preserve">Vanessa, an employee receiving supports in employment and working 16 hours per week over </w:t>
      </w:r>
      <w:r w:rsidR="00854F4F">
        <w:t xml:space="preserve">4 </w:t>
      </w:r>
      <w:r>
        <w:t xml:space="preserve">days, wants to transition to the new pricing to enable her to receive the supports she needs to meet her new employment goal of moving into a new role which is 21 hours over </w:t>
      </w:r>
      <w:r w:rsidR="00854F4F">
        <w:t>5</w:t>
      </w:r>
      <w:r>
        <w:t xml:space="preserve"> days per week. </w:t>
      </w:r>
    </w:p>
    <w:p w14:paraId="1CDBB247" w14:textId="77777777" w:rsidR="00DA1208" w:rsidRDefault="00DA1208" w:rsidP="00DA1208">
      <w:pPr>
        <w:pBdr>
          <w:top w:val="single" w:sz="4" w:space="1" w:color="auto"/>
          <w:left w:val="single" w:sz="4" w:space="1" w:color="auto"/>
          <w:bottom w:val="single" w:sz="4" w:space="1" w:color="auto"/>
          <w:right w:val="single" w:sz="4" w:space="0" w:color="auto"/>
        </w:pBdr>
        <w:shd w:val="clear" w:color="auto" w:fill="EEE2F3"/>
      </w:pPr>
      <w:r>
        <w:t xml:space="preserve">Vanessa was previously assessed at DMI Level 3 and currently </w:t>
      </w:r>
      <w:r w:rsidR="00854F4F">
        <w:t>has $6,000 dollars left in her Finding and Keeping a J</w:t>
      </w:r>
      <w:r>
        <w:t xml:space="preserve">ob budget. </w:t>
      </w:r>
    </w:p>
    <w:p w14:paraId="335320BD" w14:textId="77777777" w:rsidR="00DA1208" w:rsidRDefault="00DA1208" w:rsidP="00DA1208">
      <w:pPr>
        <w:pBdr>
          <w:top w:val="single" w:sz="4" w:space="1" w:color="auto"/>
          <w:left w:val="single" w:sz="4" w:space="1" w:color="auto"/>
          <w:bottom w:val="single" w:sz="4" w:space="1" w:color="auto"/>
          <w:right w:val="single" w:sz="4" w:space="0" w:color="auto"/>
        </w:pBdr>
        <w:shd w:val="clear" w:color="auto" w:fill="EEE2F3"/>
      </w:pPr>
      <w:r>
        <w:t xml:space="preserve">Vanessa has a discussion with her supervisor and they use her typical pattern of supports in the workplace to develop her service agreement. Vanessa works with 4 other participants and agrees that </w:t>
      </w:r>
      <w:r w:rsidR="009142A3">
        <w:t xml:space="preserve">XYZ ADE </w:t>
      </w:r>
      <w:r>
        <w:t>will provide her with 21 hours of support in a group each week at 1:5 as well as</w:t>
      </w:r>
      <w:r w:rsidR="00854F4F">
        <w:t xml:space="preserve"> 1 hour per week of non-face-to-</w:t>
      </w:r>
      <w:r>
        <w:t xml:space="preserve">face time to cover the work they do to </w:t>
      </w:r>
      <w:r>
        <w:lastRenderedPageBreak/>
        <w:t xml:space="preserve">prepare, monitor and report on her progress towards her employment goals. This means they would be claiming $272.12 from her plan each week. </w:t>
      </w:r>
    </w:p>
    <w:p w14:paraId="171BCF6D" w14:textId="77777777" w:rsidR="00DA1208" w:rsidRDefault="009142A3" w:rsidP="00DA1208">
      <w:pPr>
        <w:pBdr>
          <w:top w:val="single" w:sz="4" w:space="1" w:color="auto"/>
          <w:left w:val="single" w:sz="4" w:space="1" w:color="auto"/>
          <w:bottom w:val="single" w:sz="4" w:space="1" w:color="auto"/>
          <w:right w:val="single" w:sz="4" w:space="0" w:color="auto"/>
        </w:pBdr>
        <w:shd w:val="clear" w:color="auto" w:fill="EEE2F3"/>
      </w:pPr>
      <w:r>
        <w:t xml:space="preserve">XYZ ADE </w:t>
      </w:r>
      <w:r w:rsidR="00DA1208">
        <w:t xml:space="preserve">will utilise the remaining </w:t>
      </w:r>
      <w:r w:rsidR="00854F4F">
        <w:t xml:space="preserve">Finding and Keeping a Job </w:t>
      </w:r>
      <w:r w:rsidR="00DA1208">
        <w:t>budget in Vanessa’s plan by using the duplicate line item 10_801_0133_5_1_D Supports in Employment - Weekday to claim the $272.12 per week. Once this funding is exhausted, they can then move to claiming</w:t>
      </w:r>
      <w:r w:rsidR="00854F4F">
        <w:t xml:space="preserve"> from Vanessa’s C</w:t>
      </w:r>
      <w:r w:rsidR="00DA1208">
        <w:t xml:space="preserve">ore budget using the line item 04_801_0133_5_1 </w:t>
      </w:r>
      <w:proofErr w:type="gramStart"/>
      <w:r w:rsidR="00DA1208">
        <w:t>Supports</w:t>
      </w:r>
      <w:proofErr w:type="gramEnd"/>
      <w:r w:rsidR="00DA1208">
        <w:t xml:space="preserve"> in Employment - Weekday Daytime</w:t>
      </w:r>
    </w:p>
    <w:p w14:paraId="20F13721" w14:textId="77777777" w:rsidR="00DA1208" w:rsidRDefault="00DA1208" w:rsidP="00DA1208">
      <w:pPr>
        <w:pBdr>
          <w:top w:val="single" w:sz="4" w:space="1" w:color="auto"/>
          <w:left w:val="single" w:sz="4" w:space="1" w:color="auto"/>
          <w:bottom w:val="single" w:sz="4" w:space="1" w:color="auto"/>
          <w:right w:val="single" w:sz="4" w:space="0" w:color="auto"/>
        </w:pBdr>
        <w:shd w:val="clear" w:color="auto" w:fill="EEE2F3"/>
      </w:pPr>
      <w:r>
        <w:t>Note: Actual line items will vary depending on the time of support delivery and the provider’s eligibility for TTP.</w:t>
      </w:r>
    </w:p>
    <w:p w14:paraId="60DCBF1C" w14:textId="77777777" w:rsidR="00DA1208" w:rsidRDefault="00DA1208" w:rsidP="00DA1208">
      <w:pPr>
        <w:pBdr>
          <w:top w:val="single" w:sz="4" w:space="1" w:color="auto"/>
          <w:left w:val="single" w:sz="4" w:space="1" w:color="auto"/>
          <w:bottom w:val="single" w:sz="4" w:space="1" w:color="auto"/>
          <w:right w:val="single" w:sz="4" w:space="0" w:color="auto"/>
        </w:pBdr>
        <w:shd w:val="clear" w:color="auto" w:fill="EEE2F3"/>
      </w:pPr>
      <w:r>
        <w:t xml:space="preserve">It is important that the participant understands the implications for an earlier transition, and that </w:t>
      </w:r>
      <w:r w:rsidR="000F2F3C">
        <w:t xml:space="preserve">a </w:t>
      </w:r>
      <w:r>
        <w:t xml:space="preserve">request for </w:t>
      </w:r>
      <w:r w:rsidR="000F2F3C">
        <w:t>a plan review</w:t>
      </w:r>
      <w:r>
        <w:t xml:space="preserve"> simply for the purpose of early transition will not satisfy the criteria for requesting a plan review because of changed circumstances. The NDIS </w:t>
      </w:r>
      <w:hyperlink r:id="rId28" w:anchor="15.2" w:history="1">
        <w:r w:rsidRPr="00854F4F">
          <w:rPr>
            <w:rStyle w:val="Hyperlink"/>
          </w:rPr>
          <w:t>Operational Guidelines</w:t>
        </w:r>
      </w:hyperlink>
      <w:r>
        <w:t xml:space="preserve"> provide details around the circumstances of an unscheduled plan review and note that:</w:t>
      </w:r>
    </w:p>
    <w:p w14:paraId="0F9C7203" w14:textId="77777777" w:rsidR="00DA1208" w:rsidRDefault="00DA1208" w:rsidP="00DA1208">
      <w:pPr>
        <w:pBdr>
          <w:top w:val="single" w:sz="4" w:space="1" w:color="auto"/>
          <w:left w:val="single" w:sz="4" w:space="1" w:color="auto"/>
          <w:bottom w:val="single" w:sz="4" w:space="1" w:color="auto"/>
          <w:right w:val="single" w:sz="4" w:space="0" w:color="auto"/>
        </w:pBdr>
        <w:shd w:val="clear" w:color="auto" w:fill="EEE2F3"/>
      </w:pPr>
      <w:r>
        <w:t>Generally, a participant’s request for a review of their plan will not be accepted where the request for review simply reflects the participant’s desire to have increased supports, or supports of a nature similar to other participants. For example, the participant is requesting additional funding as they have exhausted their budget on other flexible support categories in their plan</w:t>
      </w:r>
      <w:r w:rsidR="00854F4F">
        <w:t>.</w:t>
      </w:r>
    </w:p>
    <w:p w14:paraId="7FCE9296" w14:textId="77777777" w:rsidR="00B24325" w:rsidRDefault="00B24325" w:rsidP="00A24AD9">
      <w:pPr>
        <w:spacing w:after="0"/>
      </w:pPr>
    </w:p>
    <w:p w14:paraId="32DA78DB" w14:textId="77777777" w:rsidR="00DA1208" w:rsidRDefault="00EE6A81" w:rsidP="003C4B1E">
      <w:r>
        <w:t xml:space="preserve">In summary, </w:t>
      </w:r>
      <w:r w:rsidR="00363A24" w:rsidRPr="001E0663">
        <w:t>ADEs th</w:t>
      </w:r>
      <w:r w:rsidR="00FA7178">
        <w:t>at delay their transition to the new pricing</w:t>
      </w:r>
      <w:r w:rsidR="00363A24">
        <w:t>:</w:t>
      </w:r>
    </w:p>
    <w:p w14:paraId="025B46D9" w14:textId="77777777" w:rsidR="003A6DBB" w:rsidRDefault="003A6DBB" w:rsidP="003C4B1E">
      <w:pPr>
        <w:pStyle w:val="ListParagraph"/>
        <w:numPr>
          <w:ilvl w:val="0"/>
          <w:numId w:val="56"/>
        </w:numPr>
        <w:spacing w:before="240" w:after="160"/>
      </w:pPr>
      <w:r>
        <w:t>Can c</w:t>
      </w:r>
      <w:r w:rsidRPr="001E0663">
        <w:t xml:space="preserve">ontinue to claim using </w:t>
      </w:r>
      <w:r>
        <w:t xml:space="preserve">the support item </w:t>
      </w:r>
      <w:r w:rsidRPr="00C54432">
        <w:t>04_891_0133_5_1</w:t>
      </w:r>
      <w:r w:rsidRPr="00C54432">
        <w:tab/>
      </w:r>
      <w:proofErr w:type="gramStart"/>
      <w:r w:rsidRPr="00C54432">
        <w:t>Supports</w:t>
      </w:r>
      <w:proofErr w:type="gramEnd"/>
      <w:r w:rsidRPr="00C54432">
        <w:t xml:space="preserve"> in Employment - Transitional Funding Arrangements</w:t>
      </w:r>
      <w:r>
        <w:t xml:space="preserve"> when a participant has had their plan review and the new fundi</w:t>
      </w:r>
      <w:r w:rsidR="000F2F3C">
        <w:t>ng has been allocated to their C</w:t>
      </w:r>
      <w:r>
        <w:t xml:space="preserve">ore budget. </w:t>
      </w:r>
      <w:r>
        <w:br/>
      </w:r>
    </w:p>
    <w:p w14:paraId="02B9ABC8" w14:textId="77777777" w:rsidR="003A6DBB" w:rsidRDefault="003A6DBB" w:rsidP="003C4B1E">
      <w:pPr>
        <w:pStyle w:val="ListParagraph"/>
        <w:numPr>
          <w:ilvl w:val="0"/>
          <w:numId w:val="56"/>
        </w:numPr>
        <w:spacing w:before="240" w:after="160"/>
      </w:pPr>
      <w:r>
        <w:t xml:space="preserve">Will need to </w:t>
      </w:r>
      <w:r w:rsidRPr="004678DF">
        <w:t xml:space="preserve">input the total </w:t>
      </w:r>
      <w:r w:rsidR="001303BF">
        <w:t>dollar</w:t>
      </w:r>
      <w:r w:rsidRPr="004678DF">
        <w:t xml:space="preserve"> value of the claim against the item quantity field.</w:t>
      </w:r>
      <w:r>
        <w:t xml:space="preserve"> This is a sing</w:t>
      </w:r>
      <w:r w:rsidR="000F2F3C">
        <w:t>le support item</w:t>
      </w:r>
      <w:r w:rsidR="00E96A0E">
        <w:t>, priced at $1</w:t>
      </w:r>
      <w:r w:rsidR="001E74E0">
        <w:t>.</w:t>
      </w:r>
      <w:r w:rsidR="00E96A0E">
        <w:t>00 per unit</w:t>
      </w:r>
      <w:r w:rsidR="000F2F3C">
        <w:t xml:space="preserve"> located in the C</w:t>
      </w:r>
      <w:r>
        <w:t>ore budget that will allow for the equivalent weekly DMI or AOP value to be claimed at the relevant rate</w:t>
      </w:r>
      <w:r>
        <w:br/>
      </w:r>
    </w:p>
    <w:p w14:paraId="27FFCCEF" w14:textId="77777777" w:rsidR="00383283" w:rsidRDefault="003A6DBB" w:rsidP="003C4B1E">
      <w:pPr>
        <w:pStyle w:val="ListParagraph"/>
        <w:numPr>
          <w:ilvl w:val="0"/>
          <w:numId w:val="56"/>
        </w:numPr>
        <w:spacing w:before="240" w:after="160"/>
      </w:pPr>
      <w:r>
        <w:t xml:space="preserve">Can employ new participants by claiming for the provision of supports at their weekly Average Outlet Price using the support item 04_891_0133_5_1 </w:t>
      </w:r>
      <w:proofErr w:type="gramStart"/>
      <w:r w:rsidRPr="00C54432">
        <w:t>Supports</w:t>
      </w:r>
      <w:proofErr w:type="gramEnd"/>
      <w:r w:rsidRPr="00C54432">
        <w:t xml:space="preserve"> in Employment - Transitional Funding Arrangements</w:t>
      </w:r>
      <w:r>
        <w:t>.</w:t>
      </w:r>
      <w:r w:rsidR="00383283">
        <w:br/>
      </w:r>
    </w:p>
    <w:p w14:paraId="1B65BCEC" w14:textId="77777777" w:rsidR="00E505DB" w:rsidRDefault="00383283" w:rsidP="003C4B1E">
      <w:pPr>
        <w:pStyle w:val="ListParagraph"/>
        <w:numPr>
          <w:ilvl w:val="0"/>
          <w:numId w:val="56"/>
        </w:numPr>
        <w:spacing w:before="240" w:after="160"/>
      </w:pPr>
      <w:r>
        <w:t xml:space="preserve">Can claim the 2020-21 Average Outlet Pricing rates at 2.1% indexation. </w:t>
      </w:r>
      <w:r w:rsidR="002F2FB9">
        <w:t>T</w:t>
      </w:r>
      <w:r w:rsidR="002514AB">
        <w:t xml:space="preserve">he </w:t>
      </w:r>
      <w:r w:rsidR="00930259">
        <w:t xml:space="preserve">2020-21 DSS </w:t>
      </w:r>
      <w:r w:rsidR="00CC604B">
        <w:t xml:space="preserve">DMI </w:t>
      </w:r>
      <w:r w:rsidR="002514AB">
        <w:t xml:space="preserve">rates </w:t>
      </w:r>
      <w:r w:rsidR="0075076A">
        <w:t xml:space="preserve">are available on the </w:t>
      </w:r>
      <w:hyperlink r:id="rId29" w:history="1">
        <w:r w:rsidR="0075076A" w:rsidRPr="00930259">
          <w:rPr>
            <w:rStyle w:val="Hyperlink"/>
          </w:rPr>
          <w:t>DSS website.</w:t>
        </w:r>
      </w:hyperlink>
      <w:r w:rsidR="0075076A">
        <w:t xml:space="preserve"> </w:t>
      </w:r>
    </w:p>
    <w:p w14:paraId="290D5C3D" w14:textId="77777777" w:rsidR="00DA1208" w:rsidRDefault="00DA1208" w:rsidP="003C4B1E">
      <w:pPr>
        <w:pStyle w:val="ListParagraph"/>
        <w:spacing w:before="240" w:after="160"/>
        <w:ind w:left="0"/>
      </w:pPr>
    </w:p>
    <w:p w14:paraId="009853F9" w14:textId="77777777" w:rsidR="00EE6A81" w:rsidRDefault="001303BF" w:rsidP="00A24AD9">
      <w:pPr>
        <w:spacing w:after="160"/>
      </w:pPr>
      <w:r>
        <w:t>B</w:t>
      </w:r>
      <w:r w:rsidR="002514AB">
        <w:t xml:space="preserve">y </w:t>
      </w:r>
      <w:r>
        <w:t>31</w:t>
      </w:r>
      <w:r w:rsidR="002514AB">
        <w:t xml:space="preserve"> </w:t>
      </w:r>
      <w:r w:rsidR="00AB5015">
        <w:t>December 202</w:t>
      </w:r>
      <w:r w:rsidR="00273652">
        <w:t>1</w:t>
      </w:r>
      <w:r w:rsidR="00AB5015">
        <w:t xml:space="preserve">, </w:t>
      </w:r>
      <w:r w:rsidR="002514AB">
        <w:t xml:space="preserve">all providers </w:t>
      </w:r>
      <w:r w:rsidR="00AB5015">
        <w:t xml:space="preserve">must </w:t>
      </w:r>
      <w:r w:rsidR="00304C4F">
        <w:t>us</w:t>
      </w:r>
      <w:r>
        <w:t>e</w:t>
      </w:r>
      <w:r w:rsidR="00304C4F">
        <w:t xml:space="preserve"> </w:t>
      </w:r>
      <w:r w:rsidR="00AB5015">
        <w:t xml:space="preserve">the new pricing </w:t>
      </w:r>
      <w:r w:rsidR="00304C4F">
        <w:t xml:space="preserve">framework </w:t>
      </w:r>
      <w:r w:rsidR="00AB5015">
        <w:t xml:space="preserve">for all </w:t>
      </w:r>
      <w:r w:rsidR="001D0980">
        <w:t>participants</w:t>
      </w:r>
      <w:r w:rsidR="002514AB">
        <w:t>.</w:t>
      </w:r>
    </w:p>
    <w:p w14:paraId="6EDA39B1" w14:textId="77777777" w:rsidR="004C5511" w:rsidRDefault="001303BF" w:rsidP="004C5511">
      <w:pPr>
        <w:spacing w:after="160"/>
      </w:pPr>
      <w:r>
        <w:t>P</w:t>
      </w:r>
      <w:r w:rsidR="00EE6A81">
        <w:t>lans</w:t>
      </w:r>
      <w:r>
        <w:t xml:space="preserve"> </w:t>
      </w:r>
      <w:r w:rsidR="00EE6A81">
        <w:t>with</w:t>
      </w:r>
      <w:r>
        <w:t xml:space="preserve"> a</w:t>
      </w:r>
      <w:r w:rsidR="00EE6A81">
        <w:t xml:space="preserve"> longer duration</w:t>
      </w:r>
      <w:r>
        <w:t xml:space="preserve"> </w:t>
      </w:r>
      <w:r w:rsidR="00EE6A81">
        <w:t xml:space="preserve">may not be due for review until after </w:t>
      </w:r>
      <w:r w:rsidR="00CE2045">
        <w:t>December</w:t>
      </w:r>
      <w:r w:rsidR="00EE6A81">
        <w:t xml:space="preserve"> 2021. The </w:t>
      </w:r>
      <w:r>
        <w:t xml:space="preserve">NDIA has a process in place to </w:t>
      </w:r>
      <w:r w:rsidR="00EE6A81">
        <w:t xml:space="preserve">ensure </w:t>
      </w:r>
      <w:r w:rsidR="00CE2045">
        <w:t>no participant</w:t>
      </w:r>
      <w:r w:rsidR="00EE6A81">
        <w:t xml:space="preserve"> is disadvantaged in these </w:t>
      </w:r>
      <w:r w:rsidR="0099671F">
        <w:t>circumstances</w:t>
      </w:r>
      <w:r w:rsidR="00E96A0E">
        <w:t xml:space="preserve"> and all plans fo</w:t>
      </w:r>
      <w:r w:rsidR="001E74E0">
        <w:t>r</w:t>
      </w:r>
      <w:r w:rsidR="00E96A0E">
        <w:t xml:space="preserve"> </w:t>
      </w:r>
      <w:proofErr w:type="spellStart"/>
      <w:r w:rsidR="00E96A0E">
        <w:t>particpants</w:t>
      </w:r>
      <w:proofErr w:type="spellEnd"/>
      <w:r w:rsidR="00E96A0E">
        <w:t xml:space="preserve"> working in ADEs will be reviewed well before the transition date of 31 December 2021</w:t>
      </w:r>
      <w:r w:rsidR="00EE6A81">
        <w:t xml:space="preserve">. </w:t>
      </w:r>
    </w:p>
    <w:p w14:paraId="44E42B05" w14:textId="77777777" w:rsidR="00244789" w:rsidRDefault="00244789" w:rsidP="004C5511">
      <w:pPr>
        <w:pStyle w:val="Heading2"/>
      </w:pPr>
      <w:bookmarkStart w:id="23" w:name="_Toc62130367"/>
      <w:r>
        <w:lastRenderedPageBreak/>
        <w:t>Prov</w:t>
      </w:r>
      <w:r w:rsidR="0099671F">
        <w:t>i</w:t>
      </w:r>
      <w:r>
        <w:t>der responsibilities</w:t>
      </w:r>
      <w:bookmarkEnd w:id="23"/>
      <w:r>
        <w:t xml:space="preserve"> </w:t>
      </w:r>
    </w:p>
    <w:p w14:paraId="00533D9B" w14:textId="77777777" w:rsidR="00244789" w:rsidRPr="006B21FF" w:rsidRDefault="00244789" w:rsidP="00A24AD9">
      <w:pPr>
        <w:pStyle w:val="Heading3"/>
        <w:spacing w:line="276" w:lineRule="auto"/>
      </w:pPr>
      <w:bookmarkStart w:id="24" w:name="_Toc62130368"/>
      <w:r w:rsidRPr="006B21FF">
        <w:t>Se</w:t>
      </w:r>
      <w:r w:rsidR="00A4440B">
        <w:t>rvice a</w:t>
      </w:r>
      <w:r w:rsidRPr="006B21FF">
        <w:t>greement</w:t>
      </w:r>
      <w:r>
        <w:t>s</w:t>
      </w:r>
      <w:r w:rsidR="00E96A0E">
        <w:t xml:space="preserve"> and Employment Contracts</w:t>
      </w:r>
      <w:bookmarkEnd w:id="24"/>
    </w:p>
    <w:p w14:paraId="146F0E2C" w14:textId="77777777" w:rsidR="00244789" w:rsidRDefault="00A4440B" w:rsidP="00A24AD9">
      <w:r>
        <w:t xml:space="preserve">A </w:t>
      </w:r>
      <w:r w:rsidR="00A11DD3">
        <w:t xml:space="preserve">service </w:t>
      </w:r>
      <w:r>
        <w:t>a</w:t>
      </w:r>
      <w:r w:rsidR="00244789">
        <w:t>greement between the participant and the provider should detail the individualised supports and the steps to achieving the participant’s goals. It ensures that the par</w:t>
      </w:r>
      <w:r w:rsidR="00EA5048">
        <w:t xml:space="preserve">ticipant and </w:t>
      </w:r>
      <w:r w:rsidR="00244789">
        <w:t xml:space="preserve">provider have an agreed set of expectations, including the use of the </w:t>
      </w:r>
      <w:r w:rsidR="00DA1208">
        <w:t xml:space="preserve">program </w:t>
      </w:r>
      <w:r w:rsidR="00244789">
        <w:t xml:space="preserve">of </w:t>
      </w:r>
      <w:r w:rsidR="00DA1208">
        <w:t xml:space="preserve">supports </w:t>
      </w:r>
      <w:r w:rsidR="00244789">
        <w:t>approach</w:t>
      </w:r>
      <w:r w:rsidR="00EA5048">
        <w:t xml:space="preserve">. The </w:t>
      </w:r>
      <w:r w:rsidR="00A11DD3">
        <w:t xml:space="preserve">service agreement </w:t>
      </w:r>
      <w:r w:rsidR="00244789">
        <w:t>form</w:t>
      </w:r>
      <w:r w:rsidR="00EA5048">
        <w:t xml:space="preserve">s the basis for a </w:t>
      </w:r>
      <w:r w:rsidR="00244789">
        <w:t>service booking.</w:t>
      </w:r>
    </w:p>
    <w:p w14:paraId="037F5D92" w14:textId="77777777" w:rsidR="00244789" w:rsidRDefault="00244789" w:rsidP="00A24AD9">
      <w:r>
        <w:t>ADEs, being both support provider and employer, should conside</w:t>
      </w:r>
      <w:r w:rsidR="00E82A6B">
        <w:t>r the relationship between the service a</w:t>
      </w:r>
      <w:r>
        <w:t xml:space="preserve">greement and the participant’s employment contract, ensuring the participant understands the importance of purchasing supports to maintain required work standards. </w:t>
      </w:r>
    </w:p>
    <w:p w14:paraId="483552A2" w14:textId="77777777" w:rsidR="00244789" w:rsidRDefault="00E82A6B" w:rsidP="00A24AD9">
      <w:r>
        <w:t>Once a service a</w:t>
      </w:r>
      <w:r w:rsidR="00244789">
        <w:t>greement has been finalised, a registered provide</w:t>
      </w:r>
      <w:r>
        <w:t>r</w:t>
      </w:r>
      <w:r w:rsidR="00B07A25">
        <w:t xml:space="preserve">, </w:t>
      </w:r>
      <w:r>
        <w:t xml:space="preserve">participant </w:t>
      </w:r>
      <w:r w:rsidR="00B07A25">
        <w:t xml:space="preserve">or plan manager </w:t>
      </w:r>
      <w:r>
        <w:t>will make a service b</w:t>
      </w:r>
      <w:r w:rsidR="00244789">
        <w:t>ooking that specifies type of support, length of time and a funding amount against which the provider can claim payments.</w:t>
      </w:r>
      <w:r w:rsidR="00B07A25">
        <w:t xml:space="preserve"> </w:t>
      </w:r>
      <w:r w:rsidR="00E96A0E">
        <w:t>At this stage, s</w:t>
      </w:r>
      <w:r w:rsidR="00B07A25">
        <w:t xml:space="preserve">ervice bookings are not required where a participant is using a </w:t>
      </w:r>
      <w:r w:rsidR="00DE25E5">
        <w:t>non-registered</w:t>
      </w:r>
      <w:r w:rsidR="00B07A25">
        <w:t xml:space="preserve"> provider</w:t>
      </w:r>
      <w:r w:rsidR="00E96A0E">
        <w:t xml:space="preserve"> but a service agreement must be completed</w:t>
      </w:r>
      <w:r w:rsidR="00B07A25">
        <w:t xml:space="preserve">. </w:t>
      </w:r>
    </w:p>
    <w:p w14:paraId="40AFDD69" w14:textId="77777777" w:rsidR="0088018F" w:rsidRDefault="0088018F" w:rsidP="00A24AD9">
      <w:r>
        <w:t>For more information about service agreement</w:t>
      </w:r>
      <w:r w:rsidR="0067727A">
        <w:t>s</w:t>
      </w:r>
      <w:r>
        <w:t xml:space="preserve"> and </w:t>
      </w:r>
      <w:r w:rsidR="0034171E">
        <w:t>your provider obligations</w:t>
      </w:r>
      <w:r>
        <w:t xml:space="preserve"> </w:t>
      </w:r>
      <w:r w:rsidR="0034171E">
        <w:t xml:space="preserve">visit </w:t>
      </w:r>
      <w:r>
        <w:t xml:space="preserve">the </w:t>
      </w:r>
      <w:hyperlink r:id="rId30" w:history="1">
        <w:r w:rsidR="0034171E" w:rsidRPr="0034171E">
          <w:rPr>
            <w:rStyle w:val="Hyperlink"/>
          </w:rPr>
          <w:t xml:space="preserve">Service agreements page of the </w:t>
        </w:r>
        <w:r w:rsidRPr="0034171E">
          <w:rPr>
            <w:rStyle w:val="Hyperlink"/>
          </w:rPr>
          <w:t>NDIS website</w:t>
        </w:r>
      </w:hyperlink>
      <w:r>
        <w:t xml:space="preserve">. </w:t>
      </w:r>
    </w:p>
    <w:p w14:paraId="35CDD8EA" w14:textId="77777777" w:rsidR="00363A24" w:rsidRPr="00C22338" w:rsidRDefault="007E6C17" w:rsidP="00A24AD9">
      <w:pPr>
        <w:pStyle w:val="Heading3"/>
        <w:spacing w:line="276" w:lineRule="auto"/>
      </w:pPr>
      <w:bookmarkStart w:id="25" w:name="_Toc62130369"/>
      <w:r>
        <w:t>Evidence of service</w:t>
      </w:r>
      <w:bookmarkEnd w:id="25"/>
      <w:r>
        <w:t xml:space="preserve"> </w:t>
      </w:r>
    </w:p>
    <w:p w14:paraId="350765B2" w14:textId="77777777" w:rsidR="00363A24" w:rsidRPr="003C4B1E" w:rsidRDefault="00363A24" w:rsidP="00A24AD9">
      <w:pPr>
        <w:spacing w:after="240"/>
        <w:rPr>
          <w:rFonts w:eastAsia="Times New Roman" w:cs="Arial"/>
          <w:szCs w:val="24"/>
          <w:lang w:eastAsia="en-AU"/>
        </w:rPr>
      </w:pPr>
      <w:r w:rsidRPr="003C4B1E">
        <w:rPr>
          <w:rFonts w:eastAsia="Times New Roman" w:cs="Arial"/>
          <w:szCs w:val="24"/>
          <w:lang w:eastAsia="en-AU"/>
        </w:rPr>
        <w:t>The Provider Payment Assurance Program confirm</w:t>
      </w:r>
      <w:r w:rsidR="004638C4">
        <w:rPr>
          <w:rFonts w:eastAsia="Times New Roman" w:cs="Arial"/>
          <w:szCs w:val="24"/>
          <w:lang w:eastAsia="en-AU"/>
        </w:rPr>
        <w:t>s</w:t>
      </w:r>
      <w:r w:rsidRPr="003C4B1E">
        <w:rPr>
          <w:rFonts w:eastAsia="Times New Roman" w:cs="Arial"/>
          <w:szCs w:val="24"/>
          <w:lang w:eastAsia="en-AU"/>
        </w:rPr>
        <w:t xml:space="preserve"> the accuracy of payment requests submitted by registered providers.</w:t>
      </w:r>
      <w:r w:rsidR="00A65A25" w:rsidRPr="003C4B1E">
        <w:rPr>
          <w:rFonts w:eastAsia="Times New Roman" w:cs="Arial"/>
          <w:szCs w:val="24"/>
          <w:lang w:eastAsia="en-AU"/>
        </w:rPr>
        <w:t xml:space="preserve"> </w:t>
      </w:r>
      <w:r w:rsidRPr="003C4B1E">
        <w:rPr>
          <w:rFonts w:eastAsia="Times New Roman" w:cs="Arial"/>
          <w:szCs w:val="24"/>
          <w:lang w:eastAsia="en-AU"/>
        </w:rPr>
        <w:t>Providers must keep full and accurate records of supp</w:t>
      </w:r>
      <w:r w:rsidR="00A65A25" w:rsidRPr="003C4B1E">
        <w:rPr>
          <w:rFonts w:eastAsia="Times New Roman" w:cs="Arial"/>
          <w:szCs w:val="24"/>
          <w:lang w:eastAsia="en-AU"/>
        </w:rPr>
        <w:t>orts delivered</w:t>
      </w:r>
      <w:r w:rsidRPr="003C4B1E">
        <w:rPr>
          <w:rFonts w:eastAsia="Times New Roman" w:cs="Arial"/>
          <w:szCs w:val="24"/>
          <w:lang w:eastAsia="en-AU"/>
        </w:rPr>
        <w:t xml:space="preserve">. Failure to do so may result in </w:t>
      </w:r>
      <w:r w:rsidR="00EA5048" w:rsidRPr="003C4B1E">
        <w:rPr>
          <w:rFonts w:eastAsia="Times New Roman" w:cs="Arial"/>
          <w:szCs w:val="24"/>
          <w:lang w:eastAsia="en-AU"/>
        </w:rPr>
        <w:t>repayment</w:t>
      </w:r>
      <w:r w:rsidRPr="003C4B1E">
        <w:rPr>
          <w:rFonts w:eastAsia="Times New Roman" w:cs="Arial"/>
          <w:szCs w:val="24"/>
          <w:lang w:eastAsia="en-AU"/>
        </w:rPr>
        <w:t xml:space="preserve"> to the NDIA.</w:t>
      </w:r>
    </w:p>
    <w:p w14:paraId="77D52B96" w14:textId="77777777" w:rsidR="00363A24" w:rsidRPr="003C4B1E" w:rsidRDefault="00A65A25" w:rsidP="00A24AD9">
      <w:pPr>
        <w:rPr>
          <w:rFonts w:eastAsia="Times New Roman" w:cs="Arial"/>
          <w:szCs w:val="24"/>
          <w:lang w:eastAsia="en-AU"/>
        </w:rPr>
      </w:pPr>
      <w:r w:rsidRPr="003C4B1E">
        <w:rPr>
          <w:rFonts w:eastAsia="Times New Roman" w:cs="Arial"/>
          <w:szCs w:val="24"/>
          <w:lang w:eastAsia="en-AU"/>
        </w:rPr>
        <w:t xml:space="preserve">The provision of most </w:t>
      </w:r>
      <w:r w:rsidR="001D2B41" w:rsidRPr="003C4B1E">
        <w:rPr>
          <w:rFonts w:eastAsia="Times New Roman" w:cs="Arial"/>
          <w:szCs w:val="24"/>
          <w:lang w:eastAsia="en-AU"/>
        </w:rPr>
        <w:t xml:space="preserve">core </w:t>
      </w:r>
      <w:r w:rsidRPr="003C4B1E">
        <w:rPr>
          <w:rFonts w:eastAsia="Times New Roman" w:cs="Arial"/>
          <w:szCs w:val="24"/>
          <w:lang w:eastAsia="en-AU"/>
        </w:rPr>
        <w:t xml:space="preserve">supports </w:t>
      </w:r>
      <w:r w:rsidR="001D2B41" w:rsidRPr="003C4B1E">
        <w:rPr>
          <w:rFonts w:eastAsia="Times New Roman" w:cs="Arial"/>
          <w:szCs w:val="24"/>
          <w:lang w:eastAsia="en-AU"/>
        </w:rPr>
        <w:t>can be</w:t>
      </w:r>
      <w:r w:rsidR="00E82A6B" w:rsidRPr="003C4B1E">
        <w:rPr>
          <w:rFonts w:eastAsia="Times New Roman" w:cs="Arial"/>
          <w:szCs w:val="24"/>
          <w:lang w:eastAsia="en-AU"/>
        </w:rPr>
        <w:t xml:space="preserve"> evidenced through a service a</w:t>
      </w:r>
      <w:r w:rsidR="00363A24" w:rsidRPr="003C4B1E">
        <w:rPr>
          <w:rFonts w:eastAsia="Times New Roman" w:cs="Arial"/>
          <w:szCs w:val="24"/>
          <w:lang w:eastAsia="en-AU"/>
        </w:rPr>
        <w:t>gre</w:t>
      </w:r>
      <w:r w:rsidRPr="003C4B1E">
        <w:rPr>
          <w:rFonts w:eastAsia="Times New Roman" w:cs="Arial"/>
          <w:szCs w:val="24"/>
          <w:lang w:eastAsia="en-AU"/>
        </w:rPr>
        <w:t>ement and staff rosters or logs</w:t>
      </w:r>
      <w:r w:rsidR="001D2B41" w:rsidRPr="003C4B1E">
        <w:rPr>
          <w:rFonts w:eastAsia="Times New Roman" w:cs="Arial"/>
          <w:szCs w:val="24"/>
          <w:lang w:eastAsia="en-AU"/>
        </w:rPr>
        <w:t>, some complex core supports may also require a case note or report.</w:t>
      </w:r>
    </w:p>
    <w:p w14:paraId="47F61619" w14:textId="77777777" w:rsidR="00363A24" w:rsidRDefault="00363A24" w:rsidP="00A24AD9">
      <w:r>
        <w:t xml:space="preserve">More information about payment assurance and supporting documentation can be found on the </w:t>
      </w:r>
      <w:hyperlink r:id="rId31" w:anchor="providerpaymentassuranceprogram" w:history="1">
        <w:r w:rsidR="0034171E">
          <w:rPr>
            <w:rStyle w:val="Hyperlink"/>
          </w:rPr>
          <w:t>Getting paid page of the NDIS website</w:t>
        </w:r>
      </w:hyperlink>
      <w:r>
        <w:t>.</w:t>
      </w:r>
    </w:p>
    <w:p w14:paraId="46BA999E" w14:textId="77777777" w:rsidR="007E6C17" w:rsidRDefault="00BF0A5F" w:rsidP="00A24AD9">
      <w:pPr>
        <w:pStyle w:val="Heading2"/>
        <w:spacing w:line="276" w:lineRule="auto"/>
        <w:rPr>
          <w:rFonts w:eastAsia="Times New Roman"/>
          <w:lang w:eastAsia="en-AU"/>
        </w:rPr>
      </w:pPr>
      <w:bookmarkStart w:id="26" w:name="_Toc62130370"/>
      <w:r>
        <w:t xml:space="preserve">Additional </w:t>
      </w:r>
      <w:r w:rsidR="00FA1A9D">
        <w:t>resources</w:t>
      </w:r>
      <w:bookmarkEnd w:id="26"/>
    </w:p>
    <w:p w14:paraId="7FA428BF" w14:textId="77777777" w:rsidR="007E6C17" w:rsidRPr="003C4B1E" w:rsidRDefault="007E6C17" w:rsidP="00A24AD9">
      <w:pPr>
        <w:spacing w:after="240"/>
        <w:rPr>
          <w:rFonts w:eastAsia="Times New Roman" w:cs="Arial"/>
          <w:szCs w:val="24"/>
          <w:lang w:eastAsia="en-AU"/>
        </w:rPr>
      </w:pPr>
      <w:r w:rsidRPr="003C4B1E">
        <w:rPr>
          <w:rFonts w:eastAsia="Times New Roman" w:cs="Arial"/>
          <w:szCs w:val="24"/>
          <w:lang w:eastAsia="en-AU"/>
        </w:rPr>
        <w:t xml:space="preserve">The changes to </w:t>
      </w:r>
      <w:r w:rsidR="00DA28C5">
        <w:rPr>
          <w:rFonts w:eastAsia="Times New Roman" w:cs="Arial"/>
          <w:szCs w:val="24"/>
          <w:lang w:eastAsia="en-AU"/>
        </w:rPr>
        <w:t>s</w:t>
      </w:r>
      <w:r w:rsidRPr="003C4B1E">
        <w:rPr>
          <w:rFonts w:eastAsia="Times New Roman" w:cs="Arial"/>
          <w:szCs w:val="24"/>
          <w:lang w:eastAsia="en-AU"/>
        </w:rPr>
        <w:t xml:space="preserve">upports in </w:t>
      </w:r>
      <w:r w:rsidR="00DA28C5">
        <w:rPr>
          <w:rFonts w:eastAsia="Times New Roman" w:cs="Arial"/>
          <w:szCs w:val="24"/>
          <w:lang w:eastAsia="en-AU"/>
        </w:rPr>
        <w:t>e</w:t>
      </w:r>
      <w:r w:rsidR="00DA28C5" w:rsidRPr="003C4B1E">
        <w:rPr>
          <w:rFonts w:eastAsia="Times New Roman" w:cs="Arial"/>
          <w:szCs w:val="24"/>
          <w:lang w:eastAsia="en-AU"/>
        </w:rPr>
        <w:t xml:space="preserve">mployment </w:t>
      </w:r>
      <w:r w:rsidR="001303BF">
        <w:rPr>
          <w:rFonts w:eastAsia="Times New Roman" w:cs="Arial"/>
          <w:szCs w:val="24"/>
          <w:lang w:eastAsia="en-AU"/>
        </w:rPr>
        <w:t>are</w:t>
      </w:r>
      <w:r w:rsidR="00E82A6B" w:rsidRPr="003C4B1E">
        <w:rPr>
          <w:rFonts w:eastAsia="Times New Roman" w:cs="Arial"/>
          <w:szCs w:val="24"/>
          <w:lang w:eastAsia="en-AU"/>
        </w:rPr>
        <w:t xml:space="preserve"> effective from</w:t>
      </w:r>
      <w:r w:rsidRPr="003C4B1E">
        <w:rPr>
          <w:rFonts w:eastAsia="Times New Roman" w:cs="Arial"/>
          <w:szCs w:val="24"/>
          <w:lang w:eastAsia="en-AU"/>
        </w:rPr>
        <w:t xml:space="preserve"> 1 July 2020. </w:t>
      </w:r>
    </w:p>
    <w:p w14:paraId="57BC2C3C" w14:textId="77777777" w:rsidR="007E6C17" w:rsidRPr="003C4B1E" w:rsidRDefault="00CC10FE" w:rsidP="00A24AD9">
      <w:pPr>
        <w:spacing w:after="240"/>
        <w:rPr>
          <w:rFonts w:eastAsia="Times New Roman" w:cs="Arial"/>
          <w:szCs w:val="24"/>
          <w:lang w:eastAsia="en-AU"/>
        </w:rPr>
      </w:pPr>
      <w:r w:rsidRPr="003C4B1E">
        <w:rPr>
          <w:rFonts w:eastAsia="Times New Roman" w:cs="Arial"/>
          <w:szCs w:val="24"/>
          <w:lang w:eastAsia="en-AU"/>
        </w:rPr>
        <w:t>W</w:t>
      </w:r>
      <w:r w:rsidR="0025684B" w:rsidRPr="003C4B1E">
        <w:rPr>
          <w:rFonts w:eastAsia="Times New Roman" w:cs="Arial"/>
          <w:szCs w:val="24"/>
          <w:lang w:eastAsia="en-AU"/>
        </w:rPr>
        <w:t xml:space="preserve">e have </w:t>
      </w:r>
      <w:r w:rsidR="007E6C17" w:rsidRPr="003C4B1E">
        <w:rPr>
          <w:rFonts w:eastAsia="Times New Roman" w:cs="Arial"/>
          <w:szCs w:val="24"/>
          <w:lang w:eastAsia="en-AU"/>
        </w:rPr>
        <w:t xml:space="preserve">dedicated staff </w:t>
      </w:r>
      <w:r w:rsidR="0025684B" w:rsidRPr="003C4B1E">
        <w:rPr>
          <w:rFonts w:eastAsia="Times New Roman" w:cs="Arial"/>
          <w:szCs w:val="24"/>
          <w:lang w:eastAsia="en-AU"/>
        </w:rPr>
        <w:t xml:space="preserve">to </w:t>
      </w:r>
      <w:r w:rsidR="007E6C17" w:rsidRPr="003C4B1E">
        <w:rPr>
          <w:rFonts w:eastAsia="Times New Roman" w:cs="Arial"/>
          <w:szCs w:val="24"/>
          <w:lang w:eastAsia="en-AU"/>
        </w:rPr>
        <w:t>answer queries that you may have</w:t>
      </w:r>
      <w:r w:rsidR="008F61CE" w:rsidRPr="003C4B1E">
        <w:rPr>
          <w:rFonts w:eastAsia="Times New Roman" w:cs="Arial"/>
          <w:szCs w:val="24"/>
          <w:lang w:eastAsia="en-AU"/>
        </w:rPr>
        <w:t>. T</w:t>
      </w:r>
      <w:r w:rsidR="0025684B" w:rsidRPr="003C4B1E">
        <w:rPr>
          <w:rFonts w:eastAsia="Times New Roman" w:cs="Arial"/>
          <w:szCs w:val="24"/>
          <w:lang w:eastAsia="en-AU"/>
        </w:rPr>
        <w:t xml:space="preserve">his could be </w:t>
      </w:r>
      <w:r w:rsidR="007E6C17" w:rsidRPr="003C4B1E">
        <w:rPr>
          <w:rFonts w:eastAsia="Times New Roman" w:cs="Arial"/>
          <w:szCs w:val="24"/>
          <w:lang w:eastAsia="en-AU"/>
        </w:rPr>
        <w:t xml:space="preserve">either your </w:t>
      </w:r>
      <w:r w:rsidR="00DA1208">
        <w:rPr>
          <w:rFonts w:eastAsia="Times New Roman" w:cs="Arial"/>
          <w:szCs w:val="24"/>
          <w:lang w:eastAsia="en-AU"/>
        </w:rPr>
        <w:t>p</w:t>
      </w:r>
      <w:r w:rsidR="00DA1208" w:rsidRPr="003C4B1E">
        <w:rPr>
          <w:rFonts w:eastAsia="Times New Roman" w:cs="Arial"/>
          <w:szCs w:val="24"/>
          <w:lang w:eastAsia="en-AU"/>
        </w:rPr>
        <w:t xml:space="preserve">rovider </w:t>
      </w:r>
      <w:r w:rsidR="00DA1208">
        <w:rPr>
          <w:rFonts w:eastAsia="Times New Roman" w:cs="Arial"/>
          <w:szCs w:val="24"/>
          <w:lang w:eastAsia="en-AU"/>
        </w:rPr>
        <w:t>r</w:t>
      </w:r>
      <w:r w:rsidR="00DA1208" w:rsidRPr="003C4B1E">
        <w:rPr>
          <w:rFonts w:eastAsia="Times New Roman" w:cs="Arial"/>
          <w:szCs w:val="24"/>
          <w:lang w:eastAsia="en-AU"/>
        </w:rPr>
        <w:t xml:space="preserve">elationship </w:t>
      </w:r>
      <w:r w:rsidR="00DA1208">
        <w:rPr>
          <w:rFonts w:eastAsia="Times New Roman" w:cs="Arial"/>
          <w:szCs w:val="24"/>
          <w:lang w:eastAsia="en-AU"/>
        </w:rPr>
        <w:t>m</w:t>
      </w:r>
      <w:r w:rsidR="00DA1208" w:rsidRPr="003C4B1E">
        <w:rPr>
          <w:rFonts w:eastAsia="Times New Roman" w:cs="Arial"/>
          <w:szCs w:val="24"/>
          <w:lang w:eastAsia="en-AU"/>
        </w:rPr>
        <w:t xml:space="preserve">anager </w:t>
      </w:r>
      <w:r w:rsidR="00E82A6B" w:rsidRPr="003C4B1E">
        <w:rPr>
          <w:rFonts w:eastAsia="Times New Roman" w:cs="Arial"/>
          <w:szCs w:val="24"/>
          <w:lang w:eastAsia="en-AU"/>
        </w:rPr>
        <w:t xml:space="preserve">or </w:t>
      </w:r>
      <w:r w:rsidR="008F61CE" w:rsidRPr="003C4B1E">
        <w:rPr>
          <w:rFonts w:eastAsia="Times New Roman" w:cs="Arial"/>
          <w:szCs w:val="24"/>
          <w:lang w:eastAsia="en-AU"/>
        </w:rPr>
        <w:t xml:space="preserve">a </w:t>
      </w:r>
      <w:r w:rsidR="00E82A6B" w:rsidRPr="003C4B1E">
        <w:rPr>
          <w:rFonts w:eastAsia="Times New Roman" w:cs="Arial"/>
          <w:szCs w:val="24"/>
          <w:lang w:eastAsia="en-AU"/>
        </w:rPr>
        <w:t xml:space="preserve">member of </w:t>
      </w:r>
      <w:r w:rsidR="008F61CE" w:rsidRPr="003C4B1E">
        <w:rPr>
          <w:rFonts w:eastAsia="Times New Roman" w:cs="Arial"/>
          <w:szCs w:val="24"/>
          <w:lang w:eastAsia="en-AU"/>
        </w:rPr>
        <w:t xml:space="preserve">your </w:t>
      </w:r>
      <w:r w:rsidR="0025684B" w:rsidRPr="003C4B1E">
        <w:rPr>
          <w:rFonts w:eastAsia="Times New Roman" w:cs="Arial"/>
          <w:szCs w:val="24"/>
          <w:lang w:eastAsia="en-AU"/>
        </w:rPr>
        <w:t xml:space="preserve">local </w:t>
      </w:r>
      <w:r w:rsidR="00E82A6B" w:rsidRPr="003C4B1E">
        <w:rPr>
          <w:rFonts w:eastAsia="Times New Roman" w:cs="Arial"/>
          <w:szCs w:val="24"/>
          <w:lang w:eastAsia="en-AU"/>
        </w:rPr>
        <w:t xml:space="preserve">Provider Engagement </w:t>
      </w:r>
      <w:r w:rsidR="00A11DD3" w:rsidRPr="003C4B1E">
        <w:rPr>
          <w:rFonts w:eastAsia="Times New Roman" w:cs="Arial"/>
          <w:szCs w:val="24"/>
          <w:lang w:eastAsia="en-AU"/>
        </w:rPr>
        <w:t>team</w:t>
      </w:r>
      <w:r w:rsidR="007E6C17" w:rsidRPr="003C4B1E">
        <w:rPr>
          <w:rFonts w:eastAsia="Times New Roman" w:cs="Arial"/>
          <w:szCs w:val="24"/>
          <w:lang w:eastAsia="en-AU"/>
        </w:rPr>
        <w:t>.</w:t>
      </w:r>
    </w:p>
    <w:p w14:paraId="68F9D595" w14:textId="77777777" w:rsidR="007E6C17" w:rsidRPr="003C4B1E" w:rsidRDefault="007E6C17" w:rsidP="00A24AD9">
      <w:pPr>
        <w:spacing w:after="240"/>
        <w:rPr>
          <w:rFonts w:eastAsia="Times New Roman" w:cs="Arial"/>
          <w:szCs w:val="24"/>
          <w:lang w:eastAsia="en-AU"/>
        </w:rPr>
      </w:pPr>
      <w:r w:rsidRPr="003C4B1E">
        <w:rPr>
          <w:rFonts w:eastAsia="Times New Roman" w:cs="Arial"/>
          <w:szCs w:val="24"/>
          <w:lang w:eastAsia="en-AU"/>
        </w:rPr>
        <w:t xml:space="preserve">For enquiries or for more information, please email </w:t>
      </w:r>
      <w:hyperlink r:id="rId32" w:history="1">
        <w:r w:rsidR="00922866" w:rsidRPr="003C4B1E">
          <w:rPr>
            <w:rStyle w:val="Hyperlink"/>
            <w:rFonts w:eastAsia="Times New Roman" w:cs="Arial"/>
            <w:color w:val="auto"/>
            <w:szCs w:val="24"/>
            <w:lang w:eastAsia="en-AU"/>
          </w:rPr>
          <w:t>provider.support@ndis.gov.au</w:t>
        </w:r>
      </w:hyperlink>
      <w:r w:rsidR="002F3A5F" w:rsidRPr="003C4B1E">
        <w:rPr>
          <w:rFonts w:eastAsia="Times New Roman" w:cs="Arial"/>
          <w:szCs w:val="24"/>
          <w:lang w:eastAsia="en-AU"/>
        </w:rPr>
        <w:t xml:space="preserve">  </w:t>
      </w:r>
    </w:p>
    <w:p w14:paraId="5383A286" w14:textId="77777777" w:rsidR="007E6C17" w:rsidRPr="003C4B1E" w:rsidRDefault="007E6C17" w:rsidP="00A24AD9">
      <w:pPr>
        <w:spacing w:after="240"/>
        <w:rPr>
          <w:rFonts w:eastAsia="Times New Roman" w:cs="Arial"/>
          <w:szCs w:val="24"/>
          <w:lang w:eastAsia="en-AU"/>
        </w:rPr>
      </w:pPr>
      <w:r w:rsidRPr="003C4B1E">
        <w:rPr>
          <w:rFonts w:eastAsia="Times New Roman" w:cs="Arial"/>
          <w:szCs w:val="24"/>
          <w:lang w:eastAsia="en-AU"/>
        </w:rPr>
        <w:t xml:space="preserve">For </w:t>
      </w:r>
      <w:r w:rsidR="001D2B41">
        <w:rPr>
          <w:rFonts w:eastAsia="Times New Roman" w:cs="Arial"/>
          <w:szCs w:val="24"/>
          <w:lang w:eastAsia="en-AU"/>
        </w:rPr>
        <w:t>more information:</w:t>
      </w:r>
    </w:p>
    <w:p w14:paraId="7BFED002" w14:textId="77777777" w:rsidR="00507502" w:rsidRPr="00787063" w:rsidRDefault="00507502" w:rsidP="00507502">
      <w:pPr>
        <w:pStyle w:val="ListParagraph"/>
        <w:numPr>
          <w:ilvl w:val="0"/>
          <w:numId w:val="33"/>
        </w:numPr>
        <w:spacing w:after="200"/>
        <w:rPr>
          <w:rStyle w:val="Heading2Char"/>
        </w:rPr>
      </w:pPr>
      <w:r>
        <w:t xml:space="preserve">NDIS </w:t>
      </w:r>
      <w:hyperlink r:id="rId33" w:history="1">
        <w:r w:rsidRPr="000262BE">
          <w:rPr>
            <w:rStyle w:val="Hyperlink"/>
          </w:rPr>
          <w:t>Participant Employment Strategy</w:t>
        </w:r>
      </w:hyperlink>
    </w:p>
    <w:p w14:paraId="797EDB0D" w14:textId="77777777" w:rsidR="007E6C17" w:rsidRPr="00AE794C" w:rsidRDefault="001D2B41" w:rsidP="00787063">
      <w:pPr>
        <w:pStyle w:val="ListParagraph"/>
        <w:numPr>
          <w:ilvl w:val="0"/>
          <w:numId w:val="33"/>
        </w:numPr>
        <w:spacing w:after="240"/>
        <w:rPr>
          <w:rStyle w:val="Hyperlink"/>
        </w:rPr>
      </w:pPr>
      <w:r>
        <w:rPr>
          <w:rFonts w:eastAsia="Times New Roman"/>
          <w:color w:val="222222"/>
          <w:szCs w:val="24"/>
          <w:lang w:eastAsia="en-AU"/>
        </w:rPr>
        <w:t xml:space="preserve">NDIS </w:t>
      </w:r>
      <w:r w:rsidR="00EC3FCC">
        <w:rPr>
          <w:rFonts w:eastAsia="Times New Roman"/>
          <w:color w:val="222222"/>
          <w:szCs w:val="24"/>
          <w:lang w:eastAsia="en-AU"/>
        </w:rPr>
        <w:fldChar w:fldCharType="begin"/>
      </w:r>
      <w:r w:rsidR="00EC3FCC">
        <w:rPr>
          <w:rFonts w:eastAsia="Times New Roman"/>
          <w:color w:val="222222"/>
          <w:szCs w:val="24"/>
          <w:lang w:eastAsia="en-AU"/>
        </w:rPr>
        <w:instrText xml:space="preserve"> HYPERLINK "https://www.ndis.gov.au/providers/price-guides-and-pricing/annual-price-review/annual-price-review-consultation" </w:instrText>
      </w:r>
      <w:r w:rsidR="00EC3FCC">
        <w:rPr>
          <w:rFonts w:eastAsia="Times New Roman"/>
          <w:color w:val="222222"/>
          <w:szCs w:val="24"/>
          <w:lang w:eastAsia="en-AU"/>
        </w:rPr>
        <w:fldChar w:fldCharType="separate"/>
      </w:r>
      <w:r w:rsidR="007E6C17" w:rsidRPr="00AE794C">
        <w:rPr>
          <w:rStyle w:val="Hyperlink"/>
        </w:rPr>
        <w:t>Annual Price Review Report</w:t>
      </w:r>
      <w:r>
        <w:rPr>
          <w:rStyle w:val="Hyperlink"/>
        </w:rPr>
        <w:t xml:space="preserve"> </w:t>
      </w:r>
    </w:p>
    <w:p w14:paraId="12A68B85" w14:textId="77777777" w:rsidR="007E6C17" w:rsidRPr="00AE794C" w:rsidRDefault="00EC3FCC" w:rsidP="00A24AD9">
      <w:pPr>
        <w:pStyle w:val="ListParagraph"/>
        <w:numPr>
          <w:ilvl w:val="0"/>
          <w:numId w:val="33"/>
        </w:numPr>
        <w:spacing w:after="240"/>
        <w:rPr>
          <w:rStyle w:val="Hyperlink"/>
        </w:rPr>
      </w:pPr>
      <w:r>
        <w:rPr>
          <w:rFonts w:eastAsia="Times New Roman"/>
          <w:color w:val="222222"/>
          <w:szCs w:val="24"/>
          <w:lang w:eastAsia="en-AU"/>
        </w:rPr>
        <w:fldChar w:fldCharType="end"/>
      </w:r>
      <w:r>
        <w:rPr>
          <w:rFonts w:eastAsia="Times New Roman"/>
          <w:color w:val="222222"/>
          <w:szCs w:val="24"/>
          <w:lang w:eastAsia="en-AU"/>
        </w:rPr>
        <w:fldChar w:fldCharType="begin"/>
      </w:r>
      <w:r w:rsidR="00787063">
        <w:rPr>
          <w:rFonts w:eastAsia="Times New Roman"/>
          <w:color w:val="222222"/>
          <w:szCs w:val="24"/>
          <w:lang w:eastAsia="en-AU"/>
        </w:rPr>
        <w:instrText>HYPERLINK "https://www.ndis.gov.au/providers/price-guides-and-pricing/annual-price-review/2019-20-annual-price-review"</w:instrText>
      </w:r>
      <w:r>
        <w:rPr>
          <w:rFonts w:eastAsia="Times New Roman"/>
          <w:color w:val="222222"/>
          <w:szCs w:val="24"/>
          <w:lang w:eastAsia="en-AU"/>
        </w:rPr>
        <w:fldChar w:fldCharType="separate"/>
      </w:r>
      <w:r w:rsidR="007E6C17" w:rsidRPr="00AE794C">
        <w:rPr>
          <w:rStyle w:val="Hyperlink"/>
        </w:rPr>
        <w:t>Summary of Annual Price Review 20</w:t>
      </w:r>
      <w:r w:rsidR="00787063">
        <w:rPr>
          <w:rStyle w:val="Hyperlink"/>
        </w:rPr>
        <w:t>20-21</w:t>
      </w:r>
      <w:r w:rsidR="007E6C17" w:rsidRPr="00AE794C">
        <w:rPr>
          <w:rStyle w:val="Hyperlink"/>
        </w:rPr>
        <w:t xml:space="preserve"> outcomes</w:t>
      </w:r>
    </w:p>
    <w:p w14:paraId="1A43224B" w14:textId="3A0C0FF7" w:rsidR="007E6C17" w:rsidRPr="003C4B1E" w:rsidRDefault="00EC3FCC" w:rsidP="00A24AD9">
      <w:pPr>
        <w:pStyle w:val="ListParagraph"/>
        <w:numPr>
          <w:ilvl w:val="0"/>
          <w:numId w:val="33"/>
        </w:numPr>
        <w:spacing w:after="240"/>
        <w:rPr>
          <w:color w:val="222222"/>
        </w:rPr>
      </w:pPr>
      <w:r>
        <w:rPr>
          <w:rFonts w:eastAsia="Times New Roman"/>
          <w:color w:val="222222"/>
          <w:szCs w:val="24"/>
          <w:lang w:eastAsia="en-AU"/>
        </w:rPr>
        <w:fldChar w:fldCharType="end"/>
      </w:r>
      <w:hyperlink r:id="rId34" w:history="1">
        <w:r w:rsidR="007E6C17" w:rsidRPr="00787063">
          <w:rPr>
            <w:rStyle w:val="Hyperlink"/>
          </w:rPr>
          <w:t>NDIS Pric</w:t>
        </w:r>
        <w:r w:rsidR="00A326AF">
          <w:rPr>
            <w:rStyle w:val="Hyperlink"/>
          </w:rPr>
          <w:t>ing Arrangements and Price Limits</w:t>
        </w:r>
        <w:r w:rsidR="007E6C17" w:rsidRPr="00787063">
          <w:rPr>
            <w:rStyle w:val="Hyperlink"/>
          </w:rPr>
          <w:t xml:space="preserve"> and Support Catalogue</w:t>
        </w:r>
      </w:hyperlink>
    </w:p>
    <w:p w14:paraId="1C875AD5" w14:textId="7E150EBB" w:rsidR="002969F1" w:rsidRPr="00D26BAD" w:rsidRDefault="00AA13D0" w:rsidP="003C4B1E">
      <w:pPr>
        <w:pStyle w:val="ListParagraph"/>
        <w:numPr>
          <w:ilvl w:val="0"/>
          <w:numId w:val="33"/>
        </w:numPr>
        <w:spacing w:after="200"/>
        <w:rPr>
          <w:rStyle w:val="Hyperlink"/>
          <w:color w:val="auto"/>
          <w:u w:val="none"/>
        </w:rPr>
      </w:pPr>
      <w:hyperlink r:id="rId35" w:history="1">
        <w:r w:rsidR="007E6C17" w:rsidRPr="00AE794C">
          <w:rPr>
            <w:rStyle w:val="Hyperlink"/>
          </w:rPr>
          <w:t xml:space="preserve">Understanding </w:t>
        </w:r>
        <w:r w:rsidR="00A326AF">
          <w:rPr>
            <w:rStyle w:val="Hyperlink"/>
          </w:rPr>
          <w:t>p</w:t>
        </w:r>
        <w:r w:rsidR="007E6C17" w:rsidRPr="00AE794C">
          <w:rPr>
            <w:rStyle w:val="Hyperlink"/>
          </w:rPr>
          <w:t>ric</w:t>
        </w:r>
        <w:r w:rsidR="00A326AF">
          <w:rPr>
            <w:rStyle w:val="Hyperlink"/>
          </w:rPr>
          <w:t>ing changes</w:t>
        </w:r>
        <w:bookmarkStart w:id="27" w:name="_GoBack"/>
        <w:bookmarkEnd w:id="27"/>
        <w:r w:rsidR="007E6C17" w:rsidRPr="00AE794C">
          <w:rPr>
            <w:rStyle w:val="Hyperlink"/>
          </w:rPr>
          <w:t>—for participants</w:t>
        </w:r>
      </w:hyperlink>
    </w:p>
    <w:p w14:paraId="1862BBA0" w14:textId="531B6DCD" w:rsidR="00987CB3" w:rsidRPr="00477609" w:rsidRDefault="00ED6D37" w:rsidP="00FE263F">
      <w:pPr>
        <w:pStyle w:val="ListParagraph"/>
        <w:numPr>
          <w:ilvl w:val="0"/>
          <w:numId w:val="33"/>
        </w:numPr>
        <w:spacing w:after="0"/>
      </w:pPr>
      <w:hyperlink r:id="rId36" w:history="1">
        <w:r w:rsidR="0004164D" w:rsidRPr="0004164D">
          <w:rPr>
            <w:rStyle w:val="Hyperlink"/>
          </w:rPr>
          <w:t>Reasonable and necessary explained</w:t>
        </w:r>
      </w:hyperlink>
      <w:bookmarkStart w:id="28" w:name="_Appendix_A:_Further"/>
      <w:bookmarkStart w:id="29" w:name="_Attachment_B:_Participant"/>
      <w:bookmarkStart w:id="30" w:name="_Attachment_C:_Easy"/>
      <w:bookmarkEnd w:id="28"/>
      <w:bookmarkEnd w:id="29"/>
      <w:bookmarkEnd w:id="30"/>
    </w:p>
    <w:sectPr w:rsidR="00987CB3" w:rsidRPr="00477609" w:rsidSect="004E79AC">
      <w:headerReference w:type="even" r:id="rId37"/>
      <w:headerReference w:type="default" r:id="rId38"/>
      <w:footerReference w:type="even" r:id="rId39"/>
      <w:footerReference w:type="default" r:id="rId40"/>
      <w:headerReference w:type="first" r:id="rId41"/>
      <w:footerReference w:type="first" r:id="rId42"/>
      <w:pgSz w:w="11906" w:h="16838" w:code="9"/>
      <w:pgMar w:top="142" w:right="1133" w:bottom="1276" w:left="993" w:header="0"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6AB4C" w14:textId="77777777" w:rsidR="00B662ED" w:rsidRDefault="00B662ED" w:rsidP="002679FC">
      <w:r>
        <w:separator/>
      </w:r>
    </w:p>
  </w:endnote>
  <w:endnote w:type="continuationSeparator" w:id="0">
    <w:p w14:paraId="0992EA87" w14:textId="77777777" w:rsidR="00B662ED" w:rsidRDefault="00B662ED"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1772" w14:textId="77777777" w:rsidR="006B66EB" w:rsidRDefault="006B6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B2976"/>
      </w:rPr>
      <w:id w:val="1709065011"/>
      <w:docPartObj>
        <w:docPartGallery w:val="Page Numbers (Top of Page)"/>
        <w:docPartUnique/>
      </w:docPartObj>
    </w:sdtPr>
    <w:sdtEndPr/>
    <w:sdtContent>
      <w:p w14:paraId="54FE07A5" w14:textId="7F3FCD1C" w:rsidR="00244989" w:rsidRPr="003C7526" w:rsidRDefault="00244989" w:rsidP="00244989">
        <w:pPr>
          <w:pStyle w:val="Footer"/>
          <w:tabs>
            <w:tab w:val="clear" w:pos="4513"/>
            <w:tab w:val="clear" w:pos="9026"/>
          </w:tabs>
          <w:rPr>
            <w:color w:val="6B2976"/>
          </w:rPr>
        </w:pPr>
        <w:r w:rsidRPr="00244989">
          <w:rPr>
            <w:color w:val="6B2976"/>
          </w:rPr>
          <w:t xml:space="preserve"> </w:t>
        </w:r>
        <w:sdt>
          <w:sdtPr>
            <w:rPr>
              <w:color w:val="6B2976"/>
            </w:rPr>
            <w:id w:val="1327548300"/>
            <w:docPartObj>
              <w:docPartGallery w:val="Page Numbers (Top of Page)"/>
              <w:docPartUnique/>
            </w:docPartObj>
          </w:sdtPr>
          <w:sdtEndPr/>
          <w:sdtContent>
            <w:r w:rsidRPr="003C7526">
              <w:rPr>
                <w:color w:val="6B2976"/>
              </w:rPr>
              <w:t xml:space="preserve">Supports in </w:t>
            </w:r>
            <w:r>
              <w:rPr>
                <w:color w:val="6B2976"/>
              </w:rPr>
              <w:t>employment provider h</w:t>
            </w:r>
            <w:r w:rsidRPr="003C7526">
              <w:rPr>
                <w:color w:val="6B2976"/>
              </w:rPr>
              <w:t>andbook</w:t>
            </w:r>
            <w:r>
              <w:rPr>
                <w:color w:val="6B2976"/>
              </w:rPr>
              <w:t xml:space="preserve"> | January 2021</w:t>
            </w:r>
            <w:r w:rsidRPr="003C7526">
              <w:rPr>
                <w:noProof/>
                <w:color w:val="6B2976"/>
              </w:rPr>
              <w:tab/>
            </w:r>
            <w:r>
              <w:rPr>
                <w:noProof/>
                <w:color w:val="6B2976"/>
              </w:rPr>
              <w:tab/>
            </w:r>
            <w:r>
              <w:rPr>
                <w:noProof/>
                <w:color w:val="6B2976"/>
              </w:rPr>
              <w:tab/>
            </w:r>
            <w:r w:rsidRPr="003C7526">
              <w:rPr>
                <w:color w:val="6B2976"/>
              </w:rPr>
              <w:t xml:space="preserve">Page </w:t>
            </w:r>
            <w:r w:rsidRPr="003C7526">
              <w:rPr>
                <w:bCs/>
                <w:color w:val="6B2976"/>
              </w:rPr>
              <w:fldChar w:fldCharType="begin"/>
            </w:r>
            <w:r w:rsidRPr="003C7526">
              <w:rPr>
                <w:bCs/>
                <w:color w:val="6B2976"/>
              </w:rPr>
              <w:instrText xml:space="preserve"> PAGE </w:instrText>
            </w:r>
            <w:r w:rsidRPr="003C7526">
              <w:rPr>
                <w:bCs/>
                <w:color w:val="6B2976"/>
              </w:rPr>
              <w:fldChar w:fldCharType="separate"/>
            </w:r>
            <w:r w:rsidR="00ED6D37">
              <w:rPr>
                <w:bCs/>
                <w:noProof/>
                <w:color w:val="6B2976"/>
              </w:rPr>
              <w:t>14</w:t>
            </w:r>
            <w:r w:rsidRPr="003C7526">
              <w:rPr>
                <w:bCs/>
                <w:color w:val="6B2976"/>
              </w:rPr>
              <w:fldChar w:fldCharType="end"/>
            </w:r>
            <w:r w:rsidRPr="003C7526">
              <w:rPr>
                <w:color w:val="6B2976"/>
              </w:rPr>
              <w:t xml:space="preserve"> of </w:t>
            </w:r>
            <w:r w:rsidRPr="003C7526">
              <w:rPr>
                <w:bCs/>
                <w:color w:val="6B2976"/>
              </w:rPr>
              <w:fldChar w:fldCharType="begin"/>
            </w:r>
            <w:r w:rsidRPr="003C7526">
              <w:rPr>
                <w:bCs/>
                <w:color w:val="6B2976"/>
              </w:rPr>
              <w:instrText xml:space="preserve"> NUMPAGES  </w:instrText>
            </w:r>
            <w:r w:rsidRPr="003C7526">
              <w:rPr>
                <w:bCs/>
                <w:color w:val="6B2976"/>
              </w:rPr>
              <w:fldChar w:fldCharType="separate"/>
            </w:r>
            <w:r w:rsidR="00ED6D37">
              <w:rPr>
                <w:bCs/>
                <w:noProof/>
                <w:color w:val="6B2976"/>
              </w:rPr>
              <w:t>14</w:t>
            </w:r>
            <w:r w:rsidRPr="003C7526">
              <w:rPr>
                <w:bCs/>
                <w:color w:val="6B2976"/>
              </w:rPr>
              <w:fldChar w:fldCharType="end"/>
            </w:r>
          </w:sdtContent>
        </w:sdt>
      </w:p>
      <w:p w14:paraId="3024DD05" w14:textId="50960D7C" w:rsidR="00244989" w:rsidRPr="003C7526" w:rsidRDefault="00ED6D37" w:rsidP="00FE3BA7">
        <w:pPr>
          <w:pStyle w:val="Footer"/>
          <w:rPr>
            <w:color w:val="6B2976"/>
          </w:rPr>
        </w:pPr>
      </w:p>
    </w:sdtContent>
  </w:sdt>
  <w:p w14:paraId="113FD77F" w14:textId="77777777" w:rsidR="00244989" w:rsidRPr="00FE3BA7" w:rsidRDefault="00244989" w:rsidP="00FE3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B2976"/>
      </w:rPr>
      <w:id w:val="-1850708374"/>
      <w:docPartObj>
        <w:docPartGallery w:val="Page Numbers (Top of Page)"/>
        <w:docPartUnique/>
      </w:docPartObj>
    </w:sdtPr>
    <w:sdtEndPr/>
    <w:sdtContent>
      <w:p w14:paraId="1F6DED31" w14:textId="55100E74" w:rsidR="00FE3BA7" w:rsidRPr="003C7526" w:rsidRDefault="006B66EB" w:rsidP="002E4512">
        <w:pPr>
          <w:pStyle w:val="Footer"/>
          <w:tabs>
            <w:tab w:val="clear" w:pos="4513"/>
            <w:tab w:val="clear" w:pos="9026"/>
          </w:tabs>
          <w:rPr>
            <w:color w:val="6B2976"/>
          </w:rPr>
        </w:pPr>
        <w:r w:rsidRPr="009E0049">
          <w:rPr>
            <w:rFonts w:cs="Arial"/>
            <w:b/>
            <w:noProof/>
            <w:color w:val="6B2976"/>
            <w:lang w:eastAsia="en-AU"/>
          </w:rPr>
          <w:drawing>
            <wp:anchor distT="0" distB="0" distL="114300" distR="114300" simplePos="0" relativeHeight="251659264" behindDoc="1" locked="0" layoutInCell="1" allowOverlap="1" wp14:anchorId="5754BDB4" wp14:editId="5FD7BD1C">
              <wp:simplePos x="0" y="0"/>
              <wp:positionH relativeFrom="column">
                <wp:posOffset>5184140</wp:posOffset>
              </wp:positionH>
              <wp:positionV relativeFrom="paragraph">
                <wp:posOffset>-170180</wp:posOffset>
              </wp:positionV>
              <wp:extent cx="1176020" cy="636270"/>
              <wp:effectExtent l="0" t="0" r="5080" b="0"/>
              <wp:wrapTight wrapText="bothSides">
                <wp:wrapPolygon edited="0">
                  <wp:start x="0" y="0"/>
                  <wp:lineTo x="0" y="20695"/>
                  <wp:lineTo x="21343" y="20695"/>
                  <wp:lineTo x="21343" y="0"/>
                  <wp:lineTo x="0" y="0"/>
                </wp:wrapPolygon>
              </wp:wrapTight>
              <wp:docPr id="29" name="Picture 29"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636270"/>
                      </a:xfrm>
                      <a:prstGeom prst="rect">
                        <a:avLst/>
                      </a:prstGeom>
                    </pic:spPr>
                  </pic:pic>
                </a:graphicData>
              </a:graphic>
              <wp14:sizeRelH relativeFrom="page">
                <wp14:pctWidth>0</wp14:pctWidth>
              </wp14:sizeRelH>
              <wp14:sizeRelV relativeFrom="page">
                <wp14:pctHeight>0</wp14:pctHeight>
              </wp14:sizeRelV>
            </wp:anchor>
          </w:drawing>
        </w:r>
        <w:r w:rsidR="00FE3BA7" w:rsidRPr="003C7526">
          <w:rPr>
            <w:color w:val="6B2976"/>
          </w:rPr>
          <w:t xml:space="preserve">Supports in </w:t>
        </w:r>
        <w:r w:rsidR="00FE3BA7">
          <w:rPr>
            <w:color w:val="6B2976"/>
          </w:rPr>
          <w:t>employment provider h</w:t>
        </w:r>
        <w:r w:rsidR="00FE3BA7" w:rsidRPr="003C7526">
          <w:rPr>
            <w:color w:val="6B2976"/>
          </w:rPr>
          <w:t>andbook</w:t>
        </w:r>
        <w:r w:rsidR="00FE3BA7">
          <w:rPr>
            <w:color w:val="6B2976"/>
          </w:rPr>
          <w:t xml:space="preserve"> | January 2021</w:t>
        </w:r>
        <w:r>
          <w:rPr>
            <w:color w:val="6B2976"/>
          </w:rPr>
          <w:t xml:space="preserve"> </w:t>
        </w:r>
        <w:r w:rsidR="00FE3BA7" w:rsidRPr="003C7526">
          <w:rPr>
            <w:color w:val="6B2976"/>
          </w:rPr>
          <w:t xml:space="preserve">Page </w:t>
        </w:r>
        <w:r w:rsidR="00FE3BA7" w:rsidRPr="003C7526">
          <w:rPr>
            <w:bCs/>
            <w:color w:val="6B2976"/>
          </w:rPr>
          <w:fldChar w:fldCharType="begin"/>
        </w:r>
        <w:r w:rsidR="00FE3BA7" w:rsidRPr="003C7526">
          <w:rPr>
            <w:bCs/>
            <w:color w:val="6B2976"/>
          </w:rPr>
          <w:instrText xml:space="preserve"> PAGE </w:instrText>
        </w:r>
        <w:r w:rsidR="00FE3BA7" w:rsidRPr="003C7526">
          <w:rPr>
            <w:bCs/>
            <w:color w:val="6B2976"/>
          </w:rPr>
          <w:fldChar w:fldCharType="separate"/>
        </w:r>
        <w:r w:rsidR="00ED6D37">
          <w:rPr>
            <w:bCs/>
            <w:noProof/>
            <w:color w:val="6B2976"/>
          </w:rPr>
          <w:t>1</w:t>
        </w:r>
        <w:r w:rsidR="00FE3BA7" w:rsidRPr="003C7526">
          <w:rPr>
            <w:bCs/>
            <w:color w:val="6B2976"/>
          </w:rPr>
          <w:fldChar w:fldCharType="end"/>
        </w:r>
        <w:r w:rsidR="00FE3BA7" w:rsidRPr="003C7526">
          <w:rPr>
            <w:color w:val="6B2976"/>
          </w:rPr>
          <w:t xml:space="preserve"> of </w:t>
        </w:r>
        <w:r w:rsidR="00FE3BA7" w:rsidRPr="003C7526">
          <w:rPr>
            <w:bCs/>
            <w:color w:val="6B2976"/>
          </w:rPr>
          <w:fldChar w:fldCharType="begin"/>
        </w:r>
        <w:r w:rsidR="00FE3BA7" w:rsidRPr="003C7526">
          <w:rPr>
            <w:bCs/>
            <w:color w:val="6B2976"/>
          </w:rPr>
          <w:instrText xml:space="preserve"> NUMPAGES  </w:instrText>
        </w:r>
        <w:r w:rsidR="00FE3BA7" w:rsidRPr="003C7526">
          <w:rPr>
            <w:bCs/>
            <w:color w:val="6B2976"/>
          </w:rPr>
          <w:fldChar w:fldCharType="separate"/>
        </w:r>
        <w:r w:rsidR="00ED6D37">
          <w:rPr>
            <w:bCs/>
            <w:noProof/>
            <w:color w:val="6B2976"/>
          </w:rPr>
          <w:t>14</w:t>
        </w:r>
        <w:r w:rsidR="00FE3BA7" w:rsidRPr="003C7526">
          <w:rPr>
            <w:bCs/>
            <w:color w:val="6B2976"/>
          </w:rPr>
          <w:fldChar w:fldCharType="end"/>
        </w:r>
        <w:r>
          <w:rPr>
            <w:bCs/>
            <w:color w:val="6B2976"/>
          </w:rPr>
          <w:t xml:space="preserve"> </w:t>
        </w:r>
      </w:p>
    </w:sdtContent>
  </w:sdt>
  <w:p w14:paraId="57313E20" w14:textId="75CA378B" w:rsidR="00FE3BA7" w:rsidRPr="004D5F80" w:rsidRDefault="00FE3BA7" w:rsidP="004D5F80">
    <w:pPr>
      <w:pStyle w:val="Footer"/>
      <w:jc w:val="right"/>
      <w:rPr>
        <w:noProof/>
        <w:color w:val="652F76"/>
      </w:rPr>
    </w:pPr>
    <w:r w:rsidDel="00A03A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9585" w14:textId="77777777" w:rsidR="00B662ED" w:rsidRDefault="00B662ED" w:rsidP="002679FC">
      <w:r>
        <w:separator/>
      </w:r>
    </w:p>
  </w:footnote>
  <w:footnote w:type="continuationSeparator" w:id="0">
    <w:p w14:paraId="5EE6B135" w14:textId="77777777" w:rsidR="00B662ED" w:rsidRDefault="00B662ED"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A55E" w14:textId="77777777" w:rsidR="006B66EB" w:rsidRDefault="006B6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BB7B" w14:textId="77777777" w:rsidR="00FA1A9D" w:rsidRPr="000C464C" w:rsidRDefault="00FA1A9D" w:rsidP="000C464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4F09" w14:textId="77777777" w:rsidR="006B66EB" w:rsidRDefault="006B6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736583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4D40B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654E5"/>
    <w:multiLevelType w:val="hybridMultilevel"/>
    <w:tmpl w:val="5246B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0FD1DA9"/>
    <w:multiLevelType w:val="hybridMultilevel"/>
    <w:tmpl w:val="0146223E"/>
    <w:lvl w:ilvl="0" w:tplc="0C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E7C40"/>
    <w:multiLevelType w:val="hybridMultilevel"/>
    <w:tmpl w:val="E85CB922"/>
    <w:lvl w:ilvl="0" w:tplc="C35E701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170C4D"/>
    <w:multiLevelType w:val="hybridMultilevel"/>
    <w:tmpl w:val="3E00056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11884DA6"/>
    <w:multiLevelType w:val="hybridMultilevel"/>
    <w:tmpl w:val="19C8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8744F"/>
    <w:multiLevelType w:val="hybridMultilevel"/>
    <w:tmpl w:val="032AC44C"/>
    <w:lvl w:ilvl="0" w:tplc="0CDCD27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0C7919"/>
    <w:multiLevelType w:val="hybridMultilevel"/>
    <w:tmpl w:val="F6329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053EBF"/>
    <w:multiLevelType w:val="hybridMultilevel"/>
    <w:tmpl w:val="BD48F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EA3B4D"/>
    <w:multiLevelType w:val="hybridMultilevel"/>
    <w:tmpl w:val="71F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95714"/>
    <w:multiLevelType w:val="multilevel"/>
    <w:tmpl w:val="C056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2F4F6F"/>
    <w:multiLevelType w:val="hybridMultilevel"/>
    <w:tmpl w:val="549C58A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F304B"/>
    <w:multiLevelType w:val="hybridMultilevel"/>
    <w:tmpl w:val="DE480AA8"/>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6" w15:restartNumberingAfterBreak="0">
    <w:nsid w:val="1E8C1F3E"/>
    <w:multiLevelType w:val="hybridMultilevel"/>
    <w:tmpl w:val="8EE8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D5584C"/>
    <w:multiLevelType w:val="hybridMultilevel"/>
    <w:tmpl w:val="60B6B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CB6387"/>
    <w:multiLevelType w:val="hybridMultilevel"/>
    <w:tmpl w:val="E7B23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1663F5"/>
    <w:multiLevelType w:val="hybridMultilevel"/>
    <w:tmpl w:val="38BC0070"/>
    <w:lvl w:ilvl="0" w:tplc="405426B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6E2617"/>
    <w:multiLevelType w:val="hybridMultilevel"/>
    <w:tmpl w:val="162E3C04"/>
    <w:lvl w:ilvl="0" w:tplc="2F5AF232">
      <w:start w:val="9"/>
      <w:numFmt w:val="bullet"/>
      <w:lvlText w:val="-"/>
      <w:lvlJc w:val="left"/>
      <w:pPr>
        <w:ind w:left="720" w:hanging="360"/>
      </w:pPr>
      <w:rPr>
        <w:rFonts w:ascii="Arial" w:eastAsiaTheme="minorHAnsi"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74746"/>
    <w:multiLevelType w:val="multilevel"/>
    <w:tmpl w:val="125EF0B8"/>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B14517D"/>
    <w:multiLevelType w:val="hybridMultilevel"/>
    <w:tmpl w:val="D9A2DB82"/>
    <w:lvl w:ilvl="0" w:tplc="0C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2B2C61CA"/>
    <w:multiLevelType w:val="hybridMultilevel"/>
    <w:tmpl w:val="DA5A4DAC"/>
    <w:lvl w:ilvl="0" w:tplc="3A16DBE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271589"/>
    <w:multiLevelType w:val="hybridMultilevel"/>
    <w:tmpl w:val="DAAC7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07A6300"/>
    <w:multiLevelType w:val="hybridMultilevel"/>
    <w:tmpl w:val="A07E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A44A4C"/>
    <w:multiLevelType w:val="hybridMultilevel"/>
    <w:tmpl w:val="28943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DF5DF9"/>
    <w:multiLevelType w:val="hybridMultilevel"/>
    <w:tmpl w:val="E6829404"/>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A05C2F"/>
    <w:multiLevelType w:val="hybridMultilevel"/>
    <w:tmpl w:val="63948FC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A16149"/>
    <w:multiLevelType w:val="hybridMultilevel"/>
    <w:tmpl w:val="DDCC6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C0144B4"/>
    <w:multiLevelType w:val="hybridMultilevel"/>
    <w:tmpl w:val="FC1C7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584982"/>
    <w:multiLevelType w:val="hybridMultilevel"/>
    <w:tmpl w:val="6DCA778A"/>
    <w:lvl w:ilvl="0" w:tplc="69DA2FB2">
      <w:start w:val="1"/>
      <w:numFmt w:val="bullet"/>
      <w:lvlText w:val="•"/>
      <w:lvlJc w:val="left"/>
      <w:pPr>
        <w:tabs>
          <w:tab w:val="num" w:pos="720"/>
        </w:tabs>
        <w:ind w:left="720" w:hanging="360"/>
      </w:pPr>
      <w:rPr>
        <w:rFonts w:ascii="Arial" w:hAnsi="Arial" w:hint="default"/>
      </w:rPr>
    </w:lvl>
    <w:lvl w:ilvl="1" w:tplc="3514943C" w:tentative="1">
      <w:start w:val="1"/>
      <w:numFmt w:val="bullet"/>
      <w:lvlText w:val="•"/>
      <w:lvlJc w:val="left"/>
      <w:pPr>
        <w:tabs>
          <w:tab w:val="num" w:pos="1440"/>
        </w:tabs>
        <w:ind w:left="1440" w:hanging="360"/>
      </w:pPr>
      <w:rPr>
        <w:rFonts w:ascii="Arial" w:hAnsi="Arial" w:hint="default"/>
      </w:rPr>
    </w:lvl>
    <w:lvl w:ilvl="2" w:tplc="5F7458DC" w:tentative="1">
      <w:start w:val="1"/>
      <w:numFmt w:val="bullet"/>
      <w:lvlText w:val="•"/>
      <w:lvlJc w:val="left"/>
      <w:pPr>
        <w:tabs>
          <w:tab w:val="num" w:pos="2160"/>
        </w:tabs>
        <w:ind w:left="2160" w:hanging="360"/>
      </w:pPr>
      <w:rPr>
        <w:rFonts w:ascii="Arial" w:hAnsi="Arial" w:hint="default"/>
      </w:rPr>
    </w:lvl>
    <w:lvl w:ilvl="3" w:tplc="6226D528" w:tentative="1">
      <w:start w:val="1"/>
      <w:numFmt w:val="bullet"/>
      <w:lvlText w:val="•"/>
      <w:lvlJc w:val="left"/>
      <w:pPr>
        <w:tabs>
          <w:tab w:val="num" w:pos="2880"/>
        </w:tabs>
        <w:ind w:left="2880" w:hanging="360"/>
      </w:pPr>
      <w:rPr>
        <w:rFonts w:ascii="Arial" w:hAnsi="Arial" w:hint="default"/>
      </w:rPr>
    </w:lvl>
    <w:lvl w:ilvl="4" w:tplc="D73A6FF6" w:tentative="1">
      <w:start w:val="1"/>
      <w:numFmt w:val="bullet"/>
      <w:lvlText w:val="•"/>
      <w:lvlJc w:val="left"/>
      <w:pPr>
        <w:tabs>
          <w:tab w:val="num" w:pos="3600"/>
        </w:tabs>
        <w:ind w:left="3600" w:hanging="360"/>
      </w:pPr>
      <w:rPr>
        <w:rFonts w:ascii="Arial" w:hAnsi="Arial" w:hint="default"/>
      </w:rPr>
    </w:lvl>
    <w:lvl w:ilvl="5" w:tplc="A4B660D4" w:tentative="1">
      <w:start w:val="1"/>
      <w:numFmt w:val="bullet"/>
      <w:lvlText w:val="•"/>
      <w:lvlJc w:val="left"/>
      <w:pPr>
        <w:tabs>
          <w:tab w:val="num" w:pos="4320"/>
        </w:tabs>
        <w:ind w:left="4320" w:hanging="360"/>
      </w:pPr>
      <w:rPr>
        <w:rFonts w:ascii="Arial" w:hAnsi="Arial" w:hint="default"/>
      </w:rPr>
    </w:lvl>
    <w:lvl w:ilvl="6" w:tplc="04EACC96" w:tentative="1">
      <w:start w:val="1"/>
      <w:numFmt w:val="bullet"/>
      <w:lvlText w:val="•"/>
      <w:lvlJc w:val="left"/>
      <w:pPr>
        <w:tabs>
          <w:tab w:val="num" w:pos="5040"/>
        </w:tabs>
        <w:ind w:left="5040" w:hanging="360"/>
      </w:pPr>
      <w:rPr>
        <w:rFonts w:ascii="Arial" w:hAnsi="Arial" w:hint="default"/>
      </w:rPr>
    </w:lvl>
    <w:lvl w:ilvl="7" w:tplc="4AC4B85A" w:tentative="1">
      <w:start w:val="1"/>
      <w:numFmt w:val="bullet"/>
      <w:lvlText w:val="•"/>
      <w:lvlJc w:val="left"/>
      <w:pPr>
        <w:tabs>
          <w:tab w:val="num" w:pos="5760"/>
        </w:tabs>
        <w:ind w:left="5760" w:hanging="360"/>
      </w:pPr>
      <w:rPr>
        <w:rFonts w:ascii="Arial" w:hAnsi="Arial" w:hint="default"/>
      </w:rPr>
    </w:lvl>
    <w:lvl w:ilvl="8" w:tplc="0A8867B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BC5A8B"/>
    <w:multiLevelType w:val="hybridMultilevel"/>
    <w:tmpl w:val="99667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3514A25"/>
    <w:multiLevelType w:val="hybridMultilevel"/>
    <w:tmpl w:val="8B3C1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36705DE"/>
    <w:multiLevelType w:val="hybridMultilevel"/>
    <w:tmpl w:val="92180DFC"/>
    <w:lvl w:ilvl="0" w:tplc="0C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5" w15:restartNumberingAfterBreak="0">
    <w:nsid w:val="446C37BC"/>
    <w:multiLevelType w:val="hybridMultilevel"/>
    <w:tmpl w:val="47F289F4"/>
    <w:lvl w:ilvl="0" w:tplc="0C090001">
      <w:start w:val="1"/>
      <w:numFmt w:val="bullet"/>
      <w:lvlText w:val=""/>
      <w:lvlJc w:val="left"/>
      <w:pPr>
        <w:ind w:left="720" w:hanging="360"/>
      </w:pPr>
      <w:rPr>
        <w:rFonts w:ascii="Symbol" w:hAnsi="Symbol" w:hint="default"/>
      </w:rPr>
    </w:lvl>
    <w:lvl w:ilvl="1" w:tplc="525E4714">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F54033"/>
    <w:multiLevelType w:val="hybridMultilevel"/>
    <w:tmpl w:val="DB7CE5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455460AE"/>
    <w:multiLevelType w:val="hybridMultilevel"/>
    <w:tmpl w:val="859A0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56D2252"/>
    <w:multiLevelType w:val="hybridMultilevel"/>
    <w:tmpl w:val="9E8868D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4BE95BAC"/>
    <w:multiLevelType w:val="hybridMultilevel"/>
    <w:tmpl w:val="35CE8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1A11C4"/>
    <w:multiLevelType w:val="hybridMultilevel"/>
    <w:tmpl w:val="14F0797C"/>
    <w:lvl w:ilvl="0" w:tplc="927627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2C3C52"/>
    <w:multiLevelType w:val="hybridMultilevel"/>
    <w:tmpl w:val="B184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217617"/>
    <w:multiLevelType w:val="hybridMultilevel"/>
    <w:tmpl w:val="5AF026B2"/>
    <w:lvl w:ilvl="0" w:tplc="DF4C03CE">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4470B9"/>
    <w:multiLevelType w:val="hybridMultilevel"/>
    <w:tmpl w:val="677A3F6A"/>
    <w:lvl w:ilvl="0" w:tplc="42DA1348">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046D1A"/>
    <w:multiLevelType w:val="hybridMultilevel"/>
    <w:tmpl w:val="4664F3BA"/>
    <w:lvl w:ilvl="0" w:tplc="D3305268">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D0028A"/>
    <w:multiLevelType w:val="hybridMultilevel"/>
    <w:tmpl w:val="08FC1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0986357"/>
    <w:multiLevelType w:val="hybridMultilevel"/>
    <w:tmpl w:val="849CEE9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7" w15:restartNumberingAfterBreak="0">
    <w:nsid w:val="60DE7EA6"/>
    <w:multiLevelType w:val="hybridMultilevel"/>
    <w:tmpl w:val="CEFE5E24"/>
    <w:lvl w:ilvl="0" w:tplc="0C09000F">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674E6F27"/>
    <w:multiLevelType w:val="hybridMultilevel"/>
    <w:tmpl w:val="004017A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6BC535EE"/>
    <w:multiLevelType w:val="hybridMultilevel"/>
    <w:tmpl w:val="8E525A22"/>
    <w:lvl w:ilvl="0" w:tplc="B7E421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E423074"/>
    <w:multiLevelType w:val="multilevel"/>
    <w:tmpl w:val="1FB81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0B55AB"/>
    <w:multiLevelType w:val="hybridMultilevel"/>
    <w:tmpl w:val="A77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827EC"/>
    <w:multiLevelType w:val="hybridMultilevel"/>
    <w:tmpl w:val="9502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624129D"/>
    <w:multiLevelType w:val="hybridMultilevel"/>
    <w:tmpl w:val="B832E2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71E11FF"/>
    <w:multiLevelType w:val="multilevel"/>
    <w:tmpl w:val="2738E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9154C3"/>
    <w:multiLevelType w:val="hybridMultilevel"/>
    <w:tmpl w:val="5156A686"/>
    <w:lvl w:ilvl="0" w:tplc="D8F27BB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A900EE"/>
    <w:multiLevelType w:val="hybridMultilevel"/>
    <w:tmpl w:val="ADE840CE"/>
    <w:lvl w:ilvl="0" w:tplc="332A38D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B6B05B5"/>
    <w:multiLevelType w:val="hybridMultilevel"/>
    <w:tmpl w:val="58A08700"/>
    <w:lvl w:ilvl="0" w:tplc="0C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 w:numId="3">
    <w:abstractNumId w:val="6"/>
  </w:num>
  <w:num w:numId="4">
    <w:abstractNumId w:val="30"/>
  </w:num>
  <w:num w:numId="5">
    <w:abstractNumId w:val="27"/>
  </w:num>
  <w:num w:numId="6">
    <w:abstractNumId w:val="31"/>
  </w:num>
  <w:num w:numId="7">
    <w:abstractNumId w:val="15"/>
  </w:num>
  <w:num w:numId="8">
    <w:abstractNumId w:val="46"/>
  </w:num>
  <w:num w:numId="9">
    <w:abstractNumId w:val="10"/>
  </w:num>
  <w:num w:numId="10">
    <w:abstractNumId w:val="8"/>
  </w:num>
  <w:num w:numId="11">
    <w:abstractNumId w:val="56"/>
  </w:num>
  <w:num w:numId="12">
    <w:abstractNumId w:val="42"/>
  </w:num>
  <w:num w:numId="13">
    <w:abstractNumId w:val="43"/>
  </w:num>
  <w:num w:numId="14">
    <w:abstractNumId w:val="23"/>
  </w:num>
  <w:num w:numId="15">
    <w:abstractNumId w:val="44"/>
  </w:num>
  <w:num w:numId="16">
    <w:abstractNumId w:val="4"/>
  </w:num>
  <w:num w:numId="17">
    <w:abstractNumId w:val="19"/>
  </w:num>
  <w:num w:numId="18">
    <w:abstractNumId w:val="53"/>
  </w:num>
  <w:num w:numId="19">
    <w:abstractNumId w:val="54"/>
  </w:num>
  <w:num w:numId="20">
    <w:abstractNumId w:val="21"/>
  </w:num>
  <w:num w:numId="21">
    <w:abstractNumId w:val="45"/>
  </w:num>
  <w:num w:numId="22">
    <w:abstractNumId w:val="2"/>
  </w:num>
  <w:num w:numId="23">
    <w:abstractNumId w:val="37"/>
  </w:num>
  <w:num w:numId="24">
    <w:abstractNumId w:val="24"/>
  </w:num>
  <w:num w:numId="25">
    <w:abstractNumId w:val="18"/>
  </w:num>
  <w:num w:numId="26">
    <w:abstractNumId w:val="41"/>
  </w:num>
  <w:num w:numId="27">
    <w:abstractNumId w:val="26"/>
  </w:num>
  <w:num w:numId="28">
    <w:abstractNumId w:val="39"/>
  </w:num>
  <w:num w:numId="29">
    <w:abstractNumId w:val="16"/>
  </w:num>
  <w:num w:numId="30">
    <w:abstractNumId w:val="49"/>
  </w:num>
  <w:num w:numId="31">
    <w:abstractNumId w:val="13"/>
  </w:num>
  <w:num w:numId="32">
    <w:abstractNumId w:val="55"/>
  </w:num>
  <w:num w:numId="33">
    <w:abstractNumId w:val="50"/>
  </w:num>
  <w:num w:numId="34">
    <w:abstractNumId w:val="36"/>
  </w:num>
  <w:num w:numId="35">
    <w:abstractNumId w:val="33"/>
  </w:num>
  <w:num w:numId="36">
    <w:abstractNumId w:val="20"/>
  </w:num>
  <w:num w:numId="37">
    <w:abstractNumId w:val="57"/>
  </w:num>
  <w:num w:numId="38">
    <w:abstractNumId w:val="36"/>
  </w:num>
  <w:num w:numId="39">
    <w:abstractNumId w:val="33"/>
  </w:num>
  <w:num w:numId="40">
    <w:abstractNumId w:val="17"/>
  </w:num>
  <w:num w:numId="41">
    <w:abstractNumId w:val="9"/>
  </w:num>
  <w:num w:numId="42">
    <w:abstractNumId w:val="11"/>
  </w:num>
  <w:num w:numId="43">
    <w:abstractNumId w:val="7"/>
  </w:num>
  <w:num w:numId="44">
    <w:abstractNumId w:val="48"/>
  </w:num>
  <w:num w:numId="45">
    <w:abstractNumId w:val="34"/>
  </w:num>
  <w:num w:numId="46">
    <w:abstractNumId w:val="58"/>
  </w:num>
  <w:num w:numId="47">
    <w:abstractNumId w:val="22"/>
  </w:num>
  <w:num w:numId="48">
    <w:abstractNumId w:val="28"/>
  </w:num>
  <w:num w:numId="49">
    <w:abstractNumId w:val="40"/>
  </w:num>
  <w:num w:numId="50">
    <w:abstractNumId w:val="3"/>
  </w:num>
  <w:num w:numId="51">
    <w:abstractNumId w:val="5"/>
  </w:num>
  <w:num w:numId="52">
    <w:abstractNumId w:val="14"/>
  </w:num>
  <w:num w:numId="53">
    <w:abstractNumId w:val="35"/>
  </w:num>
  <w:num w:numId="54">
    <w:abstractNumId w:val="38"/>
  </w:num>
  <w:num w:numId="55">
    <w:abstractNumId w:val="32"/>
  </w:num>
  <w:num w:numId="56">
    <w:abstractNumId w:val="29"/>
  </w:num>
  <w:num w:numId="57">
    <w:abstractNumId w:val="25"/>
  </w:num>
  <w:num w:numId="58">
    <w:abstractNumId w:val="47"/>
  </w:num>
  <w:num w:numId="59">
    <w:abstractNumId w:val="52"/>
  </w:num>
  <w:num w:numId="60">
    <w:abstractNumId w:val="51"/>
  </w:num>
  <w:num w:numId="61">
    <w:abstractNumId w:val="12"/>
  </w:num>
  <w:num w:numId="62">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81">
      <o:colormenu v:ext="edit" fillcolor="none [320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504F"/>
    <w:rsid w:val="00007005"/>
    <w:rsid w:val="00012F34"/>
    <w:rsid w:val="00016C7E"/>
    <w:rsid w:val="000250AA"/>
    <w:rsid w:val="00025150"/>
    <w:rsid w:val="00025AD3"/>
    <w:rsid w:val="000262BE"/>
    <w:rsid w:val="00026CB6"/>
    <w:rsid w:val="00031012"/>
    <w:rsid w:val="00032816"/>
    <w:rsid w:val="00032B2E"/>
    <w:rsid w:val="000335B0"/>
    <w:rsid w:val="000341FA"/>
    <w:rsid w:val="00034556"/>
    <w:rsid w:val="00035452"/>
    <w:rsid w:val="00037CDE"/>
    <w:rsid w:val="0004041A"/>
    <w:rsid w:val="0004164D"/>
    <w:rsid w:val="00044302"/>
    <w:rsid w:val="00047F28"/>
    <w:rsid w:val="00054670"/>
    <w:rsid w:val="00055DE0"/>
    <w:rsid w:val="000577C6"/>
    <w:rsid w:val="0006310F"/>
    <w:rsid w:val="00073AEE"/>
    <w:rsid w:val="00075713"/>
    <w:rsid w:val="000817B1"/>
    <w:rsid w:val="00083898"/>
    <w:rsid w:val="00084211"/>
    <w:rsid w:val="000849C9"/>
    <w:rsid w:val="00084A38"/>
    <w:rsid w:val="00086C37"/>
    <w:rsid w:val="00086DEA"/>
    <w:rsid w:val="0008787E"/>
    <w:rsid w:val="00087956"/>
    <w:rsid w:val="00094695"/>
    <w:rsid w:val="00095F64"/>
    <w:rsid w:val="000A0272"/>
    <w:rsid w:val="000A1FC4"/>
    <w:rsid w:val="000A327E"/>
    <w:rsid w:val="000A3577"/>
    <w:rsid w:val="000A6287"/>
    <w:rsid w:val="000B0780"/>
    <w:rsid w:val="000B0E70"/>
    <w:rsid w:val="000B21FD"/>
    <w:rsid w:val="000B3941"/>
    <w:rsid w:val="000B4A3D"/>
    <w:rsid w:val="000B4E58"/>
    <w:rsid w:val="000B6520"/>
    <w:rsid w:val="000B6847"/>
    <w:rsid w:val="000B6C8D"/>
    <w:rsid w:val="000C0701"/>
    <w:rsid w:val="000C0AC3"/>
    <w:rsid w:val="000C191C"/>
    <w:rsid w:val="000C1B20"/>
    <w:rsid w:val="000C464C"/>
    <w:rsid w:val="000C4E04"/>
    <w:rsid w:val="000C6366"/>
    <w:rsid w:val="000D0FC0"/>
    <w:rsid w:val="000D18F8"/>
    <w:rsid w:val="000D3F57"/>
    <w:rsid w:val="000D630E"/>
    <w:rsid w:val="000D6988"/>
    <w:rsid w:val="000E035E"/>
    <w:rsid w:val="000E315D"/>
    <w:rsid w:val="000E440E"/>
    <w:rsid w:val="000E4C08"/>
    <w:rsid w:val="000E4D56"/>
    <w:rsid w:val="000E57FA"/>
    <w:rsid w:val="000F2F3C"/>
    <w:rsid w:val="000F3515"/>
    <w:rsid w:val="00100DF2"/>
    <w:rsid w:val="00102321"/>
    <w:rsid w:val="00106886"/>
    <w:rsid w:val="00110E80"/>
    <w:rsid w:val="00114B1B"/>
    <w:rsid w:val="00121656"/>
    <w:rsid w:val="00121950"/>
    <w:rsid w:val="00123F96"/>
    <w:rsid w:val="0012608F"/>
    <w:rsid w:val="001303BF"/>
    <w:rsid w:val="00130C6A"/>
    <w:rsid w:val="00132D76"/>
    <w:rsid w:val="00132F70"/>
    <w:rsid w:val="00133E43"/>
    <w:rsid w:val="00143181"/>
    <w:rsid w:val="00143CCF"/>
    <w:rsid w:val="00146C84"/>
    <w:rsid w:val="00151F05"/>
    <w:rsid w:val="00154B79"/>
    <w:rsid w:val="00154E0C"/>
    <w:rsid w:val="00161304"/>
    <w:rsid w:val="00162FD5"/>
    <w:rsid w:val="0016320C"/>
    <w:rsid w:val="00165A0E"/>
    <w:rsid w:val="00172391"/>
    <w:rsid w:val="00180229"/>
    <w:rsid w:val="00182E14"/>
    <w:rsid w:val="001843F0"/>
    <w:rsid w:val="0019471A"/>
    <w:rsid w:val="001A0723"/>
    <w:rsid w:val="001A1AAB"/>
    <w:rsid w:val="001A3BBB"/>
    <w:rsid w:val="001A478C"/>
    <w:rsid w:val="001B0791"/>
    <w:rsid w:val="001B1A4E"/>
    <w:rsid w:val="001B226D"/>
    <w:rsid w:val="001B5111"/>
    <w:rsid w:val="001B5B57"/>
    <w:rsid w:val="001B749A"/>
    <w:rsid w:val="001B7F95"/>
    <w:rsid w:val="001C1184"/>
    <w:rsid w:val="001C3324"/>
    <w:rsid w:val="001C44BC"/>
    <w:rsid w:val="001C4BA8"/>
    <w:rsid w:val="001C5AA7"/>
    <w:rsid w:val="001C6CC3"/>
    <w:rsid w:val="001D00B8"/>
    <w:rsid w:val="001D0361"/>
    <w:rsid w:val="001D0980"/>
    <w:rsid w:val="001D0DEC"/>
    <w:rsid w:val="001D0E41"/>
    <w:rsid w:val="001D1576"/>
    <w:rsid w:val="001D194E"/>
    <w:rsid w:val="001D2B41"/>
    <w:rsid w:val="001D5172"/>
    <w:rsid w:val="001D5D2C"/>
    <w:rsid w:val="001D71F9"/>
    <w:rsid w:val="001D7F8F"/>
    <w:rsid w:val="001E1B96"/>
    <w:rsid w:val="001E2F68"/>
    <w:rsid w:val="001E4035"/>
    <w:rsid w:val="001E4ADA"/>
    <w:rsid w:val="001E594C"/>
    <w:rsid w:val="001E630D"/>
    <w:rsid w:val="001E74E0"/>
    <w:rsid w:val="001F047B"/>
    <w:rsid w:val="001F1E46"/>
    <w:rsid w:val="001F3BDB"/>
    <w:rsid w:val="001F47F1"/>
    <w:rsid w:val="001F5449"/>
    <w:rsid w:val="001F5797"/>
    <w:rsid w:val="00207F6E"/>
    <w:rsid w:val="00210569"/>
    <w:rsid w:val="00211F24"/>
    <w:rsid w:val="002150EA"/>
    <w:rsid w:val="002172BA"/>
    <w:rsid w:val="00217700"/>
    <w:rsid w:val="0022135F"/>
    <w:rsid w:val="002227B2"/>
    <w:rsid w:val="00224522"/>
    <w:rsid w:val="00224ADA"/>
    <w:rsid w:val="002365E1"/>
    <w:rsid w:val="0023664C"/>
    <w:rsid w:val="00237A7F"/>
    <w:rsid w:val="00244789"/>
    <w:rsid w:val="00244989"/>
    <w:rsid w:val="00245C48"/>
    <w:rsid w:val="00250837"/>
    <w:rsid w:val="002514AB"/>
    <w:rsid w:val="00252106"/>
    <w:rsid w:val="002529A9"/>
    <w:rsid w:val="00254561"/>
    <w:rsid w:val="00256829"/>
    <w:rsid w:val="0025684B"/>
    <w:rsid w:val="00256AE2"/>
    <w:rsid w:val="002571BA"/>
    <w:rsid w:val="00261162"/>
    <w:rsid w:val="002653B5"/>
    <w:rsid w:val="00265E2B"/>
    <w:rsid w:val="002679FC"/>
    <w:rsid w:val="00270437"/>
    <w:rsid w:val="00271B55"/>
    <w:rsid w:val="002726D8"/>
    <w:rsid w:val="002728BF"/>
    <w:rsid w:val="00273076"/>
    <w:rsid w:val="00273652"/>
    <w:rsid w:val="002739B2"/>
    <w:rsid w:val="00273DA8"/>
    <w:rsid w:val="00276DE4"/>
    <w:rsid w:val="00281479"/>
    <w:rsid w:val="002817B5"/>
    <w:rsid w:val="00282869"/>
    <w:rsid w:val="0028324D"/>
    <w:rsid w:val="0028467C"/>
    <w:rsid w:val="002855EA"/>
    <w:rsid w:val="00292896"/>
    <w:rsid w:val="0029339F"/>
    <w:rsid w:val="00294341"/>
    <w:rsid w:val="002969F1"/>
    <w:rsid w:val="002A0423"/>
    <w:rsid w:val="002A278B"/>
    <w:rsid w:val="002A32E0"/>
    <w:rsid w:val="002A3E87"/>
    <w:rsid w:val="002A6F61"/>
    <w:rsid w:val="002B170F"/>
    <w:rsid w:val="002B404C"/>
    <w:rsid w:val="002B523C"/>
    <w:rsid w:val="002B5451"/>
    <w:rsid w:val="002B587B"/>
    <w:rsid w:val="002C16AA"/>
    <w:rsid w:val="002C1E16"/>
    <w:rsid w:val="002C2BEE"/>
    <w:rsid w:val="002C3C3A"/>
    <w:rsid w:val="002C43E9"/>
    <w:rsid w:val="002C69FE"/>
    <w:rsid w:val="002D1872"/>
    <w:rsid w:val="002D4EC7"/>
    <w:rsid w:val="002D595E"/>
    <w:rsid w:val="002E09B1"/>
    <w:rsid w:val="002E0D21"/>
    <w:rsid w:val="002E4512"/>
    <w:rsid w:val="002E5705"/>
    <w:rsid w:val="002F2CD7"/>
    <w:rsid w:val="002F2FB9"/>
    <w:rsid w:val="002F33E2"/>
    <w:rsid w:val="002F35EE"/>
    <w:rsid w:val="002F3A5F"/>
    <w:rsid w:val="002F5532"/>
    <w:rsid w:val="002F5818"/>
    <w:rsid w:val="002F5E53"/>
    <w:rsid w:val="00300BFF"/>
    <w:rsid w:val="003018B1"/>
    <w:rsid w:val="00302A71"/>
    <w:rsid w:val="00302F0E"/>
    <w:rsid w:val="003030E9"/>
    <w:rsid w:val="00304C4F"/>
    <w:rsid w:val="0030584A"/>
    <w:rsid w:val="00306FD1"/>
    <w:rsid w:val="0030764F"/>
    <w:rsid w:val="003121F9"/>
    <w:rsid w:val="00313B98"/>
    <w:rsid w:val="00313BD7"/>
    <w:rsid w:val="003231FB"/>
    <w:rsid w:val="0032418A"/>
    <w:rsid w:val="00326AF9"/>
    <w:rsid w:val="00327BCE"/>
    <w:rsid w:val="00337B39"/>
    <w:rsid w:val="0034171E"/>
    <w:rsid w:val="00341725"/>
    <w:rsid w:val="00341FDF"/>
    <w:rsid w:val="00342416"/>
    <w:rsid w:val="0034388C"/>
    <w:rsid w:val="00344666"/>
    <w:rsid w:val="00345170"/>
    <w:rsid w:val="00351376"/>
    <w:rsid w:val="00361163"/>
    <w:rsid w:val="003616AD"/>
    <w:rsid w:val="00361A02"/>
    <w:rsid w:val="003632A3"/>
    <w:rsid w:val="00363A24"/>
    <w:rsid w:val="00363DF4"/>
    <w:rsid w:val="00364A78"/>
    <w:rsid w:val="00365641"/>
    <w:rsid w:val="00366975"/>
    <w:rsid w:val="003720E9"/>
    <w:rsid w:val="0037673C"/>
    <w:rsid w:val="00377306"/>
    <w:rsid w:val="00383283"/>
    <w:rsid w:val="0038421A"/>
    <w:rsid w:val="00390739"/>
    <w:rsid w:val="0039142C"/>
    <w:rsid w:val="00394F42"/>
    <w:rsid w:val="00395A85"/>
    <w:rsid w:val="00396023"/>
    <w:rsid w:val="003964D7"/>
    <w:rsid w:val="003A3E62"/>
    <w:rsid w:val="003A567E"/>
    <w:rsid w:val="003A6DBB"/>
    <w:rsid w:val="003A7798"/>
    <w:rsid w:val="003A7D7B"/>
    <w:rsid w:val="003B00AA"/>
    <w:rsid w:val="003B093E"/>
    <w:rsid w:val="003B2BB8"/>
    <w:rsid w:val="003B3533"/>
    <w:rsid w:val="003B412F"/>
    <w:rsid w:val="003B5DBC"/>
    <w:rsid w:val="003B7279"/>
    <w:rsid w:val="003C2A70"/>
    <w:rsid w:val="003C2DF5"/>
    <w:rsid w:val="003C3D27"/>
    <w:rsid w:val="003C4B1E"/>
    <w:rsid w:val="003C5947"/>
    <w:rsid w:val="003C7526"/>
    <w:rsid w:val="003C782A"/>
    <w:rsid w:val="003D0B16"/>
    <w:rsid w:val="003D34FF"/>
    <w:rsid w:val="003D53D2"/>
    <w:rsid w:val="003E2C55"/>
    <w:rsid w:val="003E3968"/>
    <w:rsid w:val="003E4266"/>
    <w:rsid w:val="003E4A6A"/>
    <w:rsid w:val="003F288B"/>
    <w:rsid w:val="003F38C6"/>
    <w:rsid w:val="003F5265"/>
    <w:rsid w:val="00402269"/>
    <w:rsid w:val="0040385F"/>
    <w:rsid w:val="00403CCC"/>
    <w:rsid w:val="00404B45"/>
    <w:rsid w:val="00405021"/>
    <w:rsid w:val="0040592C"/>
    <w:rsid w:val="00406FDE"/>
    <w:rsid w:val="0041142C"/>
    <w:rsid w:val="00416EC1"/>
    <w:rsid w:val="004170BE"/>
    <w:rsid w:val="00417889"/>
    <w:rsid w:val="00423183"/>
    <w:rsid w:val="0042382A"/>
    <w:rsid w:val="00423CCF"/>
    <w:rsid w:val="00424B01"/>
    <w:rsid w:val="004358F0"/>
    <w:rsid w:val="00436846"/>
    <w:rsid w:val="0043765A"/>
    <w:rsid w:val="00437C7B"/>
    <w:rsid w:val="00437EED"/>
    <w:rsid w:val="00440AD8"/>
    <w:rsid w:val="00443A11"/>
    <w:rsid w:val="00444313"/>
    <w:rsid w:val="00446CBF"/>
    <w:rsid w:val="00446EAD"/>
    <w:rsid w:val="00450831"/>
    <w:rsid w:val="00452099"/>
    <w:rsid w:val="00452497"/>
    <w:rsid w:val="004528EC"/>
    <w:rsid w:val="00454815"/>
    <w:rsid w:val="00457061"/>
    <w:rsid w:val="0046078A"/>
    <w:rsid w:val="00460952"/>
    <w:rsid w:val="00463236"/>
    <w:rsid w:val="004638C4"/>
    <w:rsid w:val="00465A05"/>
    <w:rsid w:val="00465BBD"/>
    <w:rsid w:val="00466E29"/>
    <w:rsid w:val="004724FE"/>
    <w:rsid w:val="0047332B"/>
    <w:rsid w:val="0047386D"/>
    <w:rsid w:val="00474B27"/>
    <w:rsid w:val="00476485"/>
    <w:rsid w:val="00477609"/>
    <w:rsid w:val="00481532"/>
    <w:rsid w:val="004858EF"/>
    <w:rsid w:val="00495BE8"/>
    <w:rsid w:val="004A296B"/>
    <w:rsid w:val="004B0A46"/>
    <w:rsid w:val="004B1E84"/>
    <w:rsid w:val="004B377E"/>
    <w:rsid w:val="004B4DF2"/>
    <w:rsid w:val="004B54CA"/>
    <w:rsid w:val="004B5AE5"/>
    <w:rsid w:val="004B65F6"/>
    <w:rsid w:val="004B73E3"/>
    <w:rsid w:val="004C0733"/>
    <w:rsid w:val="004C0800"/>
    <w:rsid w:val="004C4360"/>
    <w:rsid w:val="004C5511"/>
    <w:rsid w:val="004C5DF9"/>
    <w:rsid w:val="004C6206"/>
    <w:rsid w:val="004D1DE3"/>
    <w:rsid w:val="004D2651"/>
    <w:rsid w:val="004D4966"/>
    <w:rsid w:val="004D5F80"/>
    <w:rsid w:val="004D6A92"/>
    <w:rsid w:val="004D6DDC"/>
    <w:rsid w:val="004E2972"/>
    <w:rsid w:val="004E5A04"/>
    <w:rsid w:val="004E5CBF"/>
    <w:rsid w:val="004E79AC"/>
    <w:rsid w:val="004F23DE"/>
    <w:rsid w:val="004F34B6"/>
    <w:rsid w:val="004F3AE1"/>
    <w:rsid w:val="004F3DF7"/>
    <w:rsid w:val="004F40BE"/>
    <w:rsid w:val="004F5857"/>
    <w:rsid w:val="004F59D8"/>
    <w:rsid w:val="004F67E9"/>
    <w:rsid w:val="004F6A8D"/>
    <w:rsid w:val="004F741C"/>
    <w:rsid w:val="004F7B33"/>
    <w:rsid w:val="004F7F66"/>
    <w:rsid w:val="005004BE"/>
    <w:rsid w:val="00501516"/>
    <w:rsid w:val="00505913"/>
    <w:rsid w:val="005073F8"/>
    <w:rsid w:val="00507502"/>
    <w:rsid w:val="00511B0B"/>
    <w:rsid w:val="00512211"/>
    <w:rsid w:val="00513137"/>
    <w:rsid w:val="00515829"/>
    <w:rsid w:val="00517B47"/>
    <w:rsid w:val="00517EA1"/>
    <w:rsid w:val="00520675"/>
    <w:rsid w:val="00522332"/>
    <w:rsid w:val="00524AB5"/>
    <w:rsid w:val="00525DE2"/>
    <w:rsid w:val="005266EF"/>
    <w:rsid w:val="00527C12"/>
    <w:rsid w:val="00530620"/>
    <w:rsid w:val="005326E7"/>
    <w:rsid w:val="00532885"/>
    <w:rsid w:val="00533C95"/>
    <w:rsid w:val="0053537B"/>
    <w:rsid w:val="00535C48"/>
    <w:rsid w:val="00536D0A"/>
    <w:rsid w:val="00541415"/>
    <w:rsid w:val="00542BEA"/>
    <w:rsid w:val="005457F2"/>
    <w:rsid w:val="00545B12"/>
    <w:rsid w:val="005477A3"/>
    <w:rsid w:val="00547E2A"/>
    <w:rsid w:val="00556E5E"/>
    <w:rsid w:val="005572E3"/>
    <w:rsid w:val="00557CF7"/>
    <w:rsid w:val="00563EFB"/>
    <w:rsid w:val="00564392"/>
    <w:rsid w:val="005645F8"/>
    <w:rsid w:val="00564F88"/>
    <w:rsid w:val="00565B72"/>
    <w:rsid w:val="005709B8"/>
    <w:rsid w:val="00570AD3"/>
    <w:rsid w:val="0057290C"/>
    <w:rsid w:val="00573811"/>
    <w:rsid w:val="00575564"/>
    <w:rsid w:val="00576E30"/>
    <w:rsid w:val="005832C0"/>
    <w:rsid w:val="005910EF"/>
    <w:rsid w:val="00592A25"/>
    <w:rsid w:val="00597214"/>
    <w:rsid w:val="005A55CA"/>
    <w:rsid w:val="005A59A5"/>
    <w:rsid w:val="005B18BB"/>
    <w:rsid w:val="005B1A6B"/>
    <w:rsid w:val="005B3873"/>
    <w:rsid w:val="005B5D2B"/>
    <w:rsid w:val="005B7532"/>
    <w:rsid w:val="005B7D43"/>
    <w:rsid w:val="005C017A"/>
    <w:rsid w:val="005C0D74"/>
    <w:rsid w:val="005C3AA9"/>
    <w:rsid w:val="005C661C"/>
    <w:rsid w:val="005D17BD"/>
    <w:rsid w:val="005D1D53"/>
    <w:rsid w:val="005D2433"/>
    <w:rsid w:val="005D2E76"/>
    <w:rsid w:val="005D581B"/>
    <w:rsid w:val="005D6161"/>
    <w:rsid w:val="005D7F8C"/>
    <w:rsid w:val="005E4749"/>
    <w:rsid w:val="005E4BB3"/>
    <w:rsid w:val="005E5E9F"/>
    <w:rsid w:val="005E6763"/>
    <w:rsid w:val="005F493D"/>
    <w:rsid w:val="005F4C32"/>
    <w:rsid w:val="005F5BBD"/>
    <w:rsid w:val="005F737E"/>
    <w:rsid w:val="005F7DD4"/>
    <w:rsid w:val="00606F67"/>
    <w:rsid w:val="00606F9F"/>
    <w:rsid w:val="0060708A"/>
    <w:rsid w:val="00611C32"/>
    <w:rsid w:val="00611E1A"/>
    <w:rsid w:val="006122B5"/>
    <w:rsid w:val="006132A2"/>
    <w:rsid w:val="006165B0"/>
    <w:rsid w:val="0062267D"/>
    <w:rsid w:val="00623112"/>
    <w:rsid w:val="00624696"/>
    <w:rsid w:val="00625ABE"/>
    <w:rsid w:val="00634EA1"/>
    <w:rsid w:val="006363C9"/>
    <w:rsid w:val="0063725C"/>
    <w:rsid w:val="00640039"/>
    <w:rsid w:val="00640590"/>
    <w:rsid w:val="006623C2"/>
    <w:rsid w:val="006648DA"/>
    <w:rsid w:val="00664CFA"/>
    <w:rsid w:val="006677C1"/>
    <w:rsid w:val="0067061D"/>
    <w:rsid w:val="006708F8"/>
    <w:rsid w:val="006734EA"/>
    <w:rsid w:val="00674739"/>
    <w:rsid w:val="0067727A"/>
    <w:rsid w:val="00681FCD"/>
    <w:rsid w:val="00682615"/>
    <w:rsid w:val="006827A9"/>
    <w:rsid w:val="00683B59"/>
    <w:rsid w:val="00686257"/>
    <w:rsid w:val="00686E7F"/>
    <w:rsid w:val="0069153B"/>
    <w:rsid w:val="00694979"/>
    <w:rsid w:val="0069578F"/>
    <w:rsid w:val="00695ECA"/>
    <w:rsid w:val="00696507"/>
    <w:rsid w:val="00697487"/>
    <w:rsid w:val="006A0D1B"/>
    <w:rsid w:val="006A1A20"/>
    <w:rsid w:val="006A28DF"/>
    <w:rsid w:val="006A4CE7"/>
    <w:rsid w:val="006A5D73"/>
    <w:rsid w:val="006A7C71"/>
    <w:rsid w:val="006B2081"/>
    <w:rsid w:val="006B21FF"/>
    <w:rsid w:val="006B2928"/>
    <w:rsid w:val="006B30AD"/>
    <w:rsid w:val="006B3E18"/>
    <w:rsid w:val="006B511C"/>
    <w:rsid w:val="006B557F"/>
    <w:rsid w:val="006B5722"/>
    <w:rsid w:val="006B66EB"/>
    <w:rsid w:val="006C5D9B"/>
    <w:rsid w:val="006C6AC5"/>
    <w:rsid w:val="006C7361"/>
    <w:rsid w:val="006D0E60"/>
    <w:rsid w:val="006D29BE"/>
    <w:rsid w:val="006D32D3"/>
    <w:rsid w:val="006D5FCE"/>
    <w:rsid w:val="006D612D"/>
    <w:rsid w:val="006D678F"/>
    <w:rsid w:val="006D7856"/>
    <w:rsid w:val="006E1755"/>
    <w:rsid w:val="006E27D5"/>
    <w:rsid w:val="006E64A3"/>
    <w:rsid w:val="006E672C"/>
    <w:rsid w:val="006E7B7F"/>
    <w:rsid w:val="006F2DBC"/>
    <w:rsid w:val="006F5FAD"/>
    <w:rsid w:val="006F6868"/>
    <w:rsid w:val="006F6913"/>
    <w:rsid w:val="007018F1"/>
    <w:rsid w:val="00702A4D"/>
    <w:rsid w:val="00703A35"/>
    <w:rsid w:val="00705058"/>
    <w:rsid w:val="007062DF"/>
    <w:rsid w:val="00706A09"/>
    <w:rsid w:val="00707AC6"/>
    <w:rsid w:val="0071017E"/>
    <w:rsid w:val="007118EB"/>
    <w:rsid w:val="007122E2"/>
    <w:rsid w:val="00713FB4"/>
    <w:rsid w:val="00720661"/>
    <w:rsid w:val="007228FA"/>
    <w:rsid w:val="00723A88"/>
    <w:rsid w:val="007279FA"/>
    <w:rsid w:val="00731341"/>
    <w:rsid w:val="00733885"/>
    <w:rsid w:val="00740054"/>
    <w:rsid w:val="00740D0E"/>
    <w:rsid w:val="00740E2E"/>
    <w:rsid w:val="00742987"/>
    <w:rsid w:val="00745966"/>
    <w:rsid w:val="0075050F"/>
    <w:rsid w:val="0075076A"/>
    <w:rsid w:val="00751C44"/>
    <w:rsid w:val="007555C6"/>
    <w:rsid w:val="007569FD"/>
    <w:rsid w:val="007578E5"/>
    <w:rsid w:val="00762D36"/>
    <w:rsid w:val="007640CA"/>
    <w:rsid w:val="00770630"/>
    <w:rsid w:val="00772B05"/>
    <w:rsid w:val="0077464F"/>
    <w:rsid w:val="00774A96"/>
    <w:rsid w:val="007753A4"/>
    <w:rsid w:val="007757C1"/>
    <w:rsid w:val="0078056E"/>
    <w:rsid w:val="007806E4"/>
    <w:rsid w:val="00782D17"/>
    <w:rsid w:val="00784131"/>
    <w:rsid w:val="00785261"/>
    <w:rsid w:val="00787063"/>
    <w:rsid w:val="00787256"/>
    <w:rsid w:val="007923FC"/>
    <w:rsid w:val="00794DF6"/>
    <w:rsid w:val="00794FE1"/>
    <w:rsid w:val="007A27A2"/>
    <w:rsid w:val="007A6F54"/>
    <w:rsid w:val="007B0256"/>
    <w:rsid w:val="007B02FF"/>
    <w:rsid w:val="007B117A"/>
    <w:rsid w:val="007B4EFD"/>
    <w:rsid w:val="007B59A8"/>
    <w:rsid w:val="007C0B33"/>
    <w:rsid w:val="007C1EEC"/>
    <w:rsid w:val="007C5C01"/>
    <w:rsid w:val="007E2462"/>
    <w:rsid w:val="007E35F2"/>
    <w:rsid w:val="007E3AC2"/>
    <w:rsid w:val="007E57E8"/>
    <w:rsid w:val="007E68A2"/>
    <w:rsid w:val="007E6ADD"/>
    <w:rsid w:val="007E6C17"/>
    <w:rsid w:val="007F0EA2"/>
    <w:rsid w:val="007F1E99"/>
    <w:rsid w:val="007F2E8A"/>
    <w:rsid w:val="007F502F"/>
    <w:rsid w:val="007F73BA"/>
    <w:rsid w:val="008001D6"/>
    <w:rsid w:val="008012CD"/>
    <w:rsid w:val="00801B25"/>
    <w:rsid w:val="00801CAD"/>
    <w:rsid w:val="0080442B"/>
    <w:rsid w:val="00804D45"/>
    <w:rsid w:val="008058DF"/>
    <w:rsid w:val="00811082"/>
    <w:rsid w:val="00812F1A"/>
    <w:rsid w:val="00815876"/>
    <w:rsid w:val="00817E18"/>
    <w:rsid w:val="008208E7"/>
    <w:rsid w:val="00821145"/>
    <w:rsid w:val="00827731"/>
    <w:rsid w:val="00831A2A"/>
    <w:rsid w:val="00833179"/>
    <w:rsid w:val="00836627"/>
    <w:rsid w:val="00840BC8"/>
    <w:rsid w:val="00840C05"/>
    <w:rsid w:val="00840DD2"/>
    <w:rsid w:val="00842CAF"/>
    <w:rsid w:val="00843A0D"/>
    <w:rsid w:val="00851843"/>
    <w:rsid w:val="00853942"/>
    <w:rsid w:val="00853FFD"/>
    <w:rsid w:val="00854F4F"/>
    <w:rsid w:val="00855583"/>
    <w:rsid w:val="00860120"/>
    <w:rsid w:val="00860C54"/>
    <w:rsid w:val="00862550"/>
    <w:rsid w:val="00867DC8"/>
    <w:rsid w:val="008758FB"/>
    <w:rsid w:val="00875A04"/>
    <w:rsid w:val="00877FEE"/>
    <w:rsid w:val="0088018F"/>
    <w:rsid w:val="00882177"/>
    <w:rsid w:val="00884EF1"/>
    <w:rsid w:val="00885C0A"/>
    <w:rsid w:val="008873E8"/>
    <w:rsid w:val="00891D38"/>
    <w:rsid w:val="00892727"/>
    <w:rsid w:val="0089325E"/>
    <w:rsid w:val="00893D1F"/>
    <w:rsid w:val="008968FC"/>
    <w:rsid w:val="008A2503"/>
    <w:rsid w:val="008A4107"/>
    <w:rsid w:val="008B2991"/>
    <w:rsid w:val="008B33FD"/>
    <w:rsid w:val="008B38E7"/>
    <w:rsid w:val="008B69A7"/>
    <w:rsid w:val="008B6FCA"/>
    <w:rsid w:val="008C049A"/>
    <w:rsid w:val="008C23BD"/>
    <w:rsid w:val="008C5F39"/>
    <w:rsid w:val="008C7AC2"/>
    <w:rsid w:val="008C7BA7"/>
    <w:rsid w:val="008C7BF5"/>
    <w:rsid w:val="008D0CEF"/>
    <w:rsid w:val="008D2178"/>
    <w:rsid w:val="008D2569"/>
    <w:rsid w:val="008D41BD"/>
    <w:rsid w:val="008D4788"/>
    <w:rsid w:val="008E19F2"/>
    <w:rsid w:val="008E3235"/>
    <w:rsid w:val="008E5B54"/>
    <w:rsid w:val="008E65B7"/>
    <w:rsid w:val="008F0001"/>
    <w:rsid w:val="008F4A98"/>
    <w:rsid w:val="008F503B"/>
    <w:rsid w:val="008F57F6"/>
    <w:rsid w:val="008F61CE"/>
    <w:rsid w:val="009006DC"/>
    <w:rsid w:val="00901471"/>
    <w:rsid w:val="00906005"/>
    <w:rsid w:val="00907218"/>
    <w:rsid w:val="00907EB3"/>
    <w:rsid w:val="00910945"/>
    <w:rsid w:val="0091157B"/>
    <w:rsid w:val="009116D4"/>
    <w:rsid w:val="009142A3"/>
    <w:rsid w:val="009209AF"/>
    <w:rsid w:val="00920DF5"/>
    <w:rsid w:val="00922169"/>
    <w:rsid w:val="009225F0"/>
    <w:rsid w:val="00922866"/>
    <w:rsid w:val="00923776"/>
    <w:rsid w:val="00923D3A"/>
    <w:rsid w:val="00930259"/>
    <w:rsid w:val="0093147F"/>
    <w:rsid w:val="009320C3"/>
    <w:rsid w:val="00933B53"/>
    <w:rsid w:val="00936BB0"/>
    <w:rsid w:val="00937570"/>
    <w:rsid w:val="00937D0C"/>
    <w:rsid w:val="00937D1D"/>
    <w:rsid w:val="00937EE4"/>
    <w:rsid w:val="00942204"/>
    <w:rsid w:val="0094315E"/>
    <w:rsid w:val="009478F2"/>
    <w:rsid w:val="00955996"/>
    <w:rsid w:val="00956A20"/>
    <w:rsid w:val="00957F81"/>
    <w:rsid w:val="009619BE"/>
    <w:rsid w:val="0096361F"/>
    <w:rsid w:val="00963FB6"/>
    <w:rsid w:val="00965ECE"/>
    <w:rsid w:val="0097024B"/>
    <w:rsid w:val="0097150E"/>
    <w:rsid w:val="00971DB5"/>
    <w:rsid w:val="00973063"/>
    <w:rsid w:val="009750B2"/>
    <w:rsid w:val="00975244"/>
    <w:rsid w:val="00975BCF"/>
    <w:rsid w:val="009760B7"/>
    <w:rsid w:val="00981E83"/>
    <w:rsid w:val="009824BD"/>
    <w:rsid w:val="00982E8D"/>
    <w:rsid w:val="00983203"/>
    <w:rsid w:val="00983A43"/>
    <w:rsid w:val="00986F44"/>
    <w:rsid w:val="00987CB3"/>
    <w:rsid w:val="00992123"/>
    <w:rsid w:val="009940BE"/>
    <w:rsid w:val="00994AC9"/>
    <w:rsid w:val="00995665"/>
    <w:rsid w:val="009965A1"/>
    <w:rsid w:val="0099671F"/>
    <w:rsid w:val="00996748"/>
    <w:rsid w:val="009A0284"/>
    <w:rsid w:val="009A3A3F"/>
    <w:rsid w:val="009A4B05"/>
    <w:rsid w:val="009A6D1B"/>
    <w:rsid w:val="009A7A4C"/>
    <w:rsid w:val="009B046C"/>
    <w:rsid w:val="009B104B"/>
    <w:rsid w:val="009B3974"/>
    <w:rsid w:val="009B4296"/>
    <w:rsid w:val="009B4793"/>
    <w:rsid w:val="009B672E"/>
    <w:rsid w:val="009C0BB6"/>
    <w:rsid w:val="009C19F2"/>
    <w:rsid w:val="009C2B27"/>
    <w:rsid w:val="009D184A"/>
    <w:rsid w:val="009D34DE"/>
    <w:rsid w:val="009D367D"/>
    <w:rsid w:val="009D6973"/>
    <w:rsid w:val="009D702A"/>
    <w:rsid w:val="009D79F9"/>
    <w:rsid w:val="009E19AA"/>
    <w:rsid w:val="009E4258"/>
    <w:rsid w:val="009E54BA"/>
    <w:rsid w:val="009E5729"/>
    <w:rsid w:val="009E6132"/>
    <w:rsid w:val="009F1726"/>
    <w:rsid w:val="009F2248"/>
    <w:rsid w:val="009F4510"/>
    <w:rsid w:val="009F49F0"/>
    <w:rsid w:val="009F5BF0"/>
    <w:rsid w:val="00A0013D"/>
    <w:rsid w:val="00A0082E"/>
    <w:rsid w:val="00A0139A"/>
    <w:rsid w:val="00A02E63"/>
    <w:rsid w:val="00A03A31"/>
    <w:rsid w:val="00A0432C"/>
    <w:rsid w:val="00A11701"/>
    <w:rsid w:val="00A11DD3"/>
    <w:rsid w:val="00A16818"/>
    <w:rsid w:val="00A2420C"/>
    <w:rsid w:val="00A24AD9"/>
    <w:rsid w:val="00A32228"/>
    <w:rsid w:val="00A326AF"/>
    <w:rsid w:val="00A347D0"/>
    <w:rsid w:val="00A3547E"/>
    <w:rsid w:val="00A369FB"/>
    <w:rsid w:val="00A42B7B"/>
    <w:rsid w:val="00A4440B"/>
    <w:rsid w:val="00A573F9"/>
    <w:rsid w:val="00A57522"/>
    <w:rsid w:val="00A61A7D"/>
    <w:rsid w:val="00A63F64"/>
    <w:rsid w:val="00A65A25"/>
    <w:rsid w:val="00A716F3"/>
    <w:rsid w:val="00A73A50"/>
    <w:rsid w:val="00A74239"/>
    <w:rsid w:val="00A74430"/>
    <w:rsid w:val="00A7446A"/>
    <w:rsid w:val="00A76171"/>
    <w:rsid w:val="00A803D0"/>
    <w:rsid w:val="00A826B8"/>
    <w:rsid w:val="00A82C69"/>
    <w:rsid w:val="00A85983"/>
    <w:rsid w:val="00A8697A"/>
    <w:rsid w:val="00A86DF5"/>
    <w:rsid w:val="00AA13D0"/>
    <w:rsid w:val="00AA7426"/>
    <w:rsid w:val="00AB00A7"/>
    <w:rsid w:val="00AB143D"/>
    <w:rsid w:val="00AB1EE5"/>
    <w:rsid w:val="00AB3B8A"/>
    <w:rsid w:val="00AB5015"/>
    <w:rsid w:val="00AB596C"/>
    <w:rsid w:val="00AB7FAE"/>
    <w:rsid w:val="00AC1529"/>
    <w:rsid w:val="00AC22DB"/>
    <w:rsid w:val="00AC6079"/>
    <w:rsid w:val="00AD1738"/>
    <w:rsid w:val="00AD21F5"/>
    <w:rsid w:val="00AD3225"/>
    <w:rsid w:val="00AD3A83"/>
    <w:rsid w:val="00AD55A4"/>
    <w:rsid w:val="00AD7970"/>
    <w:rsid w:val="00AE1155"/>
    <w:rsid w:val="00AE16BB"/>
    <w:rsid w:val="00AE191C"/>
    <w:rsid w:val="00AE2002"/>
    <w:rsid w:val="00AE40E9"/>
    <w:rsid w:val="00AE6D7D"/>
    <w:rsid w:val="00AE794C"/>
    <w:rsid w:val="00AF2B13"/>
    <w:rsid w:val="00AF341D"/>
    <w:rsid w:val="00AF57DF"/>
    <w:rsid w:val="00AF584E"/>
    <w:rsid w:val="00AF597C"/>
    <w:rsid w:val="00AF6336"/>
    <w:rsid w:val="00AF67C7"/>
    <w:rsid w:val="00B00761"/>
    <w:rsid w:val="00B01411"/>
    <w:rsid w:val="00B02EA8"/>
    <w:rsid w:val="00B03AE5"/>
    <w:rsid w:val="00B04CC5"/>
    <w:rsid w:val="00B07505"/>
    <w:rsid w:val="00B07A25"/>
    <w:rsid w:val="00B1412B"/>
    <w:rsid w:val="00B14A0C"/>
    <w:rsid w:val="00B20018"/>
    <w:rsid w:val="00B2375F"/>
    <w:rsid w:val="00B24325"/>
    <w:rsid w:val="00B277DE"/>
    <w:rsid w:val="00B32E96"/>
    <w:rsid w:val="00B34AB2"/>
    <w:rsid w:val="00B374B0"/>
    <w:rsid w:val="00B40A87"/>
    <w:rsid w:val="00B42234"/>
    <w:rsid w:val="00B43D89"/>
    <w:rsid w:val="00B50AED"/>
    <w:rsid w:val="00B51BE1"/>
    <w:rsid w:val="00B528FC"/>
    <w:rsid w:val="00B60847"/>
    <w:rsid w:val="00B61713"/>
    <w:rsid w:val="00B6407B"/>
    <w:rsid w:val="00B662ED"/>
    <w:rsid w:val="00B67705"/>
    <w:rsid w:val="00B7354F"/>
    <w:rsid w:val="00B7589F"/>
    <w:rsid w:val="00B766F3"/>
    <w:rsid w:val="00B76DA6"/>
    <w:rsid w:val="00B7706C"/>
    <w:rsid w:val="00B77F60"/>
    <w:rsid w:val="00B8302A"/>
    <w:rsid w:val="00B85F60"/>
    <w:rsid w:val="00B86EBB"/>
    <w:rsid w:val="00B90547"/>
    <w:rsid w:val="00B90DD5"/>
    <w:rsid w:val="00B932B2"/>
    <w:rsid w:val="00B94DDC"/>
    <w:rsid w:val="00B96B17"/>
    <w:rsid w:val="00BA050F"/>
    <w:rsid w:val="00BA13B5"/>
    <w:rsid w:val="00BA1BCF"/>
    <w:rsid w:val="00BA2DB9"/>
    <w:rsid w:val="00BA7C32"/>
    <w:rsid w:val="00BB34A2"/>
    <w:rsid w:val="00BB3CB9"/>
    <w:rsid w:val="00BB7000"/>
    <w:rsid w:val="00BC0661"/>
    <w:rsid w:val="00BC3497"/>
    <w:rsid w:val="00BC6A25"/>
    <w:rsid w:val="00BC6D28"/>
    <w:rsid w:val="00BD133D"/>
    <w:rsid w:val="00BD2198"/>
    <w:rsid w:val="00BD24E9"/>
    <w:rsid w:val="00BD2C31"/>
    <w:rsid w:val="00BE28F6"/>
    <w:rsid w:val="00BE4C46"/>
    <w:rsid w:val="00BE7148"/>
    <w:rsid w:val="00BE7280"/>
    <w:rsid w:val="00BE76D6"/>
    <w:rsid w:val="00BF04D9"/>
    <w:rsid w:val="00BF07F9"/>
    <w:rsid w:val="00BF0A5F"/>
    <w:rsid w:val="00BF1210"/>
    <w:rsid w:val="00BF335A"/>
    <w:rsid w:val="00BF39C0"/>
    <w:rsid w:val="00BF45A3"/>
    <w:rsid w:val="00BF7981"/>
    <w:rsid w:val="00BF7AC9"/>
    <w:rsid w:val="00C0136C"/>
    <w:rsid w:val="00C02FC3"/>
    <w:rsid w:val="00C03278"/>
    <w:rsid w:val="00C04CA6"/>
    <w:rsid w:val="00C05D1C"/>
    <w:rsid w:val="00C05EAC"/>
    <w:rsid w:val="00C06055"/>
    <w:rsid w:val="00C06BFB"/>
    <w:rsid w:val="00C1233D"/>
    <w:rsid w:val="00C144FA"/>
    <w:rsid w:val="00C14779"/>
    <w:rsid w:val="00C17D86"/>
    <w:rsid w:val="00C21759"/>
    <w:rsid w:val="00C22338"/>
    <w:rsid w:val="00C232FE"/>
    <w:rsid w:val="00C24068"/>
    <w:rsid w:val="00C246E8"/>
    <w:rsid w:val="00C27971"/>
    <w:rsid w:val="00C33900"/>
    <w:rsid w:val="00C348C5"/>
    <w:rsid w:val="00C35905"/>
    <w:rsid w:val="00C4238B"/>
    <w:rsid w:val="00C44C4C"/>
    <w:rsid w:val="00C52263"/>
    <w:rsid w:val="00C54432"/>
    <w:rsid w:val="00C5464B"/>
    <w:rsid w:val="00C5797E"/>
    <w:rsid w:val="00C61690"/>
    <w:rsid w:val="00C70E88"/>
    <w:rsid w:val="00C71095"/>
    <w:rsid w:val="00C72DE8"/>
    <w:rsid w:val="00C74064"/>
    <w:rsid w:val="00C76FAD"/>
    <w:rsid w:val="00C77600"/>
    <w:rsid w:val="00C806C7"/>
    <w:rsid w:val="00C835D0"/>
    <w:rsid w:val="00C856A0"/>
    <w:rsid w:val="00C863FC"/>
    <w:rsid w:val="00C875C0"/>
    <w:rsid w:val="00C87F6F"/>
    <w:rsid w:val="00C92A72"/>
    <w:rsid w:val="00C92E3F"/>
    <w:rsid w:val="00C93DA3"/>
    <w:rsid w:val="00CA1296"/>
    <w:rsid w:val="00CA25A3"/>
    <w:rsid w:val="00CA28F6"/>
    <w:rsid w:val="00CA5167"/>
    <w:rsid w:val="00CB05A3"/>
    <w:rsid w:val="00CB09FD"/>
    <w:rsid w:val="00CB40E7"/>
    <w:rsid w:val="00CB65A5"/>
    <w:rsid w:val="00CB68A0"/>
    <w:rsid w:val="00CC091F"/>
    <w:rsid w:val="00CC0B7C"/>
    <w:rsid w:val="00CC10FE"/>
    <w:rsid w:val="00CC1AAE"/>
    <w:rsid w:val="00CC43F6"/>
    <w:rsid w:val="00CC5920"/>
    <w:rsid w:val="00CC604B"/>
    <w:rsid w:val="00CC7FFE"/>
    <w:rsid w:val="00CD00BD"/>
    <w:rsid w:val="00CD196F"/>
    <w:rsid w:val="00CD25BD"/>
    <w:rsid w:val="00CD3239"/>
    <w:rsid w:val="00CD7E98"/>
    <w:rsid w:val="00CE0253"/>
    <w:rsid w:val="00CE2045"/>
    <w:rsid w:val="00CE5C06"/>
    <w:rsid w:val="00CE615F"/>
    <w:rsid w:val="00CE7356"/>
    <w:rsid w:val="00CE7497"/>
    <w:rsid w:val="00CF19BF"/>
    <w:rsid w:val="00D00019"/>
    <w:rsid w:val="00D013E1"/>
    <w:rsid w:val="00D016D7"/>
    <w:rsid w:val="00D02E1A"/>
    <w:rsid w:val="00D040AB"/>
    <w:rsid w:val="00D06016"/>
    <w:rsid w:val="00D066CA"/>
    <w:rsid w:val="00D067A3"/>
    <w:rsid w:val="00D0785D"/>
    <w:rsid w:val="00D07D64"/>
    <w:rsid w:val="00D1249D"/>
    <w:rsid w:val="00D13174"/>
    <w:rsid w:val="00D13463"/>
    <w:rsid w:val="00D15A45"/>
    <w:rsid w:val="00D15E4F"/>
    <w:rsid w:val="00D1631A"/>
    <w:rsid w:val="00D17868"/>
    <w:rsid w:val="00D239D4"/>
    <w:rsid w:val="00D26BAD"/>
    <w:rsid w:val="00D31A41"/>
    <w:rsid w:val="00D3420B"/>
    <w:rsid w:val="00D3534C"/>
    <w:rsid w:val="00D37B45"/>
    <w:rsid w:val="00D41691"/>
    <w:rsid w:val="00D422E2"/>
    <w:rsid w:val="00D44665"/>
    <w:rsid w:val="00D44687"/>
    <w:rsid w:val="00D467B2"/>
    <w:rsid w:val="00D473D0"/>
    <w:rsid w:val="00D514EE"/>
    <w:rsid w:val="00D55FE2"/>
    <w:rsid w:val="00D607FC"/>
    <w:rsid w:val="00D60A50"/>
    <w:rsid w:val="00D63B6F"/>
    <w:rsid w:val="00D646A9"/>
    <w:rsid w:val="00D65FE8"/>
    <w:rsid w:val="00D71947"/>
    <w:rsid w:val="00D71A16"/>
    <w:rsid w:val="00D72A10"/>
    <w:rsid w:val="00D76951"/>
    <w:rsid w:val="00D76F17"/>
    <w:rsid w:val="00D8118A"/>
    <w:rsid w:val="00D81951"/>
    <w:rsid w:val="00D81A9D"/>
    <w:rsid w:val="00D8342F"/>
    <w:rsid w:val="00D84D31"/>
    <w:rsid w:val="00D852CF"/>
    <w:rsid w:val="00D9009E"/>
    <w:rsid w:val="00D919AA"/>
    <w:rsid w:val="00D92118"/>
    <w:rsid w:val="00D94B82"/>
    <w:rsid w:val="00D96B78"/>
    <w:rsid w:val="00DA1208"/>
    <w:rsid w:val="00DA28C5"/>
    <w:rsid w:val="00DA447F"/>
    <w:rsid w:val="00DA7E26"/>
    <w:rsid w:val="00DB0EB6"/>
    <w:rsid w:val="00DC011D"/>
    <w:rsid w:val="00DC0BFE"/>
    <w:rsid w:val="00DC0D4C"/>
    <w:rsid w:val="00DC408D"/>
    <w:rsid w:val="00DC45EB"/>
    <w:rsid w:val="00DC62D0"/>
    <w:rsid w:val="00DC654F"/>
    <w:rsid w:val="00DC737D"/>
    <w:rsid w:val="00DC7CEB"/>
    <w:rsid w:val="00DD0CBF"/>
    <w:rsid w:val="00DD4045"/>
    <w:rsid w:val="00DE192C"/>
    <w:rsid w:val="00DE25E5"/>
    <w:rsid w:val="00DE26C2"/>
    <w:rsid w:val="00DE4465"/>
    <w:rsid w:val="00DE6E8B"/>
    <w:rsid w:val="00DE7546"/>
    <w:rsid w:val="00DE75C9"/>
    <w:rsid w:val="00DF31B4"/>
    <w:rsid w:val="00DF440B"/>
    <w:rsid w:val="00DF7B28"/>
    <w:rsid w:val="00E06840"/>
    <w:rsid w:val="00E079EE"/>
    <w:rsid w:val="00E07E26"/>
    <w:rsid w:val="00E10B59"/>
    <w:rsid w:val="00E1233C"/>
    <w:rsid w:val="00E130FC"/>
    <w:rsid w:val="00E141E1"/>
    <w:rsid w:val="00E149C2"/>
    <w:rsid w:val="00E17044"/>
    <w:rsid w:val="00E22145"/>
    <w:rsid w:val="00E237BE"/>
    <w:rsid w:val="00E31BCF"/>
    <w:rsid w:val="00E32120"/>
    <w:rsid w:val="00E326D9"/>
    <w:rsid w:val="00E33E57"/>
    <w:rsid w:val="00E34909"/>
    <w:rsid w:val="00E3513F"/>
    <w:rsid w:val="00E3611D"/>
    <w:rsid w:val="00E37874"/>
    <w:rsid w:val="00E41E66"/>
    <w:rsid w:val="00E42533"/>
    <w:rsid w:val="00E4499E"/>
    <w:rsid w:val="00E46C47"/>
    <w:rsid w:val="00E470A2"/>
    <w:rsid w:val="00E477CE"/>
    <w:rsid w:val="00E505DB"/>
    <w:rsid w:val="00E51895"/>
    <w:rsid w:val="00E55683"/>
    <w:rsid w:val="00E5776A"/>
    <w:rsid w:val="00E66538"/>
    <w:rsid w:val="00E70C90"/>
    <w:rsid w:val="00E731D5"/>
    <w:rsid w:val="00E740E4"/>
    <w:rsid w:val="00E747BF"/>
    <w:rsid w:val="00E74F11"/>
    <w:rsid w:val="00E767F1"/>
    <w:rsid w:val="00E81BDB"/>
    <w:rsid w:val="00E81D78"/>
    <w:rsid w:val="00E8222D"/>
    <w:rsid w:val="00E82A6B"/>
    <w:rsid w:val="00E83731"/>
    <w:rsid w:val="00E83E29"/>
    <w:rsid w:val="00E86677"/>
    <w:rsid w:val="00E874DE"/>
    <w:rsid w:val="00E9223D"/>
    <w:rsid w:val="00E9466F"/>
    <w:rsid w:val="00E95C4A"/>
    <w:rsid w:val="00E96A0E"/>
    <w:rsid w:val="00E9792C"/>
    <w:rsid w:val="00EA05FE"/>
    <w:rsid w:val="00EA1599"/>
    <w:rsid w:val="00EA2049"/>
    <w:rsid w:val="00EA5048"/>
    <w:rsid w:val="00EA5668"/>
    <w:rsid w:val="00EB1A6B"/>
    <w:rsid w:val="00EB7E0D"/>
    <w:rsid w:val="00EC1A02"/>
    <w:rsid w:val="00EC333D"/>
    <w:rsid w:val="00EC3FCC"/>
    <w:rsid w:val="00EC44BD"/>
    <w:rsid w:val="00ED34ED"/>
    <w:rsid w:val="00ED3C93"/>
    <w:rsid w:val="00ED4B15"/>
    <w:rsid w:val="00ED6D37"/>
    <w:rsid w:val="00EE32FF"/>
    <w:rsid w:val="00EE6A81"/>
    <w:rsid w:val="00EE71EE"/>
    <w:rsid w:val="00EE72E2"/>
    <w:rsid w:val="00EF39F9"/>
    <w:rsid w:val="00EF4BC4"/>
    <w:rsid w:val="00F01940"/>
    <w:rsid w:val="00F037BB"/>
    <w:rsid w:val="00F03E79"/>
    <w:rsid w:val="00F06AF9"/>
    <w:rsid w:val="00F124FC"/>
    <w:rsid w:val="00F1559D"/>
    <w:rsid w:val="00F156FE"/>
    <w:rsid w:val="00F166AE"/>
    <w:rsid w:val="00F20D2A"/>
    <w:rsid w:val="00F210BC"/>
    <w:rsid w:val="00F211B3"/>
    <w:rsid w:val="00F22069"/>
    <w:rsid w:val="00F22771"/>
    <w:rsid w:val="00F23C2F"/>
    <w:rsid w:val="00F24F1D"/>
    <w:rsid w:val="00F32F68"/>
    <w:rsid w:val="00F37DDF"/>
    <w:rsid w:val="00F40BA4"/>
    <w:rsid w:val="00F42F24"/>
    <w:rsid w:val="00F43033"/>
    <w:rsid w:val="00F4489F"/>
    <w:rsid w:val="00F4697D"/>
    <w:rsid w:val="00F501E0"/>
    <w:rsid w:val="00F525F2"/>
    <w:rsid w:val="00F52EC7"/>
    <w:rsid w:val="00F570C3"/>
    <w:rsid w:val="00F5722D"/>
    <w:rsid w:val="00F61D7E"/>
    <w:rsid w:val="00F670DB"/>
    <w:rsid w:val="00F67776"/>
    <w:rsid w:val="00F70FF3"/>
    <w:rsid w:val="00F726D5"/>
    <w:rsid w:val="00F72C9E"/>
    <w:rsid w:val="00F73C8E"/>
    <w:rsid w:val="00F76520"/>
    <w:rsid w:val="00F76E22"/>
    <w:rsid w:val="00F82818"/>
    <w:rsid w:val="00F83AE2"/>
    <w:rsid w:val="00F84508"/>
    <w:rsid w:val="00F85775"/>
    <w:rsid w:val="00F9411B"/>
    <w:rsid w:val="00F95D38"/>
    <w:rsid w:val="00F977CE"/>
    <w:rsid w:val="00FA1A9D"/>
    <w:rsid w:val="00FA7178"/>
    <w:rsid w:val="00FB2019"/>
    <w:rsid w:val="00FB4D25"/>
    <w:rsid w:val="00FB6225"/>
    <w:rsid w:val="00FC4E6A"/>
    <w:rsid w:val="00FC5749"/>
    <w:rsid w:val="00FC5DAF"/>
    <w:rsid w:val="00FC65A7"/>
    <w:rsid w:val="00FC7457"/>
    <w:rsid w:val="00FD12CC"/>
    <w:rsid w:val="00FD5D7D"/>
    <w:rsid w:val="00FD6735"/>
    <w:rsid w:val="00FD6DB6"/>
    <w:rsid w:val="00FE019F"/>
    <w:rsid w:val="00FE037B"/>
    <w:rsid w:val="00FE0458"/>
    <w:rsid w:val="00FE3BA7"/>
    <w:rsid w:val="00FE5094"/>
    <w:rsid w:val="00FE5FB4"/>
    <w:rsid w:val="00FE7DFE"/>
    <w:rsid w:val="00FF0A26"/>
    <w:rsid w:val="00FF299E"/>
    <w:rsid w:val="00FF2FCF"/>
    <w:rsid w:val="00FF5535"/>
    <w:rsid w:val="00FF55C8"/>
    <w:rsid w:val="00FF64E7"/>
    <w:rsid w:val="00FF6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3207]"/>
    </o:shapedefaults>
    <o:shapelayout v:ext="edit">
      <o:idmap v:ext="edit" data="1"/>
    </o:shapelayout>
  </w:shapeDefaults>
  <w:decimalSymbol w:val="."/>
  <w:listSeparator w:val=","/>
  <w14:docId w14:val="178584C0"/>
  <w15:docId w15:val="{F8057C1E-E7A0-4EEE-B5DF-5BD7C119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E8D"/>
    <w:pPr>
      <w:spacing w:after="120"/>
    </w:pPr>
    <w:rPr>
      <w:rFonts w:ascii="Arial" w:hAnsi="Arial"/>
      <w:sz w:val="24"/>
    </w:rPr>
  </w:style>
  <w:style w:type="paragraph" w:styleId="Heading1">
    <w:name w:val="heading 1"/>
    <w:basedOn w:val="Title"/>
    <w:next w:val="Normal"/>
    <w:link w:val="Heading1Char"/>
    <w:uiPriority w:val="9"/>
    <w:qFormat/>
    <w:rsid w:val="003720E9"/>
    <w:pPr>
      <w:pBdr>
        <w:bottom w:val="none" w:sz="0" w:space="0" w:color="auto"/>
      </w:pBdr>
      <w:spacing w:before="240" w:after="240"/>
      <w:jc w:val="center"/>
      <w:outlineLvl w:val="0"/>
    </w:pPr>
    <w:rPr>
      <w:b/>
      <w:bCs/>
      <w:color w:val="FFFFFF" w:themeColor="background1"/>
      <w:sz w:val="44"/>
      <w:szCs w:val="28"/>
    </w:rPr>
  </w:style>
  <w:style w:type="paragraph" w:styleId="Heading2">
    <w:name w:val="heading 2"/>
    <w:basedOn w:val="Heading3"/>
    <w:next w:val="Normal"/>
    <w:link w:val="Heading2Char"/>
    <w:uiPriority w:val="9"/>
    <w:unhideWhenUsed/>
    <w:qFormat/>
    <w:rsid w:val="000E315D"/>
    <w:pPr>
      <w:spacing w:before="360"/>
      <w:outlineLvl w:val="1"/>
    </w:pPr>
    <w:rPr>
      <w:bCs w:val="0"/>
      <w:color w:val="652F76"/>
      <w:sz w:val="32"/>
      <w:szCs w:val="26"/>
    </w:rPr>
  </w:style>
  <w:style w:type="paragraph" w:styleId="Heading3">
    <w:name w:val="heading 3"/>
    <w:basedOn w:val="Normal"/>
    <w:next w:val="Normal"/>
    <w:link w:val="Heading3Char"/>
    <w:uiPriority w:val="9"/>
    <w:unhideWhenUsed/>
    <w:qFormat/>
    <w:rsid w:val="00F525F2"/>
    <w:pPr>
      <w:spacing w:line="271" w:lineRule="auto"/>
      <w:outlineLvl w:val="2"/>
    </w:pPr>
    <w:rPr>
      <w:rFonts w:eastAsiaTheme="majorEastAsia" w:cstheme="majorBidi"/>
      <w:b/>
      <w:bCs/>
      <w:color w:val="000000" w:themeColor="text1"/>
      <w:sz w:val="28"/>
      <w:szCs w:val="30"/>
    </w:rPr>
  </w:style>
  <w:style w:type="paragraph" w:styleId="Heading4">
    <w:name w:val="heading 4"/>
    <w:basedOn w:val="Normal"/>
    <w:next w:val="Normal"/>
    <w:link w:val="Heading4Char"/>
    <w:uiPriority w:val="9"/>
    <w:unhideWhenUsed/>
    <w:qFormat/>
    <w:rsid w:val="00DE75C9"/>
    <w:pPr>
      <w:spacing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E9"/>
    <w:rPr>
      <w:rFonts w:ascii="Arial" w:eastAsiaTheme="majorEastAsia" w:hAnsi="Arial" w:cstheme="majorBidi"/>
      <w:b/>
      <w:bCs/>
      <w:color w:val="FFFFFF" w:themeColor="background1"/>
      <w:spacing w:val="5"/>
      <w:sz w:val="44"/>
      <w:szCs w:val="28"/>
    </w:rPr>
  </w:style>
  <w:style w:type="character" w:customStyle="1" w:styleId="Heading2Char">
    <w:name w:val="Heading 2 Char"/>
    <w:basedOn w:val="DefaultParagraphFont"/>
    <w:link w:val="Heading2"/>
    <w:uiPriority w:val="9"/>
    <w:rsid w:val="000E315D"/>
    <w:rPr>
      <w:rFonts w:ascii="Arial" w:eastAsiaTheme="majorEastAsia" w:hAnsi="Arial" w:cstheme="majorBidi"/>
      <w:b/>
      <w:color w:val="652F76"/>
      <w:sz w:val="32"/>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525F2"/>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rsid w:val="00DE75C9"/>
    <w:rPr>
      <w:rFonts w:ascii="Arial" w:eastAsiaTheme="majorEastAsia" w:hAnsi="Arial" w:cstheme="majorBidi"/>
      <w:b/>
      <w:bCs/>
      <w:iCs/>
      <w:sz w:val="26"/>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aliases w:val="Bullet point,Recommendation,List Paragraph1,List Paragraph11,L,2nd Bullet point,#List Paragraph,Figure_name,Bullet- First level,Listenabsatz1,Number,List Paragraph111,F5 List Paragraph,Dot pt,CV text,Table text,Medium Grid 1 - Accent 21,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C835D0"/>
    <w:pPr>
      <w:outlineLvl w:val="9"/>
    </w:pPr>
    <w:rPr>
      <w:color w:val="652F76"/>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39"/>
    <w:rsid w:val="0052233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982E8D"/>
    <w:pPr>
      <w:numPr>
        <w:numId w:val="1"/>
      </w:numPr>
      <w:spacing w:before="120" w:line="360" w:lineRule="auto"/>
      <w:contextualSpacing/>
    </w:pPr>
  </w:style>
  <w:style w:type="paragraph" w:styleId="ListNumber">
    <w:name w:val="List Number"/>
    <w:basedOn w:val="Normal"/>
    <w:uiPriority w:val="99"/>
    <w:unhideWhenUsed/>
    <w:qFormat/>
    <w:rsid w:val="00982E8D"/>
    <w:pPr>
      <w:numPr>
        <w:numId w:val="2"/>
      </w:numPr>
      <w:spacing w:before="120" w:line="360" w:lineRule="auto"/>
      <w:ind w:left="811" w:hanging="357"/>
      <w:contextualSpacing/>
    </w:pPr>
  </w:style>
  <w:style w:type="character" w:styleId="Hyperlink">
    <w:name w:val="Hyperlink"/>
    <w:basedOn w:val="DefaultParagraphFont"/>
    <w:uiPriority w:val="99"/>
    <w:unhideWhenUsed/>
    <w:rsid w:val="00A11701"/>
    <w:rPr>
      <w:color w:val="0563C1"/>
      <w:u w:val="single"/>
    </w:rPr>
  </w:style>
  <w:style w:type="paragraph" w:styleId="TOC1">
    <w:name w:val="toc 1"/>
    <w:basedOn w:val="Normal"/>
    <w:next w:val="Normal"/>
    <w:autoRedefine/>
    <w:uiPriority w:val="39"/>
    <w:unhideWhenUsed/>
    <w:rsid w:val="00787063"/>
    <w:pPr>
      <w:tabs>
        <w:tab w:val="left" w:pos="567"/>
        <w:tab w:val="right" w:leader="dot" w:pos="9912"/>
      </w:tabs>
      <w:spacing w:after="100"/>
    </w:pPr>
  </w:style>
  <w:style w:type="paragraph" w:styleId="TOC2">
    <w:name w:val="toc 2"/>
    <w:basedOn w:val="Normal"/>
    <w:next w:val="Normal"/>
    <w:autoRedefine/>
    <w:uiPriority w:val="39"/>
    <w:unhideWhenUsed/>
    <w:rsid w:val="003C4B1E"/>
    <w:pPr>
      <w:tabs>
        <w:tab w:val="right" w:leader="dot" w:pos="9912"/>
      </w:tabs>
      <w:spacing w:after="100"/>
      <w:ind w:left="240"/>
    </w:pPr>
  </w:style>
  <w:style w:type="paragraph" w:styleId="TOC3">
    <w:name w:val="toc 3"/>
    <w:basedOn w:val="Normal"/>
    <w:next w:val="Normal"/>
    <w:autoRedefine/>
    <w:uiPriority w:val="39"/>
    <w:unhideWhenUsed/>
    <w:rsid w:val="00742987"/>
    <w:pPr>
      <w:spacing w:after="100"/>
      <w:ind w:left="480"/>
    </w:pPr>
  </w:style>
  <w:style w:type="character" w:styleId="FollowedHyperlink">
    <w:name w:val="FollowedHyperlink"/>
    <w:basedOn w:val="DefaultParagraphFont"/>
    <w:uiPriority w:val="99"/>
    <w:semiHidden/>
    <w:unhideWhenUsed/>
    <w:rsid w:val="00F210BC"/>
    <w:rPr>
      <w:color w:val="666699" w:themeColor="followedHyperlink"/>
      <w:u w:val="single"/>
    </w:rPr>
  </w:style>
  <w:style w:type="character" w:styleId="CommentReference">
    <w:name w:val="annotation reference"/>
    <w:basedOn w:val="DefaultParagraphFont"/>
    <w:uiPriority w:val="99"/>
    <w:semiHidden/>
    <w:unhideWhenUsed/>
    <w:rsid w:val="00C92E3F"/>
    <w:rPr>
      <w:sz w:val="16"/>
      <w:szCs w:val="16"/>
    </w:rPr>
  </w:style>
  <w:style w:type="paragraph" w:styleId="CommentText">
    <w:name w:val="annotation text"/>
    <w:basedOn w:val="Normal"/>
    <w:link w:val="CommentTextChar"/>
    <w:uiPriority w:val="99"/>
    <w:unhideWhenUsed/>
    <w:rsid w:val="00C92E3F"/>
    <w:pPr>
      <w:spacing w:line="240" w:lineRule="auto"/>
    </w:pPr>
    <w:rPr>
      <w:sz w:val="20"/>
      <w:szCs w:val="20"/>
    </w:rPr>
  </w:style>
  <w:style w:type="character" w:customStyle="1" w:styleId="CommentTextChar">
    <w:name w:val="Comment Text Char"/>
    <w:basedOn w:val="DefaultParagraphFont"/>
    <w:link w:val="CommentText"/>
    <w:uiPriority w:val="99"/>
    <w:rsid w:val="00C92E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2E3F"/>
    <w:rPr>
      <w:b/>
      <w:bCs/>
    </w:rPr>
  </w:style>
  <w:style w:type="character" w:customStyle="1" w:styleId="CommentSubjectChar">
    <w:name w:val="Comment Subject Char"/>
    <w:basedOn w:val="CommentTextChar"/>
    <w:link w:val="CommentSubject"/>
    <w:uiPriority w:val="99"/>
    <w:semiHidden/>
    <w:rsid w:val="00C92E3F"/>
    <w:rPr>
      <w:rFonts w:ascii="Arial" w:hAnsi="Arial"/>
      <w:b/>
      <w:bCs/>
      <w:sz w:val="20"/>
      <w:szCs w:val="20"/>
    </w:rPr>
  </w:style>
  <w:style w:type="paragraph" w:styleId="Revision">
    <w:name w:val="Revision"/>
    <w:hidden/>
    <w:uiPriority w:val="99"/>
    <w:semiHidden/>
    <w:rsid w:val="00A03A31"/>
    <w:pPr>
      <w:spacing w:after="0" w:line="240" w:lineRule="auto"/>
    </w:pPr>
    <w:rPr>
      <w:rFonts w:ascii="Arial" w:hAnsi="Arial"/>
      <w:sz w:val="24"/>
    </w:rPr>
  </w:style>
  <w:style w:type="paragraph" w:styleId="NormalWeb">
    <w:name w:val="Normal (Web)"/>
    <w:basedOn w:val="Normal"/>
    <w:uiPriority w:val="99"/>
    <w:unhideWhenUsed/>
    <w:rsid w:val="00E3611D"/>
    <w:pPr>
      <w:spacing w:before="240" w:after="240" w:line="360" w:lineRule="auto"/>
    </w:pPr>
    <w:rPr>
      <w:rFonts w:ascii="Times New Roman" w:eastAsia="Times New Roman" w:hAnsi="Times New Roman" w:cs="Times New Roman"/>
      <w:szCs w:val="24"/>
      <w:lang w:eastAsia="en-AU"/>
    </w:rPr>
  </w:style>
  <w:style w:type="paragraph" w:customStyle="1" w:styleId="tablelistbullet">
    <w:name w:val="table list bullet"/>
    <w:basedOn w:val="ListParagraph"/>
    <w:qFormat/>
    <w:rsid w:val="008001D6"/>
    <w:pPr>
      <w:numPr>
        <w:numId w:val="5"/>
      </w:numPr>
      <w:spacing w:before="160" w:line="240" w:lineRule="auto"/>
    </w:pPr>
    <w:rPr>
      <w:rFonts w:eastAsia="MS Mincho" w:cs="FSMe-Bold"/>
      <w:spacing w:val="-2"/>
      <w:sz w:val="20"/>
      <w:szCs w:val="20"/>
      <w:lang w:val="en-US"/>
    </w:rPr>
  </w:style>
  <w:style w:type="character" w:customStyle="1" w:styleId="ListParagraphChar">
    <w:name w:val="List Paragraph Char"/>
    <w:aliases w:val="Bullet point Char,Recommendation Char,List Paragraph1 Char,List Paragraph11 Char,L Char,2nd Bullet point Char,#List Paragraph Char,Figure_name Char,Bullet- First level Char,Listenabsatz1 Char,Number Char,List Paragraph111 Char,列 Char"/>
    <w:basedOn w:val="DefaultParagraphFont"/>
    <w:link w:val="ListParagraph"/>
    <w:uiPriority w:val="34"/>
    <w:qFormat/>
    <w:locked/>
    <w:rsid w:val="00363A24"/>
    <w:rPr>
      <w:rFonts w:ascii="Arial" w:hAnsi="Arial"/>
      <w:sz w:val="24"/>
    </w:rPr>
  </w:style>
  <w:style w:type="character" w:customStyle="1" w:styleId="DotPointChar">
    <w:name w:val="Dot Point Char"/>
    <w:basedOn w:val="DefaultParagraphFont"/>
    <w:link w:val="DotPoint"/>
    <w:locked/>
    <w:rsid w:val="00702A4D"/>
  </w:style>
  <w:style w:type="paragraph" w:customStyle="1" w:styleId="DotPoint">
    <w:name w:val="Dot Point"/>
    <w:basedOn w:val="Normal"/>
    <w:link w:val="DotPointChar"/>
    <w:qFormat/>
    <w:rsid w:val="00702A4D"/>
    <w:pPr>
      <w:numPr>
        <w:numId w:val="30"/>
      </w:numPr>
      <w:spacing w:before="100" w:after="100" w:line="300" w:lineRule="atLeast"/>
    </w:pPr>
    <w:rPr>
      <w:rFonts w:asciiTheme="minorHAnsi" w:hAnsiTheme="minorHAnsi"/>
      <w:sz w:val="22"/>
    </w:rPr>
  </w:style>
  <w:style w:type="character" w:customStyle="1" w:styleId="Bodytext-GuideChar">
    <w:name w:val="Body text - Guide Char"/>
    <w:basedOn w:val="DefaultParagraphFont"/>
    <w:link w:val="Bodytext-Guide"/>
    <w:semiHidden/>
    <w:locked/>
    <w:rsid w:val="00702A4D"/>
    <w:rPr>
      <w:rFonts w:ascii="Arial" w:eastAsia="Times New Roman" w:hAnsi="Arial" w:cs="Arial"/>
      <w:szCs w:val="18"/>
    </w:rPr>
  </w:style>
  <w:style w:type="paragraph" w:customStyle="1" w:styleId="Bodytext-Guide">
    <w:name w:val="Body text - Guide"/>
    <w:basedOn w:val="NormalWeb"/>
    <w:link w:val="Bodytext-GuideChar"/>
    <w:semiHidden/>
    <w:rsid w:val="00702A4D"/>
    <w:pPr>
      <w:spacing w:before="0" w:after="160" w:line="320" w:lineRule="atLeast"/>
    </w:pPr>
    <w:rPr>
      <w:rFonts w:ascii="Arial" w:hAnsi="Arial" w:cs="Arial"/>
      <w:sz w:val="22"/>
      <w:szCs w:val="18"/>
      <w:lang w:eastAsia="en-US"/>
    </w:rPr>
  </w:style>
  <w:style w:type="table" w:styleId="GridTable4-Accent4">
    <w:name w:val="Grid Table 4 Accent 4"/>
    <w:basedOn w:val="TableNormal"/>
    <w:uiPriority w:val="49"/>
    <w:rsid w:val="00210569"/>
    <w:pPr>
      <w:spacing w:before="100" w:after="0" w:line="240" w:lineRule="auto"/>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insideV w:val="nil"/>
        </w:tcBorders>
        <w:shd w:val="clear" w:color="auto" w:fill="665EB8" w:themeFill="accent4"/>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character" w:customStyle="1" w:styleId="hardreadability">
    <w:name w:val="hardreadability"/>
    <w:basedOn w:val="DefaultParagraphFont"/>
    <w:rsid w:val="00151F05"/>
  </w:style>
  <w:style w:type="character" w:customStyle="1" w:styleId="veryhardreadability">
    <w:name w:val="veryhardreadability"/>
    <w:basedOn w:val="DefaultParagraphFont"/>
    <w:rsid w:val="008D2178"/>
  </w:style>
  <w:style w:type="paragraph" w:styleId="FootnoteText">
    <w:name w:val="footnote text"/>
    <w:basedOn w:val="Normal"/>
    <w:link w:val="FootnoteTextChar"/>
    <w:uiPriority w:val="99"/>
    <w:semiHidden/>
    <w:unhideWhenUsed/>
    <w:rsid w:val="00BF3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C0"/>
    <w:rPr>
      <w:rFonts w:ascii="Arial" w:hAnsi="Arial"/>
      <w:sz w:val="20"/>
      <w:szCs w:val="20"/>
    </w:rPr>
  </w:style>
  <w:style w:type="character" w:styleId="FootnoteReference">
    <w:name w:val="footnote reference"/>
    <w:basedOn w:val="DefaultParagraphFont"/>
    <w:uiPriority w:val="99"/>
    <w:semiHidden/>
    <w:unhideWhenUsed/>
    <w:rsid w:val="00BF39C0"/>
    <w:rPr>
      <w:vertAlign w:val="superscript"/>
    </w:rPr>
  </w:style>
  <w:style w:type="character" w:customStyle="1" w:styleId="complexword">
    <w:name w:val="complexword"/>
    <w:basedOn w:val="DefaultParagraphFont"/>
    <w:rsid w:val="000D18F8"/>
  </w:style>
  <w:style w:type="table" w:styleId="GridTable4-Accent2">
    <w:name w:val="Grid Table 4 Accent 2"/>
    <w:basedOn w:val="TableNormal"/>
    <w:uiPriority w:val="49"/>
    <w:rsid w:val="001D0E41"/>
    <w:pPr>
      <w:spacing w:after="0" w:line="240" w:lineRule="auto"/>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color w:val="FFFFFF" w:themeColor="background1"/>
      </w:rPr>
      <w:tblPr/>
      <w:tcPr>
        <w:tcBorders>
          <w:top w:val="single" w:sz="4" w:space="0" w:color="9B57D3" w:themeColor="accent2"/>
          <w:left w:val="single" w:sz="4" w:space="0" w:color="9B57D3" w:themeColor="accent2"/>
          <w:bottom w:val="single" w:sz="4" w:space="0" w:color="9B57D3" w:themeColor="accent2"/>
          <w:right w:val="single" w:sz="4" w:space="0" w:color="9B57D3" w:themeColor="accent2"/>
          <w:insideH w:val="nil"/>
          <w:insideV w:val="nil"/>
        </w:tcBorders>
        <w:shd w:val="clear" w:color="auto" w:fill="9B57D3" w:themeFill="accent2"/>
      </w:tcPr>
    </w:tblStylePr>
    <w:tblStylePr w:type="lastRow">
      <w:rPr>
        <w:b/>
        <w:bCs/>
      </w:rPr>
      <w:tblPr/>
      <w:tcPr>
        <w:tcBorders>
          <w:top w:val="double" w:sz="4" w:space="0" w:color="9B57D3" w:themeColor="accent2"/>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460">
      <w:bodyDiv w:val="1"/>
      <w:marLeft w:val="0"/>
      <w:marRight w:val="0"/>
      <w:marTop w:val="0"/>
      <w:marBottom w:val="0"/>
      <w:divBdr>
        <w:top w:val="none" w:sz="0" w:space="0" w:color="auto"/>
        <w:left w:val="none" w:sz="0" w:space="0" w:color="auto"/>
        <w:bottom w:val="none" w:sz="0" w:space="0" w:color="auto"/>
        <w:right w:val="none" w:sz="0" w:space="0" w:color="auto"/>
      </w:divBdr>
    </w:div>
    <w:div w:id="147602461">
      <w:bodyDiv w:val="1"/>
      <w:marLeft w:val="0"/>
      <w:marRight w:val="0"/>
      <w:marTop w:val="0"/>
      <w:marBottom w:val="0"/>
      <w:divBdr>
        <w:top w:val="none" w:sz="0" w:space="0" w:color="auto"/>
        <w:left w:val="none" w:sz="0" w:space="0" w:color="auto"/>
        <w:bottom w:val="none" w:sz="0" w:space="0" w:color="auto"/>
        <w:right w:val="none" w:sz="0" w:space="0" w:color="auto"/>
      </w:divBdr>
    </w:div>
    <w:div w:id="220024935">
      <w:bodyDiv w:val="1"/>
      <w:marLeft w:val="0"/>
      <w:marRight w:val="0"/>
      <w:marTop w:val="0"/>
      <w:marBottom w:val="0"/>
      <w:divBdr>
        <w:top w:val="none" w:sz="0" w:space="0" w:color="auto"/>
        <w:left w:val="none" w:sz="0" w:space="0" w:color="auto"/>
        <w:bottom w:val="none" w:sz="0" w:space="0" w:color="auto"/>
        <w:right w:val="none" w:sz="0" w:space="0" w:color="auto"/>
      </w:divBdr>
    </w:div>
    <w:div w:id="574322803">
      <w:bodyDiv w:val="1"/>
      <w:marLeft w:val="0"/>
      <w:marRight w:val="0"/>
      <w:marTop w:val="0"/>
      <w:marBottom w:val="0"/>
      <w:divBdr>
        <w:top w:val="none" w:sz="0" w:space="0" w:color="auto"/>
        <w:left w:val="none" w:sz="0" w:space="0" w:color="auto"/>
        <w:bottom w:val="none" w:sz="0" w:space="0" w:color="auto"/>
        <w:right w:val="none" w:sz="0" w:space="0" w:color="auto"/>
      </w:divBdr>
    </w:div>
    <w:div w:id="779183916">
      <w:bodyDiv w:val="1"/>
      <w:marLeft w:val="0"/>
      <w:marRight w:val="0"/>
      <w:marTop w:val="0"/>
      <w:marBottom w:val="0"/>
      <w:divBdr>
        <w:top w:val="none" w:sz="0" w:space="0" w:color="auto"/>
        <w:left w:val="none" w:sz="0" w:space="0" w:color="auto"/>
        <w:bottom w:val="none" w:sz="0" w:space="0" w:color="auto"/>
        <w:right w:val="none" w:sz="0" w:space="0" w:color="auto"/>
      </w:divBdr>
      <w:divsChild>
        <w:div w:id="1115056861">
          <w:marLeft w:val="0"/>
          <w:marRight w:val="0"/>
          <w:marTop w:val="0"/>
          <w:marBottom w:val="0"/>
          <w:divBdr>
            <w:top w:val="none" w:sz="0" w:space="0" w:color="auto"/>
            <w:left w:val="none" w:sz="0" w:space="0" w:color="auto"/>
            <w:bottom w:val="none" w:sz="0" w:space="0" w:color="auto"/>
            <w:right w:val="none" w:sz="0" w:space="0" w:color="auto"/>
          </w:divBdr>
        </w:div>
        <w:div w:id="1501432254">
          <w:marLeft w:val="0"/>
          <w:marRight w:val="0"/>
          <w:marTop w:val="0"/>
          <w:marBottom w:val="0"/>
          <w:divBdr>
            <w:top w:val="none" w:sz="0" w:space="0" w:color="auto"/>
            <w:left w:val="none" w:sz="0" w:space="0" w:color="auto"/>
            <w:bottom w:val="none" w:sz="0" w:space="0" w:color="auto"/>
            <w:right w:val="none" w:sz="0" w:space="0" w:color="auto"/>
          </w:divBdr>
        </w:div>
        <w:div w:id="1438716894">
          <w:marLeft w:val="0"/>
          <w:marRight w:val="0"/>
          <w:marTop w:val="0"/>
          <w:marBottom w:val="0"/>
          <w:divBdr>
            <w:top w:val="none" w:sz="0" w:space="0" w:color="auto"/>
            <w:left w:val="none" w:sz="0" w:space="0" w:color="auto"/>
            <w:bottom w:val="none" w:sz="0" w:space="0" w:color="auto"/>
            <w:right w:val="none" w:sz="0" w:space="0" w:color="auto"/>
          </w:divBdr>
        </w:div>
      </w:divsChild>
    </w:div>
    <w:div w:id="795298980">
      <w:bodyDiv w:val="1"/>
      <w:marLeft w:val="0"/>
      <w:marRight w:val="0"/>
      <w:marTop w:val="0"/>
      <w:marBottom w:val="0"/>
      <w:divBdr>
        <w:top w:val="none" w:sz="0" w:space="0" w:color="auto"/>
        <w:left w:val="none" w:sz="0" w:space="0" w:color="auto"/>
        <w:bottom w:val="none" w:sz="0" w:space="0" w:color="auto"/>
        <w:right w:val="none" w:sz="0" w:space="0" w:color="auto"/>
      </w:divBdr>
    </w:div>
    <w:div w:id="847138993">
      <w:bodyDiv w:val="1"/>
      <w:marLeft w:val="0"/>
      <w:marRight w:val="0"/>
      <w:marTop w:val="0"/>
      <w:marBottom w:val="0"/>
      <w:divBdr>
        <w:top w:val="none" w:sz="0" w:space="0" w:color="auto"/>
        <w:left w:val="none" w:sz="0" w:space="0" w:color="auto"/>
        <w:bottom w:val="none" w:sz="0" w:space="0" w:color="auto"/>
        <w:right w:val="none" w:sz="0" w:space="0" w:color="auto"/>
      </w:divBdr>
    </w:div>
    <w:div w:id="853810556">
      <w:bodyDiv w:val="1"/>
      <w:marLeft w:val="0"/>
      <w:marRight w:val="0"/>
      <w:marTop w:val="0"/>
      <w:marBottom w:val="0"/>
      <w:divBdr>
        <w:top w:val="none" w:sz="0" w:space="0" w:color="auto"/>
        <w:left w:val="none" w:sz="0" w:space="0" w:color="auto"/>
        <w:bottom w:val="none" w:sz="0" w:space="0" w:color="auto"/>
        <w:right w:val="none" w:sz="0" w:space="0" w:color="auto"/>
      </w:divBdr>
    </w:div>
    <w:div w:id="922254336">
      <w:bodyDiv w:val="1"/>
      <w:marLeft w:val="0"/>
      <w:marRight w:val="0"/>
      <w:marTop w:val="0"/>
      <w:marBottom w:val="0"/>
      <w:divBdr>
        <w:top w:val="none" w:sz="0" w:space="0" w:color="auto"/>
        <w:left w:val="none" w:sz="0" w:space="0" w:color="auto"/>
        <w:bottom w:val="none" w:sz="0" w:space="0" w:color="auto"/>
        <w:right w:val="none" w:sz="0" w:space="0" w:color="auto"/>
      </w:divBdr>
    </w:div>
    <w:div w:id="1075324702">
      <w:bodyDiv w:val="1"/>
      <w:marLeft w:val="0"/>
      <w:marRight w:val="0"/>
      <w:marTop w:val="0"/>
      <w:marBottom w:val="0"/>
      <w:divBdr>
        <w:top w:val="none" w:sz="0" w:space="0" w:color="auto"/>
        <w:left w:val="none" w:sz="0" w:space="0" w:color="auto"/>
        <w:bottom w:val="none" w:sz="0" w:space="0" w:color="auto"/>
        <w:right w:val="none" w:sz="0" w:space="0" w:color="auto"/>
      </w:divBdr>
    </w:div>
    <w:div w:id="1097403438">
      <w:bodyDiv w:val="1"/>
      <w:marLeft w:val="0"/>
      <w:marRight w:val="0"/>
      <w:marTop w:val="0"/>
      <w:marBottom w:val="0"/>
      <w:divBdr>
        <w:top w:val="none" w:sz="0" w:space="0" w:color="auto"/>
        <w:left w:val="none" w:sz="0" w:space="0" w:color="auto"/>
        <w:bottom w:val="none" w:sz="0" w:space="0" w:color="auto"/>
        <w:right w:val="none" w:sz="0" w:space="0" w:color="auto"/>
      </w:divBdr>
    </w:div>
    <w:div w:id="1277911262">
      <w:bodyDiv w:val="1"/>
      <w:marLeft w:val="0"/>
      <w:marRight w:val="0"/>
      <w:marTop w:val="0"/>
      <w:marBottom w:val="0"/>
      <w:divBdr>
        <w:top w:val="none" w:sz="0" w:space="0" w:color="auto"/>
        <w:left w:val="none" w:sz="0" w:space="0" w:color="auto"/>
        <w:bottom w:val="none" w:sz="0" w:space="0" w:color="auto"/>
        <w:right w:val="none" w:sz="0" w:space="0" w:color="auto"/>
      </w:divBdr>
      <w:divsChild>
        <w:div w:id="1813061242">
          <w:marLeft w:val="0"/>
          <w:marRight w:val="0"/>
          <w:marTop w:val="0"/>
          <w:marBottom w:val="0"/>
          <w:divBdr>
            <w:top w:val="none" w:sz="0" w:space="0" w:color="auto"/>
            <w:left w:val="none" w:sz="0" w:space="0" w:color="auto"/>
            <w:bottom w:val="none" w:sz="0" w:space="0" w:color="auto"/>
            <w:right w:val="none" w:sz="0" w:space="0" w:color="auto"/>
          </w:divBdr>
          <w:divsChild>
            <w:div w:id="1814174414">
              <w:marLeft w:val="0"/>
              <w:marRight w:val="0"/>
              <w:marTop w:val="0"/>
              <w:marBottom w:val="120"/>
              <w:divBdr>
                <w:top w:val="none" w:sz="0" w:space="0" w:color="auto"/>
                <w:left w:val="none" w:sz="0" w:space="0" w:color="auto"/>
                <w:bottom w:val="none" w:sz="0" w:space="0" w:color="auto"/>
                <w:right w:val="none" w:sz="0" w:space="0" w:color="auto"/>
              </w:divBdr>
            </w:div>
            <w:div w:id="1655528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28097739">
      <w:bodyDiv w:val="1"/>
      <w:marLeft w:val="0"/>
      <w:marRight w:val="0"/>
      <w:marTop w:val="0"/>
      <w:marBottom w:val="0"/>
      <w:divBdr>
        <w:top w:val="none" w:sz="0" w:space="0" w:color="auto"/>
        <w:left w:val="none" w:sz="0" w:space="0" w:color="auto"/>
        <w:bottom w:val="none" w:sz="0" w:space="0" w:color="auto"/>
        <w:right w:val="none" w:sz="0" w:space="0" w:color="auto"/>
      </w:divBdr>
    </w:div>
    <w:div w:id="1355227445">
      <w:bodyDiv w:val="1"/>
      <w:marLeft w:val="0"/>
      <w:marRight w:val="0"/>
      <w:marTop w:val="0"/>
      <w:marBottom w:val="0"/>
      <w:divBdr>
        <w:top w:val="none" w:sz="0" w:space="0" w:color="auto"/>
        <w:left w:val="none" w:sz="0" w:space="0" w:color="auto"/>
        <w:bottom w:val="none" w:sz="0" w:space="0" w:color="auto"/>
        <w:right w:val="none" w:sz="0" w:space="0" w:color="auto"/>
      </w:divBdr>
    </w:div>
    <w:div w:id="1462453220">
      <w:bodyDiv w:val="1"/>
      <w:marLeft w:val="0"/>
      <w:marRight w:val="0"/>
      <w:marTop w:val="0"/>
      <w:marBottom w:val="0"/>
      <w:divBdr>
        <w:top w:val="none" w:sz="0" w:space="0" w:color="auto"/>
        <w:left w:val="none" w:sz="0" w:space="0" w:color="auto"/>
        <w:bottom w:val="none" w:sz="0" w:space="0" w:color="auto"/>
        <w:right w:val="none" w:sz="0" w:space="0" w:color="auto"/>
      </w:divBdr>
    </w:div>
    <w:div w:id="1508010265">
      <w:bodyDiv w:val="1"/>
      <w:marLeft w:val="0"/>
      <w:marRight w:val="0"/>
      <w:marTop w:val="0"/>
      <w:marBottom w:val="0"/>
      <w:divBdr>
        <w:top w:val="none" w:sz="0" w:space="0" w:color="auto"/>
        <w:left w:val="none" w:sz="0" w:space="0" w:color="auto"/>
        <w:bottom w:val="none" w:sz="0" w:space="0" w:color="auto"/>
        <w:right w:val="none" w:sz="0" w:space="0" w:color="auto"/>
      </w:divBdr>
      <w:divsChild>
        <w:div w:id="2137868419">
          <w:marLeft w:val="0"/>
          <w:marRight w:val="0"/>
          <w:marTop w:val="0"/>
          <w:marBottom w:val="0"/>
          <w:divBdr>
            <w:top w:val="none" w:sz="0" w:space="0" w:color="auto"/>
            <w:left w:val="none" w:sz="0" w:space="0" w:color="auto"/>
            <w:bottom w:val="none" w:sz="0" w:space="0" w:color="auto"/>
            <w:right w:val="none" w:sz="0" w:space="0" w:color="auto"/>
          </w:divBdr>
          <w:divsChild>
            <w:div w:id="1745563981">
              <w:marLeft w:val="0"/>
              <w:marRight w:val="0"/>
              <w:marTop w:val="0"/>
              <w:marBottom w:val="0"/>
              <w:divBdr>
                <w:top w:val="none" w:sz="0" w:space="0" w:color="auto"/>
                <w:left w:val="none" w:sz="0" w:space="0" w:color="auto"/>
                <w:bottom w:val="none" w:sz="0" w:space="0" w:color="auto"/>
                <w:right w:val="none" w:sz="0" w:space="0" w:color="auto"/>
              </w:divBdr>
              <w:divsChild>
                <w:div w:id="188178011">
                  <w:marLeft w:val="0"/>
                  <w:marRight w:val="0"/>
                  <w:marTop w:val="0"/>
                  <w:marBottom w:val="0"/>
                  <w:divBdr>
                    <w:top w:val="none" w:sz="0" w:space="0" w:color="auto"/>
                    <w:left w:val="none" w:sz="0" w:space="0" w:color="auto"/>
                    <w:bottom w:val="none" w:sz="0" w:space="0" w:color="auto"/>
                    <w:right w:val="none" w:sz="0" w:space="0" w:color="auto"/>
                  </w:divBdr>
                  <w:divsChild>
                    <w:div w:id="21382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11346">
      <w:bodyDiv w:val="1"/>
      <w:marLeft w:val="0"/>
      <w:marRight w:val="0"/>
      <w:marTop w:val="0"/>
      <w:marBottom w:val="0"/>
      <w:divBdr>
        <w:top w:val="none" w:sz="0" w:space="0" w:color="auto"/>
        <w:left w:val="none" w:sz="0" w:space="0" w:color="auto"/>
        <w:bottom w:val="none" w:sz="0" w:space="0" w:color="auto"/>
        <w:right w:val="none" w:sz="0" w:space="0" w:color="auto"/>
      </w:divBdr>
      <w:divsChild>
        <w:div w:id="1678926785">
          <w:marLeft w:val="446"/>
          <w:marRight w:val="0"/>
          <w:marTop w:val="0"/>
          <w:marBottom w:val="120"/>
          <w:divBdr>
            <w:top w:val="none" w:sz="0" w:space="0" w:color="auto"/>
            <w:left w:val="none" w:sz="0" w:space="0" w:color="auto"/>
            <w:bottom w:val="none" w:sz="0" w:space="0" w:color="auto"/>
            <w:right w:val="none" w:sz="0" w:space="0" w:color="auto"/>
          </w:divBdr>
        </w:div>
        <w:div w:id="1537040504">
          <w:marLeft w:val="446"/>
          <w:marRight w:val="0"/>
          <w:marTop w:val="0"/>
          <w:marBottom w:val="120"/>
          <w:divBdr>
            <w:top w:val="none" w:sz="0" w:space="0" w:color="auto"/>
            <w:left w:val="none" w:sz="0" w:space="0" w:color="auto"/>
            <w:bottom w:val="none" w:sz="0" w:space="0" w:color="auto"/>
            <w:right w:val="none" w:sz="0" w:space="0" w:color="auto"/>
          </w:divBdr>
        </w:div>
        <w:div w:id="1577322939">
          <w:marLeft w:val="446"/>
          <w:marRight w:val="0"/>
          <w:marTop w:val="0"/>
          <w:marBottom w:val="120"/>
          <w:divBdr>
            <w:top w:val="none" w:sz="0" w:space="0" w:color="auto"/>
            <w:left w:val="none" w:sz="0" w:space="0" w:color="auto"/>
            <w:bottom w:val="none" w:sz="0" w:space="0" w:color="auto"/>
            <w:right w:val="none" w:sz="0" w:space="0" w:color="auto"/>
          </w:divBdr>
        </w:div>
        <w:div w:id="1644195841">
          <w:marLeft w:val="446"/>
          <w:marRight w:val="0"/>
          <w:marTop w:val="0"/>
          <w:marBottom w:val="120"/>
          <w:divBdr>
            <w:top w:val="none" w:sz="0" w:space="0" w:color="auto"/>
            <w:left w:val="none" w:sz="0" w:space="0" w:color="auto"/>
            <w:bottom w:val="none" w:sz="0" w:space="0" w:color="auto"/>
            <w:right w:val="none" w:sz="0" w:space="0" w:color="auto"/>
          </w:divBdr>
        </w:div>
        <w:div w:id="1791898678">
          <w:marLeft w:val="446"/>
          <w:marRight w:val="0"/>
          <w:marTop w:val="0"/>
          <w:marBottom w:val="120"/>
          <w:divBdr>
            <w:top w:val="none" w:sz="0" w:space="0" w:color="auto"/>
            <w:left w:val="none" w:sz="0" w:space="0" w:color="auto"/>
            <w:bottom w:val="none" w:sz="0" w:space="0" w:color="auto"/>
            <w:right w:val="none" w:sz="0" w:space="0" w:color="auto"/>
          </w:divBdr>
        </w:div>
        <w:div w:id="1898082064">
          <w:marLeft w:val="446"/>
          <w:marRight w:val="0"/>
          <w:marTop w:val="0"/>
          <w:marBottom w:val="120"/>
          <w:divBdr>
            <w:top w:val="none" w:sz="0" w:space="0" w:color="auto"/>
            <w:left w:val="none" w:sz="0" w:space="0" w:color="auto"/>
            <w:bottom w:val="none" w:sz="0" w:space="0" w:color="auto"/>
            <w:right w:val="none" w:sz="0" w:space="0" w:color="auto"/>
          </w:divBdr>
        </w:div>
      </w:divsChild>
    </w:div>
    <w:div w:id="1895967697">
      <w:bodyDiv w:val="1"/>
      <w:marLeft w:val="0"/>
      <w:marRight w:val="0"/>
      <w:marTop w:val="0"/>
      <w:marBottom w:val="0"/>
      <w:divBdr>
        <w:top w:val="none" w:sz="0" w:space="0" w:color="auto"/>
        <w:left w:val="none" w:sz="0" w:space="0" w:color="auto"/>
        <w:bottom w:val="none" w:sz="0" w:space="0" w:color="auto"/>
        <w:right w:val="none" w:sz="0" w:space="0" w:color="auto"/>
      </w:divBdr>
    </w:div>
    <w:div w:id="1947230807">
      <w:bodyDiv w:val="1"/>
      <w:marLeft w:val="0"/>
      <w:marRight w:val="0"/>
      <w:marTop w:val="0"/>
      <w:marBottom w:val="0"/>
      <w:divBdr>
        <w:top w:val="none" w:sz="0" w:space="0" w:color="auto"/>
        <w:left w:val="none" w:sz="0" w:space="0" w:color="auto"/>
        <w:bottom w:val="none" w:sz="0" w:space="0" w:color="auto"/>
        <w:right w:val="none" w:sz="0" w:space="0" w:color="auto"/>
      </w:divBdr>
      <w:divsChild>
        <w:div w:id="296186575">
          <w:marLeft w:val="446"/>
          <w:marRight w:val="0"/>
          <w:marTop w:val="0"/>
          <w:marBottom w:val="120"/>
          <w:divBdr>
            <w:top w:val="none" w:sz="0" w:space="0" w:color="auto"/>
            <w:left w:val="none" w:sz="0" w:space="0" w:color="auto"/>
            <w:bottom w:val="none" w:sz="0" w:space="0" w:color="auto"/>
            <w:right w:val="none" w:sz="0" w:space="0" w:color="auto"/>
          </w:divBdr>
        </w:div>
        <w:div w:id="1487437463">
          <w:marLeft w:val="446"/>
          <w:marRight w:val="0"/>
          <w:marTop w:val="0"/>
          <w:marBottom w:val="120"/>
          <w:divBdr>
            <w:top w:val="none" w:sz="0" w:space="0" w:color="auto"/>
            <w:left w:val="none" w:sz="0" w:space="0" w:color="auto"/>
            <w:bottom w:val="none" w:sz="0" w:space="0" w:color="auto"/>
            <w:right w:val="none" w:sz="0" w:space="0" w:color="auto"/>
          </w:divBdr>
        </w:div>
        <w:div w:id="972253858">
          <w:marLeft w:val="446"/>
          <w:marRight w:val="0"/>
          <w:marTop w:val="0"/>
          <w:marBottom w:val="120"/>
          <w:divBdr>
            <w:top w:val="none" w:sz="0" w:space="0" w:color="auto"/>
            <w:left w:val="none" w:sz="0" w:space="0" w:color="auto"/>
            <w:bottom w:val="none" w:sz="0" w:space="0" w:color="auto"/>
            <w:right w:val="none" w:sz="0" w:space="0" w:color="auto"/>
          </w:divBdr>
        </w:div>
      </w:divsChild>
    </w:div>
    <w:div w:id="2043508414">
      <w:bodyDiv w:val="1"/>
      <w:marLeft w:val="0"/>
      <w:marRight w:val="0"/>
      <w:marTop w:val="0"/>
      <w:marBottom w:val="0"/>
      <w:divBdr>
        <w:top w:val="none" w:sz="0" w:space="0" w:color="auto"/>
        <w:left w:val="none" w:sz="0" w:space="0" w:color="auto"/>
        <w:bottom w:val="none" w:sz="0" w:space="0" w:color="auto"/>
        <w:right w:val="none" w:sz="0" w:space="0" w:color="auto"/>
      </w:divBdr>
    </w:div>
    <w:div w:id="2069183272">
      <w:bodyDiv w:val="1"/>
      <w:marLeft w:val="0"/>
      <w:marRight w:val="0"/>
      <w:marTop w:val="0"/>
      <w:marBottom w:val="0"/>
      <w:divBdr>
        <w:top w:val="none" w:sz="0" w:space="0" w:color="auto"/>
        <w:left w:val="none" w:sz="0" w:space="0" w:color="auto"/>
        <w:bottom w:val="none" w:sz="0" w:space="0" w:color="auto"/>
        <w:right w:val="none" w:sz="0" w:space="0" w:color="auto"/>
      </w:divBdr>
    </w:div>
    <w:div w:id="2133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articipants/finding-keeping-and-changing-jobs/thinking-about-work" TargetMode="External"/><Relationship Id="rId18" Type="http://schemas.openxmlformats.org/officeDocument/2006/relationships/hyperlink" Target="https://www.ndis.gov.au/participants/using-your-plan/changing-your-plan/change-circumstances" TargetMode="External"/><Relationship Id="rId26" Type="http://schemas.openxmlformats.org/officeDocument/2006/relationships/hyperlink" Target="https://www.ndis.gov.au/media/2456/download"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is.gov.au/providers/price-guides-and-pricing" TargetMode="External"/><Relationship Id="rId34" Type="http://schemas.openxmlformats.org/officeDocument/2006/relationships/hyperlink" Target="https://www.ndis.gov.au/providers/price-guides-and-pricing/annual-price-review/2019-20-annual-price-review"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dis.gov.au/participants/creating-your-plan/plan-budget-and-rules" TargetMode="External"/><Relationship Id="rId17" Type="http://schemas.openxmlformats.org/officeDocument/2006/relationships/hyperlink" Target="https://www.ndis.gov.au/providers/price-guides-and-pricing" TargetMode="External"/><Relationship Id="rId25" Type="http://schemas.openxmlformats.org/officeDocument/2006/relationships/hyperlink" Target="https://www.ndis.gov.au/media/2455/download" TargetMode="External"/><Relationship Id="rId33" Type="http://schemas.openxmlformats.org/officeDocument/2006/relationships/hyperlink" Target="https://www.ndis.gov.au/about-us/strategies/participant-employment-strategy"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urguidelines.ndis.gov.au/supports-you-can-access-menu/social-and-community-participation/work-and-study-supports" TargetMode="External"/><Relationship Id="rId20" Type="http://schemas.openxmlformats.org/officeDocument/2006/relationships/hyperlink" Target="https://www.ndis.gov.au/providers/price-guides-and-pricing/annual-price-review" TargetMode="External"/><Relationship Id="rId29" Type="http://schemas.openxmlformats.org/officeDocument/2006/relationships/hyperlink" Target="https://www.dss.gov.au/disability-and-carers-programs-services-for-service-providers-disability-employment-assistance-grant-agreement-from-1-july-2015/case-based-funding-price-2020-2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e-guides-and-pricing" TargetMode="External"/><Relationship Id="rId24" Type="http://schemas.openxmlformats.org/officeDocument/2006/relationships/hyperlink" Target="https://www.ndis.gov.au/media/2454/download" TargetMode="External"/><Relationship Id="rId32" Type="http://schemas.openxmlformats.org/officeDocument/2006/relationships/hyperlink" Target="mailto:provider.support@ndis.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dis.gov.au/understanding/supports-funded-ndis/reasonable-and-necessary-supports" TargetMode="External"/><Relationship Id="rId23" Type="http://schemas.openxmlformats.org/officeDocument/2006/relationships/hyperlink" Target="https://www.ndis.gov.au/participants/finding-keeping-and-changing-jobs/already-working-or-returning-work" TargetMode="External"/><Relationship Id="rId28" Type="http://schemas.openxmlformats.org/officeDocument/2006/relationships/hyperlink" Target="https://www.ndis.gov.au/about-us/operational-guidelines/planning-operational-guideline/planning-operational-guideline-reviewing-and-changing-participants-plan" TargetMode="External"/><Relationship Id="rId36" Type="http://schemas.openxmlformats.org/officeDocument/2006/relationships/hyperlink" Target="https://www.ndis.gov.au/understanding/supports-funded-ndis/reasonable-and-necessary-supports" TargetMode="External"/><Relationship Id="rId10" Type="http://schemas.openxmlformats.org/officeDocument/2006/relationships/endnotes" Target="endnotes.xml"/><Relationship Id="rId19" Type="http://schemas.openxmlformats.org/officeDocument/2006/relationships/hyperlink" Target="https://www.ndis.gov.au/media/2454/download" TargetMode="External"/><Relationship Id="rId31" Type="http://schemas.openxmlformats.org/officeDocument/2006/relationships/hyperlink" Target="https://www.ndis.gov.au/providers/working-provider/getting-pai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access.gov.au/people-with-disability/available-support" TargetMode="External"/><Relationship Id="rId22" Type="http://schemas.openxmlformats.org/officeDocument/2006/relationships/hyperlink" Target="https://www.ndis.gov.au/providers/price-guides-and-information" TargetMode="External"/><Relationship Id="rId27" Type="http://schemas.openxmlformats.org/officeDocument/2006/relationships/hyperlink" Target="https://www.ndis.gov.au/providers/working-provider/connecting-participants/managing-service-bookings" TargetMode="External"/><Relationship Id="rId30" Type="http://schemas.openxmlformats.org/officeDocument/2006/relationships/hyperlink" Target="https://www.ndis.gov.au/providers/working-provider/connecting-participants/service-agreements" TargetMode="External"/><Relationship Id="rId35" Type="http://schemas.openxmlformats.org/officeDocument/2006/relationships/hyperlink" Target="https://www.ndis.gov.au/participants/using-your-plan/managing-your-plan/understanding-price-guide"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12</Value>
      <Value>11</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TaxKeywordTaxHTField xmlns="4eda4ad6-7ef7-4305-ba1e-934f809bdd01">
      <Terms xmlns="http://schemas.microsoft.com/office/infopath/2007/PartnerControls"/>
    </TaxKeywordTaxHTField>
    <DocumentType_1 xmlns="http://schemas.microsoft.com/sharepoint/v3/fields">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9c435fa8-b660-48db-838f-774c7a1e0dc8</TermId>
        </TermInfo>
      </Terms>
    </DocumentType_1>
    <ApprovedDate xmlns="a879ef39-be85-448b-9212-017f5a8caa1f" xsi:nil="true"/>
    <ReviewDate xmlns="a879ef39-be85-448b-9212-017f5a8caa1f" xsi:nil="true"/>
    <EffectiveDate xmlns="a879ef39-be85-448b-9212-017f5a8caa1f" xsi:nil="true"/>
    <ResponsibleTeam xmlns="a879ef39-be85-448b-9212-017f5a8caa1f" xsi:nil="true"/>
    <DocumentID xmlns="a879ef39-be85-448b-9212-017f5a8ca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4eda4ad6-7ef7-4305-ba1e-934f809bdd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79ef39-be85-448b-9212-017f5a8caa1f"/>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63872F9B-D311-41A4-8528-7EF3D8BAC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F0377-6559-4A9E-B793-81B13222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5171</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SLES Provider Handbook</vt:lpstr>
    </vt:vector>
  </TitlesOfParts>
  <Company>FaHCSIA</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SLES Provider Handbook</dc:title>
  <dc:creator>HOPPER, Nicholas</dc:creator>
  <cp:keywords/>
  <dc:description/>
  <cp:lastModifiedBy>Wakefield, Phillip</cp:lastModifiedBy>
  <cp:revision>3</cp:revision>
  <cp:lastPrinted>2021-08-10T05:45:00Z</cp:lastPrinted>
  <dcterms:created xsi:type="dcterms:W3CDTF">2021-08-10T05:44:00Z</dcterms:created>
  <dcterms:modified xsi:type="dcterms:W3CDTF">2021-08-10T05:45:00Z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0x010100F428C054AD4B442F90DFE3102753E0A800F3E2298CC61FAC458112AEAF8686DB7D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11;#General|9c435fa8-b660-48db-838f-774c7a1e0dc8</vt:lpwstr>
  </property>
</Properties>
</file>