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13" w:rsidRDefault="00D0586F" w:rsidP="0069234C">
      <w:pPr>
        <w:tabs>
          <w:tab w:val="left" w:pos="1010"/>
          <w:tab w:val="left" w:pos="1913"/>
        </w:tabs>
      </w:pPr>
    </w:p>
    <w:tbl>
      <w:tblPr>
        <w:tblStyle w:val="TableGrid"/>
        <w:tblW w:w="5793" w:type="pct"/>
        <w:tblInd w:w="-1139" w:type="dxa"/>
        <w:tblLayout w:type="fixed"/>
        <w:tblLook w:val="04A0" w:firstRow="1" w:lastRow="0" w:firstColumn="1" w:lastColumn="0" w:noHBand="0" w:noVBand="1"/>
      </w:tblPr>
      <w:tblGrid>
        <w:gridCol w:w="1562"/>
        <w:gridCol w:w="1273"/>
        <w:gridCol w:w="7372"/>
        <w:gridCol w:w="1419"/>
        <w:gridCol w:w="1273"/>
        <w:gridCol w:w="1564"/>
        <w:gridCol w:w="1697"/>
      </w:tblGrid>
      <w:tr w:rsidR="00871A04" w:rsidRPr="00FB618C" w:rsidTr="00871A04">
        <w:trPr>
          <w:cantSplit/>
          <w:trHeight w:val="20"/>
          <w:tblHeader/>
        </w:trPr>
        <w:tc>
          <w:tcPr>
            <w:tcW w:w="483" w:type="pct"/>
            <w:shd w:val="clear" w:color="auto" w:fill="6B2976"/>
            <w:vAlign w:val="center"/>
            <w:hideMark/>
          </w:tcPr>
          <w:p w:rsidR="00871A04" w:rsidRPr="003B6633" w:rsidRDefault="00871A04" w:rsidP="00312F9E">
            <w:pPr>
              <w:spacing w:before="80" w:after="80" w:line="276" w:lineRule="auto"/>
              <w:jc w:val="center"/>
              <w:rPr>
                <w:b/>
                <w:bCs/>
                <w:color w:val="FFFFFF" w:themeColor="background1"/>
                <w:sz w:val="16"/>
                <w:szCs w:val="16"/>
              </w:rPr>
            </w:pPr>
            <w:r w:rsidRPr="003B6633">
              <w:rPr>
                <w:b/>
                <w:bCs/>
                <w:color w:val="FFFFFF" w:themeColor="background1"/>
                <w:sz w:val="16"/>
                <w:szCs w:val="16"/>
              </w:rPr>
              <w:t>ORGANISATION</w:t>
            </w:r>
          </w:p>
        </w:tc>
        <w:tc>
          <w:tcPr>
            <w:tcW w:w="394" w:type="pct"/>
            <w:shd w:val="clear" w:color="auto" w:fill="6B2976"/>
            <w:vAlign w:val="center"/>
            <w:hideMark/>
          </w:tcPr>
          <w:p w:rsidR="00871A04" w:rsidRPr="003B6633" w:rsidRDefault="00871A04" w:rsidP="00312F9E">
            <w:pPr>
              <w:spacing w:before="80" w:after="80" w:line="276" w:lineRule="auto"/>
              <w:jc w:val="center"/>
              <w:rPr>
                <w:b/>
                <w:bCs/>
                <w:color w:val="FFFFFF" w:themeColor="background1"/>
                <w:sz w:val="16"/>
                <w:szCs w:val="16"/>
              </w:rPr>
            </w:pPr>
            <w:r w:rsidRPr="003B6633">
              <w:rPr>
                <w:b/>
                <w:bCs/>
                <w:color w:val="FFFFFF" w:themeColor="background1"/>
                <w:sz w:val="16"/>
                <w:szCs w:val="16"/>
              </w:rPr>
              <w:t>PROJECT TITLE</w:t>
            </w:r>
          </w:p>
        </w:tc>
        <w:tc>
          <w:tcPr>
            <w:tcW w:w="2281" w:type="pct"/>
            <w:shd w:val="clear" w:color="auto" w:fill="6B2976"/>
            <w:vAlign w:val="center"/>
            <w:hideMark/>
          </w:tcPr>
          <w:p w:rsidR="00871A04" w:rsidRPr="003B6633" w:rsidRDefault="00871A04" w:rsidP="00312F9E">
            <w:pPr>
              <w:spacing w:before="80" w:after="80" w:line="276" w:lineRule="auto"/>
              <w:jc w:val="center"/>
              <w:rPr>
                <w:b/>
                <w:bCs/>
                <w:color w:val="FFFFFF" w:themeColor="background1"/>
                <w:sz w:val="16"/>
                <w:szCs w:val="16"/>
              </w:rPr>
            </w:pPr>
            <w:r w:rsidRPr="003B6633">
              <w:rPr>
                <w:b/>
                <w:bCs/>
                <w:color w:val="FFFFFF" w:themeColor="background1"/>
                <w:sz w:val="16"/>
                <w:szCs w:val="16"/>
              </w:rPr>
              <w:t>PROJECT DESCRIPTION</w:t>
            </w:r>
          </w:p>
        </w:tc>
        <w:tc>
          <w:tcPr>
            <w:tcW w:w="439" w:type="pct"/>
            <w:shd w:val="clear" w:color="auto" w:fill="6B2976"/>
            <w:vAlign w:val="center"/>
          </w:tcPr>
          <w:p w:rsidR="00871A04" w:rsidRPr="003B6633" w:rsidRDefault="00871A04" w:rsidP="00312F9E">
            <w:pPr>
              <w:spacing w:before="60" w:after="0" w:line="240" w:lineRule="auto"/>
              <w:jc w:val="center"/>
              <w:rPr>
                <w:b/>
                <w:bCs/>
                <w:color w:val="FFFFFF" w:themeColor="background1"/>
                <w:sz w:val="16"/>
                <w:szCs w:val="16"/>
              </w:rPr>
            </w:pPr>
            <w:r w:rsidRPr="003B6633">
              <w:rPr>
                <w:b/>
                <w:bCs/>
                <w:color w:val="FFFFFF" w:themeColor="background1"/>
                <w:sz w:val="16"/>
                <w:szCs w:val="16"/>
              </w:rPr>
              <w:t>TOTAL FUNDING AMOUNT</w:t>
            </w:r>
            <w:r w:rsidRPr="003B6633">
              <w:rPr>
                <w:b/>
                <w:bCs/>
                <w:color w:val="FFFFFF" w:themeColor="background1"/>
                <w:sz w:val="16"/>
                <w:szCs w:val="16"/>
              </w:rPr>
              <w:br/>
              <w:t>(GST excl.) and DURATION</w:t>
            </w:r>
          </w:p>
          <w:p w:rsidR="00871A04" w:rsidRPr="003B6633" w:rsidRDefault="00871A04" w:rsidP="00312F9E">
            <w:pPr>
              <w:spacing w:before="80" w:after="80" w:line="276" w:lineRule="auto"/>
              <w:jc w:val="center"/>
              <w:rPr>
                <w:b/>
                <w:bCs/>
                <w:color w:val="FFFFFF" w:themeColor="background1"/>
                <w:sz w:val="16"/>
                <w:szCs w:val="16"/>
              </w:rPr>
            </w:pPr>
            <w:r w:rsidRPr="003B6633">
              <w:rPr>
                <w:b/>
                <w:bCs/>
                <w:color w:val="FFFFFF" w:themeColor="background1"/>
                <w:sz w:val="16"/>
                <w:szCs w:val="16"/>
              </w:rPr>
              <w:t>(1 or 2 years)</w:t>
            </w:r>
          </w:p>
        </w:tc>
        <w:tc>
          <w:tcPr>
            <w:tcW w:w="394" w:type="pct"/>
            <w:shd w:val="clear" w:color="auto" w:fill="6B2976"/>
            <w:vAlign w:val="center"/>
          </w:tcPr>
          <w:p w:rsidR="00871A04" w:rsidRPr="003B6633" w:rsidRDefault="00871A04" w:rsidP="00312F9E">
            <w:pPr>
              <w:spacing w:before="80" w:after="80" w:line="276" w:lineRule="auto"/>
              <w:jc w:val="center"/>
              <w:rPr>
                <w:b/>
                <w:bCs/>
                <w:color w:val="FFFFFF" w:themeColor="background1"/>
                <w:sz w:val="16"/>
                <w:szCs w:val="16"/>
              </w:rPr>
            </w:pPr>
            <w:r w:rsidRPr="003B6633">
              <w:rPr>
                <w:b/>
                <w:bCs/>
                <w:color w:val="FFFFFF" w:themeColor="background1"/>
                <w:sz w:val="16"/>
                <w:szCs w:val="16"/>
              </w:rPr>
              <w:t>COVERAGE AREA</w:t>
            </w:r>
          </w:p>
        </w:tc>
        <w:tc>
          <w:tcPr>
            <w:tcW w:w="484" w:type="pct"/>
            <w:shd w:val="clear" w:color="auto" w:fill="6B2976"/>
            <w:vAlign w:val="center"/>
          </w:tcPr>
          <w:p w:rsidR="00871A04" w:rsidRPr="003B6633" w:rsidRDefault="00871A04" w:rsidP="00312F9E">
            <w:pPr>
              <w:spacing w:before="80" w:after="80" w:line="276" w:lineRule="auto"/>
              <w:jc w:val="center"/>
              <w:rPr>
                <w:b/>
                <w:bCs/>
                <w:color w:val="FFFFFF" w:themeColor="background1"/>
                <w:sz w:val="16"/>
                <w:szCs w:val="16"/>
              </w:rPr>
            </w:pPr>
            <w:r w:rsidRPr="003B6633">
              <w:rPr>
                <w:b/>
                <w:bCs/>
                <w:color w:val="FFFFFF" w:themeColor="background1"/>
                <w:sz w:val="16"/>
                <w:szCs w:val="16"/>
              </w:rPr>
              <w:t>FOCUS AREA: DISABILITY TYPE or DEMOGRAPHIC GROUP</w:t>
            </w:r>
          </w:p>
        </w:tc>
        <w:tc>
          <w:tcPr>
            <w:tcW w:w="525" w:type="pct"/>
            <w:tcBorders>
              <w:right w:val="single" w:sz="4" w:space="0" w:color="auto"/>
            </w:tcBorders>
            <w:shd w:val="clear" w:color="auto" w:fill="6B2976"/>
            <w:vAlign w:val="center"/>
          </w:tcPr>
          <w:p w:rsidR="00871A04" w:rsidRPr="003B6633" w:rsidRDefault="00871A04" w:rsidP="00312F9E">
            <w:pPr>
              <w:spacing w:before="80" w:after="80" w:line="276" w:lineRule="auto"/>
              <w:jc w:val="center"/>
              <w:rPr>
                <w:b/>
                <w:bCs/>
                <w:color w:val="FFFFFF" w:themeColor="background1"/>
                <w:sz w:val="16"/>
                <w:szCs w:val="16"/>
              </w:rPr>
            </w:pPr>
            <w:r w:rsidRPr="003B6633">
              <w:rPr>
                <w:b/>
                <w:bCs/>
                <w:color w:val="FFFFFF" w:themeColor="background1"/>
                <w:sz w:val="16"/>
                <w:szCs w:val="16"/>
              </w:rPr>
              <w:t>PROJECT PARTNERS</w:t>
            </w:r>
          </w:p>
        </w:tc>
      </w:tr>
      <w:tr w:rsidR="00871A04" w:rsidRPr="003E282E"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Action on Disability within Ethnic Communities Inc.</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Diversity, Inclusion and Equality </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The Diversity, Inclusion and Equality Program</w:t>
            </w:r>
            <w:r w:rsidRPr="00871A04">
              <w:rPr>
                <w:sz w:val="16"/>
                <w:szCs w:val="16"/>
              </w:rPr>
              <w:t xml:space="preserve"> is a two year initiative to collaboratively develop and deliver workshops in eight different CALD communities in Melbourne. The project will equip individuals with disability with increased knowledge and confidence to engage with services to make informed decisions and participate in their community. Eight community workshops will include</w:t>
            </w:r>
            <w:r w:rsidR="00C5523E">
              <w:rPr>
                <w:sz w:val="16"/>
                <w:szCs w:val="16"/>
              </w:rPr>
              <w:t xml:space="preserve">: </w:t>
            </w:r>
            <w:r w:rsidRPr="00871A04">
              <w:rPr>
                <w:sz w:val="16"/>
                <w:szCs w:val="16"/>
              </w:rPr>
              <w:t xml:space="preserve">skill building in managing domestic abuse between people with disability and their carers, understanding gender equality and LGBTIQA+ </w:t>
            </w:r>
            <w:r w:rsidR="00C5523E">
              <w:rPr>
                <w:sz w:val="16"/>
                <w:szCs w:val="16"/>
              </w:rPr>
              <w:t xml:space="preserve">people </w:t>
            </w:r>
            <w:r w:rsidRPr="00871A04">
              <w:rPr>
                <w:sz w:val="16"/>
                <w:szCs w:val="16"/>
              </w:rPr>
              <w:t xml:space="preserve">and educating participants about their rights in society and relevant community support services available to them. Resources developed through the program will be translated into eight different languages. Funding is also directed towards a ‘train the trainer’ program with </w:t>
            </w:r>
            <w:r w:rsidR="00C5523E">
              <w:rPr>
                <w:sz w:val="16"/>
                <w:szCs w:val="16"/>
              </w:rPr>
              <w:t>Culturally and Linguistically Diverse (</w:t>
            </w:r>
            <w:r w:rsidRPr="00871A04">
              <w:rPr>
                <w:sz w:val="16"/>
                <w:szCs w:val="16"/>
              </w:rPr>
              <w:t>CALD</w:t>
            </w:r>
            <w:r w:rsidR="00C5523E">
              <w:rPr>
                <w:sz w:val="16"/>
                <w:szCs w:val="16"/>
              </w:rPr>
              <w:t>)</w:t>
            </w:r>
            <w:r w:rsidRPr="00871A04">
              <w:rPr>
                <w:sz w:val="16"/>
                <w:szCs w:val="16"/>
              </w:rPr>
              <w:t xml:space="preserve"> community leaders to train them to deliver further workshops in other communities after the funding concludes.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$191,010.46</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871A04">
            <w:pPr>
              <w:spacing w:before="80" w:after="80" w:line="276" w:lineRule="auto"/>
              <w:rPr>
                <w:sz w:val="16"/>
                <w:szCs w:val="16"/>
              </w:rPr>
            </w:pPr>
            <w:r w:rsidRPr="00871A04">
              <w:rPr>
                <w:sz w:val="16"/>
                <w:szCs w:val="16"/>
              </w:rPr>
              <w:t>Victoria</w:t>
            </w:r>
          </w:p>
        </w:tc>
        <w:tc>
          <w:tcPr>
            <w:tcW w:w="484" w:type="pct"/>
          </w:tcPr>
          <w:p w:rsidR="00871A04" w:rsidRPr="00871A04" w:rsidRDefault="00871A04" w:rsidP="00312F9E">
            <w:pPr>
              <w:spacing w:before="80" w:after="80" w:line="276" w:lineRule="auto"/>
              <w:rPr>
                <w:sz w:val="16"/>
                <w:szCs w:val="16"/>
              </w:rPr>
            </w:pPr>
            <w:r w:rsidRPr="00871A04">
              <w:rPr>
                <w:sz w:val="16"/>
                <w:szCs w:val="16"/>
              </w:rPr>
              <w:t>Culturally and Linguistically Diverse communities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3E282E"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Amaze Incorporated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Integrated Autism Information and Support Service</w:t>
            </w:r>
          </w:p>
        </w:tc>
        <w:tc>
          <w:tcPr>
            <w:tcW w:w="2281" w:type="pct"/>
            <w:hideMark/>
          </w:tcPr>
          <w:p w:rsidR="00871A04" w:rsidRPr="00871A04" w:rsidRDefault="00871A04" w:rsidP="00C5523E">
            <w:pPr>
              <w:spacing w:before="80" w:after="80" w:line="276" w:lineRule="auto"/>
              <w:rPr>
                <w:sz w:val="16"/>
                <w:szCs w:val="16"/>
              </w:rPr>
            </w:pPr>
            <w:r w:rsidRPr="00871A04">
              <w:rPr>
                <w:sz w:val="16"/>
                <w:szCs w:val="16"/>
              </w:rPr>
              <w:t>This two year project pilots a multichannel Integrated Autism Information and Support Service in Victoria with a plan for national scale up. The service provides free, independent, accessible, evidence-based autism information and support for people with autism, families and carers. The content will include diagnosis advice, service information and referrals to community and peer support. Funding is directed towards establish</w:t>
            </w:r>
            <w:r w:rsidR="00C5523E">
              <w:rPr>
                <w:sz w:val="16"/>
                <w:szCs w:val="16"/>
              </w:rPr>
              <w:t xml:space="preserve">ing and operating </w:t>
            </w:r>
            <w:r w:rsidRPr="00871A04">
              <w:rPr>
                <w:sz w:val="16"/>
                <w:szCs w:val="16"/>
              </w:rPr>
              <w:t>the 12hr/day, 5 days/pw phone, SMS, email and web chat service.</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$858,755.18</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Victoria</w:t>
            </w:r>
          </w:p>
        </w:tc>
        <w:tc>
          <w:tcPr>
            <w:tcW w:w="484" w:type="pct"/>
          </w:tcPr>
          <w:p w:rsidR="00871A04" w:rsidRPr="00871A04" w:rsidRDefault="00871A04" w:rsidP="00312F9E">
            <w:pPr>
              <w:spacing w:before="80" w:after="80" w:line="276" w:lineRule="auto"/>
              <w:rPr>
                <w:sz w:val="16"/>
                <w:szCs w:val="16"/>
              </w:rPr>
            </w:pPr>
            <w:r w:rsidRPr="00871A04">
              <w:rPr>
                <w:sz w:val="16"/>
                <w:szCs w:val="16"/>
              </w:rPr>
              <w:t>Autism Spectrum Disorder</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ARTD Consultants</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ARAFMI Queensland Inc.</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ARAFMI QLD Carer Peer Learning Hub</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ARAFMI Queensland’s Carer Peer Learning Hub is a two year project to extend information, linkages and referrals to carers and people with a psychosocial disability across Queensland.</w:t>
            </w:r>
            <w:r w:rsidR="00D34452">
              <w:rPr>
                <w:sz w:val="16"/>
                <w:szCs w:val="16"/>
              </w:rPr>
              <w:t xml:space="preserve"> </w:t>
            </w:r>
            <w:r w:rsidRPr="00871A04">
              <w:rPr>
                <w:sz w:val="16"/>
                <w:szCs w:val="16"/>
              </w:rPr>
              <w:t xml:space="preserve">The program will extend the current activities of the Hub which provides an online network, 24/7 phone support, support groups, access to workshops and education and one-to-one support for carers and people with psychosocial disability. Funding is also directed towards establishing Carer Peer Learning Network (CPLN). Phase one of this project will establish resources such as peer education sessions, carer’s stories and accessible, printable resources. Phase two will expand the 24/7 support line, incorporating additional training, coordination and resources for carers specifically relating to the </w:t>
            </w:r>
            <w:r w:rsidR="00D34452">
              <w:rPr>
                <w:sz w:val="16"/>
                <w:szCs w:val="16"/>
              </w:rPr>
              <w:t>National Disability Insurance Scheme (</w:t>
            </w:r>
            <w:r w:rsidRPr="00871A04">
              <w:rPr>
                <w:sz w:val="16"/>
                <w:szCs w:val="16"/>
              </w:rPr>
              <w:t>NDIS</w:t>
            </w:r>
            <w:r w:rsidR="00D34452">
              <w:rPr>
                <w:sz w:val="16"/>
                <w:szCs w:val="16"/>
              </w:rPr>
              <w:t>)</w:t>
            </w:r>
            <w:r w:rsidRPr="00871A04">
              <w:rPr>
                <w:sz w:val="16"/>
                <w:szCs w:val="16"/>
              </w:rPr>
              <w:t>. Expansion of the CarerConnect service in phase two will also enable more focussed one-to-one support of carers.</w:t>
            </w:r>
          </w:p>
          <w:p w:rsidR="00871A04" w:rsidRPr="00871A04" w:rsidRDefault="00871A04" w:rsidP="00D34452">
            <w:pPr>
              <w:spacing w:before="80" w:after="80" w:line="276" w:lineRule="auto"/>
              <w:rPr>
                <w:sz w:val="16"/>
                <w:szCs w:val="16"/>
              </w:rPr>
            </w:pPr>
            <w:r w:rsidRPr="00871A04">
              <w:rPr>
                <w:sz w:val="16"/>
                <w:szCs w:val="16"/>
              </w:rPr>
              <w:t xml:space="preserve">The program will provide for significant geographical reach across the entire state of </w:t>
            </w:r>
            <w:r w:rsidR="00D34452">
              <w:rPr>
                <w:sz w:val="16"/>
                <w:szCs w:val="16"/>
              </w:rPr>
              <w:t xml:space="preserve">Queensland </w:t>
            </w:r>
            <w:r w:rsidRPr="00871A04">
              <w:rPr>
                <w:sz w:val="16"/>
                <w:szCs w:val="16"/>
              </w:rPr>
              <w:t xml:space="preserve">through multi-regional and multi-modal service delivery. Information and support will be delivered by carers and family members, as well as a trained peer network with specific skills and knowledge in relation to the lived experience of </w:t>
            </w:r>
            <w:r w:rsidR="00D34452">
              <w:rPr>
                <w:sz w:val="16"/>
                <w:szCs w:val="16"/>
              </w:rPr>
              <w:t xml:space="preserve">psychosocial disability </w:t>
            </w:r>
            <w:r w:rsidRPr="00871A04">
              <w:rPr>
                <w:sz w:val="16"/>
                <w:szCs w:val="16"/>
              </w:rPr>
              <w:t xml:space="preserve">and impact on families and carers.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$1,043,274.40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Queensland</w:t>
            </w:r>
          </w:p>
        </w:tc>
        <w:tc>
          <w:tcPr>
            <w:tcW w:w="484" w:type="pct"/>
          </w:tcPr>
          <w:p w:rsidR="00871A04" w:rsidRPr="00871A04" w:rsidRDefault="00871A04" w:rsidP="00312F9E">
            <w:pPr>
              <w:spacing w:before="80" w:after="80" w:line="276" w:lineRule="auto"/>
              <w:rPr>
                <w:sz w:val="16"/>
                <w:szCs w:val="16"/>
              </w:rPr>
            </w:pPr>
            <w:r w:rsidRPr="00871A04">
              <w:rPr>
                <w:sz w:val="16"/>
                <w:szCs w:val="16"/>
              </w:rPr>
              <w:t>Psychosocial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Association for Children with a Disability</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Healthy Mothers Healthy Families Workshops</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 xml:space="preserve">This two year project will adapt and expand the </w:t>
            </w:r>
            <w:r w:rsidRPr="00871A04">
              <w:rPr>
                <w:i/>
                <w:iCs/>
                <w:sz w:val="16"/>
                <w:szCs w:val="16"/>
              </w:rPr>
              <w:t>Healthy Mothers, Healthy Families</w:t>
            </w:r>
            <w:r w:rsidRPr="00871A04">
              <w:rPr>
                <w:sz w:val="16"/>
                <w:szCs w:val="16"/>
              </w:rPr>
              <w:t xml:space="preserve"> (HMHF) workshops by training six facilitators to deliver 26 workshops across Victoria and Tasmania to mothers of children with disability. The improved online resource platform and face to face workshops aim to support participants to access activities, services and resources, encourage help-seeking behaviours, link to mainstream services and assist mothers to improve their families’ health outcomes.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$525,690.00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Tasmania, Victoria</w:t>
            </w:r>
          </w:p>
        </w:tc>
        <w:tc>
          <w:tcPr>
            <w:tcW w:w="484" w:type="pct"/>
          </w:tcPr>
          <w:p w:rsidR="00871A04" w:rsidRPr="00871A04" w:rsidRDefault="00871A04" w:rsidP="00312F9E">
            <w:pPr>
              <w:spacing w:before="80" w:after="80" w:line="276" w:lineRule="auto"/>
              <w:rPr>
                <w:sz w:val="16"/>
                <w:szCs w:val="16"/>
              </w:rPr>
            </w:pPr>
            <w:r w:rsidRPr="00871A04">
              <w:rPr>
                <w:sz w:val="16"/>
                <w:szCs w:val="16"/>
              </w:rPr>
              <w:t>Mothers of children with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Consortium: Monash University.</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Australian Communications Consumer Action Network Limited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Nationwide Disability Telecommunications Information and Referral Service  (NDTS)</w:t>
            </w:r>
          </w:p>
        </w:tc>
        <w:tc>
          <w:tcPr>
            <w:tcW w:w="2281" w:type="pct"/>
            <w:hideMark/>
          </w:tcPr>
          <w:p w:rsidR="00871A04" w:rsidRPr="00871A04" w:rsidRDefault="00871A04" w:rsidP="00D34452">
            <w:pPr>
              <w:spacing w:before="80" w:after="80" w:line="276" w:lineRule="auto"/>
              <w:rPr>
                <w:sz w:val="16"/>
                <w:szCs w:val="16"/>
              </w:rPr>
            </w:pPr>
            <w:r w:rsidRPr="00871A04">
              <w:rPr>
                <w:iCs/>
                <w:sz w:val="16"/>
                <w:szCs w:val="16"/>
              </w:rPr>
              <w:t>This two year project works to address the nation</w:t>
            </w:r>
            <w:r w:rsidR="00D34452">
              <w:rPr>
                <w:iCs/>
                <w:sz w:val="16"/>
                <w:szCs w:val="16"/>
              </w:rPr>
              <w:t>-</w:t>
            </w:r>
            <w:r w:rsidRPr="00871A04">
              <w:rPr>
                <w:iCs/>
                <w:sz w:val="16"/>
                <w:szCs w:val="16"/>
              </w:rPr>
              <w:t xml:space="preserve">wide lack of </w:t>
            </w:r>
            <w:r w:rsidRPr="00871A04">
              <w:rPr>
                <w:sz w:val="16"/>
                <w:szCs w:val="16"/>
              </w:rPr>
              <w:t xml:space="preserve">independent, easily accessed information and training </w:t>
            </w:r>
            <w:r w:rsidRPr="00871A04">
              <w:rPr>
                <w:iCs/>
                <w:sz w:val="16"/>
                <w:szCs w:val="16"/>
              </w:rPr>
              <w:t xml:space="preserve">on finding, setting up and using </w:t>
            </w:r>
            <w:r w:rsidRPr="00871A04">
              <w:rPr>
                <w:sz w:val="16"/>
                <w:szCs w:val="16"/>
              </w:rPr>
              <w:t xml:space="preserve">mainstream and specialised communications by people with disability. </w:t>
            </w:r>
            <w:r w:rsidRPr="00871A04">
              <w:rPr>
                <w:i/>
                <w:iCs/>
                <w:sz w:val="16"/>
                <w:szCs w:val="16"/>
              </w:rPr>
              <w:t>The Nationwide Disability Telecommunications Information and Referral Service</w:t>
            </w:r>
            <w:r w:rsidRPr="00871A04">
              <w:rPr>
                <w:sz w:val="16"/>
                <w:szCs w:val="16"/>
              </w:rPr>
              <w:t xml:space="preserve"> (NDTS), will be a national one-stop shop for all digital communications inquiries for</w:t>
            </w:r>
            <w:r w:rsidR="00D0586F">
              <w:rPr>
                <w:sz w:val="16"/>
                <w:szCs w:val="16"/>
              </w:rPr>
              <w:t xml:space="preserve"> </w:t>
            </w:r>
            <w:r w:rsidR="00D34452">
              <w:rPr>
                <w:sz w:val="16"/>
                <w:szCs w:val="16"/>
              </w:rPr>
              <w:t>people with disability:</w:t>
            </w:r>
            <w:r w:rsidR="00D0586F">
              <w:rPr>
                <w:sz w:val="16"/>
                <w:szCs w:val="16"/>
              </w:rPr>
              <w:t xml:space="preserve"> </w:t>
            </w:r>
            <w:r w:rsidRPr="00871A04">
              <w:rPr>
                <w:sz w:val="16"/>
                <w:szCs w:val="16"/>
              </w:rPr>
              <w:t xml:space="preserve">inclusive of disability, age, income and digital literacy. The service will provide free, independent and up-to-date information, regarding assistive digital communications products. The service will utilise multiple channels, such as phone, web-chat, SMS, online and print material to enable people with disability to make informed product choice and to effectively set up and use assistive technology. Funding will also be directed towards enabling employment, education and participation opportunities for people with disability in establishing and delivering the service. The project will also provide the essential referrals needed for appropriate further digital training, set-up, ongoing support and referrals to equipment provision resources </w:t>
            </w:r>
            <w:r w:rsidR="00D34452" w:rsidRPr="00871A04">
              <w:rPr>
                <w:sz w:val="16"/>
                <w:szCs w:val="16"/>
              </w:rPr>
              <w:t>for</w:t>
            </w:r>
            <w:r w:rsidR="00D34452">
              <w:rPr>
                <w:sz w:val="16"/>
                <w:szCs w:val="16"/>
              </w:rPr>
              <w:t xml:space="preserve"> people with disability</w:t>
            </w:r>
            <w:r w:rsidRPr="00871A04">
              <w:rPr>
                <w:sz w:val="16"/>
                <w:szCs w:val="16"/>
              </w:rPr>
              <w:t xml:space="preserve">.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$1,497,525.00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iCs/>
                <w:sz w:val="16"/>
                <w:szCs w:val="16"/>
              </w:rPr>
              <w:t>All people with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Ideas Information on Disability Education Awareness Services</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Autism Queensland Limited</w:t>
            </w:r>
          </w:p>
        </w:tc>
        <w:tc>
          <w:tcPr>
            <w:tcW w:w="394" w:type="pct"/>
            <w:hideMark/>
          </w:tcPr>
          <w:p w:rsidR="00871A04" w:rsidRPr="00871A04" w:rsidRDefault="00871A04" w:rsidP="00312F9E">
            <w:pPr>
              <w:spacing w:before="80" w:after="80" w:line="276" w:lineRule="auto"/>
              <w:rPr>
                <w:i/>
                <w:sz w:val="16"/>
                <w:szCs w:val="16"/>
              </w:rPr>
            </w:pPr>
            <w:r w:rsidRPr="00871A04">
              <w:rPr>
                <w:i/>
                <w:sz w:val="16"/>
                <w:szCs w:val="16"/>
              </w:rPr>
              <w:t xml:space="preserve">Steppin Up, Steppin Out </w:t>
            </w:r>
          </w:p>
        </w:tc>
        <w:tc>
          <w:tcPr>
            <w:tcW w:w="2281" w:type="pct"/>
            <w:hideMark/>
          </w:tcPr>
          <w:p w:rsidR="00871A04" w:rsidRPr="00871A04" w:rsidRDefault="00871A04" w:rsidP="00D34452">
            <w:pPr>
              <w:spacing w:before="80" w:after="80" w:line="276" w:lineRule="auto"/>
              <w:rPr>
                <w:sz w:val="16"/>
                <w:szCs w:val="16"/>
              </w:rPr>
            </w:pPr>
            <w:r w:rsidRPr="00871A04">
              <w:rPr>
                <w:i/>
                <w:iCs/>
                <w:sz w:val="16"/>
                <w:szCs w:val="16"/>
              </w:rPr>
              <w:t>Steppin’ Up, Steppin’ Ou</w:t>
            </w:r>
            <w:r w:rsidRPr="00871A04">
              <w:rPr>
                <w:i/>
                <w:sz w:val="16"/>
                <w:szCs w:val="16"/>
              </w:rPr>
              <w:t>t</w:t>
            </w:r>
            <w:r w:rsidRPr="00871A04">
              <w:rPr>
                <w:sz w:val="16"/>
                <w:szCs w:val="16"/>
              </w:rPr>
              <w:t xml:space="preserve"> will provide autism specific information, community linkages and service referrals for young people with autism, their parents, carers, family and community. This pilot will be rolled-out across Queensland and the Northern Territory over two years and will inform national service delivery in the future. Project activities include ‘Yarn Ups’ to build culturally respectful and trusting connections between families, mainstream support networks, and community groups in setting goals for young people with autism to participate in an ordinary community life.</w:t>
            </w:r>
            <w:r w:rsidR="00D34452">
              <w:rPr>
                <w:sz w:val="16"/>
                <w:szCs w:val="16"/>
              </w:rPr>
              <w:t xml:space="preserve"> </w:t>
            </w:r>
            <w:r w:rsidRPr="00871A04">
              <w:rPr>
                <w:sz w:val="16"/>
                <w:szCs w:val="16"/>
              </w:rPr>
              <w:t xml:space="preserve">Funding is also directed towards </w:t>
            </w:r>
            <w:proofErr w:type="spellStart"/>
            <w:r w:rsidRPr="00871A04">
              <w:rPr>
                <w:i/>
                <w:sz w:val="16"/>
                <w:szCs w:val="16"/>
              </w:rPr>
              <w:t>Steppin</w:t>
            </w:r>
            <w:proofErr w:type="spellEnd"/>
            <w:r w:rsidRPr="00871A04">
              <w:rPr>
                <w:i/>
                <w:sz w:val="16"/>
                <w:szCs w:val="16"/>
              </w:rPr>
              <w:t>’ Up</w:t>
            </w:r>
            <w:r w:rsidR="004C052F">
              <w:rPr>
                <w:i/>
                <w:sz w:val="16"/>
                <w:szCs w:val="16"/>
              </w:rPr>
              <w:t xml:space="preserve">, </w:t>
            </w:r>
            <w:proofErr w:type="spellStart"/>
            <w:r w:rsidRPr="00871A04">
              <w:rPr>
                <w:i/>
                <w:sz w:val="16"/>
                <w:szCs w:val="16"/>
              </w:rPr>
              <w:t>Steppin</w:t>
            </w:r>
            <w:proofErr w:type="spellEnd"/>
            <w:r w:rsidRPr="00871A04">
              <w:rPr>
                <w:i/>
                <w:sz w:val="16"/>
                <w:szCs w:val="16"/>
              </w:rPr>
              <w:t>’ Out</w:t>
            </w:r>
            <w:r w:rsidRPr="00871A04">
              <w:rPr>
                <w:sz w:val="16"/>
                <w:szCs w:val="16"/>
              </w:rPr>
              <w:t xml:space="preserve"> Indigenous Liaison staff, establishing the Family Goal Setting Tool, information workshops and developing program resources such as Easy Read English resources and an animated film.</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$1,687,902.99</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Northern Territory, Queensland</w:t>
            </w:r>
          </w:p>
        </w:tc>
        <w:tc>
          <w:tcPr>
            <w:tcW w:w="484" w:type="pct"/>
          </w:tcPr>
          <w:p w:rsidR="00871A04" w:rsidRPr="00871A04" w:rsidRDefault="00871A04" w:rsidP="00312F9E">
            <w:pPr>
              <w:spacing w:before="80" w:after="80" w:line="276" w:lineRule="auto"/>
              <w:rPr>
                <w:sz w:val="16"/>
                <w:szCs w:val="16"/>
              </w:rPr>
            </w:pPr>
            <w:r w:rsidRPr="00871A04">
              <w:rPr>
                <w:sz w:val="16"/>
                <w:szCs w:val="16"/>
              </w:rPr>
              <w:t>Autism Spectrum Disorder; Aboriginal and Torres Strait Islander communities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Baptist Care (SA) Incorporated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Able and Deadly </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Able and Deadly</w:t>
            </w:r>
            <w:r w:rsidRPr="00871A04">
              <w:rPr>
                <w:sz w:val="16"/>
                <w:szCs w:val="16"/>
              </w:rPr>
              <w:t xml:space="preserve"> aims to establish a co-designed, best practice national approach to improving access to NDIS supports or mainstream supports for groups of people with disability who may not readily use traditional literature, web-based portals or phone help-lines. The program will test and develop innovative ways of providing information and connection</w:t>
            </w:r>
            <w:r w:rsidR="00D34452">
              <w:rPr>
                <w:sz w:val="16"/>
                <w:szCs w:val="16"/>
              </w:rPr>
              <w:t>,</w:t>
            </w:r>
            <w:r w:rsidRPr="00871A04">
              <w:rPr>
                <w:sz w:val="16"/>
                <w:szCs w:val="16"/>
              </w:rPr>
              <w:t xml:space="preserve"> targeting people from Aboriginal and Torres Strait Islander backgrounds, people with psychosocial or cognitive disability, and people who are experiencing homelessness. Funding is directed towards employing an Aboriginal Engagement Worker and a Mental Health Peer Educator to work alongside a peer advisory group to co-design information programs and generate materials including workshops and cultural programs. Supporting this will be a rigorous evaluation and widespread dissemination process to support the development of national best practice for ILC delivery to these target groups.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$560,351.80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South Australia</w:t>
            </w:r>
          </w:p>
        </w:tc>
        <w:tc>
          <w:tcPr>
            <w:tcW w:w="484" w:type="pct"/>
          </w:tcPr>
          <w:p w:rsidR="00871A04" w:rsidRPr="00871A04" w:rsidRDefault="00871A04" w:rsidP="00312F9E">
            <w:pPr>
              <w:spacing w:before="80" w:after="80" w:line="276" w:lineRule="auto"/>
              <w:rPr>
                <w:sz w:val="16"/>
                <w:szCs w:val="16"/>
              </w:rPr>
            </w:pPr>
            <w:r w:rsidRPr="00871A04">
              <w:rPr>
                <w:iCs/>
                <w:sz w:val="16"/>
                <w:szCs w:val="16"/>
              </w:rPr>
              <w:t>Hard to reach populations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Health Outcomes International Pty Ltd</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Belinda Moylan Therapy Services PTY LTD.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Stroke Education and Peer Support Group (SEPSG) Pilot</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 xml:space="preserve">This two year program pilots a </w:t>
            </w:r>
            <w:r w:rsidRPr="00871A04">
              <w:rPr>
                <w:i/>
                <w:iCs/>
                <w:sz w:val="16"/>
                <w:szCs w:val="16"/>
              </w:rPr>
              <w:t>Stroke Education and Peer Support Group</w:t>
            </w:r>
            <w:r w:rsidRPr="00871A04">
              <w:rPr>
                <w:sz w:val="16"/>
                <w:szCs w:val="16"/>
              </w:rPr>
              <w:t xml:space="preserve"> (SEPSG). The co-created and user led program aims to support participants to access information, reconnect to their community and build the confidence to advocate for their recovery journey. Delivered in partnership with The Stroke Foundation Australia, this pilot will be used as the basis for creating a national program.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$230,885.84</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New South Wales </w:t>
            </w:r>
          </w:p>
        </w:tc>
        <w:tc>
          <w:tcPr>
            <w:tcW w:w="484" w:type="pct"/>
          </w:tcPr>
          <w:p w:rsidR="00871A04" w:rsidRPr="00871A04" w:rsidRDefault="00871A04" w:rsidP="00312F9E">
            <w:pPr>
              <w:spacing w:before="80" w:after="80" w:line="276" w:lineRule="auto"/>
              <w:rPr>
                <w:sz w:val="16"/>
                <w:szCs w:val="16"/>
              </w:rPr>
            </w:pPr>
            <w:r w:rsidRPr="00871A04">
              <w:rPr>
                <w:sz w:val="16"/>
                <w:szCs w:val="16"/>
              </w:rPr>
              <w:t xml:space="preserve">Stroke </w:t>
            </w:r>
            <w:r w:rsidRPr="00871A04" w:rsidDel="00ED6564">
              <w:rPr>
                <w:sz w:val="16"/>
                <w:szCs w:val="16"/>
              </w:rPr>
              <w:t xml:space="preserve"> </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 xml:space="preserve">The Stroke Foundation Australia </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Brainlink Services Ltd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Practical guide for Acquired Brain Injury</w:t>
            </w:r>
          </w:p>
        </w:tc>
        <w:tc>
          <w:tcPr>
            <w:tcW w:w="2281" w:type="pct"/>
            <w:hideMark/>
          </w:tcPr>
          <w:p w:rsidR="00871A04" w:rsidRPr="00871A04" w:rsidRDefault="00871A04" w:rsidP="00EA5034">
            <w:pPr>
              <w:spacing w:before="80" w:after="80" w:line="276" w:lineRule="auto"/>
              <w:rPr>
                <w:sz w:val="16"/>
                <w:szCs w:val="16"/>
              </w:rPr>
            </w:pPr>
            <w:r w:rsidRPr="00871A04">
              <w:rPr>
                <w:sz w:val="16"/>
                <w:szCs w:val="16"/>
              </w:rPr>
              <w:t xml:space="preserve">This one year project will develop a nationally available, practical guide to assist people newly diagnosed with acquired brain injury and their family and carers to better understand, manage and reduce the impact of their disability. The guide takes a key focus on supports available in regional and rural areas and aims to provide immediate information for newly diagnosed people with acquired brain injury to support them to make choices about transitioning to the </w:t>
            </w:r>
            <w:r w:rsidR="00EA5034">
              <w:rPr>
                <w:sz w:val="16"/>
                <w:szCs w:val="16"/>
              </w:rPr>
              <w:t>National Disability Insurance Scheme (NDIS)</w:t>
            </w:r>
            <w:r w:rsidR="00EA5034" w:rsidRPr="00871A04">
              <w:rPr>
                <w:sz w:val="16"/>
                <w:szCs w:val="16"/>
              </w:rPr>
              <w:t xml:space="preserve"> </w:t>
            </w:r>
            <w:r w:rsidRPr="00871A04">
              <w:rPr>
                <w:sz w:val="16"/>
                <w:szCs w:val="16"/>
              </w:rPr>
              <w:t>if appropriate.</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$189,076.00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(one year)</w:t>
            </w:r>
          </w:p>
        </w:tc>
        <w:tc>
          <w:tcPr>
            <w:tcW w:w="394" w:type="pct"/>
          </w:tcPr>
          <w:p w:rsidR="00871A04" w:rsidRPr="00871A04" w:rsidRDefault="00871A04" w:rsidP="00312F9E">
            <w:pPr>
              <w:spacing w:before="80" w:after="80" w:line="276" w:lineRule="auto"/>
              <w:rPr>
                <w:sz w:val="16"/>
                <w:szCs w:val="16"/>
              </w:rPr>
            </w:pPr>
            <w:r w:rsidRPr="00871A04">
              <w:rPr>
                <w:sz w:val="16"/>
                <w:szCs w:val="16"/>
              </w:rPr>
              <w:t>Victoria</w:t>
            </w:r>
          </w:p>
        </w:tc>
        <w:tc>
          <w:tcPr>
            <w:tcW w:w="484" w:type="pct"/>
          </w:tcPr>
          <w:p w:rsidR="00871A04" w:rsidRPr="00871A04" w:rsidRDefault="00871A04" w:rsidP="00312F9E">
            <w:pPr>
              <w:spacing w:before="80" w:after="80" w:line="276" w:lineRule="auto"/>
              <w:rPr>
                <w:sz w:val="16"/>
                <w:szCs w:val="16"/>
              </w:rPr>
            </w:pPr>
            <w:r w:rsidRPr="00871A04">
              <w:rPr>
                <w:sz w:val="16"/>
                <w:szCs w:val="16"/>
              </w:rPr>
              <w:t xml:space="preserve">Acquired Brain Injury </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Cystic Fibrosis Community Care Ltd.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Cystic Fibrosis Circle </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 xml:space="preserve">The </w:t>
            </w:r>
            <w:r w:rsidRPr="00871A04">
              <w:rPr>
                <w:i/>
                <w:iCs/>
                <w:sz w:val="16"/>
                <w:szCs w:val="16"/>
              </w:rPr>
              <w:t xml:space="preserve">Cystic Fibrosis Circle </w:t>
            </w:r>
            <w:r w:rsidRPr="00871A04">
              <w:rPr>
                <w:iCs/>
                <w:sz w:val="16"/>
                <w:szCs w:val="16"/>
              </w:rPr>
              <w:t>is a two year</w:t>
            </w:r>
            <w:r w:rsidRPr="00871A04">
              <w:rPr>
                <w:i/>
                <w:iCs/>
                <w:sz w:val="16"/>
                <w:szCs w:val="16"/>
              </w:rPr>
              <w:t xml:space="preserve"> </w:t>
            </w:r>
            <w:r w:rsidRPr="00871A04">
              <w:rPr>
                <w:sz w:val="16"/>
                <w:szCs w:val="16"/>
              </w:rPr>
              <w:t>project to build community knowledge and enhance support networks so people with Cystic Fibrosis can be informed of all their options and empowered in their decision making. Funding will be applied to establishing a new website, expanding a peer support program and employing a social worker in Victoria to support people with Cystic Fibrosis who are experiencing complex needs with referrals to additional services.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$199,700.00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New South Wales, Victoria</w:t>
            </w:r>
          </w:p>
        </w:tc>
        <w:tc>
          <w:tcPr>
            <w:tcW w:w="484" w:type="pct"/>
          </w:tcPr>
          <w:p w:rsidR="00871A04" w:rsidRPr="00871A04" w:rsidRDefault="00871A04" w:rsidP="00312F9E">
            <w:pPr>
              <w:spacing w:before="80" w:after="80" w:line="276" w:lineRule="auto"/>
              <w:rPr>
                <w:sz w:val="16"/>
                <w:szCs w:val="16"/>
              </w:rPr>
            </w:pPr>
            <w:r w:rsidRPr="00871A04">
              <w:rPr>
                <w:sz w:val="16"/>
                <w:szCs w:val="16"/>
              </w:rPr>
              <w:t xml:space="preserve">Cystic Fibrosis </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Butterfly Internet Pty Ltd</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Deaf Children Australia</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Need to be Heard </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 xml:space="preserve">Need to be Heard </w:t>
            </w:r>
            <w:r w:rsidRPr="00871A04">
              <w:rPr>
                <w:iCs/>
                <w:sz w:val="16"/>
                <w:szCs w:val="16"/>
              </w:rPr>
              <w:t>is a two year, multifaceted program aiming</w:t>
            </w:r>
            <w:r w:rsidRPr="00871A04">
              <w:rPr>
                <w:i/>
                <w:iCs/>
                <w:sz w:val="16"/>
                <w:szCs w:val="16"/>
              </w:rPr>
              <w:t xml:space="preserve"> </w:t>
            </w:r>
            <w:r w:rsidRPr="00871A04">
              <w:rPr>
                <w:sz w:val="16"/>
                <w:szCs w:val="16"/>
              </w:rPr>
              <w:t xml:space="preserve">to address the specific needs of children and young people with a hearing impairment. The project will pilot a place-based Network Development and Capacity Building Pilot covering Queensland and Victoria which aims to build peer support networks for deaf/hard of hearing children and their families and develop and provide a range of resources relevant to their needs. Funding is also directed towards establishing targeted information services, network development and capacity building for Indigenous families in the Northern Territory. This initiative will build on the capacity of children and young people to actively engage with and participate in the life of their communities and be empowered in decisions which affect them. These pilot programs will contribute to refining the current National Information Service to better enable it to represent different geographic, cultural and language needs.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$597,831.00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Northern Territory, Queensland, Victoria</w:t>
            </w:r>
          </w:p>
        </w:tc>
        <w:tc>
          <w:tcPr>
            <w:tcW w:w="484" w:type="pct"/>
          </w:tcPr>
          <w:p w:rsidR="00871A04" w:rsidRPr="00871A04" w:rsidRDefault="00871A04" w:rsidP="00312F9E">
            <w:pPr>
              <w:spacing w:before="80" w:after="80" w:line="276" w:lineRule="auto"/>
              <w:rPr>
                <w:sz w:val="16"/>
                <w:szCs w:val="16"/>
              </w:rPr>
            </w:pPr>
            <w:r w:rsidRPr="00871A04">
              <w:rPr>
                <w:iCs/>
                <w:sz w:val="16"/>
                <w:szCs w:val="16"/>
              </w:rPr>
              <w:t xml:space="preserve">Hearing Impairment; Children and Young Adults </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Dementia Australia Limited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Younger Onset Dementia Advisor Program</w:t>
            </w:r>
          </w:p>
        </w:tc>
        <w:tc>
          <w:tcPr>
            <w:tcW w:w="2281" w:type="pct"/>
            <w:hideMark/>
          </w:tcPr>
          <w:p w:rsidR="00871A04" w:rsidRPr="00871A04" w:rsidRDefault="00871A04" w:rsidP="00EA5034">
            <w:pPr>
              <w:spacing w:before="80" w:after="80" w:line="276" w:lineRule="auto"/>
              <w:rPr>
                <w:sz w:val="16"/>
                <w:szCs w:val="16"/>
              </w:rPr>
            </w:pPr>
            <w:r w:rsidRPr="00871A04">
              <w:rPr>
                <w:i/>
                <w:iCs/>
                <w:sz w:val="16"/>
                <w:szCs w:val="16"/>
              </w:rPr>
              <w:t>Younger Onset Dementia Advisor Program</w:t>
            </w:r>
            <w:r w:rsidRPr="00871A04">
              <w:rPr>
                <w:sz w:val="16"/>
                <w:szCs w:val="16"/>
              </w:rPr>
              <w:t xml:space="preserve"> continues a further 12 months of funding to the Key Worker Program during transition to the </w:t>
            </w:r>
            <w:r w:rsidR="00EA5034">
              <w:rPr>
                <w:sz w:val="16"/>
                <w:szCs w:val="16"/>
              </w:rPr>
              <w:t>National Disability Insurance Scheme (NDIS)</w:t>
            </w:r>
            <w:r w:rsidRPr="00871A04">
              <w:rPr>
                <w:sz w:val="16"/>
                <w:szCs w:val="16"/>
              </w:rPr>
              <w:t>. The key worker program is a network of advisors in locations across Australia who provide specialised, diagnosis-specific support to over 4</w:t>
            </w:r>
            <w:r w:rsidR="00EA5034">
              <w:rPr>
                <w:sz w:val="16"/>
                <w:szCs w:val="16"/>
              </w:rPr>
              <w:t>,</w:t>
            </w:r>
            <w:r w:rsidRPr="00871A04">
              <w:rPr>
                <w:sz w:val="16"/>
                <w:szCs w:val="16"/>
              </w:rPr>
              <w:t xml:space="preserve">000 people living with younger onset dementia. The program enables people living with younger onset dementia to connect to appropriate services, remain active and engaged, and have the information they need to make decisions and plan for an ordinary life as their disease progresses. Evidence based resources will be developed to support people with younger onset dementia in the NDIS environment. These will be made available online to be accessed nationally beyond the grant period.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$895,500.00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(one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iCs/>
                <w:sz w:val="16"/>
                <w:szCs w:val="16"/>
              </w:rPr>
              <w:t xml:space="preserve">Younger Onset Dementia </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Dementia Australia Limited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Younger Onset Dementia Community Hub </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Dementia Australia will engage people with Younger Onset Dementia to create a national O</w:t>
            </w:r>
            <w:r w:rsidRPr="00871A04">
              <w:rPr>
                <w:i/>
                <w:iCs/>
                <w:sz w:val="16"/>
                <w:szCs w:val="16"/>
              </w:rPr>
              <w:t xml:space="preserve">nline Community Hub. </w:t>
            </w:r>
            <w:r w:rsidRPr="00871A04">
              <w:rPr>
                <w:iCs/>
                <w:sz w:val="16"/>
                <w:szCs w:val="16"/>
              </w:rPr>
              <w:t>The Hub</w:t>
            </w:r>
            <w:r w:rsidRPr="00871A04">
              <w:rPr>
                <w:sz w:val="16"/>
                <w:szCs w:val="16"/>
              </w:rPr>
              <w:t xml:space="preserve"> will host younger onset dementia specific information, an online forum for people with younger onset dementia, their families and carers, and an interactive map listing appropriate services, activities and organisations. The project will establish and grow the hub to achieve self-sustaining forums over a two year timeframe.</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$700,000.00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sz w:val="16"/>
                <w:szCs w:val="16"/>
              </w:rPr>
              <w:t xml:space="preserve">Younger Onset Dementia </w:t>
            </w:r>
          </w:p>
        </w:tc>
        <w:tc>
          <w:tcPr>
            <w:tcW w:w="525" w:type="pct"/>
            <w:tcBorders>
              <w:right w:val="single" w:sz="4" w:space="0" w:color="auto"/>
            </w:tcBorders>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Down Syndrome Australia</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Redevelopment of Down Syndrome Australia’s National Journal - Voice  </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The redevelopment of Down Syndrome Australia’s (DSA) national journal ‘</w:t>
            </w:r>
            <w:r w:rsidRPr="00871A04">
              <w:rPr>
                <w:i/>
                <w:iCs/>
                <w:sz w:val="16"/>
                <w:szCs w:val="16"/>
              </w:rPr>
              <w:t>Voice’</w:t>
            </w:r>
            <w:r w:rsidRPr="00871A04">
              <w:rPr>
                <w:sz w:val="16"/>
                <w:szCs w:val="16"/>
              </w:rPr>
              <w:t xml:space="preserve"> will trial a digitalised, visual and easy to read content version over the two years of funding. The project will engage more people with Down Syndrome participating in the development of content and using the journal as a source of information and linkages to other services.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$173,000.00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sz w:val="16"/>
                <w:szCs w:val="16"/>
              </w:rPr>
              <w:t>Down Syndrome</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Down Syndrome Australia</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The National Down Syndrome Information Portal </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The National Down Syndrome Information Porta</w:t>
            </w:r>
            <w:r w:rsidRPr="00871A04">
              <w:rPr>
                <w:sz w:val="16"/>
                <w:szCs w:val="16"/>
              </w:rPr>
              <w:t>l is a two year project to consolidate information and resources which are currently spread across numerous websites into a new, easy-read portal. The portal content development and design will be user-led by people with lived experience of Down Syndrome and will provide linkages to other organisations, services and peer-support groups.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$536,572.00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iCs/>
                <w:sz w:val="16"/>
                <w:szCs w:val="16"/>
              </w:rPr>
              <w:t>Down Syndrome</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Consortium: Down Syndrome Assoc of VIC, NSW, QLD, NT, ACT, TAS, SA.</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Epilepsy Queensland Inc.</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Improving information, linkages and referrals in rural Queensland</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This two year program establishes a multi-channel information service for people with disability and their families and carers who are living in rural and remote communities in Queensland. A dedicated website, telephone</w:t>
            </w:r>
            <w:r w:rsidR="007D349D">
              <w:rPr>
                <w:sz w:val="16"/>
                <w:szCs w:val="16"/>
              </w:rPr>
              <w:t xml:space="preserve">, </w:t>
            </w:r>
            <w:r w:rsidR="007D349D">
              <w:rPr>
                <w:sz w:val="16"/>
                <w:szCs w:val="16"/>
              </w:rPr>
              <w:t>S</w:t>
            </w:r>
            <w:r w:rsidRPr="00871A04">
              <w:rPr>
                <w:sz w:val="16"/>
                <w:szCs w:val="16"/>
              </w:rPr>
              <w:t>kype support, written material and face to face support are among the communication channels to be developed to create centralised, credible and accessible information, linkages and referral information.</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$266,688.18</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Queensland</w:t>
            </w:r>
          </w:p>
        </w:tc>
        <w:tc>
          <w:tcPr>
            <w:tcW w:w="484" w:type="pct"/>
          </w:tcPr>
          <w:p w:rsidR="00871A04" w:rsidRPr="00871A04" w:rsidRDefault="00871A04" w:rsidP="00312F9E">
            <w:pPr>
              <w:spacing w:before="80" w:after="80" w:line="276" w:lineRule="auto"/>
              <w:rPr>
                <w:sz w:val="16"/>
                <w:szCs w:val="16"/>
              </w:rPr>
            </w:pPr>
            <w:r w:rsidRPr="00871A04">
              <w:rPr>
                <w:sz w:val="16"/>
                <w:szCs w:val="16"/>
              </w:rPr>
              <w:t>All people with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Guide Dogs Victoria</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Peer Support Platform</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 xml:space="preserve">Guide Dogs Victoria (GDV) will use a co-design process to establish an innovative and highly accessible, primarily voice-based </w:t>
            </w:r>
            <w:r w:rsidRPr="00871A04">
              <w:rPr>
                <w:i/>
                <w:iCs/>
                <w:sz w:val="16"/>
                <w:szCs w:val="16"/>
              </w:rPr>
              <w:t xml:space="preserve">Peer Support Platform. </w:t>
            </w:r>
            <w:r w:rsidRPr="00871A04">
              <w:rPr>
                <w:iCs/>
                <w:sz w:val="16"/>
                <w:szCs w:val="16"/>
              </w:rPr>
              <w:t>This online platform will</w:t>
            </w:r>
            <w:r w:rsidRPr="00871A04">
              <w:rPr>
                <w:sz w:val="16"/>
                <w:szCs w:val="16"/>
              </w:rPr>
              <w:t xml:space="preserve"> connect people with low vision and blindness to information on new and existing peer support networks and social opportunities such as community activities, advocacy groups and relevant events. The 18 months of funding will be applied to develop a working prototype based on a Victorian example, to scope its application on a national scale.</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$457,020.00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Victoria</w:t>
            </w:r>
          </w:p>
        </w:tc>
        <w:tc>
          <w:tcPr>
            <w:tcW w:w="484" w:type="pct"/>
          </w:tcPr>
          <w:p w:rsidR="00871A04" w:rsidRPr="00871A04" w:rsidRDefault="00871A04" w:rsidP="00312F9E">
            <w:pPr>
              <w:spacing w:before="80" w:after="80" w:line="276" w:lineRule="auto"/>
              <w:rPr>
                <w:sz w:val="16"/>
                <w:szCs w:val="16"/>
              </w:rPr>
            </w:pPr>
            <w:r w:rsidRPr="00871A04">
              <w:rPr>
                <w:sz w:val="16"/>
                <w:szCs w:val="16"/>
              </w:rPr>
              <w:t>Vision impairment</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tcPr>
          <w:p w:rsidR="00871A04" w:rsidRPr="00871A04" w:rsidRDefault="00871A04" w:rsidP="00312F9E">
            <w:pPr>
              <w:spacing w:before="80" w:after="80" w:line="276" w:lineRule="auto"/>
              <w:rPr>
                <w:sz w:val="16"/>
                <w:szCs w:val="16"/>
              </w:rPr>
            </w:pPr>
            <w:r w:rsidRPr="00871A04">
              <w:rPr>
                <w:sz w:val="16"/>
                <w:szCs w:val="16"/>
              </w:rPr>
              <w:t>Independence Australia Group</w:t>
            </w:r>
          </w:p>
        </w:tc>
        <w:tc>
          <w:tcPr>
            <w:tcW w:w="394" w:type="pct"/>
          </w:tcPr>
          <w:p w:rsidR="00871A04" w:rsidRPr="00871A04" w:rsidRDefault="00871A04" w:rsidP="00312F9E">
            <w:pPr>
              <w:spacing w:before="80" w:after="80" w:line="276" w:lineRule="auto"/>
              <w:rPr>
                <w:sz w:val="16"/>
                <w:szCs w:val="16"/>
              </w:rPr>
            </w:pPr>
            <w:r w:rsidRPr="00871A04">
              <w:rPr>
                <w:sz w:val="16"/>
                <w:szCs w:val="16"/>
              </w:rPr>
              <w:t>Inform - Magazine, Podcasts and Web-Based Information Service</w:t>
            </w:r>
          </w:p>
        </w:tc>
        <w:tc>
          <w:tcPr>
            <w:tcW w:w="2281" w:type="pct"/>
          </w:tcPr>
          <w:p w:rsidR="00871A04" w:rsidRPr="00871A04" w:rsidRDefault="00871A04" w:rsidP="00312F9E">
            <w:pPr>
              <w:spacing w:before="80" w:after="80" w:line="276" w:lineRule="auto"/>
              <w:rPr>
                <w:i/>
                <w:iCs/>
                <w:sz w:val="16"/>
                <w:szCs w:val="16"/>
              </w:rPr>
            </w:pPr>
            <w:r w:rsidRPr="00871A04">
              <w:rPr>
                <w:sz w:val="16"/>
                <w:szCs w:val="16"/>
              </w:rPr>
              <w:t xml:space="preserve">Over the two years of funding, the </w:t>
            </w:r>
            <w:r w:rsidRPr="00871A04">
              <w:rPr>
                <w:i/>
                <w:iCs/>
                <w:sz w:val="16"/>
                <w:szCs w:val="16"/>
              </w:rPr>
              <w:t>Inform</w:t>
            </w:r>
            <w:r w:rsidRPr="00871A04">
              <w:rPr>
                <w:sz w:val="16"/>
                <w:szCs w:val="16"/>
              </w:rPr>
              <w:t xml:space="preserve"> project will publish six magazines, 12 podcasts and a web-based information hub to connect people with disability to information to build skills, confidence and participation in the community. This project addresses the need for multi-channelled and freely available information services that are relevant to people with various disabilities, as opposed to diagnosis-specific content. It is expected that the current subscriber base of 3,500 people will double through the program.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$442,214.10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National </w:t>
            </w:r>
          </w:p>
        </w:tc>
        <w:tc>
          <w:tcPr>
            <w:tcW w:w="484" w:type="pct"/>
          </w:tcPr>
          <w:p w:rsidR="00871A04" w:rsidRPr="00871A04" w:rsidRDefault="00871A04" w:rsidP="00312F9E">
            <w:pPr>
              <w:spacing w:before="80" w:after="80" w:line="276" w:lineRule="auto"/>
              <w:rPr>
                <w:sz w:val="16"/>
                <w:szCs w:val="16"/>
              </w:rPr>
            </w:pPr>
            <w:r w:rsidRPr="00871A04">
              <w:rPr>
                <w:sz w:val="16"/>
                <w:szCs w:val="16"/>
              </w:rPr>
              <w:t xml:space="preserve">All people with disability </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Independent Living Centre of Western Australia Inc.</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Assistive Technology (AT) CHAT Australia </w:t>
            </w:r>
          </w:p>
        </w:tc>
        <w:tc>
          <w:tcPr>
            <w:tcW w:w="2281" w:type="pct"/>
            <w:hideMark/>
          </w:tcPr>
          <w:p w:rsidR="00871A04" w:rsidRPr="00871A04" w:rsidRDefault="00871A04">
            <w:pPr>
              <w:spacing w:before="80" w:after="80" w:line="276" w:lineRule="auto"/>
              <w:rPr>
                <w:sz w:val="16"/>
                <w:szCs w:val="16"/>
              </w:rPr>
            </w:pPr>
            <w:r w:rsidRPr="00871A04">
              <w:rPr>
                <w:i/>
                <w:iCs/>
                <w:sz w:val="16"/>
                <w:szCs w:val="16"/>
              </w:rPr>
              <w:t xml:space="preserve">AT CHAT Australia </w:t>
            </w:r>
            <w:r w:rsidRPr="00871A04">
              <w:rPr>
                <w:sz w:val="16"/>
                <w:szCs w:val="16"/>
              </w:rPr>
              <w:t xml:space="preserve">adapts a proven, user-led, capacity building model, that uses social media to provide an interactive hub and pathways for people to access assistive technology information, advice and support. The project has been successfully trialled in Western Australia and through the two years of funding, will be rolled out to Queensland, Tasmania and Victoria. The project team </w:t>
            </w:r>
            <w:r w:rsidR="001160E0">
              <w:rPr>
                <w:sz w:val="16"/>
                <w:szCs w:val="16"/>
              </w:rPr>
              <w:t xml:space="preserve">is comprised </w:t>
            </w:r>
            <w:r w:rsidRPr="00871A04">
              <w:rPr>
                <w:sz w:val="16"/>
                <w:szCs w:val="16"/>
              </w:rPr>
              <w:t>of people with disabilities who are expert assistive technology users. This project will extend collaboration to national partners and build content and tools that support individual capacity building around assistive technology choice and control.</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$473,580.00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Queensland, Tasmania, Victoria</w:t>
            </w:r>
          </w:p>
        </w:tc>
        <w:tc>
          <w:tcPr>
            <w:tcW w:w="484" w:type="pct"/>
          </w:tcPr>
          <w:p w:rsidR="00871A04" w:rsidRPr="00871A04" w:rsidRDefault="00871A04" w:rsidP="00312F9E">
            <w:pPr>
              <w:spacing w:before="80" w:after="80" w:line="276" w:lineRule="auto"/>
              <w:rPr>
                <w:sz w:val="16"/>
                <w:szCs w:val="16"/>
              </w:rPr>
            </w:pPr>
            <w:r w:rsidRPr="00871A04">
              <w:rPr>
                <w:sz w:val="16"/>
                <w:szCs w:val="16"/>
              </w:rPr>
              <w:t>All people with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Independent Living Centre of Western Australia Inc.</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National Equipment Database (NED) Innovations Project</w:t>
            </w:r>
          </w:p>
        </w:tc>
        <w:tc>
          <w:tcPr>
            <w:tcW w:w="2281" w:type="pct"/>
            <w:hideMark/>
          </w:tcPr>
          <w:p w:rsidR="00871A04" w:rsidRPr="00871A04" w:rsidRDefault="00871A04" w:rsidP="007A7721">
            <w:pPr>
              <w:spacing w:before="80" w:after="80" w:line="276" w:lineRule="auto"/>
              <w:rPr>
                <w:sz w:val="16"/>
                <w:szCs w:val="16"/>
              </w:rPr>
            </w:pPr>
            <w:r w:rsidRPr="00871A04">
              <w:rPr>
                <w:sz w:val="16"/>
                <w:szCs w:val="16"/>
              </w:rPr>
              <w:t>This two year project will innovate the current National Equipment Database to improve its ability to provide free, independent and single-point online information about assistive technology for people with disability. In providing the service free and without bias, it facilitates an individual’s capacity to be aware of assistive technology options, facilitates self-directed decision making, and increases choice and control by being able to compare multiple suppliers using the independent information.</w:t>
            </w:r>
            <w:r w:rsidR="007A7721">
              <w:rPr>
                <w:sz w:val="16"/>
                <w:szCs w:val="16"/>
              </w:rPr>
              <w:t xml:space="preserve"> </w:t>
            </w:r>
            <w:r w:rsidRPr="00871A04">
              <w:rPr>
                <w:sz w:val="16"/>
                <w:szCs w:val="16"/>
              </w:rPr>
              <w:t>The project will establish a new onlin</w:t>
            </w:r>
            <w:r w:rsidR="007A7721">
              <w:rPr>
                <w:sz w:val="16"/>
                <w:szCs w:val="16"/>
              </w:rPr>
              <w:t xml:space="preserve">e database platform to respond </w:t>
            </w:r>
            <w:r w:rsidRPr="00871A04">
              <w:rPr>
                <w:sz w:val="16"/>
                <w:szCs w:val="16"/>
              </w:rPr>
              <w:t xml:space="preserve">to user feedback </w:t>
            </w:r>
            <w:r w:rsidR="007A7721">
              <w:rPr>
                <w:sz w:val="16"/>
                <w:szCs w:val="16"/>
              </w:rPr>
              <w:t>about</w:t>
            </w:r>
            <w:r w:rsidR="007A7721" w:rsidRPr="00871A04">
              <w:rPr>
                <w:sz w:val="16"/>
                <w:szCs w:val="16"/>
              </w:rPr>
              <w:t xml:space="preserve"> </w:t>
            </w:r>
            <w:r w:rsidRPr="00871A04">
              <w:rPr>
                <w:sz w:val="16"/>
                <w:szCs w:val="16"/>
              </w:rPr>
              <w:t>wanting to be able to self-determine by exploring, identifying, selecting and accessing assistive technology options in the same way that mainstream consumer products are now accessed. Funding is directed towards consumer-driven consultation processes which will then drive implementation of database platform upgrades. Demand for information about assistive technology has doubled in the last three years and this single</w:t>
            </w:r>
            <w:r w:rsidR="007A7721">
              <w:rPr>
                <w:sz w:val="16"/>
                <w:szCs w:val="16"/>
              </w:rPr>
              <w:t>,</w:t>
            </w:r>
            <w:r w:rsidRPr="00871A04">
              <w:rPr>
                <w:sz w:val="16"/>
                <w:szCs w:val="16"/>
              </w:rPr>
              <w:t xml:space="preserve"> trusted database of information is expected to reduce duplication and fragmented approach across the various states.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$499,519.00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sz w:val="16"/>
                <w:szCs w:val="16"/>
              </w:rPr>
              <w:t>All people with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Consortium: Yooralla, Lifetec Australia Ltd.</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Learning Links</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Parents as Case Coordinators (PaCC)</w:t>
            </w:r>
          </w:p>
        </w:tc>
        <w:tc>
          <w:tcPr>
            <w:tcW w:w="2281" w:type="pct"/>
            <w:hideMark/>
          </w:tcPr>
          <w:p w:rsidR="00871A04" w:rsidRPr="00871A04" w:rsidRDefault="00871A04" w:rsidP="007A7721">
            <w:pPr>
              <w:spacing w:before="80" w:after="80" w:line="276" w:lineRule="auto"/>
              <w:rPr>
                <w:sz w:val="16"/>
                <w:szCs w:val="16"/>
              </w:rPr>
            </w:pPr>
            <w:r w:rsidRPr="00871A04">
              <w:rPr>
                <w:i/>
                <w:iCs/>
                <w:sz w:val="16"/>
                <w:szCs w:val="16"/>
              </w:rPr>
              <w:t>Parents as Case Coordinators (PACC</w:t>
            </w:r>
            <w:r w:rsidRPr="00871A04">
              <w:rPr>
                <w:sz w:val="16"/>
                <w:szCs w:val="16"/>
              </w:rPr>
              <w:t>) is a two year project to develop a national, online program for parents of children with a disability. It will provide functional resources to develop parent</w:t>
            </w:r>
            <w:r w:rsidR="007A7721">
              <w:rPr>
                <w:sz w:val="16"/>
                <w:szCs w:val="16"/>
              </w:rPr>
              <w:t xml:space="preserve">’s </w:t>
            </w:r>
            <w:r w:rsidRPr="00871A04">
              <w:rPr>
                <w:sz w:val="16"/>
                <w:szCs w:val="16"/>
              </w:rPr>
              <w:t xml:space="preserve">skills to confidently navigate the </w:t>
            </w:r>
            <w:r w:rsidR="007A7721">
              <w:rPr>
                <w:sz w:val="16"/>
                <w:szCs w:val="16"/>
              </w:rPr>
              <w:t xml:space="preserve">National Disability Insurance </w:t>
            </w:r>
            <w:r w:rsidR="004C052F">
              <w:rPr>
                <w:sz w:val="16"/>
                <w:szCs w:val="16"/>
              </w:rPr>
              <w:t>Scheme and</w:t>
            </w:r>
            <w:r w:rsidRPr="00871A04">
              <w:rPr>
                <w:sz w:val="16"/>
                <w:szCs w:val="16"/>
              </w:rPr>
              <w:t xml:space="preserve"> mainstream service network over their child’s lifetime. Funding is directed towards establishing a dedicated website with a video tutorial series, a toolbox of </w:t>
            </w:r>
            <w:r w:rsidR="004C052F" w:rsidRPr="00871A04">
              <w:rPr>
                <w:sz w:val="16"/>
                <w:szCs w:val="16"/>
              </w:rPr>
              <w:t>resources</w:t>
            </w:r>
            <w:r w:rsidR="004C052F">
              <w:rPr>
                <w:sz w:val="16"/>
                <w:szCs w:val="16"/>
              </w:rPr>
              <w:t>. A</w:t>
            </w:r>
            <w:r w:rsidRPr="00871A04">
              <w:rPr>
                <w:sz w:val="16"/>
                <w:szCs w:val="16"/>
              </w:rPr>
              <w:t xml:space="preserve"> forum for parents and families to engage and share information will be developed, taking a person-centred and strengths-based approach.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$344,164.00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sz w:val="16"/>
                <w:szCs w:val="16"/>
              </w:rPr>
              <w:t>All people with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Mental Health Co-ordinating Council Inc.</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reimagine.today Stage 2</w:t>
            </w:r>
          </w:p>
        </w:tc>
        <w:tc>
          <w:tcPr>
            <w:tcW w:w="2281" w:type="pct"/>
            <w:hideMark/>
          </w:tcPr>
          <w:p w:rsidR="00871A04" w:rsidRPr="00871A04" w:rsidRDefault="00871A04" w:rsidP="007A7721">
            <w:pPr>
              <w:spacing w:before="80" w:after="80" w:line="276" w:lineRule="auto"/>
              <w:rPr>
                <w:sz w:val="16"/>
                <w:szCs w:val="16"/>
              </w:rPr>
            </w:pPr>
            <w:r w:rsidRPr="00871A04">
              <w:rPr>
                <w:sz w:val="16"/>
                <w:szCs w:val="16"/>
              </w:rPr>
              <w:t xml:space="preserve">Over two years of funding, stage two of </w:t>
            </w:r>
            <w:r w:rsidRPr="007A7721">
              <w:rPr>
                <w:i/>
                <w:sz w:val="16"/>
                <w:szCs w:val="16"/>
              </w:rPr>
              <w:t>re</w:t>
            </w:r>
            <w:r w:rsidRPr="00871A04">
              <w:rPr>
                <w:i/>
                <w:sz w:val="16"/>
                <w:szCs w:val="16"/>
              </w:rPr>
              <w:t>imagine.today</w:t>
            </w:r>
            <w:r w:rsidRPr="00871A04">
              <w:rPr>
                <w:sz w:val="16"/>
                <w:szCs w:val="16"/>
              </w:rPr>
              <w:t xml:space="preserve"> will employ peer leaders across each state to coordinate peer networks co-design resources and information directed at supporting people with psychosocial disability. The peer networks will focus on people with disability from marginalised groups, including: Aboriginal and Torres Strait Islander communities, people from culturally and linguistically diverse backgrounds, people in rural and remote areas and people from the LGBTIQA+ community. Through their participation it is expected that peers and peer network participants will build decision making, self-advocacy a</w:t>
            </w:r>
            <w:r w:rsidR="007A7721">
              <w:rPr>
                <w:sz w:val="16"/>
                <w:szCs w:val="16"/>
              </w:rPr>
              <w:t xml:space="preserve">nd plan management skills. </w:t>
            </w:r>
            <w:r w:rsidRPr="00871A04">
              <w:rPr>
                <w:sz w:val="16"/>
                <w:szCs w:val="16"/>
              </w:rPr>
              <w:t xml:space="preserve">The co-designed resources will be added to the </w:t>
            </w:r>
            <w:r w:rsidRPr="00871A04">
              <w:rPr>
                <w:i/>
                <w:sz w:val="16"/>
                <w:szCs w:val="16"/>
              </w:rPr>
              <w:t>reimagine.today</w:t>
            </w:r>
            <w:r w:rsidRPr="00871A04">
              <w:rPr>
                <w:sz w:val="16"/>
                <w:szCs w:val="16"/>
              </w:rPr>
              <w:t xml:space="preserve"> website, better supporting people with psychosocial disability to build their capacity to self-advocate and self-manage whilst also providing the information needed to make decisions and choices about </w:t>
            </w:r>
            <w:r w:rsidR="007A7721">
              <w:rPr>
                <w:sz w:val="16"/>
                <w:szCs w:val="16"/>
              </w:rPr>
              <w:t>the National Disability Insurance Scheme (NDIS)</w:t>
            </w:r>
            <w:r w:rsidRPr="00871A04">
              <w:rPr>
                <w:sz w:val="16"/>
                <w:szCs w:val="16"/>
              </w:rPr>
              <w:t>, mainstream and community services.</w:t>
            </w:r>
            <w:r w:rsidR="007A7721">
              <w:rPr>
                <w:sz w:val="16"/>
                <w:szCs w:val="16"/>
              </w:rPr>
              <w:t xml:space="preserve"> </w:t>
            </w:r>
            <w:r w:rsidRPr="00871A04">
              <w:rPr>
                <w:sz w:val="16"/>
                <w:szCs w:val="16"/>
              </w:rPr>
              <w:t xml:space="preserve">Stage one of </w:t>
            </w:r>
            <w:r w:rsidRPr="00871A04">
              <w:rPr>
                <w:i/>
                <w:sz w:val="16"/>
                <w:szCs w:val="16"/>
              </w:rPr>
              <w:t>reimagine.today</w:t>
            </w:r>
            <w:r w:rsidRPr="00871A04">
              <w:rPr>
                <w:sz w:val="16"/>
                <w:szCs w:val="16"/>
              </w:rPr>
              <w:t xml:space="preserve"> was originally funded by the </w:t>
            </w:r>
            <w:r w:rsidR="007A7721">
              <w:rPr>
                <w:sz w:val="16"/>
                <w:szCs w:val="16"/>
              </w:rPr>
              <w:t xml:space="preserve">National Disability Insurance Agency </w:t>
            </w:r>
            <w:r w:rsidRPr="00871A04">
              <w:rPr>
                <w:sz w:val="16"/>
                <w:szCs w:val="16"/>
              </w:rPr>
              <w:t xml:space="preserve">as a strategic project and established and launched www.reimagine.today, an online resource to support people better understand psychosocial disability and how the NDIS can support recovery.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$1,683,147.30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National </w:t>
            </w:r>
          </w:p>
        </w:tc>
        <w:tc>
          <w:tcPr>
            <w:tcW w:w="484" w:type="pct"/>
          </w:tcPr>
          <w:p w:rsidR="00871A04" w:rsidRPr="00871A04" w:rsidRDefault="00871A04" w:rsidP="00312F9E">
            <w:pPr>
              <w:spacing w:before="80" w:after="80" w:line="276" w:lineRule="auto"/>
              <w:rPr>
                <w:sz w:val="16"/>
                <w:szCs w:val="16"/>
              </w:rPr>
            </w:pPr>
            <w:r w:rsidRPr="00871A04">
              <w:rPr>
                <w:sz w:val="16"/>
                <w:szCs w:val="16"/>
              </w:rPr>
              <w:t>Psychosocial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Consortium: Mental Health Coalition of SA, ACT, TAS, NT and Psychiatric Disability Services of Victoria, Queensland Alliance for Mental Health.</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Muscular Dystrophy Foundation Limited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Online portal for people living with muscular dystrophy and neuromuscular conditions.</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This two year project establishes an online, integrated multilingual information support system to build the capacity and skills of people living with muscular dystrophy and neuromuscular conditions. The project takes a key focus on user-led content, undertaking comprehensive engagement with users to understand communication needs and preferences, and establishing a highly interactive and multi-channel online portal. A key focus is ensuring that people living with muscular dystrophy and neuromuscular conditions are more integrated with specialist and mainstream service provision and support networks in their local area.</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$890,000.00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sz w:val="16"/>
                <w:szCs w:val="16"/>
              </w:rPr>
              <w:t>Muscular dystrophy and neuromuscular conditions</w:t>
            </w:r>
          </w:p>
        </w:tc>
        <w:tc>
          <w:tcPr>
            <w:tcW w:w="525" w:type="pct"/>
            <w:tcBorders>
              <w:right w:val="single" w:sz="4" w:space="0" w:color="auto"/>
            </w:tcBorders>
          </w:tcPr>
          <w:p w:rsidR="00871A04" w:rsidRPr="00871A04" w:rsidRDefault="00871A04" w:rsidP="00312F9E">
            <w:pPr>
              <w:spacing w:before="80" w:after="80" w:line="276" w:lineRule="auto"/>
              <w:rPr>
                <w:sz w:val="16"/>
                <w:szCs w:val="16"/>
              </w:rPr>
            </w:pPr>
            <w:r w:rsidRPr="00871A04">
              <w:rPr>
                <w:sz w:val="16"/>
                <w:szCs w:val="16"/>
              </w:rPr>
              <w:t>Consortium:  Muscular Dystrophy Assoc of NSW, QLD, TAS, ACT, SA, WA.</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Ninti One Limited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Remote support for decision making and community participation</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 xml:space="preserve">Working with five remote Aboriginal and Torres Strait Islander communities, this two year project works to enable people living with disability to build their capacity and capability to participate in community life and make their own decisions and choices. This project will undertake an extensive consultation process with people living with disabilities and their carers, employing local people from Aboriginal and Torres Strait Islander backgrounds to map service availability, community connections, and how local people access and use information. This approach will ground the project within the community and lead to the development of community-owned action plans.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$353,100.00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Northern Territory </w:t>
            </w:r>
          </w:p>
        </w:tc>
        <w:tc>
          <w:tcPr>
            <w:tcW w:w="484" w:type="pct"/>
          </w:tcPr>
          <w:p w:rsidR="00871A04" w:rsidRPr="00871A04" w:rsidRDefault="00871A04" w:rsidP="00312F9E">
            <w:pPr>
              <w:spacing w:before="80" w:after="80" w:line="276" w:lineRule="auto"/>
              <w:rPr>
                <w:sz w:val="16"/>
                <w:szCs w:val="16"/>
              </w:rPr>
            </w:pPr>
            <w:r w:rsidRPr="00871A04">
              <w:rPr>
                <w:sz w:val="16"/>
                <w:szCs w:val="16"/>
              </w:rPr>
              <w:t>Aboriginal and Torres Strait Islander communities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People with Disability Australia Incorporated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The Wayfinder Hub -  Connectivity and Community</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The Wayfinder Hub</w:t>
            </w:r>
            <w:r w:rsidRPr="00871A04">
              <w:rPr>
                <w:sz w:val="16"/>
                <w:szCs w:val="16"/>
              </w:rPr>
              <w:t xml:space="preserve"> is a two-year project to deliver a peer-led, multi-platform information, linkages and referrals portal. The Hub will include a web-based searchable information </w:t>
            </w:r>
            <w:r w:rsidR="00F570D5">
              <w:rPr>
                <w:sz w:val="16"/>
                <w:szCs w:val="16"/>
              </w:rPr>
              <w:t>and</w:t>
            </w:r>
            <w:r w:rsidRPr="00871A04">
              <w:rPr>
                <w:sz w:val="16"/>
                <w:szCs w:val="16"/>
              </w:rPr>
              <w:t xml:space="preserve"> referral database, a national directory of disability </w:t>
            </w:r>
            <w:r w:rsidR="007A7721">
              <w:rPr>
                <w:sz w:val="16"/>
                <w:szCs w:val="16"/>
              </w:rPr>
              <w:t>and</w:t>
            </w:r>
            <w:r w:rsidRPr="00871A04">
              <w:rPr>
                <w:sz w:val="16"/>
                <w:szCs w:val="16"/>
              </w:rPr>
              <w:t xml:space="preserve"> carer peer support groups, social groups, disabled people’s organisations, disability-led support services, a free call phone line and access to an information officer to answer any questions. The Hub is able to be used by any person with disability as well as mainstream organisations seeking disability guidance.</w:t>
            </w:r>
          </w:p>
          <w:p w:rsidR="00871A04" w:rsidRPr="00871A04" w:rsidRDefault="00871A04" w:rsidP="00312F9E">
            <w:pPr>
              <w:spacing w:before="80" w:after="80" w:line="276" w:lineRule="auto"/>
              <w:rPr>
                <w:sz w:val="16"/>
                <w:szCs w:val="16"/>
              </w:rPr>
            </w:pPr>
            <w:r w:rsidRPr="00871A04">
              <w:rPr>
                <w:sz w:val="16"/>
                <w:szCs w:val="16"/>
              </w:rPr>
              <w:t xml:space="preserve">People with disability will access and co-create Hub information; building their skills, knowledge and capacity to achieve their goals and be included in all aspects of community life, including being co-creators of knowledge.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$794,633.00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iCs/>
                <w:sz w:val="16"/>
                <w:szCs w:val="16"/>
              </w:rPr>
              <w:t>All people with a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Pika Wiya Health Service Aboriginal Corporation</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Pika Wiya Able Communities </w:t>
            </w:r>
          </w:p>
        </w:tc>
        <w:tc>
          <w:tcPr>
            <w:tcW w:w="2281" w:type="pct"/>
            <w:hideMark/>
          </w:tcPr>
          <w:p w:rsidR="00871A04" w:rsidRPr="00871A04" w:rsidRDefault="00871A04" w:rsidP="00F570D5">
            <w:pPr>
              <w:spacing w:before="80" w:after="80" w:line="276" w:lineRule="auto"/>
              <w:rPr>
                <w:sz w:val="16"/>
                <w:szCs w:val="16"/>
              </w:rPr>
            </w:pPr>
            <w:r w:rsidRPr="00871A04">
              <w:rPr>
                <w:i/>
                <w:iCs/>
                <w:sz w:val="16"/>
                <w:szCs w:val="16"/>
              </w:rPr>
              <w:t xml:space="preserve">The Pika Wiya Able Communities </w:t>
            </w:r>
            <w:r w:rsidRPr="00871A04">
              <w:rPr>
                <w:iCs/>
                <w:sz w:val="16"/>
                <w:szCs w:val="16"/>
              </w:rPr>
              <w:t>program</w:t>
            </w:r>
            <w:r w:rsidRPr="00871A04">
              <w:rPr>
                <w:sz w:val="16"/>
                <w:szCs w:val="16"/>
              </w:rPr>
              <w:t xml:space="preserve"> will support people from Aboriginal and Torres Strait Islander backgrounds in South Australia. The program will ensure rights and responsibilities are acknowledged and upheld and that cultural dignity and integrity is protected through the process of accessing </w:t>
            </w:r>
            <w:r w:rsidR="00F570D5">
              <w:rPr>
                <w:sz w:val="16"/>
                <w:szCs w:val="16"/>
              </w:rPr>
              <w:t>National Disability Insurance Scheme (NDIS)</w:t>
            </w:r>
            <w:r w:rsidR="00F570D5" w:rsidRPr="00871A04">
              <w:rPr>
                <w:sz w:val="16"/>
                <w:szCs w:val="16"/>
              </w:rPr>
              <w:t xml:space="preserve"> </w:t>
            </w:r>
            <w:r w:rsidRPr="00871A04">
              <w:rPr>
                <w:sz w:val="16"/>
                <w:szCs w:val="16"/>
              </w:rPr>
              <w:t>supports. Group workshops will be initiated to assist people entering the disability services journey, and culturally specific written and verbal information will be used together with community engagement strategies to facilitate peer support.</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$301,844.00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South Australia</w:t>
            </w:r>
          </w:p>
        </w:tc>
        <w:tc>
          <w:tcPr>
            <w:tcW w:w="484" w:type="pct"/>
          </w:tcPr>
          <w:p w:rsidR="00871A04" w:rsidRPr="00871A04" w:rsidRDefault="00871A04" w:rsidP="00312F9E">
            <w:pPr>
              <w:spacing w:before="80" w:after="80" w:line="276" w:lineRule="auto"/>
              <w:rPr>
                <w:sz w:val="16"/>
                <w:szCs w:val="16"/>
              </w:rPr>
            </w:pPr>
            <w:r w:rsidRPr="00871A04">
              <w:rPr>
                <w:sz w:val="16"/>
                <w:szCs w:val="16"/>
              </w:rPr>
              <w:t>Aboriginal and Torres Strait Islander communities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tcPr>
          <w:p w:rsidR="00871A04" w:rsidRPr="00871A04" w:rsidRDefault="00871A04" w:rsidP="00312F9E">
            <w:pPr>
              <w:spacing w:before="80" w:after="80" w:line="276" w:lineRule="auto"/>
              <w:rPr>
                <w:sz w:val="16"/>
                <w:szCs w:val="16"/>
              </w:rPr>
            </w:pPr>
            <w:r w:rsidRPr="00871A04">
              <w:rPr>
                <w:sz w:val="16"/>
                <w:szCs w:val="16"/>
              </w:rPr>
              <w:lastRenderedPageBreak/>
              <w:t>Playgroup Australia Limited</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Community Playgroup National Framework for the Provision of Disability Related Information and Referrals </w:t>
            </w:r>
          </w:p>
        </w:tc>
        <w:tc>
          <w:tcPr>
            <w:tcW w:w="2281" w:type="pct"/>
          </w:tcPr>
          <w:p w:rsidR="00871A04" w:rsidRPr="00871A04" w:rsidRDefault="00871A04" w:rsidP="00312F9E">
            <w:pPr>
              <w:spacing w:before="80" w:after="80" w:line="276" w:lineRule="auto"/>
              <w:rPr>
                <w:i/>
                <w:iCs/>
                <w:sz w:val="16"/>
                <w:szCs w:val="16"/>
              </w:rPr>
            </w:pPr>
            <w:r w:rsidRPr="00871A04">
              <w:rPr>
                <w:sz w:val="16"/>
                <w:szCs w:val="16"/>
              </w:rPr>
              <w:t xml:space="preserve">This two year project will establish and use feedback from three trial sites (ACT, TAS and SA) to develop a national </w:t>
            </w:r>
            <w:r w:rsidRPr="00871A04">
              <w:rPr>
                <w:i/>
                <w:iCs/>
                <w:sz w:val="16"/>
                <w:szCs w:val="16"/>
              </w:rPr>
              <w:t>Community Playgroup Disability Information and Referral Framework</w:t>
            </w:r>
            <w:r w:rsidRPr="00871A04">
              <w:rPr>
                <w:sz w:val="16"/>
                <w:szCs w:val="16"/>
              </w:rPr>
              <w:t xml:space="preserve"> (CPDIRF). The Framework will enhance the capabilities of local playgroups to provide opportunities for families supporting children with disability. This will include creating pathways for families to engage with disability services and supports in their local area, and reduce instances of marginalisation and missed opportunities for early intervention.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$184,998.00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National </w:t>
            </w:r>
          </w:p>
        </w:tc>
        <w:tc>
          <w:tcPr>
            <w:tcW w:w="484" w:type="pct"/>
          </w:tcPr>
          <w:p w:rsidR="00871A04" w:rsidRPr="00871A04" w:rsidRDefault="00871A04" w:rsidP="00312F9E">
            <w:pPr>
              <w:spacing w:before="80" w:after="80" w:line="276" w:lineRule="auto"/>
              <w:rPr>
                <w:iCs/>
                <w:sz w:val="16"/>
                <w:szCs w:val="16"/>
              </w:rPr>
            </w:pPr>
            <w:r w:rsidRPr="00871A04">
              <w:rPr>
                <w:sz w:val="16"/>
                <w:szCs w:val="16"/>
              </w:rPr>
              <w:t>Families of children with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Playgroup Association ACT,</w:t>
            </w:r>
            <w:r w:rsidR="00F570D5">
              <w:rPr>
                <w:sz w:val="16"/>
                <w:szCs w:val="16"/>
              </w:rPr>
              <w:t xml:space="preserve"> </w:t>
            </w:r>
            <w:r w:rsidRPr="00871A04">
              <w:rPr>
                <w:sz w:val="16"/>
                <w:szCs w:val="16"/>
              </w:rPr>
              <w:t>NSW,</w:t>
            </w:r>
            <w:r w:rsidR="00F570D5">
              <w:rPr>
                <w:sz w:val="16"/>
                <w:szCs w:val="16"/>
              </w:rPr>
              <w:t xml:space="preserve"> </w:t>
            </w:r>
            <w:r w:rsidRPr="00871A04">
              <w:rPr>
                <w:sz w:val="16"/>
                <w:szCs w:val="16"/>
              </w:rPr>
              <w:t>NT,</w:t>
            </w:r>
            <w:r w:rsidR="00F570D5">
              <w:rPr>
                <w:sz w:val="16"/>
                <w:szCs w:val="16"/>
              </w:rPr>
              <w:t xml:space="preserve"> </w:t>
            </w:r>
            <w:r w:rsidRPr="00871A04">
              <w:rPr>
                <w:sz w:val="16"/>
                <w:szCs w:val="16"/>
              </w:rPr>
              <w:t>QLD,</w:t>
            </w:r>
            <w:r w:rsidR="00F570D5">
              <w:rPr>
                <w:sz w:val="16"/>
                <w:szCs w:val="16"/>
              </w:rPr>
              <w:t xml:space="preserve"> </w:t>
            </w:r>
            <w:r w:rsidRPr="00871A04">
              <w:rPr>
                <w:sz w:val="16"/>
                <w:szCs w:val="16"/>
              </w:rPr>
              <w:t>SA,</w:t>
            </w:r>
            <w:r w:rsidR="00F570D5">
              <w:rPr>
                <w:sz w:val="16"/>
                <w:szCs w:val="16"/>
              </w:rPr>
              <w:t xml:space="preserve"> </w:t>
            </w:r>
            <w:r w:rsidRPr="00871A04">
              <w:rPr>
                <w:sz w:val="16"/>
                <w:szCs w:val="16"/>
              </w:rPr>
              <w:t>TAS,</w:t>
            </w:r>
            <w:r w:rsidR="00F570D5">
              <w:rPr>
                <w:sz w:val="16"/>
                <w:szCs w:val="16"/>
              </w:rPr>
              <w:t xml:space="preserve"> </w:t>
            </w:r>
            <w:r w:rsidRPr="00871A04">
              <w:rPr>
                <w:sz w:val="16"/>
                <w:szCs w:val="16"/>
              </w:rPr>
              <w:t xml:space="preserve">VIC </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Playgroup Australia Limited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PlayConnect Information, Linkages and Referrals </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The PlayConnect Information Linkages and Referrals (ILR) Project</w:t>
            </w:r>
            <w:r w:rsidRPr="00871A04">
              <w:rPr>
                <w:sz w:val="16"/>
                <w:szCs w:val="16"/>
              </w:rPr>
              <w:t xml:space="preserve"> works across a range of domains to support families of a young child with disability. The two year project will be conducted in test sites across Australia and will establish a PlayConnect website to include resources for parents and information for the general public. Further, PlayConnect Facilitators will be trained to build relationships with key local services and networks, assess parent/carer information needs and provide transition support to families.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$1,313,823.13</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iCs/>
                <w:sz w:val="16"/>
                <w:szCs w:val="16"/>
              </w:rPr>
              <w:t>All people with a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Playgroup Association ACT,</w:t>
            </w:r>
            <w:r w:rsidR="00F570D5">
              <w:rPr>
                <w:sz w:val="16"/>
                <w:szCs w:val="16"/>
              </w:rPr>
              <w:t xml:space="preserve"> </w:t>
            </w:r>
            <w:r w:rsidRPr="00871A04">
              <w:rPr>
                <w:sz w:val="16"/>
                <w:szCs w:val="16"/>
              </w:rPr>
              <w:t>NSW,</w:t>
            </w:r>
            <w:r w:rsidR="00F570D5">
              <w:rPr>
                <w:sz w:val="16"/>
                <w:szCs w:val="16"/>
              </w:rPr>
              <w:t xml:space="preserve"> </w:t>
            </w:r>
            <w:r w:rsidRPr="00871A04">
              <w:rPr>
                <w:sz w:val="16"/>
                <w:szCs w:val="16"/>
              </w:rPr>
              <w:t>NT,</w:t>
            </w:r>
            <w:r w:rsidR="00F570D5">
              <w:rPr>
                <w:sz w:val="16"/>
                <w:szCs w:val="16"/>
              </w:rPr>
              <w:t xml:space="preserve"> </w:t>
            </w:r>
            <w:r w:rsidRPr="00871A04">
              <w:rPr>
                <w:sz w:val="16"/>
                <w:szCs w:val="16"/>
              </w:rPr>
              <w:t>QLD,</w:t>
            </w:r>
            <w:r w:rsidR="00F570D5">
              <w:rPr>
                <w:sz w:val="16"/>
                <w:szCs w:val="16"/>
              </w:rPr>
              <w:t xml:space="preserve"> </w:t>
            </w:r>
            <w:r w:rsidRPr="00871A04">
              <w:rPr>
                <w:sz w:val="16"/>
                <w:szCs w:val="16"/>
              </w:rPr>
              <w:t>SA,</w:t>
            </w:r>
            <w:r w:rsidR="00F570D5">
              <w:rPr>
                <w:sz w:val="16"/>
                <w:szCs w:val="16"/>
              </w:rPr>
              <w:t xml:space="preserve"> </w:t>
            </w:r>
            <w:r w:rsidRPr="00871A04">
              <w:rPr>
                <w:sz w:val="16"/>
                <w:szCs w:val="16"/>
              </w:rPr>
              <w:t>TAS,</w:t>
            </w:r>
            <w:r w:rsidR="00F570D5">
              <w:rPr>
                <w:sz w:val="16"/>
                <w:szCs w:val="16"/>
              </w:rPr>
              <w:t xml:space="preserve"> </w:t>
            </w:r>
            <w:r w:rsidRPr="00871A04">
              <w:rPr>
                <w:sz w:val="16"/>
                <w:szCs w:val="16"/>
              </w:rPr>
              <w:t>VIC</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Queenslanders with Disability Network Limited</w:t>
            </w:r>
          </w:p>
        </w:tc>
        <w:tc>
          <w:tcPr>
            <w:tcW w:w="394" w:type="pct"/>
            <w:hideMark/>
          </w:tcPr>
          <w:p w:rsidR="00871A04" w:rsidRPr="00871A04" w:rsidRDefault="00871A04" w:rsidP="00312F9E">
            <w:pPr>
              <w:spacing w:before="80" w:after="80" w:line="276" w:lineRule="auto"/>
              <w:rPr>
                <w:sz w:val="16"/>
                <w:szCs w:val="16"/>
              </w:rPr>
            </w:pPr>
            <w:r w:rsidRPr="00871A04">
              <w:rPr>
                <w:iCs/>
                <w:sz w:val="16"/>
                <w:szCs w:val="16"/>
              </w:rPr>
              <w:t>Changing Lives, Changing Communities</w:t>
            </w:r>
            <w:r w:rsidRPr="00871A04">
              <w:rPr>
                <w:sz w:val="16"/>
                <w:szCs w:val="16"/>
              </w:rPr>
              <w:t xml:space="preserve"> Forums</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Changing Lives, Changing Communities</w:t>
            </w:r>
            <w:r w:rsidRPr="00871A04">
              <w:rPr>
                <w:sz w:val="16"/>
                <w:szCs w:val="16"/>
              </w:rPr>
              <w:t xml:space="preserve"> will initiate a total of 12 two-day forums in six communities across metropolitan, regional, rural and remote areas of Queensland.  The forums will be led by people with disability, local community leaders and Local Council representatives. The forums aim to showcase people with disability as leaders and bring all parts of the community together to exchange information about community and mainstream services, talk about challenges and barriers and work together to co-create local community-owned solutions.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$513,080.00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Queensland</w:t>
            </w:r>
          </w:p>
        </w:tc>
        <w:tc>
          <w:tcPr>
            <w:tcW w:w="484" w:type="pct"/>
          </w:tcPr>
          <w:p w:rsidR="00871A04" w:rsidRPr="00871A04" w:rsidRDefault="00871A04" w:rsidP="00312F9E">
            <w:pPr>
              <w:spacing w:before="80" w:after="80" w:line="276" w:lineRule="auto"/>
              <w:rPr>
                <w:sz w:val="16"/>
                <w:szCs w:val="16"/>
              </w:rPr>
            </w:pPr>
            <w:r w:rsidRPr="00871A04">
              <w:rPr>
                <w:sz w:val="16"/>
                <w:szCs w:val="16"/>
              </w:rPr>
              <w:t>All people with a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 xml:space="preserve">Consortium: QLD Council of Social Services. </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Roper Gulf Regional Council</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ILC Coordination Officer</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 xml:space="preserve">This program will employ an </w:t>
            </w:r>
            <w:r w:rsidRPr="00871A04">
              <w:rPr>
                <w:i/>
                <w:iCs/>
                <w:sz w:val="16"/>
                <w:szCs w:val="16"/>
              </w:rPr>
              <w:t>ILC Coordination Officer</w:t>
            </w:r>
            <w:r w:rsidRPr="00871A04">
              <w:rPr>
                <w:sz w:val="16"/>
                <w:szCs w:val="16"/>
              </w:rPr>
              <w:t xml:space="preserve"> to connect through face-to-face engagement with people with disability, their families, and carers in the remote communities of Mataranka, Ngukurr, Borroloola, Bulman, Beswick, Jilkminggan, Manyalluluk, and Numbulwar. The program provides a tailored, culturally specific approach to distributing relevant and quality information and linking people from Aboriginal and Torres Strait Islander backgrounds into services and supports.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$200,000.00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(one year)</w:t>
            </w:r>
          </w:p>
        </w:tc>
        <w:tc>
          <w:tcPr>
            <w:tcW w:w="394" w:type="pct"/>
          </w:tcPr>
          <w:p w:rsidR="00871A04" w:rsidRPr="00871A04" w:rsidRDefault="00871A04" w:rsidP="00312F9E">
            <w:pPr>
              <w:spacing w:before="80" w:after="80" w:line="276" w:lineRule="auto"/>
              <w:rPr>
                <w:sz w:val="16"/>
                <w:szCs w:val="16"/>
              </w:rPr>
            </w:pPr>
            <w:r w:rsidRPr="00871A04">
              <w:rPr>
                <w:sz w:val="16"/>
                <w:szCs w:val="16"/>
              </w:rPr>
              <w:t>Northern Territory</w:t>
            </w:r>
          </w:p>
        </w:tc>
        <w:tc>
          <w:tcPr>
            <w:tcW w:w="484" w:type="pct"/>
          </w:tcPr>
          <w:p w:rsidR="00871A04" w:rsidRPr="00871A04" w:rsidRDefault="00871A04" w:rsidP="00312F9E">
            <w:pPr>
              <w:spacing w:before="80" w:after="80" w:line="276" w:lineRule="auto"/>
              <w:rPr>
                <w:sz w:val="16"/>
                <w:szCs w:val="16"/>
              </w:rPr>
            </w:pPr>
            <w:r w:rsidRPr="00871A04">
              <w:rPr>
                <w:sz w:val="16"/>
                <w:szCs w:val="16"/>
              </w:rPr>
              <w:t>Aboriginal and Torres Strait Islander communities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Royal South Australian Deaf Society Inc.</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Drop-In Support Services for Deaf Adults</w:t>
            </w:r>
          </w:p>
        </w:tc>
        <w:tc>
          <w:tcPr>
            <w:tcW w:w="2281" w:type="pct"/>
            <w:hideMark/>
          </w:tcPr>
          <w:p w:rsidR="00871A04" w:rsidRPr="00871A04" w:rsidRDefault="00871A04" w:rsidP="005C423A">
            <w:pPr>
              <w:spacing w:before="80" w:after="80" w:line="276" w:lineRule="auto"/>
              <w:rPr>
                <w:sz w:val="16"/>
                <w:szCs w:val="16"/>
              </w:rPr>
            </w:pPr>
            <w:r w:rsidRPr="00871A04">
              <w:rPr>
                <w:sz w:val="16"/>
                <w:szCs w:val="16"/>
              </w:rPr>
              <w:t xml:space="preserve">This two year project is a collaboration </w:t>
            </w:r>
            <w:r w:rsidR="005C423A">
              <w:rPr>
                <w:sz w:val="16"/>
                <w:szCs w:val="16"/>
              </w:rPr>
              <w:t>between</w:t>
            </w:r>
            <w:r w:rsidR="005C423A" w:rsidRPr="00871A04">
              <w:rPr>
                <w:sz w:val="16"/>
                <w:szCs w:val="16"/>
              </w:rPr>
              <w:t xml:space="preserve"> </w:t>
            </w:r>
            <w:r w:rsidRPr="00871A04">
              <w:rPr>
                <w:sz w:val="16"/>
                <w:szCs w:val="16"/>
              </w:rPr>
              <w:t xml:space="preserve">four Australian deaf societies to pilot a best practice model for culturally and linguistically appropriate </w:t>
            </w:r>
            <w:r w:rsidRPr="00871A04">
              <w:rPr>
                <w:i/>
                <w:iCs/>
                <w:sz w:val="16"/>
                <w:szCs w:val="16"/>
              </w:rPr>
              <w:t>Drop-In Support Services for Deaf Adult</w:t>
            </w:r>
            <w:r w:rsidRPr="00871A04">
              <w:rPr>
                <w:sz w:val="16"/>
                <w:szCs w:val="16"/>
              </w:rPr>
              <w:t>s that can be applied nationally. The service will be staffed by native Auslan users, many of whom have a hearing impairment and will pilot a range of services and activities for deaf adults including language translation, literacy support, and assistance with basic problem-solving and assistance to use technology to better access services.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$1,051,075.18</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National </w:t>
            </w:r>
          </w:p>
        </w:tc>
        <w:tc>
          <w:tcPr>
            <w:tcW w:w="484" w:type="pct"/>
          </w:tcPr>
          <w:p w:rsidR="00871A04" w:rsidRPr="00871A04" w:rsidRDefault="00871A04" w:rsidP="00312F9E">
            <w:pPr>
              <w:spacing w:before="80" w:after="80" w:line="276" w:lineRule="auto"/>
              <w:rPr>
                <w:sz w:val="16"/>
                <w:szCs w:val="16"/>
              </w:rPr>
            </w:pPr>
            <w:r w:rsidRPr="00871A04">
              <w:rPr>
                <w:sz w:val="16"/>
                <w:szCs w:val="16"/>
              </w:rPr>
              <w:t>Hearing Impairment</w:t>
            </w:r>
          </w:p>
        </w:tc>
        <w:tc>
          <w:tcPr>
            <w:tcW w:w="525" w:type="pct"/>
            <w:tcBorders>
              <w:right w:val="single" w:sz="4" w:space="0" w:color="auto"/>
            </w:tcBorders>
          </w:tcPr>
          <w:p w:rsidR="00871A04" w:rsidRPr="00871A04" w:rsidRDefault="00871A04" w:rsidP="00312F9E">
            <w:pPr>
              <w:spacing w:before="80" w:after="80" w:line="276" w:lineRule="auto"/>
              <w:rPr>
                <w:sz w:val="16"/>
                <w:szCs w:val="16"/>
              </w:rPr>
            </w:pPr>
            <w:r w:rsidRPr="00871A04">
              <w:rPr>
                <w:sz w:val="16"/>
                <w:szCs w:val="16"/>
              </w:rPr>
              <w:t xml:space="preserve">Consortium: Vicdeaf, Deaf Services QLD, Deaf Society, Royal SA Deaf Society. </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Senses Australia</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Deafblind Information Hub</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The Deafblind Information Hub (DIH)</w:t>
            </w:r>
            <w:r w:rsidRPr="00871A04">
              <w:rPr>
                <w:sz w:val="16"/>
                <w:szCs w:val="16"/>
              </w:rPr>
              <w:t xml:space="preserve"> will assist in building capacity of mainstream services to provide informed and appropriate support for people with deaf blindness. The two year project will further develop and expand the functionality of an existing National Deafblind Information website, to become an interactive source of accessible information and support for service providers.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$475,811.00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iCs/>
                <w:sz w:val="16"/>
                <w:szCs w:val="16"/>
              </w:rPr>
              <w:t>Hearing and vision Impairment</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Settlement Services International Limited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National Multilingual Information Hub</w:t>
            </w:r>
          </w:p>
        </w:tc>
        <w:tc>
          <w:tcPr>
            <w:tcW w:w="2281" w:type="pct"/>
            <w:hideMark/>
          </w:tcPr>
          <w:p w:rsidR="00871A04" w:rsidRPr="00871A04" w:rsidRDefault="00871A04" w:rsidP="007923D8">
            <w:pPr>
              <w:spacing w:before="80" w:after="80" w:line="276" w:lineRule="auto"/>
              <w:rPr>
                <w:sz w:val="16"/>
                <w:szCs w:val="16"/>
              </w:rPr>
            </w:pPr>
            <w:r w:rsidRPr="00871A04">
              <w:rPr>
                <w:iCs/>
                <w:sz w:val="16"/>
                <w:szCs w:val="16"/>
              </w:rPr>
              <w:t>Over the two years of funding,</w:t>
            </w:r>
            <w:r w:rsidRPr="00871A04">
              <w:rPr>
                <w:i/>
                <w:iCs/>
                <w:sz w:val="16"/>
                <w:szCs w:val="16"/>
              </w:rPr>
              <w:t xml:space="preserve"> National Multilingual Information Hu</w:t>
            </w:r>
            <w:r w:rsidRPr="00871A04">
              <w:rPr>
                <w:sz w:val="16"/>
                <w:szCs w:val="16"/>
              </w:rPr>
              <w:t>b will establish an interpreter</w:t>
            </w:r>
            <w:r w:rsidR="005C423A">
              <w:rPr>
                <w:sz w:val="16"/>
                <w:szCs w:val="16"/>
              </w:rPr>
              <w:t>-</w:t>
            </w:r>
            <w:r w:rsidRPr="00871A04">
              <w:rPr>
                <w:sz w:val="16"/>
                <w:szCs w:val="16"/>
              </w:rPr>
              <w:t xml:space="preserve">supported 1800 hotline and website providing relevant, in-language information, advice and referrals for Culturally and Linguistically Diverse </w:t>
            </w:r>
            <w:r w:rsidR="005C423A">
              <w:rPr>
                <w:sz w:val="16"/>
                <w:szCs w:val="16"/>
              </w:rPr>
              <w:t xml:space="preserve">(CALD) </w:t>
            </w:r>
            <w:r w:rsidRPr="00871A04">
              <w:rPr>
                <w:sz w:val="16"/>
                <w:szCs w:val="16"/>
              </w:rPr>
              <w:t xml:space="preserve">communities on disability issues. Information regarding supports available to individuals - including the </w:t>
            </w:r>
            <w:r w:rsidR="007923D8">
              <w:rPr>
                <w:sz w:val="16"/>
                <w:szCs w:val="16"/>
              </w:rPr>
              <w:t>National Disability Insurance Scheme (NDIS)</w:t>
            </w:r>
            <w:r w:rsidR="007923D8" w:rsidRPr="00871A04">
              <w:rPr>
                <w:sz w:val="16"/>
                <w:szCs w:val="16"/>
              </w:rPr>
              <w:t xml:space="preserve"> </w:t>
            </w:r>
            <w:r w:rsidRPr="00871A04">
              <w:rPr>
                <w:sz w:val="16"/>
                <w:szCs w:val="16"/>
              </w:rPr>
              <w:t xml:space="preserve">– will </w:t>
            </w:r>
            <w:r w:rsidR="005C423A">
              <w:rPr>
                <w:sz w:val="16"/>
                <w:szCs w:val="16"/>
              </w:rPr>
              <w:t xml:space="preserve">be </w:t>
            </w:r>
            <w:r w:rsidRPr="00871A04">
              <w:rPr>
                <w:sz w:val="16"/>
                <w:szCs w:val="16"/>
              </w:rPr>
              <w:t>made available to improve life opportunities and enhance community participation.</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$1,261,785.00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sz w:val="16"/>
                <w:szCs w:val="16"/>
              </w:rPr>
              <w:t>Culturally and Linguistically Diverse  communities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Solve Disability Solutions Inc.</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TADAust Assistive Technology Information Service</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TADAust</w:t>
            </w:r>
            <w:r w:rsidRPr="00871A04">
              <w:rPr>
                <w:sz w:val="16"/>
                <w:szCs w:val="16"/>
              </w:rPr>
              <w:t xml:space="preserve"> is a collaboration of seven state-based Technical Aid for the Disabled (TAD) organisations, who make and modify assistive technology that is not commercially available. The one year project will develop a national, multi-regional information channel to support people with disability to make informed decisions about customised assistive technology (assistive technology that is not commercially available) and to combat confusion around the appropriateness of assistive technology to NDIS plans. Funding will be directed towards establishing a central website/database, face to face connections and a phone-based information service. This project complements other assistive technology websites by providing information about non-commercial or user customised assistive technology.</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$300,000.00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(one year)</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National </w:t>
            </w:r>
          </w:p>
        </w:tc>
        <w:tc>
          <w:tcPr>
            <w:tcW w:w="484" w:type="pct"/>
          </w:tcPr>
          <w:p w:rsidR="00871A04" w:rsidRPr="00871A04" w:rsidRDefault="00871A04" w:rsidP="00312F9E">
            <w:pPr>
              <w:spacing w:before="80" w:after="80" w:line="276" w:lineRule="auto"/>
              <w:rPr>
                <w:sz w:val="16"/>
                <w:szCs w:val="16"/>
              </w:rPr>
            </w:pPr>
            <w:r w:rsidRPr="00871A04">
              <w:rPr>
                <w:iCs/>
                <w:sz w:val="16"/>
                <w:szCs w:val="16"/>
              </w:rPr>
              <w:t>All people with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 xml:space="preserve">Consortium: Technical Aid to the Disabled Australia, Qld Inc., ACT,SA, and TADTAS Inc. </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Spinal Cord Injuries Australia</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Spinal Cord Injury Digital Hub</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 xml:space="preserve">The </w:t>
            </w:r>
            <w:r w:rsidRPr="00871A04">
              <w:rPr>
                <w:i/>
                <w:iCs/>
                <w:sz w:val="16"/>
                <w:szCs w:val="16"/>
              </w:rPr>
              <w:t>Spinal Cord Injury Digital Hub</w:t>
            </w:r>
            <w:r w:rsidRPr="00871A04">
              <w:rPr>
                <w:sz w:val="16"/>
                <w:szCs w:val="16"/>
              </w:rPr>
              <w:t xml:space="preserve"> is a two year program to build, market and maintain a digital hub for people living with a spinal cord injury (SCI), their families and friends, health providers and the broader community. People with SCI typically experience significant social isolation after discharge from hospital, which is compounded by the high proportion of people exiting spinal hospital un</w:t>
            </w:r>
            <w:r w:rsidR="007923D8">
              <w:rPr>
                <w:sz w:val="16"/>
                <w:szCs w:val="16"/>
              </w:rPr>
              <w:t xml:space="preserve">its into rural or remote areas. </w:t>
            </w:r>
            <w:r w:rsidRPr="00871A04">
              <w:rPr>
                <w:sz w:val="16"/>
                <w:szCs w:val="16"/>
              </w:rPr>
              <w:t>The digital hub will include a live chat function and an online modera</w:t>
            </w:r>
            <w:r w:rsidR="007923D8">
              <w:rPr>
                <w:sz w:val="16"/>
                <w:szCs w:val="16"/>
              </w:rPr>
              <w:t>ted forum with peers and spinal-</w:t>
            </w:r>
            <w:r w:rsidRPr="00871A04">
              <w:rPr>
                <w:sz w:val="16"/>
                <w:szCs w:val="16"/>
              </w:rPr>
              <w:t>specific health professionals. The program also establishes a peer support model and will work towards building the skills, knowledge and confidence of people with (SCI) to share in community activities and mainstream services.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$397,500.00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New South Wales</w:t>
            </w:r>
          </w:p>
        </w:tc>
        <w:tc>
          <w:tcPr>
            <w:tcW w:w="484" w:type="pct"/>
          </w:tcPr>
          <w:p w:rsidR="00871A04" w:rsidRPr="00871A04" w:rsidRDefault="00871A04" w:rsidP="00312F9E">
            <w:pPr>
              <w:spacing w:before="80" w:after="80" w:line="276" w:lineRule="auto"/>
              <w:rPr>
                <w:sz w:val="16"/>
                <w:szCs w:val="16"/>
              </w:rPr>
            </w:pPr>
            <w:r w:rsidRPr="00871A04">
              <w:rPr>
                <w:sz w:val="16"/>
                <w:szCs w:val="16"/>
              </w:rPr>
              <w:t>Spinal Cord Injury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St Vincent De Paul Society (Canberra / Goulburn) Incorporated.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Peer networks: Information sharing for people with psycho-social disability </w:t>
            </w:r>
          </w:p>
        </w:tc>
        <w:tc>
          <w:tcPr>
            <w:tcW w:w="2281" w:type="pct"/>
            <w:hideMark/>
          </w:tcPr>
          <w:p w:rsidR="00871A04" w:rsidRPr="00871A04" w:rsidRDefault="00871A04" w:rsidP="007923D8">
            <w:pPr>
              <w:spacing w:before="80" w:after="80" w:line="276" w:lineRule="auto"/>
              <w:rPr>
                <w:sz w:val="16"/>
                <w:szCs w:val="16"/>
              </w:rPr>
            </w:pPr>
            <w:r w:rsidRPr="00871A04">
              <w:rPr>
                <w:sz w:val="16"/>
                <w:szCs w:val="16"/>
              </w:rPr>
              <w:t xml:space="preserve">Designed for people with a psychosocial disability who are </w:t>
            </w:r>
            <w:r w:rsidR="007923D8">
              <w:rPr>
                <w:sz w:val="16"/>
                <w:szCs w:val="16"/>
              </w:rPr>
              <w:t>do not meet access criteria</w:t>
            </w:r>
            <w:r w:rsidR="007923D8" w:rsidRPr="00871A04">
              <w:rPr>
                <w:sz w:val="16"/>
                <w:szCs w:val="16"/>
              </w:rPr>
              <w:t xml:space="preserve"> </w:t>
            </w:r>
            <w:r w:rsidRPr="00871A04">
              <w:rPr>
                <w:sz w:val="16"/>
                <w:szCs w:val="16"/>
              </w:rPr>
              <w:t xml:space="preserve">for </w:t>
            </w:r>
            <w:r w:rsidR="007923D8">
              <w:rPr>
                <w:sz w:val="16"/>
                <w:szCs w:val="16"/>
              </w:rPr>
              <w:t>National Disability Insurance Scheme (NDIS)</w:t>
            </w:r>
            <w:r w:rsidR="007923D8" w:rsidRPr="00871A04">
              <w:rPr>
                <w:sz w:val="16"/>
                <w:szCs w:val="16"/>
              </w:rPr>
              <w:t xml:space="preserve"> </w:t>
            </w:r>
            <w:r w:rsidRPr="00871A04">
              <w:rPr>
                <w:sz w:val="16"/>
                <w:szCs w:val="16"/>
              </w:rPr>
              <w:t>funding, this project will offer access to quality information about services that can best meet their needs. Delivered by a peer network, the service will provide information on relevant clinical services</w:t>
            </w:r>
            <w:r w:rsidR="007923D8">
              <w:rPr>
                <w:sz w:val="16"/>
                <w:szCs w:val="16"/>
              </w:rPr>
              <w:t xml:space="preserve">, </w:t>
            </w:r>
            <w:r w:rsidRPr="00871A04">
              <w:rPr>
                <w:sz w:val="16"/>
                <w:szCs w:val="16"/>
              </w:rPr>
              <w:t>advice on assi</w:t>
            </w:r>
            <w:r w:rsidR="007923D8">
              <w:rPr>
                <w:sz w:val="16"/>
                <w:szCs w:val="16"/>
              </w:rPr>
              <w:t>stance with daily living skills,</w:t>
            </w:r>
            <w:r w:rsidRPr="00871A04">
              <w:rPr>
                <w:sz w:val="16"/>
                <w:szCs w:val="16"/>
              </w:rPr>
              <w:t xml:space="preserve"> referrals to workshops f</w:t>
            </w:r>
            <w:r w:rsidR="007923D8">
              <w:rPr>
                <w:sz w:val="16"/>
                <w:szCs w:val="16"/>
              </w:rPr>
              <w:t xml:space="preserve">or stress and anger management, </w:t>
            </w:r>
            <w:r w:rsidRPr="00871A04">
              <w:rPr>
                <w:sz w:val="16"/>
                <w:szCs w:val="16"/>
              </w:rPr>
              <w:t>assistance in sec</w:t>
            </w:r>
            <w:r w:rsidR="007923D8">
              <w:rPr>
                <w:sz w:val="16"/>
                <w:szCs w:val="16"/>
              </w:rPr>
              <w:t xml:space="preserve">uring and sustaining a tenancy </w:t>
            </w:r>
            <w:r w:rsidRPr="00871A04">
              <w:rPr>
                <w:sz w:val="16"/>
                <w:szCs w:val="16"/>
              </w:rPr>
              <w:t>and information on social inclusion, education and job opportunities. The program aims to help participants to make optimum choices, enhance their skills and confidence, gain access to mainstream services, and shape and influence their community.</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$448,938.72</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Australian Capital Territory</w:t>
            </w:r>
          </w:p>
        </w:tc>
        <w:tc>
          <w:tcPr>
            <w:tcW w:w="484" w:type="pct"/>
          </w:tcPr>
          <w:p w:rsidR="00871A04" w:rsidRPr="00871A04" w:rsidRDefault="00871A04" w:rsidP="00312F9E">
            <w:pPr>
              <w:spacing w:before="80" w:after="80" w:line="276" w:lineRule="auto"/>
              <w:rPr>
                <w:sz w:val="16"/>
                <w:szCs w:val="16"/>
              </w:rPr>
            </w:pPr>
            <w:r w:rsidRPr="00871A04">
              <w:rPr>
                <w:sz w:val="16"/>
                <w:szCs w:val="16"/>
              </w:rPr>
              <w:t>Psychosocial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Synapse Australia Limited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SynapseConnect</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 xml:space="preserve">The </w:t>
            </w:r>
            <w:r w:rsidRPr="00871A04">
              <w:rPr>
                <w:i/>
                <w:iCs/>
                <w:sz w:val="16"/>
                <w:szCs w:val="16"/>
              </w:rPr>
              <w:t>SynapseConnect</w:t>
            </w:r>
            <w:r w:rsidRPr="00871A04">
              <w:rPr>
                <w:sz w:val="16"/>
                <w:szCs w:val="16"/>
              </w:rPr>
              <w:t xml:space="preserve"> project aims to co-design and te</w:t>
            </w:r>
            <w:r w:rsidR="007923D8">
              <w:rPr>
                <w:sz w:val="16"/>
                <w:szCs w:val="16"/>
              </w:rPr>
              <w:t>st a multi-faceted approach to information and r</w:t>
            </w:r>
            <w:r w:rsidRPr="00871A04">
              <w:rPr>
                <w:sz w:val="16"/>
                <w:szCs w:val="16"/>
              </w:rPr>
              <w:t>eferral services that respond to the changing needs of people with neurocognitive disorders (NCD), their family, carers, community organisations and agencies that support them. SynapseConnect will incorporate feedback from sample co</w:t>
            </w:r>
            <w:r w:rsidR="007923D8">
              <w:rPr>
                <w:sz w:val="16"/>
                <w:szCs w:val="16"/>
              </w:rPr>
              <w:t>horts to develop contemporary information and r</w:t>
            </w:r>
            <w:r w:rsidRPr="00871A04">
              <w:rPr>
                <w:sz w:val="16"/>
                <w:szCs w:val="16"/>
              </w:rPr>
              <w:t xml:space="preserve">eferral approaches that enable capacity building.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$552,366.00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sz w:val="16"/>
                <w:szCs w:val="16"/>
              </w:rPr>
              <w:t>Neurocognitive disorders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The New South Wales Council for Intellectual Disability</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Inclusion Point </w:t>
            </w:r>
          </w:p>
        </w:tc>
        <w:tc>
          <w:tcPr>
            <w:tcW w:w="2281" w:type="pct"/>
            <w:hideMark/>
          </w:tcPr>
          <w:p w:rsidR="00871A04" w:rsidRPr="00871A04" w:rsidRDefault="00871A04" w:rsidP="007923D8">
            <w:pPr>
              <w:spacing w:before="80" w:after="0" w:line="276" w:lineRule="auto"/>
              <w:rPr>
                <w:sz w:val="16"/>
                <w:szCs w:val="16"/>
              </w:rPr>
            </w:pPr>
            <w:r w:rsidRPr="00871A04">
              <w:rPr>
                <w:i/>
                <w:iCs/>
                <w:sz w:val="16"/>
                <w:szCs w:val="16"/>
              </w:rPr>
              <w:t>Inclusion Point</w:t>
            </w:r>
            <w:r w:rsidRPr="00871A04">
              <w:rPr>
                <w:sz w:val="16"/>
                <w:szCs w:val="16"/>
              </w:rPr>
              <w:t xml:space="preserve"> is a two-year collaboration between the NSW Council for Intellectual Disability (CID) and VALiD in Victoria to provide information to support people with intellectual disability to make decisions about their lives and connect </w:t>
            </w:r>
            <w:r w:rsidR="007923D8">
              <w:rPr>
                <w:sz w:val="16"/>
                <w:szCs w:val="16"/>
              </w:rPr>
              <w:t xml:space="preserve">with their communities through: </w:t>
            </w:r>
            <w:r w:rsidRPr="00871A04">
              <w:rPr>
                <w:sz w:val="16"/>
                <w:szCs w:val="16"/>
              </w:rPr>
              <w:t>specialised information available over the phone, via email and website requests, via social media, and through in-person interactions</w:t>
            </w:r>
            <w:r w:rsidR="007923D8">
              <w:rPr>
                <w:sz w:val="16"/>
                <w:szCs w:val="16"/>
              </w:rPr>
              <w:t xml:space="preserve">, </w:t>
            </w:r>
            <w:r w:rsidRPr="00871A04">
              <w:rPr>
                <w:sz w:val="16"/>
                <w:szCs w:val="16"/>
              </w:rPr>
              <w:t>website</w:t>
            </w:r>
            <w:r w:rsidR="007923D8">
              <w:rPr>
                <w:sz w:val="16"/>
                <w:szCs w:val="16"/>
              </w:rPr>
              <w:t xml:space="preserve"> </w:t>
            </w:r>
            <w:r w:rsidRPr="00871A04">
              <w:rPr>
                <w:sz w:val="16"/>
                <w:szCs w:val="16"/>
              </w:rPr>
              <w:t>development and distribution of easy to read print material including fact sheets, information booklets and posters</w:t>
            </w:r>
            <w:r w:rsidR="007923D8">
              <w:rPr>
                <w:sz w:val="16"/>
                <w:szCs w:val="16"/>
              </w:rPr>
              <w:t xml:space="preserve">, </w:t>
            </w:r>
            <w:r w:rsidRPr="00871A04">
              <w:rPr>
                <w:sz w:val="16"/>
                <w:szCs w:val="16"/>
              </w:rPr>
              <w:t>information sessions and events for people with intellectual disability, and their families and supporters</w:t>
            </w:r>
            <w:r w:rsidR="007923D8">
              <w:rPr>
                <w:sz w:val="16"/>
                <w:szCs w:val="16"/>
              </w:rPr>
              <w:t xml:space="preserve">. </w:t>
            </w:r>
            <w:r w:rsidRPr="00871A04">
              <w:rPr>
                <w:rFonts w:eastAsia="Times New Roman"/>
                <w:color w:val="000000"/>
                <w:sz w:val="16"/>
                <w:szCs w:val="16"/>
                <w:lang w:eastAsia="en-AU"/>
              </w:rPr>
              <w:t>Funding is directed towards employing and training people with intellectual disability to co-design information and deliver information at forums, meetings and events.</w:t>
            </w:r>
            <w:r w:rsidR="007923D8">
              <w:rPr>
                <w:sz w:val="16"/>
                <w:szCs w:val="16"/>
              </w:rPr>
              <w:t xml:space="preserve"> </w:t>
            </w:r>
            <w:r w:rsidRPr="00871A04">
              <w:rPr>
                <w:sz w:val="16"/>
                <w:szCs w:val="16"/>
              </w:rPr>
              <w:t>The two year collaboration takes a specific focus on regional and remote areas and transient populations, responding to user priorities for information and supporting mainstream and community services to better understand their role in supporting inclusion.</w:t>
            </w:r>
            <w:r w:rsidRPr="00871A04">
              <w:rPr>
                <w:rFonts w:eastAsia="Times New Roman"/>
                <w:color w:val="000000"/>
                <w:sz w:val="16"/>
                <w:szCs w:val="16"/>
                <w:lang w:eastAsia="en-AU"/>
              </w:rPr>
              <w:t xml:space="preserve"> Inclusion Point is also funded by ILC in SA and ACT.</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$1,946,004.82</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New South Wales, Victoria </w:t>
            </w:r>
          </w:p>
        </w:tc>
        <w:tc>
          <w:tcPr>
            <w:tcW w:w="484" w:type="pct"/>
          </w:tcPr>
          <w:p w:rsidR="00871A04" w:rsidRPr="00871A04" w:rsidRDefault="00871A04" w:rsidP="00312F9E">
            <w:pPr>
              <w:spacing w:before="80" w:after="80" w:line="276" w:lineRule="auto"/>
              <w:rPr>
                <w:sz w:val="16"/>
                <w:szCs w:val="16"/>
              </w:rPr>
            </w:pPr>
            <w:r w:rsidRPr="00871A04">
              <w:rPr>
                <w:iCs/>
                <w:sz w:val="16"/>
                <w:szCs w:val="16"/>
              </w:rPr>
              <w:t>Intellectual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Consortium: Valid Victorian Advocacy League for Individuals with Disability Inc.</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UnitingCare Wesley Port Adelaide Incorporated</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Pathways to Multicultural Access and Participation </w:t>
            </w:r>
          </w:p>
        </w:tc>
        <w:tc>
          <w:tcPr>
            <w:tcW w:w="2281" w:type="pct"/>
            <w:hideMark/>
          </w:tcPr>
          <w:p w:rsidR="00871A04" w:rsidRPr="00871A04" w:rsidRDefault="00871A04" w:rsidP="00472F83">
            <w:pPr>
              <w:spacing w:before="80" w:after="80" w:line="276" w:lineRule="auto"/>
              <w:rPr>
                <w:sz w:val="16"/>
                <w:szCs w:val="16"/>
              </w:rPr>
            </w:pPr>
            <w:r w:rsidRPr="00871A04">
              <w:rPr>
                <w:i/>
                <w:iCs/>
                <w:sz w:val="16"/>
                <w:szCs w:val="16"/>
              </w:rPr>
              <w:t>The Pathways to Multicultural Access and Participation</w:t>
            </w:r>
            <w:r w:rsidRPr="00871A04">
              <w:rPr>
                <w:sz w:val="16"/>
                <w:szCs w:val="16"/>
              </w:rPr>
              <w:t xml:space="preserve"> provides information and service linkages targeted to South Australians from Culturally and Linguistically Diverse </w:t>
            </w:r>
            <w:r w:rsidR="007923D8">
              <w:rPr>
                <w:sz w:val="16"/>
                <w:szCs w:val="16"/>
              </w:rPr>
              <w:t xml:space="preserve">(CALD) </w:t>
            </w:r>
            <w:r w:rsidRPr="00871A04">
              <w:rPr>
                <w:sz w:val="16"/>
                <w:szCs w:val="16"/>
              </w:rPr>
              <w:t xml:space="preserve">backgrounds living with a disability. A Communication Strategy will be trialled to deliver information about the </w:t>
            </w:r>
            <w:r w:rsidR="00472F83">
              <w:rPr>
                <w:sz w:val="16"/>
                <w:szCs w:val="16"/>
              </w:rPr>
              <w:t xml:space="preserve">National Disability Insurance Scheme (NDIS) </w:t>
            </w:r>
            <w:bookmarkStart w:id="0" w:name="_GoBack"/>
            <w:bookmarkEnd w:id="0"/>
            <w:r w:rsidRPr="00871A04">
              <w:rPr>
                <w:sz w:val="16"/>
                <w:szCs w:val="16"/>
              </w:rPr>
              <w:t xml:space="preserve">in a linguistically and culturally appropriate manner, eroding the stigma that is often associated with disability within culturally diverse communities and reaching those who are socially and geographically isolated.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$258,183.28</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(one year)</w:t>
            </w:r>
          </w:p>
        </w:tc>
        <w:tc>
          <w:tcPr>
            <w:tcW w:w="394" w:type="pct"/>
          </w:tcPr>
          <w:p w:rsidR="00871A04" w:rsidRPr="00871A04" w:rsidRDefault="00871A04" w:rsidP="00312F9E">
            <w:pPr>
              <w:spacing w:before="80" w:after="80" w:line="276" w:lineRule="auto"/>
              <w:rPr>
                <w:sz w:val="16"/>
                <w:szCs w:val="16"/>
              </w:rPr>
            </w:pPr>
            <w:r w:rsidRPr="00871A04">
              <w:rPr>
                <w:sz w:val="16"/>
                <w:szCs w:val="16"/>
              </w:rPr>
              <w:t>South Australia</w:t>
            </w:r>
          </w:p>
        </w:tc>
        <w:tc>
          <w:tcPr>
            <w:tcW w:w="484" w:type="pct"/>
          </w:tcPr>
          <w:p w:rsidR="00871A04" w:rsidRPr="00871A04" w:rsidRDefault="00871A04" w:rsidP="00312F9E">
            <w:pPr>
              <w:spacing w:before="80" w:after="80" w:line="276" w:lineRule="auto"/>
              <w:rPr>
                <w:sz w:val="16"/>
                <w:szCs w:val="16"/>
              </w:rPr>
            </w:pPr>
            <w:r w:rsidRPr="00871A04">
              <w:rPr>
                <w:sz w:val="16"/>
                <w:szCs w:val="16"/>
              </w:rPr>
              <w:t>Culturally and Linguistically Diverse  communities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University of Technology Sydney</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Getting to know my place, my neighbourhood </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Getting to know my place, my neighbourhood</w:t>
            </w:r>
            <w:r w:rsidRPr="00871A04">
              <w:rPr>
                <w:sz w:val="16"/>
                <w:szCs w:val="16"/>
              </w:rPr>
              <w:t xml:space="preserve"> is a two-year project that develops an accessible information guide about mainstream services in their local government area. Up to 15 people with intellectual disability will be employed as co-designers to collate information about services in six local government areas across NSW and Victoria. The project will design and deliver a scalable and sustainable information resource for people with intellectual disability and their support networks. This resource will be made available nationally for local governments for them to replicate in their jurisdiction.</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$365,112.00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New South Wales, Victoria</w:t>
            </w:r>
          </w:p>
        </w:tc>
        <w:tc>
          <w:tcPr>
            <w:tcW w:w="484" w:type="pct"/>
          </w:tcPr>
          <w:p w:rsidR="00871A04" w:rsidRPr="00871A04" w:rsidRDefault="00871A04" w:rsidP="00312F9E">
            <w:pPr>
              <w:spacing w:before="80" w:after="80" w:line="276" w:lineRule="auto"/>
              <w:rPr>
                <w:sz w:val="16"/>
                <w:szCs w:val="16"/>
              </w:rPr>
            </w:pPr>
            <w:r w:rsidRPr="00871A04">
              <w:rPr>
                <w:sz w:val="16"/>
                <w:szCs w:val="16"/>
              </w:rPr>
              <w:t>Intellectual disability</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tcPr>
          <w:p w:rsidR="00871A04" w:rsidRPr="00871A04" w:rsidRDefault="00871A04" w:rsidP="00312F9E">
            <w:pPr>
              <w:spacing w:before="80" w:after="80" w:line="276" w:lineRule="auto"/>
              <w:rPr>
                <w:sz w:val="16"/>
                <w:szCs w:val="16"/>
              </w:rPr>
            </w:pPr>
            <w:r w:rsidRPr="00871A04">
              <w:rPr>
                <w:sz w:val="16"/>
                <w:szCs w:val="16"/>
              </w:rPr>
              <w:t>Vincentcare Victoria</w:t>
            </w:r>
          </w:p>
        </w:tc>
        <w:tc>
          <w:tcPr>
            <w:tcW w:w="394" w:type="pct"/>
          </w:tcPr>
          <w:p w:rsidR="00871A04" w:rsidRPr="00871A04" w:rsidRDefault="00871A04" w:rsidP="00312F9E">
            <w:pPr>
              <w:spacing w:before="80" w:after="80" w:line="276" w:lineRule="auto"/>
              <w:rPr>
                <w:sz w:val="16"/>
                <w:szCs w:val="16"/>
              </w:rPr>
            </w:pPr>
            <w:r w:rsidRPr="00871A04">
              <w:rPr>
                <w:sz w:val="16"/>
                <w:szCs w:val="16"/>
              </w:rPr>
              <w:t>Brick By Brick' - Specialist Information &amp; Referral for People Accessing Homelessness Services</w:t>
            </w:r>
          </w:p>
        </w:tc>
        <w:tc>
          <w:tcPr>
            <w:tcW w:w="2281" w:type="pct"/>
          </w:tcPr>
          <w:p w:rsidR="00871A04" w:rsidRPr="00871A04" w:rsidRDefault="00871A04" w:rsidP="00312F9E">
            <w:pPr>
              <w:spacing w:before="80" w:after="80" w:line="276" w:lineRule="auto"/>
              <w:rPr>
                <w:sz w:val="16"/>
                <w:szCs w:val="16"/>
              </w:rPr>
            </w:pPr>
            <w:r w:rsidRPr="00871A04">
              <w:rPr>
                <w:i/>
                <w:iCs/>
                <w:sz w:val="16"/>
                <w:szCs w:val="16"/>
              </w:rPr>
              <w:t>Brick By Brick</w:t>
            </w:r>
            <w:r w:rsidRPr="00871A04">
              <w:rPr>
                <w:sz w:val="16"/>
                <w:szCs w:val="16"/>
              </w:rPr>
              <w:t xml:space="preserve"> aims to develop a practice model for better engaging people with disability who are experiencing risks of homelessness and who are not engaged with specialist or mainstream services. An information pack and client engagement practice framework will be produced to improve the practice of homelessness outreach services and mainstream welfare personnel. It is envisaged that this practice framework will be replicable in homelessness services across Victoria and other jurisdictions.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$395,813.46</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Victoria</w:t>
            </w:r>
          </w:p>
        </w:tc>
        <w:tc>
          <w:tcPr>
            <w:tcW w:w="484" w:type="pct"/>
          </w:tcPr>
          <w:p w:rsidR="00871A04" w:rsidRPr="00871A04" w:rsidRDefault="00871A04" w:rsidP="00312F9E">
            <w:pPr>
              <w:spacing w:before="80" w:after="80" w:line="276" w:lineRule="auto"/>
              <w:rPr>
                <w:sz w:val="16"/>
                <w:szCs w:val="16"/>
              </w:rPr>
            </w:pPr>
            <w:r w:rsidRPr="00871A04">
              <w:rPr>
                <w:iCs/>
                <w:sz w:val="16"/>
                <w:szCs w:val="16"/>
              </w:rPr>
              <w:t>Hard to reach populations</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t>Victorian Deaf Society</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 xml:space="preserve">The DeafCentral National Portal </w:t>
            </w:r>
          </w:p>
        </w:tc>
        <w:tc>
          <w:tcPr>
            <w:tcW w:w="2281" w:type="pct"/>
            <w:hideMark/>
          </w:tcPr>
          <w:p w:rsidR="00871A04" w:rsidRPr="00871A04" w:rsidRDefault="00871A04" w:rsidP="00312F9E">
            <w:pPr>
              <w:spacing w:before="80" w:after="80" w:line="276" w:lineRule="auto"/>
              <w:rPr>
                <w:sz w:val="16"/>
                <w:szCs w:val="16"/>
              </w:rPr>
            </w:pPr>
            <w:r w:rsidRPr="00871A04">
              <w:rPr>
                <w:sz w:val="16"/>
                <w:szCs w:val="16"/>
              </w:rPr>
              <w:t xml:space="preserve">This two year project is a collaboration of five Deaf Societies to establish </w:t>
            </w:r>
            <w:r w:rsidRPr="00871A04">
              <w:rPr>
                <w:i/>
                <w:iCs/>
                <w:sz w:val="16"/>
                <w:szCs w:val="16"/>
              </w:rPr>
              <w:t>The DeafCentral National Portal</w:t>
            </w:r>
            <w:r w:rsidRPr="00871A04">
              <w:rPr>
                <w:sz w:val="16"/>
                <w:szCs w:val="16"/>
              </w:rPr>
              <w:t>; an interactive web-based information, learning and referral platform. The portal will reduce duplication of local and national information and consolidate everything into a single location, acting as a referral gateway and mechanism for capacity building. The portal provides guidance and tools for people with a hearing loss, their families and support networks and will include resources about the personal impact of deafness, hearing loss and where to go for services and support. Information is presented in English and Auslan, as well as live chat real-time interaction, an online learning platform and a pilot of a document translation service.</w:t>
            </w:r>
          </w:p>
          <w:p w:rsidR="00871A04" w:rsidRPr="00871A04" w:rsidRDefault="00871A04" w:rsidP="00312F9E">
            <w:pPr>
              <w:spacing w:before="80" w:after="80" w:line="276" w:lineRule="auto"/>
              <w:rPr>
                <w:sz w:val="16"/>
                <w:szCs w:val="16"/>
              </w:rPr>
            </w:pPr>
            <w:r w:rsidRPr="00871A04">
              <w:rPr>
                <w:sz w:val="16"/>
                <w:szCs w:val="16"/>
              </w:rPr>
              <w:t xml:space="preserve">Funding is directed towards employment of state and national project staff including a multilingual document translator. </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$1,389,164.75</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 xml:space="preserve">National </w:t>
            </w:r>
          </w:p>
        </w:tc>
        <w:tc>
          <w:tcPr>
            <w:tcW w:w="484" w:type="pct"/>
          </w:tcPr>
          <w:p w:rsidR="00871A04" w:rsidRPr="00871A04" w:rsidRDefault="00871A04" w:rsidP="00312F9E">
            <w:pPr>
              <w:spacing w:before="80" w:after="80" w:line="276" w:lineRule="auto"/>
              <w:rPr>
                <w:sz w:val="16"/>
                <w:szCs w:val="16"/>
              </w:rPr>
            </w:pPr>
            <w:r w:rsidRPr="00871A04">
              <w:rPr>
                <w:sz w:val="16"/>
                <w:szCs w:val="16"/>
              </w:rPr>
              <w:t>Hearing Impairment</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r w:rsidRPr="00871A04">
              <w:rPr>
                <w:sz w:val="16"/>
                <w:szCs w:val="16"/>
              </w:rPr>
              <w:t xml:space="preserve">Consortium: Tasmania Deaf Society, Deaf Services QLD, The Deaf Society, Royal SA Deaf Society Inc. </w:t>
            </w:r>
          </w:p>
        </w:tc>
      </w:tr>
      <w:tr w:rsidR="00871A04" w:rsidRPr="00871A04" w:rsidTr="00871A04">
        <w:trPr>
          <w:cantSplit/>
          <w:trHeight w:val="20"/>
        </w:trPr>
        <w:tc>
          <w:tcPr>
            <w:tcW w:w="483" w:type="pct"/>
            <w:hideMark/>
          </w:tcPr>
          <w:p w:rsidR="00871A04" w:rsidRPr="00871A04" w:rsidRDefault="00871A04" w:rsidP="00312F9E">
            <w:pPr>
              <w:spacing w:before="80" w:after="80" w:line="276" w:lineRule="auto"/>
              <w:rPr>
                <w:sz w:val="16"/>
                <w:szCs w:val="16"/>
              </w:rPr>
            </w:pPr>
            <w:r w:rsidRPr="00871A04">
              <w:rPr>
                <w:sz w:val="16"/>
                <w:szCs w:val="16"/>
              </w:rPr>
              <w:lastRenderedPageBreak/>
              <w:t>Women with Disabilities Australia Inc.</w:t>
            </w:r>
          </w:p>
        </w:tc>
        <w:tc>
          <w:tcPr>
            <w:tcW w:w="394" w:type="pct"/>
            <w:hideMark/>
          </w:tcPr>
          <w:p w:rsidR="00871A04" w:rsidRPr="00871A04" w:rsidRDefault="00871A04" w:rsidP="00312F9E">
            <w:pPr>
              <w:spacing w:before="80" w:after="80" w:line="276" w:lineRule="auto"/>
              <w:rPr>
                <w:sz w:val="16"/>
                <w:szCs w:val="16"/>
              </w:rPr>
            </w:pPr>
            <w:r w:rsidRPr="00871A04">
              <w:rPr>
                <w:sz w:val="16"/>
                <w:szCs w:val="16"/>
              </w:rPr>
              <w:t>The Virtual Centre for Women and Girls with Disability</w:t>
            </w:r>
          </w:p>
        </w:tc>
        <w:tc>
          <w:tcPr>
            <w:tcW w:w="2281" w:type="pct"/>
            <w:hideMark/>
          </w:tcPr>
          <w:p w:rsidR="00871A04" w:rsidRPr="00871A04" w:rsidRDefault="00871A04" w:rsidP="00312F9E">
            <w:pPr>
              <w:spacing w:before="80" w:after="80" w:line="276" w:lineRule="auto"/>
              <w:rPr>
                <w:sz w:val="16"/>
                <w:szCs w:val="16"/>
              </w:rPr>
            </w:pPr>
            <w:r w:rsidRPr="00871A04">
              <w:rPr>
                <w:i/>
                <w:iCs/>
                <w:sz w:val="16"/>
                <w:szCs w:val="16"/>
              </w:rPr>
              <w:t>The Virtual Centre for Women and Girls with Disability</w:t>
            </w:r>
            <w:r w:rsidRPr="00871A04">
              <w:rPr>
                <w:sz w:val="16"/>
                <w:szCs w:val="16"/>
              </w:rPr>
              <w:t xml:space="preserve"> is a one-stop digital platform gateway to accessible information, support and referral information for all women and girls with disability, their families and carers. Information will be focused on four priorities identified by Australian women and girls with disability: decision-making, leadership and participation, sexual and reproductive he</w:t>
            </w:r>
            <w:r w:rsidR="00472F83">
              <w:rPr>
                <w:sz w:val="16"/>
                <w:szCs w:val="16"/>
              </w:rPr>
              <w:t xml:space="preserve">alth and prevention of violence </w:t>
            </w:r>
            <w:r w:rsidRPr="00871A04">
              <w:rPr>
                <w:sz w:val="16"/>
                <w:szCs w:val="16"/>
              </w:rPr>
              <w:t>The Virtual Centre will provide a central repository for practical resources and information including: toolkits, handbooks, guides, captioned and Auslan interpreted multimedia, model inclusivity guides and self-audits for mainstream services. The digital platform will host interactive spaces and fora for communication and peer-support and information on referral pathways, networks and supports in the community. The user-led design of the digital platform and user-led checking of resources will ensure resources are relevant and appropriate.</w:t>
            </w:r>
            <w:r w:rsidR="00472F83">
              <w:rPr>
                <w:sz w:val="16"/>
                <w:szCs w:val="16"/>
              </w:rPr>
              <w:t xml:space="preserve"> </w:t>
            </w:r>
            <w:r w:rsidRPr="00871A04">
              <w:rPr>
                <w:sz w:val="16"/>
                <w:szCs w:val="16"/>
              </w:rPr>
              <w:t>The virtual centre will increase access to high quality, accessible, inclusive, relevant and easy to understand information, improving knowledge of the key needs of women and girls with disability. The digital platform also aims to increase the effectiveness of referral pathways to connect women and girls with disability, their families and carers to mainstream and community services.</w:t>
            </w:r>
          </w:p>
        </w:tc>
        <w:tc>
          <w:tcPr>
            <w:tcW w:w="439" w:type="pct"/>
          </w:tcPr>
          <w:p w:rsidR="00871A04" w:rsidRPr="00871A04" w:rsidRDefault="00871A04" w:rsidP="00312F9E">
            <w:pPr>
              <w:spacing w:before="80" w:after="80" w:line="276" w:lineRule="auto"/>
              <w:jc w:val="right"/>
              <w:rPr>
                <w:color w:val="000000"/>
                <w:sz w:val="16"/>
                <w:szCs w:val="16"/>
              </w:rPr>
            </w:pPr>
            <w:r w:rsidRPr="00871A04">
              <w:rPr>
                <w:color w:val="000000"/>
                <w:sz w:val="16"/>
                <w:szCs w:val="16"/>
              </w:rPr>
              <w:t>$1,161,363.00</w:t>
            </w:r>
          </w:p>
          <w:p w:rsidR="00871A04" w:rsidRPr="00871A04" w:rsidRDefault="00871A04" w:rsidP="00312F9E">
            <w:pPr>
              <w:spacing w:before="80" w:after="80" w:line="276" w:lineRule="auto"/>
              <w:jc w:val="right"/>
              <w:rPr>
                <w:color w:val="000000"/>
                <w:sz w:val="16"/>
                <w:szCs w:val="16"/>
              </w:rPr>
            </w:pPr>
            <w:r w:rsidRPr="00871A04">
              <w:rPr>
                <w:color w:val="000000"/>
                <w:sz w:val="16"/>
                <w:szCs w:val="16"/>
              </w:rPr>
              <w:t>(two year)</w:t>
            </w:r>
          </w:p>
        </w:tc>
        <w:tc>
          <w:tcPr>
            <w:tcW w:w="394" w:type="pct"/>
          </w:tcPr>
          <w:p w:rsidR="00871A04" w:rsidRPr="00871A04" w:rsidRDefault="00871A04" w:rsidP="00312F9E">
            <w:pPr>
              <w:spacing w:before="80" w:after="80" w:line="276" w:lineRule="auto"/>
              <w:rPr>
                <w:sz w:val="16"/>
                <w:szCs w:val="16"/>
              </w:rPr>
            </w:pPr>
            <w:r w:rsidRPr="00871A04">
              <w:rPr>
                <w:sz w:val="16"/>
                <w:szCs w:val="16"/>
              </w:rPr>
              <w:t>National</w:t>
            </w:r>
          </w:p>
        </w:tc>
        <w:tc>
          <w:tcPr>
            <w:tcW w:w="484" w:type="pct"/>
          </w:tcPr>
          <w:p w:rsidR="00871A04" w:rsidRPr="00871A04" w:rsidRDefault="00871A04" w:rsidP="00312F9E">
            <w:pPr>
              <w:spacing w:before="80" w:after="80" w:line="276" w:lineRule="auto"/>
              <w:rPr>
                <w:sz w:val="16"/>
                <w:szCs w:val="16"/>
              </w:rPr>
            </w:pPr>
            <w:r w:rsidRPr="00871A04">
              <w:rPr>
                <w:iCs/>
                <w:sz w:val="16"/>
                <w:szCs w:val="16"/>
              </w:rPr>
              <w:t xml:space="preserve">Women and Girls </w:t>
            </w:r>
          </w:p>
        </w:tc>
        <w:tc>
          <w:tcPr>
            <w:tcW w:w="525" w:type="pct"/>
            <w:tcBorders>
              <w:right w:val="single" w:sz="4" w:space="0" w:color="auto"/>
            </w:tcBorders>
            <w:shd w:val="clear" w:color="000000" w:fill="FFFFFF"/>
          </w:tcPr>
          <w:p w:rsidR="00871A04" w:rsidRPr="00871A04" w:rsidRDefault="00871A04" w:rsidP="00312F9E">
            <w:pPr>
              <w:spacing w:before="80" w:after="80" w:line="276" w:lineRule="auto"/>
              <w:rPr>
                <w:sz w:val="16"/>
                <w:szCs w:val="16"/>
              </w:rPr>
            </w:pPr>
          </w:p>
        </w:tc>
      </w:tr>
    </w:tbl>
    <w:p w:rsidR="00871A04" w:rsidRPr="00871A04" w:rsidRDefault="00871A04" w:rsidP="00871A04">
      <w:pPr>
        <w:rPr>
          <w:sz w:val="18"/>
          <w:szCs w:val="18"/>
        </w:rPr>
      </w:pPr>
    </w:p>
    <w:p w:rsidR="00871A04" w:rsidRPr="00871A04" w:rsidRDefault="00871A04">
      <w:pPr>
        <w:rPr>
          <w:sz w:val="18"/>
          <w:szCs w:val="18"/>
        </w:rPr>
      </w:pPr>
    </w:p>
    <w:sectPr w:rsidR="00871A04" w:rsidRPr="00871A04" w:rsidSect="00871A04">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9BE" w:rsidRDefault="002419BE" w:rsidP="00871A04">
      <w:pPr>
        <w:spacing w:after="0" w:line="240" w:lineRule="auto"/>
      </w:pPr>
      <w:r>
        <w:separator/>
      </w:r>
    </w:p>
  </w:endnote>
  <w:endnote w:type="continuationSeparator" w:id="0">
    <w:p w:rsidR="002419BE" w:rsidRDefault="002419BE" w:rsidP="0087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9BE" w:rsidRDefault="002419BE" w:rsidP="00871A04">
      <w:pPr>
        <w:spacing w:after="0" w:line="240" w:lineRule="auto"/>
      </w:pPr>
      <w:r>
        <w:separator/>
      </w:r>
    </w:p>
  </w:footnote>
  <w:footnote w:type="continuationSeparator" w:id="0">
    <w:p w:rsidR="002419BE" w:rsidRDefault="002419BE" w:rsidP="00871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04" w:rsidRPr="00871A04" w:rsidRDefault="00871A04" w:rsidP="00E13ECD">
    <w:pPr>
      <w:tabs>
        <w:tab w:val="left" w:pos="546"/>
      </w:tabs>
      <w:spacing w:after="0"/>
      <w:rPr>
        <w:b/>
        <w:color w:val="6B2976"/>
        <w:sz w:val="20"/>
        <w:szCs w:val="20"/>
      </w:rPr>
    </w:pPr>
    <w:r w:rsidRPr="00871A04">
      <w:rPr>
        <w:b/>
        <w:color w:val="6B2976"/>
        <w:sz w:val="20"/>
        <w:szCs w:val="20"/>
      </w:rPr>
      <w:t>ILC National Readiness Grants, Round 2: Summary of Funded Activities</w:t>
    </w:r>
  </w:p>
  <w:p w:rsidR="00871A04" w:rsidRPr="00871A04" w:rsidRDefault="00871A04" w:rsidP="00871A04">
    <w:pPr>
      <w:pStyle w:val="Header"/>
      <w:rPr>
        <w:b/>
        <w:color w:val="262626" w:themeColor="text1" w:themeTint="D9"/>
        <w:sz w:val="20"/>
        <w:szCs w:val="20"/>
      </w:rPr>
    </w:pPr>
    <w:r w:rsidRPr="00871A04">
      <w:rPr>
        <w:b/>
        <w:color w:val="262626" w:themeColor="text1" w:themeTint="D9"/>
        <w:sz w:val="20"/>
        <w:szCs w:val="20"/>
      </w:rPr>
      <w:t>ILC Activity Area: Information, Linkages and Referrals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3E8A"/>
    <w:multiLevelType w:val="hybridMultilevel"/>
    <w:tmpl w:val="0E72A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04"/>
    <w:rsid w:val="000E7692"/>
    <w:rsid w:val="001160E0"/>
    <w:rsid w:val="002419BE"/>
    <w:rsid w:val="00243E15"/>
    <w:rsid w:val="002606EC"/>
    <w:rsid w:val="0032564A"/>
    <w:rsid w:val="00472F83"/>
    <w:rsid w:val="004C052F"/>
    <w:rsid w:val="00532B9B"/>
    <w:rsid w:val="005C423A"/>
    <w:rsid w:val="0069234C"/>
    <w:rsid w:val="00700E40"/>
    <w:rsid w:val="007923D8"/>
    <w:rsid w:val="007A7721"/>
    <w:rsid w:val="007D349D"/>
    <w:rsid w:val="007F5CD2"/>
    <w:rsid w:val="00871A04"/>
    <w:rsid w:val="009A3EC1"/>
    <w:rsid w:val="00B06FDB"/>
    <w:rsid w:val="00C5523E"/>
    <w:rsid w:val="00D0586F"/>
    <w:rsid w:val="00D34452"/>
    <w:rsid w:val="00D52ABA"/>
    <w:rsid w:val="00E13ECD"/>
    <w:rsid w:val="00EA5034"/>
    <w:rsid w:val="00F570D5"/>
    <w:rsid w:val="00FB2665"/>
    <w:rsid w:val="00FD7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EEEAE-A0DF-4869-B1D3-1A87D440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A04"/>
    <w:pPr>
      <w:spacing w:after="240" w:line="288" w:lineRule="auto"/>
    </w:pPr>
    <w:rPr>
      <w:rFonts w:ascii="Arial" w:hAnsi="Arial" w:cs="Arial"/>
    </w:rPr>
  </w:style>
  <w:style w:type="paragraph" w:styleId="Heading1">
    <w:name w:val="heading 1"/>
    <w:basedOn w:val="Normal"/>
    <w:next w:val="Normal"/>
    <w:link w:val="Heading1Char"/>
    <w:uiPriority w:val="9"/>
    <w:qFormat/>
    <w:rsid w:val="00871A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A04"/>
  </w:style>
  <w:style w:type="paragraph" w:styleId="Footer">
    <w:name w:val="footer"/>
    <w:basedOn w:val="Normal"/>
    <w:link w:val="FooterChar"/>
    <w:uiPriority w:val="99"/>
    <w:unhideWhenUsed/>
    <w:rsid w:val="00871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A04"/>
  </w:style>
  <w:style w:type="character" w:customStyle="1" w:styleId="Heading1Char">
    <w:name w:val="Heading 1 Char"/>
    <w:basedOn w:val="DefaultParagraphFont"/>
    <w:link w:val="Heading1"/>
    <w:uiPriority w:val="9"/>
    <w:rsid w:val="00871A0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71A0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5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AC81C-D96C-4771-835F-4667390B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5564</Words>
  <Characters>31717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Karanikolas, Amber</dc:creator>
  <cp:keywords/>
  <dc:description/>
  <cp:lastModifiedBy>TAYLOR, Kim</cp:lastModifiedBy>
  <cp:revision>14</cp:revision>
  <dcterms:created xsi:type="dcterms:W3CDTF">2018-05-02T00:14:00Z</dcterms:created>
  <dcterms:modified xsi:type="dcterms:W3CDTF">2018-05-29T06:58:00Z</dcterms:modified>
</cp:coreProperties>
</file>