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302" w:type="dxa"/>
        <w:tblInd w:w="-1139" w:type="dxa"/>
        <w:tblLayout w:type="fixed"/>
        <w:tblLook w:val="04A0" w:firstRow="1" w:lastRow="0" w:firstColumn="1" w:lastColumn="0" w:noHBand="0" w:noVBand="1"/>
      </w:tblPr>
      <w:tblGrid>
        <w:gridCol w:w="1843"/>
        <w:gridCol w:w="1418"/>
        <w:gridCol w:w="6662"/>
        <w:gridCol w:w="1559"/>
        <w:gridCol w:w="1418"/>
        <w:gridCol w:w="1842"/>
        <w:gridCol w:w="1560"/>
      </w:tblGrid>
      <w:tr w:rsidR="00CC13C4" w:rsidRPr="00CC13C4" w:rsidTr="001F6C2D">
        <w:trPr>
          <w:cantSplit/>
          <w:tblHeader/>
        </w:trPr>
        <w:tc>
          <w:tcPr>
            <w:tcW w:w="1843" w:type="dxa"/>
            <w:shd w:val="clear" w:color="auto" w:fill="6B2976"/>
            <w:vAlign w:val="center"/>
            <w:hideMark/>
          </w:tcPr>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ORGANISATION</w:t>
            </w:r>
          </w:p>
        </w:tc>
        <w:tc>
          <w:tcPr>
            <w:tcW w:w="1418" w:type="dxa"/>
            <w:shd w:val="clear" w:color="auto" w:fill="6B2976"/>
            <w:vAlign w:val="center"/>
            <w:hideMark/>
          </w:tcPr>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PROJECT TITLE</w:t>
            </w:r>
          </w:p>
        </w:tc>
        <w:tc>
          <w:tcPr>
            <w:tcW w:w="6662" w:type="dxa"/>
            <w:shd w:val="clear" w:color="auto" w:fill="6B2976"/>
            <w:vAlign w:val="center"/>
            <w:hideMark/>
          </w:tcPr>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PROJECT DESCRIPTION</w:t>
            </w:r>
          </w:p>
        </w:tc>
        <w:tc>
          <w:tcPr>
            <w:tcW w:w="1559" w:type="dxa"/>
            <w:shd w:val="clear" w:color="auto" w:fill="6B2976"/>
            <w:vAlign w:val="center"/>
          </w:tcPr>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TOTAL FUNDING AMOUNT</w:t>
            </w:r>
            <w:r w:rsidRPr="00CC13C4">
              <w:rPr>
                <w:b/>
                <w:bCs/>
                <w:color w:val="FFFFFF" w:themeColor="background1"/>
                <w:sz w:val="16"/>
                <w:szCs w:val="16"/>
              </w:rPr>
              <w:br/>
              <w:t>(GST excl.) and DURATION</w:t>
            </w:r>
          </w:p>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(1 or 2 years)</w:t>
            </w:r>
          </w:p>
        </w:tc>
        <w:tc>
          <w:tcPr>
            <w:tcW w:w="1418" w:type="dxa"/>
            <w:shd w:val="clear" w:color="auto" w:fill="6B2976"/>
            <w:vAlign w:val="center"/>
          </w:tcPr>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ILC ACTIVITY AREA</w:t>
            </w:r>
          </w:p>
        </w:tc>
        <w:tc>
          <w:tcPr>
            <w:tcW w:w="1842" w:type="dxa"/>
            <w:shd w:val="clear" w:color="auto" w:fill="6B2976"/>
            <w:vAlign w:val="center"/>
            <w:hideMark/>
          </w:tcPr>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FOCUS AREA: DISABILITY TYPE or DEMOGRAPHIC GROUP</w:t>
            </w:r>
          </w:p>
        </w:tc>
        <w:tc>
          <w:tcPr>
            <w:tcW w:w="1560" w:type="dxa"/>
            <w:tcBorders>
              <w:right w:val="single" w:sz="4" w:space="0" w:color="auto"/>
            </w:tcBorders>
            <w:shd w:val="clear" w:color="auto" w:fill="6B2976"/>
            <w:vAlign w:val="center"/>
          </w:tcPr>
          <w:p w:rsidR="00CC13C4" w:rsidRPr="00CC13C4" w:rsidRDefault="00CC13C4" w:rsidP="00CC13C4">
            <w:pPr>
              <w:spacing w:before="60" w:after="60" w:line="240" w:lineRule="auto"/>
              <w:jc w:val="center"/>
              <w:rPr>
                <w:b/>
                <w:bCs/>
                <w:color w:val="FFFFFF" w:themeColor="background1"/>
                <w:sz w:val="16"/>
                <w:szCs w:val="16"/>
              </w:rPr>
            </w:pPr>
            <w:r w:rsidRPr="00CC13C4">
              <w:rPr>
                <w:b/>
                <w:bCs/>
                <w:color w:val="FFFFFF" w:themeColor="background1"/>
                <w:sz w:val="16"/>
                <w:szCs w:val="16"/>
              </w:rPr>
              <w:t>PROJECT PARTNERS</w:t>
            </w: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Association Italian Families and Friends of People with a Disability Handital NSW Inc.</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Information and referral service</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two year project develops a culturally sensitive information and referral service targeting people with disabilities and their carers of Italian origin residing in the Inner West of Sydney Metro</w:t>
            </w:r>
            <w:r w:rsidR="00B64683">
              <w:rPr>
                <w:rFonts w:eastAsia="Times New Roman"/>
                <w:color w:val="000000"/>
                <w:sz w:val="16"/>
                <w:szCs w:val="16"/>
                <w:lang w:eastAsia="en-AU"/>
              </w:rPr>
              <w:t xml:space="preserve">politan region. </w:t>
            </w:r>
            <w:r w:rsidRPr="00CC13C4">
              <w:rPr>
                <w:rFonts w:eastAsia="Times New Roman"/>
                <w:color w:val="000000"/>
                <w:sz w:val="16"/>
                <w:szCs w:val="16"/>
                <w:lang w:eastAsia="en-AU"/>
              </w:rPr>
              <w:t>As an Italian operated organisation, Handital will develop and provide information and resources in Italian and disseminate information via phone, face-to-face, written material or through forums and seminars. Handital will also support individuals in their discussions with services providers to assist clients to make sense of available information and options, thereby making informed decisions about the services they engage.</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$264,574.50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Down Syndrome Australia</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Information for Life Program NSW</w:t>
            </w:r>
          </w:p>
        </w:tc>
        <w:tc>
          <w:tcPr>
            <w:tcW w:w="6662" w:type="dxa"/>
          </w:tcPr>
          <w:p w:rsidR="00CC13C4" w:rsidRPr="00CC13C4" w:rsidRDefault="00CC13C4" w:rsidP="00B64683">
            <w:pPr>
              <w:spacing w:before="120" w:after="0" w:line="276" w:lineRule="auto"/>
              <w:rPr>
                <w:rFonts w:eastAsia="Times New Roman"/>
                <w:color w:val="000000"/>
                <w:sz w:val="16"/>
                <w:szCs w:val="16"/>
                <w:lang w:eastAsia="en-AU"/>
              </w:rPr>
            </w:pPr>
            <w:r w:rsidRPr="00CC13C4">
              <w:rPr>
                <w:rFonts w:eastAsia="Times New Roman"/>
                <w:color w:val="000000"/>
                <w:sz w:val="16"/>
                <w:szCs w:val="16"/>
                <w:lang w:eastAsia="en-AU"/>
              </w:rPr>
              <w:t xml:space="preserve">Down Syndrome Australia will deliver a comprehensive package of information, linkages and support to promote opportunities for people with Down </w:t>
            </w:r>
            <w:r w:rsidR="008B37D7">
              <w:rPr>
                <w:rFonts w:eastAsia="Times New Roman"/>
                <w:color w:val="000000"/>
                <w:sz w:val="16"/>
                <w:szCs w:val="16"/>
                <w:lang w:eastAsia="en-AU"/>
              </w:rPr>
              <w:t>S</w:t>
            </w:r>
            <w:r w:rsidRPr="00CC13C4">
              <w:rPr>
                <w:rFonts w:eastAsia="Times New Roman"/>
                <w:color w:val="000000"/>
                <w:sz w:val="16"/>
                <w:szCs w:val="16"/>
                <w:lang w:eastAsia="en-AU"/>
              </w:rPr>
              <w:t>yndrome to live an or</w:t>
            </w:r>
            <w:r w:rsidR="00B64683">
              <w:rPr>
                <w:rFonts w:eastAsia="Times New Roman"/>
                <w:color w:val="000000"/>
                <w:sz w:val="16"/>
                <w:szCs w:val="16"/>
                <w:lang w:eastAsia="en-AU"/>
              </w:rPr>
              <w:t>dinary life. This will include: s</w:t>
            </w:r>
            <w:r w:rsidRPr="00CC13C4">
              <w:rPr>
                <w:rFonts w:eastAsia="Times New Roman"/>
                <w:color w:val="000000"/>
                <w:sz w:val="16"/>
                <w:szCs w:val="16"/>
                <w:lang w:eastAsia="en-AU"/>
              </w:rPr>
              <w:t xml:space="preserve">tate-wide face to face, phone, email, and </w:t>
            </w:r>
            <w:r w:rsidR="00B64683">
              <w:rPr>
                <w:rFonts w:eastAsia="Times New Roman"/>
                <w:color w:val="000000"/>
                <w:sz w:val="16"/>
                <w:szCs w:val="16"/>
                <w:lang w:eastAsia="en-AU"/>
              </w:rPr>
              <w:t>website information and support; s</w:t>
            </w:r>
            <w:r w:rsidRPr="00CC13C4">
              <w:rPr>
                <w:rFonts w:eastAsia="Times New Roman"/>
                <w:color w:val="000000"/>
                <w:sz w:val="16"/>
                <w:szCs w:val="16"/>
                <w:lang w:eastAsia="en-AU"/>
              </w:rPr>
              <w:t xml:space="preserve">tate-wide </w:t>
            </w:r>
            <w:r w:rsidR="008B37D7">
              <w:rPr>
                <w:rFonts w:eastAsia="Times New Roman"/>
                <w:color w:val="000000"/>
                <w:sz w:val="16"/>
                <w:szCs w:val="16"/>
                <w:lang w:eastAsia="en-AU"/>
              </w:rPr>
              <w:t>p</w:t>
            </w:r>
            <w:r w:rsidRPr="00CC13C4">
              <w:rPr>
                <w:rFonts w:eastAsia="Times New Roman"/>
                <w:color w:val="000000"/>
                <w:sz w:val="16"/>
                <w:szCs w:val="16"/>
                <w:lang w:eastAsia="en-AU"/>
              </w:rPr>
              <w:t>eer</w:t>
            </w:r>
            <w:r w:rsidR="00B64683">
              <w:rPr>
                <w:rFonts w:eastAsia="Times New Roman"/>
                <w:color w:val="000000"/>
                <w:sz w:val="16"/>
                <w:szCs w:val="16"/>
                <w:lang w:eastAsia="en-AU"/>
              </w:rPr>
              <w:t xml:space="preserve"> support (informal and formal); p</w:t>
            </w:r>
            <w:r w:rsidRPr="00CC13C4">
              <w:rPr>
                <w:rFonts w:eastAsia="Times New Roman"/>
                <w:color w:val="000000"/>
                <w:sz w:val="16"/>
                <w:szCs w:val="16"/>
                <w:lang w:eastAsia="en-AU"/>
              </w:rPr>
              <w:t>rinting and distrib</w:t>
            </w:r>
            <w:r w:rsidR="00B64683">
              <w:rPr>
                <w:rFonts w:eastAsia="Times New Roman"/>
                <w:color w:val="000000"/>
                <w:sz w:val="16"/>
                <w:szCs w:val="16"/>
                <w:lang w:eastAsia="en-AU"/>
              </w:rPr>
              <w:t>ution of information packages; p</w:t>
            </w:r>
            <w:r w:rsidRPr="00CC13C4">
              <w:rPr>
                <w:rFonts w:eastAsia="Times New Roman"/>
                <w:color w:val="000000"/>
                <w:sz w:val="16"/>
                <w:szCs w:val="16"/>
                <w:lang w:eastAsia="en-AU"/>
              </w:rPr>
              <w:t>romotion of a Capacity Building Tool</w:t>
            </w:r>
            <w:r w:rsidR="00B64683">
              <w:rPr>
                <w:rFonts w:eastAsia="Times New Roman"/>
                <w:color w:val="000000"/>
                <w:sz w:val="16"/>
                <w:szCs w:val="16"/>
                <w:lang w:eastAsia="en-AU"/>
              </w:rPr>
              <w:t>kit to mainstream services.</w:t>
            </w:r>
            <w:r w:rsidR="00B64683" w:rsidRPr="00CC13C4">
              <w:rPr>
                <w:rFonts w:eastAsia="Times New Roman"/>
                <w:color w:val="000000"/>
                <w:sz w:val="16"/>
                <w:szCs w:val="16"/>
                <w:lang w:eastAsia="en-AU"/>
              </w:rPr>
              <w:t xml:space="preserve"> Funding</w:t>
            </w:r>
            <w:r w:rsidRPr="00CC13C4">
              <w:rPr>
                <w:rFonts w:eastAsia="Times New Roman"/>
                <w:color w:val="000000"/>
                <w:sz w:val="16"/>
                <w:szCs w:val="16"/>
                <w:lang w:eastAsia="en-AU"/>
              </w:rPr>
              <w:t xml:space="preserve"> will also be directed to the employment of 6 staff to respond to phone, email and social media enquiries from people with Down Syndrome, their families, and interested individuals within the community and mainstream organisations.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$1,200,000.00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Down Syndrome</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Consortium: Down Syndrome Association of NSW, VIC, QLD, NT, TAS; Down Syndrome Society of SA, ACT Down Syndrome Association Inc.</w:t>
            </w: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Hear For You Limited</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Hear For You (HFY)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An automated chat-bot specifically designed to engage socially isolated teenagers who are deaf or hard of hearing will be piloted to reach young people located anywhere in NSW via social media. The project aims to reach 180 deaf and hearing impaired teenagers, connecting them with other deaf and hearing impaired teenagers and mentors, directing them to access HFY programs in an authentic, interesting way.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$99,411.0</w:t>
            </w:r>
            <w:r w:rsidR="00490C7F">
              <w:rPr>
                <w:color w:val="000000"/>
                <w:sz w:val="16"/>
                <w:szCs w:val="16"/>
              </w:rPr>
              <w:t>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Hearing Impairment</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Justiz Community Limited </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JUSTYARN groups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This program will run 10 information and support groups for Aboriginal and Torres Strait Islander participants who have exited an acute mental health facility or a correctional institution in the </w:t>
            </w:r>
            <w:r w:rsidR="00B64683">
              <w:rPr>
                <w:rFonts w:eastAsia="Times New Roman"/>
                <w:color w:val="000000"/>
                <w:sz w:val="16"/>
                <w:szCs w:val="16"/>
                <w:lang w:eastAsia="en-AU"/>
              </w:rPr>
              <w:t xml:space="preserve">Newcastle - Hunter area of NSW. </w:t>
            </w:r>
            <w:r w:rsidRPr="00CC13C4">
              <w:rPr>
                <w:rFonts w:eastAsia="Times New Roman"/>
                <w:color w:val="000000"/>
                <w:sz w:val="16"/>
                <w:szCs w:val="16"/>
                <w:lang w:eastAsia="en-AU"/>
              </w:rPr>
              <w:t>The groups will be co-facilitated by a male and female support workers from Aboriginal and Torres Strait Islander backgrounds, and will assist participants to re-engage with services, supports and community life. Individuals are expected to increase their social network, their connection to culture, confidence and their ability to advocate for appropriate disability supports.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$10,000.00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Aboriginal and Torres Strait Islander </w:t>
            </w:r>
            <w:r w:rsidRPr="00CC13C4">
              <w:rPr>
                <w:color w:val="000000"/>
                <w:sz w:val="16"/>
                <w:szCs w:val="16"/>
              </w:rPr>
              <w:t>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 xml:space="preserve">NSW Mental Health Services, NSW Department of Probation and Parole. </w:t>
            </w: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lastRenderedPageBreak/>
              <w:t>MacKillop Family Services Limited</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The NDIS in the back o' Bourke </w:t>
            </w:r>
          </w:p>
        </w:tc>
        <w:tc>
          <w:tcPr>
            <w:tcW w:w="6662" w:type="dxa"/>
          </w:tcPr>
          <w:p w:rsidR="00CC13C4" w:rsidRPr="00B64683" w:rsidRDefault="00CC13C4" w:rsidP="00B64683">
            <w:pPr>
              <w:spacing w:before="120" w:after="0" w:line="276" w:lineRule="auto"/>
              <w:rPr>
                <w:rFonts w:eastAsia="Times New Roman"/>
                <w:color w:val="000000"/>
                <w:sz w:val="16"/>
                <w:szCs w:val="16"/>
                <w:lang w:eastAsia="en-AU"/>
              </w:rPr>
            </w:pPr>
            <w:r w:rsidRPr="00CC13C4">
              <w:rPr>
                <w:rFonts w:eastAsia="Times New Roman"/>
                <w:color w:val="000000"/>
                <w:sz w:val="16"/>
                <w:szCs w:val="16"/>
                <w:lang w:eastAsia="en-AU"/>
              </w:rPr>
              <w:t>This project provides direct assistance to support people with disability, particularly people of Aboriginal and Torres Strait Islander background, in eight rural and remote Western NSW towns. Local needs, circumstances and conditions will be addressed for up to 100 people with disability. S</w:t>
            </w:r>
            <w:r w:rsidR="00B64683">
              <w:rPr>
                <w:rFonts w:eastAsia="Times New Roman"/>
                <w:color w:val="000000"/>
                <w:sz w:val="16"/>
                <w:szCs w:val="16"/>
                <w:lang w:eastAsia="en-AU"/>
              </w:rPr>
              <w:t>pecifically, the program will: e</w:t>
            </w:r>
            <w:r w:rsidRPr="00CC13C4">
              <w:rPr>
                <w:rFonts w:eastAsia="Times New Roman"/>
                <w:color w:val="000000"/>
                <w:sz w:val="16"/>
                <w:szCs w:val="16"/>
                <w:lang w:eastAsia="en-AU"/>
              </w:rPr>
              <w:t>stablish weekly parent support groups, community meetings and community hubs in each town to link families to mainstream services and disability supports to meet the needs of their child, whether</w:t>
            </w:r>
            <w:r w:rsidR="00B64683">
              <w:rPr>
                <w:rFonts w:eastAsia="Times New Roman"/>
                <w:color w:val="000000"/>
                <w:sz w:val="16"/>
                <w:szCs w:val="16"/>
                <w:lang w:eastAsia="en-AU"/>
              </w:rPr>
              <w:t xml:space="preserve"> eligible for NDIS plans or not and d</w:t>
            </w:r>
            <w:r w:rsidRPr="00CC13C4">
              <w:rPr>
                <w:rFonts w:eastAsia="Times New Roman"/>
                <w:color w:val="000000"/>
                <w:sz w:val="16"/>
                <w:szCs w:val="16"/>
                <w:lang w:eastAsia="en-AU"/>
              </w:rPr>
              <w:t xml:space="preserve">eliver telepractice, to link people with disabilities to mainstream services.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$499,570.73</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Aboriginal and Torres Strait Islander </w:t>
            </w:r>
            <w:r w:rsidRPr="00CC13C4">
              <w:rPr>
                <w:color w:val="000000"/>
                <w:sz w:val="16"/>
                <w:szCs w:val="16"/>
              </w:rPr>
              <w:t>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Muscular Dystrophy Association of New South Wales </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M-Power Info Hub - 'Be empowered' </w:t>
            </w:r>
          </w:p>
        </w:tc>
        <w:tc>
          <w:tcPr>
            <w:tcW w:w="6662" w:type="dxa"/>
          </w:tcPr>
          <w:p w:rsidR="00CC13C4" w:rsidRPr="00B64683"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creates a comprehensive, accessible online information hub that covers all aspects of life with a neuromuscular condition, featuring information, advice and stories of real life experiences from t</w:t>
            </w:r>
            <w:r w:rsidR="00B64683">
              <w:rPr>
                <w:rFonts w:eastAsia="Times New Roman"/>
                <w:color w:val="000000"/>
                <w:sz w:val="16"/>
                <w:szCs w:val="16"/>
                <w:lang w:eastAsia="en-AU"/>
              </w:rPr>
              <w:t xml:space="preserve">he NSW neuromuscular community. </w:t>
            </w:r>
            <w:r w:rsidRPr="00CC13C4">
              <w:rPr>
                <w:rFonts w:eastAsia="Times New Roman"/>
                <w:color w:val="000000"/>
                <w:sz w:val="16"/>
                <w:szCs w:val="16"/>
                <w:lang w:eastAsia="en-AU"/>
              </w:rPr>
              <w:t>The project will use a co-design approach, developed and delivered by a peer to peer model to capture and share stories told by people with neuromuscular conditions. The hub will be available to 7,500 individuals living with neuromuscular conditions in NSW.</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$300,000.00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Neuromuscular conditions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People with Disability Australia Ltd.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Enable In - Peer Navigator Project </w:t>
            </w:r>
          </w:p>
        </w:tc>
        <w:tc>
          <w:tcPr>
            <w:tcW w:w="6662" w:type="dxa"/>
          </w:tcPr>
          <w:p w:rsidR="00CC13C4" w:rsidRPr="00B64683" w:rsidRDefault="00CC13C4" w:rsidP="00CC13C4">
            <w:pPr>
              <w:spacing w:before="120" w:after="120" w:line="276" w:lineRule="auto"/>
              <w:rPr>
                <w:rFonts w:eastAsia="Times New Roman"/>
                <w:color w:val="000000"/>
                <w:sz w:val="16"/>
                <w:szCs w:val="16"/>
                <w:lang w:eastAsia="en-AU"/>
              </w:rPr>
            </w:pPr>
            <w:r w:rsidRPr="00CC13C4">
              <w:rPr>
                <w:rFonts w:eastAsia="Times New Roman"/>
                <w:i/>
                <w:color w:val="000000"/>
                <w:sz w:val="16"/>
                <w:szCs w:val="16"/>
                <w:lang w:eastAsia="en-AU"/>
              </w:rPr>
              <w:t>Enable In</w:t>
            </w:r>
            <w:r w:rsidRPr="00CC13C4">
              <w:rPr>
                <w:rFonts w:eastAsia="Times New Roman"/>
                <w:color w:val="000000"/>
                <w:sz w:val="16"/>
                <w:szCs w:val="16"/>
                <w:lang w:eastAsia="en-AU"/>
              </w:rPr>
              <w:t xml:space="preserve"> will work within the community of people with disability who are homeless (including those sleeping rough, in transient accommodation, or living in aggregate accommodation such as boarding houses), institutionalised (including prison or long-term psychiatric or other care) and people who have recently left prison, long-term psyc</w:t>
            </w:r>
            <w:r w:rsidR="00B64683">
              <w:rPr>
                <w:rFonts w:eastAsia="Times New Roman"/>
                <w:color w:val="000000"/>
                <w:sz w:val="16"/>
                <w:szCs w:val="16"/>
                <w:lang w:eastAsia="en-AU"/>
              </w:rPr>
              <w:t xml:space="preserve">hiatric or other forms of care. </w:t>
            </w:r>
            <w:r w:rsidRPr="00CC13C4">
              <w:rPr>
                <w:rFonts w:eastAsia="Times New Roman"/>
                <w:color w:val="000000"/>
                <w:sz w:val="16"/>
                <w:szCs w:val="16"/>
                <w:lang w:eastAsia="en-AU"/>
              </w:rPr>
              <w:t>The project will service all of NSW, working with over 300 individuals to determine their current and anticipated levels of support, and provide both generic and individually tailored information about the NDIS and mainstream supports. In addition, the project will establish peer support groups to facilitate shared experiences, role modelling and to reconnect individuals with their community. Establishing a network of Peer Support Navigators</w:t>
            </w:r>
            <w:r w:rsidRPr="00CC13C4">
              <w:rPr>
                <w:rFonts w:eastAsia="Times New Roman"/>
                <w:b/>
                <w:color w:val="000000"/>
                <w:sz w:val="16"/>
                <w:szCs w:val="16"/>
                <w:lang w:eastAsia="en-AU"/>
              </w:rPr>
              <w:t xml:space="preserve"> </w:t>
            </w:r>
            <w:r w:rsidRPr="00CC13C4">
              <w:rPr>
                <w:rFonts w:eastAsia="Times New Roman"/>
                <w:color w:val="000000"/>
                <w:sz w:val="16"/>
                <w:szCs w:val="16"/>
                <w:lang w:eastAsia="en-AU"/>
              </w:rPr>
              <w:t>will</w:t>
            </w:r>
            <w:r w:rsidRPr="00CC13C4">
              <w:rPr>
                <w:rFonts w:eastAsia="Times New Roman"/>
                <w:b/>
                <w:color w:val="000000"/>
                <w:sz w:val="16"/>
                <w:szCs w:val="16"/>
                <w:lang w:eastAsia="en-AU"/>
              </w:rPr>
              <w:t xml:space="preserve"> </w:t>
            </w:r>
            <w:r w:rsidRPr="00CC13C4">
              <w:rPr>
                <w:rFonts w:eastAsia="Times New Roman"/>
                <w:color w:val="000000"/>
                <w:sz w:val="16"/>
                <w:szCs w:val="16"/>
                <w:lang w:eastAsia="en-AU"/>
              </w:rPr>
              <w:t>continue linking other people with disability from hard to reach populations to services and supports.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$998,590.00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All people with disability; Hard to reach populations.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Regional Disability Advocacy Service </w:t>
            </w:r>
            <w:r w:rsidR="00620CDC" w:rsidRPr="00CC13C4">
              <w:rPr>
                <w:rFonts w:eastAsia="Times New Roman"/>
                <w:color w:val="000000"/>
                <w:sz w:val="16"/>
                <w:szCs w:val="16"/>
                <w:lang w:eastAsia="en-AU"/>
              </w:rPr>
              <w:t>Ltd.</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Community Engagement Project: Hard to Reach Locations and Communities </w:t>
            </w:r>
          </w:p>
        </w:tc>
        <w:tc>
          <w:tcPr>
            <w:tcW w:w="666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This project employs Engagement Workers to work intensively in 20 communities in the Murrumbidgee District in the Southern part of NSW over a two year period. Workers will identify and link people with disability to services and supports, working with up to 100 individuals for up to three months to assist them to overcome barriers to service access. This project will include conducting community events that reach over 1,000 people.</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$510,000.00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All people with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lastRenderedPageBreak/>
              <w:t>Settlement Services International Limited</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Understanding Disability by Culturally and Linguistically Diverse communities in NSW</w:t>
            </w:r>
          </w:p>
        </w:tc>
        <w:tc>
          <w:tcPr>
            <w:tcW w:w="6662" w:type="dxa"/>
          </w:tcPr>
          <w:p w:rsidR="00CC13C4" w:rsidRPr="00B64683" w:rsidRDefault="00CC13C4" w:rsidP="00CF734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program delivers in-language information and education sessions to Culturally and Linguistically Diverse</w:t>
            </w:r>
            <w:r w:rsidR="00B35FF5">
              <w:rPr>
                <w:rFonts w:eastAsia="Times New Roman"/>
                <w:color w:val="000000"/>
                <w:sz w:val="16"/>
                <w:szCs w:val="16"/>
                <w:lang w:eastAsia="en-AU"/>
              </w:rPr>
              <w:t xml:space="preserve"> (CALD</w:t>
            </w:r>
            <w:r w:rsidR="00CF7344">
              <w:rPr>
                <w:rFonts w:eastAsia="Times New Roman"/>
                <w:color w:val="000000"/>
                <w:sz w:val="16"/>
                <w:szCs w:val="16"/>
                <w:lang w:eastAsia="en-AU"/>
              </w:rPr>
              <w:t>)</w:t>
            </w:r>
            <w:r w:rsidRPr="00CC13C4">
              <w:rPr>
                <w:rFonts w:eastAsia="Times New Roman"/>
                <w:color w:val="000000"/>
                <w:sz w:val="16"/>
                <w:szCs w:val="16"/>
                <w:lang w:eastAsia="en-AU"/>
              </w:rPr>
              <w:t xml:space="preserve"> communities in 30 Local Government Areas with high cultural diversity acr</w:t>
            </w:r>
            <w:r w:rsidR="00B64683">
              <w:rPr>
                <w:rFonts w:eastAsia="Times New Roman"/>
                <w:color w:val="000000"/>
                <w:sz w:val="16"/>
                <w:szCs w:val="16"/>
                <w:lang w:eastAsia="en-AU"/>
              </w:rPr>
              <w:t xml:space="preserve">oss NSW. </w:t>
            </w:r>
            <w:r w:rsidRPr="00CC13C4">
              <w:rPr>
                <w:rFonts w:eastAsia="Times New Roman"/>
                <w:color w:val="000000"/>
                <w:sz w:val="16"/>
                <w:szCs w:val="16"/>
                <w:lang w:eastAsia="en-AU"/>
              </w:rPr>
              <w:t xml:space="preserve">Between 60-90 information and education sessions will be delivered using the peer-to-peer model by people with disability from </w:t>
            </w:r>
            <w:r w:rsidR="00B35FF5">
              <w:rPr>
                <w:rFonts w:eastAsia="Times New Roman"/>
                <w:color w:val="000000"/>
                <w:sz w:val="16"/>
                <w:szCs w:val="16"/>
                <w:lang w:eastAsia="en-AU"/>
              </w:rPr>
              <w:t xml:space="preserve">CALD </w:t>
            </w:r>
            <w:r w:rsidRPr="00CC13C4">
              <w:rPr>
                <w:rFonts w:eastAsia="Times New Roman"/>
                <w:color w:val="000000"/>
                <w:sz w:val="16"/>
                <w:szCs w:val="16"/>
                <w:lang w:eastAsia="en-AU"/>
              </w:rPr>
              <w:t>backgrounds and/or by people who have a close personal association with disability.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$600,000.00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South Western Sydney Local Health District</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'For A Good Life' Refugee Disability Support Group </w:t>
            </w:r>
          </w:p>
        </w:tc>
        <w:tc>
          <w:tcPr>
            <w:tcW w:w="6662" w:type="dxa"/>
          </w:tcPr>
          <w:p w:rsidR="00CC13C4" w:rsidRPr="00B64683"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An information and support group for people living with a disability and their families will be delivered to those who have recently been settled in metropolitan Sydney as part of Australia’s Re</w:t>
            </w:r>
            <w:r w:rsidR="00B64683">
              <w:rPr>
                <w:rFonts w:eastAsia="Times New Roman"/>
                <w:color w:val="000000"/>
                <w:sz w:val="16"/>
                <w:szCs w:val="16"/>
                <w:lang w:eastAsia="en-AU"/>
              </w:rPr>
              <w:t xml:space="preserve">fugee and Humanitarian Program. </w:t>
            </w:r>
            <w:r w:rsidRPr="00CC13C4">
              <w:rPr>
                <w:rFonts w:eastAsia="Times New Roman"/>
                <w:color w:val="000000"/>
                <w:sz w:val="16"/>
                <w:szCs w:val="16"/>
                <w:lang w:eastAsia="en-AU"/>
              </w:rPr>
              <w:t xml:space="preserve">The program works with newly-arrived refugee families, in the period between arrival in Sydney and provision of services through the NDIS. A specialist Disability Team will provide intensive case management to the anticipated 35 – 50 people with disability referred into the group each year. The monthly education-based group program will include presentations by local services that the group has identified, as well as providing opportunity to develop social connections and friendships.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$20,000.00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Synapse Australia Limited</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SynapseCarers </w:t>
            </w:r>
          </w:p>
        </w:tc>
        <w:tc>
          <w:tcPr>
            <w:tcW w:w="666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Funding will be directed towards developing and establishing the SynapseCarers Support Program throughout NSW. A monthly support program will provide education, various resources, peer support and social connection opportunities for carers of individuals with a Neurocognitive Disability. Funding will also be directed towards the employment of a Family Liaison Officer to provide specific caregiver support, referrals and preparation support for transitioning from care facilities to home.</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$657,379.37</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Neurocognitive disability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The Deaf Society</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Information for Families of Children with Hearing Loss </w:t>
            </w:r>
          </w:p>
        </w:tc>
        <w:tc>
          <w:tcPr>
            <w:tcW w:w="666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A co-designed website will be developed with live chat, telephone and face-to-face information and referral services. The project will also coordinate a parent peer mentoring program to provide psychosocial support to parents coming to terms with their child’s diagnosis. 100 unique visitors are expected to the website each month and 40 families are expected to be matched with parent mentors each year.</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$463,326.59</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Hearing Impairment</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lastRenderedPageBreak/>
              <w:t>The University of Wollongong</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Establishing a Community of Practice </w:t>
            </w:r>
          </w:p>
        </w:tc>
        <w:tc>
          <w:tcPr>
            <w:tcW w:w="6662" w:type="dxa"/>
          </w:tcPr>
          <w:p w:rsidR="00CC13C4" w:rsidRPr="00B64683"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will establish a Community of Practice (CoP) to bring together individuals on the autism spectrum, families, and community members to identify current needs and to develop a model of practice that supports self-determination for individuals and families in rural com</w:t>
            </w:r>
            <w:r w:rsidR="00B64683">
              <w:rPr>
                <w:rFonts w:eastAsia="Times New Roman"/>
                <w:color w:val="000000"/>
                <w:sz w:val="16"/>
                <w:szCs w:val="16"/>
                <w:lang w:eastAsia="en-AU"/>
              </w:rPr>
              <w:t xml:space="preserve">munities. </w:t>
            </w:r>
            <w:r w:rsidRPr="00CC13C4">
              <w:rPr>
                <w:rFonts w:eastAsia="Times New Roman"/>
                <w:color w:val="000000"/>
                <w:sz w:val="16"/>
                <w:szCs w:val="16"/>
                <w:lang w:eastAsia="en-AU"/>
              </w:rPr>
              <w:t xml:space="preserve">The model will include information provision and strategies for skill building for individuals and their families. The CoP will involve 20-30 individuals, however the resources created from this will benefit much larger numbers.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$10,000.00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 xml:space="preserve">Autism Spectrum Disorder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Yarkuwa Indigenous Knowledge Centre Aboriginal Corporation</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Who's Who Guide </w:t>
            </w:r>
          </w:p>
        </w:tc>
        <w:tc>
          <w:tcPr>
            <w:tcW w:w="6662" w:type="dxa"/>
          </w:tcPr>
          <w:p w:rsidR="00CC13C4" w:rsidRPr="00B64683"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A written guide will be established for Aboriginal and Torres Strait Islander people with disability in Deniliquin to support them to understand and access local services. The project will also establish a ‘Circle of Support’ network of at least 11 direct service providers. This will encourage improved responsiveness of services to people with disability, establish processes for client referrals between organisations and build </w:t>
            </w:r>
            <w:r w:rsidR="00B64683">
              <w:rPr>
                <w:rFonts w:eastAsia="Times New Roman"/>
                <w:color w:val="000000"/>
                <w:sz w:val="16"/>
                <w:szCs w:val="16"/>
                <w:lang w:eastAsia="en-AU"/>
              </w:rPr>
              <w:t xml:space="preserve">culturally responsive services. </w:t>
            </w:r>
            <w:r w:rsidRPr="00CC13C4">
              <w:rPr>
                <w:rFonts w:eastAsia="Times New Roman"/>
                <w:color w:val="000000"/>
                <w:sz w:val="16"/>
                <w:szCs w:val="16"/>
                <w:lang w:eastAsia="en-AU"/>
              </w:rPr>
              <w:t>The project intends to connect with all 350 members of the local Aboriginal and Torres Strait Islander community.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$23,119.20</w:t>
            </w:r>
          </w:p>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color w:val="000000"/>
                <w:sz w:val="16"/>
                <w:szCs w:val="16"/>
              </w:rPr>
            </w:pPr>
            <w:r w:rsidRPr="00CC13C4">
              <w:rPr>
                <w:color w:val="000000"/>
                <w:sz w:val="16"/>
                <w:szCs w:val="16"/>
              </w:rPr>
              <w:t>Information, Linkages and Referrals</w:t>
            </w:r>
          </w:p>
        </w:tc>
        <w:tc>
          <w:tcPr>
            <w:tcW w:w="184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Aboriginal and Torres Strait Islander </w:t>
            </w:r>
            <w:r w:rsidRPr="00CC13C4">
              <w:rPr>
                <w:color w:val="000000"/>
                <w:sz w:val="16"/>
                <w:szCs w:val="16"/>
              </w:rPr>
              <w:t>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People with Disability Australia Ltd.</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Building Inclusive and Accessible Youth Services in NSW </w:t>
            </w:r>
          </w:p>
        </w:tc>
        <w:tc>
          <w:tcPr>
            <w:tcW w:w="6662" w:type="dxa"/>
          </w:tcPr>
          <w:p w:rsidR="00CC13C4" w:rsidRPr="00B64683"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program will develop resources to build the capacity for 221 youth service providers in NSW, responsible for approximately 375 programs and services for young people that reach over 60,000</w:t>
            </w:r>
            <w:r w:rsidR="00B64683">
              <w:rPr>
                <w:rFonts w:eastAsia="Times New Roman"/>
                <w:color w:val="000000"/>
                <w:sz w:val="16"/>
                <w:szCs w:val="16"/>
                <w:lang w:eastAsia="en-AU"/>
              </w:rPr>
              <w:t xml:space="preserve"> young people with disability.</w:t>
            </w:r>
            <w:r w:rsidR="00B64683" w:rsidRPr="00CC13C4">
              <w:rPr>
                <w:rFonts w:eastAsia="Times New Roman"/>
                <w:color w:val="000000"/>
                <w:sz w:val="16"/>
                <w:szCs w:val="16"/>
                <w:lang w:eastAsia="en-AU"/>
              </w:rPr>
              <w:t xml:space="preserve"> The</w:t>
            </w:r>
            <w:r w:rsidRPr="00CC13C4">
              <w:rPr>
                <w:rFonts w:eastAsia="Times New Roman"/>
                <w:color w:val="000000"/>
                <w:sz w:val="16"/>
                <w:szCs w:val="16"/>
                <w:lang w:eastAsia="en-AU"/>
              </w:rPr>
              <w:t xml:space="preserve"> project will consult young people with disability to understand barriers and common experiences in accessing youth services and use feedback to develop a Disability Inclusion Tool Kit which will include policy, resources, tools and training. Complementing this will be the establishment of an on-line self-advocacy platform which will include resources for youth services co-developed by young people with disability.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$300,000.00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Capacity Building for Mainstream Services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Young Adults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 xml:space="preserve">Youth Action and Policy Association (NSW) Inc. </w:t>
            </w: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Settlement Services International Limited</w:t>
            </w:r>
          </w:p>
        </w:tc>
        <w:tc>
          <w:tcPr>
            <w:tcW w:w="1418"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 xml:space="preserve">Our Voice  </w:t>
            </w:r>
          </w:p>
        </w:tc>
        <w:tc>
          <w:tcPr>
            <w:tcW w:w="6662" w:type="dxa"/>
          </w:tcPr>
          <w:p w:rsidR="00CC13C4" w:rsidRPr="00B64683" w:rsidRDefault="00CC13C4" w:rsidP="009338A9">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builds capacity of mainstream services to respond to the accessibility needs of people with disability from Culturally and Ling</w:t>
            </w:r>
            <w:r w:rsidR="00B64683">
              <w:rPr>
                <w:rFonts w:eastAsia="Times New Roman"/>
                <w:color w:val="000000"/>
                <w:sz w:val="16"/>
                <w:szCs w:val="16"/>
                <w:lang w:eastAsia="en-AU"/>
              </w:rPr>
              <w:t xml:space="preserve">uistically Diverse </w:t>
            </w:r>
            <w:r w:rsidR="009338A9">
              <w:rPr>
                <w:rFonts w:eastAsia="Times New Roman"/>
                <w:color w:val="000000"/>
                <w:sz w:val="16"/>
                <w:szCs w:val="16"/>
                <w:lang w:eastAsia="en-AU"/>
              </w:rPr>
              <w:t xml:space="preserve">(CALD) </w:t>
            </w:r>
            <w:r w:rsidR="00B64683">
              <w:rPr>
                <w:rFonts w:eastAsia="Times New Roman"/>
                <w:color w:val="000000"/>
                <w:sz w:val="16"/>
                <w:szCs w:val="16"/>
                <w:lang w:eastAsia="en-AU"/>
              </w:rPr>
              <w:t>backgrounds.</w:t>
            </w:r>
            <w:r w:rsidR="00B64683" w:rsidRPr="00CC13C4">
              <w:rPr>
                <w:rFonts w:eastAsia="Times New Roman"/>
                <w:color w:val="000000"/>
                <w:sz w:val="16"/>
                <w:szCs w:val="16"/>
                <w:lang w:eastAsia="en-AU"/>
              </w:rPr>
              <w:t xml:space="preserve"> The</w:t>
            </w:r>
            <w:r w:rsidRPr="00CC13C4">
              <w:rPr>
                <w:rFonts w:eastAsia="Times New Roman"/>
                <w:color w:val="000000"/>
                <w:sz w:val="16"/>
                <w:szCs w:val="16"/>
                <w:lang w:eastAsia="en-AU"/>
              </w:rPr>
              <w:t xml:space="preserve"> project will recruit 20 Lived Experience Educators (i.e. people with disability from </w:t>
            </w:r>
            <w:r w:rsidR="009338A9">
              <w:rPr>
                <w:rFonts w:eastAsia="Times New Roman"/>
                <w:color w:val="000000"/>
                <w:sz w:val="16"/>
                <w:szCs w:val="16"/>
                <w:lang w:eastAsia="en-AU"/>
              </w:rPr>
              <w:t xml:space="preserve">CALD </w:t>
            </w:r>
            <w:r w:rsidRPr="00CC13C4">
              <w:rPr>
                <w:rFonts w:eastAsia="Times New Roman"/>
                <w:color w:val="000000"/>
                <w:sz w:val="16"/>
                <w:szCs w:val="16"/>
                <w:lang w:eastAsia="en-AU"/>
              </w:rPr>
              <w:t>background</w:t>
            </w:r>
            <w:r w:rsidR="009338A9">
              <w:rPr>
                <w:rFonts w:eastAsia="Times New Roman"/>
                <w:color w:val="000000"/>
                <w:sz w:val="16"/>
                <w:szCs w:val="16"/>
                <w:lang w:eastAsia="en-AU"/>
              </w:rPr>
              <w:t>s</w:t>
            </w:r>
            <w:r w:rsidRPr="00CC13C4">
              <w:rPr>
                <w:rFonts w:eastAsia="Times New Roman"/>
                <w:color w:val="000000"/>
                <w:sz w:val="16"/>
                <w:szCs w:val="16"/>
                <w:lang w:eastAsia="en-AU"/>
              </w:rPr>
              <w:t>) to deliver capacity building activities. Funding is directed towards training the Educators in facilitation, presentation and story-telling with impact, with the goal of creating pathways for future</w:t>
            </w:r>
            <w:r w:rsidR="00B64683">
              <w:rPr>
                <w:rFonts w:eastAsia="Times New Roman"/>
                <w:color w:val="000000"/>
                <w:sz w:val="16"/>
                <w:szCs w:val="16"/>
                <w:lang w:eastAsia="en-AU"/>
              </w:rPr>
              <w:t xml:space="preserve"> employment as adult educators. </w:t>
            </w:r>
            <w:r w:rsidRPr="00CC13C4">
              <w:rPr>
                <w:rFonts w:eastAsia="Times New Roman"/>
                <w:color w:val="000000"/>
                <w:sz w:val="16"/>
                <w:szCs w:val="16"/>
                <w:lang w:eastAsia="en-AU"/>
              </w:rPr>
              <w:t xml:space="preserve">Each Lived Experience Educator will deliver a minimum of 10 learning activities, with the project aiming to deliver 200 learning activities overall, benefiting hundreds of mainstream services. The targeted locations will be in Metropolitan Sydney and regional centres with high populations of people from </w:t>
            </w:r>
            <w:r w:rsidR="009338A9">
              <w:rPr>
                <w:rFonts w:eastAsia="Times New Roman"/>
                <w:color w:val="000000"/>
                <w:sz w:val="16"/>
                <w:szCs w:val="16"/>
                <w:lang w:eastAsia="en-AU"/>
              </w:rPr>
              <w:t xml:space="preserve">CALD </w:t>
            </w:r>
            <w:r w:rsidRPr="00CC13C4">
              <w:rPr>
                <w:rFonts w:eastAsia="Times New Roman"/>
                <w:color w:val="000000"/>
                <w:sz w:val="16"/>
                <w:szCs w:val="16"/>
                <w:lang w:eastAsia="en-AU"/>
              </w:rPr>
              <w:t>backgrounds.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$403,726.00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Capacity Building for Mainstream Services</w:t>
            </w:r>
          </w:p>
        </w:tc>
        <w:tc>
          <w:tcPr>
            <w:tcW w:w="1842"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The Deaf Society</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Deaf Awareness Training On Demand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will deliver an online version of deaf awareness training to support wider access by regionally-based people and those from community or volu</w:t>
            </w:r>
            <w:r w:rsidR="00B64683">
              <w:rPr>
                <w:rFonts w:eastAsia="Times New Roman"/>
                <w:color w:val="000000"/>
                <w:sz w:val="16"/>
                <w:szCs w:val="16"/>
                <w:lang w:eastAsia="en-AU"/>
              </w:rPr>
              <w:t xml:space="preserve">nteer organisations across NSW. </w:t>
            </w:r>
            <w:r w:rsidRPr="00CC13C4">
              <w:rPr>
                <w:rFonts w:eastAsia="Times New Roman"/>
                <w:color w:val="000000"/>
                <w:sz w:val="16"/>
                <w:szCs w:val="16"/>
                <w:lang w:eastAsia="en-AU"/>
              </w:rPr>
              <w:t>At least 200 people are expected to access the online training during the building and testing phase. Up to 500 people a year are expected to access the online training once it is fully established.</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$145,814.00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Capacity Building for Mainstream Services</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Hearing Impairment</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sz w:val="16"/>
                <w:szCs w:val="16"/>
              </w:rPr>
            </w:pPr>
            <w:r w:rsidRPr="00CC13C4">
              <w:rPr>
                <w:rFonts w:eastAsia="Times New Roman"/>
                <w:color w:val="000000"/>
                <w:sz w:val="16"/>
                <w:szCs w:val="16"/>
                <w:lang w:eastAsia="en-AU"/>
              </w:rPr>
              <w:t>The Benevolent Society</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Complex Behaviour management for students with disabilities </w:t>
            </w:r>
          </w:p>
        </w:tc>
        <w:tc>
          <w:tcPr>
            <w:tcW w:w="6662" w:type="dxa"/>
          </w:tcPr>
          <w:p w:rsidR="00CC13C4" w:rsidRPr="00B64683"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action research program will develop capacity building resources for schools managing very complex behaviour cases for students with disability. The resources will be built from real case studies from a sele</w:t>
            </w:r>
            <w:r w:rsidR="00B64683">
              <w:rPr>
                <w:rFonts w:eastAsia="Times New Roman"/>
                <w:color w:val="000000"/>
                <w:sz w:val="16"/>
                <w:szCs w:val="16"/>
                <w:lang w:eastAsia="en-AU"/>
              </w:rPr>
              <w:t xml:space="preserve">ction of public schools in NSW. </w:t>
            </w:r>
            <w:r w:rsidRPr="00CC13C4">
              <w:rPr>
                <w:rFonts w:eastAsia="Times New Roman"/>
                <w:color w:val="000000"/>
                <w:sz w:val="16"/>
                <w:szCs w:val="16"/>
                <w:lang w:eastAsia="en-AU"/>
              </w:rPr>
              <w:t>Drawing on partnership with NSW Department of Education (DoE) and the NSW Ombudsman Inquiry into Behaviour Management in Schools, The Benevolent Society will work with around 160 students with disability, using their experiences to guide the development of universal resources and toolkits that will build the capacity of school staff to better manage very complex behaviours. The program aims to provide resources to support proactive, preventative and inclusive school environments where staff are confident in addressing behaviours of concern and thereby build the capacity of mainstream services to be more inclu</w:t>
            </w:r>
            <w:r w:rsidR="00B64683">
              <w:rPr>
                <w:rFonts w:eastAsia="Times New Roman"/>
                <w:color w:val="000000"/>
                <w:sz w:val="16"/>
                <w:szCs w:val="16"/>
                <w:lang w:eastAsia="en-AU"/>
              </w:rPr>
              <w:t xml:space="preserve">sive of people with disability. </w:t>
            </w:r>
            <w:r w:rsidRPr="00CC13C4">
              <w:rPr>
                <w:rFonts w:eastAsia="Times New Roman"/>
                <w:color w:val="000000"/>
                <w:sz w:val="16"/>
                <w:szCs w:val="16"/>
                <w:lang w:eastAsia="en-AU"/>
              </w:rPr>
              <w:t>Following the development of resources, the Benevolent Society will share learnings, contributing to the ongoing knowledge base in this area.</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$300,000.00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Capacity Building for Mainstream Services</w:t>
            </w:r>
          </w:p>
        </w:tc>
        <w:tc>
          <w:tcPr>
            <w:tcW w:w="1842" w:type="dxa"/>
          </w:tcPr>
          <w:p w:rsidR="00CC13C4" w:rsidRPr="00CC13C4" w:rsidRDefault="00CC13C4" w:rsidP="00CC13C4">
            <w:pPr>
              <w:spacing w:before="120" w:after="120" w:line="276" w:lineRule="auto"/>
              <w:rPr>
                <w:sz w:val="16"/>
                <w:szCs w:val="16"/>
              </w:rPr>
            </w:pPr>
            <w:r w:rsidRPr="00CC13C4">
              <w:rPr>
                <w:color w:val="000000"/>
                <w:sz w:val="16"/>
                <w:szCs w:val="16"/>
              </w:rPr>
              <w:t>Children and Youth</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NSW Department of Education, NSW Ombudsman Inquiry into Behaviour Management in Schools</w:t>
            </w: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Arab Council Australia Inc.</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AwareAbilities</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i/>
                <w:color w:val="000000"/>
                <w:sz w:val="16"/>
                <w:szCs w:val="16"/>
                <w:lang w:eastAsia="en-AU"/>
              </w:rPr>
              <w:t xml:space="preserve">AwareAbilities </w:t>
            </w:r>
            <w:r w:rsidRPr="00CC13C4">
              <w:rPr>
                <w:rFonts w:eastAsia="Times New Roman"/>
                <w:color w:val="000000"/>
                <w:sz w:val="16"/>
                <w:szCs w:val="16"/>
                <w:lang w:eastAsia="en-AU"/>
              </w:rPr>
              <w:t xml:space="preserve">will work with the Arab communities of South Western Sydney (SWS) and Western Sydney (WS) to drive positive change in community attitudes, promoting greater community inclusion of people with disability and mental health concerns. The project will undertake consultation to understand the needs of people with disability, use story-telling and positive language to create awareness and attitudinal changes in community leaders, and provide culturally appropriate education and support. People with disability will have opportunity to participate, share experiences and connect with peers.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$480,764.00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 xml:space="preserve">The </w:t>
            </w:r>
            <w:r w:rsidRPr="00CC13C4">
              <w:rPr>
                <w:rFonts w:eastAsia="Times New Roman"/>
                <w:color w:val="000000"/>
                <w:sz w:val="16"/>
                <w:szCs w:val="16"/>
                <w:lang w:eastAsia="en-AU"/>
              </w:rPr>
              <w:t>Multicultural Disability Advocacy Association of NSW, The Multicultural Network, Multicultural Mental Health Australia, The National Ethnic Disability Alliance.</w:t>
            </w: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Autism Queensland Limited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Capacity Building in Aboriginal and Torres Strait Islander Communities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This project aims to increase awareness of autism and related disabilities in Aboriginal and Torres </w:t>
            </w:r>
            <w:r w:rsidR="00F113AB">
              <w:rPr>
                <w:rFonts w:eastAsia="Times New Roman"/>
                <w:color w:val="000000"/>
                <w:sz w:val="16"/>
                <w:szCs w:val="16"/>
                <w:lang w:eastAsia="en-AU"/>
              </w:rPr>
              <w:t>Strait Islander Communities in North and North-W</w:t>
            </w:r>
            <w:r w:rsidRPr="00CC13C4">
              <w:rPr>
                <w:rFonts w:eastAsia="Times New Roman"/>
                <w:color w:val="000000"/>
                <w:sz w:val="16"/>
                <w:szCs w:val="16"/>
                <w:lang w:eastAsia="en-AU"/>
              </w:rPr>
              <w:t>est NSW. An Indigenous Liaison Worker will coordinate a suite of awareness raising activities in local communities, including community forums, information sessions, events hosted by Aboriginal Councils and community groups and workshops for local service pr</w:t>
            </w:r>
            <w:r w:rsidR="00B64683">
              <w:rPr>
                <w:rFonts w:eastAsia="Times New Roman"/>
                <w:color w:val="000000"/>
                <w:sz w:val="16"/>
                <w:szCs w:val="16"/>
                <w:lang w:eastAsia="en-AU"/>
              </w:rPr>
              <w:t xml:space="preserve">oviders and community agencies. </w:t>
            </w:r>
            <w:r w:rsidRPr="00CC13C4">
              <w:rPr>
                <w:rFonts w:eastAsia="Times New Roman"/>
                <w:color w:val="000000"/>
                <w:sz w:val="16"/>
                <w:szCs w:val="16"/>
                <w:lang w:eastAsia="en-AU"/>
              </w:rPr>
              <w:t>The Indigenous Liaison Worker will also support community groups to develop targeted plans to engage children and young adults with autism and design and deliver inclusive community-based activities.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$170,320.00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 xml:space="preserve">Autism Spectrum Disorder; Children and Young Adults.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Blind Sports NSW Incorporated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Main Stream Transition Project</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two year awareness campaign includes a range of initiatives to build the capacity of mainstream sport organisations to provide sporting, active recreation and social group activities for people who are blind or have low vision. Project activities include working within sports and active recreation state organisations</w:t>
            </w:r>
            <w:r w:rsidR="00B64683">
              <w:rPr>
                <w:rFonts w:eastAsia="Times New Roman"/>
                <w:color w:val="000000"/>
                <w:sz w:val="16"/>
                <w:szCs w:val="16"/>
                <w:lang w:eastAsia="en-AU"/>
              </w:rPr>
              <w:t xml:space="preserve"> to adapt equipment and rules. </w:t>
            </w:r>
            <w:r w:rsidRPr="00CC13C4">
              <w:rPr>
                <w:rFonts w:eastAsia="Times New Roman"/>
                <w:color w:val="000000"/>
                <w:sz w:val="16"/>
                <w:szCs w:val="16"/>
                <w:lang w:eastAsia="en-AU"/>
              </w:rPr>
              <w:t>The program will also mentor people with disabilities to conduct public speaking, leading to greater media and social awareness of inclusive sport and recreation. Further supporting this project is the expansion of the current website to include more content around how to get involved and how sports and recreation organisations can make appropriate adaption.</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$223,000.00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Vision Impairment</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Dare Disability Support Limited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Lost Business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The Lost Business initiative will focus on businesses in the Nepean Blue Mountains region of New South Wales, raising disability awareness and demonstrating the economic and social value in meeting the needs of people with a disability. Building greater business understanding and experience is anticipated to lead towards greater confidence of people with di</w:t>
            </w:r>
            <w:r w:rsidR="00B64683">
              <w:rPr>
                <w:rFonts w:eastAsia="Times New Roman"/>
                <w:color w:val="000000"/>
                <w:sz w:val="16"/>
                <w:szCs w:val="16"/>
                <w:lang w:eastAsia="en-AU"/>
              </w:rPr>
              <w:t xml:space="preserve">sability to use local services. </w:t>
            </w:r>
            <w:r w:rsidRPr="00CC13C4">
              <w:rPr>
                <w:rFonts w:eastAsia="Times New Roman"/>
                <w:color w:val="000000"/>
                <w:sz w:val="16"/>
                <w:szCs w:val="16"/>
                <w:lang w:eastAsia="en-AU"/>
              </w:rPr>
              <w:t xml:space="preserve">The multifaceted program, initially focusing on the needs of adults with an intellectual </w:t>
            </w:r>
            <w:r w:rsidR="00B64683">
              <w:rPr>
                <w:rFonts w:eastAsia="Times New Roman"/>
                <w:color w:val="000000"/>
                <w:sz w:val="16"/>
                <w:szCs w:val="16"/>
                <w:lang w:eastAsia="en-AU"/>
              </w:rPr>
              <w:t xml:space="preserve">disability or Autism, includes: </w:t>
            </w:r>
            <w:r w:rsidRPr="00CC13C4">
              <w:rPr>
                <w:rFonts w:eastAsia="Times New Roman"/>
                <w:color w:val="000000"/>
                <w:sz w:val="16"/>
                <w:szCs w:val="16"/>
                <w:lang w:eastAsia="en-AU"/>
              </w:rPr>
              <w:t xml:space="preserve">training and creation of resources </w:t>
            </w:r>
            <w:r w:rsidR="00B64683">
              <w:rPr>
                <w:rFonts w:eastAsia="Times New Roman"/>
                <w:color w:val="000000"/>
                <w:sz w:val="16"/>
                <w:szCs w:val="16"/>
                <w:lang w:eastAsia="en-AU"/>
              </w:rPr>
              <w:t xml:space="preserve">to assist owners and employees; </w:t>
            </w:r>
            <w:r w:rsidRPr="00CC13C4">
              <w:rPr>
                <w:rFonts w:eastAsia="Times New Roman"/>
                <w:color w:val="000000"/>
                <w:sz w:val="16"/>
                <w:szCs w:val="16"/>
                <w:lang w:eastAsia="en-AU"/>
              </w:rPr>
              <w:t>the creation of</w:t>
            </w:r>
            <w:r w:rsidR="00B64683">
              <w:rPr>
                <w:rFonts w:eastAsia="Times New Roman"/>
                <w:color w:val="000000"/>
                <w:sz w:val="16"/>
                <w:szCs w:val="16"/>
                <w:lang w:eastAsia="en-AU"/>
              </w:rPr>
              <w:t xml:space="preserve"> a Business Ambassadors scheme; </w:t>
            </w:r>
            <w:r w:rsidRPr="00CC13C4">
              <w:rPr>
                <w:rFonts w:eastAsia="Times New Roman"/>
                <w:color w:val="000000"/>
                <w:sz w:val="16"/>
                <w:szCs w:val="16"/>
                <w:lang w:eastAsia="en-AU"/>
              </w:rPr>
              <w:t>distribution of inclusion awa</w:t>
            </w:r>
            <w:r w:rsidR="00B64683">
              <w:rPr>
                <w:rFonts w:eastAsia="Times New Roman"/>
                <w:color w:val="000000"/>
                <w:sz w:val="16"/>
                <w:szCs w:val="16"/>
                <w:lang w:eastAsia="en-AU"/>
              </w:rPr>
              <w:t xml:space="preserve">rds; </w:t>
            </w:r>
            <w:r w:rsidRPr="00CC13C4">
              <w:rPr>
                <w:rFonts w:eastAsia="Times New Roman"/>
                <w:color w:val="000000"/>
                <w:sz w:val="16"/>
                <w:szCs w:val="16"/>
                <w:lang w:eastAsia="en-AU"/>
              </w:rPr>
              <w:t>published audi</w:t>
            </w:r>
            <w:r w:rsidR="001F6C2D">
              <w:rPr>
                <w:rFonts w:eastAsia="Times New Roman"/>
                <w:color w:val="000000"/>
                <w:sz w:val="16"/>
                <w:szCs w:val="16"/>
                <w:lang w:eastAsia="en-AU"/>
              </w:rPr>
              <w:t xml:space="preserve">t self-assessed checklists; and </w:t>
            </w:r>
            <w:r w:rsidRPr="00CC13C4">
              <w:rPr>
                <w:rFonts w:eastAsia="Times New Roman"/>
                <w:color w:val="000000"/>
                <w:sz w:val="16"/>
                <w:szCs w:val="16"/>
                <w:lang w:eastAsia="en-AU"/>
              </w:rPr>
              <w:t>developmen</w:t>
            </w:r>
            <w:r w:rsidR="001F6C2D">
              <w:rPr>
                <w:rFonts w:eastAsia="Times New Roman"/>
                <w:color w:val="000000"/>
                <w:sz w:val="16"/>
                <w:szCs w:val="16"/>
                <w:lang w:eastAsia="en-AU"/>
              </w:rPr>
              <w:t xml:space="preserve">t of a mystery shopper program. </w:t>
            </w:r>
            <w:r w:rsidRPr="00CC13C4">
              <w:rPr>
                <w:rFonts w:eastAsia="Times New Roman"/>
                <w:color w:val="000000"/>
                <w:sz w:val="16"/>
                <w:szCs w:val="16"/>
                <w:lang w:eastAsia="en-AU"/>
              </w:rPr>
              <w:t>The project aims to benefit the 5,000 people in the Blue Mountains region that self-report disability.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$334,000.00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Blue Mountains Economic Enterprise</w:t>
            </w: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Diversity and Disability Alliance Incorporated (DDA)</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Peers with disability from the Vietnamese community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provides culturally appropriate disability awareness sessions to lead to greater inclusion of people with disabi</w:t>
            </w:r>
            <w:r w:rsidR="001F6C2D">
              <w:rPr>
                <w:rFonts w:eastAsia="Times New Roman"/>
                <w:color w:val="000000"/>
                <w:sz w:val="16"/>
                <w:szCs w:val="16"/>
                <w:lang w:eastAsia="en-AU"/>
              </w:rPr>
              <w:t xml:space="preserve">lity in Vietnamese communities. </w:t>
            </w:r>
            <w:r w:rsidRPr="00CC13C4">
              <w:rPr>
                <w:rFonts w:eastAsia="Times New Roman"/>
                <w:color w:val="000000"/>
                <w:sz w:val="16"/>
                <w:szCs w:val="16"/>
                <w:lang w:eastAsia="en-AU"/>
              </w:rPr>
              <w:t>DDA will recruit people with disability to design information and resources and deliver disability awareness sessions to Vietnamese communities in Wes</w:t>
            </w:r>
            <w:r w:rsidR="001F6C2D">
              <w:rPr>
                <w:rFonts w:eastAsia="Times New Roman"/>
                <w:color w:val="000000"/>
                <w:sz w:val="16"/>
                <w:szCs w:val="16"/>
                <w:lang w:eastAsia="en-AU"/>
              </w:rPr>
              <w:t xml:space="preserve">tern and South Western Sydney. </w:t>
            </w:r>
            <w:r w:rsidRPr="00CC13C4">
              <w:rPr>
                <w:rFonts w:eastAsia="Times New Roman"/>
                <w:color w:val="000000"/>
                <w:sz w:val="16"/>
                <w:szCs w:val="16"/>
                <w:lang w:eastAsia="en-AU"/>
              </w:rPr>
              <w:t>A second element of this project is a peer led evaluation to determine whether an increase in disability awareness has led to a change in practices and ultimately greater inclusion. Approximately 100 people are expected to attend presentations with a further 500 accessing information via the DDA website and social media.</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$7,152.80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Diversity and Disability Alliance Incorporated (DDA)</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Peers with disability from the Korean community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provides culturally appropriate disability awareness sessions to lead to greater inclusion of people with di</w:t>
            </w:r>
            <w:r w:rsidR="001F6C2D">
              <w:rPr>
                <w:rFonts w:eastAsia="Times New Roman"/>
                <w:color w:val="000000"/>
                <w:sz w:val="16"/>
                <w:szCs w:val="16"/>
                <w:lang w:eastAsia="en-AU"/>
              </w:rPr>
              <w:t xml:space="preserve">sability in Korean communities. </w:t>
            </w:r>
            <w:r w:rsidRPr="00CC13C4">
              <w:rPr>
                <w:rFonts w:eastAsia="Times New Roman"/>
                <w:color w:val="000000"/>
                <w:sz w:val="16"/>
                <w:szCs w:val="16"/>
                <w:lang w:eastAsia="en-AU"/>
              </w:rPr>
              <w:t>DDA will recruit people with disability to design information and resources and deliver disability awareness sessions to Kor</w:t>
            </w:r>
            <w:r w:rsidR="001F6C2D">
              <w:rPr>
                <w:rFonts w:eastAsia="Times New Roman"/>
                <w:color w:val="000000"/>
                <w:sz w:val="16"/>
                <w:szCs w:val="16"/>
                <w:lang w:eastAsia="en-AU"/>
              </w:rPr>
              <w:t xml:space="preserve">ean communities across Sydney. </w:t>
            </w:r>
            <w:r w:rsidRPr="00CC13C4">
              <w:rPr>
                <w:rFonts w:eastAsia="Times New Roman"/>
                <w:color w:val="000000"/>
                <w:sz w:val="16"/>
                <w:szCs w:val="16"/>
                <w:lang w:eastAsia="en-AU"/>
              </w:rPr>
              <w:t>A second element of this project is a peer</w:t>
            </w:r>
            <w:r w:rsidR="00C15C33">
              <w:rPr>
                <w:rFonts w:eastAsia="Times New Roman"/>
                <w:color w:val="000000"/>
                <w:sz w:val="16"/>
                <w:szCs w:val="16"/>
                <w:lang w:eastAsia="en-AU"/>
              </w:rPr>
              <w:t>-</w:t>
            </w:r>
            <w:r w:rsidRPr="00CC13C4">
              <w:rPr>
                <w:rFonts w:eastAsia="Times New Roman"/>
                <w:color w:val="000000"/>
                <w:sz w:val="16"/>
                <w:szCs w:val="16"/>
                <w:lang w:eastAsia="en-AU"/>
              </w:rPr>
              <w:t>led evaluation to determine whether an increase in disability awareness has led to a change in practices and ultimately greater inclusion. Approximately 100 people are expected to attend presentations with a further 500 accessing information via the DDA website and social media.</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$7,152.80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Eastern Riverina Arts</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PLATFORM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PLATFORM is a purpose built portable 'space' created from adapting a 40ft shipping container into an accessible sensory space designed by artists with disability. PLATFORM will be offered to community festivals free of charge as a way to educate them about the engagement of artists with disability and to increase the participation and visibility of artists and people with disabi</w:t>
            </w:r>
            <w:r w:rsidR="001F6C2D">
              <w:rPr>
                <w:rFonts w:eastAsia="Times New Roman"/>
                <w:color w:val="000000"/>
                <w:sz w:val="16"/>
                <w:szCs w:val="16"/>
                <w:lang w:eastAsia="en-AU"/>
              </w:rPr>
              <w:t xml:space="preserve">lity at these community events. </w:t>
            </w:r>
            <w:r w:rsidRPr="00CC13C4">
              <w:rPr>
                <w:rFonts w:eastAsia="Times New Roman"/>
                <w:color w:val="000000"/>
                <w:sz w:val="16"/>
                <w:szCs w:val="16"/>
                <w:lang w:eastAsia="en-AU"/>
              </w:rPr>
              <w:t>A dedicated curator will commission at least 20 artists with disability (both visual arts and performing arts) and coordinate PLATFORM to tour eight regional festivals. Training and advice will also be provided to volunteer based festival organisers to make their events more accessible.</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$588,280.00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All people with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Consortium: IDEAS Information on Disability &amp; Awareness Services.</w:t>
            </w: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Mental Health Coordinating Council Inc.</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Community engagement education package</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A community education package will assist community workers, volunteers and peers to better support people living with a mental health condition or psychosocial disability who are ineligible or do </w:t>
            </w:r>
            <w:r w:rsidR="001F6C2D">
              <w:rPr>
                <w:rFonts w:eastAsia="Times New Roman"/>
                <w:color w:val="000000"/>
                <w:sz w:val="16"/>
                <w:szCs w:val="16"/>
                <w:lang w:eastAsia="en-AU"/>
              </w:rPr>
              <w:t xml:space="preserve">not want to have an NDIS plan. </w:t>
            </w:r>
            <w:r w:rsidRPr="00CC13C4">
              <w:rPr>
                <w:rFonts w:eastAsia="Times New Roman"/>
                <w:color w:val="000000"/>
                <w:sz w:val="16"/>
                <w:szCs w:val="16"/>
                <w:lang w:eastAsia="en-AU"/>
              </w:rPr>
              <w:t>Two training programs for 20-30 people will be trialled and the feedback refined into a good practice model for further scale up. The program aims to equip community workers to use recovery approaches when assessing the needs of people living with mental health conditions, enabling more effective connections and increased participation in the same community activities as everyone else.</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$517,280.00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Psycho-social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NSW Business Chamber Limited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Inclusion for all</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Organisations and community groups will be provided with information, practical advice, solutions, and factual evidence on why being inclusive and accessible is not only good for business, but </w:t>
            </w:r>
            <w:r w:rsidR="001F6C2D">
              <w:rPr>
                <w:rFonts w:eastAsia="Times New Roman"/>
                <w:color w:val="000000"/>
                <w:sz w:val="16"/>
                <w:szCs w:val="16"/>
                <w:lang w:eastAsia="en-AU"/>
              </w:rPr>
              <w:t xml:space="preserve">is also good for the community. </w:t>
            </w:r>
            <w:r w:rsidRPr="00CC13C4">
              <w:rPr>
                <w:rFonts w:eastAsia="Times New Roman"/>
                <w:color w:val="000000"/>
                <w:sz w:val="16"/>
                <w:szCs w:val="16"/>
                <w:lang w:eastAsia="en-AU"/>
              </w:rPr>
              <w:t>Though a comprehensive stakeholder engagement program, the project will tap into the NSW Business Chamber’s extensive influence in business, government and community, taking a key focus on supporting regional and remote areas of NSW. Forums, presentations and online resources will be developed and delivered through existing relationships with other peak organisations and people with disability.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$491,463.76</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All people with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NSW Goalball Association Incorporated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NSW Goalball for Schools, Universities and TAFE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program seeks to expand the reach of people playing Goalball socially and professionally. Goalball is a team sport suited to people who are blind or vision impaired. Funding will be directed towards expanding the already successful Goalball in Schools program to Northern River's, We</w:t>
            </w:r>
            <w:r w:rsidR="001F6C2D">
              <w:rPr>
                <w:rFonts w:eastAsia="Times New Roman"/>
                <w:color w:val="000000"/>
                <w:sz w:val="16"/>
                <w:szCs w:val="16"/>
                <w:lang w:eastAsia="en-AU"/>
              </w:rPr>
              <w:t xml:space="preserve">stern NSW and Riverina regions. </w:t>
            </w:r>
            <w:r w:rsidRPr="00CC13C4">
              <w:rPr>
                <w:rFonts w:eastAsia="Times New Roman"/>
                <w:color w:val="000000"/>
                <w:sz w:val="16"/>
                <w:szCs w:val="16"/>
                <w:lang w:eastAsia="en-AU"/>
              </w:rPr>
              <w:t xml:space="preserve">In addition, the project aims to establish a similar program for adults in the TAFE and </w:t>
            </w:r>
            <w:r w:rsidR="00C15C33">
              <w:rPr>
                <w:rFonts w:eastAsia="Times New Roman"/>
                <w:color w:val="000000"/>
                <w:sz w:val="16"/>
                <w:szCs w:val="16"/>
                <w:lang w:eastAsia="en-AU"/>
              </w:rPr>
              <w:t>u</w:t>
            </w:r>
            <w:r w:rsidRPr="00CC13C4">
              <w:rPr>
                <w:rFonts w:eastAsia="Times New Roman"/>
                <w:color w:val="000000"/>
                <w:sz w:val="16"/>
                <w:szCs w:val="16"/>
                <w:lang w:eastAsia="en-AU"/>
              </w:rPr>
              <w:t>niversity sector, thereby potentially extending the exposure of this sport to health professi</w:t>
            </w:r>
            <w:r w:rsidR="001F6C2D">
              <w:rPr>
                <w:rFonts w:eastAsia="Times New Roman"/>
                <w:color w:val="000000"/>
                <w:sz w:val="16"/>
                <w:szCs w:val="16"/>
                <w:lang w:eastAsia="en-AU"/>
              </w:rPr>
              <w:t xml:space="preserve">onals and teachers in training. </w:t>
            </w:r>
            <w:r w:rsidRPr="00CC13C4">
              <w:rPr>
                <w:rFonts w:eastAsia="Times New Roman"/>
                <w:color w:val="000000"/>
                <w:sz w:val="16"/>
                <w:szCs w:val="16"/>
                <w:lang w:eastAsia="en-AU"/>
              </w:rPr>
              <w:t>Funding will also be directed to the expansion of the sport delivery. Social training camps and social development mentoring will be undertaken by NSW vision impaired Goalball players to further assist participation and competence in the sport.</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$160,000.00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Vision Impairment</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NSW Sports Federation Inc.</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Knowledge Exchange Inclusion Program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program engages people with disability to design and deliver an education and capacity building program for local</w:t>
            </w:r>
            <w:r w:rsidR="001F6C2D">
              <w:rPr>
                <w:rFonts w:eastAsia="Times New Roman"/>
                <w:color w:val="000000"/>
                <w:sz w:val="16"/>
                <w:szCs w:val="16"/>
                <w:lang w:eastAsia="en-AU"/>
              </w:rPr>
              <w:t xml:space="preserve"> community organisations. </w:t>
            </w:r>
            <w:r w:rsidRPr="00CC13C4">
              <w:rPr>
                <w:rFonts w:eastAsia="Times New Roman"/>
                <w:color w:val="000000"/>
                <w:sz w:val="16"/>
                <w:szCs w:val="16"/>
                <w:lang w:eastAsia="en-AU"/>
              </w:rPr>
              <w:t>Local clubs, schools, councils, community organisations, universities, local business, health service providers and leisure providers will be targeted to attend education workshops delivered in 10 major regions of NSW: Hunter / Central Coast, Illawarra Riverina / Murray Northern Rivers, South Eastern NSW, Far Western NSW, Blue Mountains, Sydney Southwest, Inner Sydney, Sydn</w:t>
            </w:r>
            <w:r w:rsidR="001F6C2D">
              <w:rPr>
                <w:rFonts w:eastAsia="Times New Roman"/>
                <w:color w:val="000000"/>
                <w:sz w:val="16"/>
                <w:szCs w:val="16"/>
                <w:lang w:eastAsia="en-AU"/>
              </w:rPr>
              <w:t xml:space="preserve">ey North and Northern Beaches. </w:t>
            </w:r>
            <w:r w:rsidRPr="00CC13C4">
              <w:rPr>
                <w:rFonts w:eastAsia="Times New Roman"/>
                <w:color w:val="000000"/>
                <w:sz w:val="16"/>
                <w:szCs w:val="16"/>
                <w:lang w:eastAsia="en-AU"/>
              </w:rPr>
              <w:t xml:space="preserve">Workshop participants will be supported with resources including adaptive equipment kits, adaption 'how-to' videos on the Sport NSW YouTube channel, phone service support and a real-time chat portal through the www.sportnsw.com.au website.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$348,400.00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All people with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Sport NSW</w:t>
            </w: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St George Youth Services</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Disability Youth Engagement Service (YES) </w:t>
            </w:r>
          </w:p>
        </w:tc>
        <w:tc>
          <w:tcPr>
            <w:tcW w:w="6662" w:type="dxa"/>
          </w:tcPr>
          <w:p w:rsidR="00CC13C4" w:rsidRPr="00CC13C4" w:rsidRDefault="00CC13C4" w:rsidP="00B8107B">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The 'YES' Disability Engagement Service aims to improve how youth activities and programs support, and are accessed by Culturally and Linguistically Diverse </w:t>
            </w:r>
            <w:r w:rsidR="00C15C33">
              <w:rPr>
                <w:rFonts w:eastAsia="Times New Roman"/>
                <w:color w:val="000000"/>
                <w:sz w:val="16"/>
                <w:szCs w:val="16"/>
                <w:lang w:eastAsia="en-AU"/>
              </w:rPr>
              <w:t xml:space="preserve">(CALD) </w:t>
            </w:r>
            <w:r w:rsidRPr="00CC13C4">
              <w:rPr>
                <w:rFonts w:eastAsia="Times New Roman"/>
                <w:color w:val="000000"/>
                <w:sz w:val="16"/>
                <w:szCs w:val="16"/>
                <w:lang w:eastAsia="en-AU"/>
              </w:rPr>
              <w:t>young people with dis</w:t>
            </w:r>
            <w:r w:rsidR="001F6C2D">
              <w:rPr>
                <w:rFonts w:eastAsia="Times New Roman"/>
                <w:color w:val="000000"/>
                <w:sz w:val="16"/>
                <w:szCs w:val="16"/>
                <w:lang w:eastAsia="en-AU"/>
              </w:rPr>
              <w:t xml:space="preserve">abilities. </w:t>
            </w:r>
            <w:r w:rsidRPr="00CC13C4">
              <w:rPr>
                <w:rFonts w:eastAsia="Times New Roman"/>
                <w:color w:val="000000"/>
                <w:sz w:val="16"/>
                <w:szCs w:val="16"/>
                <w:lang w:eastAsia="en-AU"/>
              </w:rPr>
              <w:t>Organisations will receive resources, advice and information around making their services more accessible through creative youth-led wa</w:t>
            </w:r>
            <w:r w:rsidR="001F6C2D">
              <w:rPr>
                <w:rFonts w:eastAsia="Times New Roman"/>
                <w:color w:val="000000"/>
                <w:sz w:val="16"/>
                <w:szCs w:val="16"/>
                <w:lang w:eastAsia="en-AU"/>
              </w:rPr>
              <w:t xml:space="preserve">ys. Program activities include: </w:t>
            </w:r>
            <w:r w:rsidRPr="00CC13C4">
              <w:rPr>
                <w:rFonts w:eastAsia="Times New Roman"/>
                <w:color w:val="000000"/>
                <w:sz w:val="16"/>
                <w:szCs w:val="16"/>
                <w:lang w:eastAsia="en-AU"/>
              </w:rPr>
              <w:t xml:space="preserve">Disability Youth Action Council of 10 young </w:t>
            </w:r>
            <w:r w:rsidR="00B8107B">
              <w:rPr>
                <w:rFonts w:eastAsia="Times New Roman"/>
                <w:color w:val="000000"/>
                <w:sz w:val="16"/>
                <w:szCs w:val="16"/>
                <w:lang w:eastAsia="en-AU"/>
              </w:rPr>
              <w:t xml:space="preserve">CALD </w:t>
            </w:r>
            <w:r w:rsidR="001F6C2D">
              <w:rPr>
                <w:rFonts w:eastAsia="Times New Roman"/>
                <w:color w:val="000000"/>
                <w:sz w:val="16"/>
                <w:szCs w:val="16"/>
                <w:lang w:eastAsia="en-AU"/>
              </w:rPr>
              <w:t>people with disabilities; a</w:t>
            </w:r>
            <w:r w:rsidRPr="00CC13C4">
              <w:rPr>
                <w:rFonts w:eastAsia="Times New Roman"/>
                <w:color w:val="000000"/>
                <w:sz w:val="16"/>
                <w:szCs w:val="16"/>
                <w:lang w:eastAsia="en-AU"/>
              </w:rPr>
              <w:t xml:space="preserve"> youth-led peer educat</w:t>
            </w:r>
            <w:r w:rsidR="001F6C2D">
              <w:rPr>
                <w:rFonts w:eastAsia="Times New Roman"/>
                <w:color w:val="000000"/>
                <w:sz w:val="16"/>
                <w:szCs w:val="16"/>
                <w:lang w:eastAsia="en-AU"/>
              </w:rPr>
              <w:t>ion/social marketing strategy and a</w:t>
            </w:r>
            <w:r w:rsidRPr="00CC13C4">
              <w:rPr>
                <w:rFonts w:eastAsia="Times New Roman"/>
                <w:color w:val="000000"/>
                <w:sz w:val="16"/>
                <w:szCs w:val="16"/>
                <w:lang w:eastAsia="en-AU"/>
              </w:rPr>
              <w:t>n advisory service fo</w:t>
            </w:r>
            <w:r w:rsidR="001F6C2D">
              <w:rPr>
                <w:rFonts w:eastAsia="Times New Roman"/>
                <w:color w:val="000000"/>
                <w:sz w:val="16"/>
                <w:szCs w:val="16"/>
                <w:lang w:eastAsia="en-AU"/>
              </w:rPr>
              <w:t xml:space="preserve">r community activity services. </w:t>
            </w:r>
            <w:r w:rsidRPr="00CC13C4">
              <w:rPr>
                <w:rFonts w:eastAsia="Times New Roman"/>
                <w:color w:val="000000"/>
                <w:sz w:val="16"/>
                <w:szCs w:val="16"/>
                <w:lang w:eastAsia="en-AU"/>
              </w:rPr>
              <w:t>Over 500 young people with disabilities are expected to benefit and participate in this activity.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$90,811.77</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 Young Adults.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The New South Wales Council for Intellectual Disability</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Beyond the Mailroom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This project develops training packages to equip Australian Disability Enterprises (ADEs) and businesses to support people with intellectual disability to find meaningful work </w:t>
            </w:r>
            <w:r w:rsidR="00B8107B">
              <w:rPr>
                <w:rFonts w:eastAsia="Times New Roman"/>
                <w:color w:val="000000"/>
                <w:sz w:val="16"/>
                <w:szCs w:val="16"/>
                <w:lang w:eastAsia="en-AU"/>
              </w:rPr>
              <w:t xml:space="preserve">in the open employment sector. </w:t>
            </w:r>
            <w:r w:rsidRPr="00CC13C4">
              <w:rPr>
                <w:rFonts w:eastAsia="Times New Roman"/>
                <w:color w:val="000000"/>
                <w:sz w:val="16"/>
                <w:szCs w:val="16"/>
                <w:lang w:eastAsia="en-AU"/>
              </w:rPr>
              <w:t>One package of training is targeted towards increasing the skills, networks and knowledge of 120 businesses and ADE across NSW, bringing the sectors together to understand and create opportunities for transition to open employment for people with disability. The second training package aims to target 75 people with intellectual disability, including young people yet to enter the workforce, and will build skills, confidence and leadership to participate in thei</w:t>
            </w:r>
            <w:r w:rsidR="00B8107B">
              <w:rPr>
                <w:rFonts w:eastAsia="Times New Roman"/>
                <w:color w:val="000000"/>
                <w:sz w:val="16"/>
                <w:szCs w:val="16"/>
                <w:lang w:eastAsia="en-AU"/>
              </w:rPr>
              <w:t xml:space="preserve">r community and the workforce. </w:t>
            </w:r>
            <w:r w:rsidRPr="00CC13C4">
              <w:rPr>
                <w:rFonts w:eastAsia="Times New Roman"/>
                <w:color w:val="000000"/>
                <w:sz w:val="16"/>
                <w:szCs w:val="16"/>
                <w:lang w:eastAsia="en-AU"/>
              </w:rPr>
              <w:t>The training resources will be co-designed by people with intellectual disability and will include compelling first person stories of people with intellectual disability who are in open employment.</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$1,000,000.00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Vanguard Business Services PTY LTD.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Micro-enterprises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builds one urban and one regional network of 30 entrepreneurial people with disability from Western Sydney and Western NSW. The network will be facilitated to provide a supportive group environment with web based mentoring to support the establishment and gr</w:t>
            </w:r>
            <w:r w:rsidR="00B8107B">
              <w:rPr>
                <w:rFonts w:eastAsia="Times New Roman"/>
                <w:color w:val="000000"/>
                <w:sz w:val="16"/>
                <w:szCs w:val="16"/>
                <w:lang w:eastAsia="en-AU"/>
              </w:rPr>
              <w:t xml:space="preserve">owth of individual enterprises. </w:t>
            </w:r>
            <w:r w:rsidRPr="00CC13C4">
              <w:rPr>
                <w:rFonts w:eastAsia="Times New Roman"/>
                <w:color w:val="000000"/>
                <w:sz w:val="16"/>
                <w:szCs w:val="16"/>
                <w:lang w:eastAsia="en-AU"/>
              </w:rPr>
              <w:t>The people participating in the network will be connected to a successful micro-enterprise or local business leader to provide mentoring, advice and encouragement. The project aims to attract five community mentors for every network participant. The project will culminate in a Micro Business Forum to share learning.</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$341,298.00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All people with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Consortium: InCharge, Community Living Project Inc., Centre for Disability Employment Research and Practice.</w:t>
            </w: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Wests Tigers Rugby League Football PTY LTD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Wests Tigers Varying Abilities Program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Over two years, the Wests Tigers staff and physical disability players aim to engage 20,000 primary students across NSW in a one hour anti-bullying program. The interactive session will feature representatives of the Wests Tigers physical disability team showcasing their achievements, exploring </w:t>
            </w:r>
            <w:r w:rsidR="00B8107B">
              <w:rPr>
                <w:rFonts w:eastAsia="Times New Roman"/>
                <w:color w:val="000000"/>
                <w:sz w:val="16"/>
                <w:szCs w:val="16"/>
                <w:lang w:eastAsia="en-AU"/>
              </w:rPr>
              <w:t>f</w:t>
            </w:r>
            <w:r w:rsidRPr="00CC13C4">
              <w:rPr>
                <w:rFonts w:eastAsia="Times New Roman"/>
                <w:color w:val="000000"/>
                <w:sz w:val="16"/>
                <w:szCs w:val="16"/>
                <w:lang w:eastAsia="en-AU"/>
              </w:rPr>
              <w:t xml:space="preserve">act vs </w:t>
            </w:r>
            <w:r w:rsidR="00B8107B">
              <w:rPr>
                <w:rFonts w:eastAsia="Times New Roman"/>
                <w:color w:val="000000"/>
                <w:sz w:val="16"/>
                <w:szCs w:val="16"/>
                <w:lang w:eastAsia="en-AU"/>
              </w:rPr>
              <w:t>m</w:t>
            </w:r>
            <w:r w:rsidRPr="00CC13C4">
              <w:rPr>
                <w:rFonts w:eastAsia="Times New Roman"/>
                <w:color w:val="000000"/>
                <w:sz w:val="16"/>
                <w:szCs w:val="16"/>
                <w:lang w:eastAsia="en-AU"/>
              </w:rPr>
              <w:t>yths about disability in sport and engaging students to experience different elements of disability in sport to build shar</w:t>
            </w:r>
            <w:r w:rsidR="00B8107B">
              <w:rPr>
                <w:rFonts w:eastAsia="Times New Roman"/>
                <w:color w:val="000000"/>
                <w:sz w:val="16"/>
                <w:szCs w:val="16"/>
                <w:lang w:eastAsia="en-AU"/>
              </w:rPr>
              <w:t xml:space="preserve">ed understanding. </w:t>
            </w:r>
            <w:r w:rsidRPr="00CC13C4">
              <w:rPr>
                <w:rFonts w:eastAsia="Times New Roman"/>
                <w:color w:val="000000"/>
                <w:sz w:val="16"/>
                <w:szCs w:val="16"/>
                <w:lang w:eastAsia="en-AU"/>
              </w:rPr>
              <w:t>Wests Tigers will drive a substantial media campaign around the activities to extend the reach of the program into the broader co</w:t>
            </w:r>
            <w:r w:rsidR="00B8107B">
              <w:rPr>
                <w:rFonts w:eastAsia="Times New Roman"/>
                <w:color w:val="000000"/>
                <w:sz w:val="16"/>
                <w:szCs w:val="16"/>
                <w:lang w:eastAsia="en-AU"/>
              </w:rPr>
              <w:t xml:space="preserve">mmunity and to build awareness. </w:t>
            </w:r>
            <w:r w:rsidRPr="00CC13C4">
              <w:rPr>
                <w:rFonts w:eastAsia="Times New Roman"/>
                <w:color w:val="000000"/>
                <w:sz w:val="16"/>
                <w:szCs w:val="16"/>
                <w:lang w:eastAsia="en-AU"/>
              </w:rPr>
              <w:t xml:space="preserve">The program aims to build positive behaviours towards inclusion, celebrate differences, and reduce bullying.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$300,000.00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Community Awareness and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 xml:space="preserve">All people with disability; Children.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Assisted Community Living Limited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Gig Buddies Sydney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i/>
                <w:color w:val="000000"/>
                <w:sz w:val="16"/>
                <w:szCs w:val="16"/>
                <w:lang w:eastAsia="en-AU"/>
              </w:rPr>
              <w:t>Gig Buddies</w:t>
            </w:r>
            <w:r w:rsidRPr="00CC13C4">
              <w:rPr>
                <w:rFonts w:eastAsia="Times New Roman"/>
                <w:color w:val="000000"/>
                <w:sz w:val="16"/>
                <w:szCs w:val="16"/>
                <w:lang w:eastAsia="en-AU"/>
              </w:rPr>
              <w:t xml:space="preserve"> pairs adults with mild to moderate learning disabilities and/or autism with volunteers to regularly attend events or ‘gigs’, increasing soci</w:t>
            </w:r>
            <w:r w:rsidR="00B8107B">
              <w:rPr>
                <w:rFonts w:eastAsia="Times New Roman"/>
                <w:color w:val="000000"/>
                <w:sz w:val="16"/>
                <w:szCs w:val="16"/>
                <w:lang w:eastAsia="en-AU"/>
              </w:rPr>
              <w:t xml:space="preserve">al and community participation. </w:t>
            </w:r>
            <w:r w:rsidRPr="00CC13C4">
              <w:rPr>
                <w:rFonts w:eastAsia="Times New Roman"/>
                <w:color w:val="000000"/>
                <w:sz w:val="16"/>
                <w:szCs w:val="16"/>
                <w:lang w:eastAsia="en-AU"/>
              </w:rPr>
              <w:t>This project expands the successful Gig Buddies program to regional areas of NSW and expands the capacity of the project within Sydney. Funding will be directed towards establishing new partnerships with regional organisations to deliver the Gig Buddies program including the provision of training, support and database and website customisation.</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$149,796.26</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All people with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Autism Queensland Limited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Talk To Learn Autism Group</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 will provide parents and carers of children with autism or social-communication and behavioural challenges with access to information, links to community activities and practical support to enhance their child's skills and reduce disruptive behaviours. Funding is directed to two groups facilitated by autism experts, available 40 weeks per year for children 0-6 years and 7-12 years in Inverell, Tenterfield,</w:t>
            </w:r>
            <w:r w:rsidR="00E2673C">
              <w:rPr>
                <w:rFonts w:eastAsia="Times New Roman"/>
                <w:color w:val="000000"/>
                <w:sz w:val="16"/>
                <w:szCs w:val="16"/>
                <w:lang w:eastAsia="en-AU"/>
              </w:rPr>
              <w:t xml:space="preserve"> Moree, Narrabri</w:t>
            </w:r>
            <w:r w:rsidR="001F6C2D">
              <w:rPr>
                <w:rFonts w:eastAsia="Times New Roman"/>
                <w:color w:val="000000"/>
                <w:sz w:val="16"/>
                <w:szCs w:val="16"/>
                <w:lang w:eastAsia="en-AU"/>
              </w:rPr>
              <w:t xml:space="preserve"> and Armidale. </w:t>
            </w:r>
            <w:r w:rsidRPr="00CC13C4">
              <w:rPr>
                <w:rFonts w:eastAsia="Times New Roman"/>
                <w:color w:val="000000"/>
                <w:sz w:val="16"/>
                <w:szCs w:val="16"/>
                <w:lang w:eastAsia="en-AU"/>
              </w:rPr>
              <w:t>The parent-child groups will run for two hours, supporting up to 50 families.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$106,857.99</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 xml:space="preserve">Autism Spectrum Disorder; Children.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Birds and Bees Counselling Education Consultancy PTY LTD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Sexuality and Relationships Workshops </w:t>
            </w:r>
          </w:p>
        </w:tc>
        <w:tc>
          <w:tcPr>
            <w:tcW w:w="6662" w:type="dxa"/>
          </w:tcPr>
          <w:p w:rsidR="00CC13C4" w:rsidRPr="00CC13C4" w:rsidRDefault="00CC13C4" w:rsidP="001F6C2D">
            <w:pPr>
              <w:spacing w:before="120" w:after="0" w:line="276" w:lineRule="auto"/>
              <w:rPr>
                <w:rFonts w:eastAsia="Times New Roman"/>
                <w:color w:val="000000"/>
                <w:sz w:val="16"/>
                <w:szCs w:val="16"/>
                <w:lang w:eastAsia="en-AU"/>
              </w:rPr>
            </w:pPr>
            <w:r w:rsidRPr="00CC13C4">
              <w:rPr>
                <w:rFonts w:eastAsia="Times New Roman"/>
                <w:color w:val="000000"/>
                <w:sz w:val="16"/>
                <w:szCs w:val="16"/>
                <w:lang w:eastAsia="en-AU"/>
              </w:rPr>
              <w:t>Over a two year period, 20 Sexuality and Relationships workshops will be delivered for 800 people with disability regional towns and communities in NSW. The workshops aim to support greater independence and ability to make informed choices regarding personal sexuality, as well as building relationship skills and positive self-regard. The worksh</w:t>
            </w:r>
            <w:r w:rsidR="001F6C2D">
              <w:rPr>
                <w:rFonts w:eastAsia="Times New Roman"/>
                <w:color w:val="000000"/>
                <w:sz w:val="16"/>
                <w:szCs w:val="16"/>
                <w:lang w:eastAsia="en-AU"/>
              </w:rPr>
              <w:t xml:space="preserve">op’s learning outcomes include: </w:t>
            </w:r>
            <w:r w:rsidRPr="00CC13C4">
              <w:rPr>
                <w:rFonts w:eastAsia="Times New Roman"/>
                <w:color w:val="000000"/>
                <w:sz w:val="16"/>
                <w:szCs w:val="16"/>
                <w:lang w:eastAsia="en-AU"/>
              </w:rPr>
              <w:t>rights and responsibilities, when it comes to sexuality, relationships and the l</w:t>
            </w:r>
            <w:r w:rsidR="001F6C2D">
              <w:rPr>
                <w:rFonts w:eastAsia="Times New Roman"/>
                <w:color w:val="000000"/>
                <w:sz w:val="16"/>
                <w:szCs w:val="16"/>
                <w:lang w:eastAsia="en-AU"/>
              </w:rPr>
              <w:t xml:space="preserve">aw; </w:t>
            </w:r>
            <w:r w:rsidRPr="00CC13C4">
              <w:rPr>
                <w:rFonts w:eastAsia="Times New Roman"/>
                <w:color w:val="000000"/>
                <w:sz w:val="16"/>
                <w:szCs w:val="16"/>
                <w:lang w:eastAsia="en-AU"/>
              </w:rPr>
              <w:t>peoples’ right to healt</w:t>
            </w:r>
            <w:r w:rsidR="001F6C2D">
              <w:rPr>
                <w:rFonts w:eastAsia="Times New Roman"/>
                <w:color w:val="000000"/>
                <w:sz w:val="16"/>
                <w:szCs w:val="16"/>
                <w:lang w:eastAsia="en-AU"/>
              </w:rPr>
              <w:t xml:space="preserve">hy and consensual relationships; </w:t>
            </w:r>
            <w:r w:rsidRPr="00CC13C4">
              <w:rPr>
                <w:rFonts w:eastAsia="Times New Roman"/>
                <w:color w:val="000000"/>
                <w:sz w:val="16"/>
                <w:szCs w:val="16"/>
                <w:lang w:eastAsia="en-AU"/>
              </w:rPr>
              <w:t>awarenes</w:t>
            </w:r>
            <w:r w:rsidR="001F6C2D">
              <w:rPr>
                <w:rFonts w:eastAsia="Times New Roman"/>
                <w:color w:val="000000"/>
                <w:sz w:val="16"/>
                <w:szCs w:val="16"/>
                <w:lang w:eastAsia="en-AU"/>
              </w:rPr>
              <w:t xml:space="preserve">s of respectful relationships; </w:t>
            </w:r>
            <w:r w:rsidRPr="00CC13C4">
              <w:rPr>
                <w:rFonts w:eastAsia="Times New Roman"/>
                <w:color w:val="000000"/>
                <w:sz w:val="16"/>
                <w:szCs w:val="16"/>
                <w:lang w:eastAsia="en-AU"/>
              </w:rPr>
              <w:t>human interaction, soc</w:t>
            </w:r>
            <w:r w:rsidR="001F6C2D">
              <w:rPr>
                <w:rFonts w:eastAsia="Times New Roman"/>
                <w:color w:val="000000"/>
                <w:sz w:val="16"/>
                <w:szCs w:val="16"/>
                <w:lang w:eastAsia="en-AU"/>
              </w:rPr>
              <w:t xml:space="preserve">ial skills and participation; and </w:t>
            </w:r>
            <w:r w:rsidRPr="00CC13C4">
              <w:rPr>
                <w:rFonts w:eastAsia="Times New Roman"/>
                <w:color w:val="000000"/>
                <w:sz w:val="16"/>
                <w:szCs w:val="16"/>
                <w:lang w:eastAsia="en-AU"/>
              </w:rPr>
              <w:t>diversity of sexual orientation and gender identity.</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$97,084.00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Blind Citizens Australia (BCA)</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Life Ready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Life Ready consists of a range of activities, including a program of teleconferences, mentoring and face-to-face capacity-building opportunities to empower people who are blind or vision impaired via the provision of quality and accessible information. It is intended that at least 800 people will be reached, resulting in increased self-advocacy skills, capacity building around undertaking daily tasks, stronger peer networks, enhanced employment and educational pathway</w:t>
            </w:r>
            <w:r w:rsidR="001F6C2D">
              <w:rPr>
                <w:rFonts w:eastAsia="Times New Roman"/>
                <w:color w:val="000000"/>
                <w:sz w:val="16"/>
                <w:szCs w:val="16"/>
                <w:lang w:eastAsia="en-AU"/>
              </w:rPr>
              <w:t xml:space="preserve">s and improved self-confidence. </w:t>
            </w:r>
            <w:r w:rsidRPr="00CC13C4">
              <w:rPr>
                <w:rFonts w:eastAsia="Times New Roman"/>
                <w:color w:val="000000"/>
                <w:sz w:val="16"/>
                <w:szCs w:val="16"/>
                <w:lang w:eastAsia="en-AU"/>
              </w:rPr>
              <w:t xml:space="preserve">If successful, Life Ready can be marketed externally to increase awareness and participation, and may be used as a sustainable revenue stream for Blind Citizens Australia, a disability led organisation. </w:t>
            </w:r>
            <w:r w:rsidRPr="00CC13C4" w:rsidDel="00AE6DB7">
              <w:rPr>
                <w:rFonts w:eastAsia="Times New Roman"/>
                <w:color w:val="000000"/>
                <w:sz w:val="16"/>
                <w:szCs w:val="16"/>
                <w:lang w:eastAsia="en-AU"/>
              </w:rPr>
              <w:t xml:space="preserve">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$96,090.00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Vision Impairment</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Central Coast Disability Network Inc.</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Community before Corrections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i/>
                <w:color w:val="000000"/>
                <w:sz w:val="16"/>
                <w:szCs w:val="16"/>
                <w:lang w:eastAsia="en-AU"/>
              </w:rPr>
              <w:t xml:space="preserve">Community before Corrections </w:t>
            </w:r>
            <w:r w:rsidRPr="00CC13C4">
              <w:rPr>
                <w:rFonts w:eastAsia="Times New Roman"/>
                <w:color w:val="000000"/>
                <w:sz w:val="16"/>
                <w:szCs w:val="16"/>
                <w:lang w:eastAsia="en-AU"/>
              </w:rPr>
              <w:t xml:space="preserve">is a specialised and intensive support model of mentoring and self-advocacy capacity building, targeting up to 300 people with a cognitive impairment and/or intellectual disability at risk of a custodial sentence in Wyong and Gosford. Funding will be directed towards a 6-month series of capacity building sessions targeting: self-awareness, knowledge of rights, communication and leadership. A Peer Mentoring Network will also be established.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$1,399,986.60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Challenge Community Services</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Start Up</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i/>
                <w:color w:val="000000"/>
                <w:sz w:val="16"/>
                <w:szCs w:val="16"/>
                <w:lang w:eastAsia="en-AU"/>
              </w:rPr>
              <w:t>Start Up</w:t>
            </w:r>
            <w:r w:rsidRPr="00CC13C4">
              <w:rPr>
                <w:rFonts w:eastAsia="Times New Roman"/>
                <w:color w:val="000000"/>
                <w:sz w:val="16"/>
                <w:szCs w:val="16"/>
                <w:lang w:eastAsia="en-AU"/>
              </w:rPr>
              <w:t xml:space="preserve"> aims to increase the skills and abilities of young people with intellectual disability to understand and participate in the Gig Economy (contract, temporary and freelance work). The project will recruit 20 people with an intellectual disability in the Hunter region to participate. Program participants will receive training and mentoring in developing business skills, using digital technologies, being ‘safe’ online and understanding and recognising online risks.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$190,129.1</w:t>
            </w:r>
            <w:r w:rsidR="00490C7F">
              <w:rPr>
                <w:color w:val="000000"/>
                <w:sz w:val="16"/>
                <w:szCs w:val="16"/>
              </w:rPr>
              <w:t>1</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Citizen Advocacy Western Sydney Inc.</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CAWS We Matter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development program will reach people with intellectual disability, providing opportunity to participate in an advisory and consultative committee. The project will establish a 7-15 person Advisory Committee and build the capacity of committee participants, particularly regarding speaking and running a meeting. The Advisory Committee will provide advice to the CAWS Management Committee on the needs of people with intellectual disability, explore issues in the community and raise those issues with relevant bodies.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lastRenderedPageBreak/>
              <w:t>Hear For You Limited</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Greater Western Sydney Deaf/Hard of Hearing Teenagers Linkage Project</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This project will deliver the Rock My World programs of personal development workshops, peer mentoring and online engagement to link young people who are deaf or hearing impaired </w:t>
            </w:r>
            <w:r w:rsidR="001F6C2D">
              <w:rPr>
                <w:rFonts w:eastAsia="Times New Roman"/>
                <w:color w:val="000000"/>
                <w:sz w:val="16"/>
                <w:szCs w:val="16"/>
                <w:lang w:eastAsia="en-AU"/>
              </w:rPr>
              <w:t xml:space="preserve">with services and peer support. </w:t>
            </w:r>
            <w:r w:rsidRPr="00CC13C4">
              <w:rPr>
                <w:rFonts w:eastAsia="Times New Roman"/>
                <w:color w:val="000000"/>
                <w:sz w:val="16"/>
                <w:szCs w:val="16"/>
                <w:lang w:eastAsia="en-AU"/>
              </w:rPr>
              <w:t xml:space="preserve">It is expected that these programs will reach 150+ teenagers in Greater Western Sydney region. The 4-5 hr programs are supported by deaf young adult mentors.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$249,703.67</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Hearing Impairment; Youth.</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Kurrajong Waratah</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The Connect Program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i/>
                <w:color w:val="000000"/>
                <w:sz w:val="16"/>
                <w:szCs w:val="16"/>
                <w:lang w:eastAsia="en-AU"/>
              </w:rPr>
              <w:t>The Connect Program</w:t>
            </w:r>
            <w:r w:rsidRPr="00CC13C4">
              <w:rPr>
                <w:rFonts w:eastAsia="Times New Roman"/>
                <w:color w:val="000000"/>
                <w:sz w:val="16"/>
                <w:szCs w:val="16"/>
                <w:lang w:eastAsia="en-AU"/>
              </w:rPr>
              <w:t xml:space="preserve"> is a peer support initiative that fosters social inclusion by connecting adolescents with intellectual disability and adolescents without disability in the Riverina and Murray regions of NSW. Project staff will work in the school environment to match students based on shared interests. The matched pairs will be supported to plan a schedule of recreational, sporting, cultural and community activities. Students without disability will receive training and support to understand disability, human rights and the importance</w:t>
            </w:r>
            <w:r w:rsidR="001F6C2D">
              <w:rPr>
                <w:rFonts w:eastAsia="Times New Roman"/>
                <w:color w:val="000000"/>
                <w:sz w:val="16"/>
                <w:szCs w:val="16"/>
                <w:lang w:eastAsia="en-AU"/>
              </w:rPr>
              <w:t xml:space="preserve"> of inclusion. </w:t>
            </w:r>
            <w:r w:rsidRPr="00CC13C4">
              <w:rPr>
                <w:rFonts w:eastAsia="Times New Roman"/>
                <w:color w:val="000000"/>
                <w:sz w:val="16"/>
                <w:szCs w:val="16"/>
                <w:lang w:eastAsia="en-AU"/>
              </w:rPr>
              <w:t>The project will engage 15 public high schools and 6 independent high schools in the Riverina and Murray regions of south western NSW, with a total of 120 adolescent students with intellectual disability expected to participate.</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$452,654.00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 xml:space="preserve">Intellectual disability; Children and Youth.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Lifestart Co-operative Ltd</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Belong INC</w:t>
            </w:r>
            <w:r w:rsidRPr="00CC13C4">
              <w:rPr>
                <w:color w:val="000000"/>
                <w:sz w:val="16"/>
                <w:szCs w:val="16"/>
              </w:rPr>
              <w:t xml:space="preserve"> </w:t>
            </w:r>
          </w:p>
        </w:tc>
        <w:tc>
          <w:tcPr>
            <w:tcW w:w="6662" w:type="dxa"/>
          </w:tcPr>
          <w:p w:rsidR="00CC13C4" w:rsidRPr="00CC13C4" w:rsidRDefault="00CC13C4" w:rsidP="001F6C2D">
            <w:pPr>
              <w:spacing w:before="120" w:after="0" w:line="276" w:lineRule="auto"/>
              <w:rPr>
                <w:rFonts w:eastAsia="Times New Roman"/>
                <w:color w:val="000000"/>
                <w:sz w:val="16"/>
                <w:szCs w:val="16"/>
                <w:lang w:eastAsia="en-AU"/>
              </w:rPr>
            </w:pPr>
            <w:r w:rsidRPr="00CC13C4">
              <w:rPr>
                <w:rFonts w:eastAsia="Times New Roman"/>
                <w:i/>
                <w:color w:val="000000"/>
                <w:sz w:val="16"/>
                <w:szCs w:val="16"/>
                <w:lang w:eastAsia="en-AU"/>
              </w:rPr>
              <w:t>Belong INC</w:t>
            </w:r>
            <w:r w:rsidRPr="00CC13C4">
              <w:rPr>
                <w:rFonts w:eastAsia="Times New Roman"/>
                <w:color w:val="000000"/>
                <w:sz w:val="16"/>
                <w:szCs w:val="16"/>
                <w:lang w:eastAsia="en-AU"/>
              </w:rPr>
              <w:t xml:space="preserve"> is designed to build the capacity of young people aged 12-18 years living with disability to move through adolescence to adulthood.  The program will be delivered in Local Government Areas in the Sydney and South East Sydney regions. Funding for the two ye</w:t>
            </w:r>
            <w:r w:rsidR="001F6C2D">
              <w:rPr>
                <w:rFonts w:eastAsia="Times New Roman"/>
                <w:color w:val="000000"/>
                <w:sz w:val="16"/>
                <w:szCs w:val="16"/>
                <w:lang w:eastAsia="en-AU"/>
              </w:rPr>
              <w:t>ar program is directed towards: t</w:t>
            </w:r>
            <w:r w:rsidRPr="00CC13C4">
              <w:rPr>
                <w:rFonts w:eastAsia="Times New Roman"/>
                <w:color w:val="000000"/>
                <w:sz w:val="16"/>
                <w:szCs w:val="16"/>
                <w:lang w:eastAsia="en-AU"/>
              </w:rPr>
              <w:t>ailored person-centred planning and support including</w:t>
            </w:r>
            <w:r w:rsidR="001F6C2D">
              <w:rPr>
                <w:rFonts w:eastAsia="Times New Roman"/>
                <w:color w:val="000000"/>
                <w:sz w:val="16"/>
                <w:szCs w:val="16"/>
                <w:lang w:eastAsia="en-AU"/>
              </w:rPr>
              <w:t xml:space="preserve"> delivering individual supports; p</w:t>
            </w:r>
            <w:r w:rsidRPr="00CC13C4">
              <w:rPr>
                <w:rFonts w:eastAsia="Times New Roman"/>
                <w:color w:val="000000"/>
                <w:sz w:val="16"/>
                <w:szCs w:val="16"/>
                <w:lang w:eastAsia="en-AU"/>
              </w:rPr>
              <w:t>roviding support and assistance at key transition times, such as the conclusion of hi</w:t>
            </w:r>
            <w:r w:rsidR="001F6C2D">
              <w:rPr>
                <w:rFonts w:eastAsia="Times New Roman"/>
                <w:color w:val="000000"/>
                <w:sz w:val="16"/>
                <w:szCs w:val="16"/>
                <w:lang w:eastAsia="en-AU"/>
              </w:rPr>
              <w:t>gh school or onset of puberty; w</w:t>
            </w:r>
            <w:r w:rsidRPr="00CC13C4">
              <w:rPr>
                <w:rFonts w:eastAsia="Times New Roman"/>
                <w:color w:val="000000"/>
                <w:sz w:val="16"/>
                <w:szCs w:val="16"/>
                <w:lang w:eastAsia="en-AU"/>
              </w:rPr>
              <w:t>orkshops and forums for families and carers, mainstream service</w:t>
            </w:r>
            <w:r w:rsidR="001F6C2D">
              <w:rPr>
                <w:rFonts w:eastAsia="Times New Roman"/>
                <w:color w:val="000000"/>
                <w:sz w:val="16"/>
                <w:szCs w:val="16"/>
                <w:lang w:eastAsia="en-AU"/>
              </w:rPr>
              <w:t xml:space="preserve">s and community organisations. </w:t>
            </w:r>
            <w:r w:rsidRPr="00CC13C4">
              <w:rPr>
                <w:rFonts w:eastAsia="Times New Roman"/>
                <w:color w:val="000000"/>
                <w:sz w:val="16"/>
                <w:szCs w:val="16"/>
                <w:lang w:eastAsia="en-AU"/>
              </w:rPr>
              <w:t>More than 250 young people with disability and 1,200 additional individuals (families, carers, peers and community members) are expected to benefit.</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$675,374.02</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 xml:space="preserve">All people with disability; Children and Youth.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Manning Valley Respite Care Services Incorporated</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Taree Inclusive - a Blueprint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The Toastmasters program aims to build skills in conquering nervousness when speaking in a group, improve communication and accelerate self-improvement, as well as building local community networks, relationships and understanding. </w:t>
            </w:r>
            <w:r w:rsidRPr="00CC13C4">
              <w:rPr>
                <w:color w:val="000000"/>
                <w:sz w:val="16"/>
                <w:szCs w:val="16"/>
              </w:rPr>
              <w:t xml:space="preserve">A collaboration between Taree Toastmasters and About Inclusion (AI) will support people with intellectual disability to learn and practice communication and leadership skills. Up </w:t>
            </w:r>
            <w:r w:rsidRPr="00CC13C4">
              <w:rPr>
                <w:rFonts w:eastAsia="Times New Roman"/>
                <w:color w:val="000000"/>
                <w:sz w:val="16"/>
                <w:szCs w:val="16"/>
                <w:lang w:eastAsia="en-AU"/>
              </w:rPr>
              <w:t>to 25 young people will be mentored through the Toastmasters program and in the process, will develop a manual for other Toastmaster groups to offer the same program.</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$9,817.00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Taree Toastmasters, About Inclusion</w:t>
            </w: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lastRenderedPageBreak/>
              <w:t>Multicultural Disability Advocacy Association of NSW Incorporated</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Rights and Information Training Seminars</w:t>
            </w:r>
            <w:r w:rsidRPr="00CC13C4">
              <w:rPr>
                <w:color w:val="000000"/>
                <w:sz w:val="16"/>
                <w:szCs w:val="16"/>
              </w:rPr>
              <w:t xml:space="preserve">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color w:val="000000"/>
                <w:sz w:val="16"/>
                <w:szCs w:val="16"/>
              </w:rPr>
              <w:t xml:space="preserve">Seminars will provide in-language information sessions to increase the potential of people from Culturally and Linguistically Diverse or Non-English speaking backgrounds to seek justice when rights are violated. </w:t>
            </w:r>
            <w:r w:rsidRPr="00CC13C4">
              <w:rPr>
                <w:rFonts w:eastAsia="Times New Roman"/>
                <w:color w:val="000000"/>
                <w:sz w:val="16"/>
                <w:szCs w:val="16"/>
                <w:lang w:eastAsia="en-AU"/>
              </w:rPr>
              <w:t>This project will deliver half day disability rights training sessions in three regions in Western Sydney, offered in different languages such as Vietnamese, Cantonese, Arabic,</w:t>
            </w:r>
            <w:r w:rsidR="001F6C2D">
              <w:rPr>
                <w:rFonts w:eastAsia="Times New Roman"/>
                <w:color w:val="000000"/>
                <w:sz w:val="16"/>
                <w:szCs w:val="16"/>
                <w:lang w:eastAsia="en-AU"/>
              </w:rPr>
              <w:t xml:space="preserve"> Turkish, Spanish, and Serbian. </w:t>
            </w:r>
            <w:r w:rsidRPr="00CC13C4">
              <w:rPr>
                <w:rFonts w:eastAsia="Times New Roman"/>
                <w:color w:val="000000"/>
                <w:sz w:val="16"/>
                <w:szCs w:val="16"/>
                <w:lang w:eastAsia="en-AU"/>
              </w:rPr>
              <w:t>The training sessions aim to strengthen the progress of new and emerging communities towards accepting Australian values about people with disability, as well as enabling people with disability to understand their rights to access services and supports.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$9,990.00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 xml:space="preserve">Culturally and Linguistically Diverse </w:t>
            </w:r>
            <w:r w:rsidRPr="00CC13C4">
              <w:rPr>
                <w:color w:val="000000"/>
                <w:sz w:val="16"/>
                <w:szCs w:val="16"/>
              </w:rPr>
              <w:t>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 xml:space="preserve">Muscular Dystrophy Association of New South Wales </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M-Power Peer Support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Muscular Dystrophy NSW will establish a network of 15 facilitated Peer Support Groups across NSW, primarily targeting people without a NDIS p</w:t>
            </w:r>
            <w:r w:rsidR="001F6C2D">
              <w:rPr>
                <w:rFonts w:eastAsia="Times New Roman"/>
                <w:color w:val="000000"/>
                <w:sz w:val="16"/>
                <w:szCs w:val="16"/>
                <w:lang w:eastAsia="en-AU"/>
              </w:rPr>
              <w:t xml:space="preserve">lan, their families and carers. </w:t>
            </w:r>
            <w:r w:rsidRPr="00CC13C4">
              <w:rPr>
                <w:rFonts w:eastAsia="Times New Roman"/>
                <w:color w:val="000000"/>
                <w:sz w:val="16"/>
                <w:szCs w:val="16"/>
                <w:lang w:eastAsia="en-AU"/>
              </w:rPr>
              <w:t xml:space="preserve">Groups will support up to 250 individuals affected by </w:t>
            </w:r>
            <w:r w:rsidRPr="00CC13C4">
              <w:rPr>
                <w:color w:val="000000"/>
                <w:sz w:val="16"/>
                <w:szCs w:val="16"/>
              </w:rPr>
              <w:t>neuromuscular conditions</w:t>
            </w:r>
            <w:r w:rsidRPr="00CC13C4">
              <w:rPr>
                <w:rFonts w:eastAsia="Times New Roman"/>
                <w:color w:val="000000"/>
                <w:sz w:val="16"/>
                <w:szCs w:val="16"/>
                <w:lang w:eastAsia="en-AU"/>
              </w:rPr>
              <w:t xml:space="preserve"> per year. Funding is directed towards a Peer Support Coordinator, peer support groups and volunteer training.</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$77,036.00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Muscular dystrophy and neuromuscular conditions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New Horizons Enterprises Limited.</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STEP OUT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color w:val="000000"/>
                <w:sz w:val="16"/>
                <w:szCs w:val="16"/>
              </w:rPr>
              <w:t xml:space="preserve">Volunteers will provide companionship and community access for socially isolated people with psychosocial disability. </w:t>
            </w:r>
            <w:r w:rsidRPr="00CC13C4">
              <w:rPr>
                <w:rFonts w:eastAsia="Times New Roman"/>
                <w:color w:val="000000"/>
                <w:sz w:val="16"/>
                <w:szCs w:val="16"/>
                <w:lang w:eastAsia="en-AU"/>
              </w:rPr>
              <w:t>The Step Out volunteer program will be established in Campbelltown, Gui</w:t>
            </w:r>
            <w:r w:rsidR="001F6C2D">
              <w:rPr>
                <w:rFonts w:eastAsia="Times New Roman"/>
                <w:color w:val="000000"/>
                <w:sz w:val="16"/>
                <w:szCs w:val="16"/>
                <w:lang w:eastAsia="en-AU"/>
              </w:rPr>
              <w:t xml:space="preserve">ldford, Ashfield and Newcastle. </w:t>
            </w:r>
            <w:r w:rsidRPr="00CC13C4">
              <w:rPr>
                <w:rFonts w:eastAsia="Times New Roman"/>
                <w:color w:val="000000"/>
                <w:sz w:val="16"/>
                <w:szCs w:val="16"/>
                <w:lang w:eastAsia="en-AU"/>
              </w:rPr>
              <w:t xml:space="preserve">Volunteers, most of whom have a psychosocial disability or personal experience relating to people with psychosocial disability, will be recruited, trained and matched to two socially isolated people with psychosocial disability, providing companionship and facilitating community access. </w:t>
            </w:r>
            <w:r w:rsidRPr="00CC13C4">
              <w:rPr>
                <w:color w:val="000000"/>
                <w:sz w:val="16"/>
                <w:szCs w:val="16"/>
              </w:rPr>
              <w:t>It is anticipation that participants will then experience improved capacity for independently pursuing community opportunities and developing friendships.</w:t>
            </w:r>
            <w:r w:rsidR="001F6C2D">
              <w:rPr>
                <w:rFonts w:eastAsia="Times New Roman"/>
                <w:color w:val="000000"/>
                <w:sz w:val="16"/>
                <w:szCs w:val="16"/>
                <w:lang w:eastAsia="en-AU"/>
              </w:rPr>
              <w:t xml:space="preserve"> </w:t>
            </w:r>
            <w:r w:rsidRPr="00CC13C4">
              <w:rPr>
                <w:rFonts w:eastAsia="Times New Roman"/>
                <w:color w:val="000000"/>
                <w:sz w:val="16"/>
                <w:szCs w:val="16"/>
                <w:lang w:eastAsia="en-AU"/>
              </w:rPr>
              <w:t>Service Coordinators, some of whom will have a lived experience of psychosocial disability, will each support a</w:t>
            </w:r>
            <w:r w:rsidR="001F6C2D">
              <w:rPr>
                <w:rFonts w:eastAsia="Times New Roman"/>
                <w:color w:val="000000"/>
                <w:sz w:val="16"/>
                <w:szCs w:val="16"/>
                <w:lang w:eastAsia="en-AU"/>
              </w:rPr>
              <w:t xml:space="preserve">nd oversee up to 25 volunteers. </w:t>
            </w:r>
            <w:r w:rsidRPr="00CC13C4">
              <w:rPr>
                <w:rFonts w:eastAsia="Times New Roman"/>
                <w:color w:val="000000"/>
                <w:sz w:val="16"/>
                <w:szCs w:val="16"/>
                <w:lang w:eastAsia="en-AU"/>
              </w:rPr>
              <w:t>Over time, the program aims to build the capacity of people with psychosocial disability for sustained community participation, independent development of friendships and pursuit of volunteering opportunities or paid work.</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$850,000.00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Psycho-social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The Centre for Volunteering</w:t>
            </w: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Physical Disability Council of NSW Incorporated</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PDCN Peer Networks NSW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color w:val="000000"/>
                <w:sz w:val="16"/>
                <w:szCs w:val="16"/>
              </w:rPr>
              <w:t xml:space="preserve">This project supports the development and delivery of peer led networks for people with a disability throughout NSW. </w:t>
            </w:r>
            <w:r w:rsidRPr="00CC13C4">
              <w:rPr>
                <w:rFonts w:eastAsia="Times New Roman"/>
                <w:color w:val="000000"/>
                <w:sz w:val="16"/>
                <w:szCs w:val="16"/>
                <w:lang w:eastAsia="en-AU"/>
              </w:rPr>
              <w:t xml:space="preserve">Over two years, </w:t>
            </w:r>
            <w:r w:rsidR="00430CF4">
              <w:rPr>
                <w:rFonts w:eastAsia="Times New Roman"/>
                <w:color w:val="000000"/>
                <w:sz w:val="16"/>
                <w:szCs w:val="16"/>
                <w:lang w:eastAsia="en-AU"/>
              </w:rPr>
              <w:t>approximately 15 networks of 8</w:t>
            </w:r>
            <w:r w:rsidR="00430CF4">
              <w:rPr>
                <w:rFonts w:eastAsia="Times New Roman"/>
                <w:color w:val="000000"/>
                <w:sz w:val="16"/>
                <w:szCs w:val="16"/>
                <w:lang w:eastAsia="en-AU"/>
              </w:rPr>
              <w:t>-</w:t>
            </w:r>
            <w:r w:rsidRPr="00CC13C4">
              <w:rPr>
                <w:rFonts w:eastAsia="Times New Roman"/>
                <w:color w:val="000000"/>
                <w:sz w:val="16"/>
                <w:szCs w:val="16"/>
                <w:lang w:eastAsia="en-AU"/>
              </w:rPr>
              <w:t>10 members will be built and main</w:t>
            </w:r>
            <w:r w:rsidR="00430CF4">
              <w:rPr>
                <w:rFonts w:eastAsia="Times New Roman"/>
                <w:color w:val="000000"/>
                <w:sz w:val="16"/>
                <w:szCs w:val="16"/>
                <w:lang w:eastAsia="en-AU"/>
              </w:rPr>
              <w:t>tained (</w:t>
            </w:r>
            <w:r w:rsidRPr="00CC13C4">
              <w:rPr>
                <w:rFonts w:eastAsia="Times New Roman"/>
                <w:color w:val="000000"/>
                <w:sz w:val="16"/>
                <w:szCs w:val="16"/>
                <w:lang w:eastAsia="en-AU"/>
              </w:rPr>
              <w:t>13 face t</w:t>
            </w:r>
            <w:r w:rsidR="001F6C2D">
              <w:rPr>
                <w:rFonts w:eastAsia="Times New Roman"/>
                <w:color w:val="000000"/>
                <w:sz w:val="16"/>
                <w:szCs w:val="16"/>
                <w:lang w:eastAsia="en-AU"/>
              </w:rPr>
              <w:t xml:space="preserve">o face and 2 virtual networks). </w:t>
            </w:r>
            <w:r w:rsidRPr="00CC13C4">
              <w:rPr>
                <w:rFonts w:eastAsia="Times New Roman"/>
                <w:color w:val="000000"/>
                <w:sz w:val="16"/>
                <w:szCs w:val="16"/>
                <w:lang w:eastAsia="en-AU"/>
              </w:rPr>
              <w:t>Monthly peer meetings will increase opportunity for social interaction, role modelling skills and behaviours, transferring knowledge and empowering people to be able to help themselves.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$406,819.52</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Physical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Noah’s Shoalhaven</w:t>
            </w: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lastRenderedPageBreak/>
              <w:t>Rahamim Limited</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Down to Earth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This program will establish </w:t>
            </w:r>
            <w:r w:rsidRPr="00CC13C4">
              <w:rPr>
                <w:color w:val="000000"/>
                <w:sz w:val="16"/>
                <w:szCs w:val="16"/>
              </w:rPr>
              <w:t>two permaculture sites (community gardens) in Albury and Orange</w:t>
            </w:r>
            <w:r w:rsidRPr="00CC13C4" w:rsidDel="00B564CE">
              <w:rPr>
                <w:rFonts w:eastAsia="Times New Roman"/>
                <w:color w:val="000000"/>
                <w:sz w:val="16"/>
                <w:szCs w:val="16"/>
                <w:lang w:eastAsia="en-AU"/>
              </w:rPr>
              <w:t xml:space="preserve"> </w:t>
            </w:r>
            <w:r w:rsidRPr="00CC13C4">
              <w:rPr>
                <w:rFonts w:eastAsia="Times New Roman"/>
                <w:color w:val="000000"/>
                <w:sz w:val="16"/>
                <w:szCs w:val="16"/>
                <w:lang w:eastAsia="en-AU"/>
              </w:rPr>
              <w:t>with accompanying educational programs to build skills in approximately 50 people with disability. Engaging people with disability (</w:t>
            </w:r>
            <w:r w:rsidRPr="00CC13C4">
              <w:rPr>
                <w:color w:val="000000"/>
                <w:sz w:val="16"/>
                <w:szCs w:val="16"/>
              </w:rPr>
              <w:t xml:space="preserve">including physical, cognitive and sensory disabilities) to design and implement this project </w:t>
            </w:r>
            <w:r w:rsidRPr="00CC13C4">
              <w:rPr>
                <w:rFonts w:eastAsia="Times New Roman"/>
                <w:color w:val="000000"/>
                <w:sz w:val="16"/>
                <w:szCs w:val="16"/>
                <w:lang w:eastAsia="en-AU"/>
              </w:rPr>
              <w:t>will enhance their health and wellbeing. Education programs will take a Project-Based learning approach, engaging participants at every stage in developing permaculture plans, growing food, cooking and selling fr</w:t>
            </w:r>
            <w:r w:rsidR="001F6C2D">
              <w:rPr>
                <w:rFonts w:eastAsia="Times New Roman"/>
                <w:color w:val="000000"/>
                <w:sz w:val="16"/>
                <w:szCs w:val="16"/>
                <w:lang w:eastAsia="en-AU"/>
              </w:rPr>
              <w:t xml:space="preserve">esh produce and nursery plants. </w:t>
            </w:r>
            <w:r w:rsidRPr="00CC13C4">
              <w:rPr>
                <w:rFonts w:eastAsia="Times New Roman"/>
                <w:color w:val="000000"/>
                <w:sz w:val="16"/>
                <w:szCs w:val="16"/>
                <w:lang w:eastAsia="en-AU"/>
              </w:rPr>
              <w:t>The community garden will be open to all members of the community to promote shared experiences and change individual attitudes and community culture for people with disabilities.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$9,865.0</w:t>
            </w:r>
            <w:r w:rsidR="00490C7F">
              <w:rPr>
                <w:color w:val="000000"/>
                <w:sz w:val="16"/>
                <w:szCs w:val="16"/>
              </w:rPr>
              <w:t>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All people with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St Vincent De Paul Society NSW</w:t>
            </w:r>
          </w:p>
        </w:tc>
        <w:tc>
          <w:tcPr>
            <w:tcW w:w="1418"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bCs/>
                <w:color w:val="000000"/>
                <w:sz w:val="16"/>
                <w:szCs w:val="16"/>
              </w:rPr>
              <w:t xml:space="preserve">COMPEER - Mental Health Youth  and Culturally and Linguistically Diverse Friendship Program </w:t>
            </w:r>
          </w:p>
        </w:tc>
        <w:tc>
          <w:tcPr>
            <w:tcW w:w="6662" w:type="dxa"/>
          </w:tcPr>
          <w:p w:rsidR="00CC13C4" w:rsidRPr="00CC13C4" w:rsidRDefault="00CC13C4" w:rsidP="00430CF4">
            <w:pPr>
              <w:spacing w:before="120" w:after="0" w:line="276" w:lineRule="auto"/>
              <w:rPr>
                <w:rFonts w:eastAsia="Times New Roman"/>
                <w:color w:val="000000"/>
                <w:sz w:val="16"/>
                <w:szCs w:val="16"/>
                <w:lang w:eastAsia="en-AU"/>
              </w:rPr>
            </w:pPr>
            <w:r w:rsidRPr="00CC13C4">
              <w:rPr>
                <w:rFonts w:eastAsia="Times New Roman"/>
                <w:color w:val="000000"/>
                <w:sz w:val="16"/>
                <w:szCs w:val="16"/>
                <w:lang w:eastAsia="en-AU"/>
              </w:rPr>
              <w:t>This program extends the Compeer Friendship Program to Culturally and Linguistically Diverse</w:t>
            </w:r>
            <w:r w:rsidR="00430CF4">
              <w:rPr>
                <w:rFonts w:eastAsia="Times New Roman"/>
                <w:color w:val="000000"/>
                <w:sz w:val="16"/>
                <w:szCs w:val="16"/>
                <w:lang w:eastAsia="en-AU"/>
              </w:rPr>
              <w:t xml:space="preserve"> (CALD)</w:t>
            </w:r>
            <w:r w:rsidRPr="00CC13C4">
              <w:rPr>
                <w:rFonts w:eastAsia="Times New Roman"/>
                <w:color w:val="000000"/>
                <w:sz w:val="16"/>
                <w:szCs w:val="16"/>
                <w:lang w:eastAsia="en-AU"/>
              </w:rPr>
              <w:t xml:space="preserve"> communities (including Chinese, Arabic and Vietnamese speaking communities) and to the young people within them aged 18-25. People with mental health concern will be matched with a volunteer friend. It is anticipated that the current program of 400 friendships will grow by 20% over 2 years of funding. The program covers 32 Local Government Areas in 6 Regions: Northern Sydney, Sydney-South East, Sydney-South West, Western Sydney, Nepean/Blue Mountains and Central Coast. Funding will su</w:t>
            </w:r>
            <w:r w:rsidR="001F6C2D">
              <w:rPr>
                <w:rFonts w:eastAsia="Times New Roman"/>
                <w:color w:val="000000"/>
                <w:sz w:val="16"/>
                <w:szCs w:val="16"/>
                <w:lang w:eastAsia="en-AU"/>
              </w:rPr>
              <w:t xml:space="preserve">pport the following activities: </w:t>
            </w:r>
            <w:r w:rsidRPr="00CC13C4">
              <w:rPr>
                <w:rFonts w:eastAsia="Times New Roman"/>
                <w:color w:val="000000"/>
                <w:sz w:val="16"/>
                <w:szCs w:val="16"/>
                <w:lang w:eastAsia="en-AU"/>
              </w:rPr>
              <w:t xml:space="preserve">develop industry </w:t>
            </w:r>
            <w:r w:rsidR="001F6C2D">
              <w:rPr>
                <w:rFonts w:eastAsia="Times New Roman"/>
                <w:color w:val="000000"/>
                <w:sz w:val="16"/>
                <w:szCs w:val="16"/>
                <w:lang w:eastAsia="en-AU"/>
              </w:rPr>
              <w:t xml:space="preserve">and stakeholder relationships; </w:t>
            </w:r>
            <w:r w:rsidRPr="00CC13C4">
              <w:rPr>
                <w:rFonts w:eastAsia="Times New Roman"/>
                <w:color w:val="000000"/>
                <w:sz w:val="16"/>
                <w:szCs w:val="16"/>
                <w:lang w:eastAsia="en-AU"/>
              </w:rPr>
              <w:t xml:space="preserve">develop and embed youth and </w:t>
            </w:r>
            <w:r w:rsidR="00430CF4">
              <w:rPr>
                <w:rFonts w:eastAsia="Times New Roman"/>
                <w:color w:val="000000"/>
                <w:sz w:val="16"/>
                <w:szCs w:val="16"/>
                <w:lang w:eastAsia="en-AU"/>
              </w:rPr>
              <w:t xml:space="preserve">CALD </w:t>
            </w:r>
            <w:r w:rsidRPr="00CC13C4">
              <w:rPr>
                <w:rFonts w:eastAsia="Times New Roman"/>
                <w:color w:val="000000"/>
                <w:sz w:val="16"/>
                <w:szCs w:val="16"/>
                <w:lang w:eastAsia="en-AU"/>
              </w:rPr>
              <w:t>referr</w:t>
            </w:r>
            <w:r w:rsidR="001F6C2D">
              <w:rPr>
                <w:rFonts w:eastAsia="Times New Roman"/>
                <w:color w:val="000000"/>
                <w:sz w:val="16"/>
                <w:szCs w:val="16"/>
                <w:lang w:eastAsia="en-AU"/>
              </w:rPr>
              <w:t xml:space="preserve">al pathways; </w:t>
            </w:r>
            <w:r w:rsidR="00430CF4">
              <w:rPr>
                <w:rFonts w:eastAsia="Times New Roman"/>
                <w:color w:val="000000"/>
                <w:sz w:val="16"/>
                <w:szCs w:val="16"/>
                <w:lang w:eastAsia="en-AU"/>
              </w:rPr>
              <w:t xml:space="preserve">information translation; </w:t>
            </w:r>
            <w:r w:rsidRPr="00CC13C4">
              <w:rPr>
                <w:rFonts w:eastAsia="Times New Roman"/>
                <w:color w:val="000000"/>
                <w:sz w:val="16"/>
                <w:szCs w:val="16"/>
                <w:lang w:eastAsia="en-AU"/>
              </w:rPr>
              <w:t xml:space="preserve">identify and develop </w:t>
            </w:r>
            <w:r w:rsidR="00430CF4">
              <w:rPr>
                <w:rFonts w:eastAsia="Times New Roman"/>
                <w:color w:val="000000"/>
                <w:sz w:val="16"/>
                <w:szCs w:val="16"/>
                <w:lang w:eastAsia="en-AU"/>
              </w:rPr>
              <w:t xml:space="preserve">CALD </w:t>
            </w:r>
            <w:r w:rsidR="001F6C2D">
              <w:rPr>
                <w:rFonts w:eastAsia="Times New Roman"/>
                <w:color w:val="000000"/>
                <w:sz w:val="16"/>
                <w:szCs w:val="16"/>
                <w:lang w:eastAsia="en-AU"/>
              </w:rPr>
              <w:t xml:space="preserve">e Youth Ambassadors; and </w:t>
            </w:r>
            <w:r w:rsidRPr="00CC13C4">
              <w:rPr>
                <w:rFonts w:eastAsia="Times New Roman"/>
                <w:color w:val="000000"/>
                <w:sz w:val="16"/>
                <w:szCs w:val="16"/>
                <w:lang w:eastAsia="en-AU"/>
              </w:rPr>
              <w:t xml:space="preserve">recruit and deliver language specific </w:t>
            </w:r>
            <w:r w:rsidR="00430CF4">
              <w:rPr>
                <w:rFonts w:eastAsia="Times New Roman"/>
                <w:color w:val="000000"/>
                <w:sz w:val="16"/>
                <w:szCs w:val="16"/>
                <w:lang w:eastAsia="en-AU"/>
              </w:rPr>
              <w:t>v</w:t>
            </w:r>
            <w:r w:rsidRPr="00CC13C4">
              <w:rPr>
                <w:rFonts w:eastAsia="Times New Roman"/>
                <w:color w:val="000000"/>
                <w:sz w:val="16"/>
                <w:szCs w:val="16"/>
                <w:lang w:eastAsia="en-AU"/>
              </w:rPr>
              <w:t>olunteer training.</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$205,086.00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 Young Adults. </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Stroke Recovery Assn Inc.</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Stroke </w:t>
            </w:r>
            <w:r w:rsidR="001F6C2D" w:rsidRPr="00CC13C4">
              <w:rPr>
                <w:bCs/>
                <w:color w:val="000000"/>
                <w:sz w:val="16"/>
                <w:szCs w:val="16"/>
              </w:rPr>
              <w:t>Self-Management</w:t>
            </w:r>
            <w:r w:rsidRPr="00CC13C4">
              <w:rPr>
                <w:bCs/>
                <w:color w:val="000000"/>
                <w:sz w:val="16"/>
                <w:szCs w:val="16"/>
              </w:rPr>
              <w:t xml:space="preserve"> and Support Programme</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 xml:space="preserve">Over two years, the grant will be utilised to support 40 existing groups for </w:t>
            </w:r>
            <w:r w:rsidR="00430CF4">
              <w:rPr>
                <w:rFonts w:eastAsia="Times New Roman"/>
                <w:color w:val="000000"/>
                <w:sz w:val="16"/>
                <w:szCs w:val="16"/>
                <w:lang w:eastAsia="en-AU"/>
              </w:rPr>
              <w:t>s</w:t>
            </w:r>
            <w:r w:rsidRPr="00CC13C4">
              <w:rPr>
                <w:rFonts w:eastAsia="Times New Roman"/>
                <w:color w:val="000000"/>
                <w:sz w:val="16"/>
                <w:szCs w:val="16"/>
                <w:lang w:eastAsia="en-AU"/>
              </w:rPr>
              <w:t>troke survivors and carers support groups throughout NSW, as well as the development of new support groups and resources targeting Culturally and Ling</w:t>
            </w:r>
            <w:r w:rsidR="001F6C2D">
              <w:rPr>
                <w:rFonts w:eastAsia="Times New Roman"/>
                <w:color w:val="000000"/>
                <w:sz w:val="16"/>
                <w:szCs w:val="16"/>
                <w:lang w:eastAsia="en-AU"/>
              </w:rPr>
              <w:t>uistically Diverse</w:t>
            </w:r>
            <w:r w:rsidR="00430CF4">
              <w:rPr>
                <w:rFonts w:eastAsia="Times New Roman"/>
                <w:color w:val="000000"/>
                <w:sz w:val="16"/>
                <w:szCs w:val="16"/>
                <w:lang w:eastAsia="en-AU"/>
              </w:rPr>
              <w:t xml:space="preserve"> (CALD)</w:t>
            </w:r>
            <w:r w:rsidR="001F6C2D">
              <w:rPr>
                <w:rFonts w:eastAsia="Times New Roman"/>
                <w:color w:val="000000"/>
                <w:sz w:val="16"/>
                <w:szCs w:val="16"/>
                <w:lang w:eastAsia="en-AU"/>
              </w:rPr>
              <w:t xml:space="preserve"> communities. </w:t>
            </w:r>
            <w:r w:rsidRPr="00CC13C4">
              <w:rPr>
                <w:rFonts w:eastAsia="Times New Roman"/>
                <w:color w:val="000000"/>
                <w:sz w:val="16"/>
                <w:szCs w:val="16"/>
                <w:lang w:eastAsia="en-AU"/>
              </w:rPr>
              <w:t>The program is expected to increase support group participation to over 800 people, enabling stroke survivors to reintegrate into their local community, reduce social isolation and improve confidence, efficacy and resilience.</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$365,871.3</w:t>
            </w:r>
            <w:r w:rsidR="00490C7F">
              <w:rPr>
                <w:color w:val="000000"/>
                <w:sz w:val="16"/>
                <w:szCs w:val="16"/>
              </w:rPr>
              <w:t>6</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 xml:space="preserve">Stroke; Culturally and </w:t>
            </w:r>
            <w:r w:rsidRPr="00CC13C4">
              <w:rPr>
                <w:rFonts w:eastAsia="Times New Roman"/>
                <w:color w:val="000000"/>
                <w:sz w:val="16"/>
                <w:szCs w:val="16"/>
                <w:lang w:eastAsia="en-AU"/>
              </w:rPr>
              <w:t>Linguistically Diverse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Sydney Region Aboriginal Corporation</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For Our Resilience (FOR) </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color w:val="000000"/>
                <w:sz w:val="16"/>
                <w:szCs w:val="16"/>
              </w:rPr>
              <w:t xml:space="preserve">This project will develop the skills of Aboriginal and Torres Strait Islander </w:t>
            </w:r>
            <w:r w:rsidR="00430CF4">
              <w:rPr>
                <w:color w:val="000000"/>
                <w:sz w:val="16"/>
                <w:szCs w:val="16"/>
              </w:rPr>
              <w:t>P</w:t>
            </w:r>
            <w:bookmarkStart w:id="0" w:name="_GoBack"/>
            <w:bookmarkEnd w:id="0"/>
            <w:r w:rsidRPr="00CC13C4">
              <w:rPr>
                <w:color w:val="000000"/>
                <w:sz w:val="16"/>
                <w:szCs w:val="16"/>
              </w:rPr>
              <w:t xml:space="preserve">eople with disability but without NDIS plans to make decisions that promote their wellbeing. </w:t>
            </w:r>
            <w:r w:rsidRPr="00CC13C4">
              <w:rPr>
                <w:rFonts w:eastAsia="Times New Roman"/>
                <w:color w:val="000000"/>
                <w:sz w:val="16"/>
                <w:szCs w:val="16"/>
                <w:lang w:eastAsia="en-AU"/>
              </w:rPr>
              <w:t>Facilitated workshops will explore aspects of wellbeing, personal safety and harm prevention. Learnings from peer responses will be shared and recorded i</w:t>
            </w:r>
            <w:r w:rsidR="001F6C2D">
              <w:rPr>
                <w:rFonts w:eastAsia="Times New Roman"/>
                <w:color w:val="000000"/>
                <w:sz w:val="16"/>
                <w:szCs w:val="16"/>
                <w:lang w:eastAsia="en-AU"/>
              </w:rPr>
              <w:t xml:space="preserve">n a culturally appropriate way. </w:t>
            </w:r>
            <w:r w:rsidRPr="00CC13C4">
              <w:rPr>
                <w:rFonts w:eastAsia="Times New Roman"/>
                <w:color w:val="000000"/>
                <w:sz w:val="16"/>
                <w:szCs w:val="16"/>
                <w:lang w:eastAsia="en-AU"/>
              </w:rPr>
              <w:t xml:space="preserve">Over 150 people are expected to participate in the 20 week workshops, to be run in the Nepean Blue Mountains and Western Sydney - expanding into South West Sydney.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$499,420.00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Aboriginal and Torres Strait Islander</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lastRenderedPageBreak/>
              <w:t>Sydwest Multicultural Services</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Life Plan and Peer Leadership </w:t>
            </w:r>
          </w:p>
        </w:tc>
        <w:tc>
          <w:tcPr>
            <w:tcW w:w="6662" w:type="dxa"/>
          </w:tcPr>
          <w:p w:rsidR="00CC13C4" w:rsidRPr="001F6C2D"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Three fulltime workers will be recruited to lead individualised, intensive Life Plan development and leadership capacity building for more than 600 people with disability from Culturally and Linguistically Diverse backgrounds</w:t>
            </w:r>
            <w:r w:rsidR="001F6C2D">
              <w:rPr>
                <w:rFonts w:eastAsia="Times New Roman"/>
                <w:color w:val="000000"/>
                <w:sz w:val="16"/>
                <w:szCs w:val="16"/>
                <w:lang w:eastAsia="en-AU"/>
              </w:rPr>
              <w:t xml:space="preserve"> in Western Sydney and Nepean. </w:t>
            </w:r>
            <w:r w:rsidRPr="00CC13C4">
              <w:rPr>
                <w:rFonts w:eastAsia="Times New Roman"/>
                <w:color w:val="000000"/>
                <w:sz w:val="16"/>
                <w:szCs w:val="16"/>
                <w:lang w:eastAsia="en-AU"/>
              </w:rPr>
              <w:t>The target cohort are people living with disability who have limited informal supports available to them. Through the program, participants will develop skills, knowledge and confidence to access mainstream services and activities, and leadership capabilities to support their peers, advocate and act as a role-model in the community.</w:t>
            </w:r>
            <w:r w:rsidRPr="00CC13C4">
              <w:rPr>
                <w:color w:val="000000"/>
                <w:sz w:val="16"/>
                <w:szCs w:val="16"/>
              </w:rPr>
              <w:t xml:space="preserve"> Participants will be supported to lead independent, engaged and contributing lives in their local communities.</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$659,620.08</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rFonts w:eastAsia="Times New Roman"/>
                <w:color w:val="000000"/>
                <w:sz w:val="16"/>
                <w:szCs w:val="16"/>
                <w:lang w:eastAsia="en-AU"/>
              </w:rPr>
              <w:t>Culturally and Linguistically Diverse</w:t>
            </w:r>
            <w:r w:rsidRPr="00CC13C4">
              <w:rPr>
                <w:color w:val="000000"/>
                <w:sz w:val="16"/>
                <w:szCs w:val="16"/>
              </w:rPr>
              <w:t xml:space="preserve"> communities</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The Paraplegic and Quadriplegic Association of NSW</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Preparing for Ageing</w:t>
            </w:r>
          </w:p>
        </w:tc>
        <w:tc>
          <w:tcPr>
            <w:tcW w:w="6662" w:type="dxa"/>
          </w:tcPr>
          <w:p w:rsidR="00CC13C4" w:rsidRPr="00CC13C4" w:rsidRDefault="00CC13C4" w:rsidP="00CC13C4">
            <w:pPr>
              <w:spacing w:before="120" w:after="120" w:line="276" w:lineRule="auto"/>
              <w:rPr>
                <w:rFonts w:eastAsia="Times New Roman"/>
                <w:color w:val="000000"/>
                <w:sz w:val="16"/>
                <w:szCs w:val="16"/>
                <w:lang w:eastAsia="en-AU"/>
              </w:rPr>
            </w:pPr>
            <w:r w:rsidRPr="00CC13C4">
              <w:rPr>
                <w:rFonts w:eastAsia="Times New Roman"/>
                <w:color w:val="000000"/>
                <w:sz w:val="16"/>
                <w:szCs w:val="16"/>
                <w:lang w:eastAsia="en-AU"/>
              </w:rPr>
              <w:t>This projects delivers education, resources and supports for people with spinal cord injury aged between 45 and 65 years to support them to plan for ageing,</w:t>
            </w:r>
            <w:r w:rsidRPr="00CC13C4">
              <w:rPr>
                <w:color w:val="000000"/>
                <w:sz w:val="16"/>
                <w:szCs w:val="16"/>
              </w:rPr>
              <w:t xml:space="preserve"> including maintaining wellbeing and community participation.</w:t>
            </w:r>
            <w:r w:rsidR="001F6C2D">
              <w:rPr>
                <w:rFonts w:eastAsia="Times New Roman"/>
                <w:color w:val="000000"/>
                <w:sz w:val="16"/>
                <w:szCs w:val="16"/>
                <w:lang w:eastAsia="en-AU"/>
              </w:rPr>
              <w:t xml:space="preserve"> </w:t>
            </w:r>
            <w:r w:rsidRPr="00CC13C4">
              <w:rPr>
                <w:rFonts w:eastAsia="Times New Roman"/>
                <w:color w:val="000000"/>
                <w:sz w:val="16"/>
                <w:szCs w:val="16"/>
                <w:lang w:eastAsia="en-AU"/>
              </w:rPr>
              <w:t>Two support network groups will be established for up to 10 participants, facilitated by a Peer Support Officer (person with a disability) and an Allied Health Professional specialised in ageing and/or spinal cord injuries. The groups will provide knowledge, a sense of empowerment and practical tools to support wellbeing and successful ageing.</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$9,804.00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(one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Spinal Cord Injury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p>
        </w:tc>
      </w:tr>
      <w:tr w:rsidR="00CC13C4" w:rsidRPr="00CC13C4" w:rsidTr="001F6C2D">
        <w:trPr>
          <w:cantSplit/>
        </w:trPr>
        <w:tc>
          <w:tcPr>
            <w:tcW w:w="1843" w:type="dxa"/>
          </w:tcPr>
          <w:p w:rsidR="00CC13C4" w:rsidRPr="00CC13C4" w:rsidRDefault="00CC13C4" w:rsidP="00CC13C4">
            <w:pPr>
              <w:spacing w:before="120" w:after="120" w:line="276" w:lineRule="auto"/>
              <w:rPr>
                <w:color w:val="000000"/>
                <w:sz w:val="16"/>
                <w:szCs w:val="16"/>
              </w:rPr>
            </w:pPr>
            <w:r w:rsidRPr="00CC13C4">
              <w:rPr>
                <w:color w:val="000000"/>
                <w:sz w:val="16"/>
                <w:szCs w:val="16"/>
              </w:rPr>
              <w:t>Women’s Activities and Self-help House Inc.</w:t>
            </w:r>
          </w:p>
        </w:tc>
        <w:tc>
          <w:tcPr>
            <w:tcW w:w="1418" w:type="dxa"/>
          </w:tcPr>
          <w:p w:rsidR="00CC13C4" w:rsidRPr="00CC13C4" w:rsidRDefault="00CC13C4" w:rsidP="00CC13C4">
            <w:pPr>
              <w:spacing w:before="120" w:after="120" w:line="276" w:lineRule="auto"/>
              <w:rPr>
                <w:bCs/>
                <w:color w:val="000000"/>
                <w:sz w:val="16"/>
                <w:szCs w:val="16"/>
              </w:rPr>
            </w:pPr>
            <w:r w:rsidRPr="00CC13C4">
              <w:rPr>
                <w:bCs/>
                <w:color w:val="000000"/>
                <w:sz w:val="16"/>
                <w:szCs w:val="16"/>
              </w:rPr>
              <w:t xml:space="preserve">Parents on the outside - what I can do when my kids are taken into care </w:t>
            </w:r>
          </w:p>
        </w:tc>
        <w:tc>
          <w:tcPr>
            <w:tcW w:w="6662" w:type="dxa"/>
          </w:tcPr>
          <w:p w:rsidR="00CC13C4" w:rsidRPr="001F6C2D" w:rsidRDefault="00CC13C4" w:rsidP="00CC13C4">
            <w:pPr>
              <w:spacing w:before="120" w:after="120" w:line="276" w:lineRule="auto"/>
              <w:rPr>
                <w:b/>
                <w:bCs/>
                <w:color w:val="000000"/>
                <w:sz w:val="16"/>
                <w:szCs w:val="16"/>
              </w:rPr>
            </w:pPr>
            <w:r w:rsidRPr="00CC13C4">
              <w:rPr>
                <w:rFonts w:eastAsia="Times New Roman"/>
                <w:color w:val="000000"/>
                <w:sz w:val="16"/>
                <w:szCs w:val="16"/>
                <w:lang w:eastAsia="en-AU"/>
              </w:rPr>
              <w:t xml:space="preserve">Multi-media resources will be created to support parents with intellectual disability to understand, navigate and effectively engage in the child protection system. </w:t>
            </w:r>
            <w:r w:rsidRPr="00CC13C4">
              <w:rPr>
                <w:color w:val="000000"/>
                <w:sz w:val="16"/>
                <w:szCs w:val="16"/>
              </w:rPr>
              <w:t xml:space="preserve">Evidence based, peer reviewed resources will be developed that build knowledge and confidence. </w:t>
            </w:r>
            <w:r w:rsidRPr="00CC13C4">
              <w:rPr>
                <w:rFonts w:eastAsia="Times New Roman"/>
                <w:color w:val="000000"/>
                <w:sz w:val="16"/>
                <w:szCs w:val="16"/>
                <w:lang w:eastAsia="en-AU"/>
              </w:rPr>
              <w:t>Parents with an intellectual disability will influence and contribute to all aspects of the program development through a co-design model.</w:t>
            </w:r>
            <w:r w:rsidR="001F6C2D">
              <w:rPr>
                <w:b/>
                <w:bCs/>
                <w:color w:val="000000"/>
                <w:sz w:val="16"/>
                <w:szCs w:val="16"/>
              </w:rPr>
              <w:t xml:space="preserve"> </w:t>
            </w:r>
            <w:r w:rsidRPr="00CC13C4">
              <w:rPr>
                <w:rFonts w:eastAsia="Times New Roman"/>
                <w:color w:val="000000"/>
                <w:sz w:val="16"/>
                <w:szCs w:val="16"/>
                <w:lang w:eastAsia="en-AU"/>
              </w:rPr>
              <w:t xml:space="preserve">A participatory action research approach will be used to develop and trial evidence-informed educational resources for parents. Complementing this will be the development of a peer support program to link parents who have experience negotiating the child protection system with parents on their current journey, empowering and developing their self-advocacy skills. </w:t>
            </w:r>
          </w:p>
        </w:tc>
        <w:tc>
          <w:tcPr>
            <w:tcW w:w="1559" w:type="dxa"/>
          </w:tcPr>
          <w:p w:rsidR="00CC13C4" w:rsidRPr="00CC13C4" w:rsidRDefault="00CC13C4" w:rsidP="00CC13C4">
            <w:pPr>
              <w:spacing w:before="120" w:after="120" w:line="276" w:lineRule="auto"/>
              <w:ind w:right="170"/>
              <w:jc w:val="right"/>
              <w:rPr>
                <w:color w:val="000000"/>
                <w:sz w:val="16"/>
                <w:szCs w:val="16"/>
              </w:rPr>
            </w:pPr>
            <w:r w:rsidRPr="00CC13C4">
              <w:rPr>
                <w:color w:val="000000"/>
                <w:sz w:val="16"/>
                <w:szCs w:val="16"/>
              </w:rPr>
              <w:t>$340,000.00</w:t>
            </w:r>
          </w:p>
          <w:p w:rsidR="00CC13C4" w:rsidRPr="00CC13C4" w:rsidRDefault="00CC13C4" w:rsidP="00CC13C4">
            <w:pPr>
              <w:spacing w:before="120" w:after="120" w:line="276" w:lineRule="auto"/>
              <w:ind w:right="170"/>
              <w:jc w:val="right"/>
              <w:rPr>
                <w:sz w:val="16"/>
                <w:szCs w:val="16"/>
              </w:rPr>
            </w:pPr>
            <w:r w:rsidRPr="00CC13C4">
              <w:rPr>
                <w:color w:val="000000"/>
                <w:sz w:val="16"/>
                <w:szCs w:val="16"/>
              </w:rPr>
              <w:t>(two year)</w:t>
            </w:r>
          </w:p>
        </w:tc>
        <w:tc>
          <w:tcPr>
            <w:tcW w:w="1418" w:type="dxa"/>
          </w:tcPr>
          <w:p w:rsidR="00CC13C4" w:rsidRPr="00CC13C4" w:rsidRDefault="00CC13C4" w:rsidP="00CC13C4">
            <w:pPr>
              <w:spacing w:before="120" w:after="120" w:line="276" w:lineRule="auto"/>
              <w:rPr>
                <w:sz w:val="16"/>
                <w:szCs w:val="16"/>
              </w:rPr>
            </w:pPr>
            <w:r w:rsidRPr="00CC13C4">
              <w:rPr>
                <w:sz w:val="16"/>
                <w:szCs w:val="16"/>
              </w:rPr>
              <w:t>Individual Capacity Building</w:t>
            </w:r>
          </w:p>
        </w:tc>
        <w:tc>
          <w:tcPr>
            <w:tcW w:w="1842" w:type="dxa"/>
          </w:tcPr>
          <w:p w:rsidR="00CC13C4" w:rsidRPr="00CC13C4" w:rsidRDefault="00CC13C4" w:rsidP="00CC13C4">
            <w:pPr>
              <w:spacing w:before="120" w:after="120" w:line="276" w:lineRule="auto"/>
              <w:rPr>
                <w:color w:val="000000"/>
                <w:sz w:val="16"/>
                <w:szCs w:val="16"/>
              </w:rPr>
            </w:pPr>
            <w:r w:rsidRPr="00CC13C4">
              <w:rPr>
                <w:color w:val="000000"/>
                <w:sz w:val="16"/>
                <w:szCs w:val="16"/>
              </w:rPr>
              <w:t>Intellectual disability</w:t>
            </w:r>
          </w:p>
        </w:tc>
        <w:tc>
          <w:tcPr>
            <w:tcW w:w="1560" w:type="dxa"/>
            <w:tcBorders>
              <w:right w:val="single" w:sz="4" w:space="0" w:color="auto"/>
            </w:tcBorders>
            <w:shd w:val="clear" w:color="000000" w:fill="FFFFFF"/>
          </w:tcPr>
          <w:p w:rsidR="00CC13C4" w:rsidRPr="00CC13C4" w:rsidRDefault="00CC13C4" w:rsidP="00CC13C4">
            <w:pPr>
              <w:spacing w:before="120" w:after="120" w:line="276" w:lineRule="auto"/>
              <w:rPr>
                <w:sz w:val="16"/>
                <w:szCs w:val="16"/>
              </w:rPr>
            </w:pPr>
            <w:r w:rsidRPr="00CC13C4">
              <w:rPr>
                <w:sz w:val="16"/>
                <w:szCs w:val="16"/>
              </w:rPr>
              <w:t xml:space="preserve">Intellectual Disability Rights Service, University of Sydney, Western Sydney NSW. </w:t>
            </w:r>
          </w:p>
        </w:tc>
      </w:tr>
    </w:tbl>
    <w:p w:rsidR="00CC13C4" w:rsidRDefault="00CC13C4" w:rsidP="00CC13C4"/>
    <w:sectPr w:rsidR="00CC13C4" w:rsidSect="00CC13C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711" w:rsidRDefault="00962711" w:rsidP="00CC13C4">
      <w:pPr>
        <w:spacing w:after="0" w:line="240" w:lineRule="auto"/>
      </w:pPr>
      <w:r>
        <w:separator/>
      </w:r>
    </w:p>
  </w:endnote>
  <w:endnote w:type="continuationSeparator" w:id="0">
    <w:p w:rsidR="00962711" w:rsidRDefault="00962711" w:rsidP="00CC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711" w:rsidRDefault="00962711" w:rsidP="00CC13C4">
      <w:pPr>
        <w:spacing w:after="0" w:line="240" w:lineRule="auto"/>
      </w:pPr>
      <w:r>
        <w:separator/>
      </w:r>
    </w:p>
  </w:footnote>
  <w:footnote w:type="continuationSeparator" w:id="0">
    <w:p w:rsidR="00962711" w:rsidRDefault="00962711" w:rsidP="00CC1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006C"/>
    <w:multiLevelType w:val="hybridMultilevel"/>
    <w:tmpl w:val="4A74D200"/>
    <w:lvl w:ilvl="0" w:tplc="A3AC9824">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024D03"/>
    <w:multiLevelType w:val="hybridMultilevel"/>
    <w:tmpl w:val="4E9C44CE"/>
    <w:lvl w:ilvl="0" w:tplc="A3AC98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1DE70F1"/>
    <w:multiLevelType w:val="hybridMultilevel"/>
    <w:tmpl w:val="4492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ED0F30"/>
    <w:multiLevelType w:val="hybridMultilevel"/>
    <w:tmpl w:val="5F0CEB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F80EA0"/>
    <w:multiLevelType w:val="hybridMultilevel"/>
    <w:tmpl w:val="612A1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CBA4871"/>
    <w:multiLevelType w:val="hybridMultilevel"/>
    <w:tmpl w:val="A1301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4740A7"/>
    <w:multiLevelType w:val="hybridMultilevel"/>
    <w:tmpl w:val="2070C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C4"/>
    <w:rsid w:val="001F6C2D"/>
    <w:rsid w:val="00242627"/>
    <w:rsid w:val="002606EC"/>
    <w:rsid w:val="00430CF4"/>
    <w:rsid w:val="00490C7F"/>
    <w:rsid w:val="00620CDC"/>
    <w:rsid w:val="00700E40"/>
    <w:rsid w:val="0082116F"/>
    <w:rsid w:val="008B37D7"/>
    <w:rsid w:val="0092743F"/>
    <w:rsid w:val="009338A9"/>
    <w:rsid w:val="00962711"/>
    <w:rsid w:val="00B35FF5"/>
    <w:rsid w:val="00B64683"/>
    <w:rsid w:val="00B8107B"/>
    <w:rsid w:val="00C15C33"/>
    <w:rsid w:val="00CC13C4"/>
    <w:rsid w:val="00CF7344"/>
    <w:rsid w:val="00E2673C"/>
    <w:rsid w:val="00E46A39"/>
    <w:rsid w:val="00F11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E4A01-F82E-4BD9-9057-1212EB99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3C4"/>
    <w:pPr>
      <w:spacing w:after="240" w:line="288" w:lineRule="auto"/>
    </w:pPr>
    <w:rPr>
      <w:rFonts w:ascii="Arial" w:hAnsi="Arial" w:cs="Arial"/>
    </w:rPr>
  </w:style>
  <w:style w:type="paragraph" w:styleId="Heading1">
    <w:name w:val="heading 1"/>
    <w:basedOn w:val="Normal"/>
    <w:next w:val="Normal"/>
    <w:link w:val="Heading1Char"/>
    <w:autoRedefine/>
    <w:uiPriority w:val="9"/>
    <w:qFormat/>
    <w:rsid w:val="00CC13C4"/>
    <w:pPr>
      <w:keepNext/>
      <w:keepLines/>
      <w:spacing w:before="240" w:after="0"/>
      <w:outlineLvl w:val="0"/>
    </w:pPr>
    <w:rPr>
      <w:rFonts w:eastAsiaTheme="majorEastAsia" w:cstheme="majorBidi"/>
      <w:b/>
      <w:color w:val="6B2976"/>
      <w:sz w:val="44"/>
      <w:szCs w:val="32"/>
    </w:rPr>
  </w:style>
  <w:style w:type="paragraph" w:styleId="Heading2">
    <w:name w:val="heading 2"/>
    <w:basedOn w:val="Normal"/>
    <w:next w:val="Normal"/>
    <w:link w:val="Heading2Char"/>
    <w:autoRedefine/>
    <w:uiPriority w:val="9"/>
    <w:unhideWhenUsed/>
    <w:qFormat/>
    <w:rsid w:val="00CC13C4"/>
    <w:pPr>
      <w:keepNext/>
      <w:keepLines/>
      <w:spacing w:before="4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C4"/>
    <w:rPr>
      <w:rFonts w:ascii="Arial" w:eastAsiaTheme="majorEastAsia" w:hAnsi="Arial" w:cstheme="majorBidi"/>
      <w:b/>
      <w:color w:val="6B2976"/>
      <w:sz w:val="44"/>
      <w:szCs w:val="32"/>
    </w:rPr>
  </w:style>
  <w:style w:type="character" w:customStyle="1" w:styleId="Heading2Char">
    <w:name w:val="Heading 2 Char"/>
    <w:basedOn w:val="DefaultParagraphFont"/>
    <w:link w:val="Heading2"/>
    <w:uiPriority w:val="9"/>
    <w:rsid w:val="00CC13C4"/>
    <w:rPr>
      <w:rFonts w:ascii="Arial" w:eastAsiaTheme="majorEastAsia" w:hAnsi="Arial" w:cstheme="majorBidi"/>
      <w:b/>
      <w:color w:val="000000" w:themeColor="text1"/>
      <w:sz w:val="28"/>
      <w:szCs w:val="26"/>
    </w:rPr>
  </w:style>
  <w:style w:type="paragraph" w:styleId="Header">
    <w:name w:val="header"/>
    <w:basedOn w:val="Normal"/>
    <w:link w:val="HeaderChar"/>
    <w:uiPriority w:val="99"/>
    <w:unhideWhenUsed/>
    <w:rsid w:val="00CC1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3C4"/>
    <w:rPr>
      <w:rFonts w:ascii="Arial" w:hAnsi="Arial" w:cs="Arial"/>
    </w:rPr>
  </w:style>
  <w:style w:type="paragraph" w:styleId="Footer">
    <w:name w:val="footer"/>
    <w:basedOn w:val="Normal"/>
    <w:link w:val="FooterChar"/>
    <w:uiPriority w:val="99"/>
    <w:unhideWhenUsed/>
    <w:rsid w:val="00CC1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3C4"/>
    <w:rPr>
      <w:rFonts w:ascii="Arial" w:hAnsi="Arial" w:cs="Arial"/>
    </w:rPr>
  </w:style>
  <w:style w:type="table" w:styleId="TableGrid">
    <w:name w:val="Table Grid"/>
    <w:basedOn w:val="TableNormal"/>
    <w:uiPriority w:val="39"/>
    <w:rsid w:val="00CC13C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Bullet point,Dot Point,L,List Paragraph*,List Paragraph1,List Paragraph11,Recommendation,First level bullet point,List Paragraph Number,Bullet Points,NFP GP Bulleted List"/>
    <w:basedOn w:val="Normal"/>
    <w:link w:val="ListParagraphChar"/>
    <w:uiPriority w:val="34"/>
    <w:qFormat/>
    <w:rsid w:val="00CC13C4"/>
    <w:pPr>
      <w:ind w:left="720"/>
      <w:contextualSpacing/>
    </w:pPr>
  </w:style>
  <w:style w:type="character" w:customStyle="1" w:styleId="ListParagraphChar">
    <w:name w:val="List Paragraph Char"/>
    <w:aliases w:val="#List Paragraph Char,Bullet point Char,Dot Point Char,L Char,List Paragraph* Char,List Paragraph1 Char,List Paragraph11 Char,Recommendation Char,First level bullet point Char,List Paragraph Number Char,Bullet Points Char"/>
    <w:basedOn w:val="DefaultParagraphFont"/>
    <w:link w:val="ListParagraph"/>
    <w:uiPriority w:val="34"/>
    <w:locked/>
    <w:rsid w:val="00CC13C4"/>
    <w:rPr>
      <w:rFonts w:ascii="Arial" w:hAnsi="Arial" w:cs="Arial"/>
    </w:rPr>
  </w:style>
  <w:style w:type="character" w:customStyle="1" w:styleId="CommentTextChar">
    <w:name w:val="Comment Text Char"/>
    <w:basedOn w:val="DefaultParagraphFont"/>
    <w:link w:val="CommentText"/>
    <w:uiPriority w:val="99"/>
    <w:semiHidden/>
    <w:rsid w:val="00CC13C4"/>
    <w:rPr>
      <w:rFonts w:ascii="Arial" w:hAnsi="Arial" w:cs="Arial"/>
      <w:sz w:val="20"/>
      <w:szCs w:val="20"/>
    </w:rPr>
  </w:style>
  <w:style w:type="paragraph" w:styleId="CommentText">
    <w:name w:val="annotation text"/>
    <w:basedOn w:val="Normal"/>
    <w:link w:val="CommentTextChar"/>
    <w:uiPriority w:val="99"/>
    <w:semiHidden/>
    <w:unhideWhenUsed/>
    <w:rsid w:val="00CC13C4"/>
    <w:pPr>
      <w:spacing w:line="240" w:lineRule="auto"/>
    </w:pPr>
    <w:rPr>
      <w:sz w:val="20"/>
      <w:szCs w:val="20"/>
    </w:rPr>
  </w:style>
  <w:style w:type="character" w:customStyle="1" w:styleId="CommentSubjectChar">
    <w:name w:val="Comment Subject Char"/>
    <w:basedOn w:val="CommentTextChar"/>
    <w:link w:val="CommentSubject"/>
    <w:uiPriority w:val="99"/>
    <w:semiHidden/>
    <w:rsid w:val="00CC13C4"/>
    <w:rPr>
      <w:rFonts w:ascii="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CC13C4"/>
    <w:rPr>
      <w:b/>
      <w:bCs/>
    </w:rPr>
  </w:style>
  <w:style w:type="character" w:customStyle="1" w:styleId="BalloonTextChar">
    <w:name w:val="Balloon Text Char"/>
    <w:basedOn w:val="DefaultParagraphFont"/>
    <w:link w:val="BalloonText"/>
    <w:uiPriority w:val="99"/>
    <w:semiHidden/>
    <w:rsid w:val="00CC13C4"/>
    <w:rPr>
      <w:rFonts w:ascii="Segoe UI" w:hAnsi="Segoe UI" w:cs="Segoe UI"/>
      <w:sz w:val="18"/>
      <w:szCs w:val="18"/>
    </w:rPr>
  </w:style>
  <w:style w:type="paragraph" w:styleId="BalloonText">
    <w:name w:val="Balloon Text"/>
    <w:basedOn w:val="Normal"/>
    <w:link w:val="BalloonTextChar"/>
    <w:uiPriority w:val="99"/>
    <w:semiHidden/>
    <w:unhideWhenUsed/>
    <w:rsid w:val="00CC13C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15</Pages>
  <Words>6725</Words>
  <Characters>38336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Karanikolas, Amber</dc:creator>
  <cp:keywords/>
  <dc:description/>
  <cp:lastModifiedBy>TAYLOR, Kim</cp:lastModifiedBy>
  <cp:revision>7</cp:revision>
  <cp:lastPrinted>2018-05-03T00:16:00Z</cp:lastPrinted>
  <dcterms:created xsi:type="dcterms:W3CDTF">2018-05-02T02:07:00Z</dcterms:created>
  <dcterms:modified xsi:type="dcterms:W3CDTF">2018-05-28T22:30:00Z</dcterms:modified>
</cp:coreProperties>
</file>