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593" w:type="dxa"/>
        <w:tblInd w:w="-856" w:type="dxa"/>
        <w:tblLayout w:type="fixed"/>
        <w:tblLook w:val="04A0" w:firstRow="1" w:lastRow="0" w:firstColumn="1" w:lastColumn="0" w:noHBand="0" w:noVBand="1"/>
      </w:tblPr>
      <w:tblGrid>
        <w:gridCol w:w="1560"/>
        <w:gridCol w:w="1985"/>
        <w:gridCol w:w="5528"/>
        <w:gridCol w:w="1417"/>
        <w:gridCol w:w="1843"/>
        <w:gridCol w:w="1985"/>
        <w:gridCol w:w="1275"/>
      </w:tblGrid>
      <w:tr w:rsidR="00D70886" w:rsidRPr="00D70886" w:rsidTr="0066447A">
        <w:trPr>
          <w:cantSplit/>
          <w:tblHeader/>
        </w:trPr>
        <w:tc>
          <w:tcPr>
            <w:tcW w:w="1560" w:type="dxa"/>
            <w:shd w:val="clear" w:color="auto" w:fill="6B2976"/>
            <w:vAlign w:val="center"/>
            <w:hideMark/>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ORGANISATION</w:t>
            </w:r>
          </w:p>
        </w:tc>
        <w:tc>
          <w:tcPr>
            <w:tcW w:w="1985" w:type="dxa"/>
            <w:shd w:val="clear" w:color="auto" w:fill="6B2976"/>
            <w:vAlign w:val="center"/>
            <w:hideMark/>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PROJECT TITLE</w:t>
            </w:r>
          </w:p>
        </w:tc>
        <w:tc>
          <w:tcPr>
            <w:tcW w:w="5528" w:type="dxa"/>
            <w:shd w:val="clear" w:color="auto" w:fill="6B2976"/>
            <w:vAlign w:val="center"/>
            <w:hideMark/>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PROJECT DESCRIPTION</w:t>
            </w:r>
          </w:p>
        </w:tc>
        <w:tc>
          <w:tcPr>
            <w:tcW w:w="1417" w:type="dxa"/>
            <w:shd w:val="clear" w:color="auto" w:fill="6B2976"/>
            <w:vAlign w:val="center"/>
          </w:tcPr>
          <w:p w:rsidR="00D70886" w:rsidRPr="00D70886" w:rsidRDefault="00D70886" w:rsidP="00D70886">
            <w:pPr>
              <w:spacing w:before="60"/>
              <w:jc w:val="center"/>
              <w:rPr>
                <w:b/>
                <w:bCs/>
                <w:color w:val="FFFFFF" w:themeColor="background1"/>
                <w:sz w:val="16"/>
                <w:szCs w:val="16"/>
              </w:rPr>
            </w:pPr>
            <w:r w:rsidRPr="00D70886">
              <w:rPr>
                <w:b/>
                <w:bCs/>
                <w:color w:val="FFFFFF" w:themeColor="background1"/>
                <w:sz w:val="16"/>
                <w:szCs w:val="16"/>
              </w:rPr>
              <w:t>TOTAL FUNDING AMOUNT</w:t>
            </w:r>
            <w:r w:rsidRPr="00D70886">
              <w:rPr>
                <w:b/>
                <w:bCs/>
                <w:color w:val="FFFFFF" w:themeColor="background1"/>
                <w:sz w:val="16"/>
                <w:szCs w:val="16"/>
              </w:rPr>
              <w:br/>
              <w:t>(GST excl.) and DURATION</w:t>
            </w:r>
          </w:p>
          <w:p w:rsidR="00D70886" w:rsidRPr="00D70886" w:rsidRDefault="00D70886" w:rsidP="00D70886">
            <w:pPr>
              <w:spacing w:after="60"/>
              <w:jc w:val="center"/>
              <w:rPr>
                <w:b/>
                <w:bCs/>
                <w:color w:val="FFFFFF" w:themeColor="background1"/>
                <w:sz w:val="16"/>
                <w:szCs w:val="16"/>
              </w:rPr>
            </w:pPr>
            <w:r w:rsidRPr="00D70886">
              <w:rPr>
                <w:b/>
                <w:bCs/>
                <w:color w:val="FFFFFF" w:themeColor="background1"/>
                <w:sz w:val="16"/>
                <w:szCs w:val="16"/>
              </w:rPr>
              <w:t>(1 or 2 years)</w:t>
            </w:r>
          </w:p>
        </w:tc>
        <w:tc>
          <w:tcPr>
            <w:tcW w:w="1843" w:type="dxa"/>
            <w:shd w:val="clear" w:color="auto" w:fill="6B2976"/>
            <w:vAlign w:val="center"/>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ILC ACTIVITY AREA</w:t>
            </w:r>
          </w:p>
        </w:tc>
        <w:tc>
          <w:tcPr>
            <w:tcW w:w="1985" w:type="dxa"/>
            <w:shd w:val="clear" w:color="auto" w:fill="6B2976"/>
            <w:vAlign w:val="center"/>
            <w:hideMark/>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FOCUS AREA: DISABILITY TYPE or DEMOGRAPHIC GROUP</w:t>
            </w:r>
          </w:p>
        </w:tc>
        <w:tc>
          <w:tcPr>
            <w:tcW w:w="1275" w:type="dxa"/>
            <w:tcBorders>
              <w:right w:val="single" w:sz="4" w:space="0" w:color="auto"/>
            </w:tcBorders>
            <w:shd w:val="clear" w:color="auto" w:fill="6B2976"/>
            <w:vAlign w:val="center"/>
          </w:tcPr>
          <w:p w:rsidR="00D70886" w:rsidRPr="00D70886" w:rsidRDefault="00D70886" w:rsidP="00D70886">
            <w:pPr>
              <w:spacing w:before="60" w:afterLines="60" w:after="144"/>
              <w:jc w:val="center"/>
              <w:rPr>
                <w:b/>
                <w:bCs/>
                <w:color w:val="FFFFFF" w:themeColor="background1"/>
                <w:sz w:val="16"/>
                <w:szCs w:val="16"/>
              </w:rPr>
            </w:pPr>
            <w:r w:rsidRPr="00D70886">
              <w:rPr>
                <w:b/>
                <w:bCs/>
                <w:color w:val="FFFFFF" w:themeColor="background1"/>
                <w:sz w:val="16"/>
                <w:szCs w:val="16"/>
              </w:rPr>
              <w:t>PROJECT PARTNERS</w:t>
            </w: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ACT Deafness Resource Centre</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Hearing Loss Management Program</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The Hearing Loss Management Program provides a multifaceted service for people with </w:t>
            </w:r>
            <w:r w:rsidR="00C65B41">
              <w:rPr>
                <w:rFonts w:eastAsia="Times New Roman"/>
                <w:color w:val="000000"/>
                <w:sz w:val="16"/>
                <w:szCs w:val="16"/>
                <w:lang w:eastAsia="en-AU"/>
              </w:rPr>
              <w:t xml:space="preserve">hearing impairment in the ACT. </w:t>
            </w:r>
            <w:r w:rsidRPr="00D70886">
              <w:rPr>
                <w:rFonts w:eastAsia="Times New Roman"/>
                <w:color w:val="000000"/>
                <w:sz w:val="16"/>
                <w:szCs w:val="16"/>
                <w:lang w:eastAsia="en-AU"/>
              </w:rPr>
              <w:t>Funding will enable one</w:t>
            </w:r>
            <w:r w:rsidR="007202AC">
              <w:rPr>
                <w:rFonts w:eastAsia="Times New Roman"/>
                <w:color w:val="000000"/>
                <w:sz w:val="16"/>
                <w:szCs w:val="16"/>
                <w:lang w:eastAsia="en-AU"/>
              </w:rPr>
              <w:t>-</w:t>
            </w:r>
            <w:r w:rsidRPr="00D70886">
              <w:rPr>
                <w:rFonts w:eastAsia="Times New Roman"/>
                <w:color w:val="000000"/>
                <w:sz w:val="16"/>
                <w:szCs w:val="16"/>
                <w:lang w:eastAsia="en-AU"/>
              </w:rPr>
              <w:t>to</w:t>
            </w:r>
            <w:r w:rsidR="007202AC">
              <w:rPr>
                <w:rFonts w:eastAsia="Times New Roman"/>
                <w:color w:val="000000"/>
                <w:sz w:val="16"/>
                <w:szCs w:val="16"/>
                <w:lang w:eastAsia="en-AU"/>
              </w:rPr>
              <w:t>-</w:t>
            </w:r>
            <w:r w:rsidRPr="00D70886">
              <w:rPr>
                <w:rFonts w:eastAsia="Times New Roman"/>
                <w:color w:val="000000"/>
                <w:sz w:val="16"/>
                <w:szCs w:val="16"/>
                <w:lang w:eastAsia="en-AU"/>
              </w:rPr>
              <w:t>one consultations at the ACT Deafness Resource Centre, and will also provide for home visits as required. These consultations will offer support, information, linkages and referrals. This Program will also deliver an annual Hearing Awareness Expo; and run a series of workshops aimed at equipping family members and friends of those with a hearing impairment to provide support.</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$190,570.00 </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Information, linkages and referrals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Hearing Impairment</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Down Syndrome Australia</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Information for Life Program - ACT</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Down Syndrome Australia (DSA) will deliver the Information for Life Program to develop connections with mainstream services and assist people with Down syndrome in the ACT to live an ordinary life. A comprehensive package of information, linkages and support will be delivered via face to face meetings, phone and email correspondence, as well as website information and resources. Funding will support the distribution of information packages covering many life stages. Both formal and informal peer support networks will be developed, and the DSA Capacity Building Toolkit will be promoted to mainstream services.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$269,678.00 </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(two year)</w:t>
            </w:r>
          </w:p>
        </w:tc>
        <w:tc>
          <w:tcPr>
            <w:tcW w:w="1843" w:type="dxa"/>
          </w:tcPr>
          <w:p w:rsidR="00D70886" w:rsidRPr="00D70886" w:rsidRDefault="00D70886" w:rsidP="00D70886">
            <w:pPr>
              <w:spacing w:before="120" w:after="120" w:line="276" w:lineRule="auto"/>
              <w:rPr>
                <w:iCs/>
                <w:sz w:val="16"/>
                <w:szCs w:val="16"/>
              </w:rPr>
            </w:pPr>
            <w:r w:rsidRPr="00D70886">
              <w:rPr>
                <w:rFonts w:eastAsia="Times New Roman"/>
                <w:color w:val="000000"/>
                <w:sz w:val="16"/>
                <w:szCs w:val="16"/>
                <w:lang w:eastAsia="en-AU"/>
              </w:rPr>
              <w:t>Information, linkages and referrals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Down Syndrome</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Consortium: Down Syndrome Assoc of VIC, NSW, QLD, NT,ACT,TAS,SA</w:t>
            </w: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Marymead (Trustees of the Roman Catholic Church for the Archdiocese of Canberra &amp; Goulburn)</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Autism Centre ACT</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Funding will support Marymead’s Autism Centre to continue providing strengths-based, person-centred services developed by experts for individuals, families and carers living with Autism Spectrum Disorder (ASD) in the ACT. The services include new diagnosis information, linkage and referral to other supports, information and education and autism-specific support for NDIS planning. Marymead will also develop and deliver workshops, support groups, a monthly newsletter and an ASD library with a wide range of all-age resources.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$280,000.00 </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(one year)</w:t>
            </w:r>
          </w:p>
        </w:tc>
        <w:tc>
          <w:tcPr>
            <w:tcW w:w="1843" w:type="dxa"/>
          </w:tcPr>
          <w:p w:rsidR="00D70886" w:rsidRPr="00D70886" w:rsidRDefault="00D70886" w:rsidP="00D70886">
            <w:pPr>
              <w:spacing w:before="120" w:after="120" w:line="276" w:lineRule="auto"/>
              <w:rPr>
                <w:iCs/>
                <w:sz w:val="16"/>
                <w:szCs w:val="16"/>
              </w:rPr>
            </w:pPr>
            <w:r w:rsidRPr="00D70886">
              <w:rPr>
                <w:rFonts w:eastAsia="Times New Roman"/>
                <w:color w:val="000000"/>
                <w:sz w:val="16"/>
                <w:szCs w:val="16"/>
                <w:lang w:eastAsia="en-AU"/>
              </w:rPr>
              <w:t>Information, linkages and referrals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Autism Spectrum Disorder</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lastRenderedPageBreak/>
              <w:t xml:space="preserve">SHOUT </w:t>
            </w:r>
            <w:r w:rsidR="001036E7" w:rsidRPr="00D70886">
              <w:rPr>
                <w:rFonts w:eastAsia="Times New Roman"/>
                <w:color w:val="000000"/>
                <w:sz w:val="16"/>
                <w:szCs w:val="16"/>
                <w:lang w:eastAsia="en-AU"/>
              </w:rPr>
              <w:t>Inc.</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Growing the Web of Support</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SHOUT </w:t>
            </w:r>
            <w:r w:rsidR="001036E7" w:rsidRPr="00D70886">
              <w:rPr>
                <w:rFonts w:eastAsia="Times New Roman"/>
                <w:color w:val="000000"/>
                <w:sz w:val="16"/>
                <w:szCs w:val="16"/>
                <w:lang w:eastAsia="en-AU"/>
              </w:rPr>
              <w:t>Inc.</w:t>
            </w:r>
            <w:r w:rsidRPr="00D70886">
              <w:rPr>
                <w:rFonts w:eastAsia="Times New Roman"/>
                <w:color w:val="000000"/>
                <w:sz w:val="16"/>
                <w:szCs w:val="16"/>
                <w:lang w:eastAsia="en-AU"/>
              </w:rPr>
              <w:t xml:space="preserve"> has developed a web portal to assist new and struggling support networks to improve their governance structures, and in turn improve the support they provide to their communities. The portal also offers a connection point to people seeking support networks and self-help groups to improve their quality of life.</w:t>
            </w:r>
            <w:r w:rsidR="00117201">
              <w:rPr>
                <w:rFonts w:eastAsia="Times New Roman"/>
                <w:color w:val="000000"/>
                <w:sz w:val="16"/>
                <w:szCs w:val="16"/>
                <w:lang w:eastAsia="en-AU"/>
              </w:rPr>
              <w:t xml:space="preserve"> </w:t>
            </w:r>
            <w:r w:rsidRPr="00D70886">
              <w:rPr>
                <w:rFonts w:eastAsia="Times New Roman"/>
                <w:color w:val="000000"/>
                <w:sz w:val="16"/>
                <w:szCs w:val="16"/>
                <w:lang w:eastAsia="en-AU"/>
              </w:rPr>
              <w:t>This project will extend the reach of the web portal by employing a Development Officer to provide human interaction to connect individuals or groups with limited web access or skills in navigating the internet. Additionally, training of community mentors, one-to-one support and group workshops will be offered to further extend the use and impact of the portal.</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$100,000.00</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Information, linkages and referrals</w:t>
            </w:r>
          </w:p>
        </w:tc>
        <w:tc>
          <w:tcPr>
            <w:tcW w:w="1985" w:type="dxa"/>
          </w:tcPr>
          <w:p w:rsidR="00D70886" w:rsidRPr="00D70886" w:rsidRDefault="00D70886" w:rsidP="00D70886">
            <w:pPr>
              <w:spacing w:before="120" w:after="120" w:line="276" w:lineRule="auto"/>
              <w:rPr>
                <w:sz w:val="16"/>
                <w:szCs w:val="16"/>
              </w:rPr>
            </w:pPr>
            <w:r w:rsidRPr="00D70886">
              <w:rPr>
                <w:iCs/>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ACT Disability Aged and Carer Advocacy Service</w:t>
            </w:r>
          </w:p>
        </w:tc>
        <w:tc>
          <w:tcPr>
            <w:tcW w:w="1985"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Respect, Know, Act (RKA): Supported Decision Making in the Health Sector</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The ‘Respect, Know, Act’ (RKA) project is focused on Supported Decision Making (SDM) with the Health Sector in the ACT. The project collaborates with people with impaired decision making ability to build capacity for greater inclusion within the </w:t>
            </w:r>
            <w:r w:rsidR="007202AC">
              <w:rPr>
                <w:rFonts w:eastAsia="Times New Roman"/>
                <w:color w:val="000000"/>
                <w:sz w:val="16"/>
                <w:szCs w:val="16"/>
                <w:lang w:eastAsia="en-AU"/>
              </w:rPr>
              <w:t>h</w:t>
            </w:r>
            <w:r w:rsidRPr="00D70886">
              <w:rPr>
                <w:rFonts w:eastAsia="Times New Roman"/>
                <w:color w:val="000000"/>
                <w:sz w:val="16"/>
                <w:szCs w:val="16"/>
                <w:lang w:eastAsia="en-AU"/>
              </w:rPr>
              <w:t xml:space="preserve">ealth </w:t>
            </w:r>
            <w:r w:rsidR="007202AC">
              <w:rPr>
                <w:rFonts w:eastAsia="Times New Roman"/>
                <w:color w:val="000000"/>
                <w:sz w:val="16"/>
                <w:szCs w:val="16"/>
                <w:lang w:eastAsia="en-AU"/>
              </w:rPr>
              <w:t>c</w:t>
            </w:r>
            <w:r w:rsidRPr="00D70886">
              <w:rPr>
                <w:rFonts w:eastAsia="Times New Roman"/>
                <w:color w:val="000000"/>
                <w:sz w:val="16"/>
                <w:szCs w:val="16"/>
                <w:lang w:eastAsia="en-AU"/>
              </w:rPr>
              <w:t xml:space="preserve">are </w:t>
            </w:r>
            <w:r w:rsidR="007202AC">
              <w:rPr>
                <w:rFonts w:eastAsia="Times New Roman"/>
                <w:color w:val="000000"/>
                <w:sz w:val="16"/>
                <w:szCs w:val="16"/>
                <w:lang w:eastAsia="en-AU"/>
              </w:rPr>
              <w:t>s</w:t>
            </w:r>
            <w:r w:rsidRPr="00D70886">
              <w:rPr>
                <w:rFonts w:eastAsia="Times New Roman"/>
                <w:color w:val="000000"/>
                <w:sz w:val="16"/>
                <w:szCs w:val="16"/>
                <w:lang w:eastAsia="en-AU"/>
              </w:rPr>
              <w:t xml:space="preserve">ystem. Embedding and sustaining supported decision making (SDM) in health settings will give greater choice and control to people with disability. The project will engage with both consumers and clinicians to change expectations towards inclusive decision making, and SDM resources will be refined and contribute to policy development. </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$150,000.00 </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Capacity building for mainstream services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Intellectual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ACT Playgroups Association Inc.</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Playing Together - a family and inclusion support model for mainstream playgroups</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The Playing Together (PT) program will be delivered to 30-50 mainstream playgroups in the ACT region, reaching over 300 families. The program educates mainstream playgroups to become more welcoming and inclusive; better supporting adults and children with additional needs to connect with their community and access important parent peer-support networks. The project will employ and train parents with disabilities or a lived experience of disability to work as play helpers. This will improve standards of practice within playgrounds, and also provides income, training and valuable work experience that can contribute towards future career pathways in children's or disability services. </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$70,510.00 </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(one year)</w:t>
            </w:r>
          </w:p>
        </w:tc>
        <w:tc>
          <w:tcPr>
            <w:tcW w:w="1843" w:type="dxa"/>
          </w:tcPr>
          <w:p w:rsidR="00D70886" w:rsidRPr="00D70886" w:rsidRDefault="00D70886" w:rsidP="00D70886">
            <w:pPr>
              <w:spacing w:before="120" w:after="120" w:line="276" w:lineRule="auto"/>
              <w:rPr>
                <w:iCs/>
                <w:sz w:val="16"/>
                <w:szCs w:val="16"/>
              </w:rPr>
            </w:pPr>
            <w:r w:rsidRPr="00D70886">
              <w:rPr>
                <w:rFonts w:eastAsia="Times New Roman"/>
                <w:color w:val="000000"/>
                <w:sz w:val="16"/>
                <w:szCs w:val="16"/>
                <w:lang w:eastAsia="en-AU"/>
              </w:rPr>
              <w:t>Capacity building for mainstream services</w:t>
            </w:r>
          </w:p>
        </w:tc>
        <w:tc>
          <w:tcPr>
            <w:tcW w:w="1985" w:type="dxa"/>
          </w:tcPr>
          <w:p w:rsidR="00D70886" w:rsidRPr="00D70886" w:rsidRDefault="00D70886" w:rsidP="00D70886">
            <w:pPr>
              <w:spacing w:before="120" w:after="120" w:line="276" w:lineRule="auto"/>
              <w:rPr>
                <w:sz w:val="16"/>
                <w:szCs w:val="16"/>
              </w:rPr>
            </w:pPr>
            <w:r w:rsidRPr="00D70886">
              <w:rPr>
                <w:sz w:val="16"/>
                <w:szCs w:val="16"/>
              </w:rPr>
              <w:t xml:space="preserve">All people with disability </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lastRenderedPageBreak/>
              <w:t>Autism Spectrum Australia (ASPECT)</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Bridging the Gap </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The project will develop and deliver an autism training package to the ACT community policing division of the Australian Federal Police. Face to face and online training will increase awareness of autism and developmental difficulties, providing information and resources with an emphasis on de-escalation and safety promoting strategies for situations that are directly relevant to policing.</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$93,850.00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Capacity building for mainstream services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Autism Spectrum Disorder </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Rebus Theatre</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Access All Areas</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This project will deliver a series of capacity-building workshops for employees of three mainstream services: Health, Justice and Transport. The project uses Forum Theatre as the format for the workshops: comprising of a short play performed by a cast of actors with disabilities. The play draws on stories of inclusion and exclusion from people with disabilities and employees of mainstream services, using the actors’ lived experience, documented research, and stories from the broader community.</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$199,984.07</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(two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Capacity building for mainstream services</w:t>
            </w:r>
          </w:p>
        </w:tc>
        <w:tc>
          <w:tcPr>
            <w:tcW w:w="1985" w:type="dxa"/>
          </w:tcPr>
          <w:p w:rsidR="00D70886" w:rsidRPr="00D70886" w:rsidRDefault="00D70886" w:rsidP="00D70886">
            <w:pPr>
              <w:spacing w:before="120" w:after="120" w:line="276" w:lineRule="auto"/>
              <w:rPr>
                <w:sz w:val="16"/>
                <w:szCs w:val="16"/>
              </w:rPr>
            </w:pPr>
            <w:r w:rsidRPr="00D70886">
              <w:rPr>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Accessible Arts</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Arts Inclusion </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i/>
                <w:color w:val="000000"/>
                <w:sz w:val="16"/>
                <w:szCs w:val="16"/>
                <w:lang w:eastAsia="en-AU"/>
              </w:rPr>
              <w:t>Arts Inclusion</w:t>
            </w:r>
            <w:r w:rsidRPr="00D70886">
              <w:rPr>
                <w:rFonts w:eastAsia="Times New Roman"/>
                <w:color w:val="000000"/>
                <w:sz w:val="16"/>
                <w:szCs w:val="16"/>
                <w:lang w:eastAsia="en-AU"/>
              </w:rPr>
              <w:t xml:space="preserve"> will build capacity in art organisations for people with disability to participate as artists, volunteers, workers and audience members. Four people with disability will be selected to receive mentorship and participate in ‘train the trainer’ workshops to then lead a range of inclusion capacity building initiatives with mainstream arts organisations. The project also intends to launch a campaign to reduce online barriers for people with disability and make it simpler to plan arts and cultural experiences. Accessible Arts will also develop a website, a Braille pocket guide and will host an access, inclusion and participation forum to showcase the accessible activities from ACT based arts and cultural organisations.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$102,500.00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(two year)</w:t>
            </w:r>
          </w:p>
        </w:tc>
        <w:tc>
          <w:tcPr>
            <w:tcW w:w="1843" w:type="dxa"/>
          </w:tcPr>
          <w:p w:rsidR="00D70886" w:rsidRPr="00D70886" w:rsidRDefault="00D70886" w:rsidP="00D70886">
            <w:pPr>
              <w:spacing w:before="120" w:after="120" w:line="276" w:lineRule="auto"/>
              <w:rPr>
                <w:iCs/>
                <w:sz w:val="16"/>
                <w:szCs w:val="16"/>
              </w:rPr>
            </w:pPr>
            <w:r w:rsidRPr="00D70886">
              <w:rPr>
                <w:rFonts w:eastAsia="Times New Roman"/>
                <w:color w:val="000000"/>
                <w:sz w:val="16"/>
                <w:szCs w:val="16"/>
                <w:lang w:eastAsia="en-AU"/>
              </w:rPr>
              <w:t>Community awareness and capacity building</w:t>
            </w:r>
          </w:p>
        </w:tc>
        <w:tc>
          <w:tcPr>
            <w:tcW w:w="1985" w:type="dxa"/>
          </w:tcPr>
          <w:p w:rsidR="00D70886" w:rsidRPr="00D70886" w:rsidRDefault="00D70886" w:rsidP="00D70886">
            <w:pPr>
              <w:spacing w:before="120" w:after="120" w:line="276" w:lineRule="auto"/>
              <w:rPr>
                <w:sz w:val="16"/>
                <w:szCs w:val="16"/>
              </w:rPr>
            </w:pPr>
            <w:r w:rsidRPr="00D70886">
              <w:rPr>
                <w:sz w:val="16"/>
                <w:szCs w:val="16"/>
              </w:rPr>
              <w:t xml:space="preserve">All people with disability </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ACT Playgroups Association Inc.</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Ready2Play </w:t>
            </w:r>
          </w:p>
        </w:tc>
        <w:tc>
          <w:tcPr>
            <w:tcW w:w="5528"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Ready2Play (R2P) is an all abilities pre-sporting program for those aged 2-6 years, designed to include children with additional needs in mainstream sporting activities. R2P will develop and test a model of parent and coach-led sporting sessions, introducing children with additional needs to conventional sports alongside able-bodied children. Mainstream sporting activities will be adjusted so that children can be included without the need for specialised therapists, equipment or programs.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$216,504.80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(two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Community awareness and capacity building</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Autism Spectrum Disorder </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lastRenderedPageBreak/>
              <w:t>Bardic Studio</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Access All Areas Film Festival</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Access All Areas Film Festival (AAAFF) will transform the way Australian</w:t>
            </w:r>
            <w:r w:rsidR="00E5599F">
              <w:rPr>
                <w:rFonts w:eastAsia="Times New Roman"/>
                <w:color w:val="000000"/>
                <w:sz w:val="16"/>
                <w:szCs w:val="16"/>
                <w:lang w:eastAsia="en-AU"/>
              </w:rPr>
              <w:t>s</w:t>
            </w:r>
            <w:r w:rsidRPr="00D70886">
              <w:rPr>
                <w:rFonts w:eastAsia="Times New Roman"/>
                <w:color w:val="000000"/>
                <w:sz w:val="16"/>
                <w:szCs w:val="16"/>
                <w:lang w:eastAsia="en-AU"/>
              </w:rPr>
              <w:t xml:space="preserve"> see disability by screening award winning films which reflect the lived experience of people with disability and showcase their creative vision, artistry and compelling stories. Screenings will be scheduled in every Local Government Area</w:t>
            </w:r>
            <w:r w:rsidR="00E5599F">
              <w:rPr>
                <w:rFonts w:eastAsia="Times New Roman"/>
                <w:color w:val="000000"/>
                <w:sz w:val="16"/>
                <w:szCs w:val="16"/>
                <w:lang w:eastAsia="en-AU"/>
              </w:rPr>
              <w:t xml:space="preserve"> (LGA)</w:t>
            </w:r>
            <w:r w:rsidRPr="00D70886">
              <w:rPr>
                <w:rFonts w:eastAsia="Times New Roman"/>
                <w:color w:val="000000"/>
                <w:sz w:val="16"/>
                <w:szCs w:val="16"/>
                <w:lang w:eastAsia="en-AU"/>
              </w:rPr>
              <w:t xml:space="preserve"> in ACT, and an annual prize will be initiated for the best Australian short film reflecting the lived experience of people with disability. These screenings aim to demonstrate the cost benefits to commercial cinemas in increasing access for Australians with disability by integrating accessible features into screenings. </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$12,500.00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(two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Community awareness and capacity building</w:t>
            </w:r>
          </w:p>
        </w:tc>
        <w:tc>
          <w:tcPr>
            <w:tcW w:w="1985" w:type="dxa"/>
          </w:tcPr>
          <w:p w:rsidR="00D70886" w:rsidRPr="00D70886" w:rsidRDefault="00D70886" w:rsidP="00D70886">
            <w:pPr>
              <w:spacing w:before="120" w:after="120" w:line="276" w:lineRule="auto"/>
              <w:rPr>
                <w:sz w:val="16"/>
                <w:szCs w:val="16"/>
              </w:rPr>
            </w:pPr>
            <w:r w:rsidRPr="00D70886">
              <w:rPr>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Volunteering and Contact ACT Limited</w:t>
            </w:r>
          </w:p>
        </w:tc>
        <w:tc>
          <w:tcPr>
            <w:tcW w:w="1985"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The Inclusive Volunteering Program</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The Inclusive Volunteering Program (IVP) is a two year project which will work with volunteer involving organisations in the Canberra </w:t>
            </w:r>
            <w:r w:rsidR="00E5599F">
              <w:rPr>
                <w:rFonts w:eastAsia="Times New Roman"/>
                <w:color w:val="000000"/>
                <w:sz w:val="16"/>
                <w:szCs w:val="16"/>
                <w:lang w:eastAsia="en-AU"/>
              </w:rPr>
              <w:t>r</w:t>
            </w:r>
            <w:r w:rsidRPr="00D70886">
              <w:rPr>
                <w:rFonts w:eastAsia="Times New Roman"/>
                <w:color w:val="000000"/>
                <w:sz w:val="16"/>
                <w:szCs w:val="16"/>
                <w:lang w:eastAsia="en-AU"/>
              </w:rPr>
              <w:t xml:space="preserve">egion to source or tailor appropriate and meaningful volunteering opportunities that will enable individual capacity building of people with disability. Participants will be supported by appropriately screened and trained volunteer mentors, who will assist 100 participants to find suitable and meaningful volunteering roles and work with them on their volunteering journey. </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350,000.00</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(two year)</w:t>
            </w:r>
          </w:p>
        </w:tc>
        <w:tc>
          <w:tcPr>
            <w:tcW w:w="1843"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Community awareness and capacity building</w:t>
            </w:r>
          </w:p>
        </w:tc>
        <w:tc>
          <w:tcPr>
            <w:tcW w:w="1985"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Blind Citizens Australia </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Life Ready  </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Blind Citizens Australia is a disability-led organisation. Delivering the Life Ready project will support people who are blind or vision impaired in the ACT region to reach their potential through a range of capacity building activities. This will be achieved through a program of teleconferences, mentoring, and face-to-face meetings, as well as tailored assistance with individual advocacy issues.</w:t>
            </w:r>
            <w:r w:rsidRPr="00D70886">
              <w:rPr>
                <w:sz w:val="16"/>
                <w:szCs w:val="16"/>
              </w:rPr>
              <w:t xml:space="preserve"> </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$96,090.00 </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Individual capacity building</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Vision Impairment </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Marymead (Trustees of the Roman Catholic Church for the Archdiocese of Canberra &amp; Goulburn)</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Kids' Companions Program</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i/>
                <w:color w:val="000000"/>
                <w:sz w:val="16"/>
                <w:szCs w:val="16"/>
                <w:lang w:eastAsia="en-AU"/>
              </w:rPr>
              <w:t>Kids’ Companions</w:t>
            </w:r>
            <w:r w:rsidRPr="00D70886">
              <w:rPr>
                <w:rFonts w:eastAsia="Times New Roman"/>
                <w:color w:val="000000"/>
                <w:sz w:val="16"/>
                <w:szCs w:val="16"/>
                <w:lang w:eastAsia="en-AU"/>
              </w:rPr>
              <w:t xml:space="preserve"> provides social support, mentoring, participant-driven peer-based activities and projects for children and young people with a disability (who are not eligible for NDIS plans), their siblings, and young people who care for someone with a disability (including psychosocial disability). The Kids Companion program holds two weekly sessions, monthly community days and special interest activity days during the school holidays.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$160,140.00 </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(one year)</w:t>
            </w:r>
          </w:p>
        </w:tc>
        <w:tc>
          <w:tcPr>
            <w:tcW w:w="1843" w:type="dxa"/>
          </w:tcPr>
          <w:p w:rsidR="00D70886" w:rsidRPr="00D70886" w:rsidRDefault="00D70886" w:rsidP="00D70886">
            <w:pPr>
              <w:spacing w:before="120" w:after="120" w:line="276" w:lineRule="auto"/>
              <w:rPr>
                <w:i/>
                <w:iCs/>
                <w:sz w:val="16"/>
                <w:szCs w:val="16"/>
              </w:rPr>
            </w:pPr>
            <w:r w:rsidRPr="00D70886">
              <w:rPr>
                <w:rFonts w:eastAsia="Times New Roman"/>
                <w:color w:val="000000"/>
                <w:sz w:val="16"/>
                <w:szCs w:val="16"/>
                <w:lang w:eastAsia="en-AU"/>
              </w:rPr>
              <w:t>Individual capacity building</w:t>
            </w:r>
          </w:p>
        </w:tc>
        <w:tc>
          <w:tcPr>
            <w:tcW w:w="1985" w:type="dxa"/>
          </w:tcPr>
          <w:p w:rsidR="00D70886" w:rsidRPr="00D70886" w:rsidRDefault="00D70886" w:rsidP="00D70886">
            <w:pPr>
              <w:spacing w:before="120" w:after="120" w:line="276" w:lineRule="auto"/>
              <w:rPr>
                <w:sz w:val="16"/>
                <w:szCs w:val="16"/>
              </w:rPr>
            </w:pPr>
            <w:r w:rsidRPr="00D70886">
              <w:rPr>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lastRenderedPageBreak/>
              <w:t>People With Disabilities ACT</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Health and Wellbeing Project  </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This project employs a Project Officer to scope and develop resources to improve health outcomes for people with disabilities. The project features consultation with organisations representing young people, people from culturally and linguistically diverse backgrounds; Aboriginal and Torres Strait Islander peoples and people from diverse sexual orientations and gender identities to better understand available supports to access health services. Four resource kits will be developed, eight information sessions will be held (via face to face meetings and social media events) to support people with disabilities to advocate for access to the health services they need.</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$50,000.00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(one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Individual capacity building</w:t>
            </w:r>
          </w:p>
        </w:tc>
        <w:tc>
          <w:tcPr>
            <w:tcW w:w="1985" w:type="dxa"/>
          </w:tcPr>
          <w:p w:rsidR="00D70886" w:rsidRPr="00D70886" w:rsidRDefault="00D70886" w:rsidP="00D70886">
            <w:pPr>
              <w:spacing w:before="120" w:after="120" w:line="276" w:lineRule="auto"/>
              <w:rPr>
                <w:sz w:val="16"/>
                <w:szCs w:val="16"/>
              </w:rPr>
            </w:pPr>
            <w:r w:rsidRPr="00D70886">
              <w:rPr>
                <w:sz w:val="16"/>
                <w:szCs w:val="16"/>
              </w:rPr>
              <w:t>All people with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Riding For The Disabled Of The ACT Incorporated</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 xml:space="preserve">Community Connex  </w:t>
            </w:r>
          </w:p>
        </w:tc>
        <w:tc>
          <w:tcPr>
            <w:tcW w:w="5528"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Through </w:t>
            </w:r>
            <w:r w:rsidRPr="00D70886">
              <w:rPr>
                <w:rFonts w:eastAsia="Times New Roman"/>
                <w:i/>
                <w:color w:val="000000"/>
                <w:sz w:val="16"/>
                <w:szCs w:val="16"/>
                <w:lang w:eastAsia="en-AU"/>
              </w:rPr>
              <w:t>Community Connex</w:t>
            </w:r>
            <w:r w:rsidRPr="00D70886">
              <w:rPr>
                <w:rFonts w:eastAsia="Times New Roman"/>
                <w:color w:val="000000"/>
                <w:sz w:val="16"/>
                <w:szCs w:val="16"/>
                <w:lang w:eastAsia="en-AU"/>
              </w:rPr>
              <w:t>, an Equine Facilitated Learning program will support young adults to develop their social, and emotional wellbeing through interaction with horses. It is a ground based program (non-riding) that teaches self-development and emotional intelligence skills.</w:t>
            </w:r>
            <w:r w:rsidR="00117201">
              <w:rPr>
                <w:rFonts w:eastAsia="Times New Roman"/>
                <w:color w:val="000000"/>
                <w:sz w:val="16"/>
                <w:szCs w:val="16"/>
                <w:lang w:eastAsia="en-AU"/>
              </w:rPr>
              <w:t xml:space="preserve"> </w:t>
            </w:r>
            <w:r w:rsidRPr="00D70886">
              <w:rPr>
                <w:rFonts w:eastAsia="Times New Roman"/>
                <w:color w:val="000000"/>
                <w:sz w:val="16"/>
                <w:szCs w:val="16"/>
                <w:lang w:eastAsia="en-AU"/>
              </w:rPr>
              <w:t>The program uses experiential learning which is especially suited to people who have difficulty understanding abstract concepts such as emotions and interpersonal skills. By interacting with horses</w:t>
            </w:r>
            <w:r w:rsidR="007E36F3">
              <w:rPr>
                <w:rFonts w:eastAsia="Times New Roman"/>
                <w:color w:val="000000"/>
                <w:sz w:val="16"/>
                <w:szCs w:val="16"/>
                <w:lang w:eastAsia="en-AU"/>
              </w:rPr>
              <w:t xml:space="preserve">, </w:t>
            </w:r>
            <w:r w:rsidRPr="00D70886">
              <w:rPr>
                <w:rFonts w:eastAsia="Times New Roman"/>
                <w:color w:val="000000"/>
                <w:sz w:val="16"/>
                <w:szCs w:val="16"/>
                <w:lang w:eastAsia="en-AU"/>
              </w:rPr>
              <w:t>people can experience the effects of their behaviour, then reflect on what has happened in order to make changes and adjust their behaviour to better manage social situations and environments.</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 $52,314.60</w:t>
            </w:r>
          </w:p>
          <w:p w:rsidR="00D70886" w:rsidRPr="00D70886" w:rsidRDefault="00D70886" w:rsidP="00D70886">
            <w:pPr>
              <w:spacing w:before="120" w:after="120" w:line="276" w:lineRule="auto"/>
              <w:ind w:right="170"/>
              <w:jc w:val="right"/>
              <w:rPr>
                <w:rFonts w:eastAsia="Times New Roman"/>
                <w:color w:val="000000"/>
                <w:sz w:val="16"/>
                <w:szCs w:val="16"/>
                <w:lang w:eastAsia="en-AU"/>
              </w:rPr>
            </w:pPr>
            <w:r w:rsidRPr="00D70886">
              <w:rPr>
                <w:color w:val="000000"/>
                <w:sz w:val="16"/>
                <w:szCs w:val="16"/>
              </w:rPr>
              <w:t>(two year)</w:t>
            </w:r>
          </w:p>
        </w:tc>
        <w:tc>
          <w:tcPr>
            <w:tcW w:w="1843"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Individual capacity building</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Psycho-social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r w:rsidR="00D70886" w:rsidRPr="00D70886" w:rsidTr="0066447A">
        <w:trPr>
          <w:cantSplit/>
        </w:trPr>
        <w:tc>
          <w:tcPr>
            <w:tcW w:w="1560"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Wellways Australia Limited</w:t>
            </w:r>
          </w:p>
        </w:tc>
        <w:tc>
          <w:tcPr>
            <w:tcW w:w="1985" w:type="dxa"/>
          </w:tcPr>
          <w:p w:rsidR="00D70886" w:rsidRPr="00D70886" w:rsidRDefault="00D70886" w:rsidP="00D70886">
            <w:pPr>
              <w:spacing w:before="120" w:after="120" w:line="276" w:lineRule="auto"/>
              <w:rPr>
                <w:rFonts w:eastAsia="Times New Roman"/>
                <w:color w:val="000000"/>
                <w:sz w:val="16"/>
                <w:szCs w:val="16"/>
                <w:lang w:eastAsia="en-AU"/>
              </w:rPr>
            </w:pPr>
            <w:r w:rsidRPr="00D70886">
              <w:rPr>
                <w:rFonts w:eastAsia="Times New Roman"/>
                <w:color w:val="000000"/>
                <w:sz w:val="16"/>
                <w:szCs w:val="16"/>
                <w:lang w:eastAsia="en-AU"/>
              </w:rPr>
              <w:t xml:space="preserve">Life In Community (LinC) </w:t>
            </w:r>
          </w:p>
        </w:tc>
        <w:tc>
          <w:tcPr>
            <w:tcW w:w="5528" w:type="dxa"/>
          </w:tcPr>
          <w:p w:rsidR="00D70886" w:rsidRPr="00D70886" w:rsidRDefault="00D70886" w:rsidP="007E36F3">
            <w:pPr>
              <w:spacing w:before="120" w:after="120" w:line="276" w:lineRule="auto"/>
              <w:rPr>
                <w:rFonts w:eastAsia="Times New Roman"/>
                <w:color w:val="000000"/>
                <w:sz w:val="16"/>
                <w:szCs w:val="16"/>
                <w:lang w:eastAsia="en-AU"/>
              </w:rPr>
            </w:pPr>
            <w:r w:rsidRPr="00D70886">
              <w:rPr>
                <w:rFonts w:eastAsia="Times New Roman"/>
                <w:i/>
                <w:color w:val="000000"/>
                <w:sz w:val="16"/>
                <w:szCs w:val="16"/>
                <w:lang w:eastAsia="en-AU"/>
              </w:rPr>
              <w:t>LinC</w:t>
            </w:r>
            <w:r w:rsidRPr="00D70886">
              <w:rPr>
                <w:rFonts w:eastAsia="Times New Roman"/>
                <w:color w:val="000000"/>
                <w:sz w:val="16"/>
                <w:szCs w:val="16"/>
                <w:lang w:eastAsia="en-AU"/>
              </w:rPr>
              <w:t xml:space="preserve"> is a volunteer scheme to reduce isolation through intentional network building. The program will recruit and train a total of 150 volunteers to work alongside 600 participants with psychosocial disability</w:t>
            </w:r>
            <w:bookmarkStart w:id="0" w:name="_GoBack"/>
            <w:bookmarkEnd w:id="0"/>
            <w:r w:rsidRPr="00D70886">
              <w:rPr>
                <w:rFonts w:eastAsia="Times New Roman"/>
                <w:color w:val="000000"/>
                <w:sz w:val="16"/>
                <w:szCs w:val="16"/>
                <w:lang w:eastAsia="en-AU"/>
              </w:rPr>
              <w:t xml:space="preserve"> across the ACT, primarily assisting them to develop confidence and skills to build a strong network, increase community participation and develop a sense of belonging within their community. Connection to peer support will also be available via a Helpline.</w:t>
            </w:r>
          </w:p>
        </w:tc>
        <w:tc>
          <w:tcPr>
            <w:tcW w:w="1417" w:type="dxa"/>
          </w:tcPr>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$301,170.25</w:t>
            </w:r>
          </w:p>
          <w:p w:rsidR="00D70886" w:rsidRPr="00D70886" w:rsidRDefault="00D70886" w:rsidP="00D70886">
            <w:pPr>
              <w:spacing w:before="120" w:after="120" w:line="276" w:lineRule="auto"/>
              <w:ind w:right="170"/>
              <w:jc w:val="right"/>
              <w:rPr>
                <w:color w:val="000000"/>
                <w:sz w:val="16"/>
                <w:szCs w:val="16"/>
              </w:rPr>
            </w:pPr>
            <w:r w:rsidRPr="00D70886">
              <w:rPr>
                <w:color w:val="000000"/>
                <w:sz w:val="16"/>
                <w:szCs w:val="16"/>
              </w:rPr>
              <w:t xml:space="preserve">(two year) </w:t>
            </w:r>
          </w:p>
        </w:tc>
        <w:tc>
          <w:tcPr>
            <w:tcW w:w="1843" w:type="dxa"/>
          </w:tcPr>
          <w:p w:rsidR="00D70886" w:rsidRPr="00D70886" w:rsidRDefault="00D70886" w:rsidP="00D70886">
            <w:pPr>
              <w:spacing w:before="120" w:after="120" w:line="276" w:lineRule="auto"/>
              <w:rPr>
                <w:iCs/>
                <w:sz w:val="16"/>
                <w:szCs w:val="16"/>
              </w:rPr>
            </w:pPr>
            <w:r w:rsidRPr="00D70886">
              <w:rPr>
                <w:rFonts w:eastAsia="Times New Roman"/>
                <w:color w:val="000000"/>
                <w:sz w:val="16"/>
                <w:szCs w:val="16"/>
                <w:lang w:eastAsia="en-AU"/>
              </w:rPr>
              <w:t>Individual capacity building</w:t>
            </w:r>
          </w:p>
        </w:tc>
        <w:tc>
          <w:tcPr>
            <w:tcW w:w="1985" w:type="dxa"/>
          </w:tcPr>
          <w:p w:rsidR="00D70886" w:rsidRPr="00D70886" w:rsidRDefault="00D70886" w:rsidP="00D70886">
            <w:pPr>
              <w:spacing w:before="120" w:after="120" w:line="276" w:lineRule="auto"/>
              <w:rPr>
                <w:sz w:val="16"/>
                <w:szCs w:val="16"/>
              </w:rPr>
            </w:pPr>
            <w:r w:rsidRPr="00D70886">
              <w:rPr>
                <w:rFonts w:eastAsia="Times New Roman"/>
                <w:color w:val="000000"/>
                <w:sz w:val="16"/>
                <w:szCs w:val="16"/>
                <w:lang w:eastAsia="en-AU"/>
              </w:rPr>
              <w:t>Psycho-social disability</w:t>
            </w:r>
          </w:p>
        </w:tc>
        <w:tc>
          <w:tcPr>
            <w:tcW w:w="1275" w:type="dxa"/>
            <w:tcBorders>
              <w:right w:val="single" w:sz="4" w:space="0" w:color="auto"/>
            </w:tcBorders>
            <w:shd w:val="clear" w:color="000000" w:fill="FFFFFF"/>
          </w:tcPr>
          <w:p w:rsidR="00D70886" w:rsidRPr="00D70886" w:rsidRDefault="00D70886" w:rsidP="00D70886">
            <w:pPr>
              <w:spacing w:before="120" w:after="120" w:line="276" w:lineRule="auto"/>
              <w:rPr>
                <w:sz w:val="16"/>
                <w:szCs w:val="16"/>
              </w:rPr>
            </w:pPr>
          </w:p>
        </w:tc>
      </w:tr>
    </w:tbl>
    <w:p w:rsidR="00B81E13" w:rsidRDefault="00117201" w:rsidP="00D70886"/>
    <w:sectPr w:rsidR="00B81E13" w:rsidSect="00DC3102">
      <w:headerReference w:type="default" r:id="rId6"/>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72" w:rsidRDefault="00200872" w:rsidP="00D70886">
      <w:pPr>
        <w:spacing w:after="0" w:line="240" w:lineRule="auto"/>
      </w:pPr>
      <w:r>
        <w:separator/>
      </w:r>
    </w:p>
  </w:endnote>
  <w:endnote w:type="continuationSeparator" w:id="0">
    <w:p w:rsidR="00200872" w:rsidRDefault="00200872" w:rsidP="00D7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72" w:rsidRDefault="00200872" w:rsidP="00D70886">
      <w:pPr>
        <w:spacing w:after="0" w:line="240" w:lineRule="auto"/>
      </w:pPr>
      <w:r>
        <w:separator/>
      </w:r>
    </w:p>
  </w:footnote>
  <w:footnote w:type="continuationSeparator" w:id="0">
    <w:p w:rsidR="00200872" w:rsidRDefault="00200872" w:rsidP="00D70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886" w:rsidRPr="00D70886" w:rsidRDefault="00D70886">
    <w:pPr>
      <w:pStyle w:val="Header"/>
      <w:rPr>
        <w:rFonts w:ascii="Arial" w:hAnsi="Arial" w:cs="Arial"/>
        <w:b/>
        <w:color w:val="7030A0"/>
        <w:sz w:val="20"/>
        <w:szCs w:val="20"/>
      </w:rPr>
    </w:pPr>
    <w:r w:rsidRPr="00D70886">
      <w:rPr>
        <w:rFonts w:ascii="Arial" w:hAnsi="Arial" w:cs="Arial"/>
        <w:b/>
        <w:color w:val="7030A0"/>
        <w:sz w:val="20"/>
        <w:szCs w:val="20"/>
      </w:rPr>
      <w:t>Information, Linkages and Capacity Building (ILC) Jurisdictional Based Grants (Round 2)</w:t>
    </w:r>
  </w:p>
  <w:p w:rsidR="00D70886" w:rsidRPr="00D70886" w:rsidRDefault="00D70886">
    <w:pPr>
      <w:pStyle w:val="Header"/>
      <w:rPr>
        <w:rFonts w:ascii="Arial" w:hAnsi="Arial" w:cs="Arial"/>
        <w:b/>
        <w:sz w:val="20"/>
        <w:szCs w:val="20"/>
      </w:rPr>
    </w:pPr>
    <w:r w:rsidRPr="00D70886">
      <w:rPr>
        <w:rFonts w:ascii="Arial" w:hAnsi="Arial" w:cs="Arial"/>
        <w:b/>
        <w:sz w:val="20"/>
        <w:szCs w:val="20"/>
      </w:rPr>
      <w:t>Summary of Funded Activities: the Australian Capital Territory (ACT)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86"/>
    <w:rsid w:val="001036E7"/>
    <w:rsid w:val="00117201"/>
    <w:rsid w:val="00200872"/>
    <w:rsid w:val="002606EC"/>
    <w:rsid w:val="0043140C"/>
    <w:rsid w:val="006118F6"/>
    <w:rsid w:val="0066447A"/>
    <w:rsid w:val="00700E40"/>
    <w:rsid w:val="007202AC"/>
    <w:rsid w:val="007C5727"/>
    <w:rsid w:val="007E36F3"/>
    <w:rsid w:val="00C65B41"/>
    <w:rsid w:val="00D15C25"/>
    <w:rsid w:val="00D70886"/>
    <w:rsid w:val="00DC3102"/>
    <w:rsid w:val="00E00621"/>
    <w:rsid w:val="00E5599F"/>
    <w:rsid w:val="00FD3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ADB2C-2BEE-4C71-A868-279D4226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886"/>
  </w:style>
  <w:style w:type="paragraph" w:styleId="Footer">
    <w:name w:val="footer"/>
    <w:basedOn w:val="Normal"/>
    <w:link w:val="FooterChar"/>
    <w:uiPriority w:val="99"/>
    <w:unhideWhenUsed/>
    <w:rsid w:val="00D70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886"/>
  </w:style>
  <w:style w:type="table" w:styleId="TableGrid">
    <w:name w:val="Table Grid"/>
    <w:basedOn w:val="TableNormal"/>
    <w:uiPriority w:val="39"/>
    <w:rsid w:val="00D70886"/>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Karanikolas, Amber</dc:creator>
  <cp:keywords/>
  <dc:description/>
  <cp:lastModifiedBy>TAYLOR, Kim</cp:lastModifiedBy>
  <cp:revision>10</cp:revision>
  <cp:lastPrinted>2018-05-02T05:44:00Z</cp:lastPrinted>
  <dcterms:created xsi:type="dcterms:W3CDTF">2018-05-02T00:23:00Z</dcterms:created>
  <dcterms:modified xsi:type="dcterms:W3CDTF">2018-05-28T22:23:00Z</dcterms:modified>
</cp:coreProperties>
</file>