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B019" w14:textId="3B76F8BD" w:rsidR="00886AC7" w:rsidRPr="004D50B3" w:rsidRDefault="007E017F" w:rsidP="00616512">
      <w:pPr>
        <w:pStyle w:val="Heading1"/>
        <w:rPr>
          <w:color w:val="auto"/>
          <w:sz w:val="30"/>
          <w:szCs w:val="30"/>
        </w:rPr>
      </w:pPr>
      <w:r w:rsidRPr="00FD63C9">
        <w:rPr>
          <w:bCs/>
        </w:rPr>
        <w:t xml:space="preserve">Guiding Principles: </w:t>
      </w:r>
      <w:r w:rsidR="00886AC7" w:rsidRPr="00FD63C9">
        <w:rPr>
          <w:lang w:eastAsia="en-AU"/>
        </w:rPr>
        <w:t xml:space="preserve">Worker Mobility Reduction </w:t>
      </w:r>
      <w:r w:rsidR="00886AC7" w:rsidRPr="00616512">
        <w:t>Payment</w:t>
      </w:r>
      <w:r w:rsidR="00D551B8" w:rsidRPr="00616512">
        <w:t>s</w:t>
      </w:r>
      <w:r w:rsidR="00886AC7" w:rsidRPr="00FD63C9">
        <w:rPr>
          <w:lang w:eastAsia="en-AU"/>
        </w:rPr>
        <w:t xml:space="preserve"> </w:t>
      </w:r>
      <w:r w:rsidR="004D50B3" w:rsidRPr="00FD63C9">
        <w:rPr>
          <w:lang w:eastAsia="en-AU"/>
        </w:rPr>
        <w:br/>
      </w:r>
      <w:r w:rsidR="004D50B3">
        <w:rPr>
          <w:rFonts w:eastAsia="Times New Roman"/>
          <w:color w:val="auto"/>
          <w:sz w:val="30"/>
          <w:szCs w:val="30"/>
          <w:lang w:eastAsia="en-AU"/>
        </w:rPr>
        <w:t>1 September 2020</w:t>
      </w:r>
      <w:r w:rsidR="004D50B3">
        <w:rPr>
          <w:rFonts w:eastAsia="Times New Roman"/>
          <w:color w:val="auto"/>
          <w:sz w:val="30"/>
          <w:szCs w:val="30"/>
          <w:lang w:eastAsia="en-AU"/>
        </w:rPr>
        <w:br/>
      </w:r>
    </w:p>
    <w:p w14:paraId="227453AE" w14:textId="0C72BE40" w:rsidR="00BA7549" w:rsidRPr="007E017F" w:rsidRDefault="00615E3F" w:rsidP="00852765">
      <w:pPr>
        <w:pStyle w:val="xxxmsonormal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The safety of </w:t>
      </w:r>
      <w:r w:rsidR="005F3385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all NDIS participants</w:t>
      </w:r>
      <w:r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and their support workers is the highest priority. Staff working across multiple</w:t>
      </w:r>
      <w:bookmarkStart w:id="0" w:name="_GoBack"/>
      <w:bookmarkEnd w:id="0"/>
      <w:r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5F3385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residential </w:t>
      </w:r>
      <w:r w:rsidR="00887592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service </w:t>
      </w:r>
      <w:r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sites presents one of the highest risks for </w:t>
      </w:r>
      <w:r w:rsidR="00823AA8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unintentionally transmitting COVID-19 to other workers and residents</w:t>
      </w:r>
      <w:r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  <w:r w:rsidR="005A313D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63BAF434" w14:textId="71300D17" w:rsidR="00615E3F" w:rsidRPr="007E017F" w:rsidRDefault="005A313D" w:rsidP="00852765">
      <w:pPr>
        <w:pStyle w:val="xxxmsonormal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Workforce restrictions currently in place in Victoria under public hea</w:t>
      </w:r>
      <w:r w:rsidR="00BA7549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l</w:t>
      </w:r>
      <w:r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th orders place a legal obligation on employers to restrict movement or workers across sites as much as possible, and for workers to advise their employer of where they work for other employers</w:t>
      </w:r>
      <w:r w:rsidR="008C14F2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to assist </w:t>
      </w:r>
      <w:r w:rsidR="00EA655B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employers restrict mobility</w:t>
      </w:r>
      <w:r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.  </w:t>
      </w:r>
    </w:p>
    <w:p w14:paraId="16375F5C" w14:textId="018C4E54" w:rsidR="00FD63C9" w:rsidRPr="00D12F47" w:rsidRDefault="00C8688F" w:rsidP="00FD63C9">
      <w:pPr>
        <w:pStyle w:val="xx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8"/>
        </w:rPr>
      </w:pPr>
      <w:r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The Victorian and </w:t>
      </w:r>
      <w:r w:rsidR="00961004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Commonwealth</w:t>
      </w:r>
      <w:r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Governments have agreed to </w:t>
      </w:r>
      <w:r w:rsidR="00961004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support </w:t>
      </w:r>
      <w:r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work</w:t>
      </w:r>
      <w:r w:rsidR="00961004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ers and providers to restrict movement across sites</w:t>
      </w:r>
      <w:r w:rsidR="005F3385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by providing additional financial assistance</w:t>
      </w:r>
      <w:r w:rsidR="0044444E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. </w:t>
      </w:r>
      <w:r w:rsidR="00615E3F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The guiding principles for </w:t>
      </w:r>
      <w:r w:rsidR="00887592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</w:t>
      </w:r>
      <w:r w:rsidR="00886AC7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orker </w:t>
      </w:r>
      <w:r w:rsidR="00887592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m</w:t>
      </w:r>
      <w:r w:rsidR="00886AC7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obility </w:t>
      </w:r>
      <w:r w:rsidR="00887592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</w:t>
      </w:r>
      <w:r w:rsidR="00886AC7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eduction </w:t>
      </w:r>
      <w:r w:rsidR="00D551B8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</w:t>
      </w:r>
      <w:r w:rsidR="00886AC7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ayment</w:t>
      </w:r>
      <w:r w:rsidR="00D551B8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</w:t>
      </w:r>
      <w:r w:rsidR="00886AC7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ha</w:t>
      </w:r>
      <w:r w:rsidR="00615E3F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ve</w:t>
      </w:r>
      <w:r w:rsidR="00886AC7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been established </w:t>
      </w:r>
      <w:r w:rsidR="00615E3F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to limit </w:t>
      </w:r>
      <w:r w:rsidR="0044444E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individual </w:t>
      </w:r>
      <w:r w:rsidR="00615E3F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worker</w:t>
      </w:r>
      <w:r w:rsidR="0044444E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 from working at no more than two sites</w:t>
      </w:r>
      <w:r w:rsidR="00615E3F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as much as possible</w:t>
      </w:r>
      <w:r w:rsidR="0044444E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</w:t>
      </w:r>
      <w:r w:rsidR="00615E3F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416101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across disability residential services </w:t>
      </w:r>
      <w:r w:rsidR="00823AA8" w:rsidRPr="007E017F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and to ensure the continuity of service delivery.</w:t>
      </w:r>
      <w:r w:rsidR="001B59BE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</w:r>
      <w:r w:rsidR="00FD63C9" w:rsidRPr="00D12F47">
        <w:rPr>
          <w:rFonts w:ascii="Arial" w:hAnsi="Arial" w:cs="Arial"/>
          <w:b/>
          <w:sz w:val="28"/>
        </w:rPr>
        <w:t xml:space="preserve"> </w:t>
      </w:r>
    </w:p>
    <w:p w14:paraId="6552188C" w14:textId="3F110F0B" w:rsidR="00886AC7" w:rsidRPr="001B59BE" w:rsidRDefault="00886AC7" w:rsidP="001B59BE">
      <w:pPr>
        <w:pStyle w:val="Heading2"/>
        <w:rPr>
          <w:rFonts w:ascii="Arial" w:hAnsi="Arial" w:cs="Arial"/>
          <w:b/>
          <w:color w:val="auto"/>
        </w:rPr>
      </w:pPr>
      <w:r w:rsidRPr="001B59BE">
        <w:rPr>
          <w:rFonts w:ascii="Arial" w:hAnsi="Arial" w:cs="Arial"/>
          <w:b/>
          <w:color w:val="auto"/>
        </w:rPr>
        <w:t>Objectives</w:t>
      </w:r>
    </w:p>
    <w:p w14:paraId="1984A1AE" w14:textId="0EB88A01" w:rsidR="00886AC7" w:rsidRPr="00D12F47" w:rsidRDefault="00886AC7" w:rsidP="007E017F">
      <w:pPr>
        <w:pStyle w:val="ListParagraph"/>
        <w:numPr>
          <w:ilvl w:val="0"/>
          <w:numId w:val="16"/>
        </w:numPr>
        <w:shd w:val="clear" w:color="auto" w:fill="FFFFFF" w:themeFill="accent6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To keep </w:t>
      </w:r>
      <w:r w:rsidR="0044444E" w:rsidRPr="00D12F47">
        <w:rPr>
          <w:rFonts w:ascii="Arial" w:hAnsi="Arial" w:cs="Arial"/>
          <w:color w:val="auto"/>
          <w:sz w:val="24"/>
          <w:szCs w:val="24"/>
        </w:rPr>
        <w:t xml:space="preserve">people with a disability 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and disability workers in Victoria protected from the risks of acquiring COVID-19 in </w:t>
      </w:r>
      <w:r w:rsidR="00416101" w:rsidRPr="00D12F47">
        <w:rPr>
          <w:rFonts w:ascii="Arial" w:hAnsi="Arial" w:cs="Arial"/>
          <w:color w:val="auto"/>
          <w:sz w:val="24"/>
          <w:szCs w:val="24"/>
        </w:rPr>
        <w:t xml:space="preserve">disability 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residential </w:t>
      </w:r>
      <w:r w:rsidR="00416101" w:rsidRPr="00D12F47">
        <w:rPr>
          <w:rFonts w:ascii="Arial" w:hAnsi="Arial" w:cs="Arial"/>
          <w:color w:val="auto"/>
          <w:sz w:val="24"/>
          <w:szCs w:val="24"/>
        </w:rPr>
        <w:t>se</w:t>
      </w:r>
      <w:r w:rsidR="52CEAA0C" w:rsidRPr="00D12F47">
        <w:rPr>
          <w:rFonts w:ascii="Arial" w:hAnsi="Arial" w:cs="Arial"/>
          <w:color w:val="auto"/>
          <w:sz w:val="24"/>
          <w:szCs w:val="24"/>
        </w:rPr>
        <w:t>tting</w:t>
      </w:r>
      <w:r w:rsidR="00416101" w:rsidRPr="00D12F47">
        <w:rPr>
          <w:rFonts w:ascii="Arial" w:hAnsi="Arial" w:cs="Arial"/>
          <w:color w:val="auto"/>
          <w:sz w:val="24"/>
          <w:szCs w:val="24"/>
        </w:rPr>
        <w:t>s</w:t>
      </w:r>
      <w:r w:rsidR="3F55F7B3" w:rsidRPr="00D12F47">
        <w:rPr>
          <w:rFonts w:ascii="Arial" w:hAnsi="Arial" w:cs="Arial"/>
          <w:color w:val="auto"/>
          <w:sz w:val="24"/>
          <w:szCs w:val="24"/>
        </w:rPr>
        <w:t>.</w:t>
      </w:r>
    </w:p>
    <w:p w14:paraId="103B5C7E" w14:textId="77777777" w:rsidR="00886AC7" w:rsidRPr="00D12F47" w:rsidRDefault="00886AC7" w:rsidP="007E017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>To reduce the risk of disability workers unintentionally transmitting COVID-19 by working</w:t>
      </w:r>
      <w:r w:rsidR="00E55039" w:rsidRPr="00D12F47">
        <w:rPr>
          <w:rFonts w:ascii="Arial" w:hAnsi="Arial" w:cs="Arial"/>
          <w:color w:val="auto"/>
          <w:sz w:val="24"/>
          <w:szCs w:val="24"/>
        </w:rPr>
        <w:t xml:space="preserve"> </w:t>
      </w:r>
      <w:r w:rsidRPr="00D12F47">
        <w:rPr>
          <w:rFonts w:ascii="Arial" w:hAnsi="Arial" w:cs="Arial"/>
          <w:color w:val="auto"/>
          <w:sz w:val="24"/>
          <w:szCs w:val="24"/>
        </w:rPr>
        <w:t>across multiple sites.</w:t>
      </w:r>
    </w:p>
    <w:p w14:paraId="5057FDCD" w14:textId="77777777" w:rsidR="000A2FE0" w:rsidRPr="001B59BE" w:rsidRDefault="00886AC7" w:rsidP="001B59BE">
      <w:pPr>
        <w:pStyle w:val="Heading2"/>
        <w:rPr>
          <w:rFonts w:ascii="Arial" w:hAnsi="Arial" w:cs="Arial"/>
          <w:b/>
          <w:color w:val="auto"/>
        </w:rPr>
      </w:pPr>
      <w:r w:rsidRPr="001B59BE">
        <w:rPr>
          <w:rFonts w:ascii="Arial" w:hAnsi="Arial" w:cs="Arial"/>
          <w:b/>
          <w:color w:val="auto"/>
        </w:rPr>
        <w:t>Scope</w:t>
      </w:r>
    </w:p>
    <w:p w14:paraId="2D0427F8" w14:textId="625B66FC" w:rsidR="00F06C5E" w:rsidRPr="00D12F47" w:rsidRDefault="00043C83" w:rsidP="007E017F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The </w:t>
      </w:r>
      <w:r w:rsidR="00D551B8" w:rsidRPr="00D12F47">
        <w:rPr>
          <w:rFonts w:ascii="Arial" w:hAnsi="Arial" w:cs="Arial"/>
          <w:color w:val="auto"/>
          <w:sz w:val="24"/>
          <w:szCs w:val="24"/>
        </w:rPr>
        <w:t>arrangements apply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 </w:t>
      </w:r>
      <w:r w:rsidR="00416101" w:rsidRPr="00D12F47">
        <w:rPr>
          <w:rFonts w:ascii="Arial" w:hAnsi="Arial" w:cs="Arial"/>
          <w:color w:val="auto"/>
          <w:sz w:val="24"/>
          <w:szCs w:val="24"/>
        </w:rPr>
        <w:t xml:space="preserve">across all of Victoria 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to disability residential </w:t>
      </w:r>
      <w:r w:rsidR="00416101" w:rsidRPr="00D12F47">
        <w:rPr>
          <w:rFonts w:ascii="Arial" w:hAnsi="Arial" w:cs="Arial"/>
          <w:color w:val="auto"/>
          <w:sz w:val="24"/>
          <w:szCs w:val="24"/>
        </w:rPr>
        <w:t>services</w:t>
      </w:r>
      <w:r w:rsidR="00770D81" w:rsidRPr="00D12F47">
        <w:rPr>
          <w:rFonts w:ascii="Arial" w:hAnsi="Arial" w:cs="Arial"/>
          <w:color w:val="auto"/>
          <w:sz w:val="24"/>
          <w:szCs w:val="24"/>
        </w:rPr>
        <w:t>.</w:t>
      </w:r>
      <w:r w:rsidR="00416101" w:rsidRPr="00D12F4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6C54BC" w14:textId="56B3FFFB" w:rsidR="007E017F" w:rsidRPr="001B59BE" w:rsidRDefault="007E017F" w:rsidP="001B59BE">
      <w:pPr>
        <w:pStyle w:val="Heading2"/>
        <w:rPr>
          <w:rFonts w:ascii="Arial" w:hAnsi="Arial" w:cs="Arial"/>
          <w:b/>
          <w:color w:val="auto"/>
        </w:rPr>
      </w:pPr>
      <w:r w:rsidRPr="00D12F47">
        <w:rPr>
          <w:sz w:val="24"/>
        </w:rPr>
        <w:br/>
      </w:r>
      <w:r w:rsidR="00886AC7" w:rsidRPr="001B59BE">
        <w:rPr>
          <w:rFonts w:ascii="Arial" w:hAnsi="Arial" w:cs="Arial"/>
          <w:b/>
          <w:color w:val="auto"/>
        </w:rPr>
        <w:t>Timeframe</w:t>
      </w:r>
    </w:p>
    <w:p w14:paraId="76E0178E" w14:textId="0C0BFB10" w:rsidR="00043C83" w:rsidRPr="00D12F47" w:rsidRDefault="00D551B8" w:rsidP="007E017F">
      <w:pPr>
        <w:pStyle w:val="ListParagraph"/>
        <w:numPr>
          <w:ilvl w:val="0"/>
          <w:numId w:val="15"/>
        </w:numPr>
        <w:shd w:val="clear" w:color="auto" w:fill="FFFFFF" w:themeFill="accent6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>Payments</w:t>
      </w:r>
      <w:r w:rsidR="00961004" w:rsidRPr="00D12F47">
        <w:rPr>
          <w:rFonts w:ascii="Arial" w:hAnsi="Arial" w:cs="Arial"/>
          <w:color w:val="auto"/>
          <w:sz w:val="24"/>
          <w:szCs w:val="24"/>
        </w:rPr>
        <w:t xml:space="preserve"> will </w:t>
      </w:r>
      <w:r w:rsidR="6C579677" w:rsidRPr="00D12F47">
        <w:rPr>
          <w:rFonts w:ascii="Arial" w:hAnsi="Arial" w:cs="Arial"/>
          <w:color w:val="auto"/>
          <w:sz w:val="24"/>
          <w:szCs w:val="24"/>
        </w:rPr>
        <w:t>be eligible</w:t>
      </w:r>
      <w:r w:rsidR="00886AC7" w:rsidRPr="00D12F47">
        <w:rPr>
          <w:rFonts w:ascii="Arial" w:hAnsi="Arial" w:cs="Arial"/>
          <w:color w:val="auto"/>
          <w:sz w:val="24"/>
          <w:szCs w:val="24"/>
        </w:rPr>
        <w:t xml:space="preserve"> </w:t>
      </w:r>
      <w:r w:rsidR="0044444E" w:rsidRPr="00D12F47">
        <w:rPr>
          <w:rFonts w:ascii="Arial" w:hAnsi="Arial" w:cs="Arial"/>
          <w:color w:val="auto"/>
          <w:sz w:val="24"/>
          <w:szCs w:val="24"/>
        </w:rPr>
        <w:t xml:space="preserve">from </w:t>
      </w:r>
      <w:r w:rsidR="00961004" w:rsidRPr="00D12F47">
        <w:rPr>
          <w:rFonts w:ascii="Arial" w:hAnsi="Arial" w:cs="Arial"/>
          <w:color w:val="auto"/>
          <w:sz w:val="24"/>
          <w:szCs w:val="24"/>
        </w:rPr>
        <w:t xml:space="preserve">1 </w:t>
      </w:r>
      <w:r w:rsidR="7EDEC42D" w:rsidRPr="00D12F47">
        <w:rPr>
          <w:rFonts w:ascii="Arial" w:hAnsi="Arial" w:cs="Arial"/>
          <w:color w:val="auto"/>
          <w:sz w:val="24"/>
          <w:szCs w:val="24"/>
        </w:rPr>
        <w:t>September</w:t>
      </w:r>
      <w:r w:rsidR="00886AC7" w:rsidRPr="00D12F47">
        <w:rPr>
          <w:rFonts w:ascii="Arial" w:hAnsi="Arial" w:cs="Arial"/>
          <w:color w:val="auto"/>
          <w:sz w:val="24"/>
          <w:szCs w:val="24"/>
        </w:rPr>
        <w:t>,</w:t>
      </w:r>
      <w:r w:rsidR="00961004" w:rsidRPr="00D12F47">
        <w:rPr>
          <w:rFonts w:ascii="Arial" w:hAnsi="Arial" w:cs="Arial"/>
          <w:color w:val="auto"/>
          <w:sz w:val="24"/>
          <w:szCs w:val="24"/>
        </w:rPr>
        <w:t xml:space="preserve"> and </w:t>
      </w:r>
      <w:r w:rsidR="1BE74359" w:rsidRPr="00D12F47">
        <w:rPr>
          <w:rFonts w:ascii="Arial" w:hAnsi="Arial" w:cs="Arial"/>
          <w:color w:val="auto"/>
          <w:sz w:val="24"/>
          <w:szCs w:val="24"/>
        </w:rPr>
        <w:t xml:space="preserve">will </w:t>
      </w:r>
      <w:r w:rsidR="00961004" w:rsidRPr="00D12F47">
        <w:rPr>
          <w:rFonts w:ascii="Arial" w:hAnsi="Arial" w:cs="Arial"/>
          <w:color w:val="auto"/>
          <w:sz w:val="24"/>
          <w:szCs w:val="24"/>
        </w:rPr>
        <w:t>o</w:t>
      </w:r>
      <w:r w:rsidR="00886AC7" w:rsidRPr="00D12F47">
        <w:rPr>
          <w:rFonts w:ascii="Arial" w:hAnsi="Arial" w:cs="Arial"/>
          <w:color w:val="auto"/>
          <w:sz w:val="24"/>
          <w:szCs w:val="24"/>
        </w:rPr>
        <w:t>perate until 31 December 2020.</w:t>
      </w:r>
      <w:r w:rsidR="00886AC7" w:rsidRPr="00D12F4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DF4A065" w14:textId="52701DFE" w:rsidR="00043C83" w:rsidRPr="001B59BE" w:rsidRDefault="007E017F" w:rsidP="001B59BE">
      <w:pPr>
        <w:pStyle w:val="Heading2"/>
        <w:rPr>
          <w:rFonts w:ascii="Arial" w:hAnsi="Arial" w:cs="Arial"/>
          <w:b/>
          <w:color w:val="auto"/>
        </w:rPr>
      </w:pPr>
      <w:r w:rsidRPr="00D12F47">
        <w:rPr>
          <w:sz w:val="24"/>
        </w:rPr>
        <w:br/>
      </w:r>
      <w:r w:rsidR="005A259E" w:rsidRPr="001B59BE">
        <w:rPr>
          <w:rFonts w:ascii="Arial" w:hAnsi="Arial" w:cs="Arial"/>
          <w:b/>
          <w:color w:val="auto"/>
        </w:rPr>
        <w:t xml:space="preserve">Overall </w:t>
      </w:r>
      <w:r w:rsidR="00043C83" w:rsidRPr="001B59BE">
        <w:rPr>
          <w:rFonts w:ascii="Arial" w:hAnsi="Arial" w:cs="Arial"/>
          <w:b/>
          <w:color w:val="auto"/>
        </w:rPr>
        <w:t>Guiding Principles</w:t>
      </w:r>
    </w:p>
    <w:p w14:paraId="7CB9F544" w14:textId="47A42D37" w:rsidR="005416AD" w:rsidRPr="00D12F47" w:rsidRDefault="005416AD" w:rsidP="007E017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Payments will be made to </w:t>
      </w:r>
      <w:r w:rsidR="00B94367" w:rsidRPr="00D12F47">
        <w:rPr>
          <w:rFonts w:ascii="Arial" w:hAnsi="Arial" w:cs="Arial"/>
          <w:color w:val="auto"/>
          <w:sz w:val="24"/>
          <w:szCs w:val="24"/>
        </w:rPr>
        <w:t xml:space="preserve">assist providers </w:t>
      </w:r>
      <w:r w:rsidR="007B3A9F" w:rsidRPr="00D12F47">
        <w:rPr>
          <w:rFonts w:ascii="Arial" w:hAnsi="Arial" w:cs="Arial"/>
          <w:color w:val="auto"/>
          <w:sz w:val="24"/>
          <w:szCs w:val="24"/>
        </w:rPr>
        <w:t xml:space="preserve">to </w:t>
      </w:r>
      <w:r w:rsidR="00B94367" w:rsidRPr="00D12F47">
        <w:rPr>
          <w:rFonts w:ascii="Arial" w:hAnsi="Arial" w:cs="Arial"/>
          <w:color w:val="auto"/>
          <w:sz w:val="24"/>
          <w:szCs w:val="24"/>
        </w:rPr>
        <w:t xml:space="preserve">restrict </w:t>
      </w:r>
      <w:r w:rsidR="007B3A9F" w:rsidRPr="00D12F47">
        <w:rPr>
          <w:rFonts w:ascii="Arial" w:hAnsi="Arial" w:cs="Arial"/>
          <w:color w:val="auto"/>
          <w:sz w:val="24"/>
          <w:szCs w:val="24"/>
        </w:rPr>
        <w:t xml:space="preserve">work at multiple sites </w:t>
      </w:r>
      <w:r w:rsidR="00A57B40" w:rsidRPr="00D12F47">
        <w:rPr>
          <w:rFonts w:ascii="Arial" w:hAnsi="Arial" w:cs="Arial"/>
          <w:color w:val="auto"/>
          <w:sz w:val="24"/>
          <w:szCs w:val="24"/>
        </w:rPr>
        <w:t>as much as possible</w:t>
      </w:r>
      <w:r w:rsidRPr="00D12F47">
        <w:rPr>
          <w:rFonts w:ascii="Arial" w:hAnsi="Arial" w:cs="Arial"/>
          <w:color w:val="auto"/>
          <w:sz w:val="24"/>
          <w:szCs w:val="24"/>
        </w:rPr>
        <w:t>, thereby minimising risks around cross-infection</w:t>
      </w:r>
      <w:r w:rsidR="0044444E" w:rsidRPr="00D12F47">
        <w:rPr>
          <w:rFonts w:ascii="Arial" w:hAnsi="Arial" w:cs="Arial"/>
          <w:color w:val="auto"/>
          <w:sz w:val="24"/>
          <w:szCs w:val="24"/>
        </w:rPr>
        <w:t xml:space="preserve">. This includes limiting individual workers from working at no more than two residential sites as much as possible. </w:t>
      </w:r>
    </w:p>
    <w:p w14:paraId="050322D9" w14:textId="0BC7439A" w:rsidR="005416AD" w:rsidRPr="00D12F47" w:rsidRDefault="005416AD" w:rsidP="007E017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bookmarkStart w:id="1" w:name="_Hlk49767831"/>
      <w:r w:rsidRPr="00D12F47">
        <w:rPr>
          <w:rFonts w:ascii="Arial" w:hAnsi="Arial" w:cs="Arial"/>
          <w:color w:val="auto"/>
          <w:sz w:val="24"/>
          <w:szCs w:val="24"/>
        </w:rPr>
        <w:t xml:space="preserve">An approach will be taken in the Victorian residential disability </w:t>
      </w:r>
      <w:r w:rsidR="00280163" w:rsidRPr="00D12F47">
        <w:rPr>
          <w:rFonts w:ascii="Arial" w:hAnsi="Arial" w:cs="Arial"/>
          <w:color w:val="auto"/>
          <w:sz w:val="24"/>
          <w:szCs w:val="24"/>
        </w:rPr>
        <w:t xml:space="preserve">service 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sector that recognises the different payment arrangements currently in place for </w:t>
      </w:r>
      <w:r w:rsidR="003D71F4" w:rsidRPr="00D12F47">
        <w:rPr>
          <w:rFonts w:ascii="Arial" w:hAnsi="Arial" w:cs="Arial"/>
          <w:color w:val="auto"/>
          <w:sz w:val="24"/>
          <w:szCs w:val="24"/>
        </w:rPr>
        <w:t xml:space="preserve">both </w:t>
      </w:r>
      <w:r w:rsidRPr="00D12F47">
        <w:rPr>
          <w:rFonts w:ascii="Arial" w:hAnsi="Arial" w:cs="Arial"/>
          <w:color w:val="auto"/>
          <w:sz w:val="24"/>
          <w:szCs w:val="24"/>
        </w:rPr>
        <w:t>NDIS and state funded ‘transfer’ providers who are transitioning to the NDIS</w:t>
      </w:r>
      <w:r w:rsidR="000F0E44" w:rsidRPr="00D12F47">
        <w:rPr>
          <w:rFonts w:ascii="Arial" w:hAnsi="Arial" w:cs="Arial"/>
          <w:color w:val="auto"/>
          <w:sz w:val="24"/>
          <w:szCs w:val="24"/>
        </w:rPr>
        <w:t>.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 </w:t>
      </w:r>
    </w:p>
    <w:bookmarkEnd w:id="1"/>
    <w:p w14:paraId="645C9D18" w14:textId="76792649" w:rsidR="005416AD" w:rsidRPr="00D12F47" w:rsidRDefault="005416AD" w:rsidP="007E017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lastRenderedPageBreak/>
        <w:t>The arrangements are designed to support existing public health orders and other guidance by governments in relation to preventing the spread of the COVID-19 pandemic</w:t>
      </w:r>
      <w:r w:rsidR="000F0E44" w:rsidRPr="00D12F47">
        <w:rPr>
          <w:rFonts w:ascii="Arial" w:hAnsi="Arial" w:cs="Arial"/>
          <w:color w:val="auto"/>
          <w:sz w:val="24"/>
          <w:szCs w:val="24"/>
        </w:rPr>
        <w:t>.</w:t>
      </w:r>
    </w:p>
    <w:p w14:paraId="50039FBF" w14:textId="20BEB954" w:rsidR="005416AD" w:rsidRPr="00D12F47" w:rsidRDefault="005416AD" w:rsidP="007E017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>Payments are made in recognition of the higher cost faced by providers in needing to change rosters to minimise workers being at multiple sites</w:t>
      </w:r>
      <w:r w:rsidR="000F0E44" w:rsidRPr="00D12F47">
        <w:rPr>
          <w:rFonts w:ascii="Arial" w:hAnsi="Arial" w:cs="Arial"/>
          <w:color w:val="auto"/>
          <w:sz w:val="24"/>
          <w:szCs w:val="24"/>
        </w:rPr>
        <w:t>.</w:t>
      </w:r>
    </w:p>
    <w:p w14:paraId="36145028" w14:textId="22EE464A" w:rsidR="005416AD" w:rsidRPr="00D12F47" w:rsidRDefault="005416AD" w:rsidP="007E017F">
      <w:pPr>
        <w:pStyle w:val="ListParagraph"/>
        <w:numPr>
          <w:ilvl w:val="0"/>
          <w:numId w:val="15"/>
        </w:numPr>
        <w:shd w:val="clear" w:color="auto" w:fill="FFFFFF" w:themeFill="accent6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Providers are accountable for ensuring that payments are directed at offsetting higher costs </w:t>
      </w:r>
      <w:r w:rsidR="0044444E" w:rsidRPr="00D12F47">
        <w:rPr>
          <w:rFonts w:ascii="Arial" w:hAnsi="Arial" w:cs="Arial"/>
          <w:color w:val="auto"/>
          <w:sz w:val="24"/>
          <w:szCs w:val="24"/>
        </w:rPr>
        <w:t xml:space="preserve">which </w:t>
      </w:r>
      <w:r w:rsidR="00887592" w:rsidRPr="00D12F47">
        <w:rPr>
          <w:rFonts w:ascii="Arial" w:hAnsi="Arial" w:cs="Arial"/>
          <w:color w:val="auto"/>
          <w:sz w:val="24"/>
          <w:szCs w:val="24"/>
        </w:rPr>
        <w:t xml:space="preserve">will </w:t>
      </w:r>
      <w:r w:rsidR="0044444E" w:rsidRPr="00D12F47">
        <w:rPr>
          <w:rFonts w:ascii="Arial" w:hAnsi="Arial" w:cs="Arial"/>
          <w:color w:val="auto"/>
          <w:sz w:val="24"/>
          <w:szCs w:val="24"/>
        </w:rPr>
        <w:t xml:space="preserve">include compensating workers for reduced working hours. </w:t>
      </w:r>
    </w:p>
    <w:p w14:paraId="4453EC57" w14:textId="4FD89A44" w:rsidR="005416AD" w:rsidRPr="00D12F47" w:rsidRDefault="005416AD" w:rsidP="007E017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>The administrative burden on providers will be minimised as far as possible</w:t>
      </w:r>
      <w:r w:rsidR="000F0E44" w:rsidRPr="00D12F47">
        <w:rPr>
          <w:rFonts w:ascii="Arial" w:hAnsi="Arial" w:cs="Arial"/>
          <w:color w:val="auto"/>
          <w:sz w:val="24"/>
          <w:szCs w:val="24"/>
        </w:rPr>
        <w:t>.</w:t>
      </w:r>
    </w:p>
    <w:p w14:paraId="629EAF54" w14:textId="1826CEF4" w:rsidR="005416AD" w:rsidRPr="00D12F47" w:rsidRDefault="005416AD" w:rsidP="007E017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Compliance and audit arrangements will be calibrated reflecting the relative size of payments and utilising existing audit/compliance arrangements </w:t>
      </w:r>
      <w:r w:rsidR="003D71F4" w:rsidRPr="00D12F47">
        <w:rPr>
          <w:rFonts w:ascii="Arial" w:hAnsi="Arial" w:cs="Arial"/>
          <w:color w:val="auto"/>
          <w:sz w:val="24"/>
          <w:szCs w:val="24"/>
        </w:rPr>
        <w:t xml:space="preserve">that </w:t>
      </w:r>
      <w:r w:rsidRPr="00D12F47">
        <w:rPr>
          <w:rFonts w:ascii="Arial" w:hAnsi="Arial" w:cs="Arial"/>
          <w:color w:val="auto"/>
          <w:sz w:val="24"/>
          <w:szCs w:val="24"/>
        </w:rPr>
        <w:t>already apply to payments made to state funded transfer and NDIS providers</w:t>
      </w:r>
      <w:r w:rsidR="005F3385" w:rsidRPr="00D12F47">
        <w:rPr>
          <w:rFonts w:ascii="Arial" w:hAnsi="Arial" w:cs="Arial"/>
          <w:color w:val="auto"/>
          <w:sz w:val="24"/>
          <w:szCs w:val="24"/>
        </w:rPr>
        <w:t xml:space="preserve">. This </w:t>
      </w:r>
      <w:r w:rsidR="00887592" w:rsidRPr="00D12F47">
        <w:rPr>
          <w:rFonts w:ascii="Arial" w:hAnsi="Arial" w:cs="Arial"/>
          <w:color w:val="auto"/>
          <w:sz w:val="24"/>
          <w:szCs w:val="24"/>
        </w:rPr>
        <w:t>will</w:t>
      </w:r>
      <w:r w:rsidR="005F3385" w:rsidRPr="00D12F47">
        <w:rPr>
          <w:rFonts w:ascii="Arial" w:hAnsi="Arial" w:cs="Arial"/>
          <w:color w:val="auto"/>
          <w:sz w:val="24"/>
          <w:szCs w:val="24"/>
        </w:rPr>
        <w:t xml:space="preserve"> 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include the provision of </w:t>
      </w:r>
      <w:r w:rsidR="001D4A36" w:rsidRPr="00D12F47">
        <w:rPr>
          <w:rFonts w:ascii="Arial" w:hAnsi="Arial" w:cs="Arial"/>
          <w:color w:val="auto"/>
          <w:sz w:val="24"/>
          <w:szCs w:val="24"/>
        </w:rPr>
        <w:t xml:space="preserve">periodic </w:t>
      </w:r>
      <w:r w:rsidR="005F3385" w:rsidRPr="00D12F47">
        <w:rPr>
          <w:rFonts w:ascii="Arial" w:hAnsi="Arial" w:cs="Arial"/>
          <w:color w:val="auto"/>
          <w:sz w:val="24"/>
          <w:szCs w:val="24"/>
        </w:rPr>
        <w:t>information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 by providers on levels of mobility of its workforce</w:t>
      </w:r>
      <w:r w:rsidR="00FD63C9">
        <w:rPr>
          <w:rFonts w:ascii="Arial" w:hAnsi="Arial" w:cs="Arial"/>
          <w:color w:val="auto"/>
          <w:sz w:val="24"/>
          <w:szCs w:val="24"/>
        </w:rPr>
        <w:t>,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 e.g. numbers of workers per site</w:t>
      </w:r>
      <w:r w:rsidR="003D71F4" w:rsidRPr="00D12F47">
        <w:rPr>
          <w:rFonts w:ascii="Arial" w:hAnsi="Arial" w:cs="Arial"/>
          <w:color w:val="auto"/>
          <w:sz w:val="24"/>
          <w:szCs w:val="24"/>
        </w:rPr>
        <w:t>.</w:t>
      </w:r>
    </w:p>
    <w:p w14:paraId="7CB90EAA" w14:textId="77777777" w:rsidR="000518E4" w:rsidRPr="00D12F47" w:rsidRDefault="005416AD" w:rsidP="00CF6135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b/>
          <w:bCs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2749833" w14:textId="77777777" w:rsidR="00ED4AB7" w:rsidRPr="001B59BE" w:rsidRDefault="00ED4AB7" w:rsidP="001B59BE">
      <w:pPr>
        <w:pStyle w:val="Heading2"/>
        <w:rPr>
          <w:rFonts w:ascii="Arial" w:hAnsi="Arial" w:cs="Arial"/>
          <w:b/>
          <w:color w:val="auto"/>
        </w:rPr>
      </w:pPr>
      <w:r w:rsidRPr="001B59BE">
        <w:rPr>
          <w:rFonts w:ascii="Arial" w:hAnsi="Arial" w:cs="Arial"/>
          <w:b/>
          <w:color w:val="auto"/>
        </w:rPr>
        <w:t xml:space="preserve">Expectations of </w:t>
      </w:r>
      <w:r w:rsidR="005416AD" w:rsidRPr="001B59BE">
        <w:rPr>
          <w:rFonts w:ascii="Arial" w:hAnsi="Arial" w:cs="Arial"/>
          <w:b/>
          <w:color w:val="auto"/>
        </w:rPr>
        <w:t>p</w:t>
      </w:r>
      <w:r w:rsidRPr="001B59BE">
        <w:rPr>
          <w:rFonts w:ascii="Arial" w:hAnsi="Arial" w:cs="Arial"/>
          <w:b/>
          <w:color w:val="auto"/>
        </w:rPr>
        <w:t>roviders</w:t>
      </w:r>
    </w:p>
    <w:p w14:paraId="2DFFD3E4" w14:textId="77777777" w:rsidR="00ED4AB7" w:rsidRPr="00D12F47" w:rsidRDefault="00ED4AB7" w:rsidP="00ED4AB7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>Service Providers will:</w:t>
      </w:r>
    </w:p>
    <w:p w14:paraId="4A7092DE" w14:textId="43A2F8DF" w:rsidR="00ED4AB7" w:rsidRPr="00D12F47" w:rsidRDefault="00ED4AB7" w:rsidP="007E017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Act reasonably and in accordance with </w:t>
      </w:r>
      <w:r w:rsidR="000B4784" w:rsidRPr="00D12F47">
        <w:rPr>
          <w:rFonts w:ascii="Arial" w:hAnsi="Arial" w:cs="Arial"/>
          <w:color w:val="auto"/>
          <w:sz w:val="24"/>
          <w:szCs w:val="24"/>
        </w:rPr>
        <w:t>Victoria’s public heath orders to reduce worker mobility</w:t>
      </w:r>
      <w:r w:rsidRPr="00D12F47">
        <w:rPr>
          <w:rFonts w:ascii="Arial" w:hAnsi="Arial" w:cs="Arial"/>
          <w:color w:val="auto"/>
          <w:sz w:val="24"/>
          <w:szCs w:val="24"/>
        </w:rPr>
        <w:t>, these guidelines and workplace laws</w:t>
      </w:r>
      <w:r w:rsidR="000F0E44" w:rsidRPr="00D12F47">
        <w:rPr>
          <w:rFonts w:ascii="Arial" w:hAnsi="Arial" w:cs="Arial"/>
          <w:color w:val="auto"/>
          <w:sz w:val="24"/>
          <w:szCs w:val="24"/>
        </w:rPr>
        <w:t>.</w:t>
      </w:r>
    </w:p>
    <w:p w14:paraId="5BBF1B99" w14:textId="5E325881" w:rsidR="00ED4AB7" w:rsidRPr="00D12F47" w:rsidRDefault="00ED4AB7" w:rsidP="007E017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Adhere to the guidelines to preserve the safety of </w:t>
      </w:r>
      <w:r w:rsidR="005416AD" w:rsidRPr="00D12F47">
        <w:rPr>
          <w:rFonts w:ascii="Arial" w:hAnsi="Arial" w:cs="Arial"/>
          <w:color w:val="auto"/>
          <w:sz w:val="24"/>
          <w:szCs w:val="24"/>
        </w:rPr>
        <w:t xml:space="preserve">residents </w:t>
      </w:r>
      <w:r w:rsidRPr="00D12F47">
        <w:rPr>
          <w:rFonts w:ascii="Arial" w:hAnsi="Arial" w:cs="Arial"/>
          <w:color w:val="auto"/>
          <w:sz w:val="24"/>
          <w:szCs w:val="24"/>
        </w:rPr>
        <w:t>and their workers</w:t>
      </w:r>
      <w:r w:rsidR="000F0E44" w:rsidRPr="00D12F47">
        <w:rPr>
          <w:rFonts w:ascii="Arial" w:hAnsi="Arial" w:cs="Arial"/>
          <w:color w:val="auto"/>
          <w:sz w:val="24"/>
          <w:szCs w:val="24"/>
        </w:rPr>
        <w:t>.</w:t>
      </w:r>
    </w:p>
    <w:p w14:paraId="4D92AB53" w14:textId="4C7A305E" w:rsidR="00E7513F" w:rsidRPr="00D12F47" w:rsidRDefault="00E7513F" w:rsidP="007E017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Seek to ensure coordination of rosters of workers to maximise the number of hours to be offered to workers and minimise reduced hours offered by </w:t>
      </w:r>
      <w:r w:rsidR="005416AD" w:rsidRPr="00D12F47">
        <w:rPr>
          <w:rFonts w:ascii="Arial" w:hAnsi="Arial" w:cs="Arial"/>
          <w:color w:val="auto"/>
          <w:sz w:val="24"/>
          <w:szCs w:val="24"/>
        </w:rPr>
        <w:t>p</w:t>
      </w:r>
      <w:r w:rsidRPr="00D12F47">
        <w:rPr>
          <w:rFonts w:ascii="Arial" w:hAnsi="Arial" w:cs="Arial"/>
          <w:color w:val="auto"/>
          <w:sz w:val="24"/>
          <w:szCs w:val="24"/>
        </w:rPr>
        <w:t>roviders</w:t>
      </w:r>
      <w:r w:rsidR="000F0E44" w:rsidRPr="00D12F47">
        <w:rPr>
          <w:rFonts w:ascii="Arial" w:hAnsi="Arial" w:cs="Arial"/>
          <w:color w:val="auto"/>
          <w:sz w:val="24"/>
          <w:szCs w:val="24"/>
        </w:rPr>
        <w:t>.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EC37AD4" w14:textId="069E6862" w:rsidR="00E7513F" w:rsidRPr="00D12F47" w:rsidRDefault="00E7513F" w:rsidP="007E017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Provide employees </w:t>
      </w:r>
      <w:r w:rsidR="00280163" w:rsidRPr="00D12F47">
        <w:rPr>
          <w:rFonts w:ascii="Arial" w:hAnsi="Arial" w:cs="Arial"/>
          <w:color w:val="auto"/>
          <w:sz w:val="24"/>
          <w:szCs w:val="24"/>
        </w:rPr>
        <w:t xml:space="preserve">or casual staff </w:t>
      </w:r>
      <w:r w:rsidRPr="00D12F47">
        <w:rPr>
          <w:rFonts w:ascii="Arial" w:hAnsi="Arial" w:cs="Arial"/>
          <w:color w:val="auto"/>
          <w:sz w:val="24"/>
          <w:szCs w:val="24"/>
        </w:rPr>
        <w:t>with extra shifts, where operational requirements allow, to make up for shifts they have foregon</w:t>
      </w:r>
      <w:r w:rsidR="005416AD" w:rsidRPr="00D12F47">
        <w:rPr>
          <w:rFonts w:ascii="Arial" w:hAnsi="Arial" w:cs="Arial"/>
          <w:color w:val="auto"/>
          <w:sz w:val="24"/>
          <w:szCs w:val="24"/>
        </w:rPr>
        <w:t>e</w:t>
      </w:r>
      <w:r w:rsidR="000F0E44" w:rsidRPr="00D12F47">
        <w:rPr>
          <w:rFonts w:ascii="Arial" w:hAnsi="Arial" w:cs="Arial"/>
          <w:color w:val="auto"/>
          <w:sz w:val="24"/>
          <w:szCs w:val="24"/>
        </w:rPr>
        <w:t>.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FB2AA6B" w14:textId="28BED464" w:rsidR="00B85E8D" w:rsidRPr="00D12F47" w:rsidRDefault="0010705F" w:rsidP="007E017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Provide evidence of reasonable effort to restrict mobility including the provision of </w:t>
      </w:r>
      <w:r w:rsidR="001D4A36" w:rsidRPr="00D12F47">
        <w:rPr>
          <w:rFonts w:ascii="Arial" w:hAnsi="Arial" w:cs="Arial"/>
          <w:color w:val="auto"/>
          <w:sz w:val="24"/>
          <w:szCs w:val="24"/>
        </w:rPr>
        <w:t xml:space="preserve">periodic </w:t>
      </w:r>
      <w:r w:rsidR="005F3385" w:rsidRPr="00D12F47">
        <w:rPr>
          <w:rFonts w:ascii="Arial" w:hAnsi="Arial" w:cs="Arial"/>
          <w:color w:val="auto"/>
          <w:sz w:val="24"/>
          <w:szCs w:val="24"/>
        </w:rPr>
        <w:t xml:space="preserve">information on </w:t>
      </w:r>
      <w:r w:rsidRPr="00D12F47">
        <w:rPr>
          <w:rFonts w:ascii="Arial" w:hAnsi="Arial" w:cs="Arial"/>
          <w:color w:val="auto"/>
          <w:sz w:val="24"/>
          <w:szCs w:val="24"/>
        </w:rPr>
        <w:t>mobility of workers</w:t>
      </w:r>
      <w:r w:rsidR="006A6781" w:rsidRPr="00D12F47">
        <w:rPr>
          <w:rFonts w:ascii="Arial" w:hAnsi="Arial" w:cs="Arial"/>
          <w:color w:val="auto"/>
          <w:sz w:val="24"/>
          <w:szCs w:val="24"/>
        </w:rPr>
        <w:t xml:space="preserve"> linked to payment arrangements.</w:t>
      </w:r>
    </w:p>
    <w:p w14:paraId="7C4BCB2A" w14:textId="77777777" w:rsidR="00506BEF" w:rsidRPr="00D12F47" w:rsidRDefault="005416AD" w:rsidP="00CF6135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2BDF449" w14:textId="77777777" w:rsidR="00886AC7" w:rsidRPr="001B59BE" w:rsidRDefault="00886AC7" w:rsidP="001B59BE">
      <w:pPr>
        <w:pStyle w:val="Heading2"/>
        <w:rPr>
          <w:rFonts w:ascii="Arial" w:hAnsi="Arial" w:cs="Arial"/>
          <w:b/>
          <w:color w:val="auto"/>
        </w:rPr>
      </w:pPr>
      <w:r w:rsidRPr="001B59BE">
        <w:rPr>
          <w:rFonts w:ascii="Arial" w:hAnsi="Arial" w:cs="Arial"/>
          <w:b/>
          <w:color w:val="auto"/>
        </w:rPr>
        <w:t xml:space="preserve">Stakeholder engagement </w:t>
      </w:r>
    </w:p>
    <w:p w14:paraId="47FB7BF8" w14:textId="77777777" w:rsidR="00FD63C9" w:rsidRPr="00FD63C9" w:rsidRDefault="00E55039" w:rsidP="00FD63C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8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>Governments are committed to ongoing engagement with all relevant s</w:t>
      </w:r>
      <w:r w:rsidR="00886AC7" w:rsidRPr="00D12F47">
        <w:rPr>
          <w:rFonts w:ascii="Arial" w:hAnsi="Arial" w:cs="Arial"/>
          <w:color w:val="auto"/>
          <w:sz w:val="24"/>
          <w:szCs w:val="24"/>
        </w:rPr>
        <w:t>takeholder</w:t>
      </w:r>
      <w:r w:rsidRPr="00D12F47">
        <w:rPr>
          <w:rFonts w:ascii="Arial" w:hAnsi="Arial" w:cs="Arial"/>
          <w:color w:val="auto"/>
          <w:sz w:val="24"/>
          <w:szCs w:val="24"/>
        </w:rPr>
        <w:t>s, including unions, p</w:t>
      </w:r>
      <w:r w:rsidR="00C2784B" w:rsidRPr="00D12F47">
        <w:rPr>
          <w:rFonts w:ascii="Arial" w:hAnsi="Arial" w:cs="Arial"/>
          <w:color w:val="auto"/>
          <w:sz w:val="24"/>
          <w:szCs w:val="24"/>
        </w:rPr>
        <w:t xml:space="preserve">eak bodies, </w:t>
      </w:r>
      <w:r w:rsidRPr="00D12F47">
        <w:rPr>
          <w:rFonts w:ascii="Arial" w:hAnsi="Arial" w:cs="Arial"/>
          <w:color w:val="auto"/>
          <w:sz w:val="24"/>
          <w:szCs w:val="24"/>
        </w:rPr>
        <w:t>and advocacy organisations.</w:t>
      </w:r>
    </w:p>
    <w:p w14:paraId="5DF336C5" w14:textId="77777777" w:rsidR="00FD63C9" w:rsidRPr="00FD63C9" w:rsidRDefault="00FD63C9" w:rsidP="00FD6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8"/>
          <w:szCs w:val="24"/>
        </w:rPr>
      </w:pPr>
    </w:p>
    <w:p w14:paraId="2DBE970B" w14:textId="5C627855" w:rsidR="00FD63C9" w:rsidRPr="001B59BE" w:rsidRDefault="00E7513F" w:rsidP="001B59BE">
      <w:pPr>
        <w:pStyle w:val="Heading2"/>
        <w:rPr>
          <w:rFonts w:ascii="Arial" w:hAnsi="Arial" w:cs="Arial"/>
          <w:b/>
          <w:color w:val="auto"/>
        </w:rPr>
      </w:pPr>
      <w:r w:rsidRPr="001B59BE">
        <w:rPr>
          <w:rFonts w:ascii="Arial" w:hAnsi="Arial" w:cs="Arial"/>
          <w:b/>
          <w:color w:val="auto"/>
        </w:rPr>
        <w:t>Operational principles</w:t>
      </w:r>
      <w:bookmarkStart w:id="2" w:name="_Hlk49767932"/>
    </w:p>
    <w:p w14:paraId="48AF2E6B" w14:textId="77777777" w:rsidR="00FD63C9" w:rsidRDefault="00FD63C9" w:rsidP="00D12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453EDE48" w14:textId="5DC37078" w:rsidR="004D50B3" w:rsidRPr="00D12F47" w:rsidRDefault="00D12F47" w:rsidP="00D12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Payment</w:t>
      </w:r>
    </w:p>
    <w:p w14:paraId="28CC68DD" w14:textId="4AB6EE51" w:rsidR="00886AC7" w:rsidRPr="00D12F47" w:rsidRDefault="00280163" w:rsidP="00AE46B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 xml:space="preserve">The Department of Health and Human Services will make payment to state funded ‘transfer’ providers </w:t>
      </w:r>
      <w:r w:rsidR="003D71F4" w:rsidRPr="00D12F47">
        <w:rPr>
          <w:rFonts w:ascii="Arial" w:hAnsi="Arial" w:cs="Arial"/>
          <w:color w:val="auto"/>
          <w:sz w:val="24"/>
          <w:szCs w:val="24"/>
        </w:rPr>
        <w:t xml:space="preserve">though existing </w:t>
      </w:r>
      <w:r w:rsidR="006D2CD0" w:rsidRPr="00D12F47">
        <w:rPr>
          <w:rFonts w:ascii="Arial" w:hAnsi="Arial" w:cs="Arial"/>
          <w:color w:val="auto"/>
          <w:sz w:val="24"/>
          <w:szCs w:val="24"/>
        </w:rPr>
        <w:t xml:space="preserve">contractual </w:t>
      </w:r>
      <w:r w:rsidR="003D71F4" w:rsidRPr="00D12F47">
        <w:rPr>
          <w:rFonts w:ascii="Arial" w:hAnsi="Arial" w:cs="Arial"/>
          <w:color w:val="auto"/>
          <w:sz w:val="24"/>
          <w:szCs w:val="24"/>
        </w:rPr>
        <w:t>funding mechanisms</w:t>
      </w:r>
      <w:r w:rsidR="00B62835" w:rsidRPr="00D12F47">
        <w:rPr>
          <w:rFonts w:ascii="Arial" w:hAnsi="Arial" w:cs="Arial"/>
          <w:color w:val="auto"/>
          <w:sz w:val="24"/>
          <w:szCs w:val="24"/>
        </w:rPr>
        <w:t xml:space="preserve"> and acquittal of actual costs.</w:t>
      </w:r>
      <w:r w:rsidR="004D50B3" w:rsidRPr="00D12F47">
        <w:rPr>
          <w:rFonts w:ascii="Arial" w:hAnsi="Arial" w:cs="Arial"/>
          <w:color w:val="auto"/>
          <w:sz w:val="24"/>
          <w:szCs w:val="24"/>
        </w:rPr>
        <w:br/>
      </w:r>
      <w:r w:rsidRPr="00D12F47">
        <w:rPr>
          <w:rFonts w:ascii="Arial" w:hAnsi="Arial" w:cs="Arial"/>
          <w:color w:val="auto"/>
          <w:sz w:val="24"/>
          <w:szCs w:val="24"/>
        </w:rPr>
        <w:t>The National Disability Insurance Agen</w:t>
      </w:r>
      <w:r w:rsidR="003D71F4" w:rsidRPr="00D12F47">
        <w:rPr>
          <w:rFonts w:ascii="Arial" w:hAnsi="Arial" w:cs="Arial"/>
          <w:color w:val="auto"/>
          <w:sz w:val="24"/>
          <w:szCs w:val="24"/>
        </w:rPr>
        <w:t>c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y </w:t>
      </w:r>
      <w:r w:rsidR="003D71F4" w:rsidRPr="00D12F47">
        <w:rPr>
          <w:rFonts w:ascii="Arial" w:hAnsi="Arial" w:cs="Arial"/>
          <w:color w:val="auto"/>
          <w:sz w:val="24"/>
          <w:szCs w:val="24"/>
        </w:rPr>
        <w:t>will make payment to NDIS registered providers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 </w:t>
      </w:r>
      <w:r w:rsidR="003D71F4" w:rsidRPr="00D12F47">
        <w:rPr>
          <w:rFonts w:ascii="Arial" w:hAnsi="Arial" w:cs="Arial"/>
          <w:color w:val="auto"/>
          <w:sz w:val="24"/>
          <w:szCs w:val="24"/>
        </w:rPr>
        <w:t>through existing funding mechanisms.</w:t>
      </w:r>
    </w:p>
    <w:p w14:paraId="257C6456" w14:textId="77777777" w:rsidR="004D50B3" w:rsidRPr="00D12F47" w:rsidRDefault="004D50B3" w:rsidP="004D50B3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auto"/>
          <w:sz w:val="24"/>
          <w:szCs w:val="24"/>
        </w:rPr>
      </w:pPr>
    </w:p>
    <w:bookmarkEnd w:id="2"/>
    <w:p w14:paraId="6F135E75" w14:textId="183370A3" w:rsidR="004D50B3" w:rsidRPr="00D12F47" w:rsidRDefault="004D50B3" w:rsidP="00D12F47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>Compliance and Audit</w:t>
      </w:r>
    </w:p>
    <w:p w14:paraId="244BD95F" w14:textId="1EA6809F" w:rsidR="00886AC7" w:rsidRPr="00D12F47" w:rsidRDefault="003D71F4" w:rsidP="00210EB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2F47">
        <w:rPr>
          <w:rFonts w:ascii="Arial" w:hAnsi="Arial" w:cs="Arial"/>
          <w:color w:val="auto"/>
          <w:sz w:val="24"/>
          <w:szCs w:val="24"/>
        </w:rPr>
        <w:t>All providers will ensure</w:t>
      </w:r>
      <w:r w:rsidR="00BA7549" w:rsidRPr="00D12F47">
        <w:rPr>
          <w:rFonts w:ascii="Arial" w:hAnsi="Arial" w:cs="Arial"/>
          <w:color w:val="auto"/>
          <w:sz w:val="24"/>
          <w:szCs w:val="24"/>
        </w:rPr>
        <w:t xml:space="preserve"> sufficient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 evidence is available of relevant costs incurred consistent with existing compliance and audit requirements</w:t>
      </w:r>
      <w:r w:rsidR="000F0E44" w:rsidRPr="00D12F47">
        <w:rPr>
          <w:rFonts w:ascii="Arial" w:hAnsi="Arial" w:cs="Arial"/>
          <w:color w:val="auto"/>
          <w:sz w:val="24"/>
          <w:szCs w:val="24"/>
        </w:rPr>
        <w:t>.</w:t>
      </w:r>
      <w:r w:rsidR="004D50B3" w:rsidRPr="00D12F47">
        <w:rPr>
          <w:rFonts w:ascii="Arial" w:hAnsi="Arial" w:cs="Arial"/>
          <w:color w:val="auto"/>
          <w:sz w:val="24"/>
          <w:szCs w:val="24"/>
        </w:rPr>
        <w:br/>
      </w:r>
      <w:r w:rsidRPr="00D12F47">
        <w:rPr>
          <w:rFonts w:ascii="Arial" w:hAnsi="Arial" w:cs="Arial"/>
          <w:color w:val="auto"/>
          <w:sz w:val="24"/>
          <w:szCs w:val="24"/>
        </w:rPr>
        <w:t>This would include periodic reporting on the level of mobility of workers across sites e.g</w:t>
      </w:r>
      <w:r w:rsidR="001D4A36" w:rsidRPr="00D12F47">
        <w:rPr>
          <w:rFonts w:ascii="Arial" w:hAnsi="Arial" w:cs="Arial"/>
          <w:color w:val="auto"/>
          <w:sz w:val="24"/>
          <w:szCs w:val="24"/>
        </w:rPr>
        <w:t>.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 the number of workers working across one, two or more sites</w:t>
      </w:r>
      <w:r w:rsidR="005A313D" w:rsidRPr="00D12F47">
        <w:rPr>
          <w:rFonts w:ascii="Arial" w:hAnsi="Arial" w:cs="Arial"/>
          <w:color w:val="auto"/>
          <w:sz w:val="24"/>
          <w:szCs w:val="24"/>
        </w:rPr>
        <w:t>, based on monthly roster cycles</w:t>
      </w:r>
      <w:r w:rsidR="04163A8E" w:rsidRPr="00D12F47">
        <w:rPr>
          <w:rFonts w:ascii="Arial" w:hAnsi="Arial" w:cs="Arial"/>
          <w:color w:val="auto"/>
          <w:sz w:val="24"/>
          <w:szCs w:val="24"/>
        </w:rPr>
        <w:t>.</w:t>
      </w:r>
      <w:r w:rsidRPr="00D12F47">
        <w:rPr>
          <w:rFonts w:ascii="Arial" w:hAnsi="Arial" w:cs="Arial"/>
          <w:color w:val="auto"/>
          <w:sz w:val="24"/>
          <w:szCs w:val="24"/>
        </w:rPr>
        <w:t xml:space="preserve">  </w:t>
      </w:r>
    </w:p>
    <w:sectPr w:rsidR="00886AC7" w:rsidRPr="00D12F47" w:rsidSect="004E5BFA">
      <w:footerReference w:type="default" r:id="rId11"/>
      <w:headerReference w:type="first" r:id="rId12"/>
      <w:footerReference w:type="first" r:id="rId13"/>
      <w:pgSz w:w="11906" w:h="16838"/>
      <w:pgMar w:top="1985" w:right="1077" w:bottom="1304" w:left="1077" w:header="709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21F6" w14:textId="77777777" w:rsidR="003E6D49" w:rsidRDefault="003E6D49" w:rsidP="009940A0">
      <w:r>
        <w:separator/>
      </w:r>
    </w:p>
  </w:endnote>
  <w:endnote w:type="continuationSeparator" w:id="0">
    <w:p w14:paraId="216E77CC" w14:textId="77777777" w:rsidR="003E6D49" w:rsidRDefault="003E6D49" w:rsidP="009940A0">
      <w:r>
        <w:continuationSeparator/>
      </w:r>
    </w:p>
  </w:endnote>
  <w:endnote w:type="continuationNotice" w:id="1">
    <w:p w14:paraId="7F19D05B" w14:textId="77777777" w:rsidR="003E6D49" w:rsidRDefault="003E6D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CD82" w14:textId="1CD23DB5" w:rsidR="00CF6135" w:rsidRDefault="00800068" w:rsidP="00FD63C9">
    <w:pPr>
      <w:pStyle w:val="NoSpacing"/>
      <w:tabs>
        <w:tab w:val="right" w:pos="9752"/>
      </w:tabs>
      <w:rPr>
        <w:rFonts w:ascii="Arial" w:hAnsi="Arial" w:cs="Arial"/>
        <w:color w:val="6B2976"/>
      </w:rPr>
    </w:pPr>
    <w:hyperlink r:id="rId1" w:history="1">
      <w:r w:rsidR="00FD63C9" w:rsidRPr="007E017F">
        <w:rPr>
          <w:rStyle w:val="Hyperlink"/>
          <w:rFonts w:ascii="Arial" w:hAnsi="Arial" w:cs="Arial"/>
          <w:color w:val="6B2976"/>
        </w:rPr>
        <w:t>www.ndis.gov.au</w:t>
      </w:r>
    </w:hyperlink>
    <w:r w:rsidR="00FD63C9">
      <w:rPr>
        <w:rFonts w:ascii="Arial" w:hAnsi="Arial" w:cs="Arial"/>
        <w:color w:val="6B2976"/>
      </w:rPr>
      <w:tab/>
      <w:t>1 September 2020</w:t>
    </w:r>
  </w:p>
  <w:p w14:paraId="4895FCE7" w14:textId="77777777" w:rsidR="00FD63C9" w:rsidRPr="00FD63C9" w:rsidRDefault="00FD63C9" w:rsidP="00FD63C9">
    <w:pPr>
      <w:pStyle w:val="NoSpacing"/>
      <w:tabs>
        <w:tab w:val="right" w:pos="9752"/>
      </w:tabs>
      <w:rPr>
        <w:rFonts w:ascii="Arial" w:hAnsi="Arial" w:cs="Arial"/>
        <w:color w:val="6B297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B136" w14:textId="409C2567" w:rsidR="007E017F" w:rsidRPr="007E017F" w:rsidRDefault="00800068" w:rsidP="00FD63C9">
    <w:pPr>
      <w:tabs>
        <w:tab w:val="right" w:pos="9752"/>
      </w:tabs>
      <w:rPr>
        <w:rFonts w:ascii="Arial" w:hAnsi="Arial" w:cs="Arial"/>
        <w:color w:val="6B2976"/>
      </w:rPr>
    </w:pPr>
    <w:hyperlink r:id="rId1" w:history="1">
      <w:r w:rsidR="007E017F" w:rsidRPr="007E017F">
        <w:rPr>
          <w:rStyle w:val="Hyperlink"/>
          <w:rFonts w:ascii="Arial" w:hAnsi="Arial" w:cs="Arial"/>
          <w:color w:val="6B2976"/>
        </w:rPr>
        <w:t>www.ndis.gov.au</w:t>
      </w:r>
    </w:hyperlink>
    <w:r w:rsidR="00FD63C9">
      <w:rPr>
        <w:rStyle w:val="Hyperlink"/>
        <w:rFonts w:ascii="Arial" w:hAnsi="Arial" w:cs="Arial"/>
        <w:color w:val="6B2976"/>
      </w:rPr>
      <w:tab/>
    </w:r>
    <w:r w:rsidR="004D50B3">
      <w:rPr>
        <w:rFonts w:ascii="Arial" w:hAnsi="Arial" w:cs="Arial"/>
        <w:color w:val="6B2976"/>
      </w:rPr>
      <w:t>1 September 2020</w:t>
    </w:r>
  </w:p>
  <w:p w14:paraId="621BC0EF" w14:textId="245E112B" w:rsidR="00CF6135" w:rsidRDefault="00CF6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F345" w14:textId="77777777" w:rsidR="003E6D49" w:rsidRDefault="003E6D49" w:rsidP="009940A0">
      <w:r>
        <w:separator/>
      </w:r>
    </w:p>
  </w:footnote>
  <w:footnote w:type="continuationSeparator" w:id="0">
    <w:p w14:paraId="697076D4" w14:textId="77777777" w:rsidR="003E6D49" w:rsidRDefault="003E6D49" w:rsidP="009940A0">
      <w:r>
        <w:continuationSeparator/>
      </w:r>
    </w:p>
  </w:footnote>
  <w:footnote w:type="continuationNotice" w:id="1">
    <w:p w14:paraId="75EB1C16" w14:textId="77777777" w:rsidR="003E6D49" w:rsidRDefault="003E6D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E111" w14:textId="4DFB581E" w:rsidR="007E017F" w:rsidRDefault="007E017F" w:rsidP="004E5BFA">
    <w:pPr>
      <w:pStyle w:val="Header"/>
      <w:tabs>
        <w:tab w:val="clear" w:pos="4513"/>
        <w:tab w:val="clear" w:pos="9026"/>
        <w:tab w:val="right" w:pos="9752"/>
      </w:tabs>
      <w:jc w:val="right"/>
    </w:pPr>
    <w:r>
      <w:rPr>
        <w:noProof/>
        <w:lang w:eastAsia="en-AU"/>
      </w:rPr>
      <w:drawing>
        <wp:inline distT="0" distB="0" distL="0" distR="0" wp14:anchorId="5070A7C9" wp14:editId="6CF53F05">
          <wp:extent cx="1226820" cy="640715"/>
          <wp:effectExtent l="0" t="0" r="0" b="6985"/>
          <wp:docPr id="7" name="Picture 7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652F76"/>
        <w:sz w:val="72"/>
      </w:rPr>
      <w:tab/>
    </w:r>
    <w:r>
      <w:rPr>
        <w:b/>
        <w:color w:val="652F76"/>
        <w:sz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EF9"/>
    <w:multiLevelType w:val="hybridMultilevel"/>
    <w:tmpl w:val="BF860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1F3"/>
    <w:multiLevelType w:val="hybridMultilevel"/>
    <w:tmpl w:val="0E1A39A4"/>
    <w:lvl w:ilvl="0" w:tplc="43C44C94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910"/>
    <w:multiLevelType w:val="hybridMultilevel"/>
    <w:tmpl w:val="3CDE8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536C"/>
    <w:multiLevelType w:val="hybridMultilevel"/>
    <w:tmpl w:val="355E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234F"/>
    <w:multiLevelType w:val="hybridMultilevel"/>
    <w:tmpl w:val="DC206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34F5"/>
    <w:multiLevelType w:val="hybridMultilevel"/>
    <w:tmpl w:val="B53A1710"/>
    <w:lvl w:ilvl="0" w:tplc="3BA232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3C16"/>
    <w:multiLevelType w:val="hybridMultilevel"/>
    <w:tmpl w:val="AFFA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94D66"/>
    <w:multiLevelType w:val="hybridMultilevel"/>
    <w:tmpl w:val="FBA48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4383"/>
    <w:multiLevelType w:val="hybridMultilevel"/>
    <w:tmpl w:val="FE7A1128"/>
    <w:lvl w:ilvl="0" w:tplc="894E147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228D"/>
    <w:multiLevelType w:val="hybridMultilevel"/>
    <w:tmpl w:val="80D4C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505B5"/>
    <w:multiLevelType w:val="hybridMultilevel"/>
    <w:tmpl w:val="C722E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638BE"/>
    <w:multiLevelType w:val="hybridMultilevel"/>
    <w:tmpl w:val="0E80C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1544"/>
    <w:multiLevelType w:val="hybridMultilevel"/>
    <w:tmpl w:val="D4C2D350"/>
    <w:lvl w:ilvl="0" w:tplc="E5441C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E759A"/>
    <w:multiLevelType w:val="hybridMultilevel"/>
    <w:tmpl w:val="D390C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0ADA"/>
    <w:multiLevelType w:val="hybridMultilevel"/>
    <w:tmpl w:val="FCC26904"/>
    <w:lvl w:ilvl="0" w:tplc="43C44C94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E2876"/>
    <w:multiLevelType w:val="hybridMultilevel"/>
    <w:tmpl w:val="DB3E9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94857"/>
    <w:multiLevelType w:val="hybridMultilevel"/>
    <w:tmpl w:val="D24A08EA"/>
    <w:lvl w:ilvl="0" w:tplc="43C44C94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EBC"/>
    <w:multiLevelType w:val="hybridMultilevel"/>
    <w:tmpl w:val="89D407DC"/>
    <w:lvl w:ilvl="0" w:tplc="43C44C94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00994"/>
    <w:multiLevelType w:val="hybridMultilevel"/>
    <w:tmpl w:val="61E87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50E5"/>
    <w:multiLevelType w:val="hybridMultilevel"/>
    <w:tmpl w:val="6F7EB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D3791"/>
    <w:multiLevelType w:val="hybridMultilevel"/>
    <w:tmpl w:val="E006FDE6"/>
    <w:lvl w:ilvl="0" w:tplc="43C44C94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32F41"/>
    <w:multiLevelType w:val="hybridMultilevel"/>
    <w:tmpl w:val="1B2A8CFC"/>
    <w:lvl w:ilvl="0" w:tplc="43C44C94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1" w:tplc="52C85D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plc="17ACA7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plc="79F2B3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5EA8CC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plc="1FDA30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plc="974A7B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plc="DFD80A1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plc="4BD2193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4844DF"/>
    <w:multiLevelType w:val="hybridMultilevel"/>
    <w:tmpl w:val="A2E4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B10A6"/>
    <w:multiLevelType w:val="hybridMultilevel"/>
    <w:tmpl w:val="7958C2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13B3B"/>
    <w:multiLevelType w:val="hybridMultilevel"/>
    <w:tmpl w:val="1B365C5A"/>
    <w:lvl w:ilvl="0" w:tplc="43C44C94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139E2"/>
    <w:multiLevelType w:val="hybridMultilevel"/>
    <w:tmpl w:val="88409C98"/>
    <w:lvl w:ilvl="0" w:tplc="43C44C94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1"/>
  </w:num>
  <w:num w:numId="5">
    <w:abstractNumId w:val="3"/>
  </w:num>
  <w:num w:numId="6">
    <w:abstractNumId w:val="11"/>
  </w:num>
  <w:num w:numId="7">
    <w:abstractNumId w:val="18"/>
  </w:num>
  <w:num w:numId="8">
    <w:abstractNumId w:val="22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23"/>
  </w:num>
  <w:num w:numId="14">
    <w:abstractNumId w:val="19"/>
  </w:num>
  <w:num w:numId="15">
    <w:abstractNumId w:val="10"/>
  </w:num>
  <w:num w:numId="16">
    <w:abstractNumId w:val="6"/>
  </w:num>
  <w:num w:numId="17">
    <w:abstractNumId w:val="2"/>
  </w:num>
  <w:num w:numId="18">
    <w:abstractNumId w:val="13"/>
  </w:num>
  <w:num w:numId="19">
    <w:abstractNumId w:val="4"/>
  </w:num>
  <w:num w:numId="20">
    <w:abstractNumId w:val="24"/>
  </w:num>
  <w:num w:numId="21">
    <w:abstractNumId w:val="25"/>
  </w:num>
  <w:num w:numId="22">
    <w:abstractNumId w:val="16"/>
  </w:num>
  <w:num w:numId="23">
    <w:abstractNumId w:val="20"/>
  </w:num>
  <w:num w:numId="24">
    <w:abstractNumId w:val="1"/>
  </w:num>
  <w:num w:numId="25">
    <w:abstractNumId w:val="14"/>
  </w:num>
  <w:num w:numId="26">
    <w:abstractNumId w:val="17"/>
  </w:num>
  <w:num w:numId="27">
    <w:abstractNumId w:val="5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C7"/>
    <w:rsid w:val="00000154"/>
    <w:rsid w:val="00001683"/>
    <w:rsid w:val="00003245"/>
    <w:rsid w:val="00003A54"/>
    <w:rsid w:val="00015E38"/>
    <w:rsid w:val="000160AB"/>
    <w:rsid w:val="00016D8E"/>
    <w:rsid w:val="00017D38"/>
    <w:rsid w:val="00017EBE"/>
    <w:rsid w:val="00025659"/>
    <w:rsid w:val="0002575F"/>
    <w:rsid w:val="00027269"/>
    <w:rsid w:val="000273C1"/>
    <w:rsid w:val="00032B1A"/>
    <w:rsid w:val="00032E5E"/>
    <w:rsid w:val="000357BC"/>
    <w:rsid w:val="00043C83"/>
    <w:rsid w:val="000518E4"/>
    <w:rsid w:val="00051F77"/>
    <w:rsid w:val="000522AB"/>
    <w:rsid w:val="000536C5"/>
    <w:rsid w:val="00053FB9"/>
    <w:rsid w:val="00054F56"/>
    <w:rsid w:val="0006119D"/>
    <w:rsid w:val="00062490"/>
    <w:rsid w:val="000642C8"/>
    <w:rsid w:val="000672B3"/>
    <w:rsid w:val="00070990"/>
    <w:rsid w:val="000742A1"/>
    <w:rsid w:val="00076F66"/>
    <w:rsid w:val="000770A0"/>
    <w:rsid w:val="00077FF8"/>
    <w:rsid w:val="0008706F"/>
    <w:rsid w:val="00092CAF"/>
    <w:rsid w:val="00094689"/>
    <w:rsid w:val="000953C6"/>
    <w:rsid w:val="00096E81"/>
    <w:rsid w:val="000A1B85"/>
    <w:rsid w:val="000A2FE0"/>
    <w:rsid w:val="000A4E80"/>
    <w:rsid w:val="000A50AD"/>
    <w:rsid w:val="000A5CC8"/>
    <w:rsid w:val="000B0D24"/>
    <w:rsid w:val="000B268B"/>
    <w:rsid w:val="000B4784"/>
    <w:rsid w:val="000C16E7"/>
    <w:rsid w:val="000C2562"/>
    <w:rsid w:val="000C58BC"/>
    <w:rsid w:val="000D0965"/>
    <w:rsid w:val="000D3557"/>
    <w:rsid w:val="000E092A"/>
    <w:rsid w:val="000E6261"/>
    <w:rsid w:val="000E63C3"/>
    <w:rsid w:val="000F0E44"/>
    <w:rsid w:val="000F26EE"/>
    <w:rsid w:val="000F605C"/>
    <w:rsid w:val="00106EC3"/>
    <w:rsid w:val="0010705F"/>
    <w:rsid w:val="00124833"/>
    <w:rsid w:val="001311FA"/>
    <w:rsid w:val="00134590"/>
    <w:rsid w:val="00142087"/>
    <w:rsid w:val="00142730"/>
    <w:rsid w:val="0014678B"/>
    <w:rsid w:val="0015337C"/>
    <w:rsid w:val="00155A82"/>
    <w:rsid w:val="00160721"/>
    <w:rsid w:val="0016081C"/>
    <w:rsid w:val="00161C3D"/>
    <w:rsid w:val="00162C5D"/>
    <w:rsid w:val="00165172"/>
    <w:rsid w:val="00166AFD"/>
    <w:rsid w:val="001677B9"/>
    <w:rsid w:val="00173CB5"/>
    <w:rsid w:val="00177591"/>
    <w:rsid w:val="001801D5"/>
    <w:rsid w:val="00180DD6"/>
    <w:rsid w:val="00181E79"/>
    <w:rsid w:val="0018444E"/>
    <w:rsid w:val="001B2619"/>
    <w:rsid w:val="001B4C25"/>
    <w:rsid w:val="001B59BE"/>
    <w:rsid w:val="001B6241"/>
    <w:rsid w:val="001C0D0F"/>
    <w:rsid w:val="001C0D1E"/>
    <w:rsid w:val="001C262E"/>
    <w:rsid w:val="001C7C22"/>
    <w:rsid w:val="001D2364"/>
    <w:rsid w:val="001D4A36"/>
    <w:rsid w:val="001E4A01"/>
    <w:rsid w:val="001E4A10"/>
    <w:rsid w:val="001E6F33"/>
    <w:rsid w:val="001F728D"/>
    <w:rsid w:val="00215488"/>
    <w:rsid w:val="00220FBD"/>
    <w:rsid w:val="002232F8"/>
    <w:rsid w:val="0022659E"/>
    <w:rsid w:val="00233345"/>
    <w:rsid w:val="00235063"/>
    <w:rsid w:val="002368DF"/>
    <w:rsid w:val="00240952"/>
    <w:rsid w:val="00241594"/>
    <w:rsid w:val="00241DE8"/>
    <w:rsid w:val="002453B6"/>
    <w:rsid w:val="0024546E"/>
    <w:rsid w:val="002473ED"/>
    <w:rsid w:val="00250143"/>
    <w:rsid w:val="00251B29"/>
    <w:rsid w:val="00252ACD"/>
    <w:rsid w:val="00274E3D"/>
    <w:rsid w:val="00274F73"/>
    <w:rsid w:val="00280163"/>
    <w:rsid w:val="0028305F"/>
    <w:rsid w:val="00285F19"/>
    <w:rsid w:val="0029008E"/>
    <w:rsid w:val="00294CCC"/>
    <w:rsid w:val="002A0156"/>
    <w:rsid w:val="002A1398"/>
    <w:rsid w:val="002A3A58"/>
    <w:rsid w:val="002A6BE5"/>
    <w:rsid w:val="002A6FE9"/>
    <w:rsid w:val="002B045E"/>
    <w:rsid w:val="002B0B73"/>
    <w:rsid w:val="002B5B44"/>
    <w:rsid w:val="002B756E"/>
    <w:rsid w:val="002B7C43"/>
    <w:rsid w:val="002C23C8"/>
    <w:rsid w:val="002C38BF"/>
    <w:rsid w:val="002C3F9D"/>
    <w:rsid w:val="002D17C9"/>
    <w:rsid w:val="002D375C"/>
    <w:rsid w:val="002E0FB8"/>
    <w:rsid w:val="002E37D4"/>
    <w:rsid w:val="002F0941"/>
    <w:rsid w:val="0030215D"/>
    <w:rsid w:val="00303359"/>
    <w:rsid w:val="0030415E"/>
    <w:rsid w:val="003069EB"/>
    <w:rsid w:val="003116CB"/>
    <w:rsid w:val="00312C5E"/>
    <w:rsid w:val="00312C65"/>
    <w:rsid w:val="00315579"/>
    <w:rsid w:val="003261D4"/>
    <w:rsid w:val="003313F7"/>
    <w:rsid w:val="00334DA6"/>
    <w:rsid w:val="00337548"/>
    <w:rsid w:val="003530F1"/>
    <w:rsid w:val="00360333"/>
    <w:rsid w:val="00364C15"/>
    <w:rsid w:val="0036602A"/>
    <w:rsid w:val="00370385"/>
    <w:rsid w:val="00372561"/>
    <w:rsid w:val="003869E1"/>
    <w:rsid w:val="003879B6"/>
    <w:rsid w:val="0039273B"/>
    <w:rsid w:val="003A2862"/>
    <w:rsid w:val="003B1FBF"/>
    <w:rsid w:val="003B6DFD"/>
    <w:rsid w:val="003C61A1"/>
    <w:rsid w:val="003D0E53"/>
    <w:rsid w:val="003D0F51"/>
    <w:rsid w:val="003D21CC"/>
    <w:rsid w:val="003D2DEF"/>
    <w:rsid w:val="003D397C"/>
    <w:rsid w:val="003D71F4"/>
    <w:rsid w:val="003E47C0"/>
    <w:rsid w:val="003E5674"/>
    <w:rsid w:val="003E6D49"/>
    <w:rsid w:val="004005B3"/>
    <w:rsid w:val="004005F1"/>
    <w:rsid w:val="00402A6F"/>
    <w:rsid w:val="0040326F"/>
    <w:rsid w:val="0041003D"/>
    <w:rsid w:val="00410639"/>
    <w:rsid w:val="00411FB2"/>
    <w:rsid w:val="00415289"/>
    <w:rsid w:val="00416101"/>
    <w:rsid w:val="004161D4"/>
    <w:rsid w:val="0042449C"/>
    <w:rsid w:val="00426076"/>
    <w:rsid w:val="00430BC3"/>
    <w:rsid w:val="004335E9"/>
    <w:rsid w:val="00441676"/>
    <w:rsid w:val="00441DFA"/>
    <w:rsid w:val="0044444E"/>
    <w:rsid w:val="00451A3D"/>
    <w:rsid w:val="00454895"/>
    <w:rsid w:val="00462AD8"/>
    <w:rsid w:val="00462BCB"/>
    <w:rsid w:val="00470723"/>
    <w:rsid w:val="00473259"/>
    <w:rsid w:val="004744A2"/>
    <w:rsid w:val="0047544F"/>
    <w:rsid w:val="00477B86"/>
    <w:rsid w:val="004826C3"/>
    <w:rsid w:val="0049094E"/>
    <w:rsid w:val="004916B3"/>
    <w:rsid w:val="00494A8B"/>
    <w:rsid w:val="004B0A2D"/>
    <w:rsid w:val="004B10BF"/>
    <w:rsid w:val="004B1E8F"/>
    <w:rsid w:val="004B4646"/>
    <w:rsid w:val="004B5F7A"/>
    <w:rsid w:val="004D50B3"/>
    <w:rsid w:val="004E1728"/>
    <w:rsid w:val="004E352D"/>
    <w:rsid w:val="004E3AEC"/>
    <w:rsid w:val="004E4D09"/>
    <w:rsid w:val="004E55A4"/>
    <w:rsid w:val="004E586F"/>
    <w:rsid w:val="004E5BFA"/>
    <w:rsid w:val="004F069F"/>
    <w:rsid w:val="004F20DA"/>
    <w:rsid w:val="004F7B4A"/>
    <w:rsid w:val="00503109"/>
    <w:rsid w:val="00506BEF"/>
    <w:rsid w:val="005135E9"/>
    <w:rsid w:val="005154A5"/>
    <w:rsid w:val="0052171E"/>
    <w:rsid w:val="005331CA"/>
    <w:rsid w:val="00534A68"/>
    <w:rsid w:val="00540222"/>
    <w:rsid w:val="005416AD"/>
    <w:rsid w:val="0054440F"/>
    <w:rsid w:val="0055046A"/>
    <w:rsid w:val="00550881"/>
    <w:rsid w:val="0055355C"/>
    <w:rsid w:val="0058040D"/>
    <w:rsid w:val="00582EE3"/>
    <w:rsid w:val="00585BB6"/>
    <w:rsid w:val="0059038F"/>
    <w:rsid w:val="00595240"/>
    <w:rsid w:val="005A259E"/>
    <w:rsid w:val="005A313D"/>
    <w:rsid w:val="005A4D0A"/>
    <w:rsid w:val="005A7A79"/>
    <w:rsid w:val="005A7DF9"/>
    <w:rsid w:val="005B33B6"/>
    <w:rsid w:val="005B6145"/>
    <w:rsid w:val="005C2606"/>
    <w:rsid w:val="005C3175"/>
    <w:rsid w:val="005C34B8"/>
    <w:rsid w:val="005D4FFC"/>
    <w:rsid w:val="005F0505"/>
    <w:rsid w:val="005F0D08"/>
    <w:rsid w:val="005F3385"/>
    <w:rsid w:val="005F37C1"/>
    <w:rsid w:val="005F4EBC"/>
    <w:rsid w:val="006064D4"/>
    <w:rsid w:val="006075B0"/>
    <w:rsid w:val="00607C23"/>
    <w:rsid w:val="00615E3F"/>
    <w:rsid w:val="00616319"/>
    <w:rsid w:val="00616512"/>
    <w:rsid w:val="00616699"/>
    <w:rsid w:val="00621590"/>
    <w:rsid w:val="00622FE5"/>
    <w:rsid w:val="0062365F"/>
    <w:rsid w:val="006248C0"/>
    <w:rsid w:val="00631912"/>
    <w:rsid w:val="00631C60"/>
    <w:rsid w:val="006324E4"/>
    <w:rsid w:val="0063413A"/>
    <w:rsid w:val="00635E7B"/>
    <w:rsid w:val="00643965"/>
    <w:rsid w:val="00645D73"/>
    <w:rsid w:val="00647A6D"/>
    <w:rsid w:val="00654620"/>
    <w:rsid w:val="00656395"/>
    <w:rsid w:val="006573E8"/>
    <w:rsid w:val="00661C47"/>
    <w:rsid w:val="00661E30"/>
    <w:rsid w:val="006656F4"/>
    <w:rsid w:val="00666A50"/>
    <w:rsid w:val="0067128A"/>
    <w:rsid w:val="00676628"/>
    <w:rsid w:val="006818E9"/>
    <w:rsid w:val="00681CA6"/>
    <w:rsid w:val="006851BC"/>
    <w:rsid w:val="006A3B99"/>
    <w:rsid w:val="006A52A3"/>
    <w:rsid w:val="006A6781"/>
    <w:rsid w:val="006B5061"/>
    <w:rsid w:val="006C676F"/>
    <w:rsid w:val="006D2CD0"/>
    <w:rsid w:val="006D308F"/>
    <w:rsid w:val="006D7077"/>
    <w:rsid w:val="006E2544"/>
    <w:rsid w:val="006E7440"/>
    <w:rsid w:val="006F3698"/>
    <w:rsid w:val="006F43F8"/>
    <w:rsid w:val="006F4777"/>
    <w:rsid w:val="006F4DC9"/>
    <w:rsid w:val="006F6102"/>
    <w:rsid w:val="00702655"/>
    <w:rsid w:val="007079DF"/>
    <w:rsid w:val="00712051"/>
    <w:rsid w:val="007123A4"/>
    <w:rsid w:val="00714237"/>
    <w:rsid w:val="007147C3"/>
    <w:rsid w:val="00731BB0"/>
    <w:rsid w:val="007349C9"/>
    <w:rsid w:val="00743882"/>
    <w:rsid w:val="00744131"/>
    <w:rsid w:val="007441B5"/>
    <w:rsid w:val="0075263C"/>
    <w:rsid w:val="00752769"/>
    <w:rsid w:val="00754FC5"/>
    <w:rsid w:val="00756A90"/>
    <w:rsid w:val="007625AD"/>
    <w:rsid w:val="007700DD"/>
    <w:rsid w:val="00770D81"/>
    <w:rsid w:val="007717E3"/>
    <w:rsid w:val="00772DAD"/>
    <w:rsid w:val="00776AA4"/>
    <w:rsid w:val="00777831"/>
    <w:rsid w:val="00780C0F"/>
    <w:rsid w:val="00785146"/>
    <w:rsid w:val="00793E5A"/>
    <w:rsid w:val="007B12BA"/>
    <w:rsid w:val="007B1DE5"/>
    <w:rsid w:val="007B2D29"/>
    <w:rsid w:val="007B3A9F"/>
    <w:rsid w:val="007B73E9"/>
    <w:rsid w:val="007B7918"/>
    <w:rsid w:val="007C2FA8"/>
    <w:rsid w:val="007C3857"/>
    <w:rsid w:val="007C3F61"/>
    <w:rsid w:val="007C402E"/>
    <w:rsid w:val="007C51B0"/>
    <w:rsid w:val="007C5A80"/>
    <w:rsid w:val="007D261A"/>
    <w:rsid w:val="007D2E29"/>
    <w:rsid w:val="007D4185"/>
    <w:rsid w:val="007D56D6"/>
    <w:rsid w:val="007D5E72"/>
    <w:rsid w:val="007E017F"/>
    <w:rsid w:val="007E073A"/>
    <w:rsid w:val="007E46B0"/>
    <w:rsid w:val="007E6F4A"/>
    <w:rsid w:val="00800068"/>
    <w:rsid w:val="0080118C"/>
    <w:rsid w:val="008035A1"/>
    <w:rsid w:val="00805A9F"/>
    <w:rsid w:val="00810705"/>
    <w:rsid w:val="008122CA"/>
    <w:rsid w:val="00821070"/>
    <w:rsid w:val="00821111"/>
    <w:rsid w:val="00823AA8"/>
    <w:rsid w:val="00831D82"/>
    <w:rsid w:val="00833820"/>
    <w:rsid w:val="008341D8"/>
    <w:rsid w:val="0083474E"/>
    <w:rsid w:val="00834FA8"/>
    <w:rsid w:val="008372BB"/>
    <w:rsid w:val="00842397"/>
    <w:rsid w:val="00842B86"/>
    <w:rsid w:val="008466F7"/>
    <w:rsid w:val="00852765"/>
    <w:rsid w:val="008532B7"/>
    <w:rsid w:val="00853323"/>
    <w:rsid w:val="008566C2"/>
    <w:rsid w:val="00860092"/>
    <w:rsid w:val="00861961"/>
    <w:rsid w:val="008642F3"/>
    <w:rsid w:val="00875787"/>
    <w:rsid w:val="00882CE9"/>
    <w:rsid w:val="0088415B"/>
    <w:rsid w:val="00886AC7"/>
    <w:rsid w:val="00887592"/>
    <w:rsid w:val="0089144C"/>
    <w:rsid w:val="008A005D"/>
    <w:rsid w:val="008A2B26"/>
    <w:rsid w:val="008B2266"/>
    <w:rsid w:val="008B2EA3"/>
    <w:rsid w:val="008B5075"/>
    <w:rsid w:val="008B5170"/>
    <w:rsid w:val="008C14F2"/>
    <w:rsid w:val="008C2769"/>
    <w:rsid w:val="008C35FF"/>
    <w:rsid w:val="008C7C58"/>
    <w:rsid w:val="008D2E27"/>
    <w:rsid w:val="008D65A2"/>
    <w:rsid w:val="008E5DD0"/>
    <w:rsid w:val="008F0608"/>
    <w:rsid w:val="008F1E5C"/>
    <w:rsid w:val="008F3139"/>
    <w:rsid w:val="008F452D"/>
    <w:rsid w:val="008F7E8C"/>
    <w:rsid w:val="00901424"/>
    <w:rsid w:val="009020A4"/>
    <w:rsid w:val="009056DA"/>
    <w:rsid w:val="00905BE6"/>
    <w:rsid w:val="00912D47"/>
    <w:rsid w:val="0091545A"/>
    <w:rsid w:val="00915A6B"/>
    <w:rsid w:val="00916D91"/>
    <w:rsid w:val="00922578"/>
    <w:rsid w:val="0092519F"/>
    <w:rsid w:val="00945F76"/>
    <w:rsid w:val="00946E87"/>
    <w:rsid w:val="00961004"/>
    <w:rsid w:val="0096104F"/>
    <w:rsid w:val="00993521"/>
    <w:rsid w:val="009940A0"/>
    <w:rsid w:val="009951C1"/>
    <w:rsid w:val="00996D41"/>
    <w:rsid w:val="009A2F0E"/>
    <w:rsid w:val="009A59EF"/>
    <w:rsid w:val="009A7A55"/>
    <w:rsid w:val="009B12E1"/>
    <w:rsid w:val="009B222B"/>
    <w:rsid w:val="009B73C4"/>
    <w:rsid w:val="009B796F"/>
    <w:rsid w:val="009C2647"/>
    <w:rsid w:val="009C4BA3"/>
    <w:rsid w:val="009C57D8"/>
    <w:rsid w:val="009C650D"/>
    <w:rsid w:val="009D1659"/>
    <w:rsid w:val="009F5946"/>
    <w:rsid w:val="009F7029"/>
    <w:rsid w:val="009F7921"/>
    <w:rsid w:val="00A10416"/>
    <w:rsid w:val="00A1294D"/>
    <w:rsid w:val="00A13DFD"/>
    <w:rsid w:val="00A14206"/>
    <w:rsid w:val="00A15429"/>
    <w:rsid w:val="00A166DF"/>
    <w:rsid w:val="00A174A7"/>
    <w:rsid w:val="00A26F6C"/>
    <w:rsid w:val="00A31E34"/>
    <w:rsid w:val="00A34D42"/>
    <w:rsid w:val="00A356E0"/>
    <w:rsid w:val="00A41AB9"/>
    <w:rsid w:val="00A502E2"/>
    <w:rsid w:val="00A54B62"/>
    <w:rsid w:val="00A55CAA"/>
    <w:rsid w:val="00A57B40"/>
    <w:rsid w:val="00A62041"/>
    <w:rsid w:val="00A63312"/>
    <w:rsid w:val="00A70B31"/>
    <w:rsid w:val="00A80238"/>
    <w:rsid w:val="00A817C3"/>
    <w:rsid w:val="00A8446A"/>
    <w:rsid w:val="00A86F27"/>
    <w:rsid w:val="00A90B27"/>
    <w:rsid w:val="00A910EE"/>
    <w:rsid w:val="00A94B89"/>
    <w:rsid w:val="00AA0A9C"/>
    <w:rsid w:val="00AB3A8B"/>
    <w:rsid w:val="00AC009F"/>
    <w:rsid w:val="00AC56A7"/>
    <w:rsid w:val="00AC5844"/>
    <w:rsid w:val="00AD1CA2"/>
    <w:rsid w:val="00AD376A"/>
    <w:rsid w:val="00AD3F01"/>
    <w:rsid w:val="00AE2E2E"/>
    <w:rsid w:val="00AE2F9A"/>
    <w:rsid w:val="00AE5850"/>
    <w:rsid w:val="00AE5EC4"/>
    <w:rsid w:val="00AF5BBA"/>
    <w:rsid w:val="00AF75EF"/>
    <w:rsid w:val="00B03ACE"/>
    <w:rsid w:val="00B06792"/>
    <w:rsid w:val="00B06DE5"/>
    <w:rsid w:val="00B10B1B"/>
    <w:rsid w:val="00B10E24"/>
    <w:rsid w:val="00B13D9A"/>
    <w:rsid w:val="00B13E34"/>
    <w:rsid w:val="00B150CB"/>
    <w:rsid w:val="00B164C7"/>
    <w:rsid w:val="00B16AC4"/>
    <w:rsid w:val="00B17012"/>
    <w:rsid w:val="00B17C3E"/>
    <w:rsid w:val="00B43798"/>
    <w:rsid w:val="00B43C21"/>
    <w:rsid w:val="00B47EE4"/>
    <w:rsid w:val="00B61A2D"/>
    <w:rsid w:val="00B6239E"/>
    <w:rsid w:val="00B62835"/>
    <w:rsid w:val="00B62D98"/>
    <w:rsid w:val="00B714E0"/>
    <w:rsid w:val="00B71BA0"/>
    <w:rsid w:val="00B72F53"/>
    <w:rsid w:val="00B845D6"/>
    <w:rsid w:val="00B85E8D"/>
    <w:rsid w:val="00B87DB9"/>
    <w:rsid w:val="00B91BED"/>
    <w:rsid w:val="00B94367"/>
    <w:rsid w:val="00B96700"/>
    <w:rsid w:val="00BA11AB"/>
    <w:rsid w:val="00BA7549"/>
    <w:rsid w:val="00BB1B3A"/>
    <w:rsid w:val="00BB5E41"/>
    <w:rsid w:val="00BC0687"/>
    <w:rsid w:val="00BC1B0A"/>
    <w:rsid w:val="00BC502F"/>
    <w:rsid w:val="00BC73A6"/>
    <w:rsid w:val="00BD1DE0"/>
    <w:rsid w:val="00BD2CB4"/>
    <w:rsid w:val="00BD3ED3"/>
    <w:rsid w:val="00BE0C9D"/>
    <w:rsid w:val="00BE2443"/>
    <w:rsid w:val="00BF46FD"/>
    <w:rsid w:val="00C003C6"/>
    <w:rsid w:val="00C0740D"/>
    <w:rsid w:val="00C07D60"/>
    <w:rsid w:val="00C12E26"/>
    <w:rsid w:val="00C132E4"/>
    <w:rsid w:val="00C14602"/>
    <w:rsid w:val="00C14ED5"/>
    <w:rsid w:val="00C1506B"/>
    <w:rsid w:val="00C162D5"/>
    <w:rsid w:val="00C17BC9"/>
    <w:rsid w:val="00C21D07"/>
    <w:rsid w:val="00C22262"/>
    <w:rsid w:val="00C2333D"/>
    <w:rsid w:val="00C23D65"/>
    <w:rsid w:val="00C241A9"/>
    <w:rsid w:val="00C2534D"/>
    <w:rsid w:val="00C26293"/>
    <w:rsid w:val="00C2784B"/>
    <w:rsid w:val="00C3347E"/>
    <w:rsid w:val="00C33739"/>
    <w:rsid w:val="00C34D4A"/>
    <w:rsid w:val="00C43FFD"/>
    <w:rsid w:val="00C66C6D"/>
    <w:rsid w:val="00C70CFD"/>
    <w:rsid w:val="00C85084"/>
    <w:rsid w:val="00C8688F"/>
    <w:rsid w:val="00C903AE"/>
    <w:rsid w:val="00C917AD"/>
    <w:rsid w:val="00C93AF4"/>
    <w:rsid w:val="00C97F91"/>
    <w:rsid w:val="00CA0D3F"/>
    <w:rsid w:val="00CA1221"/>
    <w:rsid w:val="00CB6023"/>
    <w:rsid w:val="00CC1C8E"/>
    <w:rsid w:val="00CC2C19"/>
    <w:rsid w:val="00CC663E"/>
    <w:rsid w:val="00CC7564"/>
    <w:rsid w:val="00CC7A8C"/>
    <w:rsid w:val="00CD04F5"/>
    <w:rsid w:val="00CD2EC1"/>
    <w:rsid w:val="00CE70EF"/>
    <w:rsid w:val="00CE7A52"/>
    <w:rsid w:val="00CF3757"/>
    <w:rsid w:val="00CF3874"/>
    <w:rsid w:val="00CF6135"/>
    <w:rsid w:val="00D12F47"/>
    <w:rsid w:val="00D1687B"/>
    <w:rsid w:val="00D22BA7"/>
    <w:rsid w:val="00D236C9"/>
    <w:rsid w:val="00D23FFA"/>
    <w:rsid w:val="00D33474"/>
    <w:rsid w:val="00D33FF5"/>
    <w:rsid w:val="00D34A21"/>
    <w:rsid w:val="00D40563"/>
    <w:rsid w:val="00D44859"/>
    <w:rsid w:val="00D47376"/>
    <w:rsid w:val="00D47E6C"/>
    <w:rsid w:val="00D5029D"/>
    <w:rsid w:val="00D551B8"/>
    <w:rsid w:val="00D567F0"/>
    <w:rsid w:val="00D641E0"/>
    <w:rsid w:val="00D713F9"/>
    <w:rsid w:val="00D71473"/>
    <w:rsid w:val="00D76544"/>
    <w:rsid w:val="00D77366"/>
    <w:rsid w:val="00D86C7D"/>
    <w:rsid w:val="00D939E3"/>
    <w:rsid w:val="00D969F4"/>
    <w:rsid w:val="00DA2CC7"/>
    <w:rsid w:val="00DB2BFA"/>
    <w:rsid w:val="00DB5F4C"/>
    <w:rsid w:val="00DB7D36"/>
    <w:rsid w:val="00DC00DC"/>
    <w:rsid w:val="00DC0BC8"/>
    <w:rsid w:val="00DC0C18"/>
    <w:rsid w:val="00DC13AB"/>
    <w:rsid w:val="00DC3D2A"/>
    <w:rsid w:val="00DC599B"/>
    <w:rsid w:val="00DD0836"/>
    <w:rsid w:val="00DD2034"/>
    <w:rsid w:val="00DD4C42"/>
    <w:rsid w:val="00DE7C6D"/>
    <w:rsid w:val="00DF1E15"/>
    <w:rsid w:val="00DF287A"/>
    <w:rsid w:val="00DF561F"/>
    <w:rsid w:val="00DF76CF"/>
    <w:rsid w:val="00E04FBC"/>
    <w:rsid w:val="00E04FCB"/>
    <w:rsid w:val="00E07CE3"/>
    <w:rsid w:val="00E12819"/>
    <w:rsid w:val="00E21D72"/>
    <w:rsid w:val="00E23D98"/>
    <w:rsid w:val="00E24ED0"/>
    <w:rsid w:val="00E27EE0"/>
    <w:rsid w:val="00E31933"/>
    <w:rsid w:val="00E33F14"/>
    <w:rsid w:val="00E474BB"/>
    <w:rsid w:val="00E55039"/>
    <w:rsid w:val="00E6515A"/>
    <w:rsid w:val="00E7513F"/>
    <w:rsid w:val="00E8160C"/>
    <w:rsid w:val="00E86529"/>
    <w:rsid w:val="00E910B4"/>
    <w:rsid w:val="00E92463"/>
    <w:rsid w:val="00E93E86"/>
    <w:rsid w:val="00E964CC"/>
    <w:rsid w:val="00EA05D6"/>
    <w:rsid w:val="00EA655B"/>
    <w:rsid w:val="00EB35BA"/>
    <w:rsid w:val="00EB571E"/>
    <w:rsid w:val="00EB7C61"/>
    <w:rsid w:val="00EC3E7E"/>
    <w:rsid w:val="00ED0B79"/>
    <w:rsid w:val="00ED4AB7"/>
    <w:rsid w:val="00ED62E3"/>
    <w:rsid w:val="00EE24BE"/>
    <w:rsid w:val="00EE494D"/>
    <w:rsid w:val="00EE7F97"/>
    <w:rsid w:val="00EF121E"/>
    <w:rsid w:val="00EF3EBD"/>
    <w:rsid w:val="00EF435F"/>
    <w:rsid w:val="00F009F5"/>
    <w:rsid w:val="00F017FB"/>
    <w:rsid w:val="00F02581"/>
    <w:rsid w:val="00F027B5"/>
    <w:rsid w:val="00F03DA2"/>
    <w:rsid w:val="00F04381"/>
    <w:rsid w:val="00F06C5E"/>
    <w:rsid w:val="00F12E81"/>
    <w:rsid w:val="00F23402"/>
    <w:rsid w:val="00F32790"/>
    <w:rsid w:val="00F366D4"/>
    <w:rsid w:val="00F36FB3"/>
    <w:rsid w:val="00F4162C"/>
    <w:rsid w:val="00F47390"/>
    <w:rsid w:val="00F53A1E"/>
    <w:rsid w:val="00F5415D"/>
    <w:rsid w:val="00F622B3"/>
    <w:rsid w:val="00F6322C"/>
    <w:rsid w:val="00F7339A"/>
    <w:rsid w:val="00F76BBD"/>
    <w:rsid w:val="00F77CF0"/>
    <w:rsid w:val="00F85677"/>
    <w:rsid w:val="00F86001"/>
    <w:rsid w:val="00F9217A"/>
    <w:rsid w:val="00FA6293"/>
    <w:rsid w:val="00FB3F75"/>
    <w:rsid w:val="00FB472F"/>
    <w:rsid w:val="00FB67A9"/>
    <w:rsid w:val="00FC01A1"/>
    <w:rsid w:val="00FD63C9"/>
    <w:rsid w:val="00FD7BAB"/>
    <w:rsid w:val="00FE41F3"/>
    <w:rsid w:val="00FE6557"/>
    <w:rsid w:val="00FF3F0F"/>
    <w:rsid w:val="04163A8E"/>
    <w:rsid w:val="1BE74359"/>
    <w:rsid w:val="1F37241D"/>
    <w:rsid w:val="2B47A248"/>
    <w:rsid w:val="2C1ABF5C"/>
    <w:rsid w:val="3F55F7B3"/>
    <w:rsid w:val="4D318798"/>
    <w:rsid w:val="52CEAA0C"/>
    <w:rsid w:val="597796CC"/>
    <w:rsid w:val="6C579677"/>
    <w:rsid w:val="7EDEC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11C64B"/>
  <w15:chartTrackingRefBased/>
  <w15:docId w15:val="{92F92166-204E-45C8-BB64-85B76E4D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A0"/>
    <w:rPr>
      <w:color w:val="2C373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12"/>
    <w:pPr>
      <w:outlineLvl w:val="0"/>
    </w:pPr>
    <w:rPr>
      <w:rFonts w:ascii="Arial" w:hAnsi="Arial" w:cstheme="minorHAnsi"/>
      <w:b/>
      <w:color w:val="6B2976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A0"/>
    <w:pPr>
      <w:spacing w:line="320" w:lineRule="exact"/>
      <w:outlineLvl w:val="1"/>
    </w:pPr>
    <w:rPr>
      <w:rFonts w:cstheme="minorHAnsi"/>
      <w:color w:val="3F9C35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0A0"/>
    <w:pPr>
      <w:autoSpaceDE w:val="0"/>
      <w:autoSpaceDN w:val="0"/>
      <w:adjustRightInd w:val="0"/>
      <w:spacing w:after="240" w:line="240" w:lineRule="auto"/>
      <w:outlineLvl w:val="2"/>
    </w:pPr>
    <w:rPr>
      <w:rFonts w:cstheme="minorHAnsi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40"/>
  </w:style>
  <w:style w:type="character" w:styleId="Strong">
    <w:name w:val="Strong"/>
    <w:basedOn w:val="DefaultParagraphFont"/>
    <w:uiPriority w:val="22"/>
    <w:rsid w:val="00595240"/>
    <w:rPr>
      <w:b/>
      <w:bCs/>
    </w:rPr>
  </w:style>
  <w:style w:type="table" w:styleId="LightList-Accent5">
    <w:name w:val="Light List Accent 5"/>
    <w:basedOn w:val="TableNormal"/>
    <w:uiPriority w:val="61"/>
    <w:rsid w:val="005952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9940A0"/>
    <w:pPr>
      <w:numPr>
        <w:numId w:val="2"/>
      </w:numPr>
      <w:spacing w:line="320" w:lineRule="exact"/>
      <w:contextualSpacing/>
    </w:pPr>
    <w:rPr>
      <w:rFonts w:eastAsia="Times New Roman" w:cstheme="minorHAnsi"/>
      <w:color w:val="2C373E" w:themeColor="text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95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2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D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CCC"/>
    <w:rPr>
      <w:color w:val="0089C4" w:themeColor="accent3"/>
      <w:u w:val="none"/>
    </w:rPr>
  </w:style>
  <w:style w:type="character" w:customStyle="1" w:styleId="A1">
    <w:name w:val="A1"/>
    <w:uiPriority w:val="99"/>
    <w:rsid w:val="0022659E"/>
    <w:rPr>
      <w:rFonts w:ascii="Calibri" w:hAnsi="Calibri" w:cs="Calibri" w:hint="default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7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6E"/>
  </w:style>
  <w:style w:type="paragraph" w:styleId="FootnoteText">
    <w:name w:val="footnote text"/>
    <w:basedOn w:val="Normal"/>
    <w:link w:val="FootnoteTextChar"/>
    <w:uiPriority w:val="99"/>
    <w:unhideWhenUsed/>
    <w:rsid w:val="003530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30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0F1"/>
    <w:rPr>
      <w:vertAlign w:val="superscript"/>
    </w:rPr>
  </w:style>
  <w:style w:type="table" w:styleId="TableGrid">
    <w:name w:val="Table Grid"/>
    <w:basedOn w:val="TableNormal"/>
    <w:uiPriority w:val="59"/>
    <w:rsid w:val="009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FD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9">
    <w:name w:val="A9"/>
    <w:uiPriority w:val="99"/>
    <w:rsid w:val="00C70CFD"/>
    <w:rPr>
      <w:rFonts w:cs="HelveticaNeueLT Std Lt"/>
      <w:color w:val="000000"/>
      <w:sz w:val="21"/>
      <w:szCs w:val="21"/>
    </w:rPr>
  </w:style>
  <w:style w:type="paragraph" w:customStyle="1" w:styleId="Body">
    <w:name w:val="_Body"/>
    <w:rsid w:val="0096104F"/>
    <w:pPr>
      <w:spacing w:after="113" w:line="240" w:lineRule="atLeast"/>
    </w:pPr>
    <w:rPr>
      <w:rFonts w:ascii="Arial" w:eastAsia="Times New Roman" w:hAnsi="Arial" w:cs="Arial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DB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16512"/>
    <w:rPr>
      <w:rFonts w:ascii="Arial" w:hAnsi="Arial" w:cstheme="minorHAnsi"/>
      <w:b/>
      <w:color w:val="6B2976"/>
      <w:sz w:val="48"/>
      <w:szCs w:val="24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rsid w:val="00F4739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47390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46E87"/>
    <w:pPr>
      <w:tabs>
        <w:tab w:val="right" w:leader="dot" w:pos="9736"/>
      </w:tabs>
      <w:spacing w:after="100"/>
    </w:pPr>
    <w:rPr>
      <w:rFonts w:eastAsiaTheme="minorEastAsia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47390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40A0"/>
    <w:rPr>
      <w:rFonts w:cstheme="minorHAnsi"/>
      <w:color w:val="3F9C35" w:themeColor="accent2"/>
      <w:sz w:val="28"/>
      <w:szCs w:val="28"/>
    </w:rPr>
  </w:style>
  <w:style w:type="paragraph" w:styleId="NoSpacing">
    <w:name w:val="No Spacing"/>
    <w:uiPriority w:val="1"/>
    <w:rsid w:val="00946E8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40A0"/>
    <w:pPr>
      <w:autoSpaceDE w:val="0"/>
      <w:autoSpaceDN w:val="0"/>
      <w:adjustRightInd w:val="0"/>
      <w:spacing w:after="240" w:line="240" w:lineRule="auto"/>
    </w:pPr>
    <w:rPr>
      <w:rFonts w:cstheme="minorHAnsi"/>
      <w:b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940A0"/>
    <w:rPr>
      <w:rFonts w:cstheme="minorHAnsi"/>
      <w:b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0A0"/>
    <w:pPr>
      <w:autoSpaceDE w:val="0"/>
      <w:autoSpaceDN w:val="0"/>
      <w:adjustRightInd w:val="0"/>
      <w:spacing w:after="240" w:line="240" w:lineRule="auto"/>
    </w:pPr>
    <w:rPr>
      <w:rFonts w:cstheme="minorHAnsi"/>
      <w:b/>
      <w:color w:val="FFFFFF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940A0"/>
    <w:rPr>
      <w:rFonts w:cstheme="minorHAnsi"/>
      <w:b/>
      <w:color w:val="FFFFFF" w:themeColor="background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40A0"/>
    <w:rPr>
      <w:rFonts w:cstheme="minorHAnsi"/>
      <w:color w:val="2C373E"/>
      <w:sz w:val="26"/>
      <w:szCs w:val="28"/>
    </w:rPr>
  </w:style>
  <w:style w:type="paragraph" w:customStyle="1" w:styleId="BoldNormal">
    <w:name w:val="Bold Normal"/>
    <w:basedOn w:val="Normal"/>
    <w:link w:val="BoldNormalChar"/>
    <w:qFormat/>
    <w:rsid w:val="009940A0"/>
    <w:rPr>
      <w:b/>
    </w:rPr>
  </w:style>
  <w:style w:type="paragraph" w:customStyle="1" w:styleId="ContentsHeader">
    <w:name w:val="Contents Header"/>
    <w:basedOn w:val="TOCHeading"/>
    <w:link w:val="ContentsHeaderChar"/>
    <w:qFormat/>
    <w:rsid w:val="009940A0"/>
  </w:style>
  <w:style w:type="character" w:customStyle="1" w:styleId="BoldNormalChar">
    <w:name w:val="Bold Normal Char"/>
    <w:basedOn w:val="DefaultParagraphFont"/>
    <w:link w:val="BoldNormal"/>
    <w:rsid w:val="009940A0"/>
    <w:rPr>
      <w:b/>
    </w:rPr>
  </w:style>
  <w:style w:type="paragraph" w:customStyle="1" w:styleId="NumberedList">
    <w:name w:val="Numbered List"/>
    <w:basedOn w:val="ListParagraph"/>
    <w:link w:val="NumberedListChar"/>
    <w:qFormat/>
    <w:rsid w:val="009940A0"/>
    <w:pPr>
      <w:numPr>
        <w:numId w:val="1"/>
      </w:numPr>
    </w:pPr>
  </w:style>
  <w:style w:type="character" w:customStyle="1" w:styleId="TOCHeadingChar">
    <w:name w:val="TOC Heading Char"/>
    <w:basedOn w:val="Heading1Char"/>
    <w:link w:val="TOCHeading"/>
    <w:uiPriority w:val="39"/>
    <w:rsid w:val="009940A0"/>
    <w:rPr>
      <w:rFonts w:ascii="Arial" w:hAnsi="Arial" w:cstheme="minorHAnsi"/>
      <w:b/>
      <w:color w:val="3F9C35"/>
      <w:sz w:val="32"/>
      <w:szCs w:val="24"/>
      <w:lang w:val="en-US" w:eastAsia="ja-JP"/>
    </w:rPr>
  </w:style>
  <w:style w:type="character" w:customStyle="1" w:styleId="ContentsHeaderChar">
    <w:name w:val="Contents Header Char"/>
    <w:basedOn w:val="TOCHeadingChar"/>
    <w:link w:val="ContentsHeader"/>
    <w:rsid w:val="009940A0"/>
    <w:rPr>
      <w:rFonts w:ascii="Arial" w:hAnsi="Arial" w:cstheme="minorHAnsi"/>
      <w:b/>
      <w:color w:val="3F9C35"/>
      <w:sz w:val="32"/>
      <w:szCs w:val="24"/>
      <w:lang w:val="en-US" w:eastAsia="ja-JP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9940A0"/>
    <w:rPr>
      <w:rFonts w:eastAsia="Times New Roman" w:cstheme="minorHAnsi"/>
      <w:color w:val="2C373E" w:themeColor="text1"/>
      <w:lang w:eastAsia="en-AU"/>
    </w:rPr>
  </w:style>
  <w:style w:type="character" w:customStyle="1" w:styleId="NumberedListChar">
    <w:name w:val="Numbered List Char"/>
    <w:basedOn w:val="ListParagraphChar"/>
    <w:link w:val="NumberedList"/>
    <w:rsid w:val="009940A0"/>
    <w:rPr>
      <w:rFonts w:eastAsia="Times New Roman" w:cstheme="minorHAnsi"/>
      <w:color w:val="2C373E" w:themeColor="text1"/>
      <w:lang w:eastAsia="en-AU"/>
    </w:rPr>
  </w:style>
  <w:style w:type="paragraph" w:customStyle="1" w:styleId="PVDarkGreenText">
    <w:name w:val="PV Dark Green Text"/>
    <w:basedOn w:val="Normal"/>
    <w:link w:val="PVDarkGreenTextChar"/>
    <w:qFormat/>
    <w:rsid w:val="00F53A1E"/>
    <w:rPr>
      <w:color w:val="284E36"/>
    </w:rPr>
  </w:style>
  <w:style w:type="paragraph" w:customStyle="1" w:styleId="PVBlueText">
    <w:name w:val="PV Blue Text"/>
    <w:basedOn w:val="PVDarkGreenText"/>
    <w:link w:val="PVBlueTextChar"/>
    <w:qFormat/>
    <w:rsid w:val="00F53A1E"/>
    <w:rPr>
      <w:color w:val="0089C4"/>
    </w:rPr>
  </w:style>
  <w:style w:type="character" w:customStyle="1" w:styleId="PVDarkGreenTextChar">
    <w:name w:val="PV Dark Green Text Char"/>
    <w:basedOn w:val="DefaultParagraphFont"/>
    <w:link w:val="PVDarkGreenText"/>
    <w:rsid w:val="00F53A1E"/>
    <w:rPr>
      <w:color w:val="284E36"/>
    </w:rPr>
  </w:style>
  <w:style w:type="character" w:customStyle="1" w:styleId="PVBlueTextChar">
    <w:name w:val="PV Blue Text Char"/>
    <w:basedOn w:val="PVDarkGreenTextChar"/>
    <w:link w:val="PVBlueText"/>
    <w:rsid w:val="00F53A1E"/>
    <w:rPr>
      <w:color w:val="0089C4"/>
    </w:rPr>
  </w:style>
  <w:style w:type="paragraph" w:customStyle="1" w:styleId="Tableheadingtext">
    <w:name w:val="Table heading text"/>
    <w:basedOn w:val="Normal"/>
    <w:link w:val="TableheadingtextChar"/>
    <w:qFormat/>
    <w:rsid w:val="003A2862"/>
    <w:pPr>
      <w:spacing w:after="0" w:line="240" w:lineRule="auto"/>
    </w:pPr>
    <w:rPr>
      <w:b/>
      <w:color w:val="3F9C35"/>
    </w:rPr>
  </w:style>
  <w:style w:type="table" w:customStyle="1" w:styleId="PVTable">
    <w:name w:val="PV Table"/>
    <w:basedOn w:val="TableNormal"/>
    <w:uiPriority w:val="99"/>
    <w:rsid w:val="009B222B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customStyle="1" w:styleId="TableheadingtextChar">
    <w:name w:val="Table heading text Char"/>
    <w:basedOn w:val="DefaultParagraphFont"/>
    <w:link w:val="Tableheadingtext"/>
    <w:rsid w:val="003A2862"/>
    <w:rPr>
      <w:b/>
      <w:color w:val="3F9C35"/>
    </w:rPr>
  </w:style>
  <w:style w:type="table" w:styleId="LightGrid-Accent3">
    <w:name w:val="Light Grid Accent 3"/>
    <w:basedOn w:val="TableNormal"/>
    <w:uiPriority w:val="62"/>
    <w:rsid w:val="00DF76CF"/>
    <w:pPr>
      <w:spacing w:after="0" w:line="240" w:lineRule="auto"/>
    </w:pPr>
    <w:tblPr>
      <w:tblStyleRowBandSize w:val="1"/>
      <w:tblStyleColBandSize w:val="1"/>
      <w:tblBorders>
        <w:top w:val="single" w:sz="8" w:space="0" w:color="0089C4" w:themeColor="accent3"/>
        <w:left w:val="single" w:sz="8" w:space="0" w:color="0089C4" w:themeColor="accent3"/>
        <w:bottom w:val="single" w:sz="8" w:space="0" w:color="0089C4" w:themeColor="accent3"/>
        <w:right w:val="single" w:sz="8" w:space="0" w:color="0089C4" w:themeColor="accent3"/>
        <w:insideH w:val="single" w:sz="8" w:space="0" w:color="0089C4" w:themeColor="accent3"/>
        <w:insideV w:val="single" w:sz="8" w:space="0" w:color="008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18" w:space="0" w:color="0089C4" w:themeColor="accent3"/>
          <w:right w:val="single" w:sz="8" w:space="0" w:color="0089C4" w:themeColor="accent3"/>
          <w:insideH w:val="nil"/>
          <w:insideV w:val="single" w:sz="8" w:space="0" w:color="008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  <w:insideH w:val="nil"/>
          <w:insideV w:val="single" w:sz="8" w:space="0" w:color="008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</w:tcBorders>
      </w:tcPr>
    </w:tblStylePr>
    <w:tblStylePr w:type="band1Vert"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</w:tcBorders>
        <w:shd w:val="clear" w:color="auto" w:fill="B1E7FF" w:themeFill="accent3" w:themeFillTint="3F"/>
      </w:tcPr>
    </w:tblStylePr>
    <w:tblStylePr w:type="band1Horz"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  <w:insideV w:val="single" w:sz="8" w:space="0" w:color="0089C4" w:themeColor="accent3"/>
        </w:tcBorders>
        <w:shd w:val="clear" w:color="auto" w:fill="B1E7FF" w:themeFill="accent3" w:themeFillTint="3F"/>
      </w:tcPr>
    </w:tblStylePr>
    <w:tblStylePr w:type="band2Horz"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  <w:insideV w:val="single" w:sz="8" w:space="0" w:color="0089C4" w:themeColor="accent3"/>
        </w:tcBorders>
      </w:tcPr>
    </w:tblStylePr>
  </w:style>
  <w:style w:type="paragraph" w:customStyle="1" w:styleId="xxxmsonormal">
    <w:name w:val="x_xxmsonormal"/>
    <w:basedOn w:val="Normal"/>
    <w:rsid w:val="0088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is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is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rks Victoria">
      <a:dk1>
        <a:srgbClr val="2C373E"/>
      </a:dk1>
      <a:lt1>
        <a:sysClr val="window" lastClr="FFFFFF"/>
      </a:lt1>
      <a:dk2>
        <a:srgbClr val="000000"/>
      </a:dk2>
      <a:lt2>
        <a:srgbClr val="FFFFFF"/>
      </a:lt2>
      <a:accent1>
        <a:srgbClr val="284E36"/>
      </a:accent1>
      <a:accent2>
        <a:srgbClr val="3F9C35"/>
      </a:accent2>
      <a:accent3>
        <a:srgbClr val="0089C4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8EF2C839DDC48B1517D04C2D4F1EA" ma:contentTypeVersion="7" ma:contentTypeDescription="Create a new document." ma:contentTypeScope="" ma:versionID="29105596bbc0f9de748e519bfed04627">
  <xsd:schema xmlns:xsd="http://www.w3.org/2001/XMLSchema" xmlns:xs="http://www.w3.org/2001/XMLSchema" xmlns:p="http://schemas.microsoft.com/office/2006/metadata/properties" xmlns:ns3="c981c768-201e-45cc-a3b3-0aa5aa03d559" xmlns:ns4="16b68ae2-a86f-493a-aff2-c6d6bcbef7ac" targetNamespace="http://schemas.microsoft.com/office/2006/metadata/properties" ma:root="true" ma:fieldsID="6e8c7823b75a52fa4417d7454c023117" ns3:_="" ns4:_="">
    <xsd:import namespace="c981c768-201e-45cc-a3b3-0aa5aa03d559"/>
    <xsd:import namespace="16b68ae2-a86f-493a-aff2-c6d6bcbef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1c768-201e-45cc-a3b3-0aa5aa03d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68ae2-a86f-493a-aff2-c6d6bcbef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74FB-B017-4DEA-884A-1FFEFF571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1c768-201e-45cc-a3b3-0aa5aa03d559"/>
    <ds:schemaRef ds:uri="16b68ae2-a86f-493a-aff2-c6d6bcbef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174F6-654A-47DB-9D9E-7CC2B7D76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DBF7C-08E0-410A-9010-9A06639F2B6A}">
  <ds:schemaRefs>
    <ds:schemaRef ds:uri="http://schemas.openxmlformats.org/package/2006/metadata/core-properties"/>
    <ds:schemaRef ds:uri="http://schemas.microsoft.com/office/2006/documentManagement/types"/>
    <ds:schemaRef ds:uri="c981c768-201e-45cc-a3b3-0aa5aa03d559"/>
    <ds:schemaRef ds:uri="http://purl.org/dc/elements/1.1/"/>
    <ds:schemaRef ds:uri="http://schemas.microsoft.com/office/2006/metadata/properties"/>
    <ds:schemaRef ds:uri="16b68ae2-a86f-493a-aff2-c6d6bcbef7a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71A61C-C4FC-41C1-A47B-8F0CD2F3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Varcoe</dc:creator>
  <cp:keywords/>
  <dc:description/>
  <cp:lastModifiedBy>Punsalang, Franchette</cp:lastModifiedBy>
  <cp:revision>4</cp:revision>
  <cp:lastPrinted>2014-11-30T22:53:00Z</cp:lastPrinted>
  <dcterms:created xsi:type="dcterms:W3CDTF">2020-09-03T05:53:00Z</dcterms:created>
  <dcterms:modified xsi:type="dcterms:W3CDTF">2020-09-03T06:36:00Z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c7d016-c0e8-4bc1-9071-158a5ecbe94b_Enabled">
    <vt:lpwstr>True</vt:lpwstr>
  </property>
  <property fmtid="{D5CDD505-2E9C-101B-9397-08002B2CF9AE}" pid="3" name="MSIP_Label_f6c7d016-c0e8-4bc1-9071-158a5ecbe94b_SiteId">
    <vt:lpwstr>c0e0601f-0fac-449c-9c88-a104c4eb9f28</vt:lpwstr>
  </property>
  <property fmtid="{D5CDD505-2E9C-101B-9397-08002B2CF9AE}" pid="4" name="MSIP_Label_f6c7d016-c0e8-4bc1-9071-158a5ecbe94b_SetDate">
    <vt:lpwstr>2020-08-26T13:33:02.9409025Z</vt:lpwstr>
  </property>
  <property fmtid="{D5CDD505-2E9C-101B-9397-08002B2CF9AE}" pid="5" name="MSIP_Label_f6c7d016-c0e8-4bc1-9071-158a5ecbe94b_Name">
    <vt:lpwstr>OFFICIAL - Sensitive</vt:lpwstr>
  </property>
  <property fmtid="{D5CDD505-2E9C-101B-9397-08002B2CF9AE}" pid="6" name="MSIP_Label_f6c7d016-c0e8-4bc1-9071-158a5ecbe94b_ActionId">
    <vt:lpwstr>d9b6e000-878a-461d-a569-139c8f899807</vt:lpwstr>
  </property>
  <property fmtid="{D5CDD505-2E9C-101B-9397-08002B2CF9AE}" pid="7" name="MSIP_Label_f6c7d016-c0e8-4bc1-9071-158a5ecbe94b_Extended_MSFT_Method">
    <vt:lpwstr>Manual</vt:lpwstr>
  </property>
  <property fmtid="{D5CDD505-2E9C-101B-9397-08002B2CF9AE}" pid="8" name="Sensitivity">
    <vt:lpwstr>OFFICIAL - Sensitive</vt:lpwstr>
  </property>
  <property fmtid="{D5CDD505-2E9C-101B-9397-08002B2CF9AE}" pid="9" name="ContentTypeId">
    <vt:lpwstr>0x010100CDA8EF2C839DDC48B1517D04C2D4F1EA</vt:lpwstr>
  </property>
</Properties>
</file>