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1BED3" w14:textId="79E97E8D" w:rsidR="001E349B" w:rsidRDefault="00F13CC2" w:rsidP="001E349B">
      <w:bookmarkStart w:id="0" w:name="Frontpage_Logo_Negativ"/>
      <w:r>
        <w:rPr>
          <w:noProof/>
          <w:lang w:eastAsia="en-AU"/>
        </w:rPr>
        <mc:AlternateContent>
          <mc:Choice Requires="wps">
            <w:drawing>
              <wp:anchor distT="45720" distB="45720" distL="114300" distR="114300" simplePos="0" relativeHeight="251712512" behindDoc="0" locked="0" layoutInCell="1" allowOverlap="1" wp14:anchorId="0DA8CFE7" wp14:editId="1DFAF9F8">
                <wp:simplePos x="0" y="0"/>
                <wp:positionH relativeFrom="column">
                  <wp:posOffset>-577850</wp:posOffset>
                </wp:positionH>
                <wp:positionV relativeFrom="paragraph">
                  <wp:posOffset>184150</wp:posOffset>
                </wp:positionV>
                <wp:extent cx="3307080" cy="1404620"/>
                <wp:effectExtent l="0" t="0" r="762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404620"/>
                        </a:xfrm>
                        <a:prstGeom prst="rect">
                          <a:avLst/>
                        </a:prstGeom>
                        <a:solidFill>
                          <a:srgbClr val="FFFFFF"/>
                        </a:solidFill>
                        <a:ln w="9525">
                          <a:noFill/>
                          <a:miter lim="800000"/>
                          <a:headEnd/>
                          <a:tailEnd/>
                        </a:ln>
                      </wps:spPr>
                      <wps:txbx>
                        <w:txbxContent>
                          <w:p w14:paraId="0489C6CF" w14:textId="0AE2034C" w:rsidR="00F13CC2" w:rsidRDefault="00F13CC2">
                            <w:r>
                              <w:t xml:space="preserve">This document is a DOCX </w:t>
                            </w:r>
                            <w:r w:rsidRPr="00F13CC2">
                              <w:t xml:space="preserve">version of </w:t>
                            </w:r>
                            <w:r w:rsidR="00C10F81">
                              <w:t>the final Temporary Transformation Payment Benchmarking Survey R</w:t>
                            </w:r>
                            <w:bookmarkStart w:id="1" w:name="_GoBack"/>
                            <w:bookmarkEnd w:id="1"/>
                            <w:r w:rsidR="00C10F81">
                              <w:t xml:space="preserve">eport </w:t>
                            </w:r>
                            <w:r>
                              <w:t>available in PDF form on the NDIS website.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8CFE7" id="_x0000_t202" coordsize="21600,21600" o:spt="202" path="m,l,21600r21600,l21600,xe">
                <v:stroke joinstyle="miter"/>
                <v:path gradientshapeok="t" o:connecttype="rect"/>
              </v:shapetype>
              <v:shape id="Text Box 2" o:spid="_x0000_s1026" type="#_x0000_t202" style="position:absolute;margin-left:-45.5pt;margin-top:14.5pt;width:260.4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" stroked="f">
                <v:textbox style="mso-fit-shape-to-text:t">
                  <w:txbxContent>
                    <w:p w14:paraId="0489C6CF" w14:textId="0AE2034C" w:rsidR="00F13CC2" w:rsidRDefault="00F13CC2">
                      <w:r>
                        <w:t xml:space="preserve">This document is a DOCX </w:t>
                      </w:r>
                      <w:r w:rsidRPr="00F13CC2">
                        <w:t xml:space="preserve">version of </w:t>
                      </w:r>
                      <w:r w:rsidR="00C10F81">
                        <w:t>the final Temporary Transformation Payment Benchmarking Survey R</w:t>
                      </w:r>
                      <w:bookmarkStart w:id="2" w:name="_GoBack"/>
                      <w:bookmarkEnd w:id="2"/>
                      <w:r w:rsidR="00C10F81">
                        <w:t xml:space="preserve">eport </w:t>
                      </w:r>
                      <w:r>
                        <w:t>available in PDF form on the NDIS website.</w:t>
                      </w:r>
                    </w:p>
                  </w:txbxContent>
                </v:textbox>
                <w10:wrap type="square"/>
              </v:shape>
            </w:pict>
          </mc:Fallback>
        </mc:AlternateContent>
      </w:r>
      <w:r w:rsidR="00FB2C3E">
        <w:rPr>
          <w:noProof/>
          <w:lang w:eastAsia="en-AU"/>
        </w:rPr>
        <w:drawing>
          <wp:anchor distT="0" distB="0" distL="114300" distR="114300" simplePos="0" relativeHeight="251687936" behindDoc="0" locked="0" layoutInCell="1" allowOverlap="1" wp14:anchorId="511BAFFD" wp14:editId="3E8CDF31">
            <wp:simplePos x="0" y="0"/>
            <wp:positionH relativeFrom="page">
              <wp:posOffset>428625</wp:posOffset>
            </wp:positionH>
            <wp:positionV relativeFrom="page">
              <wp:posOffset>427990</wp:posOffset>
            </wp:positionV>
            <wp:extent cx="2084070" cy="914400"/>
            <wp:effectExtent l="0" t="0" r="0" b="0"/>
            <wp:wrapNone/>
            <wp:docPr id="1" name="Frontpage_Logo_Positiv">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6776721" name="Frontpage_Logo_Positiv"/>
                    <pic:cNvPicPr/>
                  </pic:nvPicPr>
                  <pic:blipFill>
                    <a:blip r:embed="rId11"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anchor>
        </w:drawing>
      </w:r>
      <w:r w:rsidR="00215C20">
        <w:rPr>
          <w:noProof/>
          <w:lang w:eastAsia="en-AU"/>
        </w:rPr>
        <w:drawing>
          <wp:anchor distT="0" distB="0" distL="0" distR="0" simplePos="0" relativeHeight="251684863" behindDoc="0" locked="0" layoutInCell="1" allowOverlap="1" wp14:anchorId="344E0301" wp14:editId="3D5B1FA9">
            <wp:simplePos x="0" y="0"/>
            <wp:positionH relativeFrom="margin">
              <wp:posOffset>-487680</wp:posOffset>
            </wp:positionH>
            <wp:positionV relativeFrom="page">
              <wp:posOffset>431165</wp:posOffset>
            </wp:positionV>
            <wp:extent cx="2086118" cy="914400"/>
            <wp:effectExtent l="0" t="0" r="0" b="0"/>
            <wp:wrapNone/>
            <wp:docPr id="1489793624" name="Frontpage_Logo_Negativ" hidden="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89793624" name="Frontpage_Logo_Negativ"/>
                    <pic:cNvPicPr/>
                  </pic:nvPicPr>
                  <pic:blipFill>
                    <a:blip r:embed="rId12"/>
                    <a:srcRect/>
                    <a:stretch/>
                  </pic:blipFill>
                  <pic:spPr>
                    <a:xfrm>
                      <a:off x="0" y="0"/>
                      <a:ext cx="2086118" cy="914400"/>
                    </a:xfrm>
                    <a:prstGeom prst="rect">
                      <a:avLst/>
                    </a:prstGeom>
                  </pic:spPr>
                </pic:pic>
              </a:graphicData>
            </a:graphic>
          </wp:anchor>
        </w:drawing>
      </w:r>
      <w:bookmarkEnd w:id="0"/>
    </w:p>
    <w:p w14:paraId="48C29472" w14:textId="77777777" w:rsidR="001E349B" w:rsidRPr="004A7D78" w:rsidRDefault="00031008" w:rsidP="001E349B">
      <w:r>
        <w:rPr>
          <w:noProof/>
          <w:lang w:eastAsia="en-AU"/>
        </w:rPr>
        <w:drawing>
          <wp:anchor distT="0" distB="0" distL="114300" distR="114300" simplePos="0" relativeHeight="251689984" behindDoc="0" locked="0" layoutInCell="1" allowOverlap="1" wp14:anchorId="3F0F080F" wp14:editId="6BDA6D75">
            <wp:simplePos x="0" y="0"/>
            <wp:positionH relativeFrom="page">
              <wp:posOffset>5148580</wp:posOffset>
            </wp:positionH>
            <wp:positionV relativeFrom="page">
              <wp:posOffset>9595485</wp:posOffset>
            </wp:positionV>
            <wp:extent cx="2005200" cy="529200"/>
            <wp:effectExtent l="0" t="0" r="0" b="0"/>
            <wp:wrapNone/>
            <wp:docPr id="475882791" name="Frontpage_Logo_Positiv">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5882791" name="Frontpage_Logo_Positiv"/>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05200" cy="529200"/>
                    </a:xfrm>
                    <a:prstGeom prst="rect">
                      <a:avLst/>
                    </a:prstGeom>
                  </pic:spPr>
                </pic:pic>
              </a:graphicData>
            </a:graphic>
            <wp14:sizeRelH relativeFrom="margin">
              <wp14:pctWidth>0</wp14:pctWidth>
            </wp14:sizeRelH>
            <wp14:sizeRelV relativeFrom="margin">
              <wp14:pctHeight>0</wp14:pctHeight>
            </wp14:sizeRelV>
          </wp:anchor>
        </w:drawing>
      </w:r>
      <w:r w:rsidR="001E349B" w:rsidRPr="004A7D78">
        <w:rPr>
          <w:noProof/>
          <w:lang w:eastAsia="en-AU"/>
        </w:rPr>
        <mc:AlternateContent>
          <mc:Choice Requires="wps">
            <w:drawing>
              <wp:anchor distT="0" distB="0" distL="114300" distR="114300" simplePos="0" relativeHeight="251681792" behindDoc="1" locked="1" layoutInCell="1" allowOverlap="1" wp14:anchorId="428ED394" wp14:editId="35A62441">
                <wp:simplePos x="0" y="0"/>
                <wp:positionH relativeFrom="page">
                  <wp:align>left</wp:align>
                </wp:positionH>
                <wp:positionV relativeFrom="page">
                  <wp:align>top</wp:align>
                </wp:positionV>
                <wp:extent cx="7596000" cy="10728000"/>
                <wp:effectExtent l="0" t="0" r="5080" b="0"/>
                <wp:wrapNone/>
                <wp:docPr id="35" name="FrontpageBackground">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7EA0C" w14:textId="77777777" w:rsidR="000B695A" w:rsidRDefault="000B695A" w:rsidP="00F12EF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ED394" id="FrontpageBackground" o:spid="_x0000_s1027" style="position:absolute;margin-left:0;margin-top:0;width:598.1pt;height:844.7pt;z-index:-2516346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" stroked="f" strokeweight="2pt">
                <v:textbox>
                  <w:txbxContent>
                    <w:p w14:paraId="21D7EA0C" w14:textId="77777777" w:rsidR="000B695A" w:rsidRDefault="000B695A" w:rsidP="00F12EFB">
                      <w:pPr>
                        <w:jc w:val="center"/>
                      </w:pPr>
                    </w:p>
                  </w:txbxContent>
                </v:textbox>
                <w10:wrap anchorx="page" anchory="page"/>
                <w10:anchorlock/>
              </v:rect>
            </w:pict>
          </mc:Fallback>
        </mc:AlternateContent>
      </w:r>
      <w:r w:rsidR="001E349B" w:rsidRPr="004A7D78">
        <w:rPr>
          <w:noProof/>
          <w:lang w:eastAsia="en-AU"/>
        </w:rPr>
        <mc:AlternateContent>
          <mc:Choice Requires="wps">
            <w:drawing>
              <wp:anchor distT="0" distB="0" distL="114300" distR="114300" simplePos="0" relativeHeight="251682816" behindDoc="0" locked="1" layoutInCell="1" allowOverlap="1" wp14:anchorId="4B259E3B" wp14:editId="41C9AA1B">
                <wp:simplePos x="0" y="0"/>
                <wp:positionH relativeFrom="page">
                  <wp:posOffset>428625</wp:posOffset>
                </wp:positionH>
                <wp:positionV relativeFrom="page">
                  <wp:posOffset>428625</wp:posOffset>
                </wp:positionV>
                <wp:extent cx="6746875" cy="9677400"/>
                <wp:effectExtent l="0" t="0" r="0" b="0"/>
                <wp:wrapNone/>
                <wp:docPr id="36" name="Logo and frontpagepictur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746875" cy="9677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603"/>
                            </w:tblGrid>
                            <w:tr w:rsidR="000B695A" w:rsidRPr="00AA1B91" w14:paraId="6511A62F" w14:textId="77777777" w:rsidTr="00511E15">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28A1DFC1" w14:textId="77777777" w:rsidR="000B695A" w:rsidRPr="00AA1B91" w:rsidRDefault="000B695A" w:rsidP="00511E15"/>
                              </w:tc>
                            </w:tr>
                            <w:tr w:rsidR="000B695A" w:rsidRPr="00AA1B91" w14:paraId="24938B30" w14:textId="77777777" w:rsidTr="00981018">
                              <w:trPr>
                                <w:trHeight w:hRule="exact" w:val="10603"/>
                              </w:trPr>
                              <w:tc>
                                <w:tcPr>
                                  <w:tcW w:w="10603" w:type="dxa"/>
                                </w:tcPr>
                                <w:p w14:paraId="71214651" w14:textId="77777777" w:rsidR="000B695A" w:rsidRPr="00AA1B91" w:rsidRDefault="000B695A" w:rsidP="00511E15">
                                  <w:pPr>
                                    <w:pStyle w:val="FPPicture"/>
                                  </w:pPr>
                                  <w:r>
                                    <w:rPr>
                                      <w:noProof/>
                                      <w:lang w:eastAsia="en-AU"/>
                                    </w:rPr>
                                    <w:drawing>
                                      <wp:inline distT="0" distB="0" distL="0" distR="0" wp14:anchorId="603A4A57" wp14:editId="54040BD3">
                                        <wp:extent cx="6732905" cy="6648450"/>
                                        <wp:effectExtent l="0" t="0" r="0" b="0"/>
                                        <wp:docPr id="12" name="Picture 12" descr="Picture on fro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rotWithShape="1">
                                                <a:blip r:embed="rId14">
                                                  <a:extLst>
                                                    <a:ext uri="{28A0092B-C50C-407E-A947-70E740481C1C}">
                                                      <a14:useLocalDpi xmlns:a14="http://schemas.microsoft.com/office/drawing/2010/main" val="0"/>
                                                    </a:ext>
                                                  </a:extLst>
                                                </a:blip>
                                                <a:srcRect t="627" b="627"/>
                                                <a:stretch/>
                                              </pic:blipFill>
                                              <pic:spPr bwMode="auto">
                                                <a:xfrm>
                                                  <a:off x="0" y="0"/>
                                                  <a:ext cx="6732905" cy="66484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B4F6A5B" w14:textId="77777777" w:rsidR="000B695A" w:rsidRDefault="000B695A" w:rsidP="00981018">
                            <w:pPr>
                              <w:pStyle w:val="NoSpacing"/>
                            </w:pPr>
                          </w:p>
                          <w:p w14:paraId="40B00E8F" w14:textId="77777777" w:rsidR="000B695A" w:rsidRPr="00AA1B91" w:rsidRDefault="000B695A" w:rsidP="00981018">
                            <w:pPr>
                              <w:pStyle w:val="NoSpacing"/>
                            </w:pPr>
                          </w:p>
                          <w:tbl>
                            <w:tblPr>
                              <w:tblStyle w:val="Tabel-Gitter1"/>
                              <w:tblOverlap w:val="never"/>
                              <w:tblW w:w="0" w:type="auto"/>
                              <w:tblLayout w:type="fixed"/>
                              <w:tblLook w:val="04A0" w:firstRow="1" w:lastRow="0" w:firstColumn="1" w:lastColumn="0" w:noHBand="0" w:noVBand="1"/>
                            </w:tblPr>
                            <w:tblGrid>
                              <w:gridCol w:w="6945"/>
                            </w:tblGrid>
                            <w:tr w:rsidR="000B695A" w14:paraId="08A1C698" w14:textId="77777777" w:rsidTr="00511E15">
                              <w:trPr>
                                <w:cnfStyle w:val="100000000000" w:firstRow="1" w:lastRow="0" w:firstColumn="0" w:lastColumn="0" w:oddVBand="0" w:evenVBand="0" w:oddHBand="0" w:evenHBand="0" w:firstRowFirstColumn="0" w:firstRowLastColumn="0" w:lastRowFirstColumn="0" w:lastRowLastColumn="0"/>
                                <w:trHeight w:val="2438"/>
                              </w:trPr>
                              <w:tc>
                                <w:tcPr>
                                  <w:tcW w:w="6945" w:type="dxa"/>
                                  <w:vAlign w:val="bottom"/>
                                  <w:hideMark/>
                                </w:tcPr>
                                <w:bookmarkStart w:id="3" w:name="start" w:displacedByCustomXml="next"/>
                                <w:sdt>
                                  <w:sdtPr>
                                    <w:alias w:val="Titel"/>
                                    <w:id w:val="-749505301"/>
                                    <w:dataBinding w:prefixMappings="xmlns:ns0='http://purl.org/dc/elements/1.1/' xmlns:ns1='http://schemas.openxmlformats.org/package/2006/metadata/core-properties' " w:xpath="/ns1:coreProperties[1]/ns0:title[1]" w:storeItemID="{6C3C8BC8-F283-45AE-878A-BAB7291924A1}"/>
                                    <w:text/>
                                  </w:sdtPr>
                                  <w:sdtEndPr/>
                                  <w:sdtContent>
                                    <w:p w14:paraId="3D2B5433" w14:textId="598628DF" w:rsidR="000B695A" w:rsidRPr="00A96769" w:rsidRDefault="000B695A" w:rsidP="007C4146">
                                      <w:pPr>
                                        <w:pStyle w:val="Documenttitle"/>
                                      </w:pPr>
                                      <w:r>
                                        <w:t>Final report – Temporary Transformation Payment Benchmarking Survey</w:t>
                                      </w:r>
                                    </w:p>
                                  </w:sdtContent>
                                </w:sdt>
                                <w:bookmarkEnd w:id="3" w:displacedByCustomXml="prev"/>
                                <w:p w14:paraId="4249F09C" w14:textId="77777777" w:rsidR="000B695A" w:rsidRDefault="000B695A" w:rsidP="005D3CA2">
                                  <w:pPr>
                                    <w:pStyle w:val="Documentsubtitle"/>
                                  </w:pPr>
                                  <w:r>
                                    <w:t>National Disability Insurance Agency</w:t>
                                  </w:r>
                                </w:p>
                                <w:p w14:paraId="29A06079" w14:textId="0C4BFE89" w:rsidR="000B695A" w:rsidRDefault="000B695A" w:rsidP="005D3CA2">
                                  <w:pPr>
                                    <w:pStyle w:val="Documentdate"/>
                                  </w:pPr>
                                  <w:r>
                                    <w:t>May 2020</w:t>
                                  </w:r>
                                </w:p>
                              </w:tc>
                            </w:tr>
                          </w:tbl>
                          <w:p w14:paraId="414C7761" w14:textId="77777777" w:rsidR="000B695A" w:rsidRPr="00AA1B91" w:rsidRDefault="000B695A" w:rsidP="001E349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59E3B" id="Logo and frontpagepicture" o:spid="_x0000_s1028" type="#_x0000_t202" style="position:absolute;margin-left:33.75pt;margin-top:33.75pt;width:531.25pt;height:762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" filled="f" fillcolor="white [3201]" stroked="f" strokeweight=".5pt">
                <v:textbox inset="0,0,0,0">
                  <w:txbxContent>
                    <w:tbl>
                      <w:tblPr>
                        <w:tblStyle w:val="TableGrid"/>
                        <w:tblW w:w="0" w:type="auto"/>
                        <w:tblLayout w:type="fixed"/>
                        <w:tblLook w:val="04A0" w:firstRow="1" w:lastRow="0" w:firstColumn="1" w:lastColumn="0" w:noHBand="0" w:noVBand="1"/>
                      </w:tblPr>
                      <w:tblGrid>
                        <w:gridCol w:w="10603"/>
                      </w:tblGrid>
                      <w:tr w:rsidR="000B695A" w:rsidRPr="00AA1B91" w14:paraId="6511A62F" w14:textId="77777777" w:rsidTr="00511E15">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28A1DFC1" w14:textId="77777777" w:rsidR="000B695A" w:rsidRPr="00AA1B91" w:rsidRDefault="000B695A" w:rsidP="00511E15"/>
                        </w:tc>
                      </w:tr>
                      <w:tr w:rsidR="000B695A" w:rsidRPr="00AA1B91" w14:paraId="24938B30" w14:textId="77777777" w:rsidTr="00981018">
                        <w:trPr>
                          <w:trHeight w:hRule="exact" w:val="10603"/>
                        </w:trPr>
                        <w:tc>
                          <w:tcPr>
                            <w:tcW w:w="10603" w:type="dxa"/>
                          </w:tcPr>
                          <w:p w14:paraId="71214651" w14:textId="77777777" w:rsidR="000B695A" w:rsidRPr="00AA1B91" w:rsidRDefault="000B695A" w:rsidP="00511E15">
                            <w:pPr>
                              <w:pStyle w:val="FPPicture"/>
                            </w:pPr>
                            <w:r>
                              <w:rPr>
                                <w:noProof/>
                                <w:lang w:eastAsia="en-AU"/>
                              </w:rPr>
                              <w:drawing>
                                <wp:inline distT="0" distB="0" distL="0" distR="0" wp14:anchorId="603A4A57" wp14:editId="54040BD3">
                                  <wp:extent cx="6732905" cy="6648450"/>
                                  <wp:effectExtent l="0" t="0" r="0" b="0"/>
                                  <wp:docPr id="12" name="Picture 12" descr="Picture on fro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rotWithShape="1">
                                          <a:blip r:embed="rId14">
                                            <a:extLst>
                                              <a:ext uri="{28A0092B-C50C-407E-A947-70E740481C1C}">
                                                <a14:useLocalDpi xmlns:a14="http://schemas.microsoft.com/office/drawing/2010/main" val="0"/>
                                              </a:ext>
                                            </a:extLst>
                                          </a:blip>
                                          <a:srcRect t="627" b="627"/>
                                          <a:stretch/>
                                        </pic:blipFill>
                                        <pic:spPr bwMode="auto">
                                          <a:xfrm>
                                            <a:off x="0" y="0"/>
                                            <a:ext cx="6732905" cy="66484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B4F6A5B" w14:textId="77777777" w:rsidR="000B695A" w:rsidRDefault="000B695A" w:rsidP="00981018">
                      <w:pPr>
                        <w:pStyle w:val="NoSpacing"/>
                      </w:pPr>
                    </w:p>
                    <w:p w14:paraId="40B00E8F" w14:textId="77777777" w:rsidR="000B695A" w:rsidRPr="00AA1B91" w:rsidRDefault="000B695A" w:rsidP="00981018">
                      <w:pPr>
                        <w:pStyle w:val="NoSpacing"/>
                      </w:pPr>
                    </w:p>
                    <w:tbl>
                      <w:tblPr>
                        <w:tblStyle w:val="Tabel-Gitter1"/>
                        <w:tblOverlap w:val="never"/>
                        <w:tblW w:w="0" w:type="auto"/>
                        <w:tblLayout w:type="fixed"/>
                        <w:tblLook w:val="04A0" w:firstRow="1" w:lastRow="0" w:firstColumn="1" w:lastColumn="0" w:noHBand="0" w:noVBand="1"/>
                      </w:tblPr>
                      <w:tblGrid>
                        <w:gridCol w:w="6945"/>
                      </w:tblGrid>
                      <w:tr w:rsidR="000B695A" w14:paraId="08A1C698" w14:textId="77777777" w:rsidTr="00511E15">
                        <w:trPr>
                          <w:cnfStyle w:val="100000000000" w:firstRow="1" w:lastRow="0" w:firstColumn="0" w:lastColumn="0" w:oddVBand="0" w:evenVBand="0" w:oddHBand="0" w:evenHBand="0" w:firstRowFirstColumn="0" w:firstRowLastColumn="0" w:lastRowFirstColumn="0" w:lastRowLastColumn="0"/>
                          <w:trHeight w:val="2438"/>
                        </w:trPr>
                        <w:tc>
                          <w:tcPr>
                            <w:tcW w:w="6945" w:type="dxa"/>
                            <w:vAlign w:val="bottom"/>
                            <w:hideMark/>
                          </w:tcPr>
                          <w:bookmarkStart w:id="4" w:name="start" w:displacedByCustomXml="next"/>
                          <w:sdt>
                            <w:sdtPr>
                              <w:alias w:val="Titel"/>
                              <w:id w:val="-749505301"/>
                              <w:dataBinding w:prefixMappings="xmlns:ns0='http://purl.org/dc/elements/1.1/' xmlns:ns1='http://schemas.openxmlformats.org/package/2006/metadata/core-properties' " w:xpath="/ns1:coreProperties[1]/ns0:title[1]" w:storeItemID="{6C3C8BC8-F283-45AE-878A-BAB7291924A1}"/>
                              <w:text/>
                            </w:sdtPr>
                            <w:sdtEndPr/>
                            <w:sdtContent>
                              <w:p w14:paraId="3D2B5433" w14:textId="598628DF" w:rsidR="000B695A" w:rsidRPr="00A96769" w:rsidRDefault="000B695A" w:rsidP="007C4146">
                                <w:pPr>
                                  <w:pStyle w:val="Documenttitle"/>
                                </w:pPr>
                                <w:r>
                                  <w:t>Final report – Temporary Transformation Payment Benchmarking Survey</w:t>
                                </w:r>
                              </w:p>
                            </w:sdtContent>
                          </w:sdt>
                          <w:bookmarkEnd w:id="4" w:displacedByCustomXml="prev"/>
                          <w:p w14:paraId="4249F09C" w14:textId="77777777" w:rsidR="000B695A" w:rsidRDefault="000B695A" w:rsidP="005D3CA2">
                            <w:pPr>
                              <w:pStyle w:val="Documentsubtitle"/>
                            </w:pPr>
                            <w:r>
                              <w:t>National Disability Insurance Agency</w:t>
                            </w:r>
                          </w:p>
                          <w:p w14:paraId="29A06079" w14:textId="0C4BFE89" w:rsidR="000B695A" w:rsidRDefault="000B695A" w:rsidP="005D3CA2">
                            <w:pPr>
                              <w:pStyle w:val="Documentdate"/>
                            </w:pPr>
                            <w:r>
                              <w:t>May 2020</w:t>
                            </w:r>
                          </w:p>
                        </w:tc>
                      </w:tr>
                    </w:tbl>
                    <w:p w14:paraId="414C7761" w14:textId="77777777" w:rsidR="000B695A" w:rsidRPr="00AA1B91" w:rsidRDefault="000B695A" w:rsidP="001E349B"/>
                  </w:txbxContent>
                </v:textbox>
                <w10:wrap anchorx="page" anchory="page"/>
                <w10:anchorlock/>
              </v:shape>
            </w:pict>
          </mc:Fallback>
        </mc:AlternateContent>
      </w:r>
      <w:bookmarkStart w:id="5" w:name="BIT_CoverPage"/>
    </w:p>
    <w:p w14:paraId="6BC5B38D" w14:textId="77777777" w:rsidR="001E349B" w:rsidRPr="004A7D78" w:rsidRDefault="00031008" w:rsidP="001E349B">
      <w:r>
        <w:rPr>
          <w:noProof/>
          <w:lang w:eastAsia="en-AU"/>
        </w:rPr>
        <w:drawing>
          <wp:anchor distT="0" distB="0" distL="114300" distR="114300" simplePos="0" relativeHeight="251691008" behindDoc="0" locked="0" layoutInCell="1" allowOverlap="1" wp14:anchorId="51B5B261" wp14:editId="708F9523">
            <wp:simplePos x="0" y="0"/>
            <wp:positionH relativeFrom="page">
              <wp:posOffset>5154295</wp:posOffset>
            </wp:positionH>
            <wp:positionV relativeFrom="page">
              <wp:posOffset>9591040</wp:posOffset>
            </wp:positionV>
            <wp:extent cx="2003425" cy="528955"/>
            <wp:effectExtent l="0" t="0" r="0" b="0"/>
            <wp:wrapNone/>
            <wp:docPr id="52379519" name="Frontpage_Logo_Negativ" hidden="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2379519" name="Frontpage_Logo_Negativ"/>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03425" cy="528955"/>
                    </a:xfrm>
                    <a:prstGeom prst="rect">
                      <a:avLst/>
                    </a:prstGeom>
                  </pic:spPr>
                </pic:pic>
              </a:graphicData>
            </a:graphic>
          </wp:anchor>
        </w:drawing>
      </w:r>
    </w:p>
    <w:bookmarkEnd w:id="5"/>
    <w:p w14:paraId="1A8615C5" w14:textId="77777777" w:rsidR="001E349B" w:rsidRDefault="001E349B" w:rsidP="00A31EF9"/>
    <w:p w14:paraId="24FDEFA0" w14:textId="4BF46788" w:rsidR="001E349B" w:rsidRPr="000F05E4" w:rsidRDefault="001E349B" w:rsidP="00A31EF9"/>
    <w:p w14:paraId="3CDE846C" w14:textId="77777777" w:rsidR="00D96296" w:rsidRDefault="00D96296" w:rsidP="008C16DC">
      <w:pPr>
        <w:pageBreakBefore/>
        <w:sectPr w:rsidR="00D96296" w:rsidSect="005F043A">
          <w:headerReference w:type="default" r:id="rId16"/>
          <w:footerReference w:type="default" r:id="rId17"/>
          <w:pgSz w:w="11906" w:h="16838" w:code="9"/>
          <w:pgMar w:top="1440" w:right="4281" w:bottom="1440" w:left="1440" w:header="680" w:footer="425" w:gutter="0"/>
          <w:cols w:space="284"/>
          <w:docGrid w:linePitch="360"/>
        </w:sectPr>
      </w:pPr>
    </w:p>
    <w:p w14:paraId="25797EBD" w14:textId="77777777" w:rsidR="002268CC" w:rsidRDefault="002268CC" w:rsidP="002268CC">
      <w:pPr>
        <w:pStyle w:val="TOCHeading"/>
      </w:pPr>
      <w:bookmarkStart w:id="6" w:name="LAN_ContentsRP"/>
      <w:r>
        <w:lastRenderedPageBreak/>
        <w:t>Contents</w:t>
      </w:r>
      <w:bookmarkEnd w:id="6"/>
    </w:p>
    <w:p w14:paraId="25874E9D" w14:textId="7BDB2712" w:rsidR="000A0826" w:rsidRDefault="002268CC">
      <w:pPr>
        <w:pStyle w:val="TOC1"/>
        <w:rPr>
          <w:rFonts w:asciiTheme="minorHAnsi" w:eastAsiaTheme="minorEastAsia" w:hAnsiTheme="minorHAnsi"/>
          <w:noProof/>
          <w:sz w:val="22"/>
          <w:szCs w:val="22"/>
          <w:lang w:eastAsia="en-AU"/>
        </w:rPr>
      </w:pPr>
      <w:r>
        <w:fldChar w:fldCharType="begin"/>
      </w:r>
      <w:r>
        <w:instrText xml:space="preserve"> TOC \o "1</w:instrText>
      </w:r>
      <w:r w:rsidR="009C3FEE">
        <w:instrText>-3" \h \z \t "Executive Heading,</w:instrText>
      </w:r>
      <w:r>
        <w:instrText xml:space="preserve">1,Appendix_head_2,2,Appendix_head_3,3,Appendix_head_1,1" </w:instrText>
      </w:r>
      <w:r>
        <w:fldChar w:fldCharType="separate"/>
      </w:r>
      <w:hyperlink w:anchor="_Toc40454608" w:history="1">
        <w:r w:rsidR="000A0826" w:rsidRPr="00793669">
          <w:rPr>
            <w:rStyle w:val="Hyperlink"/>
            <w:noProof/>
          </w:rPr>
          <w:t>Glossary</w:t>
        </w:r>
        <w:r w:rsidR="000A0826">
          <w:rPr>
            <w:noProof/>
            <w:webHidden/>
          </w:rPr>
          <w:tab/>
        </w:r>
        <w:r w:rsidR="000A0826">
          <w:rPr>
            <w:noProof/>
            <w:webHidden/>
          </w:rPr>
          <w:fldChar w:fldCharType="begin"/>
        </w:r>
        <w:r w:rsidR="000A0826">
          <w:rPr>
            <w:noProof/>
            <w:webHidden/>
          </w:rPr>
          <w:instrText xml:space="preserve"> PAGEREF _Toc40454608 \h </w:instrText>
        </w:r>
        <w:r w:rsidR="000A0826">
          <w:rPr>
            <w:noProof/>
            <w:webHidden/>
          </w:rPr>
        </w:r>
        <w:r w:rsidR="000A0826">
          <w:rPr>
            <w:noProof/>
            <w:webHidden/>
          </w:rPr>
          <w:fldChar w:fldCharType="separate"/>
        </w:r>
        <w:r w:rsidR="00283637">
          <w:rPr>
            <w:noProof/>
            <w:webHidden/>
          </w:rPr>
          <w:t>i</w:t>
        </w:r>
        <w:r w:rsidR="000A0826">
          <w:rPr>
            <w:noProof/>
            <w:webHidden/>
          </w:rPr>
          <w:fldChar w:fldCharType="end"/>
        </w:r>
      </w:hyperlink>
    </w:p>
    <w:p w14:paraId="52DFA710" w14:textId="6F2A6F77" w:rsidR="000A0826" w:rsidRDefault="00C10F81">
      <w:pPr>
        <w:pStyle w:val="TOC1"/>
        <w:rPr>
          <w:rFonts w:asciiTheme="minorHAnsi" w:eastAsiaTheme="minorEastAsia" w:hAnsiTheme="minorHAnsi"/>
          <w:noProof/>
          <w:sz w:val="22"/>
          <w:szCs w:val="22"/>
          <w:lang w:eastAsia="en-AU"/>
        </w:rPr>
      </w:pPr>
      <w:hyperlink w:anchor="_Toc40454642" w:history="1">
        <w:r w:rsidR="000A0826" w:rsidRPr="00793669">
          <w:rPr>
            <w:rStyle w:val="Hyperlink"/>
            <w:noProof/>
          </w:rPr>
          <w:t>1</w:t>
        </w:r>
        <w:r w:rsidR="000A0826">
          <w:rPr>
            <w:rFonts w:asciiTheme="minorHAnsi" w:eastAsiaTheme="minorEastAsia" w:hAnsiTheme="minorHAnsi"/>
            <w:noProof/>
            <w:sz w:val="22"/>
            <w:szCs w:val="22"/>
            <w:lang w:eastAsia="en-AU"/>
          </w:rPr>
          <w:tab/>
        </w:r>
        <w:r w:rsidR="000A0826" w:rsidRPr="00793669">
          <w:rPr>
            <w:rStyle w:val="Hyperlink"/>
            <w:noProof/>
          </w:rPr>
          <w:t>Introduction</w:t>
        </w:r>
        <w:r w:rsidR="000A0826">
          <w:rPr>
            <w:noProof/>
            <w:webHidden/>
          </w:rPr>
          <w:tab/>
        </w:r>
        <w:r w:rsidR="000A0826">
          <w:rPr>
            <w:noProof/>
            <w:webHidden/>
          </w:rPr>
          <w:fldChar w:fldCharType="begin"/>
        </w:r>
        <w:r w:rsidR="000A0826">
          <w:rPr>
            <w:noProof/>
            <w:webHidden/>
          </w:rPr>
          <w:instrText xml:space="preserve"> PAGEREF _Toc40454642 \h </w:instrText>
        </w:r>
        <w:r w:rsidR="000A0826">
          <w:rPr>
            <w:noProof/>
            <w:webHidden/>
          </w:rPr>
        </w:r>
        <w:r w:rsidR="000A0826">
          <w:rPr>
            <w:noProof/>
            <w:webHidden/>
          </w:rPr>
          <w:fldChar w:fldCharType="separate"/>
        </w:r>
        <w:r w:rsidR="00283637">
          <w:rPr>
            <w:noProof/>
            <w:webHidden/>
          </w:rPr>
          <w:t>1</w:t>
        </w:r>
        <w:r w:rsidR="000A0826">
          <w:rPr>
            <w:noProof/>
            <w:webHidden/>
          </w:rPr>
          <w:fldChar w:fldCharType="end"/>
        </w:r>
      </w:hyperlink>
    </w:p>
    <w:p w14:paraId="6918FC55" w14:textId="76107D9F" w:rsidR="000A0826" w:rsidRDefault="00C10F81">
      <w:pPr>
        <w:pStyle w:val="TOC1"/>
        <w:rPr>
          <w:rFonts w:asciiTheme="minorHAnsi" w:eastAsiaTheme="minorEastAsia" w:hAnsiTheme="minorHAnsi"/>
          <w:noProof/>
          <w:sz w:val="22"/>
          <w:szCs w:val="22"/>
          <w:lang w:eastAsia="en-AU"/>
        </w:rPr>
      </w:pPr>
      <w:hyperlink w:anchor="_Toc40454643" w:history="1">
        <w:r w:rsidR="000A0826" w:rsidRPr="00793669">
          <w:rPr>
            <w:rStyle w:val="Hyperlink"/>
            <w:noProof/>
          </w:rPr>
          <w:t>2</w:t>
        </w:r>
        <w:r w:rsidR="000A0826">
          <w:rPr>
            <w:rFonts w:asciiTheme="minorHAnsi" w:eastAsiaTheme="minorEastAsia" w:hAnsiTheme="minorHAnsi"/>
            <w:noProof/>
            <w:sz w:val="22"/>
            <w:szCs w:val="22"/>
            <w:lang w:eastAsia="en-AU"/>
          </w:rPr>
          <w:tab/>
        </w:r>
        <w:r w:rsidR="000A0826" w:rsidRPr="00793669">
          <w:rPr>
            <w:rStyle w:val="Hyperlink"/>
            <w:noProof/>
          </w:rPr>
          <w:t>Methodology</w:t>
        </w:r>
        <w:r w:rsidR="000A0826">
          <w:rPr>
            <w:noProof/>
            <w:webHidden/>
          </w:rPr>
          <w:tab/>
        </w:r>
        <w:r w:rsidR="000A0826">
          <w:rPr>
            <w:noProof/>
            <w:webHidden/>
          </w:rPr>
          <w:fldChar w:fldCharType="begin"/>
        </w:r>
        <w:r w:rsidR="000A0826">
          <w:rPr>
            <w:noProof/>
            <w:webHidden/>
          </w:rPr>
          <w:instrText xml:space="preserve"> PAGEREF _Toc40454643 \h </w:instrText>
        </w:r>
        <w:r w:rsidR="000A0826">
          <w:rPr>
            <w:noProof/>
            <w:webHidden/>
          </w:rPr>
        </w:r>
        <w:r w:rsidR="000A0826">
          <w:rPr>
            <w:noProof/>
            <w:webHidden/>
          </w:rPr>
          <w:fldChar w:fldCharType="separate"/>
        </w:r>
        <w:r w:rsidR="00283637">
          <w:rPr>
            <w:noProof/>
            <w:webHidden/>
          </w:rPr>
          <w:t>2</w:t>
        </w:r>
        <w:r w:rsidR="000A0826">
          <w:rPr>
            <w:noProof/>
            <w:webHidden/>
          </w:rPr>
          <w:fldChar w:fldCharType="end"/>
        </w:r>
      </w:hyperlink>
    </w:p>
    <w:p w14:paraId="7E953BD1" w14:textId="0E036561" w:rsidR="000A0826" w:rsidRDefault="00C10F81">
      <w:pPr>
        <w:pStyle w:val="TOC1"/>
        <w:rPr>
          <w:rFonts w:asciiTheme="minorHAnsi" w:eastAsiaTheme="minorEastAsia" w:hAnsiTheme="minorHAnsi"/>
          <w:noProof/>
          <w:sz w:val="22"/>
          <w:szCs w:val="22"/>
          <w:lang w:eastAsia="en-AU"/>
        </w:rPr>
      </w:pPr>
      <w:hyperlink w:anchor="_Toc40454644" w:history="1">
        <w:r w:rsidR="000A0826" w:rsidRPr="00793669">
          <w:rPr>
            <w:rStyle w:val="Hyperlink"/>
            <w:noProof/>
          </w:rPr>
          <w:t>3</w:t>
        </w:r>
        <w:r w:rsidR="000A0826">
          <w:rPr>
            <w:rFonts w:asciiTheme="minorHAnsi" w:eastAsiaTheme="minorEastAsia" w:hAnsiTheme="minorHAnsi"/>
            <w:noProof/>
            <w:sz w:val="22"/>
            <w:szCs w:val="22"/>
            <w:lang w:eastAsia="en-AU"/>
          </w:rPr>
          <w:tab/>
        </w:r>
        <w:r w:rsidR="000A0826" w:rsidRPr="00793669">
          <w:rPr>
            <w:rStyle w:val="Hyperlink"/>
            <w:noProof/>
          </w:rPr>
          <w:t>Results</w:t>
        </w:r>
        <w:r w:rsidR="000A0826">
          <w:rPr>
            <w:noProof/>
            <w:webHidden/>
          </w:rPr>
          <w:tab/>
        </w:r>
        <w:r w:rsidR="000A0826">
          <w:rPr>
            <w:noProof/>
            <w:webHidden/>
          </w:rPr>
          <w:fldChar w:fldCharType="begin"/>
        </w:r>
        <w:r w:rsidR="000A0826">
          <w:rPr>
            <w:noProof/>
            <w:webHidden/>
          </w:rPr>
          <w:instrText xml:space="preserve"> PAGEREF _Toc40454644 \h </w:instrText>
        </w:r>
        <w:r w:rsidR="000A0826">
          <w:rPr>
            <w:noProof/>
            <w:webHidden/>
          </w:rPr>
        </w:r>
        <w:r w:rsidR="000A0826">
          <w:rPr>
            <w:noProof/>
            <w:webHidden/>
          </w:rPr>
          <w:fldChar w:fldCharType="separate"/>
        </w:r>
        <w:r w:rsidR="00283637">
          <w:rPr>
            <w:noProof/>
            <w:webHidden/>
          </w:rPr>
          <w:t>5</w:t>
        </w:r>
        <w:r w:rsidR="000A0826">
          <w:rPr>
            <w:noProof/>
            <w:webHidden/>
          </w:rPr>
          <w:fldChar w:fldCharType="end"/>
        </w:r>
      </w:hyperlink>
    </w:p>
    <w:p w14:paraId="3E24B331" w14:textId="5CD14FE9" w:rsidR="000A0826" w:rsidRDefault="00C10F81">
      <w:pPr>
        <w:pStyle w:val="TOC2"/>
        <w:tabs>
          <w:tab w:val="left" w:pos="1134"/>
        </w:tabs>
        <w:rPr>
          <w:rFonts w:asciiTheme="minorHAnsi" w:eastAsiaTheme="minorEastAsia" w:hAnsiTheme="minorHAnsi"/>
          <w:noProof/>
          <w:sz w:val="22"/>
          <w:szCs w:val="22"/>
          <w:lang w:eastAsia="en-AU"/>
        </w:rPr>
      </w:pPr>
      <w:hyperlink w:anchor="_Toc40454647" w:history="1">
        <w:r w:rsidR="000A0826" w:rsidRPr="00793669">
          <w:rPr>
            <w:rStyle w:val="Hyperlink"/>
            <w:noProof/>
          </w:rPr>
          <w:t>3.1</w:t>
        </w:r>
        <w:r w:rsidR="000A0826">
          <w:rPr>
            <w:rFonts w:asciiTheme="minorHAnsi" w:eastAsiaTheme="minorEastAsia" w:hAnsiTheme="minorHAnsi"/>
            <w:noProof/>
            <w:sz w:val="22"/>
            <w:szCs w:val="22"/>
            <w:lang w:eastAsia="en-AU"/>
          </w:rPr>
          <w:tab/>
        </w:r>
        <w:r w:rsidR="000A0826" w:rsidRPr="00793669">
          <w:rPr>
            <w:rStyle w:val="Hyperlink"/>
            <w:noProof/>
          </w:rPr>
          <w:t>Base pay</w:t>
        </w:r>
        <w:r w:rsidR="000A0826">
          <w:rPr>
            <w:noProof/>
            <w:webHidden/>
          </w:rPr>
          <w:tab/>
        </w:r>
        <w:r w:rsidR="000A0826">
          <w:rPr>
            <w:noProof/>
            <w:webHidden/>
          </w:rPr>
          <w:fldChar w:fldCharType="begin"/>
        </w:r>
        <w:r w:rsidR="000A0826">
          <w:rPr>
            <w:noProof/>
            <w:webHidden/>
          </w:rPr>
          <w:instrText xml:space="preserve"> PAGEREF _Toc40454647 \h </w:instrText>
        </w:r>
        <w:r w:rsidR="000A0826">
          <w:rPr>
            <w:noProof/>
            <w:webHidden/>
          </w:rPr>
        </w:r>
        <w:r w:rsidR="000A0826">
          <w:rPr>
            <w:noProof/>
            <w:webHidden/>
          </w:rPr>
          <w:fldChar w:fldCharType="separate"/>
        </w:r>
        <w:r w:rsidR="00283637">
          <w:rPr>
            <w:noProof/>
            <w:webHidden/>
          </w:rPr>
          <w:t>5</w:t>
        </w:r>
        <w:r w:rsidR="000A0826">
          <w:rPr>
            <w:noProof/>
            <w:webHidden/>
          </w:rPr>
          <w:fldChar w:fldCharType="end"/>
        </w:r>
      </w:hyperlink>
    </w:p>
    <w:p w14:paraId="20FB38CB" w14:textId="6B136387" w:rsidR="000A0826" w:rsidRDefault="00C10F81">
      <w:pPr>
        <w:pStyle w:val="TOC2"/>
        <w:tabs>
          <w:tab w:val="left" w:pos="1134"/>
        </w:tabs>
        <w:rPr>
          <w:rFonts w:asciiTheme="minorHAnsi" w:eastAsiaTheme="minorEastAsia" w:hAnsiTheme="minorHAnsi"/>
          <w:noProof/>
          <w:sz w:val="22"/>
          <w:szCs w:val="22"/>
          <w:lang w:eastAsia="en-AU"/>
        </w:rPr>
      </w:pPr>
      <w:hyperlink w:anchor="_Toc40454648" w:history="1">
        <w:r w:rsidR="000A0826" w:rsidRPr="00793669">
          <w:rPr>
            <w:rStyle w:val="Hyperlink"/>
            <w:noProof/>
          </w:rPr>
          <w:t>3.2</w:t>
        </w:r>
        <w:r w:rsidR="000A0826">
          <w:rPr>
            <w:rFonts w:asciiTheme="minorHAnsi" w:eastAsiaTheme="minorEastAsia" w:hAnsiTheme="minorHAnsi"/>
            <w:noProof/>
            <w:sz w:val="22"/>
            <w:szCs w:val="22"/>
            <w:lang w:eastAsia="en-AU"/>
          </w:rPr>
          <w:tab/>
        </w:r>
        <w:r w:rsidR="000A0826" w:rsidRPr="00793669">
          <w:rPr>
            <w:rStyle w:val="Hyperlink"/>
            <w:noProof/>
          </w:rPr>
          <w:t>Supervision costs</w:t>
        </w:r>
        <w:r w:rsidR="000A0826">
          <w:rPr>
            <w:noProof/>
            <w:webHidden/>
          </w:rPr>
          <w:tab/>
        </w:r>
        <w:r w:rsidR="000A0826">
          <w:rPr>
            <w:noProof/>
            <w:webHidden/>
          </w:rPr>
          <w:fldChar w:fldCharType="begin"/>
        </w:r>
        <w:r w:rsidR="000A0826">
          <w:rPr>
            <w:noProof/>
            <w:webHidden/>
          </w:rPr>
          <w:instrText xml:space="preserve"> PAGEREF _Toc40454648 \h </w:instrText>
        </w:r>
        <w:r w:rsidR="000A0826">
          <w:rPr>
            <w:noProof/>
            <w:webHidden/>
          </w:rPr>
        </w:r>
        <w:r w:rsidR="000A0826">
          <w:rPr>
            <w:noProof/>
            <w:webHidden/>
          </w:rPr>
          <w:fldChar w:fldCharType="separate"/>
        </w:r>
        <w:r w:rsidR="00283637">
          <w:rPr>
            <w:noProof/>
            <w:webHidden/>
          </w:rPr>
          <w:t>6</w:t>
        </w:r>
        <w:r w:rsidR="000A0826">
          <w:rPr>
            <w:noProof/>
            <w:webHidden/>
          </w:rPr>
          <w:fldChar w:fldCharType="end"/>
        </w:r>
      </w:hyperlink>
    </w:p>
    <w:p w14:paraId="60BE7CFD" w14:textId="214F0E43" w:rsidR="000A0826" w:rsidRDefault="00C10F81">
      <w:pPr>
        <w:pStyle w:val="TOC2"/>
        <w:tabs>
          <w:tab w:val="left" w:pos="1134"/>
        </w:tabs>
        <w:rPr>
          <w:rFonts w:asciiTheme="minorHAnsi" w:eastAsiaTheme="minorEastAsia" w:hAnsiTheme="minorHAnsi"/>
          <w:noProof/>
          <w:sz w:val="22"/>
          <w:szCs w:val="22"/>
          <w:lang w:eastAsia="en-AU"/>
        </w:rPr>
      </w:pPr>
      <w:hyperlink w:anchor="_Toc40454649" w:history="1">
        <w:r w:rsidR="000A0826" w:rsidRPr="00793669">
          <w:rPr>
            <w:rStyle w:val="Hyperlink"/>
            <w:noProof/>
          </w:rPr>
          <w:t>3.3</w:t>
        </w:r>
        <w:r w:rsidR="000A0826">
          <w:rPr>
            <w:rFonts w:asciiTheme="minorHAnsi" w:eastAsiaTheme="minorEastAsia" w:hAnsiTheme="minorHAnsi"/>
            <w:noProof/>
            <w:sz w:val="22"/>
            <w:szCs w:val="22"/>
            <w:lang w:eastAsia="en-AU"/>
          </w:rPr>
          <w:tab/>
        </w:r>
        <w:r w:rsidR="000A0826" w:rsidRPr="00793669">
          <w:rPr>
            <w:rStyle w:val="Hyperlink"/>
            <w:noProof/>
          </w:rPr>
          <w:t>Shift loadings</w:t>
        </w:r>
        <w:r w:rsidR="000A0826">
          <w:rPr>
            <w:noProof/>
            <w:webHidden/>
          </w:rPr>
          <w:tab/>
        </w:r>
        <w:r w:rsidR="000A0826">
          <w:rPr>
            <w:noProof/>
            <w:webHidden/>
          </w:rPr>
          <w:fldChar w:fldCharType="begin"/>
        </w:r>
        <w:r w:rsidR="000A0826">
          <w:rPr>
            <w:noProof/>
            <w:webHidden/>
          </w:rPr>
          <w:instrText xml:space="preserve"> PAGEREF _Toc40454649 \h </w:instrText>
        </w:r>
        <w:r w:rsidR="000A0826">
          <w:rPr>
            <w:noProof/>
            <w:webHidden/>
          </w:rPr>
        </w:r>
        <w:r w:rsidR="000A0826">
          <w:rPr>
            <w:noProof/>
            <w:webHidden/>
          </w:rPr>
          <w:fldChar w:fldCharType="separate"/>
        </w:r>
        <w:r w:rsidR="00283637">
          <w:rPr>
            <w:noProof/>
            <w:webHidden/>
          </w:rPr>
          <w:t>8</w:t>
        </w:r>
        <w:r w:rsidR="000A0826">
          <w:rPr>
            <w:noProof/>
            <w:webHidden/>
          </w:rPr>
          <w:fldChar w:fldCharType="end"/>
        </w:r>
      </w:hyperlink>
    </w:p>
    <w:p w14:paraId="06CDED6D" w14:textId="49776400" w:rsidR="000A0826" w:rsidRDefault="00C10F81">
      <w:pPr>
        <w:pStyle w:val="TOC2"/>
        <w:tabs>
          <w:tab w:val="left" w:pos="1134"/>
        </w:tabs>
        <w:rPr>
          <w:rFonts w:asciiTheme="minorHAnsi" w:eastAsiaTheme="minorEastAsia" w:hAnsiTheme="minorHAnsi"/>
          <w:noProof/>
          <w:sz w:val="22"/>
          <w:szCs w:val="22"/>
          <w:lang w:eastAsia="en-AU"/>
        </w:rPr>
      </w:pPr>
      <w:hyperlink w:anchor="_Toc40454650" w:history="1">
        <w:r w:rsidR="000A0826" w:rsidRPr="00793669">
          <w:rPr>
            <w:rStyle w:val="Hyperlink"/>
            <w:noProof/>
          </w:rPr>
          <w:t>3.4</w:t>
        </w:r>
        <w:r w:rsidR="000A0826">
          <w:rPr>
            <w:rFonts w:asciiTheme="minorHAnsi" w:eastAsiaTheme="minorEastAsia" w:hAnsiTheme="minorHAnsi"/>
            <w:noProof/>
            <w:sz w:val="22"/>
            <w:szCs w:val="22"/>
            <w:lang w:eastAsia="en-AU"/>
          </w:rPr>
          <w:tab/>
        </w:r>
        <w:r w:rsidR="000A0826" w:rsidRPr="00793669">
          <w:rPr>
            <w:rStyle w:val="Hyperlink"/>
            <w:noProof/>
          </w:rPr>
          <w:t>Days worked versus days paid</w:t>
        </w:r>
        <w:r w:rsidR="000A0826">
          <w:rPr>
            <w:noProof/>
            <w:webHidden/>
          </w:rPr>
          <w:tab/>
        </w:r>
        <w:r w:rsidR="000A0826">
          <w:rPr>
            <w:noProof/>
            <w:webHidden/>
          </w:rPr>
          <w:fldChar w:fldCharType="begin"/>
        </w:r>
        <w:r w:rsidR="000A0826">
          <w:rPr>
            <w:noProof/>
            <w:webHidden/>
          </w:rPr>
          <w:instrText xml:space="preserve"> PAGEREF _Toc40454650 \h </w:instrText>
        </w:r>
        <w:r w:rsidR="000A0826">
          <w:rPr>
            <w:noProof/>
            <w:webHidden/>
          </w:rPr>
        </w:r>
        <w:r w:rsidR="000A0826">
          <w:rPr>
            <w:noProof/>
            <w:webHidden/>
          </w:rPr>
          <w:fldChar w:fldCharType="separate"/>
        </w:r>
        <w:r w:rsidR="00283637">
          <w:rPr>
            <w:noProof/>
            <w:webHidden/>
          </w:rPr>
          <w:t>10</w:t>
        </w:r>
        <w:r w:rsidR="000A0826">
          <w:rPr>
            <w:noProof/>
            <w:webHidden/>
          </w:rPr>
          <w:fldChar w:fldCharType="end"/>
        </w:r>
      </w:hyperlink>
    </w:p>
    <w:p w14:paraId="251A1736" w14:textId="499080E5" w:rsidR="000A0826" w:rsidRDefault="00C10F81">
      <w:pPr>
        <w:pStyle w:val="TOC2"/>
        <w:tabs>
          <w:tab w:val="left" w:pos="1134"/>
        </w:tabs>
        <w:rPr>
          <w:rFonts w:asciiTheme="minorHAnsi" w:eastAsiaTheme="minorEastAsia" w:hAnsiTheme="minorHAnsi"/>
          <w:noProof/>
          <w:sz w:val="22"/>
          <w:szCs w:val="22"/>
          <w:lang w:eastAsia="en-AU"/>
        </w:rPr>
      </w:pPr>
      <w:hyperlink w:anchor="_Toc40454651" w:history="1">
        <w:r w:rsidR="000A0826" w:rsidRPr="00793669">
          <w:rPr>
            <w:rStyle w:val="Hyperlink"/>
            <w:noProof/>
          </w:rPr>
          <w:t>3.5</w:t>
        </w:r>
        <w:r w:rsidR="000A0826">
          <w:rPr>
            <w:rFonts w:asciiTheme="minorHAnsi" w:eastAsiaTheme="minorEastAsia" w:hAnsiTheme="minorHAnsi"/>
            <w:noProof/>
            <w:sz w:val="22"/>
            <w:szCs w:val="22"/>
            <w:lang w:eastAsia="en-AU"/>
          </w:rPr>
          <w:tab/>
        </w:r>
        <w:r w:rsidR="000A0826" w:rsidRPr="00793669">
          <w:rPr>
            <w:rStyle w:val="Hyperlink"/>
            <w:noProof/>
          </w:rPr>
          <w:t>Salary on-costs</w:t>
        </w:r>
        <w:r w:rsidR="000A0826">
          <w:rPr>
            <w:noProof/>
            <w:webHidden/>
          </w:rPr>
          <w:tab/>
        </w:r>
        <w:r w:rsidR="000A0826">
          <w:rPr>
            <w:noProof/>
            <w:webHidden/>
          </w:rPr>
          <w:fldChar w:fldCharType="begin"/>
        </w:r>
        <w:r w:rsidR="000A0826">
          <w:rPr>
            <w:noProof/>
            <w:webHidden/>
          </w:rPr>
          <w:instrText xml:space="preserve"> PAGEREF _Toc40454651 \h </w:instrText>
        </w:r>
        <w:r w:rsidR="000A0826">
          <w:rPr>
            <w:noProof/>
            <w:webHidden/>
          </w:rPr>
        </w:r>
        <w:r w:rsidR="000A0826">
          <w:rPr>
            <w:noProof/>
            <w:webHidden/>
          </w:rPr>
          <w:fldChar w:fldCharType="separate"/>
        </w:r>
        <w:r w:rsidR="00283637">
          <w:rPr>
            <w:noProof/>
            <w:webHidden/>
          </w:rPr>
          <w:t>10</w:t>
        </w:r>
        <w:r w:rsidR="000A0826">
          <w:rPr>
            <w:noProof/>
            <w:webHidden/>
          </w:rPr>
          <w:fldChar w:fldCharType="end"/>
        </w:r>
      </w:hyperlink>
    </w:p>
    <w:p w14:paraId="74F93753" w14:textId="6BA12DEC" w:rsidR="000A0826" w:rsidRDefault="00C10F81">
      <w:pPr>
        <w:pStyle w:val="TOC2"/>
        <w:tabs>
          <w:tab w:val="left" w:pos="1134"/>
        </w:tabs>
        <w:rPr>
          <w:rFonts w:asciiTheme="minorHAnsi" w:eastAsiaTheme="minorEastAsia" w:hAnsiTheme="minorHAnsi"/>
          <w:noProof/>
          <w:sz w:val="22"/>
          <w:szCs w:val="22"/>
          <w:lang w:eastAsia="en-AU"/>
        </w:rPr>
      </w:pPr>
      <w:hyperlink w:anchor="_Toc40454652" w:history="1">
        <w:r w:rsidR="000A0826" w:rsidRPr="00793669">
          <w:rPr>
            <w:rStyle w:val="Hyperlink"/>
            <w:noProof/>
          </w:rPr>
          <w:t>3.6</w:t>
        </w:r>
        <w:r w:rsidR="000A0826">
          <w:rPr>
            <w:rFonts w:asciiTheme="minorHAnsi" w:eastAsiaTheme="minorEastAsia" w:hAnsiTheme="minorHAnsi"/>
            <w:noProof/>
            <w:sz w:val="22"/>
            <w:szCs w:val="22"/>
            <w:lang w:eastAsia="en-AU"/>
          </w:rPr>
          <w:tab/>
        </w:r>
        <w:r w:rsidR="000A0826" w:rsidRPr="00793669">
          <w:rPr>
            <w:rStyle w:val="Hyperlink"/>
            <w:noProof/>
          </w:rPr>
          <w:t>Permanent and casual workers</w:t>
        </w:r>
        <w:r w:rsidR="000A0826">
          <w:rPr>
            <w:noProof/>
            <w:webHidden/>
          </w:rPr>
          <w:tab/>
        </w:r>
        <w:r w:rsidR="000A0826">
          <w:rPr>
            <w:noProof/>
            <w:webHidden/>
          </w:rPr>
          <w:fldChar w:fldCharType="begin"/>
        </w:r>
        <w:r w:rsidR="000A0826">
          <w:rPr>
            <w:noProof/>
            <w:webHidden/>
          </w:rPr>
          <w:instrText xml:space="preserve"> PAGEREF _Toc40454652 \h </w:instrText>
        </w:r>
        <w:r w:rsidR="000A0826">
          <w:rPr>
            <w:noProof/>
            <w:webHidden/>
          </w:rPr>
        </w:r>
        <w:r w:rsidR="000A0826">
          <w:rPr>
            <w:noProof/>
            <w:webHidden/>
          </w:rPr>
          <w:fldChar w:fldCharType="separate"/>
        </w:r>
        <w:r w:rsidR="00283637">
          <w:rPr>
            <w:noProof/>
            <w:webHidden/>
          </w:rPr>
          <w:t>12</w:t>
        </w:r>
        <w:r w:rsidR="000A0826">
          <w:rPr>
            <w:noProof/>
            <w:webHidden/>
          </w:rPr>
          <w:fldChar w:fldCharType="end"/>
        </w:r>
      </w:hyperlink>
    </w:p>
    <w:p w14:paraId="17CC5AA6" w14:textId="39EEC29C" w:rsidR="000A0826" w:rsidRDefault="00C10F81">
      <w:pPr>
        <w:pStyle w:val="TOC2"/>
        <w:tabs>
          <w:tab w:val="left" w:pos="1134"/>
        </w:tabs>
        <w:rPr>
          <w:rFonts w:asciiTheme="minorHAnsi" w:eastAsiaTheme="minorEastAsia" w:hAnsiTheme="minorHAnsi"/>
          <w:noProof/>
          <w:sz w:val="22"/>
          <w:szCs w:val="22"/>
          <w:lang w:eastAsia="en-AU"/>
        </w:rPr>
      </w:pPr>
      <w:hyperlink w:anchor="_Toc40454653" w:history="1">
        <w:r w:rsidR="000A0826" w:rsidRPr="00793669">
          <w:rPr>
            <w:rStyle w:val="Hyperlink"/>
            <w:noProof/>
          </w:rPr>
          <w:t>3.7</w:t>
        </w:r>
        <w:r w:rsidR="000A0826">
          <w:rPr>
            <w:rFonts w:asciiTheme="minorHAnsi" w:eastAsiaTheme="minorEastAsia" w:hAnsiTheme="minorHAnsi"/>
            <w:noProof/>
            <w:sz w:val="22"/>
            <w:szCs w:val="22"/>
            <w:lang w:eastAsia="en-AU"/>
          </w:rPr>
          <w:tab/>
        </w:r>
        <w:r w:rsidR="000A0826" w:rsidRPr="00793669">
          <w:rPr>
            <w:rStyle w:val="Hyperlink"/>
            <w:noProof/>
          </w:rPr>
          <w:t>Utilisation</w:t>
        </w:r>
        <w:r w:rsidR="000A0826">
          <w:rPr>
            <w:noProof/>
            <w:webHidden/>
          </w:rPr>
          <w:tab/>
        </w:r>
        <w:r w:rsidR="000A0826">
          <w:rPr>
            <w:noProof/>
            <w:webHidden/>
          </w:rPr>
          <w:fldChar w:fldCharType="begin"/>
        </w:r>
        <w:r w:rsidR="000A0826">
          <w:rPr>
            <w:noProof/>
            <w:webHidden/>
          </w:rPr>
          <w:instrText xml:space="preserve"> PAGEREF _Toc40454653 \h </w:instrText>
        </w:r>
        <w:r w:rsidR="000A0826">
          <w:rPr>
            <w:noProof/>
            <w:webHidden/>
          </w:rPr>
        </w:r>
        <w:r w:rsidR="000A0826">
          <w:rPr>
            <w:noProof/>
            <w:webHidden/>
          </w:rPr>
          <w:fldChar w:fldCharType="separate"/>
        </w:r>
        <w:r w:rsidR="00283637">
          <w:rPr>
            <w:noProof/>
            <w:webHidden/>
          </w:rPr>
          <w:t>13</w:t>
        </w:r>
        <w:r w:rsidR="000A0826">
          <w:rPr>
            <w:noProof/>
            <w:webHidden/>
          </w:rPr>
          <w:fldChar w:fldCharType="end"/>
        </w:r>
      </w:hyperlink>
    </w:p>
    <w:p w14:paraId="15BE5093" w14:textId="587EACC9" w:rsidR="000A0826" w:rsidRDefault="00C10F81">
      <w:pPr>
        <w:pStyle w:val="TOC2"/>
        <w:tabs>
          <w:tab w:val="left" w:pos="1134"/>
        </w:tabs>
        <w:rPr>
          <w:rFonts w:asciiTheme="minorHAnsi" w:eastAsiaTheme="minorEastAsia" w:hAnsiTheme="minorHAnsi"/>
          <w:noProof/>
          <w:sz w:val="22"/>
          <w:szCs w:val="22"/>
          <w:lang w:eastAsia="en-AU"/>
        </w:rPr>
      </w:pPr>
      <w:hyperlink w:anchor="_Toc40454654" w:history="1">
        <w:r w:rsidR="000A0826" w:rsidRPr="00793669">
          <w:rPr>
            <w:rStyle w:val="Hyperlink"/>
            <w:noProof/>
          </w:rPr>
          <w:t>3.8</w:t>
        </w:r>
        <w:r w:rsidR="000A0826">
          <w:rPr>
            <w:rFonts w:asciiTheme="minorHAnsi" w:eastAsiaTheme="minorEastAsia" w:hAnsiTheme="minorHAnsi"/>
            <w:noProof/>
            <w:sz w:val="22"/>
            <w:szCs w:val="22"/>
            <w:lang w:eastAsia="en-AU"/>
          </w:rPr>
          <w:tab/>
        </w:r>
        <w:r w:rsidR="000A0826" w:rsidRPr="00793669">
          <w:rPr>
            <w:rStyle w:val="Hyperlink"/>
            <w:noProof/>
          </w:rPr>
          <w:t>Overheads and implied margins</w:t>
        </w:r>
        <w:r w:rsidR="000A0826">
          <w:rPr>
            <w:noProof/>
            <w:webHidden/>
          </w:rPr>
          <w:tab/>
        </w:r>
        <w:r w:rsidR="000A0826">
          <w:rPr>
            <w:noProof/>
            <w:webHidden/>
          </w:rPr>
          <w:fldChar w:fldCharType="begin"/>
        </w:r>
        <w:r w:rsidR="000A0826">
          <w:rPr>
            <w:noProof/>
            <w:webHidden/>
          </w:rPr>
          <w:instrText xml:space="preserve"> PAGEREF _Toc40454654 \h </w:instrText>
        </w:r>
        <w:r w:rsidR="000A0826">
          <w:rPr>
            <w:noProof/>
            <w:webHidden/>
          </w:rPr>
        </w:r>
        <w:r w:rsidR="000A0826">
          <w:rPr>
            <w:noProof/>
            <w:webHidden/>
          </w:rPr>
          <w:fldChar w:fldCharType="separate"/>
        </w:r>
        <w:r w:rsidR="00283637">
          <w:rPr>
            <w:noProof/>
            <w:webHidden/>
          </w:rPr>
          <w:t>16</w:t>
        </w:r>
        <w:r w:rsidR="000A0826">
          <w:rPr>
            <w:noProof/>
            <w:webHidden/>
          </w:rPr>
          <w:fldChar w:fldCharType="end"/>
        </w:r>
      </w:hyperlink>
    </w:p>
    <w:p w14:paraId="4125C8B5" w14:textId="30B17A96" w:rsidR="000A0826" w:rsidRDefault="00C10F81">
      <w:pPr>
        <w:pStyle w:val="TOC1"/>
        <w:rPr>
          <w:rFonts w:asciiTheme="minorHAnsi" w:eastAsiaTheme="minorEastAsia" w:hAnsiTheme="minorHAnsi"/>
          <w:noProof/>
          <w:sz w:val="22"/>
          <w:szCs w:val="22"/>
          <w:lang w:eastAsia="en-AU"/>
        </w:rPr>
      </w:pPr>
      <w:hyperlink w:anchor="_Toc40454655" w:history="1">
        <w:r w:rsidR="000A0826" w:rsidRPr="00793669">
          <w:rPr>
            <w:rStyle w:val="Hyperlink"/>
            <w:noProof/>
          </w:rPr>
          <w:t>4</w:t>
        </w:r>
        <w:r w:rsidR="000A0826">
          <w:rPr>
            <w:rFonts w:asciiTheme="minorHAnsi" w:eastAsiaTheme="minorEastAsia" w:hAnsiTheme="minorHAnsi"/>
            <w:noProof/>
            <w:sz w:val="22"/>
            <w:szCs w:val="22"/>
            <w:lang w:eastAsia="en-AU"/>
          </w:rPr>
          <w:tab/>
        </w:r>
        <w:r w:rsidR="000A0826" w:rsidRPr="00793669">
          <w:rPr>
            <w:rStyle w:val="Hyperlink"/>
            <w:noProof/>
          </w:rPr>
          <w:t>Further analysis</w:t>
        </w:r>
        <w:r w:rsidR="000A0826">
          <w:rPr>
            <w:noProof/>
            <w:webHidden/>
          </w:rPr>
          <w:tab/>
        </w:r>
        <w:r w:rsidR="000A0826">
          <w:rPr>
            <w:noProof/>
            <w:webHidden/>
          </w:rPr>
          <w:fldChar w:fldCharType="begin"/>
        </w:r>
        <w:r w:rsidR="000A0826">
          <w:rPr>
            <w:noProof/>
            <w:webHidden/>
          </w:rPr>
          <w:instrText xml:space="preserve"> PAGEREF _Toc40454655 \h </w:instrText>
        </w:r>
        <w:r w:rsidR="000A0826">
          <w:rPr>
            <w:noProof/>
            <w:webHidden/>
          </w:rPr>
        </w:r>
        <w:r w:rsidR="000A0826">
          <w:rPr>
            <w:noProof/>
            <w:webHidden/>
          </w:rPr>
          <w:fldChar w:fldCharType="separate"/>
        </w:r>
        <w:r w:rsidR="00283637">
          <w:rPr>
            <w:noProof/>
            <w:webHidden/>
          </w:rPr>
          <w:t>19</w:t>
        </w:r>
        <w:r w:rsidR="000A0826">
          <w:rPr>
            <w:noProof/>
            <w:webHidden/>
          </w:rPr>
          <w:fldChar w:fldCharType="end"/>
        </w:r>
      </w:hyperlink>
    </w:p>
    <w:p w14:paraId="61918F29" w14:textId="793471B3" w:rsidR="000A0826" w:rsidRDefault="00C10F81">
      <w:pPr>
        <w:pStyle w:val="TOC2"/>
        <w:tabs>
          <w:tab w:val="left" w:pos="1134"/>
        </w:tabs>
        <w:rPr>
          <w:rFonts w:asciiTheme="minorHAnsi" w:eastAsiaTheme="minorEastAsia" w:hAnsiTheme="minorHAnsi"/>
          <w:noProof/>
          <w:sz w:val="22"/>
          <w:szCs w:val="22"/>
          <w:lang w:eastAsia="en-AU"/>
        </w:rPr>
      </w:pPr>
      <w:hyperlink w:anchor="_Toc40454656" w:history="1">
        <w:r w:rsidR="000A0826" w:rsidRPr="00793669">
          <w:rPr>
            <w:rStyle w:val="Hyperlink"/>
            <w:noProof/>
          </w:rPr>
          <w:t>4.1</w:t>
        </w:r>
        <w:r w:rsidR="000A0826">
          <w:rPr>
            <w:rFonts w:asciiTheme="minorHAnsi" w:eastAsiaTheme="minorEastAsia" w:hAnsiTheme="minorHAnsi"/>
            <w:noProof/>
            <w:sz w:val="22"/>
            <w:szCs w:val="22"/>
            <w:lang w:eastAsia="en-AU"/>
          </w:rPr>
          <w:tab/>
        </w:r>
        <w:r w:rsidR="000A0826" w:rsidRPr="00793669">
          <w:rPr>
            <w:rStyle w:val="Hyperlink"/>
            <w:noProof/>
          </w:rPr>
          <w:t>Correlation analysis</w:t>
        </w:r>
        <w:r w:rsidR="000A0826">
          <w:rPr>
            <w:noProof/>
            <w:webHidden/>
          </w:rPr>
          <w:tab/>
        </w:r>
        <w:r w:rsidR="000A0826">
          <w:rPr>
            <w:noProof/>
            <w:webHidden/>
          </w:rPr>
          <w:fldChar w:fldCharType="begin"/>
        </w:r>
        <w:r w:rsidR="000A0826">
          <w:rPr>
            <w:noProof/>
            <w:webHidden/>
          </w:rPr>
          <w:instrText xml:space="preserve"> PAGEREF _Toc40454656 \h </w:instrText>
        </w:r>
        <w:r w:rsidR="000A0826">
          <w:rPr>
            <w:noProof/>
            <w:webHidden/>
          </w:rPr>
        </w:r>
        <w:r w:rsidR="000A0826">
          <w:rPr>
            <w:noProof/>
            <w:webHidden/>
          </w:rPr>
          <w:fldChar w:fldCharType="separate"/>
        </w:r>
        <w:r w:rsidR="00283637">
          <w:rPr>
            <w:noProof/>
            <w:webHidden/>
          </w:rPr>
          <w:t>19</w:t>
        </w:r>
        <w:r w:rsidR="000A0826">
          <w:rPr>
            <w:noProof/>
            <w:webHidden/>
          </w:rPr>
          <w:fldChar w:fldCharType="end"/>
        </w:r>
      </w:hyperlink>
    </w:p>
    <w:p w14:paraId="282DF5B5" w14:textId="13452014" w:rsidR="000A0826" w:rsidRDefault="00C10F81">
      <w:pPr>
        <w:pStyle w:val="TOC2"/>
        <w:tabs>
          <w:tab w:val="left" w:pos="1134"/>
        </w:tabs>
        <w:rPr>
          <w:rFonts w:asciiTheme="minorHAnsi" w:eastAsiaTheme="minorEastAsia" w:hAnsiTheme="minorHAnsi"/>
          <w:noProof/>
          <w:sz w:val="22"/>
          <w:szCs w:val="22"/>
          <w:lang w:eastAsia="en-AU"/>
        </w:rPr>
      </w:pPr>
      <w:hyperlink w:anchor="_Toc40454657" w:history="1">
        <w:r w:rsidR="000A0826" w:rsidRPr="00793669">
          <w:rPr>
            <w:rStyle w:val="Hyperlink"/>
            <w:noProof/>
          </w:rPr>
          <w:t>4.2</w:t>
        </w:r>
        <w:r w:rsidR="000A0826">
          <w:rPr>
            <w:rFonts w:asciiTheme="minorHAnsi" w:eastAsiaTheme="minorEastAsia" w:hAnsiTheme="minorHAnsi"/>
            <w:noProof/>
            <w:sz w:val="22"/>
            <w:szCs w:val="22"/>
            <w:lang w:eastAsia="en-AU"/>
          </w:rPr>
          <w:tab/>
        </w:r>
        <w:r w:rsidR="000A0826" w:rsidRPr="00793669">
          <w:rPr>
            <w:rStyle w:val="Hyperlink"/>
            <w:noProof/>
          </w:rPr>
          <w:t>Cross</w:t>
        </w:r>
        <w:r w:rsidR="000A0826" w:rsidRPr="00793669">
          <w:rPr>
            <w:rStyle w:val="Hyperlink"/>
            <w:noProof/>
          </w:rPr>
          <w:noBreakHyphen/>
          <w:t>tabulation and chi squared analysis</w:t>
        </w:r>
        <w:r w:rsidR="000A0826">
          <w:rPr>
            <w:noProof/>
            <w:webHidden/>
          </w:rPr>
          <w:tab/>
        </w:r>
        <w:r w:rsidR="000A0826">
          <w:rPr>
            <w:noProof/>
            <w:webHidden/>
          </w:rPr>
          <w:fldChar w:fldCharType="begin"/>
        </w:r>
        <w:r w:rsidR="000A0826">
          <w:rPr>
            <w:noProof/>
            <w:webHidden/>
          </w:rPr>
          <w:instrText xml:space="preserve"> PAGEREF _Toc40454657 \h </w:instrText>
        </w:r>
        <w:r w:rsidR="000A0826">
          <w:rPr>
            <w:noProof/>
            <w:webHidden/>
          </w:rPr>
        </w:r>
        <w:r w:rsidR="000A0826">
          <w:rPr>
            <w:noProof/>
            <w:webHidden/>
          </w:rPr>
          <w:fldChar w:fldCharType="separate"/>
        </w:r>
        <w:r w:rsidR="00283637">
          <w:rPr>
            <w:noProof/>
            <w:webHidden/>
          </w:rPr>
          <w:t>20</w:t>
        </w:r>
        <w:r w:rsidR="000A0826">
          <w:rPr>
            <w:noProof/>
            <w:webHidden/>
          </w:rPr>
          <w:fldChar w:fldCharType="end"/>
        </w:r>
      </w:hyperlink>
    </w:p>
    <w:p w14:paraId="0637E41E" w14:textId="4C9CA6CD" w:rsidR="000A0826" w:rsidRDefault="00C10F81">
      <w:pPr>
        <w:pStyle w:val="TOC2"/>
        <w:tabs>
          <w:tab w:val="left" w:pos="1134"/>
        </w:tabs>
        <w:rPr>
          <w:rFonts w:asciiTheme="minorHAnsi" w:eastAsiaTheme="minorEastAsia" w:hAnsiTheme="minorHAnsi"/>
          <w:noProof/>
          <w:sz w:val="22"/>
          <w:szCs w:val="22"/>
          <w:lang w:eastAsia="en-AU"/>
        </w:rPr>
      </w:pPr>
      <w:hyperlink w:anchor="_Toc40454658" w:history="1">
        <w:r w:rsidR="000A0826" w:rsidRPr="00793669">
          <w:rPr>
            <w:rStyle w:val="Hyperlink"/>
            <w:noProof/>
          </w:rPr>
          <w:t>4.3</w:t>
        </w:r>
        <w:r w:rsidR="000A0826">
          <w:rPr>
            <w:rFonts w:asciiTheme="minorHAnsi" w:eastAsiaTheme="minorEastAsia" w:hAnsiTheme="minorHAnsi"/>
            <w:noProof/>
            <w:sz w:val="22"/>
            <w:szCs w:val="22"/>
            <w:lang w:eastAsia="en-AU"/>
          </w:rPr>
          <w:tab/>
        </w:r>
        <w:r w:rsidR="000A0826" w:rsidRPr="00793669">
          <w:rPr>
            <w:rStyle w:val="Hyperlink"/>
            <w:noProof/>
          </w:rPr>
          <w:t>Regression analysis</w:t>
        </w:r>
        <w:r w:rsidR="000A0826">
          <w:rPr>
            <w:noProof/>
            <w:webHidden/>
          </w:rPr>
          <w:tab/>
        </w:r>
        <w:r w:rsidR="000A0826">
          <w:rPr>
            <w:noProof/>
            <w:webHidden/>
          </w:rPr>
          <w:fldChar w:fldCharType="begin"/>
        </w:r>
        <w:r w:rsidR="000A0826">
          <w:rPr>
            <w:noProof/>
            <w:webHidden/>
          </w:rPr>
          <w:instrText xml:space="preserve"> PAGEREF _Toc40454658 \h </w:instrText>
        </w:r>
        <w:r w:rsidR="000A0826">
          <w:rPr>
            <w:noProof/>
            <w:webHidden/>
          </w:rPr>
        </w:r>
        <w:r w:rsidR="000A0826">
          <w:rPr>
            <w:noProof/>
            <w:webHidden/>
          </w:rPr>
          <w:fldChar w:fldCharType="separate"/>
        </w:r>
        <w:r w:rsidR="00283637">
          <w:rPr>
            <w:noProof/>
            <w:webHidden/>
          </w:rPr>
          <w:t>22</w:t>
        </w:r>
        <w:r w:rsidR="000A0826">
          <w:rPr>
            <w:noProof/>
            <w:webHidden/>
          </w:rPr>
          <w:fldChar w:fldCharType="end"/>
        </w:r>
      </w:hyperlink>
    </w:p>
    <w:p w14:paraId="293711B1" w14:textId="194D6CED" w:rsidR="000A0826" w:rsidRDefault="00C10F81">
      <w:pPr>
        <w:pStyle w:val="TOC1"/>
        <w:rPr>
          <w:rFonts w:asciiTheme="minorHAnsi" w:eastAsiaTheme="minorEastAsia" w:hAnsiTheme="minorHAnsi"/>
          <w:noProof/>
          <w:sz w:val="22"/>
          <w:szCs w:val="22"/>
          <w:lang w:eastAsia="en-AU"/>
        </w:rPr>
      </w:pPr>
      <w:hyperlink w:anchor="_Toc40454659" w:history="1">
        <w:r w:rsidR="000A0826" w:rsidRPr="00793669">
          <w:rPr>
            <w:rStyle w:val="Hyperlink"/>
            <w:noProof/>
          </w:rPr>
          <w:t>5</w:t>
        </w:r>
        <w:r w:rsidR="000A0826">
          <w:rPr>
            <w:rFonts w:asciiTheme="minorHAnsi" w:eastAsiaTheme="minorEastAsia" w:hAnsiTheme="minorHAnsi"/>
            <w:noProof/>
            <w:sz w:val="22"/>
            <w:szCs w:val="22"/>
            <w:lang w:eastAsia="en-AU"/>
          </w:rPr>
          <w:tab/>
        </w:r>
        <w:r w:rsidR="000A0826" w:rsidRPr="00793669">
          <w:rPr>
            <w:rStyle w:val="Hyperlink"/>
            <w:noProof/>
          </w:rPr>
          <w:t>Review of survey process</w:t>
        </w:r>
        <w:r w:rsidR="000A0826">
          <w:rPr>
            <w:noProof/>
            <w:webHidden/>
          </w:rPr>
          <w:tab/>
        </w:r>
        <w:r w:rsidR="000A0826">
          <w:rPr>
            <w:noProof/>
            <w:webHidden/>
          </w:rPr>
          <w:fldChar w:fldCharType="begin"/>
        </w:r>
        <w:r w:rsidR="000A0826">
          <w:rPr>
            <w:noProof/>
            <w:webHidden/>
          </w:rPr>
          <w:instrText xml:space="preserve"> PAGEREF _Toc40454659 \h </w:instrText>
        </w:r>
        <w:r w:rsidR="000A0826">
          <w:rPr>
            <w:noProof/>
            <w:webHidden/>
          </w:rPr>
        </w:r>
        <w:r w:rsidR="000A0826">
          <w:rPr>
            <w:noProof/>
            <w:webHidden/>
          </w:rPr>
          <w:fldChar w:fldCharType="separate"/>
        </w:r>
        <w:r w:rsidR="00283637">
          <w:rPr>
            <w:noProof/>
            <w:webHidden/>
          </w:rPr>
          <w:t>24</w:t>
        </w:r>
        <w:r w:rsidR="000A0826">
          <w:rPr>
            <w:noProof/>
            <w:webHidden/>
          </w:rPr>
          <w:fldChar w:fldCharType="end"/>
        </w:r>
      </w:hyperlink>
    </w:p>
    <w:p w14:paraId="40AE6F05" w14:textId="411F8000" w:rsidR="000A0826" w:rsidRDefault="00C10F81">
      <w:pPr>
        <w:pStyle w:val="TOC1"/>
        <w:tabs>
          <w:tab w:val="left" w:pos="1243"/>
        </w:tabs>
        <w:rPr>
          <w:rFonts w:asciiTheme="minorHAnsi" w:eastAsiaTheme="minorEastAsia" w:hAnsiTheme="minorHAnsi"/>
          <w:noProof/>
          <w:sz w:val="22"/>
          <w:szCs w:val="22"/>
          <w:lang w:eastAsia="en-AU"/>
        </w:rPr>
      </w:pPr>
      <w:hyperlink w:anchor="_Toc40454660" w:history="1">
        <w:r w:rsidR="000A0826" w:rsidRPr="00793669">
          <w:rPr>
            <w:rStyle w:val="Hyperlink"/>
            <w:noProof/>
            <w:lang w:eastAsia="en-AU"/>
            <w14:scene3d>
              <w14:camera w14:prst="orthographicFront"/>
              <w14:lightRig w14:rig="threePt" w14:dir="t">
                <w14:rot w14:lat="0" w14:lon="0" w14:rev="0"/>
              </w14:lightRig>
            </w14:scene3d>
          </w:rPr>
          <w:t>Appendix A</w:t>
        </w:r>
        <w:r w:rsidR="000A0826">
          <w:rPr>
            <w:rFonts w:asciiTheme="minorHAnsi" w:eastAsiaTheme="minorEastAsia" w:hAnsiTheme="minorHAnsi"/>
            <w:noProof/>
            <w:sz w:val="22"/>
            <w:szCs w:val="22"/>
            <w:lang w:eastAsia="en-AU"/>
          </w:rPr>
          <w:tab/>
        </w:r>
        <w:r w:rsidR="000A0826" w:rsidRPr="00793669">
          <w:rPr>
            <w:rStyle w:val="Hyperlink"/>
            <w:noProof/>
            <w:lang w:eastAsia="en-AU"/>
          </w:rPr>
          <w:t>Declaration</w:t>
        </w:r>
        <w:r w:rsidR="000A0826" w:rsidRPr="00793669">
          <w:rPr>
            <w:rStyle w:val="Hyperlink"/>
            <w:noProof/>
          </w:rPr>
          <w:t xml:space="preserve"> of adherence to data security, storage and management requirements</w:t>
        </w:r>
        <w:r w:rsidR="000A0826">
          <w:rPr>
            <w:noProof/>
            <w:webHidden/>
          </w:rPr>
          <w:tab/>
        </w:r>
        <w:r w:rsidR="000A0826">
          <w:rPr>
            <w:noProof/>
            <w:webHidden/>
          </w:rPr>
          <w:fldChar w:fldCharType="begin"/>
        </w:r>
        <w:r w:rsidR="000A0826">
          <w:rPr>
            <w:noProof/>
            <w:webHidden/>
          </w:rPr>
          <w:instrText xml:space="preserve"> PAGEREF _Toc40454660 \h </w:instrText>
        </w:r>
        <w:r w:rsidR="000A0826">
          <w:rPr>
            <w:noProof/>
            <w:webHidden/>
          </w:rPr>
        </w:r>
        <w:r w:rsidR="000A0826">
          <w:rPr>
            <w:noProof/>
            <w:webHidden/>
          </w:rPr>
          <w:fldChar w:fldCharType="separate"/>
        </w:r>
        <w:r w:rsidR="00283637">
          <w:rPr>
            <w:noProof/>
            <w:webHidden/>
          </w:rPr>
          <w:t>26</w:t>
        </w:r>
        <w:r w:rsidR="000A0826">
          <w:rPr>
            <w:noProof/>
            <w:webHidden/>
          </w:rPr>
          <w:fldChar w:fldCharType="end"/>
        </w:r>
      </w:hyperlink>
    </w:p>
    <w:p w14:paraId="7EE5E3BC" w14:textId="3C4907C2" w:rsidR="000A0826" w:rsidRDefault="00C10F81">
      <w:pPr>
        <w:pStyle w:val="TOC1"/>
        <w:tabs>
          <w:tab w:val="left" w:pos="1243"/>
        </w:tabs>
        <w:rPr>
          <w:rFonts w:asciiTheme="minorHAnsi" w:eastAsiaTheme="minorEastAsia" w:hAnsiTheme="minorHAnsi"/>
          <w:noProof/>
          <w:sz w:val="22"/>
          <w:szCs w:val="22"/>
          <w:lang w:eastAsia="en-AU"/>
        </w:rPr>
      </w:pPr>
      <w:hyperlink w:anchor="_Toc40454661" w:history="1">
        <w:r w:rsidR="000A0826" w:rsidRPr="00793669">
          <w:rPr>
            <w:rStyle w:val="Hyperlink"/>
            <w:noProof/>
            <w:lang w:eastAsia="en-AU"/>
            <w14:scene3d>
              <w14:camera w14:prst="orthographicFront"/>
              <w14:lightRig w14:rig="threePt" w14:dir="t">
                <w14:rot w14:lat="0" w14:lon="0" w14:rev="0"/>
              </w14:lightRig>
            </w14:scene3d>
          </w:rPr>
          <w:t>Appendix B</w:t>
        </w:r>
        <w:r w:rsidR="000A0826">
          <w:rPr>
            <w:rFonts w:asciiTheme="minorHAnsi" w:eastAsiaTheme="minorEastAsia" w:hAnsiTheme="minorHAnsi"/>
            <w:noProof/>
            <w:sz w:val="22"/>
            <w:szCs w:val="22"/>
            <w:lang w:eastAsia="en-AU"/>
          </w:rPr>
          <w:tab/>
        </w:r>
        <w:r w:rsidR="000A0826" w:rsidRPr="00793669">
          <w:rPr>
            <w:rStyle w:val="Hyperlink"/>
            <w:noProof/>
            <w:lang w:eastAsia="en-AU"/>
          </w:rPr>
          <w:t>Survey questions</w:t>
        </w:r>
        <w:r w:rsidR="000A0826">
          <w:rPr>
            <w:noProof/>
            <w:webHidden/>
          </w:rPr>
          <w:tab/>
        </w:r>
        <w:r w:rsidR="000A0826">
          <w:rPr>
            <w:noProof/>
            <w:webHidden/>
          </w:rPr>
          <w:fldChar w:fldCharType="begin"/>
        </w:r>
        <w:r w:rsidR="000A0826">
          <w:rPr>
            <w:noProof/>
            <w:webHidden/>
          </w:rPr>
          <w:instrText xml:space="preserve"> PAGEREF _Toc40454661 \h </w:instrText>
        </w:r>
        <w:r w:rsidR="000A0826">
          <w:rPr>
            <w:noProof/>
            <w:webHidden/>
          </w:rPr>
        </w:r>
        <w:r w:rsidR="000A0826">
          <w:rPr>
            <w:noProof/>
            <w:webHidden/>
          </w:rPr>
          <w:fldChar w:fldCharType="separate"/>
        </w:r>
        <w:r w:rsidR="00283637">
          <w:rPr>
            <w:noProof/>
            <w:webHidden/>
          </w:rPr>
          <w:t>27</w:t>
        </w:r>
        <w:r w:rsidR="000A0826">
          <w:rPr>
            <w:noProof/>
            <w:webHidden/>
          </w:rPr>
          <w:fldChar w:fldCharType="end"/>
        </w:r>
      </w:hyperlink>
    </w:p>
    <w:p w14:paraId="545EAA18" w14:textId="2A19B8E5" w:rsidR="000A0826" w:rsidRDefault="00C10F81">
      <w:pPr>
        <w:pStyle w:val="TOC1"/>
        <w:tabs>
          <w:tab w:val="left" w:pos="1246"/>
        </w:tabs>
        <w:rPr>
          <w:rFonts w:asciiTheme="minorHAnsi" w:eastAsiaTheme="minorEastAsia" w:hAnsiTheme="minorHAnsi"/>
          <w:noProof/>
          <w:sz w:val="22"/>
          <w:szCs w:val="22"/>
          <w:lang w:eastAsia="en-AU"/>
        </w:rPr>
      </w:pPr>
      <w:hyperlink w:anchor="_Toc40454662" w:history="1">
        <w:r w:rsidR="000A0826" w:rsidRPr="00793669">
          <w:rPr>
            <w:rStyle w:val="Hyperlink"/>
            <w:noProof/>
            <w:lang w:eastAsia="en-AU"/>
            <w14:scene3d>
              <w14:camera w14:prst="orthographicFront"/>
              <w14:lightRig w14:rig="threePt" w14:dir="t">
                <w14:rot w14:lat="0" w14:lon="0" w14:rev="0"/>
              </w14:lightRig>
            </w14:scene3d>
          </w:rPr>
          <w:t>Appendix C</w:t>
        </w:r>
        <w:r w:rsidR="000A0826">
          <w:rPr>
            <w:rFonts w:asciiTheme="minorHAnsi" w:eastAsiaTheme="minorEastAsia" w:hAnsiTheme="minorHAnsi"/>
            <w:noProof/>
            <w:sz w:val="22"/>
            <w:szCs w:val="22"/>
            <w:lang w:eastAsia="en-AU"/>
          </w:rPr>
          <w:tab/>
        </w:r>
        <w:r w:rsidR="000A0826" w:rsidRPr="00793669">
          <w:rPr>
            <w:rStyle w:val="Hyperlink"/>
            <w:noProof/>
            <w:lang w:eastAsia="en-AU"/>
          </w:rPr>
          <w:t>Additional data output</w:t>
        </w:r>
        <w:r w:rsidR="000A0826">
          <w:rPr>
            <w:noProof/>
            <w:webHidden/>
          </w:rPr>
          <w:tab/>
        </w:r>
        <w:r w:rsidR="000A0826">
          <w:rPr>
            <w:noProof/>
            <w:webHidden/>
          </w:rPr>
          <w:fldChar w:fldCharType="begin"/>
        </w:r>
        <w:r w:rsidR="000A0826">
          <w:rPr>
            <w:noProof/>
            <w:webHidden/>
          </w:rPr>
          <w:instrText xml:space="preserve"> PAGEREF _Toc40454662 \h </w:instrText>
        </w:r>
        <w:r w:rsidR="000A0826">
          <w:rPr>
            <w:noProof/>
            <w:webHidden/>
          </w:rPr>
        </w:r>
        <w:r w:rsidR="000A0826">
          <w:rPr>
            <w:noProof/>
            <w:webHidden/>
          </w:rPr>
          <w:fldChar w:fldCharType="separate"/>
        </w:r>
        <w:r w:rsidR="00283637">
          <w:rPr>
            <w:noProof/>
            <w:webHidden/>
          </w:rPr>
          <w:t>31</w:t>
        </w:r>
        <w:r w:rsidR="000A0826">
          <w:rPr>
            <w:noProof/>
            <w:webHidden/>
          </w:rPr>
          <w:fldChar w:fldCharType="end"/>
        </w:r>
      </w:hyperlink>
    </w:p>
    <w:p w14:paraId="4EB02BDE" w14:textId="4A8B8A65" w:rsidR="000A0826" w:rsidRDefault="00C10F81">
      <w:pPr>
        <w:pStyle w:val="TOC1"/>
        <w:tabs>
          <w:tab w:val="left" w:pos="1259"/>
        </w:tabs>
        <w:rPr>
          <w:rFonts w:asciiTheme="minorHAnsi" w:eastAsiaTheme="minorEastAsia" w:hAnsiTheme="minorHAnsi"/>
          <w:noProof/>
          <w:sz w:val="22"/>
          <w:szCs w:val="22"/>
          <w:lang w:eastAsia="en-AU"/>
        </w:rPr>
      </w:pPr>
      <w:hyperlink w:anchor="_Toc40454663" w:history="1">
        <w:r w:rsidR="000A0826" w:rsidRPr="00793669">
          <w:rPr>
            <w:rStyle w:val="Hyperlink"/>
            <w:noProof/>
            <w:lang w:eastAsia="en-AU"/>
            <w14:scene3d>
              <w14:camera w14:prst="orthographicFront"/>
              <w14:lightRig w14:rig="threePt" w14:dir="t">
                <w14:rot w14:lat="0" w14:lon="0" w14:rev="0"/>
              </w14:lightRig>
            </w14:scene3d>
          </w:rPr>
          <w:t>Appendix D</w:t>
        </w:r>
        <w:r w:rsidR="000A0826">
          <w:rPr>
            <w:rFonts w:asciiTheme="minorHAnsi" w:eastAsiaTheme="minorEastAsia" w:hAnsiTheme="minorHAnsi"/>
            <w:noProof/>
            <w:sz w:val="22"/>
            <w:szCs w:val="22"/>
            <w:lang w:eastAsia="en-AU"/>
          </w:rPr>
          <w:tab/>
        </w:r>
        <w:r w:rsidR="000A0826" w:rsidRPr="00793669">
          <w:rPr>
            <w:rStyle w:val="Hyperlink"/>
            <w:noProof/>
            <w:lang w:eastAsia="en-AU"/>
          </w:rPr>
          <w:t>Further analysis</w:t>
        </w:r>
        <w:r w:rsidR="000A0826">
          <w:rPr>
            <w:noProof/>
            <w:webHidden/>
          </w:rPr>
          <w:tab/>
        </w:r>
        <w:r w:rsidR="000A0826">
          <w:rPr>
            <w:noProof/>
            <w:webHidden/>
          </w:rPr>
          <w:fldChar w:fldCharType="begin"/>
        </w:r>
        <w:r w:rsidR="000A0826">
          <w:rPr>
            <w:noProof/>
            <w:webHidden/>
          </w:rPr>
          <w:instrText xml:space="preserve"> PAGEREF _Toc40454663 \h </w:instrText>
        </w:r>
        <w:r w:rsidR="000A0826">
          <w:rPr>
            <w:noProof/>
            <w:webHidden/>
          </w:rPr>
        </w:r>
        <w:r w:rsidR="000A0826">
          <w:rPr>
            <w:noProof/>
            <w:webHidden/>
          </w:rPr>
          <w:fldChar w:fldCharType="separate"/>
        </w:r>
        <w:r w:rsidR="00283637">
          <w:rPr>
            <w:noProof/>
            <w:webHidden/>
          </w:rPr>
          <w:t>32</w:t>
        </w:r>
        <w:r w:rsidR="000A0826">
          <w:rPr>
            <w:noProof/>
            <w:webHidden/>
          </w:rPr>
          <w:fldChar w:fldCharType="end"/>
        </w:r>
      </w:hyperlink>
    </w:p>
    <w:p w14:paraId="578FB29F" w14:textId="1D6D215B" w:rsidR="000A0826" w:rsidRDefault="00C10F81">
      <w:pPr>
        <w:pStyle w:val="TOC2"/>
        <w:tabs>
          <w:tab w:val="left" w:pos="1171"/>
        </w:tabs>
        <w:rPr>
          <w:rFonts w:asciiTheme="minorHAnsi" w:eastAsiaTheme="minorEastAsia" w:hAnsiTheme="minorHAnsi"/>
          <w:noProof/>
          <w:sz w:val="22"/>
          <w:szCs w:val="22"/>
          <w:lang w:eastAsia="en-AU"/>
        </w:rPr>
      </w:pPr>
      <w:hyperlink w:anchor="_Toc40454664" w:history="1">
        <w:r w:rsidR="000A0826" w:rsidRPr="00793669">
          <w:rPr>
            <w:rStyle w:val="Hyperlink"/>
            <w:noProof/>
          </w:rPr>
          <w:t>D.1.</w:t>
        </w:r>
        <w:r w:rsidR="000A0826">
          <w:rPr>
            <w:rFonts w:asciiTheme="minorHAnsi" w:eastAsiaTheme="minorEastAsia" w:hAnsiTheme="minorHAnsi"/>
            <w:noProof/>
            <w:sz w:val="22"/>
            <w:szCs w:val="22"/>
            <w:lang w:eastAsia="en-AU"/>
          </w:rPr>
          <w:tab/>
        </w:r>
        <w:r w:rsidR="000A0826" w:rsidRPr="00793669">
          <w:rPr>
            <w:rStyle w:val="Hyperlink"/>
            <w:noProof/>
          </w:rPr>
          <w:t>Correlation analysis – scatter plots</w:t>
        </w:r>
        <w:r w:rsidR="000A0826">
          <w:rPr>
            <w:noProof/>
            <w:webHidden/>
          </w:rPr>
          <w:tab/>
        </w:r>
        <w:r w:rsidR="000A0826">
          <w:rPr>
            <w:noProof/>
            <w:webHidden/>
          </w:rPr>
          <w:fldChar w:fldCharType="begin"/>
        </w:r>
        <w:r w:rsidR="000A0826">
          <w:rPr>
            <w:noProof/>
            <w:webHidden/>
          </w:rPr>
          <w:instrText xml:space="preserve"> PAGEREF _Toc40454664 \h </w:instrText>
        </w:r>
        <w:r w:rsidR="000A0826">
          <w:rPr>
            <w:noProof/>
            <w:webHidden/>
          </w:rPr>
        </w:r>
        <w:r w:rsidR="000A0826">
          <w:rPr>
            <w:noProof/>
            <w:webHidden/>
          </w:rPr>
          <w:fldChar w:fldCharType="separate"/>
        </w:r>
        <w:r w:rsidR="00283637">
          <w:rPr>
            <w:noProof/>
            <w:webHidden/>
          </w:rPr>
          <w:t>32</w:t>
        </w:r>
        <w:r w:rsidR="000A0826">
          <w:rPr>
            <w:noProof/>
            <w:webHidden/>
          </w:rPr>
          <w:fldChar w:fldCharType="end"/>
        </w:r>
      </w:hyperlink>
    </w:p>
    <w:p w14:paraId="3EC468D6" w14:textId="2C790748" w:rsidR="000A0826" w:rsidRDefault="00C10F81">
      <w:pPr>
        <w:pStyle w:val="TOC2"/>
        <w:tabs>
          <w:tab w:val="left" w:pos="1171"/>
        </w:tabs>
        <w:rPr>
          <w:rFonts w:asciiTheme="minorHAnsi" w:eastAsiaTheme="minorEastAsia" w:hAnsiTheme="minorHAnsi"/>
          <w:noProof/>
          <w:sz w:val="22"/>
          <w:szCs w:val="22"/>
          <w:lang w:eastAsia="en-AU"/>
        </w:rPr>
      </w:pPr>
      <w:hyperlink w:anchor="_Toc40454665" w:history="1">
        <w:r w:rsidR="000A0826" w:rsidRPr="00793669">
          <w:rPr>
            <w:rStyle w:val="Hyperlink"/>
            <w:noProof/>
          </w:rPr>
          <w:t>D.2.</w:t>
        </w:r>
        <w:r w:rsidR="000A0826">
          <w:rPr>
            <w:rFonts w:asciiTheme="minorHAnsi" w:eastAsiaTheme="minorEastAsia" w:hAnsiTheme="minorHAnsi"/>
            <w:noProof/>
            <w:sz w:val="22"/>
            <w:szCs w:val="22"/>
            <w:lang w:eastAsia="en-AU"/>
          </w:rPr>
          <w:tab/>
        </w:r>
        <w:r w:rsidR="000A0826" w:rsidRPr="00793669">
          <w:rPr>
            <w:rStyle w:val="Hyperlink"/>
            <w:noProof/>
          </w:rPr>
          <w:t>Cross-tabulations and chi squared results</w:t>
        </w:r>
        <w:r w:rsidR="000A0826">
          <w:rPr>
            <w:noProof/>
            <w:webHidden/>
          </w:rPr>
          <w:tab/>
        </w:r>
        <w:r w:rsidR="000A0826">
          <w:rPr>
            <w:noProof/>
            <w:webHidden/>
          </w:rPr>
          <w:fldChar w:fldCharType="begin"/>
        </w:r>
        <w:r w:rsidR="000A0826">
          <w:rPr>
            <w:noProof/>
            <w:webHidden/>
          </w:rPr>
          <w:instrText xml:space="preserve"> PAGEREF _Toc40454665 \h </w:instrText>
        </w:r>
        <w:r w:rsidR="000A0826">
          <w:rPr>
            <w:noProof/>
            <w:webHidden/>
          </w:rPr>
        </w:r>
        <w:r w:rsidR="000A0826">
          <w:rPr>
            <w:noProof/>
            <w:webHidden/>
          </w:rPr>
          <w:fldChar w:fldCharType="separate"/>
        </w:r>
        <w:r w:rsidR="00283637">
          <w:rPr>
            <w:noProof/>
            <w:webHidden/>
          </w:rPr>
          <w:t>40</w:t>
        </w:r>
        <w:r w:rsidR="000A0826">
          <w:rPr>
            <w:noProof/>
            <w:webHidden/>
          </w:rPr>
          <w:fldChar w:fldCharType="end"/>
        </w:r>
      </w:hyperlink>
    </w:p>
    <w:p w14:paraId="0FF6A2E0" w14:textId="70585EE5" w:rsidR="000A0826" w:rsidRDefault="00C10F81">
      <w:pPr>
        <w:pStyle w:val="TOC2"/>
        <w:tabs>
          <w:tab w:val="left" w:pos="1171"/>
        </w:tabs>
        <w:rPr>
          <w:rFonts w:asciiTheme="minorHAnsi" w:eastAsiaTheme="minorEastAsia" w:hAnsiTheme="minorHAnsi"/>
          <w:noProof/>
          <w:sz w:val="22"/>
          <w:szCs w:val="22"/>
          <w:lang w:eastAsia="en-AU"/>
        </w:rPr>
      </w:pPr>
      <w:hyperlink w:anchor="_Toc40454666" w:history="1">
        <w:r w:rsidR="000A0826" w:rsidRPr="00793669">
          <w:rPr>
            <w:rStyle w:val="Hyperlink"/>
            <w:noProof/>
            <w:bdr w:val="none" w:sz="0" w:space="0" w:color="auto" w:frame="1"/>
          </w:rPr>
          <w:t>D.3.</w:t>
        </w:r>
        <w:r w:rsidR="000A0826">
          <w:rPr>
            <w:rFonts w:asciiTheme="minorHAnsi" w:eastAsiaTheme="minorEastAsia" w:hAnsiTheme="minorHAnsi"/>
            <w:noProof/>
            <w:sz w:val="22"/>
            <w:szCs w:val="22"/>
            <w:lang w:eastAsia="en-AU"/>
          </w:rPr>
          <w:tab/>
        </w:r>
        <w:r w:rsidR="000A0826" w:rsidRPr="00793669">
          <w:rPr>
            <w:rStyle w:val="Hyperlink"/>
            <w:noProof/>
            <w:bdr w:val="none" w:sz="0" w:space="0" w:color="auto" w:frame="1"/>
          </w:rPr>
          <w:t>Regression analysis – results</w:t>
        </w:r>
        <w:r w:rsidR="000A0826">
          <w:rPr>
            <w:noProof/>
            <w:webHidden/>
          </w:rPr>
          <w:tab/>
        </w:r>
        <w:r w:rsidR="000A0826">
          <w:rPr>
            <w:noProof/>
            <w:webHidden/>
          </w:rPr>
          <w:fldChar w:fldCharType="begin"/>
        </w:r>
        <w:r w:rsidR="000A0826">
          <w:rPr>
            <w:noProof/>
            <w:webHidden/>
          </w:rPr>
          <w:instrText xml:space="preserve"> PAGEREF _Toc40454666 \h </w:instrText>
        </w:r>
        <w:r w:rsidR="000A0826">
          <w:rPr>
            <w:noProof/>
            <w:webHidden/>
          </w:rPr>
        </w:r>
        <w:r w:rsidR="000A0826">
          <w:rPr>
            <w:noProof/>
            <w:webHidden/>
          </w:rPr>
          <w:fldChar w:fldCharType="separate"/>
        </w:r>
        <w:r w:rsidR="00283637">
          <w:rPr>
            <w:noProof/>
            <w:webHidden/>
          </w:rPr>
          <w:t>54</w:t>
        </w:r>
        <w:r w:rsidR="000A0826">
          <w:rPr>
            <w:noProof/>
            <w:webHidden/>
          </w:rPr>
          <w:fldChar w:fldCharType="end"/>
        </w:r>
      </w:hyperlink>
    </w:p>
    <w:p w14:paraId="03D329A5" w14:textId="16706B90" w:rsidR="000A0826" w:rsidRDefault="00C10F81">
      <w:pPr>
        <w:pStyle w:val="TOC3"/>
        <w:tabs>
          <w:tab w:val="left" w:pos="1351"/>
        </w:tabs>
        <w:rPr>
          <w:rFonts w:asciiTheme="minorHAnsi" w:eastAsiaTheme="minorEastAsia" w:hAnsiTheme="minorHAnsi"/>
          <w:noProof/>
          <w:sz w:val="22"/>
          <w:szCs w:val="22"/>
          <w:lang w:eastAsia="en-AU"/>
        </w:rPr>
      </w:pPr>
      <w:hyperlink w:anchor="_Toc40454667" w:history="1">
        <w:r w:rsidR="000A0826" w:rsidRPr="00793669">
          <w:rPr>
            <w:rStyle w:val="Hyperlink"/>
            <w:noProof/>
            <w:lang w:eastAsia="en-AU"/>
          </w:rPr>
          <w:t>D.3.1.</w:t>
        </w:r>
        <w:r w:rsidR="000A0826">
          <w:rPr>
            <w:rFonts w:asciiTheme="minorHAnsi" w:eastAsiaTheme="minorEastAsia" w:hAnsiTheme="minorHAnsi"/>
            <w:noProof/>
            <w:sz w:val="22"/>
            <w:szCs w:val="22"/>
            <w:lang w:eastAsia="en-AU"/>
          </w:rPr>
          <w:tab/>
        </w:r>
        <w:r w:rsidR="000A0826" w:rsidRPr="00793669">
          <w:rPr>
            <w:rStyle w:val="Hyperlink"/>
            <w:noProof/>
            <w:lang w:eastAsia="en-AU"/>
          </w:rPr>
          <w:t>Overheads (lowest quartile)</w:t>
        </w:r>
        <w:r w:rsidR="000A0826">
          <w:rPr>
            <w:noProof/>
            <w:webHidden/>
          </w:rPr>
          <w:tab/>
        </w:r>
        <w:r w:rsidR="000A0826">
          <w:rPr>
            <w:noProof/>
            <w:webHidden/>
          </w:rPr>
          <w:fldChar w:fldCharType="begin"/>
        </w:r>
        <w:r w:rsidR="000A0826">
          <w:rPr>
            <w:noProof/>
            <w:webHidden/>
          </w:rPr>
          <w:instrText xml:space="preserve"> PAGEREF _Toc40454667 \h </w:instrText>
        </w:r>
        <w:r w:rsidR="000A0826">
          <w:rPr>
            <w:noProof/>
            <w:webHidden/>
          </w:rPr>
        </w:r>
        <w:r w:rsidR="000A0826">
          <w:rPr>
            <w:noProof/>
            <w:webHidden/>
          </w:rPr>
          <w:fldChar w:fldCharType="separate"/>
        </w:r>
        <w:r w:rsidR="00283637">
          <w:rPr>
            <w:noProof/>
            <w:webHidden/>
          </w:rPr>
          <w:t>54</w:t>
        </w:r>
        <w:r w:rsidR="000A0826">
          <w:rPr>
            <w:noProof/>
            <w:webHidden/>
          </w:rPr>
          <w:fldChar w:fldCharType="end"/>
        </w:r>
      </w:hyperlink>
    </w:p>
    <w:p w14:paraId="56F1503E" w14:textId="7F1E488B" w:rsidR="000A0826" w:rsidRDefault="00C10F81">
      <w:pPr>
        <w:pStyle w:val="TOC3"/>
        <w:tabs>
          <w:tab w:val="left" w:pos="1351"/>
        </w:tabs>
        <w:rPr>
          <w:rFonts w:asciiTheme="minorHAnsi" w:eastAsiaTheme="minorEastAsia" w:hAnsiTheme="minorHAnsi"/>
          <w:noProof/>
          <w:sz w:val="22"/>
          <w:szCs w:val="22"/>
          <w:lang w:eastAsia="en-AU"/>
        </w:rPr>
      </w:pPr>
      <w:hyperlink w:anchor="_Toc40454668" w:history="1">
        <w:r w:rsidR="000A0826" w:rsidRPr="00793669">
          <w:rPr>
            <w:rStyle w:val="Hyperlink"/>
            <w:noProof/>
            <w:lang w:eastAsia="en-AU"/>
          </w:rPr>
          <w:t>D.3.2.</w:t>
        </w:r>
        <w:r w:rsidR="000A0826">
          <w:rPr>
            <w:rFonts w:asciiTheme="minorHAnsi" w:eastAsiaTheme="minorEastAsia" w:hAnsiTheme="minorHAnsi"/>
            <w:noProof/>
            <w:sz w:val="22"/>
            <w:szCs w:val="22"/>
            <w:lang w:eastAsia="en-AU"/>
          </w:rPr>
          <w:tab/>
        </w:r>
        <w:r w:rsidR="000A0826" w:rsidRPr="00793669">
          <w:rPr>
            <w:rStyle w:val="Hyperlink"/>
            <w:noProof/>
            <w:lang w:eastAsia="en-AU"/>
          </w:rPr>
          <w:t>Overheads (highest quartile)</w:t>
        </w:r>
        <w:r w:rsidR="000A0826">
          <w:rPr>
            <w:noProof/>
            <w:webHidden/>
          </w:rPr>
          <w:tab/>
        </w:r>
        <w:r w:rsidR="000A0826">
          <w:rPr>
            <w:noProof/>
            <w:webHidden/>
          </w:rPr>
          <w:fldChar w:fldCharType="begin"/>
        </w:r>
        <w:r w:rsidR="000A0826">
          <w:rPr>
            <w:noProof/>
            <w:webHidden/>
          </w:rPr>
          <w:instrText xml:space="preserve"> PAGEREF _Toc40454668 \h </w:instrText>
        </w:r>
        <w:r w:rsidR="000A0826">
          <w:rPr>
            <w:noProof/>
            <w:webHidden/>
          </w:rPr>
        </w:r>
        <w:r w:rsidR="000A0826">
          <w:rPr>
            <w:noProof/>
            <w:webHidden/>
          </w:rPr>
          <w:fldChar w:fldCharType="separate"/>
        </w:r>
        <w:r w:rsidR="00283637">
          <w:rPr>
            <w:noProof/>
            <w:webHidden/>
          </w:rPr>
          <w:t>55</w:t>
        </w:r>
        <w:r w:rsidR="000A0826">
          <w:rPr>
            <w:noProof/>
            <w:webHidden/>
          </w:rPr>
          <w:fldChar w:fldCharType="end"/>
        </w:r>
      </w:hyperlink>
    </w:p>
    <w:p w14:paraId="02A0484C" w14:textId="5D373804" w:rsidR="000A0826" w:rsidRDefault="00C10F81">
      <w:pPr>
        <w:pStyle w:val="TOC3"/>
        <w:tabs>
          <w:tab w:val="left" w:pos="1351"/>
        </w:tabs>
        <w:rPr>
          <w:rFonts w:asciiTheme="minorHAnsi" w:eastAsiaTheme="minorEastAsia" w:hAnsiTheme="minorHAnsi"/>
          <w:noProof/>
          <w:sz w:val="22"/>
          <w:szCs w:val="22"/>
          <w:lang w:eastAsia="en-AU"/>
        </w:rPr>
      </w:pPr>
      <w:hyperlink w:anchor="_Toc40454669" w:history="1">
        <w:r w:rsidR="000A0826" w:rsidRPr="00793669">
          <w:rPr>
            <w:rStyle w:val="Hyperlink"/>
            <w:noProof/>
            <w:lang w:eastAsia="en-AU"/>
          </w:rPr>
          <w:t>D.3.3.</w:t>
        </w:r>
        <w:r w:rsidR="000A0826">
          <w:rPr>
            <w:rFonts w:asciiTheme="minorHAnsi" w:eastAsiaTheme="minorEastAsia" w:hAnsiTheme="minorHAnsi"/>
            <w:noProof/>
            <w:sz w:val="22"/>
            <w:szCs w:val="22"/>
            <w:lang w:eastAsia="en-AU"/>
          </w:rPr>
          <w:tab/>
        </w:r>
        <w:r w:rsidR="000A0826" w:rsidRPr="00793669">
          <w:rPr>
            <w:rStyle w:val="Hyperlink"/>
            <w:noProof/>
            <w:lang w:eastAsia="en-AU"/>
          </w:rPr>
          <w:t>Utilisation (lowest quartile)</w:t>
        </w:r>
        <w:r w:rsidR="000A0826">
          <w:rPr>
            <w:noProof/>
            <w:webHidden/>
          </w:rPr>
          <w:tab/>
        </w:r>
        <w:r w:rsidR="000A0826">
          <w:rPr>
            <w:noProof/>
            <w:webHidden/>
          </w:rPr>
          <w:fldChar w:fldCharType="begin"/>
        </w:r>
        <w:r w:rsidR="000A0826">
          <w:rPr>
            <w:noProof/>
            <w:webHidden/>
          </w:rPr>
          <w:instrText xml:space="preserve"> PAGEREF _Toc40454669 \h </w:instrText>
        </w:r>
        <w:r w:rsidR="000A0826">
          <w:rPr>
            <w:noProof/>
            <w:webHidden/>
          </w:rPr>
        </w:r>
        <w:r w:rsidR="000A0826">
          <w:rPr>
            <w:noProof/>
            <w:webHidden/>
          </w:rPr>
          <w:fldChar w:fldCharType="separate"/>
        </w:r>
        <w:r w:rsidR="00283637">
          <w:rPr>
            <w:noProof/>
            <w:webHidden/>
          </w:rPr>
          <w:t>56</w:t>
        </w:r>
        <w:r w:rsidR="000A0826">
          <w:rPr>
            <w:noProof/>
            <w:webHidden/>
          </w:rPr>
          <w:fldChar w:fldCharType="end"/>
        </w:r>
      </w:hyperlink>
    </w:p>
    <w:p w14:paraId="5A02430E" w14:textId="2BD0E1A2" w:rsidR="000A0826" w:rsidRDefault="00C10F81">
      <w:pPr>
        <w:pStyle w:val="TOC3"/>
        <w:tabs>
          <w:tab w:val="left" w:pos="1351"/>
        </w:tabs>
        <w:rPr>
          <w:rFonts w:asciiTheme="minorHAnsi" w:eastAsiaTheme="minorEastAsia" w:hAnsiTheme="minorHAnsi"/>
          <w:noProof/>
          <w:sz w:val="22"/>
          <w:szCs w:val="22"/>
          <w:lang w:eastAsia="en-AU"/>
        </w:rPr>
      </w:pPr>
      <w:hyperlink w:anchor="_Toc40454670" w:history="1">
        <w:r w:rsidR="000A0826" w:rsidRPr="00793669">
          <w:rPr>
            <w:rStyle w:val="Hyperlink"/>
            <w:noProof/>
            <w:lang w:eastAsia="en-AU"/>
          </w:rPr>
          <w:t>D.3.4.</w:t>
        </w:r>
        <w:r w:rsidR="000A0826">
          <w:rPr>
            <w:rFonts w:asciiTheme="minorHAnsi" w:eastAsiaTheme="minorEastAsia" w:hAnsiTheme="minorHAnsi"/>
            <w:noProof/>
            <w:sz w:val="22"/>
            <w:szCs w:val="22"/>
            <w:lang w:eastAsia="en-AU"/>
          </w:rPr>
          <w:tab/>
        </w:r>
        <w:r w:rsidR="000A0826" w:rsidRPr="00793669">
          <w:rPr>
            <w:rStyle w:val="Hyperlink"/>
            <w:noProof/>
            <w:lang w:eastAsia="en-AU"/>
          </w:rPr>
          <w:t>Utilisation (highest quartile)</w:t>
        </w:r>
        <w:r w:rsidR="000A0826">
          <w:rPr>
            <w:noProof/>
            <w:webHidden/>
          </w:rPr>
          <w:tab/>
        </w:r>
        <w:r w:rsidR="000A0826">
          <w:rPr>
            <w:noProof/>
            <w:webHidden/>
          </w:rPr>
          <w:fldChar w:fldCharType="begin"/>
        </w:r>
        <w:r w:rsidR="000A0826">
          <w:rPr>
            <w:noProof/>
            <w:webHidden/>
          </w:rPr>
          <w:instrText xml:space="preserve"> PAGEREF _Toc40454670 \h </w:instrText>
        </w:r>
        <w:r w:rsidR="000A0826">
          <w:rPr>
            <w:noProof/>
            <w:webHidden/>
          </w:rPr>
        </w:r>
        <w:r w:rsidR="000A0826">
          <w:rPr>
            <w:noProof/>
            <w:webHidden/>
          </w:rPr>
          <w:fldChar w:fldCharType="separate"/>
        </w:r>
        <w:r w:rsidR="00283637">
          <w:rPr>
            <w:noProof/>
            <w:webHidden/>
          </w:rPr>
          <w:t>56</w:t>
        </w:r>
        <w:r w:rsidR="000A0826">
          <w:rPr>
            <w:noProof/>
            <w:webHidden/>
          </w:rPr>
          <w:fldChar w:fldCharType="end"/>
        </w:r>
      </w:hyperlink>
    </w:p>
    <w:p w14:paraId="23D359D0" w14:textId="75428F53" w:rsidR="000A0826" w:rsidRDefault="00C10F81">
      <w:pPr>
        <w:pStyle w:val="TOC3"/>
        <w:tabs>
          <w:tab w:val="left" w:pos="1351"/>
        </w:tabs>
        <w:rPr>
          <w:rFonts w:asciiTheme="minorHAnsi" w:eastAsiaTheme="minorEastAsia" w:hAnsiTheme="minorHAnsi"/>
          <w:noProof/>
          <w:sz w:val="22"/>
          <w:szCs w:val="22"/>
          <w:lang w:eastAsia="en-AU"/>
        </w:rPr>
      </w:pPr>
      <w:hyperlink w:anchor="_Toc40454671" w:history="1">
        <w:r w:rsidR="000A0826" w:rsidRPr="00793669">
          <w:rPr>
            <w:rStyle w:val="Hyperlink"/>
            <w:noProof/>
            <w:lang w:eastAsia="en-AU"/>
          </w:rPr>
          <w:t>D.3.5.</w:t>
        </w:r>
        <w:r w:rsidR="000A0826">
          <w:rPr>
            <w:rFonts w:asciiTheme="minorHAnsi" w:eastAsiaTheme="minorEastAsia" w:hAnsiTheme="minorHAnsi"/>
            <w:noProof/>
            <w:sz w:val="22"/>
            <w:szCs w:val="22"/>
            <w:lang w:eastAsia="en-AU"/>
          </w:rPr>
          <w:tab/>
        </w:r>
        <w:r w:rsidR="000A0826" w:rsidRPr="00793669">
          <w:rPr>
            <w:rStyle w:val="Hyperlink"/>
            <w:noProof/>
            <w:lang w:eastAsia="en-AU"/>
          </w:rPr>
          <w:t>Implied margins (lowest quartile)</w:t>
        </w:r>
        <w:r w:rsidR="000A0826">
          <w:rPr>
            <w:noProof/>
            <w:webHidden/>
          </w:rPr>
          <w:tab/>
        </w:r>
        <w:r w:rsidR="000A0826">
          <w:rPr>
            <w:noProof/>
            <w:webHidden/>
          </w:rPr>
          <w:fldChar w:fldCharType="begin"/>
        </w:r>
        <w:r w:rsidR="000A0826">
          <w:rPr>
            <w:noProof/>
            <w:webHidden/>
          </w:rPr>
          <w:instrText xml:space="preserve"> PAGEREF _Toc40454671 \h </w:instrText>
        </w:r>
        <w:r w:rsidR="000A0826">
          <w:rPr>
            <w:noProof/>
            <w:webHidden/>
          </w:rPr>
        </w:r>
        <w:r w:rsidR="000A0826">
          <w:rPr>
            <w:noProof/>
            <w:webHidden/>
          </w:rPr>
          <w:fldChar w:fldCharType="separate"/>
        </w:r>
        <w:r w:rsidR="00283637">
          <w:rPr>
            <w:noProof/>
            <w:webHidden/>
          </w:rPr>
          <w:t>57</w:t>
        </w:r>
        <w:r w:rsidR="000A0826">
          <w:rPr>
            <w:noProof/>
            <w:webHidden/>
          </w:rPr>
          <w:fldChar w:fldCharType="end"/>
        </w:r>
      </w:hyperlink>
    </w:p>
    <w:p w14:paraId="7E29565A" w14:textId="1F4C11B4" w:rsidR="000A0826" w:rsidRDefault="00C10F81">
      <w:pPr>
        <w:pStyle w:val="TOC3"/>
        <w:tabs>
          <w:tab w:val="left" w:pos="1351"/>
        </w:tabs>
        <w:rPr>
          <w:rFonts w:asciiTheme="minorHAnsi" w:eastAsiaTheme="minorEastAsia" w:hAnsiTheme="minorHAnsi"/>
          <w:noProof/>
          <w:sz w:val="22"/>
          <w:szCs w:val="22"/>
          <w:lang w:eastAsia="en-AU"/>
        </w:rPr>
      </w:pPr>
      <w:hyperlink w:anchor="_Toc40454672" w:history="1">
        <w:r w:rsidR="000A0826" w:rsidRPr="00793669">
          <w:rPr>
            <w:rStyle w:val="Hyperlink"/>
            <w:noProof/>
            <w:lang w:eastAsia="en-AU"/>
          </w:rPr>
          <w:t>D.3.6.</w:t>
        </w:r>
        <w:r w:rsidR="000A0826">
          <w:rPr>
            <w:rFonts w:asciiTheme="minorHAnsi" w:eastAsiaTheme="minorEastAsia" w:hAnsiTheme="minorHAnsi"/>
            <w:noProof/>
            <w:sz w:val="22"/>
            <w:szCs w:val="22"/>
            <w:lang w:eastAsia="en-AU"/>
          </w:rPr>
          <w:tab/>
        </w:r>
        <w:r w:rsidR="000A0826" w:rsidRPr="00793669">
          <w:rPr>
            <w:rStyle w:val="Hyperlink"/>
            <w:noProof/>
            <w:lang w:eastAsia="en-AU"/>
          </w:rPr>
          <w:t>Implied margins (highest quartile)</w:t>
        </w:r>
        <w:r w:rsidR="000A0826">
          <w:rPr>
            <w:noProof/>
            <w:webHidden/>
          </w:rPr>
          <w:tab/>
        </w:r>
        <w:r w:rsidR="000A0826">
          <w:rPr>
            <w:noProof/>
            <w:webHidden/>
          </w:rPr>
          <w:fldChar w:fldCharType="begin"/>
        </w:r>
        <w:r w:rsidR="000A0826">
          <w:rPr>
            <w:noProof/>
            <w:webHidden/>
          </w:rPr>
          <w:instrText xml:space="preserve"> PAGEREF _Toc40454672 \h </w:instrText>
        </w:r>
        <w:r w:rsidR="000A0826">
          <w:rPr>
            <w:noProof/>
            <w:webHidden/>
          </w:rPr>
        </w:r>
        <w:r w:rsidR="000A0826">
          <w:rPr>
            <w:noProof/>
            <w:webHidden/>
          </w:rPr>
          <w:fldChar w:fldCharType="separate"/>
        </w:r>
        <w:r w:rsidR="00283637">
          <w:rPr>
            <w:noProof/>
            <w:webHidden/>
          </w:rPr>
          <w:t>58</w:t>
        </w:r>
        <w:r w:rsidR="000A0826">
          <w:rPr>
            <w:noProof/>
            <w:webHidden/>
          </w:rPr>
          <w:fldChar w:fldCharType="end"/>
        </w:r>
      </w:hyperlink>
    </w:p>
    <w:p w14:paraId="12E2BA14" w14:textId="4776FF09" w:rsidR="000A0826" w:rsidRDefault="00C10F81">
      <w:pPr>
        <w:pStyle w:val="TOC3"/>
        <w:tabs>
          <w:tab w:val="left" w:pos="1351"/>
        </w:tabs>
        <w:rPr>
          <w:rFonts w:asciiTheme="minorHAnsi" w:eastAsiaTheme="minorEastAsia" w:hAnsiTheme="minorHAnsi"/>
          <w:noProof/>
          <w:sz w:val="22"/>
          <w:szCs w:val="22"/>
          <w:lang w:eastAsia="en-AU"/>
        </w:rPr>
      </w:pPr>
      <w:hyperlink w:anchor="_Toc40454673" w:history="1">
        <w:r w:rsidR="000A0826" w:rsidRPr="00793669">
          <w:rPr>
            <w:rStyle w:val="Hyperlink"/>
            <w:noProof/>
            <w:lang w:eastAsia="en-AU"/>
          </w:rPr>
          <w:t>D.3.7.</w:t>
        </w:r>
        <w:r w:rsidR="000A0826">
          <w:rPr>
            <w:rFonts w:asciiTheme="minorHAnsi" w:eastAsiaTheme="minorEastAsia" w:hAnsiTheme="minorHAnsi"/>
            <w:noProof/>
            <w:sz w:val="22"/>
            <w:szCs w:val="22"/>
            <w:lang w:eastAsia="en-AU"/>
          </w:rPr>
          <w:tab/>
        </w:r>
        <w:r w:rsidR="000A0826" w:rsidRPr="00793669">
          <w:rPr>
            <w:rStyle w:val="Hyperlink"/>
            <w:noProof/>
            <w:lang w:eastAsia="en-AU"/>
          </w:rPr>
          <w:t>Span of control (lowest quartile)</w:t>
        </w:r>
        <w:r w:rsidR="000A0826">
          <w:rPr>
            <w:noProof/>
            <w:webHidden/>
          </w:rPr>
          <w:tab/>
        </w:r>
        <w:r w:rsidR="000A0826">
          <w:rPr>
            <w:noProof/>
            <w:webHidden/>
          </w:rPr>
          <w:fldChar w:fldCharType="begin"/>
        </w:r>
        <w:r w:rsidR="000A0826">
          <w:rPr>
            <w:noProof/>
            <w:webHidden/>
          </w:rPr>
          <w:instrText xml:space="preserve"> PAGEREF _Toc40454673 \h </w:instrText>
        </w:r>
        <w:r w:rsidR="000A0826">
          <w:rPr>
            <w:noProof/>
            <w:webHidden/>
          </w:rPr>
        </w:r>
        <w:r w:rsidR="000A0826">
          <w:rPr>
            <w:noProof/>
            <w:webHidden/>
          </w:rPr>
          <w:fldChar w:fldCharType="separate"/>
        </w:r>
        <w:r w:rsidR="00283637">
          <w:rPr>
            <w:noProof/>
            <w:webHidden/>
          </w:rPr>
          <w:t>58</w:t>
        </w:r>
        <w:r w:rsidR="000A0826">
          <w:rPr>
            <w:noProof/>
            <w:webHidden/>
          </w:rPr>
          <w:fldChar w:fldCharType="end"/>
        </w:r>
      </w:hyperlink>
    </w:p>
    <w:p w14:paraId="1F093CA7" w14:textId="413DB033" w:rsidR="000A0826" w:rsidRDefault="00C10F81">
      <w:pPr>
        <w:pStyle w:val="TOC3"/>
        <w:tabs>
          <w:tab w:val="left" w:pos="1351"/>
        </w:tabs>
        <w:rPr>
          <w:rFonts w:asciiTheme="minorHAnsi" w:eastAsiaTheme="minorEastAsia" w:hAnsiTheme="minorHAnsi"/>
          <w:noProof/>
          <w:sz w:val="22"/>
          <w:szCs w:val="22"/>
          <w:lang w:eastAsia="en-AU"/>
        </w:rPr>
      </w:pPr>
      <w:hyperlink w:anchor="_Toc40454674" w:history="1">
        <w:r w:rsidR="000A0826" w:rsidRPr="00793669">
          <w:rPr>
            <w:rStyle w:val="Hyperlink"/>
            <w:noProof/>
            <w:lang w:eastAsia="en-AU"/>
          </w:rPr>
          <w:t>D.3.8.</w:t>
        </w:r>
        <w:r w:rsidR="000A0826">
          <w:rPr>
            <w:rFonts w:asciiTheme="minorHAnsi" w:eastAsiaTheme="minorEastAsia" w:hAnsiTheme="minorHAnsi"/>
            <w:noProof/>
            <w:sz w:val="22"/>
            <w:szCs w:val="22"/>
            <w:lang w:eastAsia="en-AU"/>
          </w:rPr>
          <w:tab/>
        </w:r>
        <w:r w:rsidR="000A0826" w:rsidRPr="00793669">
          <w:rPr>
            <w:rStyle w:val="Hyperlink"/>
            <w:noProof/>
            <w:lang w:eastAsia="en-AU"/>
          </w:rPr>
          <w:t>Span of control (highest quartile)</w:t>
        </w:r>
        <w:r w:rsidR="000A0826">
          <w:rPr>
            <w:noProof/>
            <w:webHidden/>
          </w:rPr>
          <w:tab/>
        </w:r>
        <w:r w:rsidR="000A0826">
          <w:rPr>
            <w:noProof/>
            <w:webHidden/>
          </w:rPr>
          <w:fldChar w:fldCharType="begin"/>
        </w:r>
        <w:r w:rsidR="000A0826">
          <w:rPr>
            <w:noProof/>
            <w:webHidden/>
          </w:rPr>
          <w:instrText xml:space="preserve"> PAGEREF _Toc40454674 \h </w:instrText>
        </w:r>
        <w:r w:rsidR="000A0826">
          <w:rPr>
            <w:noProof/>
            <w:webHidden/>
          </w:rPr>
        </w:r>
        <w:r w:rsidR="000A0826">
          <w:rPr>
            <w:noProof/>
            <w:webHidden/>
          </w:rPr>
          <w:fldChar w:fldCharType="separate"/>
        </w:r>
        <w:r w:rsidR="00283637">
          <w:rPr>
            <w:noProof/>
            <w:webHidden/>
          </w:rPr>
          <w:t>59</w:t>
        </w:r>
        <w:r w:rsidR="000A0826">
          <w:rPr>
            <w:noProof/>
            <w:webHidden/>
          </w:rPr>
          <w:fldChar w:fldCharType="end"/>
        </w:r>
      </w:hyperlink>
    </w:p>
    <w:p w14:paraId="40688CAA" w14:textId="101E83A5" w:rsidR="000A0826" w:rsidRDefault="00C10F81">
      <w:pPr>
        <w:pStyle w:val="TOC3"/>
        <w:tabs>
          <w:tab w:val="left" w:pos="1351"/>
        </w:tabs>
        <w:rPr>
          <w:rFonts w:asciiTheme="minorHAnsi" w:eastAsiaTheme="minorEastAsia" w:hAnsiTheme="minorHAnsi"/>
          <w:noProof/>
          <w:sz w:val="22"/>
          <w:szCs w:val="22"/>
          <w:lang w:eastAsia="en-AU"/>
        </w:rPr>
      </w:pPr>
      <w:hyperlink w:anchor="_Toc40454675" w:history="1">
        <w:r w:rsidR="000A0826" w:rsidRPr="00793669">
          <w:rPr>
            <w:rStyle w:val="Hyperlink"/>
            <w:noProof/>
            <w:lang w:eastAsia="en-AU"/>
          </w:rPr>
          <w:t>D.3.9.</w:t>
        </w:r>
        <w:r w:rsidR="000A0826">
          <w:rPr>
            <w:rFonts w:asciiTheme="minorHAnsi" w:eastAsiaTheme="minorEastAsia" w:hAnsiTheme="minorHAnsi"/>
            <w:noProof/>
            <w:sz w:val="22"/>
            <w:szCs w:val="22"/>
            <w:lang w:eastAsia="en-AU"/>
          </w:rPr>
          <w:tab/>
        </w:r>
        <w:r w:rsidR="000A0826" w:rsidRPr="00793669">
          <w:rPr>
            <w:rStyle w:val="Hyperlink"/>
            <w:noProof/>
            <w:lang w:eastAsia="en-AU"/>
          </w:rPr>
          <w:t>Permanent employment rate (lowest quartile)</w:t>
        </w:r>
        <w:r w:rsidR="000A0826">
          <w:rPr>
            <w:noProof/>
            <w:webHidden/>
          </w:rPr>
          <w:tab/>
        </w:r>
        <w:r w:rsidR="000A0826">
          <w:rPr>
            <w:noProof/>
            <w:webHidden/>
          </w:rPr>
          <w:fldChar w:fldCharType="begin"/>
        </w:r>
        <w:r w:rsidR="000A0826">
          <w:rPr>
            <w:noProof/>
            <w:webHidden/>
          </w:rPr>
          <w:instrText xml:space="preserve"> PAGEREF _Toc40454675 \h </w:instrText>
        </w:r>
        <w:r w:rsidR="000A0826">
          <w:rPr>
            <w:noProof/>
            <w:webHidden/>
          </w:rPr>
        </w:r>
        <w:r w:rsidR="000A0826">
          <w:rPr>
            <w:noProof/>
            <w:webHidden/>
          </w:rPr>
          <w:fldChar w:fldCharType="separate"/>
        </w:r>
        <w:r w:rsidR="00283637">
          <w:rPr>
            <w:noProof/>
            <w:webHidden/>
          </w:rPr>
          <w:t>60</w:t>
        </w:r>
        <w:r w:rsidR="000A0826">
          <w:rPr>
            <w:noProof/>
            <w:webHidden/>
          </w:rPr>
          <w:fldChar w:fldCharType="end"/>
        </w:r>
      </w:hyperlink>
    </w:p>
    <w:p w14:paraId="05E91FDE" w14:textId="708C9A2E" w:rsidR="000A0826" w:rsidRDefault="00C10F81">
      <w:pPr>
        <w:pStyle w:val="TOC3"/>
        <w:tabs>
          <w:tab w:val="left" w:pos="1465"/>
        </w:tabs>
        <w:rPr>
          <w:rFonts w:asciiTheme="minorHAnsi" w:eastAsiaTheme="minorEastAsia" w:hAnsiTheme="minorHAnsi"/>
          <w:noProof/>
          <w:sz w:val="22"/>
          <w:szCs w:val="22"/>
          <w:lang w:eastAsia="en-AU"/>
        </w:rPr>
      </w:pPr>
      <w:hyperlink w:anchor="_Toc40454676" w:history="1">
        <w:r w:rsidR="000A0826" w:rsidRPr="00793669">
          <w:rPr>
            <w:rStyle w:val="Hyperlink"/>
            <w:noProof/>
            <w:lang w:eastAsia="en-AU"/>
          </w:rPr>
          <w:t>D.3.10.</w:t>
        </w:r>
        <w:r w:rsidR="000A0826">
          <w:rPr>
            <w:rFonts w:asciiTheme="minorHAnsi" w:eastAsiaTheme="minorEastAsia" w:hAnsiTheme="minorHAnsi"/>
            <w:noProof/>
            <w:sz w:val="22"/>
            <w:szCs w:val="22"/>
            <w:lang w:eastAsia="en-AU"/>
          </w:rPr>
          <w:tab/>
        </w:r>
        <w:r w:rsidR="000A0826" w:rsidRPr="00793669">
          <w:rPr>
            <w:rStyle w:val="Hyperlink"/>
            <w:noProof/>
            <w:lang w:eastAsia="en-AU"/>
          </w:rPr>
          <w:t>Permanent employment rate (highest quartile)</w:t>
        </w:r>
        <w:r w:rsidR="000A0826">
          <w:rPr>
            <w:noProof/>
            <w:webHidden/>
          </w:rPr>
          <w:tab/>
        </w:r>
        <w:r w:rsidR="000A0826">
          <w:rPr>
            <w:noProof/>
            <w:webHidden/>
          </w:rPr>
          <w:fldChar w:fldCharType="begin"/>
        </w:r>
        <w:r w:rsidR="000A0826">
          <w:rPr>
            <w:noProof/>
            <w:webHidden/>
          </w:rPr>
          <w:instrText xml:space="preserve"> PAGEREF _Toc40454676 \h </w:instrText>
        </w:r>
        <w:r w:rsidR="000A0826">
          <w:rPr>
            <w:noProof/>
            <w:webHidden/>
          </w:rPr>
        </w:r>
        <w:r w:rsidR="000A0826">
          <w:rPr>
            <w:noProof/>
            <w:webHidden/>
          </w:rPr>
          <w:fldChar w:fldCharType="separate"/>
        </w:r>
        <w:r w:rsidR="00283637">
          <w:rPr>
            <w:noProof/>
            <w:webHidden/>
          </w:rPr>
          <w:t>61</w:t>
        </w:r>
        <w:r w:rsidR="000A0826">
          <w:rPr>
            <w:noProof/>
            <w:webHidden/>
          </w:rPr>
          <w:fldChar w:fldCharType="end"/>
        </w:r>
      </w:hyperlink>
    </w:p>
    <w:p w14:paraId="5B782D69" w14:textId="755EB783" w:rsidR="000A0826" w:rsidRDefault="00C10F81">
      <w:pPr>
        <w:pStyle w:val="TOC3"/>
        <w:tabs>
          <w:tab w:val="left" w:pos="1465"/>
        </w:tabs>
        <w:rPr>
          <w:rFonts w:asciiTheme="minorHAnsi" w:eastAsiaTheme="minorEastAsia" w:hAnsiTheme="minorHAnsi"/>
          <w:noProof/>
          <w:sz w:val="22"/>
          <w:szCs w:val="22"/>
          <w:lang w:eastAsia="en-AU"/>
        </w:rPr>
      </w:pPr>
      <w:hyperlink w:anchor="_Toc40454677" w:history="1">
        <w:r w:rsidR="000A0826" w:rsidRPr="00793669">
          <w:rPr>
            <w:rStyle w:val="Hyperlink"/>
            <w:noProof/>
            <w:lang w:eastAsia="en-AU"/>
          </w:rPr>
          <w:t>D.3.11.</w:t>
        </w:r>
        <w:r w:rsidR="000A0826">
          <w:rPr>
            <w:rFonts w:asciiTheme="minorHAnsi" w:eastAsiaTheme="minorEastAsia" w:hAnsiTheme="minorHAnsi"/>
            <w:noProof/>
            <w:sz w:val="22"/>
            <w:szCs w:val="22"/>
            <w:lang w:eastAsia="en-AU"/>
          </w:rPr>
          <w:tab/>
        </w:r>
        <w:r w:rsidR="000A0826" w:rsidRPr="00793669">
          <w:rPr>
            <w:rStyle w:val="Hyperlink"/>
            <w:noProof/>
            <w:lang w:eastAsia="en-AU"/>
          </w:rPr>
          <w:t>Staff remuneration (lowest quartile)</w:t>
        </w:r>
        <w:r w:rsidR="000A0826">
          <w:rPr>
            <w:noProof/>
            <w:webHidden/>
          </w:rPr>
          <w:tab/>
        </w:r>
        <w:r w:rsidR="000A0826">
          <w:rPr>
            <w:noProof/>
            <w:webHidden/>
          </w:rPr>
          <w:fldChar w:fldCharType="begin"/>
        </w:r>
        <w:r w:rsidR="000A0826">
          <w:rPr>
            <w:noProof/>
            <w:webHidden/>
          </w:rPr>
          <w:instrText xml:space="preserve"> PAGEREF _Toc40454677 \h </w:instrText>
        </w:r>
        <w:r w:rsidR="000A0826">
          <w:rPr>
            <w:noProof/>
            <w:webHidden/>
          </w:rPr>
        </w:r>
        <w:r w:rsidR="000A0826">
          <w:rPr>
            <w:noProof/>
            <w:webHidden/>
          </w:rPr>
          <w:fldChar w:fldCharType="separate"/>
        </w:r>
        <w:r w:rsidR="00283637">
          <w:rPr>
            <w:noProof/>
            <w:webHidden/>
          </w:rPr>
          <w:t>61</w:t>
        </w:r>
        <w:r w:rsidR="000A0826">
          <w:rPr>
            <w:noProof/>
            <w:webHidden/>
          </w:rPr>
          <w:fldChar w:fldCharType="end"/>
        </w:r>
      </w:hyperlink>
    </w:p>
    <w:p w14:paraId="2C7303F7" w14:textId="6BD48486" w:rsidR="000A0826" w:rsidRDefault="00C10F81">
      <w:pPr>
        <w:pStyle w:val="TOC3"/>
        <w:tabs>
          <w:tab w:val="left" w:pos="1465"/>
        </w:tabs>
        <w:rPr>
          <w:rFonts w:asciiTheme="minorHAnsi" w:eastAsiaTheme="minorEastAsia" w:hAnsiTheme="minorHAnsi"/>
          <w:noProof/>
          <w:sz w:val="22"/>
          <w:szCs w:val="22"/>
          <w:lang w:eastAsia="en-AU"/>
        </w:rPr>
      </w:pPr>
      <w:hyperlink w:anchor="_Toc40454678" w:history="1">
        <w:r w:rsidR="000A0826" w:rsidRPr="00793669">
          <w:rPr>
            <w:rStyle w:val="Hyperlink"/>
            <w:noProof/>
            <w:lang w:eastAsia="en-AU"/>
          </w:rPr>
          <w:t>D.3.12.</w:t>
        </w:r>
        <w:r w:rsidR="000A0826">
          <w:rPr>
            <w:rFonts w:asciiTheme="minorHAnsi" w:eastAsiaTheme="minorEastAsia" w:hAnsiTheme="minorHAnsi"/>
            <w:noProof/>
            <w:sz w:val="22"/>
            <w:szCs w:val="22"/>
            <w:lang w:eastAsia="en-AU"/>
          </w:rPr>
          <w:tab/>
        </w:r>
        <w:r w:rsidR="000A0826" w:rsidRPr="00793669">
          <w:rPr>
            <w:rStyle w:val="Hyperlink"/>
            <w:noProof/>
            <w:lang w:eastAsia="en-AU"/>
          </w:rPr>
          <w:t>Staff remuneration (highest quartile)</w:t>
        </w:r>
        <w:r w:rsidR="000A0826">
          <w:rPr>
            <w:noProof/>
            <w:webHidden/>
          </w:rPr>
          <w:tab/>
        </w:r>
        <w:r w:rsidR="000A0826">
          <w:rPr>
            <w:noProof/>
            <w:webHidden/>
          </w:rPr>
          <w:fldChar w:fldCharType="begin"/>
        </w:r>
        <w:r w:rsidR="000A0826">
          <w:rPr>
            <w:noProof/>
            <w:webHidden/>
          </w:rPr>
          <w:instrText xml:space="preserve"> PAGEREF _Toc40454678 \h </w:instrText>
        </w:r>
        <w:r w:rsidR="000A0826">
          <w:rPr>
            <w:noProof/>
            <w:webHidden/>
          </w:rPr>
        </w:r>
        <w:r w:rsidR="000A0826">
          <w:rPr>
            <w:noProof/>
            <w:webHidden/>
          </w:rPr>
          <w:fldChar w:fldCharType="separate"/>
        </w:r>
        <w:r w:rsidR="00283637">
          <w:rPr>
            <w:noProof/>
            <w:webHidden/>
          </w:rPr>
          <w:t>62</w:t>
        </w:r>
        <w:r w:rsidR="000A0826">
          <w:rPr>
            <w:noProof/>
            <w:webHidden/>
          </w:rPr>
          <w:fldChar w:fldCharType="end"/>
        </w:r>
      </w:hyperlink>
    </w:p>
    <w:p w14:paraId="536BE702" w14:textId="65A96F67" w:rsidR="000A0826" w:rsidRDefault="00C10F81">
      <w:pPr>
        <w:pStyle w:val="TOC1"/>
        <w:rPr>
          <w:rFonts w:asciiTheme="minorHAnsi" w:eastAsiaTheme="minorEastAsia" w:hAnsiTheme="minorHAnsi"/>
          <w:noProof/>
          <w:sz w:val="22"/>
          <w:szCs w:val="22"/>
          <w:lang w:eastAsia="en-AU"/>
        </w:rPr>
      </w:pPr>
      <w:hyperlink w:anchor="_Toc40454679" w:history="1">
        <w:r w:rsidR="000A0826" w:rsidRPr="00793669">
          <w:rPr>
            <w:rStyle w:val="Hyperlink"/>
            <w:noProof/>
            <w:lang w:eastAsia="en-AU"/>
          </w:rPr>
          <w:t>Limitation of our work</w:t>
        </w:r>
        <w:r w:rsidR="000A0826">
          <w:rPr>
            <w:noProof/>
            <w:webHidden/>
          </w:rPr>
          <w:tab/>
        </w:r>
        <w:r w:rsidR="000A0826">
          <w:rPr>
            <w:noProof/>
            <w:webHidden/>
          </w:rPr>
          <w:fldChar w:fldCharType="begin"/>
        </w:r>
        <w:r w:rsidR="000A0826">
          <w:rPr>
            <w:noProof/>
            <w:webHidden/>
          </w:rPr>
          <w:instrText xml:space="preserve"> PAGEREF _Toc40454679 \h </w:instrText>
        </w:r>
        <w:r w:rsidR="000A0826">
          <w:rPr>
            <w:noProof/>
            <w:webHidden/>
          </w:rPr>
        </w:r>
        <w:r w:rsidR="000A0826">
          <w:rPr>
            <w:noProof/>
            <w:webHidden/>
          </w:rPr>
          <w:fldChar w:fldCharType="separate"/>
        </w:r>
        <w:r w:rsidR="00283637">
          <w:rPr>
            <w:noProof/>
            <w:webHidden/>
          </w:rPr>
          <w:t>64</w:t>
        </w:r>
        <w:r w:rsidR="000A0826">
          <w:rPr>
            <w:noProof/>
            <w:webHidden/>
          </w:rPr>
          <w:fldChar w:fldCharType="end"/>
        </w:r>
      </w:hyperlink>
    </w:p>
    <w:p w14:paraId="4B03991E" w14:textId="0F50B047" w:rsidR="00315C25" w:rsidRDefault="002268CC" w:rsidP="00D247D3">
      <w:pPr>
        <w:spacing w:after="20"/>
      </w:pPr>
      <w:r>
        <w:fldChar w:fldCharType="end"/>
      </w:r>
    </w:p>
    <w:p w14:paraId="745B8C97" w14:textId="77777777" w:rsidR="00FC6122" w:rsidRDefault="00FC6122" w:rsidP="00FC6122">
      <w:pPr>
        <w:pStyle w:val="TOCHeading"/>
      </w:pPr>
      <w:bookmarkStart w:id="7" w:name="_Hlk482167878"/>
      <w:r>
        <w:lastRenderedPageBreak/>
        <w:t>Tables</w:t>
      </w:r>
    </w:p>
    <w:p w14:paraId="68DB64FB" w14:textId="1D045E3F" w:rsidR="000A0826" w:rsidRDefault="00FC6122">
      <w:pPr>
        <w:pStyle w:val="TOC8"/>
        <w:rPr>
          <w:rFonts w:asciiTheme="minorHAnsi" w:eastAsiaTheme="minorEastAsia" w:hAnsiTheme="minorHAnsi"/>
          <w:noProof/>
          <w:sz w:val="22"/>
          <w:szCs w:val="22"/>
          <w:lang w:eastAsia="en-AU"/>
        </w:rPr>
      </w:pPr>
      <w:r>
        <w:fldChar w:fldCharType="begin"/>
      </w:r>
      <w:r>
        <w:instrText xml:space="preserve"> TOC \h \z \t "Caption_Table,8,Exec Table Caption,8,Appendix Table Caption,8" </w:instrText>
      </w:r>
      <w:r>
        <w:fldChar w:fldCharType="separate"/>
      </w:r>
      <w:hyperlink w:anchor="_Toc40454680" w:history="1">
        <w:r w:rsidR="000A0826" w:rsidRPr="007F7233">
          <w:rPr>
            <w:rStyle w:val="Hyperlink"/>
            <w:noProof/>
          </w:rPr>
          <w:t>Table 2.1 Questions where ‘zero’ responses were removed</w:t>
        </w:r>
        <w:r w:rsidR="000A0826">
          <w:rPr>
            <w:noProof/>
            <w:webHidden/>
          </w:rPr>
          <w:tab/>
        </w:r>
        <w:r w:rsidR="000A0826">
          <w:rPr>
            <w:noProof/>
            <w:webHidden/>
          </w:rPr>
          <w:fldChar w:fldCharType="begin"/>
        </w:r>
        <w:r w:rsidR="000A0826">
          <w:rPr>
            <w:noProof/>
            <w:webHidden/>
          </w:rPr>
          <w:instrText xml:space="preserve"> PAGEREF _Toc40454680 \h </w:instrText>
        </w:r>
        <w:r w:rsidR="000A0826">
          <w:rPr>
            <w:noProof/>
            <w:webHidden/>
          </w:rPr>
        </w:r>
        <w:r w:rsidR="000A0826">
          <w:rPr>
            <w:noProof/>
            <w:webHidden/>
          </w:rPr>
          <w:fldChar w:fldCharType="separate"/>
        </w:r>
        <w:r w:rsidR="00283637">
          <w:rPr>
            <w:noProof/>
            <w:webHidden/>
          </w:rPr>
          <w:t>3</w:t>
        </w:r>
        <w:r w:rsidR="000A0826">
          <w:rPr>
            <w:noProof/>
            <w:webHidden/>
          </w:rPr>
          <w:fldChar w:fldCharType="end"/>
        </w:r>
      </w:hyperlink>
    </w:p>
    <w:p w14:paraId="43BDD045" w14:textId="5FBBFEAC" w:rsidR="000A0826" w:rsidRDefault="00C10F81">
      <w:pPr>
        <w:pStyle w:val="TOC8"/>
        <w:rPr>
          <w:rFonts w:asciiTheme="minorHAnsi" w:eastAsiaTheme="minorEastAsia" w:hAnsiTheme="minorHAnsi"/>
          <w:noProof/>
          <w:sz w:val="22"/>
          <w:szCs w:val="22"/>
          <w:lang w:eastAsia="en-AU"/>
        </w:rPr>
      </w:pPr>
      <w:hyperlink w:anchor="_Toc40454681" w:history="1">
        <w:r w:rsidR="000A0826" w:rsidRPr="007F7233">
          <w:rPr>
            <w:rStyle w:val="Hyperlink"/>
            <w:noProof/>
          </w:rPr>
          <w:t>Table 2.2 Questions where implausible responses were removed</w:t>
        </w:r>
        <w:r w:rsidR="000A0826">
          <w:rPr>
            <w:noProof/>
            <w:webHidden/>
          </w:rPr>
          <w:tab/>
        </w:r>
        <w:r w:rsidR="000A0826">
          <w:rPr>
            <w:noProof/>
            <w:webHidden/>
          </w:rPr>
          <w:fldChar w:fldCharType="begin"/>
        </w:r>
        <w:r w:rsidR="000A0826">
          <w:rPr>
            <w:noProof/>
            <w:webHidden/>
          </w:rPr>
          <w:instrText xml:space="preserve"> PAGEREF _Toc40454681 \h </w:instrText>
        </w:r>
        <w:r w:rsidR="000A0826">
          <w:rPr>
            <w:noProof/>
            <w:webHidden/>
          </w:rPr>
        </w:r>
        <w:r w:rsidR="000A0826">
          <w:rPr>
            <w:noProof/>
            <w:webHidden/>
          </w:rPr>
          <w:fldChar w:fldCharType="separate"/>
        </w:r>
        <w:r w:rsidR="00283637">
          <w:rPr>
            <w:noProof/>
            <w:webHidden/>
          </w:rPr>
          <w:t>4</w:t>
        </w:r>
        <w:r w:rsidR="000A0826">
          <w:rPr>
            <w:noProof/>
            <w:webHidden/>
          </w:rPr>
          <w:fldChar w:fldCharType="end"/>
        </w:r>
      </w:hyperlink>
    </w:p>
    <w:p w14:paraId="63EBADCC" w14:textId="2B15EEEC" w:rsidR="000A0826" w:rsidRDefault="00C10F81">
      <w:pPr>
        <w:pStyle w:val="TOC8"/>
        <w:rPr>
          <w:rFonts w:asciiTheme="minorHAnsi" w:eastAsiaTheme="minorEastAsia" w:hAnsiTheme="minorHAnsi"/>
          <w:noProof/>
          <w:sz w:val="22"/>
          <w:szCs w:val="22"/>
          <w:lang w:eastAsia="en-AU"/>
        </w:rPr>
      </w:pPr>
      <w:hyperlink w:anchor="_Toc40454682" w:history="1">
        <w:r w:rsidR="000A0826" w:rsidRPr="007F7233">
          <w:rPr>
            <w:rStyle w:val="Hyperlink"/>
            <w:noProof/>
          </w:rPr>
          <w:t>Table 3.1 Base pay</w:t>
        </w:r>
        <w:r w:rsidR="000A0826">
          <w:rPr>
            <w:noProof/>
            <w:webHidden/>
          </w:rPr>
          <w:tab/>
        </w:r>
        <w:r w:rsidR="000A0826">
          <w:rPr>
            <w:noProof/>
            <w:webHidden/>
          </w:rPr>
          <w:fldChar w:fldCharType="begin"/>
        </w:r>
        <w:r w:rsidR="000A0826">
          <w:rPr>
            <w:noProof/>
            <w:webHidden/>
          </w:rPr>
          <w:instrText xml:space="preserve"> PAGEREF _Toc40454682 \h </w:instrText>
        </w:r>
        <w:r w:rsidR="000A0826">
          <w:rPr>
            <w:noProof/>
            <w:webHidden/>
          </w:rPr>
        </w:r>
        <w:r w:rsidR="000A0826">
          <w:rPr>
            <w:noProof/>
            <w:webHidden/>
          </w:rPr>
          <w:fldChar w:fldCharType="separate"/>
        </w:r>
        <w:r w:rsidR="00283637">
          <w:rPr>
            <w:noProof/>
            <w:webHidden/>
          </w:rPr>
          <w:t>5</w:t>
        </w:r>
        <w:r w:rsidR="000A0826">
          <w:rPr>
            <w:noProof/>
            <w:webHidden/>
          </w:rPr>
          <w:fldChar w:fldCharType="end"/>
        </w:r>
      </w:hyperlink>
    </w:p>
    <w:p w14:paraId="637756EE" w14:textId="365AC4A4" w:rsidR="000A0826" w:rsidRDefault="00C10F81">
      <w:pPr>
        <w:pStyle w:val="TOC8"/>
        <w:rPr>
          <w:rFonts w:asciiTheme="minorHAnsi" w:eastAsiaTheme="minorEastAsia" w:hAnsiTheme="minorHAnsi"/>
          <w:noProof/>
          <w:sz w:val="22"/>
          <w:szCs w:val="22"/>
          <w:lang w:eastAsia="en-AU"/>
        </w:rPr>
      </w:pPr>
      <w:hyperlink w:anchor="_Toc40454683" w:history="1">
        <w:r w:rsidR="000A0826" w:rsidRPr="007F7233">
          <w:rPr>
            <w:rStyle w:val="Hyperlink"/>
            <w:noProof/>
          </w:rPr>
          <w:t>Table 3.2 Supervision costs and span of control</w:t>
        </w:r>
        <w:r w:rsidR="000A0826">
          <w:rPr>
            <w:noProof/>
            <w:webHidden/>
          </w:rPr>
          <w:tab/>
        </w:r>
        <w:r w:rsidR="000A0826">
          <w:rPr>
            <w:noProof/>
            <w:webHidden/>
          </w:rPr>
          <w:fldChar w:fldCharType="begin"/>
        </w:r>
        <w:r w:rsidR="000A0826">
          <w:rPr>
            <w:noProof/>
            <w:webHidden/>
          </w:rPr>
          <w:instrText xml:space="preserve"> PAGEREF _Toc40454683 \h </w:instrText>
        </w:r>
        <w:r w:rsidR="000A0826">
          <w:rPr>
            <w:noProof/>
            <w:webHidden/>
          </w:rPr>
        </w:r>
        <w:r w:rsidR="000A0826">
          <w:rPr>
            <w:noProof/>
            <w:webHidden/>
          </w:rPr>
          <w:fldChar w:fldCharType="separate"/>
        </w:r>
        <w:r w:rsidR="00283637">
          <w:rPr>
            <w:noProof/>
            <w:webHidden/>
          </w:rPr>
          <w:t>6</w:t>
        </w:r>
        <w:r w:rsidR="000A0826">
          <w:rPr>
            <w:noProof/>
            <w:webHidden/>
          </w:rPr>
          <w:fldChar w:fldCharType="end"/>
        </w:r>
      </w:hyperlink>
    </w:p>
    <w:p w14:paraId="744ED0E8" w14:textId="71CCF830" w:rsidR="000A0826" w:rsidRDefault="00C10F81">
      <w:pPr>
        <w:pStyle w:val="TOC8"/>
        <w:rPr>
          <w:rFonts w:asciiTheme="minorHAnsi" w:eastAsiaTheme="minorEastAsia" w:hAnsiTheme="minorHAnsi"/>
          <w:noProof/>
          <w:sz w:val="22"/>
          <w:szCs w:val="22"/>
          <w:lang w:eastAsia="en-AU"/>
        </w:rPr>
      </w:pPr>
      <w:hyperlink w:anchor="_Toc40454684" w:history="1">
        <w:r w:rsidR="000A0826" w:rsidRPr="007F7233">
          <w:rPr>
            <w:rStyle w:val="Hyperlink"/>
            <w:noProof/>
          </w:rPr>
          <w:t>Table 3.3 Span of control by size of organisation</w:t>
        </w:r>
        <w:r w:rsidR="000A0826">
          <w:rPr>
            <w:noProof/>
            <w:webHidden/>
          </w:rPr>
          <w:tab/>
        </w:r>
        <w:r w:rsidR="000A0826">
          <w:rPr>
            <w:noProof/>
            <w:webHidden/>
          </w:rPr>
          <w:fldChar w:fldCharType="begin"/>
        </w:r>
        <w:r w:rsidR="000A0826">
          <w:rPr>
            <w:noProof/>
            <w:webHidden/>
          </w:rPr>
          <w:instrText xml:space="preserve"> PAGEREF _Toc40454684 \h </w:instrText>
        </w:r>
        <w:r w:rsidR="000A0826">
          <w:rPr>
            <w:noProof/>
            <w:webHidden/>
          </w:rPr>
        </w:r>
        <w:r w:rsidR="000A0826">
          <w:rPr>
            <w:noProof/>
            <w:webHidden/>
          </w:rPr>
          <w:fldChar w:fldCharType="separate"/>
        </w:r>
        <w:r w:rsidR="00283637">
          <w:rPr>
            <w:noProof/>
            <w:webHidden/>
          </w:rPr>
          <w:t>7</w:t>
        </w:r>
        <w:r w:rsidR="000A0826">
          <w:rPr>
            <w:noProof/>
            <w:webHidden/>
          </w:rPr>
          <w:fldChar w:fldCharType="end"/>
        </w:r>
      </w:hyperlink>
    </w:p>
    <w:p w14:paraId="0EB15C6E" w14:textId="230D69AE" w:rsidR="000A0826" w:rsidRDefault="00C10F81">
      <w:pPr>
        <w:pStyle w:val="TOC8"/>
        <w:rPr>
          <w:rFonts w:asciiTheme="minorHAnsi" w:eastAsiaTheme="minorEastAsia" w:hAnsiTheme="minorHAnsi"/>
          <w:noProof/>
          <w:sz w:val="22"/>
          <w:szCs w:val="22"/>
          <w:lang w:eastAsia="en-AU"/>
        </w:rPr>
      </w:pPr>
      <w:hyperlink w:anchor="_Toc40454685" w:history="1">
        <w:r w:rsidR="000A0826" w:rsidRPr="007F7233">
          <w:rPr>
            <w:rStyle w:val="Hyperlink"/>
            <w:noProof/>
          </w:rPr>
          <w:t>Table 3.4 Shift loadings – SCHADS and non-SCHADS</w:t>
        </w:r>
        <w:r w:rsidR="000A0826">
          <w:rPr>
            <w:noProof/>
            <w:webHidden/>
          </w:rPr>
          <w:tab/>
        </w:r>
        <w:r w:rsidR="000A0826">
          <w:rPr>
            <w:noProof/>
            <w:webHidden/>
          </w:rPr>
          <w:fldChar w:fldCharType="begin"/>
        </w:r>
        <w:r w:rsidR="000A0826">
          <w:rPr>
            <w:noProof/>
            <w:webHidden/>
          </w:rPr>
          <w:instrText xml:space="preserve"> PAGEREF _Toc40454685 \h </w:instrText>
        </w:r>
        <w:r w:rsidR="000A0826">
          <w:rPr>
            <w:noProof/>
            <w:webHidden/>
          </w:rPr>
        </w:r>
        <w:r w:rsidR="000A0826">
          <w:rPr>
            <w:noProof/>
            <w:webHidden/>
          </w:rPr>
          <w:fldChar w:fldCharType="separate"/>
        </w:r>
        <w:r w:rsidR="00283637">
          <w:rPr>
            <w:noProof/>
            <w:webHidden/>
          </w:rPr>
          <w:t>8</w:t>
        </w:r>
        <w:r w:rsidR="000A0826">
          <w:rPr>
            <w:noProof/>
            <w:webHidden/>
          </w:rPr>
          <w:fldChar w:fldCharType="end"/>
        </w:r>
      </w:hyperlink>
    </w:p>
    <w:p w14:paraId="45339D16" w14:textId="7D34AA87" w:rsidR="000A0826" w:rsidRDefault="00C10F81">
      <w:pPr>
        <w:pStyle w:val="TOC8"/>
        <w:rPr>
          <w:rFonts w:asciiTheme="minorHAnsi" w:eastAsiaTheme="minorEastAsia" w:hAnsiTheme="minorHAnsi"/>
          <w:noProof/>
          <w:sz w:val="22"/>
          <w:szCs w:val="22"/>
          <w:lang w:eastAsia="en-AU"/>
        </w:rPr>
      </w:pPr>
      <w:hyperlink w:anchor="_Toc40454686" w:history="1">
        <w:r w:rsidR="000A0826" w:rsidRPr="007F7233">
          <w:rPr>
            <w:rStyle w:val="Hyperlink"/>
            <w:noProof/>
          </w:rPr>
          <w:t>Table 3.5 Shift loadings, percentiles – SCHADS and non-SCHADS</w:t>
        </w:r>
        <w:r w:rsidR="000A0826">
          <w:rPr>
            <w:noProof/>
            <w:webHidden/>
          </w:rPr>
          <w:tab/>
        </w:r>
        <w:r w:rsidR="000A0826">
          <w:rPr>
            <w:noProof/>
            <w:webHidden/>
          </w:rPr>
          <w:fldChar w:fldCharType="begin"/>
        </w:r>
        <w:r w:rsidR="000A0826">
          <w:rPr>
            <w:noProof/>
            <w:webHidden/>
          </w:rPr>
          <w:instrText xml:space="preserve"> PAGEREF _Toc40454686 \h </w:instrText>
        </w:r>
        <w:r w:rsidR="000A0826">
          <w:rPr>
            <w:noProof/>
            <w:webHidden/>
          </w:rPr>
        </w:r>
        <w:r w:rsidR="000A0826">
          <w:rPr>
            <w:noProof/>
            <w:webHidden/>
          </w:rPr>
          <w:fldChar w:fldCharType="separate"/>
        </w:r>
        <w:r w:rsidR="00283637">
          <w:rPr>
            <w:noProof/>
            <w:webHidden/>
          </w:rPr>
          <w:t>8</w:t>
        </w:r>
        <w:r w:rsidR="000A0826">
          <w:rPr>
            <w:noProof/>
            <w:webHidden/>
          </w:rPr>
          <w:fldChar w:fldCharType="end"/>
        </w:r>
      </w:hyperlink>
    </w:p>
    <w:p w14:paraId="681E2683" w14:textId="6A6D0F91" w:rsidR="000A0826" w:rsidRDefault="00C10F81">
      <w:pPr>
        <w:pStyle w:val="TOC8"/>
        <w:rPr>
          <w:rFonts w:asciiTheme="minorHAnsi" w:eastAsiaTheme="minorEastAsia" w:hAnsiTheme="minorHAnsi"/>
          <w:noProof/>
          <w:sz w:val="22"/>
          <w:szCs w:val="22"/>
          <w:lang w:eastAsia="en-AU"/>
        </w:rPr>
      </w:pPr>
      <w:hyperlink w:anchor="_Toc40454687" w:history="1">
        <w:r w:rsidR="000A0826" w:rsidRPr="007F7233">
          <w:rPr>
            <w:rStyle w:val="Hyperlink"/>
            <w:noProof/>
          </w:rPr>
          <w:t>Table 3.6 Shift loadings – non-SCHADS only</w:t>
        </w:r>
        <w:r w:rsidR="000A0826">
          <w:rPr>
            <w:noProof/>
            <w:webHidden/>
          </w:rPr>
          <w:tab/>
        </w:r>
        <w:r w:rsidR="000A0826">
          <w:rPr>
            <w:noProof/>
            <w:webHidden/>
          </w:rPr>
          <w:fldChar w:fldCharType="begin"/>
        </w:r>
        <w:r w:rsidR="000A0826">
          <w:rPr>
            <w:noProof/>
            <w:webHidden/>
          </w:rPr>
          <w:instrText xml:space="preserve"> PAGEREF _Toc40454687 \h </w:instrText>
        </w:r>
        <w:r w:rsidR="000A0826">
          <w:rPr>
            <w:noProof/>
            <w:webHidden/>
          </w:rPr>
        </w:r>
        <w:r w:rsidR="000A0826">
          <w:rPr>
            <w:noProof/>
            <w:webHidden/>
          </w:rPr>
          <w:fldChar w:fldCharType="separate"/>
        </w:r>
        <w:r w:rsidR="00283637">
          <w:rPr>
            <w:noProof/>
            <w:webHidden/>
          </w:rPr>
          <w:t>8</w:t>
        </w:r>
        <w:r w:rsidR="000A0826">
          <w:rPr>
            <w:noProof/>
            <w:webHidden/>
          </w:rPr>
          <w:fldChar w:fldCharType="end"/>
        </w:r>
      </w:hyperlink>
    </w:p>
    <w:p w14:paraId="67B86167" w14:textId="5F30AF8B" w:rsidR="000A0826" w:rsidRDefault="00C10F81">
      <w:pPr>
        <w:pStyle w:val="TOC8"/>
        <w:rPr>
          <w:rFonts w:asciiTheme="minorHAnsi" w:eastAsiaTheme="minorEastAsia" w:hAnsiTheme="minorHAnsi"/>
          <w:noProof/>
          <w:sz w:val="22"/>
          <w:szCs w:val="22"/>
          <w:lang w:eastAsia="en-AU"/>
        </w:rPr>
      </w:pPr>
      <w:hyperlink w:anchor="_Toc40454688" w:history="1">
        <w:r w:rsidR="000A0826" w:rsidRPr="007F7233">
          <w:rPr>
            <w:rStyle w:val="Hyperlink"/>
            <w:noProof/>
          </w:rPr>
          <w:t>Table 3.7 Shift loadings, percentiles - non-SCHADS only</w:t>
        </w:r>
        <w:r w:rsidR="000A0826">
          <w:rPr>
            <w:noProof/>
            <w:webHidden/>
          </w:rPr>
          <w:tab/>
        </w:r>
        <w:r w:rsidR="000A0826">
          <w:rPr>
            <w:noProof/>
            <w:webHidden/>
          </w:rPr>
          <w:fldChar w:fldCharType="begin"/>
        </w:r>
        <w:r w:rsidR="000A0826">
          <w:rPr>
            <w:noProof/>
            <w:webHidden/>
          </w:rPr>
          <w:instrText xml:space="preserve"> PAGEREF _Toc40454688 \h </w:instrText>
        </w:r>
        <w:r w:rsidR="000A0826">
          <w:rPr>
            <w:noProof/>
            <w:webHidden/>
          </w:rPr>
        </w:r>
        <w:r w:rsidR="000A0826">
          <w:rPr>
            <w:noProof/>
            <w:webHidden/>
          </w:rPr>
          <w:fldChar w:fldCharType="separate"/>
        </w:r>
        <w:r w:rsidR="00283637">
          <w:rPr>
            <w:noProof/>
            <w:webHidden/>
          </w:rPr>
          <w:t>9</w:t>
        </w:r>
        <w:r w:rsidR="000A0826">
          <w:rPr>
            <w:noProof/>
            <w:webHidden/>
          </w:rPr>
          <w:fldChar w:fldCharType="end"/>
        </w:r>
      </w:hyperlink>
    </w:p>
    <w:p w14:paraId="277DA940" w14:textId="3859721A" w:rsidR="000A0826" w:rsidRDefault="00C10F81">
      <w:pPr>
        <w:pStyle w:val="TOC8"/>
        <w:rPr>
          <w:rFonts w:asciiTheme="minorHAnsi" w:eastAsiaTheme="minorEastAsia" w:hAnsiTheme="minorHAnsi"/>
          <w:noProof/>
          <w:sz w:val="22"/>
          <w:szCs w:val="22"/>
          <w:lang w:eastAsia="en-AU"/>
        </w:rPr>
      </w:pPr>
      <w:hyperlink w:anchor="_Toc40454689" w:history="1">
        <w:r w:rsidR="000A0826" w:rsidRPr="007F7233">
          <w:rPr>
            <w:rStyle w:val="Hyperlink"/>
            <w:noProof/>
          </w:rPr>
          <w:t>Table 3.8 Leave allowances</w:t>
        </w:r>
        <w:r w:rsidR="000A0826">
          <w:rPr>
            <w:noProof/>
            <w:webHidden/>
          </w:rPr>
          <w:tab/>
        </w:r>
        <w:r w:rsidR="000A0826">
          <w:rPr>
            <w:noProof/>
            <w:webHidden/>
          </w:rPr>
          <w:fldChar w:fldCharType="begin"/>
        </w:r>
        <w:r w:rsidR="000A0826">
          <w:rPr>
            <w:noProof/>
            <w:webHidden/>
          </w:rPr>
          <w:instrText xml:space="preserve"> PAGEREF _Toc40454689 \h </w:instrText>
        </w:r>
        <w:r w:rsidR="000A0826">
          <w:rPr>
            <w:noProof/>
            <w:webHidden/>
          </w:rPr>
        </w:r>
        <w:r w:rsidR="000A0826">
          <w:rPr>
            <w:noProof/>
            <w:webHidden/>
          </w:rPr>
          <w:fldChar w:fldCharType="separate"/>
        </w:r>
        <w:r w:rsidR="00283637">
          <w:rPr>
            <w:noProof/>
            <w:webHidden/>
          </w:rPr>
          <w:t>10</w:t>
        </w:r>
        <w:r w:rsidR="000A0826">
          <w:rPr>
            <w:noProof/>
            <w:webHidden/>
          </w:rPr>
          <w:fldChar w:fldCharType="end"/>
        </w:r>
      </w:hyperlink>
    </w:p>
    <w:p w14:paraId="1AD2C741" w14:textId="3F67C429" w:rsidR="000A0826" w:rsidRDefault="00C10F81">
      <w:pPr>
        <w:pStyle w:val="TOC8"/>
        <w:rPr>
          <w:rFonts w:asciiTheme="minorHAnsi" w:eastAsiaTheme="minorEastAsia" w:hAnsiTheme="minorHAnsi"/>
          <w:noProof/>
          <w:sz w:val="22"/>
          <w:szCs w:val="22"/>
          <w:lang w:eastAsia="en-AU"/>
        </w:rPr>
      </w:pPr>
      <w:hyperlink w:anchor="_Toc40454690" w:history="1">
        <w:r w:rsidR="000A0826" w:rsidRPr="007F7233">
          <w:rPr>
            <w:rStyle w:val="Hyperlink"/>
            <w:noProof/>
          </w:rPr>
          <w:t>Table 3.9 Salary on-costs</w:t>
        </w:r>
        <w:r w:rsidR="000A0826">
          <w:rPr>
            <w:noProof/>
            <w:webHidden/>
          </w:rPr>
          <w:tab/>
        </w:r>
        <w:r w:rsidR="000A0826">
          <w:rPr>
            <w:noProof/>
            <w:webHidden/>
          </w:rPr>
          <w:fldChar w:fldCharType="begin"/>
        </w:r>
        <w:r w:rsidR="000A0826">
          <w:rPr>
            <w:noProof/>
            <w:webHidden/>
          </w:rPr>
          <w:instrText xml:space="preserve"> PAGEREF _Toc40454690 \h </w:instrText>
        </w:r>
        <w:r w:rsidR="000A0826">
          <w:rPr>
            <w:noProof/>
            <w:webHidden/>
          </w:rPr>
        </w:r>
        <w:r w:rsidR="000A0826">
          <w:rPr>
            <w:noProof/>
            <w:webHidden/>
          </w:rPr>
          <w:fldChar w:fldCharType="separate"/>
        </w:r>
        <w:r w:rsidR="00283637">
          <w:rPr>
            <w:noProof/>
            <w:webHidden/>
          </w:rPr>
          <w:t>11</w:t>
        </w:r>
        <w:r w:rsidR="000A0826">
          <w:rPr>
            <w:noProof/>
            <w:webHidden/>
          </w:rPr>
          <w:fldChar w:fldCharType="end"/>
        </w:r>
      </w:hyperlink>
    </w:p>
    <w:p w14:paraId="2332DBA3" w14:textId="633AE49B" w:rsidR="000A0826" w:rsidRDefault="00C10F81">
      <w:pPr>
        <w:pStyle w:val="TOC8"/>
        <w:rPr>
          <w:rFonts w:asciiTheme="minorHAnsi" w:eastAsiaTheme="minorEastAsia" w:hAnsiTheme="minorHAnsi"/>
          <w:noProof/>
          <w:sz w:val="22"/>
          <w:szCs w:val="22"/>
          <w:lang w:eastAsia="en-AU"/>
        </w:rPr>
      </w:pPr>
      <w:hyperlink w:anchor="_Toc40454691" w:history="1">
        <w:r w:rsidR="000A0826" w:rsidRPr="007F7233">
          <w:rPr>
            <w:rStyle w:val="Hyperlink"/>
            <w:noProof/>
          </w:rPr>
          <w:t>Table 3.10 Permanent employment rate and casual loading</w:t>
        </w:r>
        <w:r w:rsidR="000A0826">
          <w:rPr>
            <w:noProof/>
            <w:webHidden/>
          </w:rPr>
          <w:tab/>
        </w:r>
        <w:r w:rsidR="000A0826">
          <w:rPr>
            <w:noProof/>
            <w:webHidden/>
          </w:rPr>
          <w:fldChar w:fldCharType="begin"/>
        </w:r>
        <w:r w:rsidR="000A0826">
          <w:rPr>
            <w:noProof/>
            <w:webHidden/>
          </w:rPr>
          <w:instrText xml:space="preserve"> PAGEREF _Toc40454691 \h </w:instrText>
        </w:r>
        <w:r w:rsidR="000A0826">
          <w:rPr>
            <w:noProof/>
            <w:webHidden/>
          </w:rPr>
        </w:r>
        <w:r w:rsidR="000A0826">
          <w:rPr>
            <w:noProof/>
            <w:webHidden/>
          </w:rPr>
          <w:fldChar w:fldCharType="separate"/>
        </w:r>
        <w:r w:rsidR="00283637">
          <w:rPr>
            <w:noProof/>
            <w:webHidden/>
          </w:rPr>
          <w:t>12</w:t>
        </w:r>
        <w:r w:rsidR="000A0826">
          <w:rPr>
            <w:noProof/>
            <w:webHidden/>
          </w:rPr>
          <w:fldChar w:fldCharType="end"/>
        </w:r>
      </w:hyperlink>
    </w:p>
    <w:p w14:paraId="7120B994" w14:textId="52D63E8B" w:rsidR="000A0826" w:rsidRDefault="00C10F81">
      <w:pPr>
        <w:pStyle w:val="TOC8"/>
        <w:rPr>
          <w:rFonts w:asciiTheme="minorHAnsi" w:eastAsiaTheme="minorEastAsia" w:hAnsiTheme="minorHAnsi"/>
          <w:noProof/>
          <w:sz w:val="22"/>
          <w:szCs w:val="22"/>
          <w:lang w:eastAsia="en-AU"/>
        </w:rPr>
      </w:pPr>
      <w:hyperlink w:anchor="_Toc40454692" w:history="1">
        <w:r w:rsidR="000A0826" w:rsidRPr="007F7233">
          <w:rPr>
            <w:rStyle w:val="Hyperlink"/>
            <w:noProof/>
          </w:rPr>
          <w:t>Table 3.11 Permanent employment rate by size of organisation</w:t>
        </w:r>
        <w:r w:rsidR="000A0826">
          <w:rPr>
            <w:noProof/>
            <w:webHidden/>
          </w:rPr>
          <w:tab/>
        </w:r>
        <w:r w:rsidR="000A0826">
          <w:rPr>
            <w:noProof/>
            <w:webHidden/>
          </w:rPr>
          <w:fldChar w:fldCharType="begin"/>
        </w:r>
        <w:r w:rsidR="000A0826">
          <w:rPr>
            <w:noProof/>
            <w:webHidden/>
          </w:rPr>
          <w:instrText xml:space="preserve"> PAGEREF _Toc40454692 \h </w:instrText>
        </w:r>
        <w:r w:rsidR="000A0826">
          <w:rPr>
            <w:noProof/>
            <w:webHidden/>
          </w:rPr>
        </w:r>
        <w:r w:rsidR="000A0826">
          <w:rPr>
            <w:noProof/>
            <w:webHidden/>
          </w:rPr>
          <w:fldChar w:fldCharType="separate"/>
        </w:r>
        <w:r w:rsidR="00283637">
          <w:rPr>
            <w:noProof/>
            <w:webHidden/>
          </w:rPr>
          <w:t>13</w:t>
        </w:r>
        <w:r w:rsidR="000A0826">
          <w:rPr>
            <w:noProof/>
            <w:webHidden/>
          </w:rPr>
          <w:fldChar w:fldCharType="end"/>
        </w:r>
      </w:hyperlink>
    </w:p>
    <w:p w14:paraId="0F7C59E8" w14:textId="6F90C89E" w:rsidR="000A0826" w:rsidRDefault="00C10F81">
      <w:pPr>
        <w:pStyle w:val="TOC8"/>
        <w:rPr>
          <w:rFonts w:asciiTheme="minorHAnsi" w:eastAsiaTheme="minorEastAsia" w:hAnsiTheme="minorHAnsi"/>
          <w:noProof/>
          <w:sz w:val="22"/>
          <w:szCs w:val="22"/>
          <w:lang w:eastAsia="en-AU"/>
        </w:rPr>
      </w:pPr>
      <w:hyperlink w:anchor="_Toc40454693" w:history="1">
        <w:r w:rsidR="000A0826" w:rsidRPr="007F7233">
          <w:rPr>
            <w:rStyle w:val="Hyperlink"/>
            <w:noProof/>
          </w:rPr>
          <w:t>Table 3.12 Utilisation</w:t>
        </w:r>
        <w:r w:rsidR="000A0826">
          <w:rPr>
            <w:noProof/>
            <w:webHidden/>
          </w:rPr>
          <w:tab/>
        </w:r>
        <w:r w:rsidR="000A0826">
          <w:rPr>
            <w:noProof/>
            <w:webHidden/>
          </w:rPr>
          <w:fldChar w:fldCharType="begin"/>
        </w:r>
        <w:r w:rsidR="000A0826">
          <w:rPr>
            <w:noProof/>
            <w:webHidden/>
          </w:rPr>
          <w:instrText xml:space="preserve"> PAGEREF _Toc40454693 \h </w:instrText>
        </w:r>
        <w:r w:rsidR="000A0826">
          <w:rPr>
            <w:noProof/>
            <w:webHidden/>
          </w:rPr>
        </w:r>
        <w:r w:rsidR="000A0826">
          <w:rPr>
            <w:noProof/>
            <w:webHidden/>
          </w:rPr>
          <w:fldChar w:fldCharType="separate"/>
        </w:r>
        <w:r w:rsidR="00283637">
          <w:rPr>
            <w:noProof/>
            <w:webHidden/>
          </w:rPr>
          <w:t>14</w:t>
        </w:r>
        <w:r w:rsidR="000A0826">
          <w:rPr>
            <w:noProof/>
            <w:webHidden/>
          </w:rPr>
          <w:fldChar w:fldCharType="end"/>
        </w:r>
      </w:hyperlink>
    </w:p>
    <w:p w14:paraId="3091C591" w14:textId="1A54F94B" w:rsidR="000A0826" w:rsidRDefault="00C10F81">
      <w:pPr>
        <w:pStyle w:val="TOC8"/>
        <w:rPr>
          <w:rFonts w:asciiTheme="minorHAnsi" w:eastAsiaTheme="minorEastAsia" w:hAnsiTheme="minorHAnsi"/>
          <w:noProof/>
          <w:sz w:val="22"/>
          <w:szCs w:val="22"/>
          <w:lang w:eastAsia="en-AU"/>
        </w:rPr>
      </w:pPr>
      <w:hyperlink w:anchor="_Toc40454694" w:history="1">
        <w:r w:rsidR="000A0826" w:rsidRPr="007F7233">
          <w:rPr>
            <w:rStyle w:val="Hyperlink"/>
            <w:noProof/>
          </w:rPr>
          <w:t>Table 3.13 Utilisation in small organisations</w:t>
        </w:r>
        <w:r w:rsidR="000A0826">
          <w:rPr>
            <w:noProof/>
            <w:webHidden/>
          </w:rPr>
          <w:tab/>
        </w:r>
        <w:r w:rsidR="000A0826">
          <w:rPr>
            <w:noProof/>
            <w:webHidden/>
          </w:rPr>
          <w:fldChar w:fldCharType="begin"/>
        </w:r>
        <w:r w:rsidR="000A0826">
          <w:rPr>
            <w:noProof/>
            <w:webHidden/>
          </w:rPr>
          <w:instrText xml:space="preserve"> PAGEREF _Toc40454694 \h </w:instrText>
        </w:r>
        <w:r w:rsidR="000A0826">
          <w:rPr>
            <w:noProof/>
            <w:webHidden/>
          </w:rPr>
        </w:r>
        <w:r w:rsidR="000A0826">
          <w:rPr>
            <w:noProof/>
            <w:webHidden/>
          </w:rPr>
          <w:fldChar w:fldCharType="separate"/>
        </w:r>
        <w:r w:rsidR="00283637">
          <w:rPr>
            <w:noProof/>
            <w:webHidden/>
          </w:rPr>
          <w:t>15</w:t>
        </w:r>
        <w:r w:rsidR="000A0826">
          <w:rPr>
            <w:noProof/>
            <w:webHidden/>
          </w:rPr>
          <w:fldChar w:fldCharType="end"/>
        </w:r>
      </w:hyperlink>
    </w:p>
    <w:p w14:paraId="63550C90" w14:textId="30BC53BC" w:rsidR="000A0826" w:rsidRDefault="00C10F81">
      <w:pPr>
        <w:pStyle w:val="TOC8"/>
        <w:rPr>
          <w:rFonts w:asciiTheme="minorHAnsi" w:eastAsiaTheme="minorEastAsia" w:hAnsiTheme="minorHAnsi"/>
          <w:noProof/>
          <w:sz w:val="22"/>
          <w:szCs w:val="22"/>
          <w:lang w:eastAsia="en-AU"/>
        </w:rPr>
      </w:pPr>
      <w:hyperlink w:anchor="_Toc40454695" w:history="1">
        <w:r w:rsidR="000A0826" w:rsidRPr="007F7233">
          <w:rPr>
            <w:rStyle w:val="Hyperlink"/>
            <w:noProof/>
          </w:rPr>
          <w:t>Table 3.14 Utilisation in medium organisations</w:t>
        </w:r>
        <w:r w:rsidR="000A0826">
          <w:rPr>
            <w:noProof/>
            <w:webHidden/>
          </w:rPr>
          <w:tab/>
        </w:r>
        <w:r w:rsidR="000A0826">
          <w:rPr>
            <w:noProof/>
            <w:webHidden/>
          </w:rPr>
          <w:fldChar w:fldCharType="begin"/>
        </w:r>
        <w:r w:rsidR="000A0826">
          <w:rPr>
            <w:noProof/>
            <w:webHidden/>
          </w:rPr>
          <w:instrText xml:space="preserve"> PAGEREF _Toc40454695 \h </w:instrText>
        </w:r>
        <w:r w:rsidR="000A0826">
          <w:rPr>
            <w:noProof/>
            <w:webHidden/>
          </w:rPr>
        </w:r>
        <w:r w:rsidR="000A0826">
          <w:rPr>
            <w:noProof/>
            <w:webHidden/>
          </w:rPr>
          <w:fldChar w:fldCharType="separate"/>
        </w:r>
        <w:r w:rsidR="00283637">
          <w:rPr>
            <w:noProof/>
            <w:webHidden/>
          </w:rPr>
          <w:t>16</w:t>
        </w:r>
        <w:r w:rsidR="000A0826">
          <w:rPr>
            <w:noProof/>
            <w:webHidden/>
          </w:rPr>
          <w:fldChar w:fldCharType="end"/>
        </w:r>
      </w:hyperlink>
    </w:p>
    <w:p w14:paraId="50CFD5B1" w14:textId="45867CFD" w:rsidR="000A0826" w:rsidRDefault="00C10F81">
      <w:pPr>
        <w:pStyle w:val="TOC8"/>
        <w:rPr>
          <w:rFonts w:asciiTheme="minorHAnsi" w:eastAsiaTheme="minorEastAsia" w:hAnsiTheme="minorHAnsi"/>
          <w:noProof/>
          <w:sz w:val="22"/>
          <w:szCs w:val="22"/>
          <w:lang w:eastAsia="en-AU"/>
        </w:rPr>
      </w:pPr>
      <w:hyperlink w:anchor="_Toc40454696" w:history="1">
        <w:r w:rsidR="000A0826" w:rsidRPr="007F7233">
          <w:rPr>
            <w:rStyle w:val="Hyperlink"/>
            <w:noProof/>
          </w:rPr>
          <w:t>Table 3.15 Utilisation in large organisations</w:t>
        </w:r>
        <w:r w:rsidR="000A0826">
          <w:rPr>
            <w:noProof/>
            <w:webHidden/>
          </w:rPr>
          <w:tab/>
        </w:r>
        <w:r w:rsidR="000A0826">
          <w:rPr>
            <w:noProof/>
            <w:webHidden/>
          </w:rPr>
          <w:fldChar w:fldCharType="begin"/>
        </w:r>
        <w:r w:rsidR="000A0826">
          <w:rPr>
            <w:noProof/>
            <w:webHidden/>
          </w:rPr>
          <w:instrText xml:space="preserve"> PAGEREF _Toc40454696 \h </w:instrText>
        </w:r>
        <w:r w:rsidR="000A0826">
          <w:rPr>
            <w:noProof/>
            <w:webHidden/>
          </w:rPr>
        </w:r>
        <w:r w:rsidR="000A0826">
          <w:rPr>
            <w:noProof/>
            <w:webHidden/>
          </w:rPr>
          <w:fldChar w:fldCharType="separate"/>
        </w:r>
        <w:r w:rsidR="00283637">
          <w:rPr>
            <w:noProof/>
            <w:webHidden/>
          </w:rPr>
          <w:t>16</w:t>
        </w:r>
        <w:r w:rsidR="000A0826">
          <w:rPr>
            <w:noProof/>
            <w:webHidden/>
          </w:rPr>
          <w:fldChar w:fldCharType="end"/>
        </w:r>
      </w:hyperlink>
    </w:p>
    <w:p w14:paraId="5045B7EC" w14:textId="68D27461" w:rsidR="000A0826" w:rsidRDefault="00C10F81">
      <w:pPr>
        <w:pStyle w:val="TOC8"/>
        <w:rPr>
          <w:rFonts w:asciiTheme="minorHAnsi" w:eastAsiaTheme="minorEastAsia" w:hAnsiTheme="minorHAnsi"/>
          <w:noProof/>
          <w:sz w:val="22"/>
          <w:szCs w:val="22"/>
          <w:lang w:eastAsia="en-AU"/>
        </w:rPr>
      </w:pPr>
      <w:hyperlink w:anchor="_Toc40454697" w:history="1">
        <w:r w:rsidR="000A0826" w:rsidRPr="007F7233">
          <w:rPr>
            <w:rStyle w:val="Hyperlink"/>
            <w:noProof/>
          </w:rPr>
          <w:t>Table 3.16 Overheads and implied margins</w:t>
        </w:r>
        <w:r w:rsidR="000A0826">
          <w:rPr>
            <w:noProof/>
            <w:webHidden/>
          </w:rPr>
          <w:tab/>
        </w:r>
        <w:r w:rsidR="000A0826">
          <w:rPr>
            <w:noProof/>
            <w:webHidden/>
          </w:rPr>
          <w:fldChar w:fldCharType="begin"/>
        </w:r>
        <w:r w:rsidR="000A0826">
          <w:rPr>
            <w:noProof/>
            <w:webHidden/>
          </w:rPr>
          <w:instrText xml:space="preserve"> PAGEREF _Toc40454697 \h </w:instrText>
        </w:r>
        <w:r w:rsidR="000A0826">
          <w:rPr>
            <w:noProof/>
            <w:webHidden/>
          </w:rPr>
        </w:r>
        <w:r w:rsidR="000A0826">
          <w:rPr>
            <w:noProof/>
            <w:webHidden/>
          </w:rPr>
          <w:fldChar w:fldCharType="separate"/>
        </w:r>
        <w:r w:rsidR="00283637">
          <w:rPr>
            <w:noProof/>
            <w:webHidden/>
          </w:rPr>
          <w:t>16</w:t>
        </w:r>
        <w:r w:rsidR="000A0826">
          <w:rPr>
            <w:noProof/>
            <w:webHidden/>
          </w:rPr>
          <w:fldChar w:fldCharType="end"/>
        </w:r>
      </w:hyperlink>
    </w:p>
    <w:p w14:paraId="1DADC3A9" w14:textId="3F142ABD" w:rsidR="000A0826" w:rsidRDefault="00C10F81">
      <w:pPr>
        <w:pStyle w:val="TOC8"/>
        <w:rPr>
          <w:rFonts w:asciiTheme="minorHAnsi" w:eastAsiaTheme="minorEastAsia" w:hAnsiTheme="minorHAnsi"/>
          <w:noProof/>
          <w:sz w:val="22"/>
          <w:szCs w:val="22"/>
          <w:lang w:eastAsia="en-AU"/>
        </w:rPr>
      </w:pPr>
      <w:hyperlink w:anchor="_Toc40454698" w:history="1">
        <w:r w:rsidR="000A0826" w:rsidRPr="007F7233">
          <w:rPr>
            <w:rStyle w:val="Hyperlink"/>
            <w:noProof/>
          </w:rPr>
          <w:t>Table 3.17 Share of overheads categories</w:t>
        </w:r>
        <w:r w:rsidR="000A0826">
          <w:rPr>
            <w:noProof/>
            <w:webHidden/>
          </w:rPr>
          <w:tab/>
        </w:r>
        <w:r w:rsidR="000A0826">
          <w:rPr>
            <w:noProof/>
            <w:webHidden/>
          </w:rPr>
          <w:fldChar w:fldCharType="begin"/>
        </w:r>
        <w:r w:rsidR="000A0826">
          <w:rPr>
            <w:noProof/>
            <w:webHidden/>
          </w:rPr>
          <w:instrText xml:space="preserve"> PAGEREF _Toc40454698 \h </w:instrText>
        </w:r>
        <w:r w:rsidR="000A0826">
          <w:rPr>
            <w:noProof/>
            <w:webHidden/>
          </w:rPr>
        </w:r>
        <w:r w:rsidR="000A0826">
          <w:rPr>
            <w:noProof/>
            <w:webHidden/>
          </w:rPr>
          <w:fldChar w:fldCharType="separate"/>
        </w:r>
        <w:r w:rsidR="00283637">
          <w:rPr>
            <w:noProof/>
            <w:webHidden/>
          </w:rPr>
          <w:t>18</w:t>
        </w:r>
        <w:r w:rsidR="000A0826">
          <w:rPr>
            <w:noProof/>
            <w:webHidden/>
          </w:rPr>
          <w:fldChar w:fldCharType="end"/>
        </w:r>
      </w:hyperlink>
    </w:p>
    <w:p w14:paraId="2E37E597" w14:textId="53BF09D4" w:rsidR="000A0826" w:rsidRDefault="00C10F81">
      <w:pPr>
        <w:pStyle w:val="TOC8"/>
        <w:rPr>
          <w:rFonts w:asciiTheme="minorHAnsi" w:eastAsiaTheme="minorEastAsia" w:hAnsiTheme="minorHAnsi"/>
          <w:noProof/>
          <w:sz w:val="22"/>
          <w:szCs w:val="22"/>
          <w:lang w:eastAsia="en-AU"/>
        </w:rPr>
      </w:pPr>
      <w:hyperlink w:anchor="_Toc40454699" w:history="1">
        <w:r w:rsidR="000A0826" w:rsidRPr="007F7233">
          <w:rPr>
            <w:rStyle w:val="Hyperlink"/>
            <w:noProof/>
          </w:rPr>
          <w:t>Table 3.18 Overheads and implied margins in small organisations</w:t>
        </w:r>
        <w:r w:rsidR="000A0826">
          <w:rPr>
            <w:noProof/>
            <w:webHidden/>
          </w:rPr>
          <w:tab/>
        </w:r>
        <w:r w:rsidR="000A0826">
          <w:rPr>
            <w:noProof/>
            <w:webHidden/>
          </w:rPr>
          <w:fldChar w:fldCharType="begin"/>
        </w:r>
        <w:r w:rsidR="000A0826">
          <w:rPr>
            <w:noProof/>
            <w:webHidden/>
          </w:rPr>
          <w:instrText xml:space="preserve"> PAGEREF _Toc40454699 \h </w:instrText>
        </w:r>
        <w:r w:rsidR="000A0826">
          <w:rPr>
            <w:noProof/>
            <w:webHidden/>
          </w:rPr>
        </w:r>
        <w:r w:rsidR="000A0826">
          <w:rPr>
            <w:noProof/>
            <w:webHidden/>
          </w:rPr>
          <w:fldChar w:fldCharType="separate"/>
        </w:r>
        <w:r w:rsidR="00283637">
          <w:rPr>
            <w:noProof/>
            <w:webHidden/>
          </w:rPr>
          <w:t>18</w:t>
        </w:r>
        <w:r w:rsidR="000A0826">
          <w:rPr>
            <w:noProof/>
            <w:webHidden/>
          </w:rPr>
          <w:fldChar w:fldCharType="end"/>
        </w:r>
      </w:hyperlink>
    </w:p>
    <w:p w14:paraId="316F985D" w14:textId="1D4BC548" w:rsidR="000A0826" w:rsidRDefault="00C10F81">
      <w:pPr>
        <w:pStyle w:val="TOC8"/>
        <w:rPr>
          <w:rFonts w:asciiTheme="minorHAnsi" w:eastAsiaTheme="minorEastAsia" w:hAnsiTheme="minorHAnsi"/>
          <w:noProof/>
          <w:sz w:val="22"/>
          <w:szCs w:val="22"/>
          <w:lang w:eastAsia="en-AU"/>
        </w:rPr>
      </w:pPr>
      <w:hyperlink w:anchor="_Toc40454700" w:history="1">
        <w:r w:rsidR="000A0826" w:rsidRPr="007F7233">
          <w:rPr>
            <w:rStyle w:val="Hyperlink"/>
            <w:noProof/>
          </w:rPr>
          <w:t>Table 3.19 Overheads and implied margins in medium organisations</w:t>
        </w:r>
        <w:r w:rsidR="000A0826">
          <w:rPr>
            <w:noProof/>
            <w:webHidden/>
          </w:rPr>
          <w:tab/>
        </w:r>
        <w:r w:rsidR="000A0826">
          <w:rPr>
            <w:noProof/>
            <w:webHidden/>
          </w:rPr>
          <w:fldChar w:fldCharType="begin"/>
        </w:r>
        <w:r w:rsidR="000A0826">
          <w:rPr>
            <w:noProof/>
            <w:webHidden/>
          </w:rPr>
          <w:instrText xml:space="preserve"> PAGEREF _Toc40454700 \h </w:instrText>
        </w:r>
        <w:r w:rsidR="000A0826">
          <w:rPr>
            <w:noProof/>
            <w:webHidden/>
          </w:rPr>
        </w:r>
        <w:r w:rsidR="000A0826">
          <w:rPr>
            <w:noProof/>
            <w:webHidden/>
          </w:rPr>
          <w:fldChar w:fldCharType="separate"/>
        </w:r>
        <w:r w:rsidR="00283637">
          <w:rPr>
            <w:noProof/>
            <w:webHidden/>
          </w:rPr>
          <w:t>18</w:t>
        </w:r>
        <w:r w:rsidR="000A0826">
          <w:rPr>
            <w:noProof/>
            <w:webHidden/>
          </w:rPr>
          <w:fldChar w:fldCharType="end"/>
        </w:r>
      </w:hyperlink>
    </w:p>
    <w:p w14:paraId="2134FEB4" w14:textId="5E8887B9" w:rsidR="000A0826" w:rsidRDefault="00C10F81">
      <w:pPr>
        <w:pStyle w:val="TOC8"/>
        <w:rPr>
          <w:rFonts w:asciiTheme="minorHAnsi" w:eastAsiaTheme="minorEastAsia" w:hAnsiTheme="minorHAnsi"/>
          <w:noProof/>
          <w:sz w:val="22"/>
          <w:szCs w:val="22"/>
          <w:lang w:eastAsia="en-AU"/>
        </w:rPr>
      </w:pPr>
      <w:hyperlink w:anchor="_Toc40454701" w:history="1">
        <w:r w:rsidR="000A0826" w:rsidRPr="007F7233">
          <w:rPr>
            <w:rStyle w:val="Hyperlink"/>
            <w:noProof/>
          </w:rPr>
          <w:t>Table 3.20 Overheads and implied margins in large organisations</w:t>
        </w:r>
        <w:r w:rsidR="000A0826">
          <w:rPr>
            <w:noProof/>
            <w:webHidden/>
          </w:rPr>
          <w:tab/>
        </w:r>
        <w:r w:rsidR="000A0826">
          <w:rPr>
            <w:noProof/>
            <w:webHidden/>
          </w:rPr>
          <w:fldChar w:fldCharType="begin"/>
        </w:r>
        <w:r w:rsidR="000A0826">
          <w:rPr>
            <w:noProof/>
            <w:webHidden/>
          </w:rPr>
          <w:instrText xml:space="preserve"> PAGEREF _Toc40454701 \h </w:instrText>
        </w:r>
        <w:r w:rsidR="000A0826">
          <w:rPr>
            <w:noProof/>
            <w:webHidden/>
          </w:rPr>
        </w:r>
        <w:r w:rsidR="000A0826">
          <w:rPr>
            <w:noProof/>
            <w:webHidden/>
          </w:rPr>
          <w:fldChar w:fldCharType="separate"/>
        </w:r>
        <w:r w:rsidR="00283637">
          <w:rPr>
            <w:noProof/>
            <w:webHidden/>
          </w:rPr>
          <w:t>18</w:t>
        </w:r>
        <w:r w:rsidR="000A0826">
          <w:rPr>
            <w:noProof/>
            <w:webHidden/>
          </w:rPr>
          <w:fldChar w:fldCharType="end"/>
        </w:r>
      </w:hyperlink>
    </w:p>
    <w:p w14:paraId="091C0DD8" w14:textId="40E1D156" w:rsidR="000A0826" w:rsidRDefault="00C10F81">
      <w:pPr>
        <w:pStyle w:val="TOC8"/>
        <w:rPr>
          <w:rFonts w:asciiTheme="minorHAnsi" w:eastAsiaTheme="minorEastAsia" w:hAnsiTheme="minorHAnsi"/>
          <w:noProof/>
          <w:sz w:val="22"/>
          <w:szCs w:val="22"/>
          <w:lang w:eastAsia="en-AU"/>
        </w:rPr>
      </w:pPr>
      <w:hyperlink w:anchor="_Toc40454702" w:history="1">
        <w:r w:rsidR="000A0826" w:rsidRPr="007F7233">
          <w:rPr>
            <w:rStyle w:val="Hyperlink"/>
            <w:noProof/>
          </w:rPr>
          <w:t>Table 4.1 Correlation coefficient results</w:t>
        </w:r>
        <w:r w:rsidR="000A0826">
          <w:rPr>
            <w:noProof/>
            <w:webHidden/>
          </w:rPr>
          <w:tab/>
        </w:r>
        <w:r w:rsidR="000A0826">
          <w:rPr>
            <w:noProof/>
            <w:webHidden/>
          </w:rPr>
          <w:fldChar w:fldCharType="begin"/>
        </w:r>
        <w:r w:rsidR="000A0826">
          <w:rPr>
            <w:noProof/>
            <w:webHidden/>
          </w:rPr>
          <w:instrText xml:space="preserve"> PAGEREF _Toc40454702 \h </w:instrText>
        </w:r>
        <w:r w:rsidR="000A0826">
          <w:rPr>
            <w:noProof/>
            <w:webHidden/>
          </w:rPr>
        </w:r>
        <w:r w:rsidR="000A0826">
          <w:rPr>
            <w:noProof/>
            <w:webHidden/>
          </w:rPr>
          <w:fldChar w:fldCharType="separate"/>
        </w:r>
        <w:r w:rsidR="00283637">
          <w:rPr>
            <w:noProof/>
            <w:webHidden/>
          </w:rPr>
          <w:t>20</w:t>
        </w:r>
        <w:r w:rsidR="000A0826">
          <w:rPr>
            <w:noProof/>
            <w:webHidden/>
          </w:rPr>
          <w:fldChar w:fldCharType="end"/>
        </w:r>
      </w:hyperlink>
    </w:p>
    <w:p w14:paraId="144BD1C4" w14:textId="5C5F8151" w:rsidR="000A0826" w:rsidRDefault="00C10F81">
      <w:pPr>
        <w:pStyle w:val="TOC8"/>
        <w:rPr>
          <w:rFonts w:asciiTheme="minorHAnsi" w:eastAsiaTheme="minorEastAsia" w:hAnsiTheme="minorHAnsi"/>
          <w:noProof/>
          <w:sz w:val="22"/>
          <w:szCs w:val="22"/>
          <w:lang w:eastAsia="en-AU"/>
        </w:rPr>
      </w:pPr>
      <w:hyperlink w:anchor="_Toc40454703" w:history="1">
        <w:r w:rsidR="000A0826" w:rsidRPr="007F7233">
          <w:rPr>
            <w:rStyle w:val="Hyperlink"/>
            <w:noProof/>
          </w:rPr>
          <w:t>Table 4.2 Results of chi square analysis</w:t>
        </w:r>
        <w:r w:rsidR="000A0826">
          <w:rPr>
            <w:noProof/>
            <w:webHidden/>
          </w:rPr>
          <w:tab/>
        </w:r>
        <w:r w:rsidR="000A0826">
          <w:rPr>
            <w:noProof/>
            <w:webHidden/>
          </w:rPr>
          <w:fldChar w:fldCharType="begin"/>
        </w:r>
        <w:r w:rsidR="000A0826">
          <w:rPr>
            <w:noProof/>
            <w:webHidden/>
          </w:rPr>
          <w:instrText xml:space="preserve"> PAGEREF _Toc40454703 \h </w:instrText>
        </w:r>
        <w:r w:rsidR="000A0826">
          <w:rPr>
            <w:noProof/>
            <w:webHidden/>
          </w:rPr>
        </w:r>
        <w:r w:rsidR="000A0826">
          <w:rPr>
            <w:noProof/>
            <w:webHidden/>
          </w:rPr>
          <w:fldChar w:fldCharType="separate"/>
        </w:r>
        <w:r w:rsidR="00283637">
          <w:rPr>
            <w:noProof/>
            <w:webHidden/>
          </w:rPr>
          <w:t>21</w:t>
        </w:r>
        <w:r w:rsidR="000A0826">
          <w:rPr>
            <w:noProof/>
            <w:webHidden/>
          </w:rPr>
          <w:fldChar w:fldCharType="end"/>
        </w:r>
      </w:hyperlink>
    </w:p>
    <w:p w14:paraId="3BBB0BD1" w14:textId="74AC8970" w:rsidR="000A0826" w:rsidRDefault="00C10F81">
      <w:pPr>
        <w:pStyle w:val="TOC8"/>
        <w:rPr>
          <w:rFonts w:asciiTheme="minorHAnsi" w:eastAsiaTheme="minorEastAsia" w:hAnsiTheme="minorHAnsi"/>
          <w:noProof/>
          <w:sz w:val="22"/>
          <w:szCs w:val="22"/>
          <w:lang w:eastAsia="en-AU"/>
        </w:rPr>
      </w:pPr>
      <w:hyperlink w:anchor="_Toc40454704" w:history="1">
        <w:r w:rsidR="000A0826" w:rsidRPr="007F7233">
          <w:rPr>
            <w:rStyle w:val="Hyperlink"/>
            <w:noProof/>
          </w:rPr>
          <w:t>Table C.1 Percentiles (PC), standard deviation, skew and kurtosis</w:t>
        </w:r>
        <w:r w:rsidR="000A0826">
          <w:rPr>
            <w:noProof/>
            <w:webHidden/>
          </w:rPr>
          <w:tab/>
        </w:r>
        <w:r w:rsidR="000A0826">
          <w:rPr>
            <w:noProof/>
            <w:webHidden/>
          </w:rPr>
          <w:fldChar w:fldCharType="begin"/>
        </w:r>
        <w:r w:rsidR="000A0826">
          <w:rPr>
            <w:noProof/>
            <w:webHidden/>
          </w:rPr>
          <w:instrText xml:space="preserve"> PAGEREF _Toc40454704 \h </w:instrText>
        </w:r>
        <w:r w:rsidR="000A0826">
          <w:rPr>
            <w:noProof/>
            <w:webHidden/>
          </w:rPr>
        </w:r>
        <w:r w:rsidR="000A0826">
          <w:rPr>
            <w:noProof/>
            <w:webHidden/>
          </w:rPr>
          <w:fldChar w:fldCharType="separate"/>
        </w:r>
        <w:r w:rsidR="00283637">
          <w:rPr>
            <w:noProof/>
            <w:webHidden/>
          </w:rPr>
          <w:t>31</w:t>
        </w:r>
        <w:r w:rsidR="000A0826">
          <w:rPr>
            <w:noProof/>
            <w:webHidden/>
          </w:rPr>
          <w:fldChar w:fldCharType="end"/>
        </w:r>
      </w:hyperlink>
    </w:p>
    <w:p w14:paraId="11C132EF" w14:textId="106AA253" w:rsidR="000A0826" w:rsidRDefault="00C10F81">
      <w:pPr>
        <w:pStyle w:val="TOC8"/>
        <w:rPr>
          <w:rFonts w:asciiTheme="minorHAnsi" w:eastAsiaTheme="minorEastAsia" w:hAnsiTheme="minorHAnsi"/>
          <w:noProof/>
          <w:sz w:val="22"/>
          <w:szCs w:val="22"/>
          <w:lang w:eastAsia="en-AU"/>
        </w:rPr>
      </w:pPr>
      <w:hyperlink w:anchor="_Toc40454705" w:history="1">
        <w:r w:rsidR="000A0826" w:rsidRPr="007F7233">
          <w:rPr>
            <w:rStyle w:val="Hyperlink"/>
            <w:noProof/>
          </w:rPr>
          <w:t>Table D.1 Overheads and utilisation,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_Toc40454705 \h </w:instrText>
        </w:r>
        <w:r w:rsidR="000A0826">
          <w:rPr>
            <w:noProof/>
            <w:webHidden/>
          </w:rPr>
        </w:r>
        <w:r w:rsidR="000A0826">
          <w:rPr>
            <w:noProof/>
            <w:webHidden/>
          </w:rPr>
          <w:fldChar w:fldCharType="separate"/>
        </w:r>
        <w:r w:rsidR="00283637">
          <w:rPr>
            <w:noProof/>
            <w:webHidden/>
          </w:rPr>
          <w:t>40</w:t>
        </w:r>
        <w:r w:rsidR="000A0826">
          <w:rPr>
            <w:noProof/>
            <w:webHidden/>
          </w:rPr>
          <w:fldChar w:fldCharType="end"/>
        </w:r>
      </w:hyperlink>
    </w:p>
    <w:p w14:paraId="3BCBC4C7" w14:textId="2BBD24CA" w:rsidR="000A0826" w:rsidRDefault="00C10F81">
      <w:pPr>
        <w:pStyle w:val="TOC8"/>
        <w:rPr>
          <w:rFonts w:asciiTheme="minorHAnsi" w:eastAsiaTheme="minorEastAsia" w:hAnsiTheme="minorHAnsi"/>
          <w:noProof/>
          <w:sz w:val="22"/>
          <w:szCs w:val="22"/>
          <w:lang w:eastAsia="en-AU"/>
        </w:rPr>
      </w:pPr>
      <w:hyperlink w:anchor="_Toc40454706" w:history="1">
        <w:r w:rsidR="000A0826" w:rsidRPr="007F7233">
          <w:rPr>
            <w:rStyle w:val="Hyperlink"/>
            <w:noProof/>
          </w:rPr>
          <w:t>Table D.2 Utilisation and permanent employment rate,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_Toc40454706 \h </w:instrText>
        </w:r>
        <w:r w:rsidR="000A0826">
          <w:rPr>
            <w:noProof/>
            <w:webHidden/>
          </w:rPr>
        </w:r>
        <w:r w:rsidR="000A0826">
          <w:rPr>
            <w:noProof/>
            <w:webHidden/>
          </w:rPr>
          <w:fldChar w:fldCharType="separate"/>
        </w:r>
        <w:r w:rsidR="00283637">
          <w:rPr>
            <w:noProof/>
            <w:webHidden/>
          </w:rPr>
          <w:t>41</w:t>
        </w:r>
        <w:r w:rsidR="000A0826">
          <w:rPr>
            <w:noProof/>
            <w:webHidden/>
          </w:rPr>
          <w:fldChar w:fldCharType="end"/>
        </w:r>
      </w:hyperlink>
    </w:p>
    <w:p w14:paraId="1348EADA" w14:textId="34022AD3" w:rsidR="000A0826" w:rsidRDefault="00C10F81">
      <w:pPr>
        <w:pStyle w:val="TOC8"/>
        <w:rPr>
          <w:rFonts w:asciiTheme="minorHAnsi" w:eastAsiaTheme="minorEastAsia" w:hAnsiTheme="minorHAnsi"/>
          <w:noProof/>
          <w:sz w:val="22"/>
          <w:szCs w:val="22"/>
          <w:lang w:eastAsia="en-AU"/>
        </w:rPr>
      </w:pPr>
      <w:hyperlink w:anchor="_Toc40454707" w:history="1">
        <w:r w:rsidR="000A0826" w:rsidRPr="007F7233">
          <w:rPr>
            <w:rStyle w:val="Hyperlink"/>
            <w:noProof/>
          </w:rPr>
          <w:t>Table D.3 Utilisation and span of control,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_Toc40454707 \h </w:instrText>
        </w:r>
        <w:r w:rsidR="000A0826">
          <w:rPr>
            <w:noProof/>
            <w:webHidden/>
          </w:rPr>
        </w:r>
        <w:r w:rsidR="000A0826">
          <w:rPr>
            <w:noProof/>
            <w:webHidden/>
          </w:rPr>
          <w:fldChar w:fldCharType="separate"/>
        </w:r>
        <w:r w:rsidR="00283637">
          <w:rPr>
            <w:noProof/>
            <w:webHidden/>
          </w:rPr>
          <w:t>42</w:t>
        </w:r>
        <w:r w:rsidR="000A0826">
          <w:rPr>
            <w:noProof/>
            <w:webHidden/>
          </w:rPr>
          <w:fldChar w:fldCharType="end"/>
        </w:r>
      </w:hyperlink>
    </w:p>
    <w:p w14:paraId="6F665787" w14:textId="575F35DE" w:rsidR="000A0826" w:rsidRDefault="00C10F81">
      <w:pPr>
        <w:pStyle w:val="TOC8"/>
        <w:rPr>
          <w:rFonts w:asciiTheme="minorHAnsi" w:eastAsiaTheme="minorEastAsia" w:hAnsiTheme="minorHAnsi"/>
          <w:noProof/>
          <w:sz w:val="22"/>
          <w:szCs w:val="22"/>
          <w:lang w:eastAsia="en-AU"/>
        </w:rPr>
      </w:pPr>
      <w:hyperlink w:anchor="_Toc40454708" w:history="1">
        <w:r w:rsidR="000A0826" w:rsidRPr="007F7233">
          <w:rPr>
            <w:rStyle w:val="Hyperlink"/>
            <w:noProof/>
          </w:rPr>
          <w:t>Table D.4 Utilisation and implied margins,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_Toc40454708 \h </w:instrText>
        </w:r>
        <w:r w:rsidR="000A0826">
          <w:rPr>
            <w:noProof/>
            <w:webHidden/>
          </w:rPr>
        </w:r>
        <w:r w:rsidR="000A0826">
          <w:rPr>
            <w:noProof/>
            <w:webHidden/>
          </w:rPr>
          <w:fldChar w:fldCharType="separate"/>
        </w:r>
        <w:r w:rsidR="00283637">
          <w:rPr>
            <w:noProof/>
            <w:webHidden/>
          </w:rPr>
          <w:t>43</w:t>
        </w:r>
        <w:r w:rsidR="000A0826">
          <w:rPr>
            <w:noProof/>
            <w:webHidden/>
          </w:rPr>
          <w:fldChar w:fldCharType="end"/>
        </w:r>
      </w:hyperlink>
    </w:p>
    <w:p w14:paraId="4438C7EF" w14:textId="45D6864F" w:rsidR="000A0826" w:rsidRDefault="00C10F81">
      <w:pPr>
        <w:pStyle w:val="TOC8"/>
        <w:rPr>
          <w:rFonts w:asciiTheme="minorHAnsi" w:eastAsiaTheme="minorEastAsia" w:hAnsiTheme="minorHAnsi"/>
          <w:noProof/>
          <w:sz w:val="22"/>
          <w:szCs w:val="22"/>
          <w:lang w:eastAsia="en-AU"/>
        </w:rPr>
      </w:pPr>
      <w:hyperlink w:anchor="_Toc40454709" w:history="1">
        <w:r w:rsidR="000A0826" w:rsidRPr="007F7233">
          <w:rPr>
            <w:rStyle w:val="Hyperlink"/>
            <w:noProof/>
          </w:rPr>
          <w:t>Table D.5 Overheads and implied margins,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_Toc40454709 \h </w:instrText>
        </w:r>
        <w:r w:rsidR="000A0826">
          <w:rPr>
            <w:noProof/>
            <w:webHidden/>
          </w:rPr>
        </w:r>
        <w:r w:rsidR="000A0826">
          <w:rPr>
            <w:noProof/>
            <w:webHidden/>
          </w:rPr>
          <w:fldChar w:fldCharType="separate"/>
        </w:r>
        <w:r w:rsidR="00283637">
          <w:rPr>
            <w:noProof/>
            <w:webHidden/>
          </w:rPr>
          <w:t>44</w:t>
        </w:r>
        <w:r w:rsidR="000A0826">
          <w:rPr>
            <w:noProof/>
            <w:webHidden/>
          </w:rPr>
          <w:fldChar w:fldCharType="end"/>
        </w:r>
      </w:hyperlink>
    </w:p>
    <w:p w14:paraId="515AF942" w14:textId="4F45D268" w:rsidR="000A0826" w:rsidRDefault="00C10F81">
      <w:pPr>
        <w:pStyle w:val="TOC8"/>
        <w:rPr>
          <w:rFonts w:asciiTheme="minorHAnsi" w:eastAsiaTheme="minorEastAsia" w:hAnsiTheme="minorHAnsi"/>
          <w:noProof/>
          <w:sz w:val="22"/>
          <w:szCs w:val="22"/>
          <w:lang w:eastAsia="en-AU"/>
        </w:rPr>
      </w:pPr>
      <w:hyperlink w:anchor="_Toc40454710" w:history="1">
        <w:r w:rsidR="000A0826" w:rsidRPr="007F7233">
          <w:rPr>
            <w:rStyle w:val="Hyperlink"/>
            <w:noProof/>
          </w:rPr>
          <w:t>Table D.6 Overheads and span of control,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_Toc40454710 \h </w:instrText>
        </w:r>
        <w:r w:rsidR="000A0826">
          <w:rPr>
            <w:noProof/>
            <w:webHidden/>
          </w:rPr>
        </w:r>
        <w:r w:rsidR="000A0826">
          <w:rPr>
            <w:noProof/>
            <w:webHidden/>
          </w:rPr>
          <w:fldChar w:fldCharType="separate"/>
        </w:r>
        <w:r w:rsidR="00283637">
          <w:rPr>
            <w:noProof/>
            <w:webHidden/>
          </w:rPr>
          <w:t>45</w:t>
        </w:r>
        <w:r w:rsidR="000A0826">
          <w:rPr>
            <w:noProof/>
            <w:webHidden/>
          </w:rPr>
          <w:fldChar w:fldCharType="end"/>
        </w:r>
      </w:hyperlink>
    </w:p>
    <w:p w14:paraId="2A194639" w14:textId="2416E2B6" w:rsidR="000A0826" w:rsidRDefault="00C10F81">
      <w:pPr>
        <w:pStyle w:val="TOC8"/>
        <w:rPr>
          <w:rFonts w:asciiTheme="minorHAnsi" w:eastAsiaTheme="minorEastAsia" w:hAnsiTheme="minorHAnsi"/>
          <w:noProof/>
          <w:sz w:val="22"/>
          <w:szCs w:val="22"/>
          <w:lang w:eastAsia="en-AU"/>
        </w:rPr>
      </w:pPr>
      <w:hyperlink w:anchor="_Toc40454711" w:history="1">
        <w:r w:rsidR="000A0826" w:rsidRPr="007F7233">
          <w:rPr>
            <w:rStyle w:val="Hyperlink"/>
            <w:noProof/>
          </w:rPr>
          <w:t>Table D.7 Overheads and permanent employment rate,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_Toc40454711 \h </w:instrText>
        </w:r>
        <w:r w:rsidR="000A0826">
          <w:rPr>
            <w:noProof/>
            <w:webHidden/>
          </w:rPr>
        </w:r>
        <w:r w:rsidR="000A0826">
          <w:rPr>
            <w:noProof/>
            <w:webHidden/>
          </w:rPr>
          <w:fldChar w:fldCharType="separate"/>
        </w:r>
        <w:r w:rsidR="00283637">
          <w:rPr>
            <w:noProof/>
            <w:webHidden/>
          </w:rPr>
          <w:t>46</w:t>
        </w:r>
        <w:r w:rsidR="000A0826">
          <w:rPr>
            <w:noProof/>
            <w:webHidden/>
          </w:rPr>
          <w:fldChar w:fldCharType="end"/>
        </w:r>
      </w:hyperlink>
    </w:p>
    <w:p w14:paraId="26A7CC1B" w14:textId="456706BB" w:rsidR="000A0826" w:rsidRDefault="00C10F81">
      <w:pPr>
        <w:pStyle w:val="TOC8"/>
        <w:rPr>
          <w:rFonts w:asciiTheme="minorHAnsi" w:eastAsiaTheme="minorEastAsia" w:hAnsiTheme="minorHAnsi"/>
          <w:noProof/>
          <w:sz w:val="22"/>
          <w:szCs w:val="22"/>
          <w:lang w:eastAsia="en-AU"/>
        </w:rPr>
      </w:pPr>
      <w:hyperlink w:anchor="_Toc40454712" w:history="1">
        <w:r w:rsidR="000A0826" w:rsidRPr="007F7233">
          <w:rPr>
            <w:rStyle w:val="Hyperlink"/>
            <w:noProof/>
          </w:rPr>
          <w:t>Table D.8 Permanent employment rate and span of control,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_Toc40454712 \h </w:instrText>
        </w:r>
        <w:r w:rsidR="000A0826">
          <w:rPr>
            <w:noProof/>
            <w:webHidden/>
          </w:rPr>
        </w:r>
        <w:r w:rsidR="000A0826">
          <w:rPr>
            <w:noProof/>
            <w:webHidden/>
          </w:rPr>
          <w:fldChar w:fldCharType="separate"/>
        </w:r>
        <w:r w:rsidR="00283637">
          <w:rPr>
            <w:noProof/>
            <w:webHidden/>
          </w:rPr>
          <w:t>47</w:t>
        </w:r>
        <w:r w:rsidR="000A0826">
          <w:rPr>
            <w:noProof/>
            <w:webHidden/>
          </w:rPr>
          <w:fldChar w:fldCharType="end"/>
        </w:r>
      </w:hyperlink>
    </w:p>
    <w:p w14:paraId="0E4DE1A8" w14:textId="0E9AD732" w:rsidR="000A0826" w:rsidRDefault="00C10F81">
      <w:pPr>
        <w:pStyle w:val="TOC8"/>
        <w:rPr>
          <w:rFonts w:asciiTheme="minorHAnsi" w:eastAsiaTheme="minorEastAsia" w:hAnsiTheme="minorHAnsi"/>
          <w:noProof/>
          <w:sz w:val="22"/>
          <w:szCs w:val="22"/>
          <w:lang w:eastAsia="en-AU"/>
        </w:rPr>
      </w:pPr>
      <w:hyperlink w:anchor="_Toc40454713" w:history="1">
        <w:r w:rsidR="000A0826" w:rsidRPr="007F7233">
          <w:rPr>
            <w:rStyle w:val="Hyperlink"/>
            <w:noProof/>
          </w:rPr>
          <w:t>Table D.9 Permanent employment rate and implied margins,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_Toc40454713 \h </w:instrText>
        </w:r>
        <w:r w:rsidR="000A0826">
          <w:rPr>
            <w:noProof/>
            <w:webHidden/>
          </w:rPr>
        </w:r>
        <w:r w:rsidR="000A0826">
          <w:rPr>
            <w:noProof/>
            <w:webHidden/>
          </w:rPr>
          <w:fldChar w:fldCharType="separate"/>
        </w:r>
        <w:r w:rsidR="00283637">
          <w:rPr>
            <w:noProof/>
            <w:webHidden/>
          </w:rPr>
          <w:t>48</w:t>
        </w:r>
        <w:r w:rsidR="000A0826">
          <w:rPr>
            <w:noProof/>
            <w:webHidden/>
          </w:rPr>
          <w:fldChar w:fldCharType="end"/>
        </w:r>
      </w:hyperlink>
    </w:p>
    <w:p w14:paraId="5CD6A632" w14:textId="22653D5F" w:rsidR="000A0826" w:rsidRDefault="00C10F81">
      <w:pPr>
        <w:pStyle w:val="TOC8"/>
        <w:rPr>
          <w:rFonts w:asciiTheme="minorHAnsi" w:eastAsiaTheme="minorEastAsia" w:hAnsiTheme="minorHAnsi"/>
          <w:noProof/>
          <w:sz w:val="22"/>
          <w:szCs w:val="22"/>
          <w:lang w:eastAsia="en-AU"/>
        </w:rPr>
      </w:pPr>
      <w:hyperlink w:anchor="_Toc40454714" w:history="1">
        <w:r w:rsidR="000A0826" w:rsidRPr="007F7233">
          <w:rPr>
            <w:rStyle w:val="Hyperlink"/>
            <w:noProof/>
          </w:rPr>
          <w:t>Table D.10 Span of control and implied margins,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_Toc40454714 \h </w:instrText>
        </w:r>
        <w:r w:rsidR="000A0826">
          <w:rPr>
            <w:noProof/>
            <w:webHidden/>
          </w:rPr>
        </w:r>
        <w:r w:rsidR="000A0826">
          <w:rPr>
            <w:noProof/>
            <w:webHidden/>
          </w:rPr>
          <w:fldChar w:fldCharType="separate"/>
        </w:r>
        <w:r w:rsidR="00283637">
          <w:rPr>
            <w:noProof/>
            <w:webHidden/>
          </w:rPr>
          <w:t>49</w:t>
        </w:r>
        <w:r w:rsidR="000A0826">
          <w:rPr>
            <w:noProof/>
            <w:webHidden/>
          </w:rPr>
          <w:fldChar w:fldCharType="end"/>
        </w:r>
      </w:hyperlink>
    </w:p>
    <w:p w14:paraId="31B2C6E6" w14:textId="3A6240E3" w:rsidR="000A0826" w:rsidRDefault="00C10F81">
      <w:pPr>
        <w:pStyle w:val="TOC8"/>
        <w:rPr>
          <w:rFonts w:asciiTheme="minorHAnsi" w:eastAsiaTheme="minorEastAsia" w:hAnsiTheme="minorHAnsi"/>
          <w:noProof/>
          <w:sz w:val="22"/>
          <w:szCs w:val="22"/>
          <w:lang w:eastAsia="en-AU"/>
        </w:rPr>
      </w:pPr>
      <w:hyperlink w:anchor="_Toc40454715" w:history="1">
        <w:r w:rsidR="000A0826" w:rsidRPr="007F7233">
          <w:rPr>
            <w:rStyle w:val="Hyperlink"/>
            <w:noProof/>
          </w:rPr>
          <w:t>Table D.11 Staff remuneration and implied margins,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_Toc40454715 \h </w:instrText>
        </w:r>
        <w:r w:rsidR="000A0826">
          <w:rPr>
            <w:noProof/>
            <w:webHidden/>
          </w:rPr>
        </w:r>
        <w:r w:rsidR="000A0826">
          <w:rPr>
            <w:noProof/>
            <w:webHidden/>
          </w:rPr>
          <w:fldChar w:fldCharType="separate"/>
        </w:r>
        <w:r w:rsidR="00283637">
          <w:rPr>
            <w:noProof/>
            <w:webHidden/>
          </w:rPr>
          <w:t>50</w:t>
        </w:r>
        <w:r w:rsidR="000A0826">
          <w:rPr>
            <w:noProof/>
            <w:webHidden/>
          </w:rPr>
          <w:fldChar w:fldCharType="end"/>
        </w:r>
      </w:hyperlink>
    </w:p>
    <w:p w14:paraId="32852D43" w14:textId="0FC53007" w:rsidR="000A0826" w:rsidRDefault="00C10F81">
      <w:pPr>
        <w:pStyle w:val="TOC8"/>
        <w:rPr>
          <w:rFonts w:asciiTheme="minorHAnsi" w:eastAsiaTheme="minorEastAsia" w:hAnsiTheme="minorHAnsi"/>
          <w:noProof/>
          <w:sz w:val="22"/>
          <w:szCs w:val="22"/>
          <w:lang w:eastAsia="en-AU"/>
        </w:rPr>
      </w:pPr>
      <w:hyperlink w:anchor="_Toc40454716" w:history="1">
        <w:r w:rsidR="000A0826" w:rsidRPr="007F7233">
          <w:rPr>
            <w:rStyle w:val="Hyperlink"/>
            <w:noProof/>
          </w:rPr>
          <w:t>Table D.12 Staff remuneration and permanent employment rate,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_Toc40454716 \h </w:instrText>
        </w:r>
        <w:r w:rsidR="000A0826">
          <w:rPr>
            <w:noProof/>
            <w:webHidden/>
          </w:rPr>
        </w:r>
        <w:r w:rsidR="000A0826">
          <w:rPr>
            <w:noProof/>
            <w:webHidden/>
          </w:rPr>
          <w:fldChar w:fldCharType="separate"/>
        </w:r>
        <w:r w:rsidR="00283637">
          <w:rPr>
            <w:noProof/>
            <w:webHidden/>
          </w:rPr>
          <w:t>51</w:t>
        </w:r>
        <w:r w:rsidR="000A0826">
          <w:rPr>
            <w:noProof/>
            <w:webHidden/>
          </w:rPr>
          <w:fldChar w:fldCharType="end"/>
        </w:r>
      </w:hyperlink>
    </w:p>
    <w:p w14:paraId="3A2636A9" w14:textId="4389568D" w:rsidR="000A0826" w:rsidRDefault="00C10F81">
      <w:pPr>
        <w:pStyle w:val="TOC8"/>
        <w:rPr>
          <w:rFonts w:asciiTheme="minorHAnsi" w:eastAsiaTheme="minorEastAsia" w:hAnsiTheme="minorHAnsi"/>
          <w:noProof/>
          <w:sz w:val="22"/>
          <w:szCs w:val="22"/>
          <w:lang w:eastAsia="en-AU"/>
        </w:rPr>
      </w:pPr>
      <w:hyperlink w:anchor="_Toc40454717" w:history="1">
        <w:r w:rsidR="000A0826" w:rsidRPr="007F7233">
          <w:rPr>
            <w:rStyle w:val="Hyperlink"/>
            <w:noProof/>
          </w:rPr>
          <w:t>Table D.13 Staff remuneration and overheads,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_Toc40454717 \h </w:instrText>
        </w:r>
        <w:r w:rsidR="000A0826">
          <w:rPr>
            <w:noProof/>
            <w:webHidden/>
          </w:rPr>
        </w:r>
        <w:r w:rsidR="000A0826">
          <w:rPr>
            <w:noProof/>
            <w:webHidden/>
          </w:rPr>
          <w:fldChar w:fldCharType="separate"/>
        </w:r>
        <w:r w:rsidR="00283637">
          <w:rPr>
            <w:noProof/>
            <w:webHidden/>
          </w:rPr>
          <w:t>52</w:t>
        </w:r>
        <w:r w:rsidR="000A0826">
          <w:rPr>
            <w:noProof/>
            <w:webHidden/>
          </w:rPr>
          <w:fldChar w:fldCharType="end"/>
        </w:r>
      </w:hyperlink>
    </w:p>
    <w:p w14:paraId="670BCAA2" w14:textId="18D91705" w:rsidR="000A0826" w:rsidRDefault="00C10F81">
      <w:pPr>
        <w:pStyle w:val="TOC8"/>
        <w:rPr>
          <w:rFonts w:asciiTheme="minorHAnsi" w:eastAsiaTheme="minorEastAsia" w:hAnsiTheme="minorHAnsi"/>
          <w:noProof/>
          <w:sz w:val="22"/>
          <w:szCs w:val="22"/>
          <w:lang w:eastAsia="en-AU"/>
        </w:rPr>
      </w:pPr>
      <w:hyperlink w:anchor="_Toc40454718" w:history="1">
        <w:r w:rsidR="000A0826" w:rsidRPr="007F7233">
          <w:rPr>
            <w:rStyle w:val="Hyperlink"/>
            <w:noProof/>
          </w:rPr>
          <w:t>Table D.14 Staff remuneration and utilisation,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_Toc40454718 \h </w:instrText>
        </w:r>
        <w:r w:rsidR="000A0826">
          <w:rPr>
            <w:noProof/>
            <w:webHidden/>
          </w:rPr>
        </w:r>
        <w:r w:rsidR="000A0826">
          <w:rPr>
            <w:noProof/>
            <w:webHidden/>
          </w:rPr>
          <w:fldChar w:fldCharType="separate"/>
        </w:r>
        <w:r w:rsidR="00283637">
          <w:rPr>
            <w:noProof/>
            <w:webHidden/>
          </w:rPr>
          <w:t>53</w:t>
        </w:r>
        <w:r w:rsidR="000A0826">
          <w:rPr>
            <w:noProof/>
            <w:webHidden/>
          </w:rPr>
          <w:fldChar w:fldCharType="end"/>
        </w:r>
      </w:hyperlink>
    </w:p>
    <w:p w14:paraId="4A698F81" w14:textId="6060DA92" w:rsidR="000A0826" w:rsidRDefault="00C10F81">
      <w:pPr>
        <w:pStyle w:val="TOC8"/>
        <w:rPr>
          <w:rFonts w:asciiTheme="minorHAnsi" w:eastAsiaTheme="minorEastAsia" w:hAnsiTheme="minorHAnsi"/>
          <w:noProof/>
          <w:sz w:val="22"/>
          <w:szCs w:val="22"/>
          <w:lang w:eastAsia="en-AU"/>
        </w:rPr>
      </w:pPr>
      <w:hyperlink w:anchor="_Toc40454719" w:history="1">
        <w:r w:rsidR="000A0826" w:rsidRPr="007F7233">
          <w:rPr>
            <w:rStyle w:val="Hyperlink"/>
            <w:noProof/>
          </w:rPr>
          <w:t>Table D.15 Staff remuneration and span of control, cross</w:t>
        </w:r>
        <w:r w:rsidR="000A0826" w:rsidRPr="007F7233">
          <w:rPr>
            <w:rStyle w:val="Hyperlink"/>
            <w:noProof/>
          </w:rPr>
          <w:noBreakHyphen/>
          <w:t>tabulated distribution</w:t>
        </w:r>
        <w:r w:rsidR="000A0826">
          <w:rPr>
            <w:noProof/>
            <w:webHidden/>
          </w:rPr>
          <w:tab/>
        </w:r>
        <w:r w:rsidR="000A0826">
          <w:rPr>
            <w:noProof/>
            <w:webHidden/>
          </w:rPr>
          <w:fldChar w:fldCharType="begin"/>
        </w:r>
        <w:r w:rsidR="000A0826">
          <w:rPr>
            <w:noProof/>
            <w:webHidden/>
          </w:rPr>
          <w:instrText xml:space="preserve"> PAGEREF _Toc40454719 \h </w:instrText>
        </w:r>
        <w:r w:rsidR="000A0826">
          <w:rPr>
            <w:noProof/>
            <w:webHidden/>
          </w:rPr>
        </w:r>
        <w:r w:rsidR="000A0826">
          <w:rPr>
            <w:noProof/>
            <w:webHidden/>
          </w:rPr>
          <w:fldChar w:fldCharType="separate"/>
        </w:r>
        <w:r w:rsidR="00283637">
          <w:rPr>
            <w:noProof/>
            <w:webHidden/>
          </w:rPr>
          <w:t>54</w:t>
        </w:r>
        <w:r w:rsidR="000A0826">
          <w:rPr>
            <w:noProof/>
            <w:webHidden/>
          </w:rPr>
          <w:fldChar w:fldCharType="end"/>
        </w:r>
      </w:hyperlink>
    </w:p>
    <w:p w14:paraId="772D7B42" w14:textId="51C0B48D" w:rsidR="00446242" w:rsidRDefault="00FC6122" w:rsidP="00FC6122">
      <w:r>
        <w:fldChar w:fldCharType="end"/>
      </w:r>
    </w:p>
    <w:p w14:paraId="52A04916" w14:textId="77777777" w:rsidR="00446242" w:rsidRDefault="00446242">
      <w:pPr>
        <w:spacing w:after="0"/>
      </w:pPr>
      <w:r>
        <w:br w:type="page"/>
      </w:r>
    </w:p>
    <w:p w14:paraId="0DBAB5D3" w14:textId="623DA5F8" w:rsidR="00446242" w:rsidRDefault="00446242" w:rsidP="00446242">
      <w:pPr>
        <w:pStyle w:val="TOCHeading"/>
      </w:pPr>
      <w:r>
        <w:lastRenderedPageBreak/>
        <w:t>Charts</w:t>
      </w:r>
    </w:p>
    <w:p w14:paraId="50442A87" w14:textId="73A9EB49" w:rsidR="000A0826" w:rsidRDefault="00446242">
      <w:pPr>
        <w:pStyle w:val="TOC8"/>
        <w:rPr>
          <w:rFonts w:asciiTheme="minorHAnsi" w:eastAsiaTheme="minorEastAsia" w:hAnsiTheme="minorHAnsi"/>
          <w:noProof/>
          <w:sz w:val="22"/>
          <w:szCs w:val="22"/>
          <w:lang w:eastAsia="en-AU"/>
        </w:rPr>
      </w:pPr>
      <w:r>
        <w:fldChar w:fldCharType="begin"/>
      </w:r>
      <w:r>
        <w:instrText xml:space="preserve"> TOC \h \z \t "Contents title,1,Caption_Chart,8,Exec Chart Caption,8,Appendix Chart Caption,8" </w:instrText>
      </w:r>
      <w:r>
        <w:fldChar w:fldCharType="separate"/>
      </w:r>
      <w:hyperlink w:anchor="_Toc40454720" w:history="1">
        <w:r w:rsidR="000A0826" w:rsidRPr="00CB40CE">
          <w:rPr>
            <w:rStyle w:val="Hyperlink"/>
            <w:noProof/>
          </w:rPr>
          <w:t>Chart 3.1 Box plot (LHS) and PDF (RHS) of DSW base pay responses</w:t>
        </w:r>
        <w:r w:rsidR="000A0826">
          <w:rPr>
            <w:noProof/>
            <w:webHidden/>
          </w:rPr>
          <w:tab/>
        </w:r>
        <w:r w:rsidR="000A0826">
          <w:rPr>
            <w:noProof/>
            <w:webHidden/>
          </w:rPr>
          <w:fldChar w:fldCharType="begin"/>
        </w:r>
        <w:r w:rsidR="000A0826">
          <w:rPr>
            <w:noProof/>
            <w:webHidden/>
          </w:rPr>
          <w:instrText xml:space="preserve"> PAGEREF _Toc40454720 \h </w:instrText>
        </w:r>
        <w:r w:rsidR="000A0826">
          <w:rPr>
            <w:noProof/>
            <w:webHidden/>
          </w:rPr>
        </w:r>
        <w:r w:rsidR="000A0826">
          <w:rPr>
            <w:noProof/>
            <w:webHidden/>
          </w:rPr>
          <w:fldChar w:fldCharType="separate"/>
        </w:r>
        <w:r w:rsidR="00283637">
          <w:rPr>
            <w:noProof/>
            <w:webHidden/>
          </w:rPr>
          <w:t>6</w:t>
        </w:r>
        <w:r w:rsidR="000A0826">
          <w:rPr>
            <w:noProof/>
            <w:webHidden/>
          </w:rPr>
          <w:fldChar w:fldCharType="end"/>
        </w:r>
      </w:hyperlink>
    </w:p>
    <w:p w14:paraId="622063D8" w14:textId="144CED08" w:rsidR="000A0826" w:rsidRDefault="00C10F81">
      <w:pPr>
        <w:pStyle w:val="TOC8"/>
        <w:rPr>
          <w:rFonts w:asciiTheme="minorHAnsi" w:eastAsiaTheme="minorEastAsia" w:hAnsiTheme="minorHAnsi"/>
          <w:noProof/>
          <w:sz w:val="22"/>
          <w:szCs w:val="22"/>
          <w:lang w:eastAsia="en-AU"/>
        </w:rPr>
      </w:pPr>
      <w:hyperlink w:anchor="_Toc40454721" w:history="1">
        <w:r w:rsidR="000A0826" w:rsidRPr="00CB40CE">
          <w:rPr>
            <w:rStyle w:val="Hyperlink"/>
            <w:noProof/>
          </w:rPr>
          <w:t>Chart 3.2 Box plot (LHS) and PDF (RHS) of FLS base pay responses</w:t>
        </w:r>
        <w:r w:rsidR="000A0826">
          <w:rPr>
            <w:noProof/>
            <w:webHidden/>
          </w:rPr>
          <w:tab/>
        </w:r>
        <w:r w:rsidR="000A0826">
          <w:rPr>
            <w:noProof/>
            <w:webHidden/>
          </w:rPr>
          <w:fldChar w:fldCharType="begin"/>
        </w:r>
        <w:r w:rsidR="000A0826">
          <w:rPr>
            <w:noProof/>
            <w:webHidden/>
          </w:rPr>
          <w:instrText xml:space="preserve"> PAGEREF _Toc40454721 \h </w:instrText>
        </w:r>
        <w:r w:rsidR="000A0826">
          <w:rPr>
            <w:noProof/>
            <w:webHidden/>
          </w:rPr>
        </w:r>
        <w:r w:rsidR="000A0826">
          <w:rPr>
            <w:noProof/>
            <w:webHidden/>
          </w:rPr>
          <w:fldChar w:fldCharType="separate"/>
        </w:r>
        <w:r w:rsidR="00283637">
          <w:rPr>
            <w:noProof/>
            <w:webHidden/>
          </w:rPr>
          <w:t>7</w:t>
        </w:r>
        <w:r w:rsidR="000A0826">
          <w:rPr>
            <w:noProof/>
            <w:webHidden/>
          </w:rPr>
          <w:fldChar w:fldCharType="end"/>
        </w:r>
      </w:hyperlink>
    </w:p>
    <w:p w14:paraId="0FA33767" w14:textId="0F3AB24D" w:rsidR="000A0826" w:rsidRDefault="00C10F81">
      <w:pPr>
        <w:pStyle w:val="TOC8"/>
        <w:rPr>
          <w:rFonts w:asciiTheme="minorHAnsi" w:eastAsiaTheme="minorEastAsia" w:hAnsiTheme="minorHAnsi"/>
          <w:noProof/>
          <w:sz w:val="22"/>
          <w:szCs w:val="22"/>
          <w:lang w:eastAsia="en-AU"/>
        </w:rPr>
      </w:pPr>
      <w:hyperlink w:anchor="_Toc40454722" w:history="1">
        <w:r w:rsidR="000A0826" w:rsidRPr="00CB40CE">
          <w:rPr>
            <w:rStyle w:val="Hyperlink"/>
            <w:noProof/>
          </w:rPr>
          <w:t>Chart 3.3 Box plot (LHS) and PDF (RHS) of span of control responses</w:t>
        </w:r>
        <w:r w:rsidR="000A0826">
          <w:rPr>
            <w:noProof/>
            <w:webHidden/>
          </w:rPr>
          <w:tab/>
        </w:r>
        <w:r w:rsidR="000A0826">
          <w:rPr>
            <w:noProof/>
            <w:webHidden/>
          </w:rPr>
          <w:fldChar w:fldCharType="begin"/>
        </w:r>
        <w:r w:rsidR="000A0826">
          <w:rPr>
            <w:noProof/>
            <w:webHidden/>
          </w:rPr>
          <w:instrText xml:space="preserve"> PAGEREF _Toc40454722 \h </w:instrText>
        </w:r>
        <w:r w:rsidR="000A0826">
          <w:rPr>
            <w:noProof/>
            <w:webHidden/>
          </w:rPr>
        </w:r>
        <w:r w:rsidR="000A0826">
          <w:rPr>
            <w:noProof/>
            <w:webHidden/>
          </w:rPr>
          <w:fldChar w:fldCharType="separate"/>
        </w:r>
        <w:r w:rsidR="00283637">
          <w:rPr>
            <w:noProof/>
            <w:webHidden/>
          </w:rPr>
          <w:t>7</w:t>
        </w:r>
        <w:r w:rsidR="000A0826">
          <w:rPr>
            <w:noProof/>
            <w:webHidden/>
          </w:rPr>
          <w:fldChar w:fldCharType="end"/>
        </w:r>
      </w:hyperlink>
    </w:p>
    <w:p w14:paraId="03912D68" w14:textId="24CD54B3" w:rsidR="000A0826" w:rsidRDefault="00C10F81">
      <w:pPr>
        <w:pStyle w:val="TOC8"/>
        <w:rPr>
          <w:rFonts w:asciiTheme="minorHAnsi" w:eastAsiaTheme="minorEastAsia" w:hAnsiTheme="minorHAnsi"/>
          <w:noProof/>
          <w:sz w:val="22"/>
          <w:szCs w:val="22"/>
          <w:lang w:eastAsia="en-AU"/>
        </w:rPr>
      </w:pPr>
      <w:hyperlink w:anchor="_Toc40454723" w:history="1">
        <w:r w:rsidR="000A0826" w:rsidRPr="00CB40CE">
          <w:rPr>
            <w:rStyle w:val="Hyperlink"/>
            <w:noProof/>
          </w:rPr>
          <w:t>Chart 3.4 Box plot (LHS) and PDFs (RHS) of shift loadings responses</w:t>
        </w:r>
        <w:r w:rsidR="000A0826">
          <w:rPr>
            <w:noProof/>
            <w:webHidden/>
          </w:rPr>
          <w:tab/>
        </w:r>
        <w:r w:rsidR="000A0826">
          <w:rPr>
            <w:noProof/>
            <w:webHidden/>
          </w:rPr>
          <w:fldChar w:fldCharType="begin"/>
        </w:r>
        <w:r w:rsidR="000A0826">
          <w:rPr>
            <w:noProof/>
            <w:webHidden/>
          </w:rPr>
          <w:instrText xml:space="preserve"> PAGEREF _Toc40454723 \h </w:instrText>
        </w:r>
        <w:r w:rsidR="000A0826">
          <w:rPr>
            <w:noProof/>
            <w:webHidden/>
          </w:rPr>
        </w:r>
        <w:r w:rsidR="000A0826">
          <w:rPr>
            <w:noProof/>
            <w:webHidden/>
          </w:rPr>
          <w:fldChar w:fldCharType="separate"/>
        </w:r>
        <w:r w:rsidR="00283637">
          <w:rPr>
            <w:noProof/>
            <w:webHidden/>
          </w:rPr>
          <w:t>9</w:t>
        </w:r>
        <w:r w:rsidR="000A0826">
          <w:rPr>
            <w:noProof/>
            <w:webHidden/>
          </w:rPr>
          <w:fldChar w:fldCharType="end"/>
        </w:r>
      </w:hyperlink>
    </w:p>
    <w:p w14:paraId="7387B117" w14:textId="039FAEBB" w:rsidR="000A0826" w:rsidRDefault="00C10F81">
      <w:pPr>
        <w:pStyle w:val="TOC8"/>
        <w:rPr>
          <w:rFonts w:asciiTheme="minorHAnsi" w:eastAsiaTheme="minorEastAsia" w:hAnsiTheme="minorHAnsi"/>
          <w:noProof/>
          <w:sz w:val="22"/>
          <w:szCs w:val="22"/>
          <w:lang w:eastAsia="en-AU"/>
        </w:rPr>
      </w:pPr>
      <w:hyperlink w:anchor="_Toc40454724" w:history="1">
        <w:r w:rsidR="000A0826" w:rsidRPr="00CB40CE">
          <w:rPr>
            <w:rStyle w:val="Hyperlink"/>
            <w:noProof/>
          </w:rPr>
          <w:t>Chart 3.5 Box plot (LHS) and PDFs (RHS) of annual leave entitlements (hours per year) responses</w:t>
        </w:r>
        <w:r w:rsidR="000A0826">
          <w:rPr>
            <w:noProof/>
            <w:webHidden/>
          </w:rPr>
          <w:tab/>
        </w:r>
        <w:r w:rsidR="000A0826">
          <w:rPr>
            <w:noProof/>
            <w:webHidden/>
          </w:rPr>
          <w:fldChar w:fldCharType="begin"/>
        </w:r>
        <w:r w:rsidR="000A0826">
          <w:rPr>
            <w:noProof/>
            <w:webHidden/>
          </w:rPr>
          <w:instrText xml:space="preserve"> PAGEREF _Toc40454724 \h </w:instrText>
        </w:r>
        <w:r w:rsidR="000A0826">
          <w:rPr>
            <w:noProof/>
            <w:webHidden/>
          </w:rPr>
        </w:r>
        <w:r w:rsidR="000A0826">
          <w:rPr>
            <w:noProof/>
            <w:webHidden/>
          </w:rPr>
          <w:fldChar w:fldCharType="separate"/>
        </w:r>
        <w:r w:rsidR="00283637">
          <w:rPr>
            <w:noProof/>
            <w:webHidden/>
          </w:rPr>
          <w:t>10</w:t>
        </w:r>
        <w:r w:rsidR="000A0826">
          <w:rPr>
            <w:noProof/>
            <w:webHidden/>
          </w:rPr>
          <w:fldChar w:fldCharType="end"/>
        </w:r>
      </w:hyperlink>
    </w:p>
    <w:p w14:paraId="37A1B60B" w14:textId="120B22A1" w:rsidR="000A0826" w:rsidRDefault="00C10F81">
      <w:pPr>
        <w:pStyle w:val="TOC8"/>
        <w:rPr>
          <w:rFonts w:asciiTheme="minorHAnsi" w:eastAsiaTheme="minorEastAsia" w:hAnsiTheme="minorHAnsi"/>
          <w:noProof/>
          <w:sz w:val="22"/>
          <w:szCs w:val="22"/>
          <w:lang w:eastAsia="en-AU"/>
        </w:rPr>
      </w:pPr>
      <w:hyperlink w:anchor="_Toc40454725" w:history="1">
        <w:r w:rsidR="000A0826" w:rsidRPr="00CB40CE">
          <w:rPr>
            <w:rStyle w:val="Hyperlink"/>
            <w:noProof/>
          </w:rPr>
          <w:t>Chart 3.6 Pie chart of superannuation rate responses</w:t>
        </w:r>
        <w:r w:rsidR="000A0826">
          <w:rPr>
            <w:noProof/>
            <w:webHidden/>
          </w:rPr>
          <w:tab/>
        </w:r>
        <w:r w:rsidR="000A0826">
          <w:rPr>
            <w:noProof/>
            <w:webHidden/>
          </w:rPr>
          <w:fldChar w:fldCharType="begin"/>
        </w:r>
        <w:r w:rsidR="000A0826">
          <w:rPr>
            <w:noProof/>
            <w:webHidden/>
          </w:rPr>
          <w:instrText xml:space="preserve"> PAGEREF _Toc40454725 \h </w:instrText>
        </w:r>
        <w:r w:rsidR="000A0826">
          <w:rPr>
            <w:noProof/>
            <w:webHidden/>
          </w:rPr>
        </w:r>
        <w:r w:rsidR="000A0826">
          <w:rPr>
            <w:noProof/>
            <w:webHidden/>
          </w:rPr>
          <w:fldChar w:fldCharType="separate"/>
        </w:r>
        <w:r w:rsidR="00283637">
          <w:rPr>
            <w:noProof/>
            <w:webHidden/>
          </w:rPr>
          <w:t>11</w:t>
        </w:r>
        <w:r w:rsidR="000A0826">
          <w:rPr>
            <w:noProof/>
            <w:webHidden/>
          </w:rPr>
          <w:fldChar w:fldCharType="end"/>
        </w:r>
      </w:hyperlink>
    </w:p>
    <w:p w14:paraId="51D1930B" w14:textId="32908DD0" w:rsidR="000A0826" w:rsidRDefault="00C10F81">
      <w:pPr>
        <w:pStyle w:val="TOC8"/>
        <w:rPr>
          <w:rFonts w:asciiTheme="minorHAnsi" w:eastAsiaTheme="minorEastAsia" w:hAnsiTheme="minorHAnsi"/>
          <w:noProof/>
          <w:sz w:val="22"/>
          <w:szCs w:val="22"/>
          <w:lang w:eastAsia="en-AU"/>
        </w:rPr>
      </w:pPr>
      <w:hyperlink w:anchor="_Toc40454726" w:history="1">
        <w:r w:rsidR="000A0826" w:rsidRPr="00CB40CE">
          <w:rPr>
            <w:rStyle w:val="Hyperlink"/>
            <w:noProof/>
          </w:rPr>
          <w:t>Chart 3.7 Box plot (LHS) and PDF (RHS) of workers compensation premium (%) responses</w:t>
        </w:r>
        <w:r w:rsidR="000A0826">
          <w:rPr>
            <w:noProof/>
            <w:webHidden/>
          </w:rPr>
          <w:tab/>
        </w:r>
        <w:r w:rsidR="000A0826">
          <w:rPr>
            <w:noProof/>
            <w:webHidden/>
          </w:rPr>
          <w:fldChar w:fldCharType="begin"/>
        </w:r>
        <w:r w:rsidR="000A0826">
          <w:rPr>
            <w:noProof/>
            <w:webHidden/>
          </w:rPr>
          <w:instrText xml:space="preserve"> PAGEREF _Toc40454726 \h </w:instrText>
        </w:r>
        <w:r w:rsidR="000A0826">
          <w:rPr>
            <w:noProof/>
            <w:webHidden/>
          </w:rPr>
        </w:r>
        <w:r w:rsidR="000A0826">
          <w:rPr>
            <w:noProof/>
            <w:webHidden/>
          </w:rPr>
          <w:fldChar w:fldCharType="separate"/>
        </w:r>
        <w:r w:rsidR="00283637">
          <w:rPr>
            <w:noProof/>
            <w:webHidden/>
          </w:rPr>
          <w:t>12</w:t>
        </w:r>
        <w:r w:rsidR="000A0826">
          <w:rPr>
            <w:noProof/>
            <w:webHidden/>
          </w:rPr>
          <w:fldChar w:fldCharType="end"/>
        </w:r>
      </w:hyperlink>
    </w:p>
    <w:p w14:paraId="7002FF09" w14:textId="20F70C86" w:rsidR="000A0826" w:rsidRDefault="00C10F81">
      <w:pPr>
        <w:pStyle w:val="TOC8"/>
        <w:rPr>
          <w:rFonts w:asciiTheme="minorHAnsi" w:eastAsiaTheme="minorEastAsia" w:hAnsiTheme="minorHAnsi"/>
          <w:noProof/>
          <w:sz w:val="22"/>
          <w:szCs w:val="22"/>
          <w:lang w:eastAsia="en-AU"/>
        </w:rPr>
      </w:pPr>
      <w:hyperlink w:anchor="_Toc40454727" w:history="1">
        <w:r w:rsidR="000A0826" w:rsidRPr="00CB40CE">
          <w:rPr>
            <w:rStyle w:val="Hyperlink"/>
            <w:noProof/>
          </w:rPr>
          <w:t>Chart 3.8 Box plot (LHS) and frequency histogram of permanent employment rate (%) responses (RHS)</w:t>
        </w:r>
        <w:r w:rsidR="000A0826">
          <w:rPr>
            <w:noProof/>
            <w:webHidden/>
          </w:rPr>
          <w:tab/>
        </w:r>
        <w:r w:rsidR="000A0826">
          <w:rPr>
            <w:noProof/>
            <w:webHidden/>
          </w:rPr>
          <w:fldChar w:fldCharType="begin"/>
        </w:r>
        <w:r w:rsidR="000A0826">
          <w:rPr>
            <w:noProof/>
            <w:webHidden/>
          </w:rPr>
          <w:instrText xml:space="preserve"> PAGEREF _Toc40454727 \h </w:instrText>
        </w:r>
        <w:r w:rsidR="000A0826">
          <w:rPr>
            <w:noProof/>
            <w:webHidden/>
          </w:rPr>
        </w:r>
        <w:r w:rsidR="000A0826">
          <w:rPr>
            <w:noProof/>
            <w:webHidden/>
          </w:rPr>
          <w:fldChar w:fldCharType="separate"/>
        </w:r>
        <w:r w:rsidR="00283637">
          <w:rPr>
            <w:noProof/>
            <w:webHidden/>
          </w:rPr>
          <w:t>13</w:t>
        </w:r>
        <w:r w:rsidR="000A0826">
          <w:rPr>
            <w:noProof/>
            <w:webHidden/>
          </w:rPr>
          <w:fldChar w:fldCharType="end"/>
        </w:r>
      </w:hyperlink>
    </w:p>
    <w:p w14:paraId="3DFEE7A4" w14:textId="105FC319" w:rsidR="000A0826" w:rsidRDefault="00C10F81">
      <w:pPr>
        <w:pStyle w:val="TOC8"/>
        <w:rPr>
          <w:rFonts w:asciiTheme="minorHAnsi" w:eastAsiaTheme="minorEastAsia" w:hAnsiTheme="minorHAnsi"/>
          <w:noProof/>
          <w:sz w:val="22"/>
          <w:szCs w:val="22"/>
          <w:lang w:eastAsia="en-AU"/>
        </w:rPr>
      </w:pPr>
      <w:hyperlink w:anchor="_Toc40454728" w:history="1">
        <w:r w:rsidR="000A0826" w:rsidRPr="00CB40CE">
          <w:rPr>
            <w:rStyle w:val="Hyperlink"/>
            <w:noProof/>
          </w:rPr>
          <w:t>Chart 3.9 Box plot (LHS) and PDFs (RHS) of non</w:t>
        </w:r>
        <w:r w:rsidR="000A0826" w:rsidRPr="00CB40CE">
          <w:rPr>
            <w:rStyle w:val="Hyperlink"/>
            <w:noProof/>
          </w:rPr>
          <w:noBreakHyphen/>
          <w:t>billable time (%) responses</w:t>
        </w:r>
        <w:r w:rsidR="000A0826">
          <w:rPr>
            <w:noProof/>
            <w:webHidden/>
          </w:rPr>
          <w:tab/>
        </w:r>
        <w:r w:rsidR="000A0826">
          <w:rPr>
            <w:noProof/>
            <w:webHidden/>
          </w:rPr>
          <w:fldChar w:fldCharType="begin"/>
        </w:r>
        <w:r w:rsidR="000A0826">
          <w:rPr>
            <w:noProof/>
            <w:webHidden/>
          </w:rPr>
          <w:instrText xml:space="preserve"> PAGEREF _Toc40454728 \h </w:instrText>
        </w:r>
        <w:r w:rsidR="000A0826">
          <w:rPr>
            <w:noProof/>
            <w:webHidden/>
          </w:rPr>
        </w:r>
        <w:r w:rsidR="000A0826">
          <w:rPr>
            <w:noProof/>
            <w:webHidden/>
          </w:rPr>
          <w:fldChar w:fldCharType="separate"/>
        </w:r>
        <w:r w:rsidR="00283637">
          <w:rPr>
            <w:noProof/>
            <w:webHidden/>
          </w:rPr>
          <w:t>14</w:t>
        </w:r>
        <w:r w:rsidR="000A0826">
          <w:rPr>
            <w:noProof/>
            <w:webHidden/>
          </w:rPr>
          <w:fldChar w:fldCharType="end"/>
        </w:r>
      </w:hyperlink>
    </w:p>
    <w:p w14:paraId="770963A7" w14:textId="6EFD6449" w:rsidR="000A0826" w:rsidRDefault="00C10F81">
      <w:pPr>
        <w:pStyle w:val="TOC8"/>
        <w:rPr>
          <w:rFonts w:asciiTheme="minorHAnsi" w:eastAsiaTheme="minorEastAsia" w:hAnsiTheme="minorHAnsi"/>
          <w:noProof/>
          <w:sz w:val="22"/>
          <w:szCs w:val="22"/>
          <w:lang w:eastAsia="en-AU"/>
        </w:rPr>
      </w:pPr>
      <w:hyperlink w:anchor="_Toc40454729" w:history="1">
        <w:r w:rsidR="000A0826" w:rsidRPr="00CB40CE">
          <w:rPr>
            <w:rStyle w:val="Hyperlink"/>
            <w:noProof/>
          </w:rPr>
          <w:t>Chart 3.10 Box plot (LHS) and PDF (RHS) of billable time (%) responses</w:t>
        </w:r>
        <w:r w:rsidR="000A0826">
          <w:rPr>
            <w:noProof/>
            <w:webHidden/>
          </w:rPr>
          <w:tab/>
        </w:r>
        <w:r w:rsidR="000A0826">
          <w:rPr>
            <w:noProof/>
            <w:webHidden/>
          </w:rPr>
          <w:fldChar w:fldCharType="begin"/>
        </w:r>
        <w:r w:rsidR="000A0826">
          <w:rPr>
            <w:noProof/>
            <w:webHidden/>
          </w:rPr>
          <w:instrText xml:space="preserve"> PAGEREF _Toc40454729 \h </w:instrText>
        </w:r>
        <w:r w:rsidR="000A0826">
          <w:rPr>
            <w:noProof/>
            <w:webHidden/>
          </w:rPr>
        </w:r>
        <w:r w:rsidR="000A0826">
          <w:rPr>
            <w:noProof/>
            <w:webHidden/>
          </w:rPr>
          <w:fldChar w:fldCharType="separate"/>
        </w:r>
        <w:r w:rsidR="00283637">
          <w:rPr>
            <w:noProof/>
            <w:webHidden/>
          </w:rPr>
          <w:t>15</w:t>
        </w:r>
        <w:r w:rsidR="000A0826">
          <w:rPr>
            <w:noProof/>
            <w:webHidden/>
          </w:rPr>
          <w:fldChar w:fldCharType="end"/>
        </w:r>
      </w:hyperlink>
    </w:p>
    <w:p w14:paraId="3E40FF25" w14:textId="5505B629" w:rsidR="000A0826" w:rsidRDefault="00C10F81">
      <w:pPr>
        <w:pStyle w:val="TOC8"/>
        <w:rPr>
          <w:rFonts w:asciiTheme="minorHAnsi" w:eastAsiaTheme="minorEastAsia" w:hAnsiTheme="minorHAnsi"/>
          <w:noProof/>
          <w:sz w:val="22"/>
          <w:szCs w:val="22"/>
          <w:lang w:eastAsia="en-AU"/>
        </w:rPr>
      </w:pPr>
      <w:hyperlink w:anchor="_Toc40454730" w:history="1">
        <w:r w:rsidR="000A0826" w:rsidRPr="00CB40CE">
          <w:rPr>
            <w:rStyle w:val="Hyperlink"/>
            <w:noProof/>
          </w:rPr>
          <w:t>Chart 3.11 Box plot (LHS) and frequency histogram of overheads (%) responses (RHS)</w:t>
        </w:r>
        <w:r w:rsidR="000A0826">
          <w:rPr>
            <w:noProof/>
            <w:webHidden/>
          </w:rPr>
          <w:tab/>
        </w:r>
        <w:r w:rsidR="000A0826">
          <w:rPr>
            <w:noProof/>
            <w:webHidden/>
          </w:rPr>
          <w:fldChar w:fldCharType="begin"/>
        </w:r>
        <w:r w:rsidR="000A0826">
          <w:rPr>
            <w:noProof/>
            <w:webHidden/>
          </w:rPr>
          <w:instrText xml:space="preserve"> PAGEREF _Toc40454730 \h </w:instrText>
        </w:r>
        <w:r w:rsidR="000A0826">
          <w:rPr>
            <w:noProof/>
            <w:webHidden/>
          </w:rPr>
        </w:r>
        <w:r w:rsidR="000A0826">
          <w:rPr>
            <w:noProof/>
            <w:webHidden/>
          </w:rPr>
          <w:fldChar w:fldCharType="separate"/>
        </w:r>
        <w:r w:rsidR="00283637">
          <w:rPr>
            <w:noProof/>
            <w:webHidden/>
          </w:rPr>
          <w:t>17</w:t>
        </w:r>
        <w:r w:rsidR="000A0826">
          <w:rPr>
            <w:noProof/>
            <w:webHidden/>
          </w:rPr>
          <w:fldChar w:fldCharType="end"/>
        </w:r>
      </w:hyperlink>
    </w:p>
    <w:p w14:paraId="5E89037C" w14:textId="04D6D2E5" w:rsidR="000A0826" w:rsidRDefault="00C10F81">
      <w:pPr>
        <w:pStyle w:val="TOC8"/>
        <w:rPr>
          <w:rFonts w:asciiTheme="minorHAnsi" w:eastAsiaTheme="minorEastAsia" w:hAnsiTheme="minorHAnsi"/>
          <w:noProof/>
          <w:sz w:val="22"/>
          <w:szCs w:val="22"/>
          <w:lang w:eastAsia="en-AU"/>
        </w:rPr>
      </w:pPr>
      <w:hyperlink w:anchor="_Toc40454731" w:history="1">
        <w:r w:rsidR="000A0826" w:rsidRPr="00CB40CE">
          <w:rPr>
            <w:rStyle w:val="Hyperlink"/>
            <w:noProof/>
          </w:rPr>
          <w:t>Chart 3.12 Box plot (LHS) and frequency histogram of implied margins (%) responses (RHS)</w:t>
        </w:r>
        <w:r w:rsidR="000A0826">
          <w:rPr>
            <w:noProof/>
            <w:webHidden/>
          </w:rPr>
          <w:tab/>
        </w:r>
        <w:r w:rsidR="000A0826">
          <w:rPr>
            <w:noProof/>
            <w:webHidden/>
          </w:rPr>
          <w:fldChar w:fldCharType="begin"/>
        </w:r>
        <w:r w:rsidR="000A0826">
          <w:rPr>
            <w:noProof/>
            <w:webHidden/>
          </w:rPr>
          <w:instrText xml:space="preserve"> PAGEREF _Toc40454731 \h </w:instrText>
        </w:r>
        <w:r w:rsidR="000A0826">
          <w:rPr>
            <w:noProof/>
            <w:webHidden/>
          </w:rPr>
        </w:r>
        <w:r w:rsidR="000A0826">
          <w:rPr>
            <w:noProof/>
            <w:webHidden/>
          </w:rPr>
          <w:fldChar w:fldCharType="separate"/>
        </w:r>
        <w:r w:rsidR="00283637">
          <w:rPr>
            <w:noProof/>
            <w:webHidden/>
          </w:rPr>
          <w:t>17</w:t>
        </w:r>
        <w:r w:rsidR="000A0826">
          <w:rPr>
            <w:noProof/>
            <w:webHidden/>
          </w:rPr>
          <w:fldChar w:fldCharType="end"/>
        </w:r>
      </w:hyperlink>
    </w:p>
    <w:p w14:paraId="49578C1B" w14:textId="0BD50D49" w:rsidR="000A0826" w:rsidRDefault="00C10F81">
      <w:pPr>
        <w:pStyle w:val="TOC8"/>
        <w:rPr>
          <w:rFonts w:asciiTheme="minorHAnsi" w:eastAsiaTheme="minorEastAsia" w:hAnsiTheme="minorHAnsi"/>
          <w:noProof/>
          <w:sz w:val="22"/>
          <w:szCs w:val="22"/>
          <w:lang w:eastAsia="en-AU"/>
        </w:rPr>
      </w:pPr>
      <w:hyperlink w:anchor="_Toc40454732" w:history="1">
        <w:r w:rsidR="000A0826" w:rsidRPr="00CB40CE">
          <w:rPr>
            <w:rStyle w:val="Hyperlink"/>
            <w:noProof/>
          </w:rPr>
          <w:t>Chart D.1 Scatter plot between utilisation (x), and permanent employment rate (y)</w:t>
        </w:r>
        <w:r w:rsidR="000A0826">
          <w:rPr>
            <w:noProof/>
            <w:webHidden/>
          </w:rPr>
          <w:tab/>
        </w:r>
        <w:r w:rsidR="000A0826">
          <w:rPr>
            <w:noProof/>
            <w:webHidden/>
          </w:rPr>
          <w:fldChar w:fldCharType="begin"/>
        </w:r>
        <w:r w:rsidR="000A0826">
          <w:rPr>
            <w:noProof/>
            <w:webHidden/>
          </w:rPr>
          <w:instrText xml:space="preserve"> PAGEREF _Toc40454732 \h </w:instrText>
        </w:r>
        <w:r w:rsidR="000A0826">
          <w:rPr>
            <w:noProof/>
            <w:webHidden/>
          </w:rPr>
        </w:r>
        <w:r w:rsidR="000A0826">
          <w:rPr>
            <w:noProof/>
            <w:webHidden/>
          </w:rPr>
          <w:fldChar w:fldCharType="separate"/>
        </w:r>
        <w:r w:rsidR="00283637">
          <w:rPr>
            <w:noProof/>
            <w:webHidden/>
          </w:rPr>
          <w:t>32</w:t>
        </w:r>
        <w:r w:rsidR="000A0826">
          <w:rPr>
            <w:noProof/>
            <w:webHidden/>
          </w:rPr>
          <w:fldChar w:fldCharType="end"/>
        </w:r>
      </w:hyperlink>
    </w:p>
    <w:p w14:paraId="3EA6BC67" w14:textId="3CAA9682" w:rsidR="000A0826" w:rsidRDefault="00C10F81">
      <w:pPr>
        <w:pStyle w:val="TOC8"/>
        <w:rPr>
          <w:rFonts w:asciiTheme="minorHAnsi" w:eastAsiaTheme="minorEastAsia" w:hAnsiTheme="minorHAnsi"/>
          <w:noProof/>
          <w:sz w:val="22"/>
          <w:szCs w:val="22"/>
          <w:lang w:eastAsia="en-AU"/>
        </w:rPr>
      </w:pPr>
      <w:hyperlink w:anchor="_Toc40454733" w:history="1">
        <w:r w:rsidR="000A0826" w:rsidRPr="00CB40CE">
          <w:rPr>
            <w:rStyle w:val="Hyperlink"/>
            <w:noProof/>
          </w:rPr>
          <w:t>Chart D.2 Scatter plot between utilisation (x), and span of control (y)</w:t>
        </w:r>
        <w:r w:rsidR="000A0826">
          <w:rPr>
            <w:noProof/>
            <w:webHidden/>
          </w:rPr>
          <w:tab/>
        </w:r>
        <w:r w:rsidR="000A0826">
          <w:rPr>
            <w:noProof/>
            <w:webHidden/>
          </w:rPr>
          <w:fldChar w:fldCharType="begin"/>
        </w:r>
        <w:r w:rsidR="000A0826">
          <w:rPr>
            <w:noProof/>
            <w:webHidden/>
          </w:rPr>
          <w:instrText xml:space="preserve"> PAGEREF _Toc40454733 \h </w:instrText>
        </w:r>
        <w:r w:rsidR="000A0826">
          <w:rPr>
            <w:noProof/>
            <w:webHidden/>
          </w:rPr>
        </w:r>
        <w:r w:rsidR="000A0826">
          <w:rPr>
            <w:noProof/>
            <w:webHidden/>
          </w:rPr>
          <w:fldChar w:fldCharType="separate"/>
        </w:r>
        <w:r w:rsidR="00283637">
          <w:rPr>
            <w:noProof/>
            <w:webHidden/>
          </w:rPr>
          <w:t>32</w:t>
        </w:r>
        <w:r w:rsidR="000A0826">
          <w:rPr>
            <w:noProof/>
            <w:webHidden/>
          </w:rPr>
          <w:fldChar w:fldCharType="end"/>
        </w:r>
      </w:hyperlink>
    </w:p>
    <w:p w14:paraId="1D969808" w14:textId="3E08F122" w:rsidR="000A0826" w:rsidRDefault="00C10F81">
      <w:pPr>
        <w:pStyle w:val="TOC8"/>
        <w:rPr>
          <w:rFonts w:asciiTheme="minorHAnsi" w:eastAsiaTheme="minorEastAsia" w:hAnsiTheme="minorHAnsi"/>
          <w:noProof/>
          <w:sz w:val="22"/>
          <w:szCs w:val="22"/>
          <w:lang w:eastAsia="en-AU"/>
        </w:rPr>
      </w:pPr>
      <w:hyperlink w:anchor="_Toc40454734" w:history="1">
        <w:r w:rsidR="000A0826" w:rsidRPr="00CB40CE">
          <w:rPr>
            <w:rStyle w:val="Hyperlink"/>
            <w:noProof/>
          </w:rPr>
          <w:t>Chart D.3 Scatter plot between utilisation (x), and implied margin as a share of other costs (y)</w:t>
        </w:r>
        <w:r w:rsidR="000A0826">
          <w:rPr>
            <w:noProof/>
            <w:webHidden/>
          </w:rPr>
          <w:tab/>
        </w:r>
        <w:r w:rsidR="000A0826">
          <w:rPr>
            <w:noProof/>
            <w:webHidden/>
          </w:rPr>
          <w:fldChar w:fldCharType="begin"/>
        </w:r>
        <w:r w:rsidR="000A0826">
          <w:rPr>
            <w:noProof/>
            <w:webHidden/>
          </w:rPr>
          <w:instrText xml:space="preserve"> PAGEREF _Toc40454734 \h </w:instrText>
        </w:r>
        <w:r w:rsidR="000A0826">
          <w:rPr>
            <w:noProof/>
            <w:webHidden/>
          </w:rPr>
        </w:r>
        <w:r w:rsidR="000A0826">
          <w:rPr>
            <w:noProof/>
            <w:webHidden/>
          </w:rPr>
          <w:fldChar w:fldCharType="separate"/>
        </w:r>
        <w:r w:rsidR="00283637">
          <w:rPr>
            <w:noProof/>
            <w:webHidden/>
          </w:rPr>
          <w:t>33</w:t>
        </w:r>
        <w:r w:rsidR="000A0826">
          <w:rPr>
            <w:noProof/>
            <w:webHidden/>
          </w:rPr>
          <w:fldChar w:fldCharType="end"/>
        </w:r>
      </w:hyperlink>
    </w:p>
    <w:p w14:paraId="355331DD" w14:textId="3996BF8A" w:rsidR="000A0826" w:rsidRDefault="00C10F81">
      <w:pPr>
        <w:pStyle w:val="TOC8"/>
        <w:rPr>
          <w:rFonts w:asciiTheme="minorHAnsi" w:eastAsiaTheme="minorEastAsia" w:hAnsiTheme="minorHAnsi"/>
          <w:noProof/>
          <w:sz w:val="22"/>
          <w:szCs w:val="22"/>
          <w:lang w:eastAsia="en-AU"/>
        </w:rPr>
      </w:pPr>
      <w:hyperlink w:anchor="_Toc40454735" w:history="1">
        <w:r w:rsidR="000A0826" w:rsidRPr="00CB40CE">
          <w:rPr>
            <w:rStyle w:val="Hyperlink"/>
            <w:noProof/>
          </w:rPr>
          <w:t>Chart D.4 Scatter plot between utilisation (x), and overheads as a share of direct costs exc. interest and depreciation (y)</w:t>
        </w:r>
        <w:r w:rsidR="000A0826">
          <w:rPr>
            <w:noProof/>
            <w:webHidden/>
          </w:rPr>
          <w:tab/>
        </w:r>
        <w:r w:rsidR="000A0826">
          <w:rPr>
            <w:noProof/>
            <w:webHidden/>
          </w:rPr>
          <w:fldChar w:fldCharType="begin"/>
        </w:r>
        <w:r w:rsidR="000A0826">
          <w:rPr>
            <w:noProof/>
            <w:webHidden/>
          </w:rPr>
          <w:instrText xml:space="preserve"> PAGEREF _Toc40454735 \h </w:instrText>
        </w:r>
        <w:r w:rsidR="000A0826">
          <w:rPr>
            <w:noProof/>
            <w:webHidden/>
          </w:rPr>
        </w:r>
        <w:r w:rsidR="000A0826">
          <w:rPr>
            <w:noProof/>
            <w:webHidden/>
          </w:rPr>
          <w:fldChar w:fldCharType="separate"/>
        </w:r>
        <w:r w:rsidR="00283637">
          <w:rPr>
            <w:noProof/>
            <w:webHidden/>
          </w:rPr>
          <w:t>33</w:t>
        </w:r>
        <w:r w:rsidR="000A0826">
          <w:rPr>
            <w:noProof/>
            <w:webHidden/>
          </w:rPr>
          <w:fldChar w:fldCharType="end"/>
        </w:r>
      </w:hyperlink>
    </w:p>
    <w:p w14:paraId="53ACC5A6" w14:textId="75391392" w:rsidR="000A0826" w:rsidRDefault="00C10F81">
      <w:pPr>
        <w:pStyle w:val="TOC8"/>
        <w:rPr>
          <w:rFonts w:asciiTheme="minorHAnsi" w:eastAsiaTheme="minorEastAsia" w:hAnsiTheme="minorHAnsi"/>
          <w:noProof/>
          <w:sz w:val="22"/>
          <w:szCs w:val="22"/>
          <w:lang w:eastAsia="en-AU"/>
        </w:rPr>
      </w:pPr>
      <w:hyperlink w:anchor="_Toc40454736" w:history="1">
        <w:r w:rsidR="000A0826" w:rsidRPr="00CB40CE">
          <w:rPr>
            <w:rStyle w:val="Hyperlink"/>
            <w:noProof/>
          </w:rPr>
          <w:t>Chart D.5 Scatter plot between overheads (exc. interest depreciation) as a share of direct costs (x), and implied margin as a share of other costs (y)</w:t>
        </w:r>
        <w:r w:rsidR="000A0826">
          <w:rPr>
            <w:noProof/>
            <w:webHidden/>
          </w:rPr>
          <w:tab/>
        </w:r>
        <w:r w:rsidR="000A0826">
          <w:rPr>
            <w:noProof/>
            <w:webHidden/>
          </w:rPr>
          <w:fldChar w:fldCharType="begin"/>
        </w:r>
        <w:r w:rsidR="000A0826">
          <w:rPr>
            <w:noProof/>
            <w:webHidden/>
          </w:rPr>
          <w:instrText xml:space="preserve"> PAGEREF _Toc40454736 \h </w:instrText>
        </w:r>
        <w:r w:rsidR="000A0826">
          <w:rPr>
            <w:noProof/>
            <w:webHidden/>
          </w:rPr>
        </w:r>
        <w:r w:rsidR="000A0826">
          <w:rPr>
            <w:noProof/>
            <w:webHidden/>
          </w:rPr>
          <w:fldChar w:fldCharType="separate"/>
        </w:r>
        <w:r w:rsidR="00283637">
          <w:rPr>
            <w:noProof/>
            <w:webHidden/>
          </w:rPr>
          <w:t>34</w:t>
        </w:r>
        <w:r w:rsidR="000A0826">
          <w:rPr>
            <w:noProof/>
            <w:webHidden/>
          </w:rPr>
          <w:fldChar w:fldCharType="end"/>
        </w:r>
      </w:hyperlink>
    </w:p>
    <w:p w14:paraId="26274D65" w14:textId="7F5D747D" w:rsidR="000A0826" w:rsidRDefault="00C10F81">
      <w:pPr>
        <w:pStyle w:val="TOC8"/>
        <w:rPr>
          <w:rFonts w:asciiTheme="minorHAnsi" w:eastAsiaTheme="minorEastAsia" w:hAnsiTheme="minorHAnsi"/>
          <w:noProof/>
          <w:sz w:val="22"/>
          <w:szCs w:val="22"/>
          <w:lang w:eastAsia="en-AU"/>
        </w:rPr>
      </w:pPr>
      <w:hyperlink w:anchor="_Toc40454737" w:history="1">
        <w:r w:rsidR="000A0826" w:rsidRPr="00CB40CE">
          <w:rPr>
            <w:rStyle w:val="Hyperlink"/>
            <w:noProof/>
          </w:rPr>
          <w:t>Chart D.6 Scatter plot between overheads (exc. interest depreciation) as a share of direct costs (x), and span of control (y)</w:t>
        </w:r>
        <w:r w:rsidR="000A0826">
          <w:rPr>
            <w:noProof/>
            <w:webHidden/>
          </w:rPr>
          <w:tab/>
        </w:r>
        <w:r w:rsidR="000A0826">
          <w:rPr>
            <w:noProof/>
            <w:webHidden/>
          </w:rPr>
          <w:fldChar w:fldCharType="begin"/>
        </w:r>
        <w:r w:rsidR="000A0826">
          <w:rPr>
            <w:noProof/>
            <w:webHidden/>
          </w:rPr>
          <w:instrText xml:space="preserve"> PAGEREF _Toc40454737 \h </w:instrText>
        </w:r>
        <w:r w:rsidR="000A0826">
          <w:rPr>
            <w:noProof/>
            <w:webHidden/>
          </w:rPr>
        </w:r>
        <w:r w:rsidR="000A0826">
          <w:rPr>
            <w:noProof/>
            <w:webHidden/>
          </w:rPr>
          <w:fldChar w:fldCharType="separate"/>
        </w:r>
        <w:r w:rsidR="00283637">
          <w:rPr>
            <w:noProof/>
            <w:webHidden/>
          </w:rPr>
          <w:t>34</w:t>
        </w:r>
        <w:r w:rsidR="000A0826">
          <w:rPr>
            <w:noProof/>
            <w:webHidden/>
          </w:rPr>
          <w:fldChar w:fldCharType="end"/>
        </w:r>
      </w:hyperlink>
    </w:p>
    <w:p w14:paraId="4CD0D83C" w14:textId="36D03771" w:rsidR="000A0826" w:rsidRDefault="00C10F81">
      <w:pPr>
        <w:pStyle w:val="TOC8"/>
        <w:rPr>
          <w:rFonts w:asciiTheme="minorHAnsi" w:eastAsiaTheme="minorEastAsia" w:hAnsiTheme="minorHAnsi"/>
          <w:noProof/>
          <w:sz w:val="22"/>
          <w:szCs w:val="22"/>
          <w:lang w:eastAsia="en-AU"/>
        </w:rPr>
      </w:pPr>
      <w:hyperlink w:anchor="_Toc40454738" w:history="1">
        <w:r w:rsidR="000A0826" w:rsidRPr="00CB40CE">
          <w:rPr>
            <w:rStyle w:val="Hyperlink"/>
            <w:noProof/>
          </w:rPr>
          <w:t>Chart D.7 Scatter plot between overheads (exc. interest depreciation) as a share of direct costs (x), and permanent employment rate (y)</w:t>
        </w:r>
        <w:r w:rsidR="000A0826">
          <w:rPr>
            <w:noProof/>
            <w:webHidden/>
          </w:rPr>
          <w:tab/>
        </w:r>
        <w:r w:rsidR="000A0826">
          <w:rPr>
            <w:noProof/>
            <w:webHidden/>
          </w:rPr>
          <w:fldChar w:fldCharType="begin"/>
        </w:r>
        <w:r w:rsidR="000A0826">
          <w:rPr>
            <w:noProof/>
            <w:webHidden/>
          </w:rPr>
          <w:instrText xml:space="preserve"> PAGEREF _Toc40454738 \h </w:instrText>
        </w:r>
        <w:r w:rsidR="000A0826">
          <w:rPr>
            <w:noProof/>
            <w:webHidden/>
          </w:rPr>
        </w:r>
        <w:r w:rsidR="000A0826">
          <w:rPr>
            <w:noProof/>
            <w:webHidden/>
          </w:rPr>
          <w:fldChar w:fldCharType="separate"/>
        </w:r>
        <w:r w:rsidR="00283637">
          <w:rPr>
            <w:noProof/>
            <w:webHidden/>
          </w:rPr>
          <w:t>35</w:t>
        </w:r>
        <w:r w:rsidR="000A0826">
          <w:rPr>
            <w:noProof/>
            <w:webHidden/>
          </w:rPr>
          <w:fldChar w:fldCharType="end"/>
        </w:r>
      </w:hyperlink>
    </w:p>
    <w:p w14:paraId="030446A6" w14:textId="2893985C" w:rsidR="000A0826" w:rsidRDefault="00C10F81">
      <w:pPr>
        <w:pStyle w:val="TOC8"/>
        <w:rPr>
          <w:rFonts w:asciiTheme="minorHAnsi" w:eastAsiaTheme="minorEastAsia" w:hAnsiTheme="minorHAnsi"/>
          <w:noProof/>
          <w:sz w:val="22"/>
          <w:szCs w:val="22"/>
          <w:lang w:eastAsia="en-AU"/>
        </w:rPr>
      </w:pPr>
      <w:hyperlink w:anchor="_Toc40454739" w:history="1">
        <w:r w:rsidR="000A0826" w:rsidRPr="00CB40CE">
          <w:rPr>
            <w:rStyle w:val="Hyperlink"/>
            <w:noProof/>
          </w:rPr>
          <w:t>Chart D.8 Permanent employment rate (x), and span of control (y)</w:t>
        </w:r>
        <w:r w:rsidR="000A0826">
          <w:rPr>
            <w:noProof/>
            <w:webHidden/>
          </w:rPr>
          <w:tab/>
        </w:r>
        <w:r w:rsidR="000A0826">
          <w:rPr>
            <w:noProof/>
            <w:webHidden/>
          </w:rPr>
          <w:fldChar w:fldCharType="begin"/>
        </w:r>
        <w:r w:rsidR="000A0826">
          <w:rPr>
            <w:noProof/>
            <w:webHidden/>
          </w:rPr>
          <w:instrText xml:space="preserve"> PAGEREF _Toc40454739 \h </w:instrText>
        </w:r>
        <w:r w:rsidR="000A0826">
          <w:rPr>
            <w:noProof/>
            <w:webHidden/>
          </w:rPr>
        </w:r>
        <w:r w:rsidR="000A0826">
          <w:rPr>
            <w:noProof/>
            <w:webHidden/>
          </w:rPr>
          <w:fldChar w:fldCharType="separate"/>
        </w:r>
        <w:r w:rsidR="00283637">
          <w:rPr>
            <w:noProof/>
            <w:webHidden/>
          </w:rPr>
          <w:t>35</w:t>
        </w:r>
        <w:r w:rsidR="000A0826">
          <w:rPr>
            <w:noProof/>
            <w:webHidden/>
          </w:rPr>
          <w:fldChar w:fldCharType="end"/>
        </w:r>
      </w:hyperlink>
    </w:p>
    <w:p w14:paraId="56170168" w14:textId="20CBC523" w:rsidR="000A0826" w:rsidRDefault="00C10F81">
      <w:pPr>
        <w:pStyle w:val="TOC8"/>
        <w:rPr>
          <w:rFonts w:asciiTheme="minorHAnsi" w:eastAsiaTheme="minorEastAsia" w:hAnsiTheme="minorHAnsi"/>
          <w:noProof/>
          <w:sz w:val="22"/>
          <w:szCs w:val="22"/>
          <w:lang w:eastAsia="en-AU"/>
        </w:rPr>
      </w:pPr>
      <w:hyperlink w:anchor="_Toc40454740" w:history="1">
        <w:r w:rsidR="000A0826" w:rsidRPr="00CB40CE">
          <w:rPr>
            <w:rStyle w:val="Hyperlink"/>
            <w:noProof/>
          </w:rPr>
          <w:t>Chart D.9 Permanent employment rate (x), and implied margin as a share of other costs (y)</w:t>
        </w:r>
        <w:r w:rsidR="000A0826">
          <w:rPr>
            <w:noProof/>
            <w:webHidden/>
          </w:rPr>
          <w:tab/>
        </w:r>
        <w:r w:rsidR="000A0826">
          <w:rPr>
            <w:noProof/>
            <w:webHidden/>
          </w:rPr>
          <w:fldChar w:fldCharType="begin"/>
        </w:r>
        <w:r w:rsidR="000A0826">
          <w:rPr>
            <w:noProof/>
            <w:webHidden/>
          </w:rPr>
          <w:instrText xml:space="preserve"> PAGEREF _Toc40454740 \h </w:instrText>
        </w:r>
        <w:r w:rsidR="000A0826">
          <w:rPr>
            <w:noProof/>
            <w:webHidden/>
          </w:rPr>
        </w:r>
        <w:r w:rsidR="000A0826">
          <w:rPr>
            <w:noProof/>
            <w:webHidden/>
          </w:rPr>
          <w:fldChar w:fldCharType="separate"/>
        </w:r>
        <w:r w:rsidR="00283637">
          <w:rPr>
            <w:noProof/>
            <w:webHidden/>
          </w:rPr>
          <w:t>36</w:t>
        </w:r>
        <w:r w:rsidR="000A0826">
          <w:rPr>
            <w:noProof/>
            <w:webHidden/>
          </w:rPr>
          <w:fldChar w:fldCharType="end"/>
        </w:r>
      </w:hyperlink>
    </w:p>
    <w:p w14:paraId="4B9DC7FA" w14:textId="49E792F3" w:rsidR="000A0826" w:rsidRDefault="00C10F81">
      <w:pPr>
        <w:pStyle w:val="TOC8"/>
        <w:rPr>
          <w:rFonts w:asciiTheme="minorHAnsi" w:eastAsiaTheme="minorEastAsia" w:hAnsiTheme="minorHAnsi"/>
          <w:noProof/>
          <w:sz w:val="22"/>
          <w:szCs w:val="22"/>
          <w:lang w:eastAsia="en-AU"/>
        </w:rPr>
      </w:pPr>
      <w:hyperlink w:anchor="_Toc40454741" w:history="1">
        <w:r w:rsidR="000A0826" w:rsidRPr="00CB40CE">
          <w:rPr>
            <w:rStyle w:val="Hyperlink"/>
            <w:noProof/>
          </w:rPr>
          <w:t>Chart D.10 Scatter plot between implied margins as a share of other costs (x), and span of control (y)</w:t>
        </w:r>
        <w:r w:rsidR="000A0826">
          <w:rPr>
            <w:noProof/>
            <w:webHidden/>
          </w:rPr>
          <w:tab/>
        </w:r>
        <w:r w:rsidR="000A0826">
          <w:rPr>
            <w:noProof/>
            <w:webHidden/>
          </w:rPr>
          <w:fldChar w:fldCharType="begin"/>
        </w:r>
        <w:r w:rsidR="000A0826">
          <w:rPr>
            <w:noProof/>
            <w:webHidden/>
          </w:rPr>
          <w:instrText xml:space="preserve"> PAGEREF _Toc40454741 \h </w:instrText>
        </w:r>
        <w:r w:rsidR="000A0826">
          <w:rPr>
            <w:noProof/>
            <w:webHidden/>
          </w:rPr>
        </w:r>
        <w:r w:rsidR="000A0826">
          <w:rPr>
            <w:noProof/>
            <w:webHidden/>
          </w:rPr>
          <w:fldChar w:fldCharType="separate"/>
        </w:r>
        <w:r w:rsidR="00283637">
          <w:rPr>
            <w:noProof/>
            <w:webHidden/>
          </w:rPr>
          <w:t>36</w:t>
        </w:r>
        <w:r w:rsidR="000A0826">
          <w:rPr>
            <w:noProof/>
            <w:webHidden/>
          </w:rPr>
          <w:fldChar w:fldCharType="end"/>
        </w:r>
      </w:hyperlink>
    </w:p>
    <w:p w14:paraId="7F0DA074" w14:textId="38AD5AEF" w:rsidR="000A0826" w:rsidRDefault="00C10F81">
      <w:pPr>
        <w:pStyle w:val="TOC8"/>
        <w:rPr>
          <w:rFonts w:asciiTheme="minorHAnsi" w:eastAsiaTheme="minorEastAsia" w:hAnsiTheme="minorHAnsi"/>
          <w:noProof/>
          <w:sz w:val="22"/>
          <w:szCs w:val="22"/>
          <w:lang w:eastAsia="en-AU"/>
        </w:rPr>
      </w:pPr>
      <w:hyperlink w:anchor="_Toc40454742" w:history="1">
        <w:r w:rsidR="000A0826" w:rsidRPr="00CB40CE">
          <w:rPr>
            <w:rStyle w:val="Hyperlink"/>
            <w:noProof/>
          </w:rPr>
          <w:t>Chart D.11 Scatter plot between staff remuneration (x), and overheads as a share of direct costs (y)</w:t>
        </w:r>
        <w:r w:rsidR="000A0826">
          <w:rPr>
            <w:noProof/>
            <w:webHidden/>
          </w:rPr>
          <w:tab/>
        </w:r>
        <w:r w:rsidR="000A0826">
          <w:rPr>
            <w:noProof/>
            <w:webHidden/>
          </w:rPr>
          <w:fldChar w:fldCharType="begin"/>
        </w:r>
        <w:r w:rsidR="000A0826">
          <w:rPr>
            <w:noProof/>
            <w:webHidden/>
          </w:rPr>
          <w:instrText xml:space="preserve"> PAGEREF _Toc40454742 \h </w:instrText>
        </w:r>
        <w:r w:rsidR="000A0826">
          <w:rPr>
            <w:noProof/>
            <w:webHidden/>
          </w:rPr>
        </w:r>
        <w:r w:rsidR="000A0826">
          <w:rPr>
            <w:noProof/>
            <w:webHidden/>
          </w:rPr>
          <w:fldChar w:fldCharType="separate"/>
        </w:r>
        <w:r w:rsidR="00283637">
          <w:rPr>
            <w:noProof/>
            <w:webHidden/>
          </w:rPr>
          <w:t>37</w:t>
        </w:r>
        <w:r w:rsidR="000A0826">
          <w:rPr>
            <w:noProof/>
            <w:webHidden/>
          </w:rPr>
          <w:fldChar w:fldCharType="end"/>
        </w:r>
      </w:hyperlink>
    </w:p>
    <w:p w14:paraId="48D16BCA" w14:textId="52B5646F" w:rsidR="000A0826" w:rsidRDefault="00C10F81">
      <w:pPr>
        <w:pStyle w:val="TOC8"/>
        <w:rPr>
          <w:rFonts w:asciiTheme="minorHAnsi" w:eastAsiaTheme="minorEastAsia" w:hAnsiTheme="minorHAnsi"/>
          <w:noProof/>
          <w:sz w:val="22"/>
          <w:szCs w:val="22"/>
          <w:lang w:eastAsia="en-AU"/>
        </w:rPr>
      </w:pPr>
      <w:hyperlink w:anchor="_Toc40454743" w:history="1">
        <w:r w:rsidR="000A0826" w:rsidRPr="00CB40CE">
          <w:rPr>
            <w:rStyle w:val="Hyperlink"/>
            <w:noProof/>
          </w:rPr>
          <w:t>Chart D.12 Scatter plot between staff remuneration (x), and utilisation costs (y)</w:t>
        </w:r>
        <w:r w:rsidR="000A0826">
          <w:rPr>
            <w:noProof/>
            <w:webHidden/>
          </w:rPr>
          <w:tab/>
        </w:r>
        <w:r w:rsidR="000A0826">
          <w:rPr>
            <w:noProof/>
            <w:webHidden/>
          </w:rPr>
          <w:fldChar w:fldCharType="begin"/>
        </w:r>
        <w:r w:rsidR="000A0826">
          <w:rPr>
            <w:noProof/>
            <w:webHidden/>
          </w:rPr>
          <w:instrText xml:space="preserve"> PAGEREF _Toc40454743 \h </w:instrText>
        </w:r>
        <w:r w:rsidR="000A0826">
          <w:rPr>
            <w:noProof/>
            <w:webHidden/>
          </w:rPr>
        </w:r>
        <w:r w:rsidR="000A0826">
          <w:rPr>
            <w:noProof/>
            <w:webHidden/>
          </w:rPr>
          <w:fldChar w:fldCharType="separate"/>
        </w:r>
        <w:r w:rsidR="00283637">
          <w:rPr>
            <w:noProof/>
            <w:webHidden/>
          </w:rPr>
          <w:t>37</w:t>
        </w:r>
        <w:r w:rsidR="000A0826">
          <w:rPr>
            <w:noProof/>
            <w:webHidden/>
          </w:rPr>
          <w:fldChar w:fldCharType="end"/>
        </w:r>
      </w:hyperlink>
    </w:p>
    <w:p w14:paraId="252102B8" w14:textId="4E989419" w:rsidR="000A0826" w:rsidRDefault="00C10F81">
      <w:pPr>
        <w:pStyle w:val="TOC8"/>
        <w:rPr>
          <w:rFonts w:asciiTheme="minorHAnsi" w:eastAsiaTheme="minorEastAsia" w:hAnsiTheme="minorHAnsi"/>
          <w:noProof/>
          <w:sz w:val="22"/>
          <w:szCs w:val="22"/>
          <w:lang w:eastAsia="en-AU"/>
        </w:rPr>
      </w:pPr>
      <w:hyperlink w:anchor="_Toc40454744" w:history="1">
        <w:r w:rsidR="000A0826" w:rsidRPr="00CB40CE">
          <w:rPr>
            <w:rStyle w:val="Hyperlink"/>
            <w:noProof/>
          </w:rPr>
          <w:t>Chart D.13 Scatter plot between staff remuneration (x), and span of control (y)</w:t>
        </w:r>
        <w:r w:rsidR="000A0826">
          <w:rPr>
            <w:noProof/>
            <w:webHidden/>
          </w:rPr>
          <w:tab/>
        </w:r>
        <w:r w:rsidR="000A0826">
          <w:rPr>
            <w:noProof/>
            <w:webHidden/>
          </w:rPr>
          <w:fldChar w:fldCharType="begin"/>
        </w:r>
        <w:r w:rsidR="000A0826">
          <w:rPr>
            <w:noProof/>
            <w:webHidden/>
          </w:rPr>
          <w:instrText xml:space="preserve"> PAGEREF _Toc40454744 \h </w:instrText>
        </w:r>
        <w:r w:rsidR="000A0826">
          <w:rPr>
            <w:noProof/>
            <w:webHidden/>
          </w:rPr>
        </w:r>
        <w:r w:rsidR="000A0826">
          <w:rPr>
            <w:noProof/>
            <w:webHidden/>
          </w:rPr>
          <w:fldChar w:fldCharType="separate"/>
        </w:r>
        <w:r w:rsidR="00283637">
          <w:rPr>
            <w:noProof/>
            <w:webHidden/>
          </w:rPr>
          <w:t>38</w:t>
        </w:r>
        <w:r w:rsidR="000A0826">
          <w:rPr>
            <w:noProof/>
            <w:webHidden/>
          </w:rPr>
          <w:fldChar w:fldCharType="end"/>
        </w:r>
      </w:hyperlink>
    </w:p>
    <w:p w14:paraId="7E721A9E" w14:textId="2FEE435A" w:rsidR="000A0826" w:rsidRDefault="00C10F81">
      <w:pPr>
        <w:pStyle w:val="TOC8"/>
        <w:rPr>
          <w:rFonts w:asciiTheme="minorHAnsi" w:eastAsiaTheme="minorEastAsia" w:hAnsiTheme="minorHAnsi"/>
          <w:noProof/>
          <w:sz w:val="22"/>
          <w:szCs w:val="22"/>
          <w:lang w:eastAsia="en-AU"/>
        </w:rPr>
      </w:pPr>
      <w:hyperlink w:anchor="_Toc40454745" w:history="1">
        <w:r w:rsidR="000A0826" w:rsidRPr="00CB40CE">
          <w:rPr>
            <w:rStyle w:val="Hyperlink"/>
            <w:noProof/>
          </w:rPr>
          <w:t>Chart D.14 Scatter plot between staff remuneration (x), and implied margins as a share of other costs (y)</w:t>
        </w:r>
        <w:r w:rsidR="000A0826">
          <w:rPr>
            <w:noProof/>
            <w:webHidden/>
          </w:rPr>
          <w:tab/>
        </w:r>
        <w:r w:rsidR="000A0826">
          <w:rPr>
            <w:noProof/>
            <w:webHidden/>
          </w:rPr>
          <w:fldChar w:fldCharType="begin"/>
        </w:r>
        <w:r w:rsidR="000A0826">
          <w:rPr>
            <w:noProof/>
            <w:webHidden/>
          </w:rPr>
          <w:instrText xml:space="preserve"> PAGEREF _Toc40454745 \h </w:instrText>
        </w:r>
        <w:r w:rsidR="000A0826">
          <w:rPr>
            <w:noProof/>
            <w:webHidden/>
          </w:rPr>
        </w:r>
        <w:r w:rsidR="000A0826">
          <w:rPr>
            <w:noProof/>
            <w:webHidden/>
          </w:rPr>
          <w:fldChar w:fldCharType="separate"/>
        </w:r>
        <w:r w:rsidR="00283637">
          <w:rPr>
            <w:noProof/>
            <w:webHidden/>
          </w:rPr>
          <w:t>38</w:t>
        </w:r>
        <w:r w:rsidR="000A0826">
          <w:rPr>
            <w:noProof/>
            <w:webHidden/>
          </w:rPr>
          <w:fldChar w:fldCharType="end"/>
        </w:r>
      </w:hyperlink>
    </w:p>
    <w:p w14:paraId="7A740E10" w14:textId="630BB1EC" w:rsidR="000A0826" w:rsidRDefault="00C10F81">
      <w:pPr>
        <w:pStyle w:val="TOC8"/>
        <w:rPr>
          <w:rFonts w:asciiTheme="minorHAnsi" w:eastAsiaTheme="minorEastAsia" w:hAnsiTheme="minorHAnsi"/>
          <w:noProof/>
          <w:sz w:val="22"/>
          <w:szCs w:val="22"/>
          <w:lang w:eastAsia="en-AU"/>
        </w:rPr>
      </w:pPr>
      <w:hyperlink w:anchor="_Toc40454746" w:history="1">
        <w:r w:rsidR="000A0826" w:rsidRPr="00CB40CE">
          <w:rPr>
            <w:rStyle w:val="Hyperlink"/>
            <w:noProof/>
          </w:rPr>
          <w:t>Chart D.15 Scatter plot between staff remuneration (x), and permanent employment rate (y)</w:t>
        </w:r>
        <w:r w:rsidR="000A0826">
          <w:rPr>
            <w:noProof/>
            <w:webHidden/>
          </w:rPr>
          <w:tab/>
        </w:r>
        <w:r w:rsidR="000A0826">
          <w:rPr>
            <w:noProof/>
            <w:webHidden/>
          </w:rPr>
          <w:fldChar w:fldCharType="begin"/>
        </w:r>
        <w:r w:rsidR="000A0826">
          <w:rPr>
            <w:noProof/>
            <w:webHidden/>
          </w:rPr>
          <w:instrText xml:space="preserve"> PAGEREF _Toc40454746 \h </w:instrText>
        </w:r>
        <w:r w:rsidR="000A0826">
          <w:rPr>
            <w:noProof/>
            <w:webHidden/>
          </w:rPr>
        </w:r>
        <w:r w:rsidR="000A0826">
          <w:rPr>
            <w:noProof/>
            <w:webHidden/>
          </w:rPr>
          <w:fldChar w:fldCharType="separate"/>
        </w:r>
        <w:r w:rsidR="00283637">
          <w:rPr>
            <w:noProof/>
            <w:webHidden/>
          </w:rPr>
          <w:t>39</w:t>
        </w:r>
        <w:r w:rsidR="000A0826">
          <w:rPr>
            <w:noProof/>
            <w:webHidden/>
          </w:rPr>
          <w:fldChar w:fldCharType="end"/>
        </w:r>
      </w:hyperlink>
    </w:p>
    <w:p w14:paraId="7214FB73" w14:textId="579AB76C" w:rsidR="00446242" w:rsidRDefault="00446242" w:rsidP="00446242">
      <w:r>
        <w:fldChar w:fldCharType="end"/>
      </w:r>
    </w:p>
    <w:bookmarkEnd w:id="7"/>
    <w:p w14:paraId="617147F9" w14:textId="77777777" w:rsidR="00F9113D" w:rsidRDefault="00F9113D" w:rsidP="00485C27"/>
    <w:p w14:paraId="0BD0F4F1" w14:textId="560D909A" w:rsidR="00446242" w:rsidRDefault="00446242" w:rsidP="00485C27">
      <w:pPr>
        <w:sectPr w:rsidR="00446242" w:rsidSect="005F043A">
          <w:footerReference w:type="default" r:id="rId18"/>
          <w:pgSz w:w="11906" w:h="16838" w:code="9"/>
          <w:pgMar w:top="1440" w:right="1440" w:bottom="1440" w:left="1440" w:header="680" w:footer="425" w:gutter="0"/>
          <w:cols w:space="284"/>
          <w:noEndnote/>
          <w:docGrid w:linePitch="360"/>
        </w:sectPr>
      </w:pPr>
    </w:p>
    <w:p w14:paraId="6A51740D" w14:textId="77777777" w:rsidR="00BF3260" w:rsidRDefault="00BF3260" w:rsidP="00BF3260">
      <w:pPr>
        <w:pStyle w:val="Heading1un-numbered"/>
      </w:pPr>
      <w:bookmarkStart w:id="8" w:name="_Toc462313127"/>
      <w:bookmarkStart w:id="9" w:name="_Toc462317836"/>
      <w:bookmarkStart w:id="10" w:name="_Toc462397801"/>
      <w:bookmarkStart w:id="11" w:name="_Toc463002428"/>
      <w:bookmarkStart w:id="12" w:name="_Toc472586340"/>
      <w:bookmarkStart w:id="13" w:name="_Toc482168118"/>
      <w:bookmarkStart w:id="14" w:name="_Toc482174905"/>
      <w:bookmarkStart w:id="15" w:name="_Toc40454608"/>
      <w:r>
        <w:lastRenderedPageBreak/>
        <w:t>Glossary</w:t>
      </w:r>
      <w:bookmarkEnd w:id="8"/>
      <w:bookmarkEnd w:id="9"/>
      <w:bookmarkEnd w:id="10"/>
      <w:bookmarkEnd w:id="11"/>
      <w:bookmarkEnd w:id="12"/>
      <w:bookmarkEnd w:id="13"/>
      <w:bookmarkEnd w:id="14"/>
      <w:bookmarkEnd w:id="15"/>
    </w:p>
    <w:tbl>
      <w:tblPr>
        <w:tblStyle w:val="Deloittetable"/>
        <w:tblW w:w="5000" w:type="pct"/>
        <w:tblLook w:val="04A0" w:firstRow="1" w:lastRow="0" w:firstColumn="1" w:lastColumn="0" w:noHBand="0" w:noVBand="1"/>
      </w:tblPr>
      <w:tblGrid>
        <w:gridCol w:w="2771"/>
        <w:gridCol w:w="6255"/>
      </w:tblGrid>
      <w:tr w:rsidR="00BF3260" w:rsidRPr="00D32EEC" w14:paraId="2B16EA1A" w14:textId="77777777" w:rsidTr="007854F9">
        <w:trPr>
          <w:cnfStyle w:val="100000000000" w:firstRow="1" w:lastRow="0" w:firstColumn="0" w:lastColumn="0" w:oddVBand="0" w:evenVBand="0" w:oddHBand="0" w:evenHBand="0" w:firstRowFirstColumn="0" w:firstRowLastColumn="0" w:lastRowFirstColumn="0" w:lastRowLastColumn="0"/>
        </w:trPr>
        <w:tc>
          <w:tcPr>
            <w:tcW w:w="1535" w:type="pct"/>
          </w:tcPr>
          <w:p w14:paraId="51DE00E5" w14:textId="77777777" w:rsidR="00BF3260" w:rsidRPr="00D32EEC" w:rsidRDefault="002B4164" w:rsidP="005D550E">
            <w:pPr>
              <w:pStyle w:val="TabletextLeft"/>
              <w:rPr>
                <w:b/>
                <w:bCs/>
              </w:rPr>
            </w:pPr>
            <w:r w:rsidRPr="00D32EEC">
              <w:rPr>
                <w:b/>
                <w:bCs/>
              </w:rPr>
              <w:t>Acronym</w:t>
            </w:r>
          </w:p>
        </w:tc>
        <w:tc>
          <w:tcPr>
            <w:tcW w:w="3465" w:type="pct"/>
          </w:tcPr>
          <w:p w14:paraId="4CD539CA" w14:textId="77777777" w:rsidR="00BF3260" w:rsidRPr="00D32EEC" w:rsidRDefault="002B4164" w:rsidP="005D550E">
            <w:pPr>
              <w:pStyle w:val="TabletextLeft"/>
              <w:rPr>
                <w:b/>
                <w:bCs/>
              </w:rPr>
            </w:pPr>
            <w:r w:rsidRPr="00D32EEC">
              <w:rPr>
                <w:b/>
                <w:bCs/>
              </w:rPr>
              <w:t>Full name</w:t>
            </w:r>
          </w:p>
        </w:tc>
      </w:tr>
      <w:tr w:rsidR="002411F0" w:rsidRPr="004B4D01" w14:paraId="574163E4" w14:textId="77777777" w:rsidTr="007854F9">
        <w:tc>
          <w:tcPr>
            <w:tcW w:w="1535" w:type="pct"/>
          </w:tcPr>
          <w:p w14:paraId="0FF3EED7" w14:textId="73ADFD88" w:rsidR="002411F0" w:rsidRDefault="002411F0" w:rsidP="005D550E">
            <w:pPr>
              <w:pStyle w:val="TabletextLeft"/>
            </w:pPr>
            <w:r>
              <w:t>DSW</w:t>
            </w:r>
          </w:p>
        </w:tc>
        <w:tc>
          <w:tcPr>
            <w:tcW w:w="3465" w:type="pct"/>
          </w:tcPr>
          <w:p w14:paraId="1C1E737E" w14:textId="1EAED1BA" w:rsidR="002411F0" w:rsidRDefault="001B4EB7" w:rsidP="005D550E">
            <w:pPr>
              <w:pStyle w:val="TabletextLeft"/>
            </w:pPr>
            <w:r>
              <w:t>d</w:t>
            </w:r>
            <w:r w:rsidR="002411F0">
              <w:t xml:space="preserve">isability </w:t>
            </w:r>
            <w:r>
              <w:t>s</w:t>
            </w:r>
            <w:r w:rsidR="002411F0">
              <w:t xml:space="preserve">upport </w:t>
            </w:r>
            <w:r>
              <w:t>w</w:t>
            </w:r>
            <w:r w:rsidR="002411F0">
              <w:t>orker</w:t>
            </w:r>
          </w:p>
        </w:tc>
      </w:tr>
      <w:tr w:rsidR="002A6D26" w:rsidRPr="004B4D01" w14:paraId="40598986" w14:textId="77777777" w:rsidTr="007854F9">
        <w:tc>
          <w:tcPr>
            <w:tcW w:w="1535" w:type="pct"/>
          </w:tcPr>
          <w:p w14:paraId="1E679B13" w14:textId="1AF8AFB7" w:rsidR="002A6D26" w:rsidRDefault="002A6D26" w:rsidP="005D550E">
            <w:pPr>
              <w:pStyle w:val="TabletextLeft"/>
            </w:pPr>
            <w:r>
              <w:t>FLS</w:t>
            </w:r>
          </w:p>
        </w:tc>
        <w:tc>
          <w:tcPr>
            <w:tcW w:w="3465" w:type="pct"/>
          </w:tcPr>
          <w:p w14:paraId="07B4DB9B" w14:textId="1615F38F" w:rsidR="002A6D26" w:rsidRDefault="001B4EB7" w:rsidP="005D550E">
            <w:pPr>
              <w:pStyle w:val="TabletextLeft"/>
            </w:pPr>
            <w:r>
              <w:t>f</w:t>
            </w:r>
            <w:r w:rsidR="002A6D26">
              <w:t>ront</w:t>
            </w:r>
            <w:r>
              <w:t>-l</w:t>
            </w:r>
            <w:r w:rsidR="002A6D26">
              <w:t xml:space="preserve">ine </w:t>
            </w:r>
            <w:r>
              <w:t>s</w:t>
            </w:r>
            <w:r w:rsidR="002A6D26">
              <w:t>upervisor</w:t>
            </w:r>
          </w:p>
        </w:tc>
      </w:tr>
      <w:tr w:rsidR="00603D55" w:rsidRPr="004B4D01" w14:paraId="676D1A51" w14:textId="77777777" w:rsidTr="007854F9">
        <w:tc>
          <w:tcPr>
            <w:tcW w:w="1535" w:type="pct"/>
          </w:tcPr>
          <w:p w14:paraId="4E23183E" w14:textId="5943243C" w:rsidR="00603D55" w:rsidRDefault="00603D55" w:rsidP="005D550E">
            <w:pPr>
              <w:pStyle w:val="TabletextLeft"/>
            </w:pPr>
            <w:r>
              <w:t>IQR</w:t>
            </w:r>
          </w:p>
        </w:tc>
        <w:tc>
          <w:tcPr>
            <w:tcW w:w="3465" w:type="pct"/>
          </w:tcPr>
          <w:p w14:paraId="3365E774" w14:textId="7FB85A52" w:rsidR="00603D55" w:rsidRDefault="001B4EB7" w:rsidP="005D550E">
            <w:pPr>
              <w:pStyle w:val="TabletextLeft"/>
            </w:pPr>
            <w:r>
              <w:t>i</w:t>
            </w:r>
            <w:r w:rsidR="00603D55">
              <w:t xml:space="preserve">nterquartile </w:t>
            </w:r>
            <w:r>
              <w:t>r</w:t>
            </w:r>
            <w:r w:rsidR="00603D55">
              <w:t>ange</w:t>
            </w:r>
          </w:p>
        </w:tc>
      </w:tr>
      <w:tr w:rsidR="001B4EB7" w:rsidRPr="004B4D01" w14:paraId="27E615EE" w14:textId="77777777" w:rsidTr="007854F9">
        <w:tc>
          <w:tcPr>
            <w:tcW w:w="1535" w:type="pct"/>
          </w:tcPr>
          <w:p w14:paraId="1755D163" w14:textId="4563AD0B" w:rsidR="001B4EB7" w:rsidRDefault="001B4EB7" w:rsidP="005D550E">
            <w:pPr>
              <w:pStyle w:val="TabletextLeft"/>
            </w:pPr>
            <w:r>
              <w:t>LHS</w:t>
            </w:r>
          </w:p>
        </w:tc>
        <w:tc>
          <w:tcPr>
            <w:tcW w:w="3465" w:type="pct"/>
          </w:tcPr>
          <w:p w14:paraId="524E7B89" w14:textId="63F31421" w:rsidR="001B4EB7" w:rsidRDefault="001B4EB7" w:rsidP="005D550E">
            <w:pPr>
              <w:pStyle w:val="TabletextLeft"/>
            </w:pPr>
            <w:r>
              <w:t>left hand side</w:t>
            </w:r>
          </w:p>
        </w:tc>
      </w:tr>
      <w:tr w:rsidR="00BF3260" w:rsidRPr="004B4D01" w14:paraId="5D7263EB" w14:textId="77777777" w:rsidTr="007854F9">
        <w:tc>
          <w:tcPr>
            <w:tcW w:w="1535" w:type="pct"/>
          </w:tcPr>
          <w:p w14:paraId="291FBA9E" w14:textId="2BAF83E4" w:rsidR="00BF3260" w:rsidRPr="005D550E" w:rsidRDefault="002411F0" w:rsidP="005D550E">
            <w:pPr>
              <w:pStyle w:val="TabletextLeft"/>
            </w:pPr>
            <w:r>
              <w:t>NDIA</w:t>
            </w:r>
          </w:p>
        </w:tc>
        <w:tc>
          <w:tcPr>
            <w:tcW w:w="3465" w:type="pct"/>
          </w:tcPr>
          <w:p w14:paraId="41470AB4" w14:textId="6A8A90AC" w:rsidR="00BF3260" w:rsidRPr="005D550E" w:rsidRDefault="002411F0" w:rsidP="005D550E">
            <w:pPr>
              <w:pStyle w:val="TabletextLeft"/>
            </w:pPr>
            <w:r>
              <w:t>National Disability Insurance Agency</w:t>
            </w:r>
          </w:p>
        </w:tc>
      </w:tr>
      <w:tr w:rsidR="002411F0" w:rsidRPr="004B4D01" w14:paraId="4B53D15F" w14:textId="77777777" w:rsidTr="007854F9">
        <w:tc>
          <w:tcPr>
            <w:tcW w:w="1535" w:type="pct"/>
          </w:tcPr>
          <w:p w14:paraId="12EA5BE8" w14:textId="4854C01F" w:rsidR="002411F0" w:rsidRDefault="002411F0" w:rsidP="005D550E">
            <w:pPr>
              <w:pStyle w:val="TabletextLeft"/>
            </w:pPr>
            <w:r>
              <w:t>NDIS</w:t>
            </w:r>
          </w:p>
        </w:tc>
        <w:tc>
          <w:tcPr>
            <w:tcW w:w="3465" w:type="pct"/>
          </w:tcPr>
          <w:p w14:paraId="43D48735" w14:textId="5CF5D3E7" w:rsidR="002411F0" w:rsidRDefault="002411F0" w:rsidP="005D550E">
            <w:pPr>
              <w:pStyle w:val="TabletextLeft"/>
            </w:pPr>
            <w:r>
              <w:t>National Disability Insurance Scheme</w:t>
            </w:r>
          </w:p>
        </w:tc>
      </w:tr>
      <w:tr w:rsidR="00786E21" w:rsidRPr="004B4D01" w14:paraId="3E3E93D7" w14:textId="77777777" w:rsidTr="007854F9">
        <w:tc>
          <w:tcPr>
            <w:tcW w:w="1535" w:type="pct"/>
          </w:tcPr>
          <w:p w14:paraId="4D74C3DA" w14:textId="00ED852D" w:rsidR="00786E21" w:rsidRDefault="00786E21" w:rsidP="005D550E">
            <w:pPr>
              <w:pStyle w:val="TabletextLeft"/>
            </w:pPr>
            <w:r>
              <w:t>P</w:t>
            </w:r>
            <w:r w:rsidR="00117472">
              <w:t>D</w:t>
            </w:r>
            <w:r>
              <w:t>F</w:t>
            </w:r>
          </w:p>
        </w:tc>
        <w:tc>
          <w:tcPr>
            <w:tcW w:w="3465" w:type="pct"/>
          </w:tcPr>
          <w:p w14:paraId="138A5DD6" w14:textId="3BDB5AFE" w:rsidR="00786E21" w:rsidRDefault="001B4EB7" w:rsidP="005D550E">
            <w:pPr>
              <w:pStyle w:val="TabletextLeft"/>
            </w:pPr>
            <w:r>
              <w:t>p</w:t>
            </w:r>
            <w:r w:rsidR="00786E21">
              <w:t xml:space="preserve">robability </w:t>
            </w:r>
            <w:r>
              <w:t>d</w:t>
            </w:r>
            <w:r w:rsidR="00117472">
              <w:t>ensity</w:t>
            </w:r>
            <w:r w:rsidR="00786E21">
              <w:t xml:space="preserve"> </w:t>
            </w:r>
            <w:r>
              <w:t>f</w:t>
            </w:r>
            <w:r w:rsidR="00786E21">
              <w:t>unction</w:t>
            </w:r>
          </w:p>
        </w:tc>
      </w:tr>
      <w:tr w:rsidR="001B4EB7" w:rsidRPr="004B4D01" w14:paraId="0C62D057" w14:textId="77777777" w:rsidTr="007854F9">
        <w:tc>
          <w:tcPr>
            <w:tcW w:w="1535" w:type="pct"/>
          </w:tcPr>
          <w:p w14:paraId="1794A13D" w14:textId="4C497E65" w:rsidR="001B4EB7" w:rsidRDefault="001B4EB7" w:rsidP="005D550E">
            <w:pPr>
              <w:pStyle w:val="TabletextLeft"/>
            </w:pPr>
            <w:r>
              <w:t>RHS</w:t>
            </w:r>
          </w:p>
        </w:tc>
        <w:tc>
          <w:tcPr>
            <w:tcW w:w="3465" w:type="pct"/>
          </w:tcPr>
          <w:p w14:paraId="3BFA4CD8" w14:textId="610E0398" w:rsidR="001B4EB7" w:rsidRDefault="001B4EB7" w:rsidP="005D550E">
            <w:pPr>
              <w:pStyle w:val="TabletextLeft"/>
            </w:pPr>
            <w:r>
              <w:t>right hand side</w:t>
            </w:r>
          </w:p>
        </w:tc>
      </w:tr>
      <w:tr w:rsidR="002411F0" w:rsidRPr="004B4D01" w14:paraId="7E143BC4" w14:textId="77777777" w:rsidTr="007854F9">
        <w:tc>
          <w:tcPr>
            <w:tcW w:w="1535" w:type="pct"/>
          </w:tcPr>
          <w:p w14:paraId="695DD379" w14:textId="1B5322EB" w:rsidR="002411F0" w:rsidRDefault="002411F0" w:rsidP="005D550E">
            <w:pPr>
              <w:pStyle w:val="TabletextLeft"/>
            </w:pPr>
            <w:r>
              <w:t>SCHADS</w:t>
            </w:r>
          </w:p>
        </w:tc>
        <w:tc>
          <w:tcPr>
            <w:tcW w:w="3465" w:type="pct"/>
          </w:tcPr>
          <w:p w14:paraId="4F86B680" w14:textId="3E2FBD3B" w:rsidR="002411F0" w:rsidRDefault="002411F0" w:rsidP="005D550E">
            <w:pPr>
              <w:pStyle w:val="TabletextLeft"/>
            </w:pPr>
            <w:r>
              <w:t>Social, Community, Home Care and Disability Services</w:t>
            </w:r>
          </w:p>
        </w:tc>
      </w:tr>
      <w:tr w:rsidR="002411F0" w:rsidRPr="004B4D01" w14:paraId="267EBCD1" w14:textId="77777777" w:rsidTr="007854F9">
        <w:tc>
          <w:tcPr>
            <w:tcW w:w="1535" w:type="pct"/>
          </w:tcPr>
          <w:p w14:paraId="25C843C0" w14:textId="12CF74EC" w:rsidR="002411F0" w:rsidRDefault="002411F0" w:rsidP="005D550E">
            <w:pPr>
              <w:pStyle w:val="TabletextLeft"/>
            </w:pPr>
            <w:r>
              <w:t>TTP</w:t>
            </w:r>
          </w:p>
        </w:tc>
        <w:tc>
          <w:tcPr>
            <w:tcW w:w="3465" w:type="pct"/>
          </w:tcPr>
          <w:p w14:paraId="0EDBEF79" w14:textId="03C450AE" w:rsidR="002411F0" w:rsidRDefault="002411F0" w:rsidP="005D550E">
            <w:pPr>
              <w:pStyle w:val="TabletextLeft"/>
            </w:pPr>
            <w:r>
              <w:t>Temporary Transformation Payment</w:t>
            </w:r>
          </w:p>
        </w:tc>
      </w:tr>
    </w:tbl>
    <w:p w14:paraId="7EC43EE9" w14:textId="77777777" w:rsidR="00F9113D" w:rsidRPr="00672300" w:rsidRDefault="00F9113D" w:rsidP="00672300">
      <w:pPr>
        <w:sectPr w:rsidR="00F9113D" w:rsidRPr="00672300" w:rsidSect="005F043A">
          <w:headerReference w:type="default" r:id="rId19"/>
          <w:footerReference w:type="default" r:id="rId20"/>
          <w:pgSz w:w="11906" w:h="16838" w:code="9"/>
          <w:pgMar w:top="1440" w:right="1440" w:bottom="1440" w:left="1440" w:header="680" w:footer="425" w:gutter="0"/>
          <w:pgNumType w:fmt="lowerRoman" w:start="1"/>
          <w:cols w:space="284"/>
          <w:noEndnote/>
          <w:docGrid w:linePitch="360"/>
        </w:sectPr>
      </w:pPr>
    </w:p>
    <w:p w14:paraId="6B8E7378" w14:textId="1A6CAB1E" w:rsidR="00BF3260" w:rsidRDefault="005E21A8" w:rsidP="001B4EB7">
      <w:pPr>
        <w:pStyle w:val="Heading1"/>
        <w:pageBreakBefore w:val="0"/>
      </w:pPr>
      <w:bookmarkStart w:id="16" w:name="_Toc40361806"/>
      <w:bookmarkStart w:id="17" w:name="_Toc40454609"/>
      <w:bookmarkStart w:id="18" w:name="_Toc40361807"/>
      <w:bookmarkStart w:id="19" w:name="_Toc40454610"/>
      <w:bookmarkStart w:id="20" w:name="_Toc40361808"/>
      <w:bookmarkStart w:id="21" w:name="_Toc40454611"/>
      <w:bookmarkStart w:id="22" w:name="_Toc40361809"/>
      <w:bookmarkStart w:id="23" w:name="_Toc40454612"/>
      <w:bookmarkStart w:id="24" w:name="_Toc40361810"/>
      <w:bookmarkStart w:id="25" w:name="_Toc40454613"/>
      <w:bookmarkStart w:id="26" w:name="_Toc40361811"/>
      <w:bookmarkStart w:id="27" w:name="_Toc40454614"/>
      <w:bookmarkStart w:id="28" w:name="_Toc40361812"/>
      <w:bookmarkStart w:id="29" w:name="_Toc40454615"/>
      <w:bookmarkStart w:id="30" w:name="_Toc40361813"/>
      <w:bookmarkStart w:id="31" w:name="_Toc40454616"/>
      <w:bookmarkStart w:id="32" w:name="_Toc40361814"/>
      <w:bookmarkStart w:id="33" w:name="_Toc40454617"/>
      <w:bookmarkStart w:id="34" w:name="_Toc40361815"/>
      <w:bookmarkStart w:id="35" w:name="_Toc40454618"/>
      <w:bookmarkStart w:id="36" w:name="_Toc40361816"/>
      <w:bookmarkStart w:id="37" w:name="_Toc40454619"/>
      <w:bookmarkStart w:id="38" w:name="_Toc40361817"/>
      <w:bookmarkStart w:id="39" w:name="_Toc40454620"/>
      <w:bookmarkStart w:id="40" w:name="_Toc40361818"/>
      <w:bookmarkStart w:id="41" w:name="_Toc40454621"/>
      <w:bookmarkStart w:id="42" w:name="_Toc40361819"/>
      <w:bookmarkStart w:id="43" w:name="_Toc40454622"/>
      <w:bookmarkStart w:id="44" w:name="_Toc40361820"/>
      <w:bookmarkStart w:id="45" w:name="_Toc40454623"/>
      <w:bookmarkStart w:id="46" w:name="_Toc40361821"/>
      <w:bookmarkStart w:id="47" w:name="_Toc40454624"/>
      <w:bookmarkStart w:id="48" w:name="_Toc40361822"/>
      <w:bookmarkStart w:id="49" w:name="_Toc40454625"/>
      <w:bookmarkStart w:id="50" w:name="_Toc40361823"/>
      <w:bookmarkStart w:id="51" w:name="_Toc40454626"/>
      <w:bookmarkStart w:id="52" w:name="_Toc40361824"/>
      <w:bookmarkStart w:id="53" w:name="_Toc40454627"/>
      <w:bookmarkStart w:id="54" w:name="_Toc40361825"/>
      <w:bookmarkStart w:id="55" w:name="_Toc40454628"/>
      <w:bookmarkStart w:id="56" w:name="_Toc40361826"/>
      <w:bookmarkStart w:id="57" w:name="_Toc40454629"/>
      <w:bookmarkStart w:id="58" w:name="_Toc40361827"/>
      <w:bookmarkStart w:id="59" w:name="_Toc40454630"/>
      <w:bookmarkStart w:id="60" w:name="_Toc40361828"/>
      <w:bookmarkStart w:id="61" w:name="_Toc40454631"/>
      <w:bookmarkStart w:id="62" w:name="_Toc40361829"/>
      <w:bookmarkStart w:id="63" w:name="_Toc40454632"/>
      <w:bookmarkStart w:id="64" w:name="_Toc40361830"/>
      <w:bookmarkStart w:id="65" w:name="_Toc40454633"/>
      <w:bookmarkStart w:id="66" w:name="_Toc40361831"/>
      <w:bookmarkStart w:id="67" w:name="_Toc40454634"/>
      <w:bookmarkStart w:id="68" w:name="_Toc40361832"/>
      <w:bookmarkStart w:id="69" w:name="_Toc40454635"/>
      <w:bookmarkStart w:id="70" w:name="_Toc40361833"/>
      <w:bookmarkStart w:id="71" w:name="_Toc40454636"/>
      <w:bookmarkStart w:id="72" w:name="_Toc40361834"/>
      <w:bookmarkStart w:id="73" w:name="_Toc40454637"/>
      <w:bookmarkStart w:id="74" w:name="_Toc40361835"/>
      <w:bookmarkStart w:id="75" w:name="_Toc40454638"/>
      <w:bookmarkStart w:id="76" w:name="_Toc40361836"/>
      <w:bookmarkStart w:id="77" w:name="_Toc40454639"/>
      <w:bookmarkStart w:id="78" w:name="_Toc40361837"/>
      <w:bookmarkStart w:id="79" w:name="_Toc40454640"/>
      <w:bookmarkStart w:id="80" w:name="_Toc40361838"/>
      <w:bookmarkStart w:id="81" w:name="_Toc40454641"/>
      <w:bookmarkStart w:id="82" w:name="_Toc40454642"/>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lastRenderedPageBreak/>
        <w:t>Introduction</w:t>
      </w:r>
      <w:bookmarkEnd w:id="82"/>
    </w:p>
    <w:p w14:paraId="574DDB0D" w14:textId="01544075" w:rsidR="003C29AF" w:rsidRDefault="003C29AF" w:rsidP="00D5761F">
      <w:r>
        <w:t xml:space="preserve">The National Disability Insurance Scheme (NDIS), as administered by the National Disability Insurance Agency (NDIA), provides disability support for over 300,000 people with disabilities, </w:t>
      </w:r>
      <w:r w:rsidR="00D22EEE">
        <w:t xml:space="preserve">and is </w:t>
      </w:r>
      <w:r>
        <w:t>expected to increase to 500,000 by 2025.</w:t>
      </w:r>
      <w:r w:rsidR="00D55CF5">
        <w:rPr>
          <w:rStyle w:val="FootnoteReference"/>
        </w:rPr>
        <w:footnoteReference w:id="1"/>
      </w:r>
    </w:p>
    <w:p w14:paraId="5CDF6964" w14:textId="454C03CB" w:rsidR="00D55CF5" w:rsidRDefault="003C29AF" w:rsidP="00D5761F">
      <w:r>
        <w:t>Designed to work as a deregulated market of service providers, the cost of services under the NDIS is one of the most important factors in ensuring value for participants, the correct provision of care, and the long</w:t>
      </w:r>
      <w:r>
        <w:noBreakHyphen/>
        <w:t xml:space="preserve">term viability of the </w:t>
      </w:r>
      <w:r w:rsidR="00D22EEE">
        <w:t>S</w:t>
      </w:r>
      <w:r>
        <w:t>cheme in supporting Australians with a disability. The NDIA acts as a steward of the NDIS through imposing regulations and subsidies as the market continues to adapt, until efficient prices can be fully realised and the correct mix of disability services has been established</w:t>
      </w:r>
      <w:r w:rsidR="00D5761F">
        <w:t>.</w:t>
      </w:r>
      <w:r w:rsidR="00D55CF5">
        <w:rPr>
          <w:rStyle w:val="FootnoteReference"/>
        </w:rPr>
        <w:footnoteReference w:id="2"/>
      </w:r>
      <w:r>
        <w:t xml:space="preserve"> These regulations include the imposition of price caps on different support types and use of quotable supports in which the NDIA verify the price of a service as appropriate before funding it. Collectively, the NDIA stewardship regarding pricing and regulation is set out in the NDIS Pricing Strategy</w:t>
      </w:r>
      <w:r w:rsidR="00D55CF5">
        <w:t>.</w:t>
      </w:r>
      <w:r w:rsidR="00D55CF5">
        <w:rPr>
          <w:rStyle w:val="FootnoteReference"/>
        </w:rPr>
        <w:footnoteReference w:id="3"/>
      </w:r>
    </w:p>
    <w:p w14:paraId="4C7526BB" w14:textId="6D5F3FFF" w:rsidR="003C29AF" w:rsidRDefault="003C29AF" w:rsidP="00D5761F">
      <w:r>
        <w:t>To underpin the price control</w:t>
      </w:r>
      <w:r w:rsidR="00D22EEE">
        <w:t>s</w:t>
      </w:r>
      <w:r>
        <w:t xml:space="preserve"> of services</w:t>
      </w:r>
      <w:r w:rsidR="00D5761F">
        <w:t>,</w:t>
      </w:r>
      <w:r>
        <w:t xml:space="preserve"> the NDIA employs a Cost Model</w:t>
      </w:r>
      <w:r w:rsidR="00D55CF5">
        <w:rPr>
          <w:rStyle w:val="FootnoteReference"/>
        </w:rPr>
        <w:footnoteReference w:id="4"/>
      </w:r>
      <w:r>
        <w:t xml:space="preserve"> which estimates the cost of service provision by </w:t>
      </w:r>
      <w:r w:rsidR="009C62C2">
        <w:t>D</w:t>
      </w:r>
      <w:r>
        <w:t xml:space="preserve">isability </w:t>
      </w:r>
      <w:r w:rsidR="009C62C2">
        <w:t>S</w:t>
      </w:r>
      <w:r>
        <w:t xml:space="preserve">upport </w:t>
      </w:r>
      <w:r w:rsidR="009C62C2">
        <w:t>W</w:t>
      </w:r>
      <w:r>
        <w:t>orkers</w:t>
      </w:r>
      <w:r w:rsidR="00D55CF5">
        <w:t xml:space="preserve"> (DSWs)</w:t>
      </w:r>
      <w:r>
        <w:t xml:space="preserve"> who deliver NDIS services. The model considers multiple factors including wage awards, leave and non</w:t>
      </w:r>
      <w:r>
        <w:noBreakHyphen/>
        <w:t xml:space="preserve">billable time, supervision and corporate overheads. The output of this model is used to guide price controls for attendant care and community participation support provided by </w:t>
      </w:r>
      <w:r w:rsidR="00D55CF5">
        <w:t>DSWs</w:t>
      </w:r>
      <w:r>
        <w:t>. As such, the Cost Model is a key component in</w:t>
      </w:r>
      <w:r w:rsidR="007239D4">
        <w:t xml:space="preserve"> monitoring and</w:t>
      </w:r>
      <w:r>
        <w:t xml:space="preserve"> regulating the cost of services under the NDIS, with the aim to maintain and grow supply of services for projected future demand.</w:t>
      </w:r>
    </w:p>
    <w:p w14:paraId="52E69246" w14:textId="7DE17DA3" w:rsidR="003C1BB4" w:rsidRPr="003C1BB4" w:rsidRDefault="003C1BB4" w:rsidP="00D5761F">
      <w:pPr>
        <w:rPr>
          <w:sz w:val="24"/>
          <w:szCs w:val="24"/>
        </w:rPr>
      </w:pPr>
      <w:r w:rsidRPr="003C1BB4">
        <w:t xml:space="preserve">NDIS </w:t>
      </w:r>
      <w:r w:rsidR="00177528" w:rsidRPr="003C1BB4">
        <w:t>providers have access to a Temporary Transformation Payment (</w:t>
      </w:r>
      <w:r w:rsidR="00177528" w:rsidRPr="003C1BB4">
        <w:rPr>
          <w:spacing w:val="-9"/>
        </w:rPr>
        <w:t>TTP) from July 2</w:t>
      </w:r>
      <w:r w:rsidR="00177528" w:rsidRPr="003C1BB4">
        <w:t xml:space="preserve">019, providing a 7.5% loading on top of the current price control limit. This payment is provided to assist </w:t>
      </w:r>
      <w:r w:rsidR="002E3633">
        <w:t>providers as they transition to a competitive, market-based price for their services</w:t>
      </w:r>
      <w:r w:rsidR="00177528" w:rsidRPr="003C1BB4">
        <w:t>.</w:t>
      </w:r>
    </w:p>
    <w:p w14:paraId="11DA7E63" w14:textId="2AF9F988" w:rsidR="00177528" w:rsidRPr="003C1BB4" w:rsidRDefault="00177528" w:rsidP="00D5761F">
      <w:pPr>
        <w:rPr>
          <w:sz w:val="24"/>
          <w:szCs w:val="24"/>
        </w:rPr>
      </w:pPr>
      <w:r w:rsidRPr="003C1BB4">
        <w:rPr>
          <w:spacing w:val="-9"/>
        </w:rPr>
        <w:t xml:space="preserve">Provision of the TTP is contingent on service providers meeting three requirements: </w:t>
      </w:r>
    </w:p>
    <w:p w14:paraId="062F48C7" w14:textId="164C4CC2" w:rsidR="00177528" w:rsidRPr="003C1BB4" w:rsidRDefault="00177528" w:rsidP="00D5761F">
      <w:pPr>
        <w:pStyle w:val="ListBullet"/>
      </w:pPr>
      <w:r w:rsidRPr="003C1BB4">
        <w:t xml:space="preserve">Publication of service prices, to reduce information asymmetries between providers, </w:t>
      </w:r>
      <w:r w:rsidR="008D3B07" w:rsidRPr="003C1BB4">
        <w:t>competitors,</w:t>
      </w:r>
      <w:r w:rsidRPr="003C1BB4">
        <w:t xml:space="preserve"> and clients</w:t>
      </w:r>
    </w:p>
    <w:p w14:paraId="5F079F3B" w14:textId="77777777" w:rsidR="00177528" w:rsidRPr="003C1BB4" w:rsidRDefault="00177528" w:rsidP="00D5761F">
      <w:pPr>
        <w:pStyle w:val="ListBullet"/>
      </w:pPr>
      <w:r w:rsidRPr="003C1BB4">
        <w:t xml:space="preserve">List and keep up-to-date business contact details on the NDIS website, to encourage greater access for clients </w:t>
      </w:r>
    </w:p>
    <w:p w14:paraId="42748954" w14:textId="0CCACAA6" w:rsidR="00177528" w:rsidRPr="003C1BB4" w:rsidRDefault="00177528" w:rsidP="00D5761F">
      <w:pPr>
        <w:pStyle w:val="ListBullet"/>
      </w:pPr>
      <w:r w:rsidRPr="003C1BB4">
        <w:rPr>
          <w:spacing w:val="-10"/>
        </w:rPr>
        <w:t xml:space="preserve">To participate in an annual Agency approved market Benchmarking, either through a </w:t>
      </w:r>
      <w:r w:rsidRPr="003C1BB4">
        <w:t>b</w:t>
      </w:r>
      <w:r w:rsidRPr="003C1BB4">
        <w:rPr>
          <w:spacing w:val="-10"/>
        </w:rPr>
        <w:t>enchmarking service provi</w:t>
      </w:r>
      <w:r w:rsidRPr="003C1BB4">
        <w:t>der (e.g. the Ability Roundtable</w:t>
      </w:r>
      <w:r w:rsidRPr="003C1BB4">
        <w:rPr>
          <w:spacing w:val="-14"/>
          <w:position w:val="6"/>
          <w:sz w:val="12"/>
          <w:szCs w:val="12"/>
        </w:rPr>
        <w:t>5</w:t>
      </w:r>
      <w:r w:rsidRPr="003C1BB4">
        <w:t xml:space="preserve">) or through participation in the TTP Benchmarking Survey. </w:t>
      </w:r>
    </w:p>
    <w:p w14:paraId="0BC52EC4" w14:textId="50D90A4F" w:rsidR="00177528" w:rsidRDefault="00177528" w:rsidP="002E3633">
      <w:r w:rsidRPr="003C1BB4">
        <w:rPr>
          <w:spacing w:val="-9"/>
        </w:rPr>
        <w:t xml:space="preserve">The TTP Benchmarking survey is designed to collect information on staffing numbers, costs and </w:t>
      </w:r>
      <w:r w:rsidRPr="003C1BB4">
        <w:t>profits of support providers in the NDIS. The NDIA use</w:t>
      </w:r>
      <w:r w:rsidR="00DC4879">
        <w:t>s</w:t>
      </w:r>
      <w:r w:rsidRPr="003C1BB4">
        <w:t xml:space="preserve"> the data collected to inform </w:t>
      </w:r>
      <w:r w:rsidR="00464032">
        <w:t>its</w:t>
      </w:r>
      <w:r w:rsidRPr="003C1BB4">
        <w:t xml:space="preserve"> Cost Model by gathering supply data from providers, and to monitor the broader market for possible market failures or opportunities for future deregulation.</w:t>
      </w:r>
      <w:r w:rsidRPr="00177528">
        <w:t xml:space="preserve"> </w:t>
      </w:r>
    </w:p>
    <w:p w14:paraId="19975442" w14:textId="77777777" w:rsidR="008D3B07" w:rsidRDefault="00D5761F" w:rsidP="002E3633">
      <w:r>
        <w:t xml:space="preserve">The NDIA engaged Deloitte Access Economics to design and field the TTP Benchmarking </w:t>
      </w:r>
      <w:r w:rsidR="00390C50">
        <w:t>S</w:t>
      </w:r>
      <w:r>
        <w:t xml:space="preserve">urvey. This report provides </w:t>
      </w:r>
      <w:r w:rsidR="008D3B07">
        <w:t>detailed data, statistical and econometric</w:t>
      </w:r>
      <w:r>
        <w:t xml:space="preserve"> analysis of the results from the survey</w:t>
      </w:r>
      <w:r w:rsidR="008D3B07">
        <w:t xml:space="preserve"> and a review of the survey process against the project objectives. </w:t>
      </w:r>
    </w:p>
    <w:p w14:paraId="6FECFA69" w14:textId="0FE7526B" w:rsidR="00656BEC" w:rsidRPr="00656BEC" w:rsidRDefault="008D3B07" w:rsidP="00656BEC">
      <w:r>
        <w:t xml:space="preserve">The NDIA </w:t>
      </w:r>
      <w:r w:rsidR="00AB0132">
        <w:t>was</w:t>
      </w:r>
      <w:r>
        <w:t xml:space="preserve"> provided with</w:t>
      </w:r>
      <w:r w:rsidR="00D5761F">
        <w:t xml:space="preserve"> the </w:t>
      </w:r>
      <w:r w:rsidR="00D5761F" w:rsidRPr="00D5761F">
        <w:t>de</w:t>
      </w:r>
      <w:r w:rsidR="00D5761F" w:rsidRPr="00D5761F">
        <w:noBreakHyphen/>
        <w:t>identified data set</w:t>
      </w:r>
      <w:r w:rsidR="00390C50">
        <w:t xml:space="preserve"> (as a separate file)</w:t>
      </w:r>
      <w:r w:rsidR="00D5761F" w:rsidRPr="00D5761F">
        <w:t>, and a declaration of adherence to data security, storage and management requirements</w:t>
      </w:r>
      <w:r w:rsidR="00CE2232">
        <w:t xml:space="preserve"> (</w:t>
      </w:r>
      <w:r w:rsidR="002E3633">
        <w:t xml:space="preserve">see </w:t>
      </w:r>
      <w:r w:rsidR="00AB0132">
        <w:fldChar w:fldCharType="begin"/>
      </w:r>
      <w:r w:rsidR="00AB0132">
        <w:instrText xml:space="preserve"> REF _Ref38979537 \r \h </w:instrText>
      </w:r>
      <w:r w:rsidR="00AB0132">
        <w:fldChar w:fldCharType="separate"/>
      </w:r>
      <w:r w:rsidR="00283637">
        <w:t>Appendix A</w:t>
      </w:r>
      <w:r w:rsidR="00AB0132">
        <w:fldChar w:fldCharType="end"/>
      </w:r>
      <w:r w:rsidR="002E3633">
        <w:t>).</w:t>
      </w:r>
    </w:p>
    <w:p w14:paraId="516769D7" w14:textId="7432A2D5" w:rsidR="00AD2B0F" w:rsidRDefault="005E21A8" w:rsidP="00452F12">
      <w:pPr>
        <w:pStyle w:val="Heading1"/>
      </w:pPr>
      <w:bookmarkStart w:id="83" w:name="_Ref35354408"/>
      <w:bookmarkStart w:id="84" w:name="_Toc40454643"/>
      <w:bookmarkStart w:id="85" w:name="_Toc447626781"/>
      <w:r>
        <w:lastRenderedPageBreak/>
        <w:t>Methodology</w:t>
      </w:r>
      <w:bookmarkEnd w:id="83"/>
      <w:bookmarkEnd w:id="84"/>
    </w:p>
    <w:p w14:paraId="6B679399" w14:textId="2AA195BF" w:rsidR="005C65DE" w:rsidRDefault="005C65DE" w:rsidP="00656BEC">
      <w:r>
        <w:t>The survey was developed by Deloitte</w:t>
      </w:r>
      <w:r w:rsidR="00390C50">
        <w:t xml:space="preserve"> Access Economics</w:t>
      </w:r>
      <w:r>
        <w:t xml:space="preserve">, in consultation with the NDIA and an expert reference group. The survey was developed in the Qualtrics survey </w:t>
      </w:r>
      <w:r w:rsidR="00BA74A6">
        <w:t>platform and</w:t>
      </w:r>
      <w:r>
        <w:t xml:space="preserve"> contained 30 questions which covered a range of financial and staffing data: staff numbers, base rates of pay, the number of hours worked, utilisation, revenue, and expenses. </w:t>
      </w:r>
      <w:r w:rsidR="00822C69">
        <w:t xml:space="preserve">A copy of the survey is provided at </w:t>
      </w:r>
      <w:r w:rsidR="00822C69">
        <w:fldChar w:fldCharType="begin"/>
      </w:r>
      <w:r w:rsidR="00822C69">
        <w:instrText xml:space="preserve"> REF _Ref36148428 \r \h </w:instrText>
      </w:r>
      <w:r w:rsidR="00822C69">
        <w:fldChar w:fldCharType="separate"/>
      </w:r>
      <w:r w:rsidR="00283637">
        <w:t>Appendix B</w:t>
      </w:r>
      <w:r w:rsidR="00822C69">
        <w:fldChar w:fldCharType="end"/>
      </w:r>
      <w:r w:rsidR="00822C69">
        <w:t xml:space="preserve">. </w:t>
      </w:r>
      <w:r>
        <w:t xml:space="preserve">The survey fielding period took place from 21 February 2020 </w:t>
      </w:r>
      <w:r w:rsidR="00390C50">
        <w:t>to 15 </w:t>
      </w:r>
      <w:r>
        <w:t>March</w:t>
      </w:r>
      <w:r w:rsidR="00390C50">
        <w:t> </w:t>
      </w:r>
      <w:r>
        <w:t>2020</w:t>
      </w:r>
      <w:r w:rsidR="00546D4F">
        <w:t xml:space="preserve">, with Deloitte </w:t>
      </w:r>
      <w:r w:rsidR="00AB0132">
        <w:t xml:space="preserve">Access Economics </w:t>
      </w:r>
      <w:r w:rsidR="00546D4F">
        <w:t>providing an email and phone help desk service during this time to assist providers that had questions or difficulties</w:t>
      </w:r>
      <w:r w:rsidR="00390C50">
        <w:t>.</w:t>
      </w:r>
    </w:p>
    <w:p w14:paraId="54656CD8" w14:textId="7421AE99" w:rsidR="00546D4F" w:rsidRDefault="002E3633" w:rsidP="00656BEC">
      <w:r>
        <w:t>The NDIA provided Deloitte</w:t>
      </w:r>
      <w:r w:rsidR="00390C50">
        <w:t xml:space="preserve"> Access Economics</w:t>
      </w:r>
      <w:r>
        <w:t xml:space="preserve"> with a list of almost 3,000 providers, who were sent individual links to access the survey</w:t>
      </w:r>
      <w:r w:rsidR="00546D4F">
        <w:t xml:space="preserve"> in an initial invitation email issued on Friday 21 February 2020. The invitation email provided a short description as to the purpose and timeline of the survey, as well as a unique link for each provider and help desk contact details.</w:t>
      </w:r>
      <w:r w:rsidR="00227D68">
        <w:t xml:space="preserve"> The initial timeline indicated the survey would be open until 8 March 2020.</w:t>
      </w:r>
    </w:p>
    <w:p w14:paraId="6861F5CF" w14:textId="7717ABBD" w:rsidR="00546D4F" w:rsidRDefault="00227D68" w:rsidP="00656BEC">
      <w:r>
        <w:t>A reminder email was also issued to all providers on Friday 6 March. As well as providing the same details as the initial invitation, the reminder email contained a link to the survey notice on the NDIA website, additional information on saving the survey in Qualtrics and a notice that the survey would be extended to Sunday 15 March 2020 to facilitate additional responses.</w:t>
      </w:r>
    </w:p>
    <w:p w14:paraId="11CB43C5" w14:textId="520D6ED6" w:rsidR="005C65DE" w:rsidRDefault="002E3633" w:rsidP="00656BEC">
      <w:r>
        <w:t>From</w:t>
      </w:r>
      <w:r w:rsidR="005C65DE">
        <w:t xml:space="preserve"> th</w:t>
      </w:r>
      <w:r>
        <w:t>ese providers</w:t>
      </w:r>
      <w:r w:rsidR="005C65DE">
        <w:t>, 590 responses were received in Qualtrics. In addition to this, there were also 25 respondents who participated in the Ability Roundtable. This yielded a total count of 615 complete responses.</w:t>
      </w:r>
      <w:r w:rsidR="00EB3000">
        <w:t xml:space="preserve"> </w:t>
      </w:r>
      <w:r>
        <w:t>All</w:t>
      </w:r>
      <w:r w:rsidR="00EB3000">
        <w:t xml:space="preserve"> survey questions were compulsory, </w:t>
      </w:r>
      <w:r>
        <w:t>and so all</w:t>
      </w:r>
      <w:r w:rsidR="00EB3000">
        <w:t xml:space="preserve"> responses that were received were complete responses.</w:t>
      </w:r>
    </w:p>
    <w:bookmarkEnd w:id="85"/>
    <w:p w14:paraId="500FFCD7" w14:textId="103A4E34" w:rsidR="00EB3000" w:rsidRDefault="00EB3000" w:rsidP="00B4445F">
      <w:r>
        <w:t xml:space="preserve">Once the survey had closed, the data </w:t>
      </w:r>
      <w:r w:rsidR="00D22EEE">
        <w:t xml:space="preserve">was </w:t>
      </w:r>
      <w:r>
        <w:t>downloaded and cleaned, prior to data analysis commencing. There were two primary methods of data cleaning that were employed:</w:t>
      </w:r>
    </w:p>
    <w:p w14:paraId="00937EA6" w14:textId="21D6A058" w:rsidR="00EB3000" w:rsidRDefault="00EB3000" w:rsidP="00EB3000">
      <w:pPr>
        <w:pStyle w:val="ListBullet"/>
      </w:pPr>
      <w:r>
        <w:t xml:space="preserve">Removing </w:t>
      </w:r>
      <w:r w:rsidR="00457FCA">
        <w:t xml:space="preserve">inappropriate </w:t>
      </w:r>
      <w:r>
        <w:t>‘zero’ responses</w:t>
      </w:r>
    </w:p>
    <w:p w14:paraId="799E8A38" w14:textId="2DA4F3B4" w:rsidR="00EB3000" w:rsidRDefault="00EB3000" w:rsidP="002E3633">
      <w:pPr>
        <w:pStyle w:val="ListBullet"/>
      </w:pPr>
      <w:r>
        <w:t xml:space="preserve">Removing responses which were considered </w:t>
      </w:r>
      <w:r w:rsidR="00390C50">
        <w:t>implausible</w:t>
      </w:r>
      <w:r w:rsidR="00457FCA">
        <w:t>, with further detail below</w:t>
      </w:r>
      <w:r>
        <w:t>.</w:t>
      </w:r>
    </w:p>
    <w:p w14:paraId="6BED4AAE" w14:textId="38F9C75A" w:rsidR="00EB3000" w:rsidRDefault="00EB3000" w:rsidP="00BF6938">
      <w:r>
        <w:t>D</w:t>
      </w:r>
      <w:r w:rsidR="00BF6938">
        <w:t xml:space="preserve">ata cleaning was conducted to remove responses </w:t>
      </w:r>
      <w:r w:rsidR="005A17A3">
        <w:t>where respondents had enter</w:t>
      </w:r>
      <w:r w:rsidR="00D55CF5">
        <w:t>ed</w:t>
      </w:r>
      <w:r w:rsidR="005A17A3">
        <w:t xml:space="preserve"> a response of ‘zero’ where this was considered unreasonable (for example, for questions which asked about total hours worked). </w:t>
      </w:r>
      <w:r w:rsidR="002E3633">
        <w:t xml:space="preserve">As all questions were compulsory, a response of ‘zero’ for these questions </w:t>
      </w:r>
      <w:r w:rsidR="00D55CF5">
        <w:t xml:space="preserve">was interpreted to indicate </w:t>
      </w:r>
      <w:r w:rsidR="002E3633">
        <w:t>that respondents did not have the information readily available</w:t>
      </w:r>
      <w:r w:rsidR="00390C50">
        <w:t>, and/or did not understand the question.</w:t>
      </w:r>
    </w:p>
    <w:p w14:paraId="37B75B65" w14:textId="009DBB8C" w:rsidR="00FE0726" w:rsidRDefault="005A17A3" w:rsidP="00BF6938">
      <w:r>
        <w:t xml:space="preserve">This impacted 11 questions, which are set out in </w:t>
      </w:r>
      <w:r>
        <w:fldChar w:fldCharType="begin"/>
      </w:r>
      <w:r>
        <w:instrText xml:space="preserve"> REF _Ref36057223 \r \h </w:instrText>
      </w:r>
      <w:r>
        <w:fldChar w:fldCharType="separate"/>
      </w:r>
      <w:r w:rsidR="00283637">
        <w:t>Table 2.1</w:t>
      </w:r>
      <w:r>
        <w:fldChar w:fldCharType="end"/>
      </w:r>
      <w:r>
        <w:t xml:space="preserve">. For questions 28 and 29, the response was removed from analysis if the sum across all question components equalled zero (for example, if the sum of all reported </w:t>
      </w:r>
      <w:r w:rsidR="009E0FAF">
        <w:t>direct costs</w:t>
      </w:r>
      <w:r>
        <w:t xml:space="preserve"> was reported by the respondent to equal zero).</w:t>
      </w:r>
      <w:r w:rsidR="00390C50">
        <w:t xml:space="preserve"> </w:t>
      </w:r>
      <w:r w:rsidR="00FE0726">
        <w:t>The two questions with the highest rate of ‘zero’ responses related to the number of hours worked by front</w:t>
      </w:r>
      <w:r w:rsidR="00AB0132">
        <w:noBreakHyphen/>
      </w:r>
      <w:r w:rsidR="00FE0726">
        <w:t>line staff and supervisors (Q11, 42.</w:t>
      </w:r>
      <w:r w:rsidR="00AB0132">
        <w:t>8</w:t>
      </w:r>
      <w:r w:rsidR="00FE0726">
        <w:t>% of respondents) and the breakdown of overheads (Q29, 21.6%).</w:t>
      </w:r>
      <w:r w:rsidR="00E974C1">
        <w:t xml:space="preserve"> </w:t>
      </w:r>
    </w:p>
    <w:p w14:paraId="63F55AE7" w14:textId="7F74C542" w:rsidR="005A17A3" w:rsidRDefault="005A17A3" w:rsidP="002E5D35">
      <w:pPr>
        <w:pStyle w:val="CaptionTable"/>
        <w:ind w:left="0"/>
      </w:pPr>
      <w:bookmarkStart w:id="86" w:name="_Ref36057223"/>
      <w:bookmarkStart w:id="87" w:name="_Toc40454680"/>
      <w:r>
        <w:lastRenderedPageBreak/>
        <w:t>Questions where ‘zero’ responses were removed</w:t>
      </w:r>
      <w:bookmarkEnd w:id="86"/>
      <w:bookmarkEnd w:id="87"/>
    </w:p>
    <w:tbl>
      <w:tblPr>
        <w:tblStyle w:val="Deloittetable"/>
        <w:tblW w:w="5000" w:type="pct"/>
        <w:tblLook w:val="04A0" w:firstRow="1" w:lastRow="0" w:firstColumn="1" w:lastColumn="0" w:noHBand="0" w:noVBand="1"/>
      </w:tblPr>
      <w:tblGrid>
        <w:gridCol w:w="1257"/>
        <w:gridCol w:w="5686"/>
        <w:gridCol w:w="2083"/>
      </w:tblGrid>
      <w:tr w:rsidR="002E3633" w14:paraId="1B881534" w14:textId="67962926" w:rsidTr="006E7937">
        <w:trPr>
          <w:cnfStyle w:val="100000000000" w:firstRow="1" w:lastRow="0" w:firstColumn="0" w:lastColumn="0" w:oddVBand="0" w:evenVBand="0" w:oddHBand="0" w:evenHBand="0" w:firstRowFirstColumn="0" w:firstRowLastColumn="0" w:lastRowFirstColumn="0" w:lastRowLastColumn="0"/>
        </w:trPr>
        <w:tc>
          <w:tcPr>
            <w:tcW w:w="696" w:type="pct"/>
          </w:tcPr>
          <w:p w14:paraId="35E80B3A" w14:textId="77777777" w:rsidR="002E3633" w:rsidRDefault="002E3633" w:rsidP="00613346">
            <w:pPr>
              <w:pStyle w:val="TableHeadingLeft"/>
              <w:keepNext/>
              <w:keepLines/>
            </w:pPr>
            <w:r>
              <w:t>Question number</w:t>
            </w:r>
          </w:p>
        </w:tc>
        <w:tc>
          <w:tcPr>
            <w:tcW w:w="3150" w:type="pct"/>
          </w:tcPr>
          <w:p w14:paraId="22037DFF" w14:textId="77777777" w:rsidR="002E3633" w:rsidRDefault="002E3633" w:rsidP="00613346">
            <w:pPr>
              <w:pStyle w:val="TableHeadingLeft"/>
              <w:keepNext/>
              <w:keepLines/>
            </w:pPr>
            <w:r>
              <w:t>Question</w:t>
            </w:r>
          </w:p>
        </w:tc>
        <w:tc>
          <w:tcPr>
            <w:tcW w:w="1154" w:type="pct"/>
          </w:tcPr>
          <w:p w14:paraId="7B0575E0" w14:textId="5C7A5BAF" w:rsidR="002E3633" w:rsidRDefault="002E3633" w:rsidP="00613346">
            <w:pPr>
              <w:pStyle w:val="TableHeadingLeft"/>
              <w:keepNext/>
              <w:keepLines/>
              <w:jc w:val="center"/>
            </w:pPr>
            <w:r>
              <w:t>Rate of ‘zero’ responses (%)</w:t>
            </w:r>
          </w:p>
        </w:tc>
      </w:tr>
      <w:tr w:rsidR="006E7937" w14:paraId="44FB17D9" w14:textId="7D978E9B" w:rsidTr="006E7937">
        <w:tc>
          <w:tcPr>
            <w:tcW w:w="696" w:type="pct"/>
          </w:tcPr>
          <w:p w14:paraId="4EA2250F" w14:textId="6D3D4674" w:rsidR="006E7937" w:rsidRDefault="006E7937" w:rsidP="006E7937">
            <w:pPr>
              <w:pStyle w:val="TabletextLeft"/>
              <w:keepNext/>
              <w:keepLines/>
            </w:pPr>
            <w:r>
              <w:t>9</w:t>
            </w:r>
          </w:p>
        </w:tc>
        <w:tc>
          <w:tcPr>
            <w:tcW w:w="3150" w:type="pct"/>
          </w:tcPr>
          <w:p w14:paraId="3D74A0FE" w14:textId="7EAD8ECA" w:rsidR="006E7937" w:rsidRDefault="006E7937" w:rsidP="006E7937">
            <w:pPr>
              <w:pStyle w:val="TabletextLeft"/>
              <w:keepNext/>
              <w:keepLines/>
              <w:ind w:left="0"/>
            </w:pPr>
            <w:r w:rsidRPr="005A17A3">
              <w:t>What are the standard working hours per day for full time staff?</w:t>
            </w:r>
          </w:p>
        </w:tc>
        <w:tc>
          <w:tcPr>
            <w:tcW w:w="1154" w:type="pct"/>
          </w:tcPr>
          <w:p w14:paraId="3E51035F" w14:textId="7B8EFA01" w:rsidR="006E7937" w:rsidRDefault="006E7937" w:rsidP="006E7937">
            <w:pPr>
              <w:pStyle w:val="TabletextLeft"/>
              <w:keepNext/>
              <w:keepLines/>
              <w:jc w:val="center"/>
            </w:pPr>
            <w:r w:rsidRPr="00EB5A38">
              <w:t>3.7%</w:t>
            </w:r>
          </w:p>
        </w:tc>
      </w:tr>
      <w:tr w:rsidR="006E7937" w14:paraId="0E46DAF6" w14:textId="47755D76" w:rsidTr="006E7937">
        <w:tc>
          <w:tcPr>
            <w:tcW w:w="696" w:type="pct"/>
          </w:tcPr>
          <w:p w14:paraId="6FCEAC7B" w14:textId="34038B82" w:rsidR="006E7937" w:rsidRDefault="006E7937" w:rsidP="006E7937">
            <w:pPr>
              <w:pStyle w:val="TabletextLeft"/>
              <w:keepNext/>
              <w:keepLines/>
            </w:pPr>
            <w:r>
              <w:t>11</w:t>
            </w:r>
          </w:p>
        </w:tc>
        <w:tc>
          <w:tcPr>
            <w:tcW w:w="3150" w:type="pct"/>
          </w:tcPr>
          <w:p w14:paraId="66BBE3EA" w14:textId="1A6FD826" w:rsidR="006E7937" w:rsidRDefault="006E7937" w:rsidP="006E7937">
            <w:pPr>
              <w:pStyle w:val="TabletextLeft"/>
              <w:keepNext/>
              <w:keepLines/>
              <w:ind w:left="0"/>
            </w:pPr>
            <w:r w:rsidRPr="005A17A3">
              <w:t>For your organisation’s financial year which ended in 2019, what were the total hours worked across the following roles?</w:t>
            </w:r>
          </w:p>
        </w:tc>
        <w:tc>
          <w:tcPr>
            <w:tcW w:w="1154" w:type="pct"/>
          </w:tcPr>
          <w:p w14:paraId="5A97D803" w14:textId="780BBF52" w:rsidR="006E7937" w:rsidRDefault="006E7937" w:rsidP="006E7937">
            <w:pPr>
              <w:pStyle w:val="TabletextLeft"/>
              <w:keepNext/>
              <w:keepLines/>
              <w:jc w:val="center"/>
            </w:pPr>
            <w:r w:rsidRPr="00EB5A38">
              <w:t>42.8%</w:t>
            </w:r>
          </w:p>
        </w:tc>
      </w:tr>
      <w:tr w:rsidR="006E7937" w14:paraId="42CE2D7D" w14:textId="207DC718" w:rsidTr="006E7937">
        <w:tc>
          <w:tcPr>
            <w:tcW w:w="696" w:type="pct"/>
          </w:tcPr>
          <w:p w14:paraId="4F4ACA1C" w14:textId="6BE780F1" w:rsidR="006E7937" w:rsidRDefault="006E7937" w:rsidP="006E7937">
            <w:pPr>
              <w:pStyle w:val="TabletextLeft"/>
              <w:keepNext/>
              <w:keepLines/>
            </w:pPr>
            <w:r>
              <w:t>12</w:t>
            </w:r>
          </w:p>
        </w:tc>
        <w:tc>
          <w:tcPr>
            <w:tcW w:w="3150" w:type="pct"/>
          </w:tcPr>
          <w:p w14:paraId="03387D9A" w14:textId="375BED05" w:rsidR="006E7937" w:rsidRDefault="006E7937" w:rsidP="006E7937">
            <w:pPr>
              <w:pStyle w:val="TabletextLeft"/>
              <w:keepNext/>
              <w:keepLines/>
              <w:ind w:left="0"/>
            </w:pPr>
            <w:r w:rsidRPr="005A17A3">
              <w:t>Please describe your organisation’s ratio of casual work to permanent work on weekdays and weekends on average over financial year which ended in 2019 (headcount).</w:t>
            </w:r>
          </w:p>
        </w:tc>
        <w:tc>
          <w:tcPr>
            <w:tcW w:w="1154" w:type="pct"/>
          </w:tcPr>
          <w:p w14:paraId="29371FDD" w14:textId="1FA89E4D" w:rsidR="006E7937" w:rsidRDefault="006E7937" w:rsidP="006E7937">
            <w:pPr>
              <w:pStyle w:val="TabletextLeft"/>
              <w:keepNext/>
              <w:keepLines/>
              <w:jc w:val="center"/>
            </w:pPr>
            <w:r w:rsidRPr="00EB5A38">
              <w:t>17.2%</w:t>
            </w:r>
          </w:p>
        </w:tc>
      </w:tr>
      <w:tr w:rsidR="006E7937" w14:paraId="64113BBF" w14:textId="77777777" w:rsidTr="006E7937">
        <w:tc>
          <w:tcPr>
            <w:tcW w:w="696" w:type="pct"/>
          </w:tcPr>
          <w:p w14:paraId="0C8F2338" w14:textId="45F9B44C" w:rsidR="006E7937" w:rsidRDefault="006E7937" w:rsidP="006E7937">
            <w:pPr>
              <w:pStyle w:val="TabletextLeft"/>
              <w:keepNext/>
              <w:keepLines/>
            </w:pPr>
            <w:r>
              <w:t>22</w:t>
            </w:r>
          </w:p>
        </w:tc>
        <w:tc>
          <w:tcPr>
            <w:tcW w:w="3150" w:type="pct"/>
          </w:tcPr>
          <w:p w14:paraId="6A46C53A" w14:textId="3D42A423" w:rsidR="006E7937" w:rsidRPr="005A17A3" w:rsidRDefault="006E7937" w:rsidP="006E7937">
            <w:pPr>
              <w:pStyle w:val="TabletextLeft"/>
              <w:keepNext/>
              <w:keepLines/>
              <w:ind w:left="0"/>
            </w:pPr>
            <w:r w:rsidRPr="005566F9">
              <w:t>What is the average dollar amount per worker (direct support and frontline supervisor) per year, for travel allowances?</w:t>
            </w:r>
          </w:p>
        </w:tc>
        <w:tc>
          <w:tcPr>
            <w:tcW w:w="1154" w:type="pct"/>
          </w:tcPr>
          <w:p w14:paraId="38093084" w14:textId="4699BDB9" w:rsidR="006E7937" w:rsidRDefault="006E7937" w:rsidP="006E7937">
            <w:pPr>
              <w:pStyle w:val="TabletextLeft"/>
              <w:keepNext/>
              <w:keepLines/>
              <w:jc w:val="center"/>
            </w:pPr>
            <w:r w:rsidRPr="00EB5A38">
              <w:t>1.3%</w:t>
            </w:r>
          </w:p>
        </w:tc>
      </w:tr>
      <w:tr w:rsidR="006E7937" w14:paraId="7C8AF441" w14:textId="77777777" w:rsidTr="006E7937">
        <w:tc>
          <w:tcPr>
            <w:tcW w:w="696" w:type="pct"/>
          </w:tcPr>
          <w:p w14:paraId="29A6003F" w14:textId="219959B6" w:rsidR="006E7937" w:rsidRDefault="006E7937" w:rsidP="006E7937">
            <w:pPr>
              <w:pStyle w:val="TabletextLeft"/>
              <w:keepNext/>
              <w:keepLines/>
            </w:pPr>
            <w:r>
              <w:t>23</w:t>
            </w:r>
          </w:p>
        </w:tc>
        <w:tc>
          <w:tcPr>
            <w:tcW w:w="3150" w:type="pct"/>
          </w:tcPr>
          <w:p w14:paraId="60642E40" w14:textId="5B179832" w:rsidR="006E7937" w:rsidRPr="005A17A3" w:rsidRDefault="006E7937" w:rsidP="006E7937">
            <w:pPr>
              <w:pStyle w:val="TabletextLeft"/>
              <w:keepNext/>
              <w:keepLines/>
              <w:ind w:left="0"/>
            </w:pPr>
            <w:r w:rsidRPr="005566F9">
              <w:t>What is the average dollar amount per worker (direct support and frontline supervisor) per year, for other allowances?</w:t>
            </w:r>
          </w:p>
        </w:tc>
        <w:tc>
          <w:tcPr>
            <w:tcW w:w="1154" w:type="pct"/>
          </w:tcPr>
          <w:p w14:paraId="7E4F4462" w14:textId="732C8F63" w:rsidR="006E7937" w:rsidRDefault="006E7937" w:rsidP="006E7937">
            <w:pPr>
              <w:pStyle w:val="TabletextLeft"/>
              <w:keepNext/>
              <w:keepLines/>
              <w:jc w:val="center"/>
            </w:pPr>
            <w:r w:rsidRPr="00EB5A38">
              <w:t>1.8%</w:t>
            </w:r>
          </w:p>
        </w:tc>
      </w:tr>
      <w:tr w:rsidR="006E7937" w14:paraId="3B02D3F3" w14:textId="34081E6C" w:rsidTr="006E7937">
        <w:tc>
          <w:tcPr>
            <w:tcW w:w="696" w:type="pct"/>
          </w:tcPr>
          <w:p w14:paraId="0C345C45" w14:textId="4FCF32B1" w:rsidR="006E7937" w:rsidRDefault="006E7937" w:rsidP="006E7937">
            <w:pPr>
              <w:pStyle w:val="TabletextLeft"/>
              <w:keepNext/>
              <w:keepLines/>
            </w:pPr>
            <w:r>
              <w:t>25</w:t>
            </w:r>
          </w:p>
        </w:tc>
        <w:tc>
          <w:tcPr>
            <w:tcW w:w="3150" w:type="pct"/>
          </w:tcPr>
          <w:p w14:paraId="4FC478A4" w14:textId="18040290" w:rsidR="006E7937" w:rsidRDefault="006E7937" w:rsidP="006E7937">
            <w:pPr>
              <w:pStyle w:val="TabletextLeft"/>
              <w:keepNext/>
              <w:keepLines/>
              <w:ind w:left="0"/>
            </w:pPr>
            <w:r w:rsidRPr="005A17A3">
              <w:t xml:space="preserve">On average over the financial year which ended in 2019, what proportion of time did an average disability support worker spend on the following activities? </w:t>
            </w:r>
          </w:p>
        </w:tc>
        <w:tc>
          <w:tcPr>
            <w:tcW w:w="1154" w:type="pct"/>
          </w:tcPr>
          <w:p w14:paraId="3F55008C" w14:textId="6321137F" w:rsidR="006E7937" w:rsidRDefault="006E7937" w:rsidP="006E7937">
            <w:pPr>
              <w:pStyle w:val="TabletextLeft"/>
              <w:keepNext/>
              <w:keepLines/>
              <w:jc w:val="center"/>
            </w:pPr>
            <w:r w:rsidRPr="00EB5A38">
              <w:t>1</w:t>
            </w:r>
            <w:r w:rsidR="00B80934">
              <w:t>8.2</w:t>
            </w:r>
            <w:r w:rsidRPr="00EB5A38">
              <w:t>%</w:t>
            </w:r>
          </w:p>
        </w:tc>
      </w:tr>
      <w:tr w:rsidR="006E7937" w14:paraId="0ACC5B09" w14:textId="7C9A530A" w:rsidTr="006E7937">
        <w:tc>
          <w:tcPr>
            <w:tcW w:w="696" w:type="pct"/>
          </w:tcPr>
          <w:p w14:paraId="5104F4C6" w14:textId="3F2FE4A6" w:rsidR="006E7937" w:rsidRDefault="006E7937" w:rsidP="006E7937">
            <w:pPr>
              <w:pStyle w:val="TabletextLeft"/>
              <w:keepNext/>
              <w:keepLines/>
            </w:pPr>
            <w:r>
              <w:t>26</w:t>
            </w:r>
          </w:p>
        </w:tc>
        <w:tc>
          <w:tcPr>
            <w:tcW w:w="3150" w:type="pct"/>
          </w:tcPr>
          <w:p w14:paraId="462F21E7" w14:textId="58E2F040" w:rsidR="006E7937" w:rsidRDefault="006E7937" w:rsidP="006E7937">
            <w:pPr>
              <w:pStyle w:val="TabletextLeft"/>
              <w:keepNext/>
              <w:keepLines/>
              <w:ind w:left="0"/>
            </w:pPr>
            <w:r w:rsidRPr="005A17A3">
              <w:t>For your organisation's financial year which ended in 2019, what was your organisation's total ongoing revenue?</w:t>
            </w:r>
          </w:p>
        </w:tc>
        <w:tc>
          <w:tcPr>
            <w:tcW w:w="1154" w:type="pct"/>
          </w:tcPr>
          <w:p w14:paraId="193469D2" w14:textId="7C349CBA" w:rsidR="006E7937" w:rsidRDefault="006E7937" w:rsidP="006E7937">
            <w:pPr>
              <w:pStyle w:val="TabletextLeft"/>
              <w:keepNext/>
              <w:keepLines/>
              <w:jc w:val="center"/>
            </w:pPr>
            <w:r w:rsidRPr="00EB5A38">
              <w:t>5.5%</w:t>
            </w:r>
          </w:p>
        </w:tc>
      </w:tr>
      <w:tr w:rsidR="006E7937" w14:paraId="23BD5153" w14:textId="46B4BD63" w:rsidTr="006E7937">
        <w:tc>
          <w:tcPr>
            <w:tcW w:w="696" w:type="pct"/>
          </w:tcPr>
          <w:p w14:paraId="35C1935C" w14:textId="24933BA7" w:rsidR="006E7937" w:rsidRDefault="006E7937" w:rsidP="006E7937">
            <w:pPr>
              <w:pStyle w:val="TabletextLeft"/>
              <w:keepNext/>
              <w:keepLines/>
            </w:pPr>
            <w:r>
              <w:t>27</w:t>
            </w:r>
          </w:p>
        </w:tc>
        <w:tc>
          <w:tcPr>
            <w:tcW w:w="3150" w:type="pct"/>
          </w:tcPr>
          <w:p w14:paraId="5E3F0850" w14:textId="6B7956CD" w:rsidR="006E7937" w:rsidRDefault="006E7937" w:rsidP="006E7937">
            <w:pPr>
              <w:pStyle w:val="TabletextLeft"/>
              <w:keepNext/>
              <w:keepLines/>
              <w:ind w:left="0"/>
            </w:pPr>
            <w:r w:rsidRPr="005A17A3">
              <w:t>For your organisation’s financial year which ended in 2019, what was your organisation’s total current assets and total current liabilities as at the beginning of period and end of period?</w:t>
            </w:r>
          </w:p>
        </w:tc>
        <w:tc>
          <w:tcPr>
            <w:tcW w:w="1154" w:type="pct"/>
          </w:tcPr>
          <w:p w14:paraId="332EC160" w14:textId="4C0ACBEB" w:rsidR="006E7937" w:rsidRDefault="006E7937" w:rsidP="006E7937">
            <w:pPr>
              <w:pStyle w:val="TabletextLeft"/>
              <w:keepNext/>
              <w:keepLines/>
              <w:jc w:val="center"/>
            </w:pPr>
            <w:r w:rsidRPr="00EB5A38">
              <w:t>12.3%</w:t>
            </w:r>
          </w:p>
        </w:tc>
      </w:tr>
      <w:tr w:rsidR="006E7937" w14:paraId="37B31BC6" w14:textId="06F34505" w:rsidTr="006E7937">
        <w:tc>
          <w:tcPr>
            <w:tcW w:w="696" w:type="pct"/>
          </w:tcPr>
          <w:p w14:paraId="5937D094" w14:textId="16B3CCD7" w:rsidR="006E7937" w:rsidRDefault="006E7937" w:rsidP="006E7937">
            <w:pPr>
              <w:pStyle w:val="TabletextLeft"/>
              <w:keepNext/>
              <w:keepLines/>
            </w:pPr>
            <w:r>
              <w:t>28</w:t>
            </w:r>
          </w:p>
        </w:tc>
        <w:tc>
          <w:tcPr>
            <w:tcW w:w="3150" w:type="pct"/>
          </w:tcPr>
          <w:p w14:paraId="4D49AE15" w14:textId="3BF18F75" w:rsidR="006E7937" w:rsidRDefault="006E7937" w:rsidP="006E7937">
            <w:pPr>
              <w:pStyle w:val="TabletextLeft"/>
              <w:keepNext/>
              <w:keepLines/>
              <w:ind w:left="0"/>
            </w:pPr>
            <w:r w:rsidRPr="005A17A3">
              <w:t>For your organisation’s financial year which ended in 2019, what were the total direct costs incurred by your organisation?</w:t>
            </w:r>
          </w:p>
        </w:tc>
        <w:tc>
          <w:tcPr>
            <w:tcW w:w="1154" w:type="pct"/>
          </w:tcPr>
          <w:p w14:paraId="1EA8402F" w14:textId="402A10A0" w:rsidR="006E7937" w:rsidRDefault="006E7937" w:rsidP="006E7937">
            <w:pPr>
              <w:pStyle w:val="TabletextLeft"/>
              <w:keepNext/>
              <w:keepLines/>
              <w:jc w:val="center"/>
            </w:pPr>
            <w:r w:rsidRPr="00EB5A38">
              <w:t>11.1%</w:t>
            </w:r>
          </w:p>
        </w:tc>
      </w:tr>
      <w:tr w:rsidR="006E7937" w14:paraId="55BCB179" w14:textId="78805D18" w:rsidTr="006E7937">
        <w:tc>
          <w:tcPr>
            <w:tcW w:w="696" w:type="pct"/>
          </w:tcPr>
          <w:p w14:paraId="7C539346" w14:textId="23EE9495" w:rsidR="006E7937" w:rsidRDefault="006E7937" w:rsidP="006E7937">
            <w:pPr>
              <w:pStyle w:val="TabletextLeft"/>
              <w:keepNext/>
              <w:keepLines/>
            </w:pPr>
            <w:r>
              <w:t>29</w:t>
            </w:r>
          </w:p>
        </w:tc>
        <w:tc>
          <w:tcPr>
            <w:tcW w:w="3150" w:type="pct"/>
          </w:tcPr>
          <w:p w14:paraId="2D45ED2D" w14:textId="6CE30502" w:rsidR="006E7937" w:rsidRDefault="006E7937" w:rsidP="006E7937">
            <w:pPr>
              <w:pStyle w:val="TabletextLeft"/>
              <w:keepNext/>
              <w:keepLines/>
              <w:ind w:left="0"/>
            </w:pPr>
            <w:r w:rsidRPr="005A17A3">
              <w:t xml:space="preserve">For your organisation’s financial year which ended in 2019, what were the total </w:t>
            </w:r>
            <w:r>
              <w:t>o</w:t>
            </w:r>
            <w:r w:rsidRPr="005A17A3">
              <w:t>verhead or indirect costs incurred by your organisation for each of the following categories?</w:t>
            </w:r>
          </w:p>
        </w:tc>
        <w:tc>
          <w:tcPr>
            <w:tcW w:w="1154" w:type="pct"/>
          </w:tcPr>
          <w:p w14:paraId="6EA89DDA" w14:textId="4C877A3D" w:rsidR="006E7937" w:rsidRDefault="006E7937" w:rsidP="006E7937">
            <w:pPr>
              <w:pStyle w:val="TabletextLeft"/>
              <w:keepNext/>
              <w:keepLines/>
              <w:jc w:val="center"/>
            </w:pPr>
            <w:r w:rsidRPr="00EB5A38">
              <w:t>21.6%</w:t>
            </w:r>
          </w:p>
        </w:tc>
      </w:tr>
      <w:tr w:rsidR="006E7937" w14:paraId="076F2510" w14:textId="76CFF8E1" w:rsidTr="006E7937">
        <w:tc>
          <w:tcPr>
            <w:tcW w:w="696" w:type="pct"/>
          </w:tcPr>
          <w:p w14:paraId="7CEDE030" w14:textId="5EC7CA27" w:rsidR="006E7937" w:rsidRDefault="006E7937" w:rsidP="006E7937">
            <w:pPr>
              <w:pStyle w:val="TabletextLeft"/>
              <w:keepNext/>
              <w:keepLines/>
            </w:pPr>
            <w:r>
              <w:t>30</w:t>
            </w:r>
          </w:p>
        </w:tc>
        <w:tc>
          <w:tcPr>
            <w:tcW w:w="3150" w:type="pct"/>
          </w:tcPr>
          <w:p w14:paraId="4CBE79F6" w14:textId="5BEC783D" w:rsidR="006E7937" w:rsidRDefault="006E7937" w:rsidP="006E7937">
            <w:pPr>
              <w:pStyle w:val="TabletextLeft"/>
              <w:keepNext/>
              <w:keepLines/>
              <w:ind w:left="0"/>
            </w:pPr>
            <w:r w:rsidRPr="005A17A3">
              <w:t>How long did this survey take you to complete?</w:t>
            </w:r>
          </w:p>
        </w:tc>
        <w:tc>
          <w:tcPr>
            <w:tcW w:w="1154" w:type="pct"/>
          </w:tcPr>
          <w:p w14:paraId="4259BB31" w14:textId="59F4E1BA" w:rsidR="006E7937" w:rsidRDefault="006E7937" w:rsidP="006E7937">
            <w:pPr>
              <w:pStyle w:val="TabletextLeft"/>
              <w:keepNext/>
              <w:keepLines/>
              <w:jc w:val="center"/>
            </w:pPr>
            <w:r w:rsidRPr="00EB5A38">
              <w:t>3.3%</w:t>
            </w:r>
          </w:p>
        </w:tc>
      </w:tr>
    </w:tbl>
    <w:p w14:paraId="3F1FB511" w14:textId="77777777" w:rsidR="00D55CF5" w:rsidRDefault="00D55CF5" w:rsidP="00823D3C"/>
    <w:p w14:paraId="7247580A" w14:textId="6989A3FE" w:rsidR="00823D3C" w:rsidRDefault="00AB0132" w:rsidP="00823D3C">
      <w:r>
        <w:t>F</w:t>
      </w:r>
      <w:r w:rsidR="00EB3000">
        <w:t xml:space="preserve">or some questions, thresholds were applied as to what constituted a </w:t>
      </w:r>
      <w:r w:rsidR="00087615">
        <w:t>plausible</w:t>
      </w:r>
      <w:r w:rsidR="00EB3000">
        <w:t xml:space="preserve"> response. These thresholds were developed based on current industry practices and standards</w:t>
      </w:r>
      <w:r w:rsidR="0028078A">
        <w:t xml:space="preserve">. </w:t>
      </w:r>
      <w:r w:rsidR="00823D3C">
        <w:t xml:space="preserve">The questions where cleaning was applied, alongside a description of the adjustment applied and the proportion of responses impacted, </w:t>
      </w:r>
      <w:r w:rsidR="0028078A">
        <w:t>are outlined</w:t>
      </w:r>
      <w:r w:rsidR="00823D3C">
        <w:t xml:space="preserve"> in </w:t>
      </w:r>
      <w:r w:rsidR="005114C5">
        <w:fldChar w:fldCharType="begin"/>
      </w:r>
      <w:r w:rsidR="005114C5">
        <w:instrText xml:space="preserve"> REF _Ref36461401 \r \h </w:instrText>
      </w:r>
      <w:r w:rsidR="005114C5">
        <w:fldChar w:fldCharType="separate"/>
      </w:r>
      <w:r w:rsidR="00283637">
        <w:t>Table 2.2</w:t>
      </w:r>
      <w:r w:rsidR="005114C5">
        <w:fldChar w:fldCharType="end"/>
      </w:r>
      <w:r w:rsidR="00823D3C">
        <w:t>.</w:t>
      </w:r>
    </w:p>
    <w:p w14:paraId="34A24EC8" w14:textId="77777777" w:rsidR="00A67F3B" w:rsidRDefault="00A67F3B" w:rsidP="002E5D35">
      <w:pPr>
        <w:pStyle w:val="CaptionTable"/>
        <w:ind w:left="0"/>
      </w:pPr>
      <w:bookmarkStart w:id="88" w:name="_Ref36461401"/>
      <w:bookmarkStart w:id="89" w:name="_Toc40454681"/>
      <w:r>
        <w:lastRenderedPageBreak/>
        <w:t>Questions where implausible responses were removed</w:t>
      </w:r>
      <w:bookmarkEnd w:id="88"/>
      <w:bookmarkEnd w:id="89"/>
    </w:p>
    <w:tbl>
      <w:tblPr>
        <w:tblStyle w:val="Deloittetable"/>
        <w:tblW w:w="5000" w:type="pct"/>
        <w:tblLook w:val="04A0" w:firstRow="1" w:lastRow="0" w:firstColumn="1" w:lastColumn="0" w:noHBand="0" w:noVBand="1"/>
      </w:tblPr>
      <w:tblGrid>
        <w:gridCol w:w="993"/>
        <w:gridCol w:w="3192"/>
        <w:gridCol w:w="3193"/>
        <w:gridCol w:w="1648"/>
      </w:tblGrid>
      <w:tr w:rsidR="00A67F3B" w14:paraId="436BA2C5" w14:textId="77777777" w:rsidTr="00A25AE9">
        <w:trPr>
          <w:cnfStyle w:val="100000000000" w:firstRow="1" w:lastRow="0" w:firstColumn="0" w:lastColumn="0" w:oddVBand="0" w:evenVBand="0" w:oddHBand="0" w:evenHBand="0" w:firstRowFirstColumn="0" w:firstRowLastColumn="0" w:lastRowFirstColumn="0" w:lastRowLastColumn="0"/>
        </w:trPr>
        <w:tc>
          <w:tcPr>
            <w:tcW w:w="550" w:type="pct"/>
          </w:tcPr>
          <w:p w14:paraId="51B50F65" w14:textId="77777777" w:rsidR="00A67F3B" w:rsidRDefault="00A67F3B" w:rsidP="00A25AE9">
            <w:pPr>
              <w:pStyle w:val="TableHeadingLeft"/>
              <w:keepNext/>
              <w:keepLines/>
            </w:pPr>
            <w:r>
              <w:t>Question number</w:t>
            </w:r>
          </w:p>
        </w:tc>
        <w:tc>
          <w:tcPr>
            <w:tcW w:w="1768" w:type="pct"/>
          </w:tcPr>
          <w:p w14:paraId="2A1C6D22" w14:textId="77777777" w:rsidR="00A67F3B" w:rsidRDefault="00A67F3B" w:rsidP="00A25AE9">
            <w:pPr>
              <w:pStyle w:val="TableHeadingLeft"/>
              <w:keepNext/>
              <w:keepLines/>
            </w:pPr>
            <w:r>
              <w:t>Question</w:t>
            </w:r>
          </w:p>
        </w:tc>
        <w:tc>
          <w:tcPr>
            <w:tcW w:w="1769" w:type="pct"/>
          </w:tcPr>
          <w:p w14:paraId="1F938A38" w14:textId="77777777" w:rsidR="00A67F3B" w:rsidRDefault="00A67F3B" w:rsidP="00A25AE9">
            <w:pPr>
              <w:pStyle w:val="TableHeadingLeft"/>
              <w:keepNext/>
              <w:keepLines/>
            </w:pPr>
            <w:r>
              <w:t>Description of cleaning</w:t>
            </w:r>
          </w:p>
        </w:tc>
        <w:tc>
          <w:tcPr>
            <w:tcW w:w="913" w:type="pct"/>
          </w:tcPr>
          <w:p w14:paraId="7A2A4A27" w14:textId="77777777" w:rsidR="00A67F3B" w:rsidRDefault="00A67F3B" w:rsidP="008C28C1">
            <w:pPr>
              <w:pStyle w:val="TableHeadingLeft"/>
              <w:keepNext/>
              <w:keepLines/>
              <w:jc w:val="center"/>
            </w:pPr>
            <w:r>
              <w:t>Rate of responses (%)</w:t>
            </w:r>
          </w:p>
        </w:tc>
      </w:tr>
      <w:tr w:rsidR="006E7937" w14:paraId="1AB2EF6D" w14:textId="77777777" w:rsidTr="00A25AE9">
        <w:tc>
          <w:tcPr>
            <w:tcW w:w="550" w:type="pct"/>
          </w:tcPr>
          <w:p w14:paraId="135028ED" w14:textId="77777777" w:rsidR="006E7937" w:rsidRDefault="006E7937" w:rsidP="006E7937">
            <w:pPr>
              <w:pStyle w:val="TabletextLeft"/>
              <w:keepNext/>
              <w:keepLines/>
            </w:pPr>
            <w:r>
              <w:t>12</w:t>
            </w:r>
          </w:p>
        </w:tc>
        <w:tc>
          <w:tcPr>
            <w:tcW w:w="1768" w:type="pct"/>
          </w:tcPr>
          <w:p w14:paraId="053EB8E9" w14:textId="77777777" w:rsidR="006E7937" w:rsidRDefault="006E7937" w:rsidP="006E7937">
            <w:pPr>
              <w:pStyle w:val="TabletextLeft"/>
              <w:keepNext/>
              <w:keepLines/>
            </w:pPr>
            <w:r>
              <w:t>Please describe your organisation’s ratio of casual work to permanent work on weekdays and weekends on average over financial year which ended in 2019 (headcount)</w:t>
            </w:r>
          </w:p>
        </w:tc>
        <w:tc>
          <w:tcPr>
            <w:tcW w:w="1769" w:type="pct"/>
          </w:tcPr>
          <w:p w14:paraId="52486795" w14:textId="7F1DD53C" w:rsidR="006E7937" w:rsidRDefault="00552A88" w:rsidP="006E7937">
            <w:pPr>
              <w:pStyle w:val="TabletextLeft"/>
              <w:keepNext/>
              <w:keepLines/>
            </w:pPr>
            <w:r>
              <w:t>U</w:t>
            </w:r>
            <w:r w:rsidR="008C5C91">
              <w:t>pper and lower bound</w:t>
            </w:r>
            <w:r>
              <w:t>s were set</w:t>
            </w:r>
            <w:r w:rsidR="008C5C91">
              <w:t xml:space="preserve"> for validating the Q12 responses</w:t>
            </w:r>
            <w:r w:rsidR="006E7937">
              <w:t>.</w:t>
            </w:r>
            <w:r>
              <w:t xml:space="preserve"> The bounds were established by using Q8’s data on permanent and casual staff by headcount</w:t>
            </w:r>
            <w:r w:rsidR="006E7937">
              <w:t>.</w:t>
            </w:r>
          </w:p>
        </w:tc>
        <w:tc>
          <w:tcPr>
            <w:tcW w:w="913" w:type="pct"/>
          </w:tcPr>
          <w:p w14:paraId="3EBAAE06" w14:textId="056AC806" w:rsidR="006E7937" w:rsidRDefault="006E7937" w:rsidP="008C28C1">
            <w:pPr>
              <w:pStyle w:val="TabletextLeft"/>
              <w:keepNext/>
              <w:keepLines/>
              <w:jc w:val="center"/>
            </w:pPr>
            <w:r w:rsidRPr="00217874">
              <w:t>14.6%</w:t>
            </w:r>
          </w:p>
        </w:tc>
      </w:tr>
      <w:tr w:rsidR="006E7937" w14:paraId="1AF463DF" w14:textId="77777777" w:rsidTr="00A25AE9">
        <w:tc>
          <w:tcPr>
            <w:tcW w:w="550" w:type="pct"/>
          </w:tcPr>
          <w:p w14:paraId="5D97FADE" w14:textId="77777777" w:rsidR="006E7937" w:rsidRDefault="006E7937" w:rsidP="006E7937">
            <w:pPr>
              <w:pStyle w:val="TabletextLeft"/>
              <w:keepNext/>
              <w:keepLines/>
            </w:pPr>
            <w:r>
              <w:t>15</w:t>
            </w:r>
          </w:p>
        </w:tc>
        <w:tc>
          <w:tcPr>
            <w:tcW w:w="1768" w:type="pct"/>
          </w:tcPr>
          <w:p w14:paraId="2A80016C" w14:textId="77777777" w:rsidR="006E7937" w:rsidRDefault="006E7937" w:rsidP="006E7937">
            <w:pPr>
              <w:pStyle w:val="TabletextLeft"/>
              <w:keepNext/>
              <w:keepLines/>
            </w:pPr>
            <w:r>
              <w:t>For permanent staff, how many hours of annual leave are entitled per year?</w:t>
            </w:r>
          </w:p>
        </w:tc>
        <w:tc>
          <w:tcPr>
            <w:tcW w:w="1769" w:type="pct"/>
          </w:tcPr>
          <w:p w14:paraId="0BC35FDC" w14:textId="77777777" w:rsidR="006E7937" w:rsidRDefault="006E7937" w:rsidP="006E7937">
            <w:pPr>
              <w:pStyle w:val="TabletextLeft"/>
              <w:keepNext/>
              <w:keepLines/>
            </w:pPr>
            <w:r>
              <w:t>Responses were excluded if they exceeded 300 hours, as this would be approximately double the hours provided by SCHADS</w:t>
            </w:r>
            <w:r>
              <w:rPr>
                <w:rStyle w:val="FootnoteReference"/>
              </w:rPr>
              <w:footnoteReference w:id="5"/>
            </w:r>
            <w:r>
              <w:t>.</w:t>
            </w:r>
          </w:p>
        </w:tc>
        <w:tc>
          <w:tcPr>
            <w:tcW w:w="913" w:type="pct"/>
          </w:tcPr>
          <w:p w14:paraId="6141234E" w14:textId="4023B489" w:rsidR="006E7937" w:rsidRDefault="006E7937" w:rsidP="008C28C1">
            <w:pPr>
              <w:pStyle w:val="TabletextLeft"/>
              <w:keepNext/>
              <w:keepLines/>
              <w:jc w:val="center"/>
            </w:pPr>
            <w:r w:rsidRPr="00217874">
              <w:t>1.4%</w:t>
            </w:r>
          </w:p>
        </w:tc>
      </w:tr>
      <w:tr w:rsidR="006E7937" w14:paraId="5BE2597F" w14:textId="77777777" w:rsidTr="00A25AE9">
        <w:tc>
          <w:tcPr>
            <w:tcW w:w="550" w:type="pct"/>
          </w:tcPr>
          <w:p w14:paraId="2CA81125" w14:textId="77777777" w:rsidR="006E7937" w:rsidRDefault="006E7937" w:rsidP="006E7937">
            <w:pPr>
              <w:pStyle w:val="TabletextLeft"/>
              <w:keepNext/>
              <w:keepLines/>
            </w:pPr>
            <w:r>
              <w:t>16</w:t>
            </w:r>
          </w:p>
        </w:tc>
        <w:tc>
          <w:tcPr>
            <w:tcW w:w="1768" w:type="pct"/>
          </w:tcPr>
          <w:p w14:paraId="46A67595" w14:textId="77777777" w:rsidR="006E7937" w:rsidRDefault="006E7937" w:rsidP="006E7937">
            <w:pPr>
              <w:pStyle w:val="TabletextLeft"/>
              <w:keepNext/>
              <w:keepLines/>
            </w:pPr>
            <w:r>
              <w:t>For permanent staff, how many hours of long service leave are entitled per year?</w:t>
            </w:r>
          </w:p>
        </w:tc>
        <w:tc>
          <w:tcPr>
            <w:tcW w:w="1769" w:type="pct"/>
          </w:tcPr>
          <w:p w14:paraId="7AF9B75B" w14:textId="77777777" w:rsidR="006E7937" w:rsidRDefault="006E7937" w:rsidP="006E7937">
            <w:pPr>
              <w:pStyle w:val="TabletextLeft"/>
              <w:keepNext/>
              <w:keepLines/>
            </w:pPr>
            <w:r>
              <w:t>Responses were excluded if they exceeded 100 hours, as this would be approximately triple the hours provided by SCHADS.</w:t>
            </w:r>
          </w:p>
        </w:tc>
        <w:tc>
          <w:tcPr>
            <w:tcW w:w="913" w:type="pct"/>
          </w:tcPr>
          <w:p w14:paraId="58FC2348" w14:textId="6C635CB0" w:rsidR="006E7937" w:rsidRDefault="006E7937" w:rsidP="008C28C1">
            <w:pPr>
              <w:pStyle w:val="TabletextLeft"/>
              <w:keepNext/>
              <w:keepLines/>
              <w:jc w:val="center"/>
            </w:pPr>
            <w:r w:rsidRPr="00217874">
              <w:t>5.8%</w:t>
            </w:r>
          </w:p>
        </w:tc>
      </w:tr>
      <w:tr w:rsidR="006E7937" w14:paraId="19123CF4" w14:textId="77777777" w:rsidTr="00A25AE9">
        <w:tc>
          <w:tcPr>
            <w:tcW w:w="550" w:type="pct"/>
          </w:tcPr>
          <w:p w14:paraId="15903CE6" w14:textId="77777777" w:rsidR="006E7937" w:rsidRDefault="006E7937" w:rsidP="006E7937">
            <w:pPr>
              <w:pStyle w:val="TabletextLeft"/>
              <w:keepNext/>
              <w:keepLines/>
            </w:pPr>
            <w:r>
              <w:t>19</w:t>
            </w:r>
          </w:p>
        </w:tc>
        <w:tc>
          <w:tcPr>
            <w:tcW w:w="1768" w:type="pct"/>
          </w:tcPr>
          <w:p w14:paraId="597CFC46" w14:textId="77777777" w:rsidR="006E7937" w:rsidRDefault="006E7937" w:rsidP="006E7937">
            <w:pPr>
              <w:pStyle w:val="TabletextLeft"/>
              <w:keepNext/>
              <w:keepLines/>
            </w:pPr>
            <w:r>
              <w:t>What percentage of superannuation does your organisation pay?</w:t>
            </w:r>
          </w:p>
        </w:tc>
        <w:tc>
          <w:tcPr>
            <w:tcW w:w="1769" w:type="pct"/>
          </w:tcPr>
          <w:p w14:paraId="2AE6F687" w14:textId="77777777" w:rsidR="006E7937" w:rsidRDefault="006E7937" w:rsidP="006E7937">
            <w:pPr>
              <w:pStyle w:val="TabletextLeft"/>
              <w:keepNext/>
              <w:keepLines/>
            </w:pPr>
            <w:r>
              <w:t>Responses above 20% were removed as this is more than double the standard rate of 9.5%.</w:t>
            </w:r>
          </w:p>
        </w:tc>
        <w:tc>
          <w:tcPr>
            <w:tcW w:w="913" w:type="pct"/>
          </w:tcPr>
          <w:p w14:paraId="798C5E80" w14:textId="69CE8FFA" w:rsidR="006E7937" w:rsidRDefault="006E7937" w:rsidP="008C28C1">
            <w:pPr>
              <w:pStyle w:val="TabletextLeft"/>
              <w:keepNext/>
              <w:keepLines/>
              <w:jc w:val="center"/>
            </w:pPr>
            <w:r w:rsidRPr="00217874">
              <w:t>0.8%</w:t>
            </w:r>
          </w:p>
        </w:tc>
      </w:tr>
      <w:tr w:rsidR="006E7937" w14:paraId="130E38D3" w14:textId="77777777" w:rsidTr="00A25AE9">
        <w:tc>
          <w:tcPr>
            <w:tcW w:w="550" w:type="pct"/>
          </w:tcPr>
          <w:p w14:paraId="6BB91835" w14:textId="77777777" w:rsidR="006E7937" w:rsidRDefault="006E7937" w:rsidP="006E7937">
            <w:pPr>
              <w:pStyle w:val="TabletextLeft"/>
              <w:keepNext/>
              <w:keepLines/>
            </w:pPr>
            <w:r>
              <w:t>20</w:t>
            </w:r>
          </w:p>
        </w:tc>
        <w:tc>
          <w:tcPr>
            <w:tcW w:w="1768" w:type="pct"/>
          </w:tcPr>
          <w:p w14:paraId="36E2929B" w14:textId="77777777" w:rsidR="006E7937" w:rsidRDefault="006E7937" w:rsidP="006E7937">
            <w:pPr>
              <w:pStyle w:val="TabletextLeft"/>
              <w:keepNext/>
              <w:keepLines/>
            </w:pPr>
            <w:r>
              <w:t>Does your organisation pay its workers an allowance? Yes – the proportion of workers in our organisation who are paid an allowance is:</w:t>
            </w:r>
          </w:p>
        </w:tc>
        <w:tc>
          <w:tcPr>
            <w:tcW w:w="1769" w:type="pct"/>
          </w:tcPr>
          <w:p w14:paraId="2D1F06C5" w14:textId="368A5E8D" w:rsidR="006E7937" w:rsidRDefault="006E7937" w:rsidP="006E7937">
            <w:pPr>
              <w:pStyle w:val="TabletextLeft"/>
              <w:keepNext/>
              <w:keepLines/>
            </w:pPr>
            <w:r>
              <w:t>Some responses were decimal points rather than whole percentages. As such,</w:t>
            </w:r>
            <w:r w:rsidR="00D22EEE">
              <w:t xml:space="preserve"> </w:t>
            </w:r>
            <w:r>
              <w:t>any values between 0 and 1 were multiplied by 100 to represent a percentage point.</w:t>
            </w:r>
          </w:p>
        </w:tc>
        <w:tc>
          <w:tcPr>
            <w:tcW w:w="913" w:type="pct"/>
          </w:tcPr>
          <w:p w14:paraId="1A5391D4" w14:textId="3CB1A6A8" w:rsidR="006E7937" w:rsidRDefault="006E7937" w:rsidP="008C28C1">
            <w:pPr>
              <w:pStyle w:val="TabletextLeft"/>
              <w:keepNext/>
              <w:keepLines/>
              <w:jc w:val="center"/>
            </w:pPr>
            <w:r w:rsidRPr="00217874">
              <w:t>0.2%</w:t>
            </w:r>
          </w:p>
        </w:tc>
      </w:tr>
      <w:tr w:rsidR="006E7937" w14:paraId="55B0A084" w14:textId="77777777" w:rsidTr="00A25AE9">
        <w:tc>
          <w:tcPr>
            <w:tcW w:w="550" w:type="pct"/>
          </w:tcPr>
          <w:p w14:paraId="23A6C315" w14:textId="77777777" w:rsidR="006E7937" w:rsidRDefault="006E7937" w:rsidP="006E7937">
            <w:pPr>
              <w:pStyle w:val="TabletextLeft"/>
              <w:keepNext/>
              <w:keepLines/>
            </w:pPr>
            <w:r>
              <w:t>24</w:t>
            </w:r>
          </w:p>
        </w:tc>
        <w:tc>
          <w:tcPr>
            <w:tcW w:w="1768" w:type="pct"/>
          </w:tcPr>
          <w:p w14:paraId="4F96BA98" w14:textId="77777777" w:rsidR="006E7937" w:rsidRDefault="006E7937" w:rsidP="006E7937">
            <w:pPr>
              <w:pStyle w:val="TabletextLeft"/>
              <w:keepNext/>
              <w:keepLines/>
            </w:pPr>
            <w:r w:rsidRPr="00823D3C">
              <w:t xml:space="preserve">For the jurisdiction where your organisation generates the largest source of its NDIS revenue, what was the workers compensation premium that your organisation paid, as a proportion of wages and salaries? </w:t>
            </w:r>
          </w:p>
        </w:tc>
        <w:tc>
          <w:tcPr>
            <w:tcW w:w="1769" w:type="pct"/>
          </w:tcPr>
          <w:p w14:paraId="64813B5F" w14:textId="77777777" w:rsidR="006E7937" w:rsidRDefault="006E7937" w:rsidP="006E7937">
            <w:pPr>
              <w:pStyle w:val="TabletextLeft"/>
              <w:keepNext/>
              <w:keepLines/>
            </w:pPr>
            <w:r>
              <w:t>Desktop research suggested that values exceeding 7% are implausible. A lower threshold than 7% would have resulted in a much higher proportion of responses being excluded.</w:t>
            </w:r>
          </w:p>
        </w:tc>
        <w:tc>
          <w:tcPr>
            <w:tcW w:w="913" w:type="pct"/>
          </w:tcPr>
          <w:p w14:paraId="4CCFA9C4" w14:textId="43C0F9A5" w:rsidR="006E7937" w:rsidRDefault="006E7937" w:rsidP="008C28C1">
            <w:pPr>
              <w:pStyle w:val="TabletextLeft"/>
              <w:keepNext/>
              <w:keepLines/>
              <w:jc w:val="center"/>
            </w:pPr>
            <w:r w:rsidRPr="00217874">
              <w:t>28.8%</w:t>
            </w:r>
          </w:p>
        </w:tc>
      </w:tr>
      <w:tr w:rsidR="006E7937" w14:paraId="4E23CCE2" w14:textId="77777777" w:rsidTr="00A25AE9">
        <w:tc>
          <w:tcPr>
            <w:tcW w:w="550" w:type="pct"/>
          </w:tcPr>
          <w:p w14:paraId="740AB966" w14:textId="77777777" w:rsidR="006E7937" w:rsidRDefault="006E7937" w:rsidP="006E7937">
            <w:pPr>
              <w:pStyle w:val="TabletextLeft"/>
              <w:keepNext/>
              <w:keepLines/>
            </w:pPr>
            <w:r>
              <w:t>25</w:t>
            </w:r>
          </w:p>
        </w:tc>
        <w:tc>
          <w:tcPr>
            <w:tcW w:w="1768" w:type="pct"/>
          </w:tcPr>
          <w:p w14:paraId="5A7768E7" w14:textId="77777777" w:rsidR="006E7937" w:rsidRDefault="006E7937" w:rsidP="006E7937">
            <w:pPr>
              <w:pStyle w:val="TabletextLeft"/>
              <w:keepNext/>
              <w:keepLines/>
            </w:pPr>
            <w:r w:rsidRPr="00B5095C">
              <w:t>On average over the financial year which ended in 2019, what proportion of time did an average disability support worker spend on the following activities?</w:t>
            </w:r>
          </w:p>
        </w:tc>
        <w:tc>
          <w:tcPr>
            <w:tcW w:w="1769" w:type="pct"/>
          </w:tcPr>
          <w:p w14:paraId="320040A8" w14:textId="77777777" w:rsidR="006E7937" w:rsidRDefault="006E7937" w:rsidP="006E7937">
            <w:pPr>
              <w:pStyle w:val="TabletextLeft"/>
              <w:keepNext/>
              <w:keepLines/>
            </w:pPr>
            <w:r>
              <w:t>Responses below 50% were excluded, since below this level direct support work would not be the primary activity.</w:t>
            </w:r>
          </w:p>
        </w:tc>
        <w:tc>
          <w:tcPr>
            <w:tcW w:w="913" w:type="pct"/>
          </w:tcPr>
          <w:p w14:paraId="4EBD4599" w14:textId="7B60A4D2" w:rsidR="006E7937" w:rsidRDefault="006E7937" w:rsidP="008C28C1">
            <w:pPr>
              <w:pStyle w:val="TabletextLeft"/>
              <w:keepNext/>
              <w:keepLines/>
              <w:jc w:val="center"/>
            </w:pPr>
            <w:r w:rsidRPr="00217874">
              <w:t>15.9%</w:t>
            </w:r>
          </w:p>
        </w:tc>
      </w:tr>
    </w:tbl>
    <w:p w14:paraId="61C744AB" w14:textId="77777777" w:rsidR="00A67F3B" w:rsidRDefault="00A67F3B" w:rsidP="00823D3C"/>
    <w:p w14:paraId="6B731150" w14:textId="1C277929" w:rsidR="00A67F3B" w:rsidRDefault="00A67F3B" w:rsidP="00823D3C">
      <w:r>
        <w:t xml:space="preserve">In some cases, multiple survey questions were used to calculate results and were subject to additional cleaning. This included questions 26 and 27 to calculate </w:t>
      </w:r>
      <w:r w:rsidR="00A6707A">
        <w:t xml:space="preserve">implied </w:t>
      </w:r>
      <w:r>
        <w:t>margins</w:t>
      </w:r>
      <w:r w:rsidR="009A0325">
        <w:t>,</w:t>
      </w:r>
      <w:r>
        <w:t xml:space="preserve"> and 28 and 29 to calculate overheads as a share of direct costs</w:t>
      </w:r>
      <w:r w:rsidR="005B18DB">
        <w:rPr>
          <w:rStyle w:val="FootnoteReference"/>
        </w:rPr>
        <w:footnoteReference w:id="6"/>
      </w:r>
      <w:r>
        <w:t>.</w:t>
      </w:r>
    </w:p>
    <w:p w14:paraId="0CD9EBC7" w14:textId="2DC21996" w:rsidR="00A67F3B" w:rsidRDefault="00A67F3B" w:rsidP="00823D3C">
      <w:r>
        <w:t xml:space="preserve">In the case of </w:t>
      </w:r>
      <w:r w:rsidR="00A6707A">
        <w:t xml:space="preserve">implied </w:t>
      </w:r>
      <w:r>
        <w:t>margins,</w:t>
      </w:r>
      <w:r w:rsidR="004879CD">
        <w:t xml:space="preserve"> </w:t>
      </w:r>
      <w:r w:rsidR="004879CD" w:rsidRPr="004879CD">
        <w:t xml:space="preserve">values </w:t>
      </w:r>
      <w:r w:rsidR="00AB5162">
        <w:t>considered s</w:t>
      </w:r>
      <w:r w:rsidR="00AB5162" w:rsidRPr="004879CD">
        <w:t xml:space="preserve">ub-economic </w:t>
      </w:r>
      <w:r w:rsidR="004879CD" w:rsidRPr="004879CD">
        <w:t>were filtered</w:t>
      </w:r>
      <w:r w:rsidR="00AB5162">
        <w:t xml:space="preserve"> out</w:t>
      </w:r>
      <w:r w:rsidR="004879CD" w:rsidRPr="004879CD">
        <w:t xml:space="preserve">, including revenue entries of less than $10 and balance sheet entries of less than $100. </w:t>
      </w:r>
      <w:r w:rsidR="004879CD">
        <w:t>A</w:t>
      </w:r>
      <w:r>
        <w:t>ny results that led to working capital days in excess of 365 were</w:t>
      </w:r>
      <w:r w:rsidR="004879CD">
        <w:t xml:space="preserve"> also</w:t>
      </w:r>
      <w:r>
        <w:t xml:space="preserve"> </w:t>
      </w:r>
      <w:r w:rsidR="00AB5162">
        <w:t>removed</w:t>
      </w:r>
      <w:r>
        <w:t xml:space="preserve">. </w:t>
      </w:r>
    </w:p>
    <w:p w14:paraId="2BD81084" w14:textId="26226748" w:rsidR="00A67F3B" w:rsidRDefault="00A67F3B" w:rsidP="00823D3C">
      <w:r>
        <w:t>In the case of overheads</w:t>
      </w:r>
      <w:r w:rsidR="004879CD">
        <w:t xml:space="preserve"> as a share of direct costs</w:t>
      </w:r>
      <w:r>
        <w:t>,</w:t>
      </w:r>
      <w:r w:rsidR="004879CD">
        <w:t xml:space="preserve"> a</w:t>
      </w:r>
      <w:r w:rsidR="004879CD" w:rsidRPr="004879CD">
        <w:t>ny direct cost values of less than $100 were filtered</w:t>
      </w:r>
      <w:r w:rsidR="00AB5162">
        <w:t xml:space="preserve"> out</w:t>
      </w:r>
      <w:r w:rsidR="004879CD">
        <w:t>. Additionally, final</w:t>
      </w:r>
      <w:r>
        <w:t xml:space="preserve"> results </w:t>
      </w:r>
      <w:r w:rsidR="0018654E">
        <w:t xml:space="preserve">which </w:t>
      </w:r>
      <w:r>
        <w:t>indicated</w:t>
      </w:r>
      <w:r w:rsidR="0018654E">
        <w:t xml:space="preserve"> that</w:t>
      </w:r>
      <w:r>
        <w:t xml:space="preserve"> overheads </w:t>
      </w:r>
      <w:r w:rsidRPr="00A67F3B">
        <w:t>as a share of direct costs</w:t>
      </w:r>
      <w:r>
        <w:t xml:space="preserve"> were above 50% were also </w:t>
      </w:r>
      <w:r w:rsidR="00AB5162">
        <w:t>removed</w:t>
      </w:r>
      <w:r>
        <w:t>.</w:t>
      </w:r>
    </w:p>
    <w:p w14:paraId="76B3D44A" w14:textId="11BDF456" w:rsidR="005E21A8" w:rsidRDefault="005E21A8">
      <w:pPr>
        <w:pStyle w:val="Heading1"/>
      </w:pPr>
      <w:bookmarkStart w:id="90" w:name="_Toc36130559"/>
      <w:bookmarkStart w:id="91" w:name="_Toc36130560"/>
      <w:bookmarkStart w:id="92" w:name="_Toc36130561"/>
      <w:bookmarkStart w:id="93" w:name="_Toc36130562"/>
      <w:bookmarkStart w:id="94" w:name="_Ref36067666"/>
      <w:bookmarkStart w:id="95" w:name="_Toc40454644"/>
      <w:bookmarkEnd w:id="90"/>
      <w:bookmarkEnd w:id="91"/>
      <w:bookmarkEnd w:id="92"/>
      <w:bookmarkEnd w:id="93"/>
      <w:r>
        <w:lastRenderedPageBreak/>
        <w:t>Results</w:t>
      </w:r>
      <w:bookmarkEnd w:id="94"/>
      <w:bookmarkEnd w:id="95"/>
    </w:p>
    <w:p w14:paraId="04EF42F8" w14:textId="18326C0C" w:rsidR="004F125E" w:rsidRDefault="004F125E" w:rsidP="004F125E">
      <w:r>
        <w:t xml:space="preserve">This chapter </w:t>
      </w:r>
      <w:r w:rsidR="00D42A79">
        <w:t xml:space="preserve">and </w:t>
      </w:r>
      <w:r w:rsidR="00D42A79">
        <w:rPr>
          <w:highlight w:val="yellow"/>
        </w:rPr>
        <w:fldChar w:fldCharType="begin"/>
      </w:r>
      <w:r w:rsidR="00D42A79">
        <w:instrText xml:space="preserve"> REF _Ref36445015 \r \h </w:instrText>
      </w:r>
      <w:r w:rsidR="00D42A79">
        <w:rPr>
          <w:highlight w:val="yellow"/>
        </w:rPr>
      </w:r>
      <w:r w:rsidR="00D42A79">
        <w:rPr>
          <w:highlight w:val="yellow"/>
        </w:rPr>
        <w:fldChar w:fldCharType="separate"/>
      </w:r>
      <w:r w:rsidR="00283637">
        <w:t>Appendix C</w:t>
      </w:r>
      <w:r w:rsidR="00D42A79">
        <w:rPr>
          <w:highlight w:val="yellow"/>
        </w:rPr>
        <w:fldChar w:fldCharType="end"/>
      </w:r>
      <w:r w:rsidR="00D42A79">
        <w:t xml:space="preserve"> </w:t>
      </w:r>
      <w:r>
        <w:t xml:space="preserve">present the results of the </w:t>
      </w:r>
      <w:r w:rsidR="00C04288">
        <w:t xml:space="preserve">survey </w:t>
      </w:r>
      <w:r>
        <w:t xml:space="preserve">analysis that was described in Section </w:t>
      </w:r>
      <w:r>
        <w:fldChar w:fldCharType="begin"/>
      </w:r>
      <w:r>
        <w:instrText xml:space="preserve"> REF _Ref35354408 \r \h </w:instrText>
      </w:r>
      <w:r>
        <w:fldChar w:fldCharType="separate"/>
      </w:r>
      <w:r w:rsidR="00283637">
        <w:t>2</w:t>
      </w:r>
      <w:r>
        <w:fldChar w:fldCharType="end"/>
      </w:r>
      <w:r>
        <w:t>. This includes:</w:t>
      </w:r>
    </w:p>
    <w:p w14:paraId="5378577D" w14:textId="77777777" w:rsidR="00D42A79" w:rsidRDefault="00D42A79" w:rsidP="00D42A79">
      <w:pPr>
        <w:pStyle w:val="ListBullet"/>
      </w:pPr>
      <w:r>
        <w:t>The mean, Weighted Mean (WM)</w:t>
      </w:r>
      <w:r>
        <w:rPr>
          <w:rStyle w:val="FootnoteReference"/>
        </w:rPr>
        <w:footnoteReference w:id="7"/>
      </w:r>
      <w:r>
        <w:t xml:space="preserve"> and median results for each response.</w:t>
      </w:r>
    </w:p>
    <w:p w14:paraId="4AC12E87" w14:textId="77777777" w:rsidR="00D42A79" w:rsidRDefault="00D42A79" w:rsidP="00D42A79">
      <w:pPr>
        <w:pStyle w:val="ListBullet"/>
      </w:pPr>
      <w:r>
        <w:t>The minimum and maximum values, as well as the 5</w:t>
      </w:r>
      <w:r w:rsidRPr="00B23394">
        <w:rPr>
          <w:vertAlign w:val="superscript"/>
        </w:rPr>
        <w:t>th</w:t>
      </w:r>
      <w:r>
        <w:t>, 10</w:t>
      </w:r>
      <w:r w:rsidRPr="00B23394">
        <w:rPr>
          <w:vertAlign w:val="superscript"/>
        </w:rPr>
        <w:t>th</w:t>
      </w:r>
      <w:r>
        <w:t>, 25</w:t>
      </w:r>
      <w:r w:rsidRPr="00B23394">
        <w:rPr>
          <w:vertAlign w:val="superscript"/>
        </w:rPr>
        <w:t>th</w:t>
      </w:r>
      <w:r>
        <w:t>, 50</w:t>
      </w:r>
      <w:r w:rsidRPr="00B23394">
        <w:rPr>
          <w:vertAlign w:val="superscript"/>
        </w:rPr>
        <w:t>th</w:t>
      </w:r>
      <w:r>
        <w:rPr>
          <w:vertAlign w:val="superscript"/>
        </w:rPr>
        <w:t xml:space="preserve"> </w:t>
      </w:r>
      <w:r w:rsidRPr="008A7717">
        <w:t>(median</w:t>
      </w:r>
      <w:r>
        <w:t>), 75</w:t>
      </w:r>
      <w:r w:rsidRPr="00B23394">
        <w:rPr>
          <w:vertAlign w:val="superscript"/>
        </w:rPr>
        <w:t>th</w:t>
      </w:r>
      <w:r>
        <w:t>, 90</w:t>
      </w:r>
      <w:r w:rsidRPr="00B23394">
        <w:rPr>
          <w:vertAlign w:val="superscript"/>
        </w:rPr>
        <w:t>th</w:t>
      </w:r>
      <w:r>
        <w:t xml:space="preserve"> and 95</w:t>
      </w:r>
      <w:r w:rsidRPr="00B23394">
        <w:rPr>
          <w:vertAlign w:val="superscript"/>
        </w:rPr>
        <w:t>th</w:t>
      </w:r>
      <w:r>
        <w:t xml:space="preserve"> percentiles.</w:t>
      </w:r>
    </w:p>
    <w:p w14:paraId="57ACB2A5" w14:textId="18B230E9" w:rsidR="00CB3D6D" w:rsidRDefault="00CB3D6D" w:rsidP="00593086">
      <w:pPr>
        <w:pStyle w:val="ListBullet"/>
      </w:pPr>
      <w:r>
        <w:t>Box plot</w:t>
      </w:r>
      <w:r w:rsidR="00D22EEE">
        <w:t>s</w:t>
      </w:r>
      <w:r>
        <w:t xml:space="preserve">, </w:t>
      </w:r>
      <w:r w:rsidR="00117472">
        <w:t>P</w:t>
      </w:r>
      <w:r>
        <w:t xml:space="preserve">robability </w:t>
      </w:r>
      <w:r w:rsidR="00117472">
        <w:t>Density</w:t>
      </w:r>
      <w:r>
        <w:t xml:space="preserve"> </w:t>
      </w:r>
      <w:r w:rsidR="00117472">
        <w:t>F</w:t>
      </w:r>
      <w:r>
        <w:t>unctions</w:t>
      </w:r>
      <w:r w:rsidR="00117472">
        <w:t xml:space="preserve"> (PDFs)</w:t>
      </w:r>
      <w:r w:rsidR="0018654E" w:rsidRPr="0018654E">
        <w:rPr>
          <w:rStyle w:val="FootnoteReference"/>
        </w:rPr>
        <w:t xml:space="preserve"> </w:t>
      </w:r>
      <w:r w:rsidR="0018654E">
        <w:rPr>
          <w:rStyle w:val="FootnoteReference"/>
        </w:rPr>
        <w:footnoteReference w:id="8"/>
      </w:r>
      <w:r w:rsidR="00AF17E5">
        <w:t>, pie charts</w:t>
      </w:r>
      <w:r>
        <w:t xml:space="preserve"> and frequency histogram distributions of survey results</w:t>
      </w:r>
      <w:r w:rsidR="00AF17E5">
        <w:t xml:space="preserve"> where applicable</w:t>
      </w:r>
      <w:r>
        <w:t>, with commentary describing key considerations of the results.</w:t>
      </w:r>
      <w:r w:rsidR="00D861A2">
        <w:t xml:space="preserve"> For visual clari</w:t>
      </w:r>
      <w:r w:rsidR="006537D8">
        <w:t>t</w:t>
      </w:r>
      <w:r w:rsidR="00D861A2">
        <w:t>y, the box plots exclude responses which were considered to be outliers (defined as 1.5 times outside the upper and lower quartiles. As such, the charts in the box plots may not match exactly with the results in the corresponding tables.</w:t>
      </w:r>
    </w:p>
    <w:p w14:paraId="1D936D05" w14:textId="77777777" w:rsidR="00D42A79" w:rsidRPr="00B23394" w:rsidRDefault="00D42A79" w:rsidP="00D42A79">
      <w:pPr>
        <w:pStyle w:val="ListBullet"/>
      </w:pPr>
      <w:r>
        <w:t xml:space="preserve">The standard deviation, skew and kurtosis. </w:t>
      </w:r>
    </w:p>
    <w:p w14:paraId="7AABD475" w14:textId="676C6AB8" w:rsidR="00B919D7" w:rsidRDefault="00B919D7" w:rsidP="00DB66C5">
      <w:pPr>
        <w:pStyle w:val="Heading2"/>
      </w:pPr>
      <w:bookmarkStart w:id="96" w:name="_Toc40361842"/>
      <w:bookmarkStart w:id="97" w:name="_Toc40454645"/>
      <w:bookmarkStart w:id="98" w:name="_Toc40361843"/>
      <w:bookmarkStart w:id="99" w:name="_Toc40454646"/>
      <w:bookmarkStart w:id="100" w:name="_Toc40454647"/>
      <w:bookmarkEnd w:id="96"/>
      <w:bookmarkEnd w:id="97"/>
      <w:bookmarkEnd w:id="98"/>
      <w:bookmarkEnd w:id="99"/>
      <w:r w:rsidRPr="004B0BA8">
        <w:t>Base pay</w:t>
      </w:r>
      <w:bookmarkEnd w:id="100"/>
    </w:p>
    <w:p w14:paraId="4547041D" w14:textId="58E3C5CE" w:rsidR="00A516E9" w:rsidRPr="00CE2232" w:rsidRDefault="003D649A" w:rsidP="008A7717">
      <w:r>
        <w:t xml:space="preserve">The Deloitte survey sought information from each organisation on the distribution of the pay rates for its DSWs and supervisors across ten categories. From the responses, an average salary was calculated for each response. The relevant </w:t>
      </w:r>
      <w:r w:rsidRPr="00D05F4D">
        <w:t>tables (</w:t>
      </w:r>
      <w:r w:rsidRPr="00D05F4D">
        <w:fldChar w:fldCharType="begin"/>
      </w:r>
      <w:r w:rsidRPr="00D05F4D">
        <w:instrText xml:space="preserve"> REF _Ref36117151 \r \h  \* MERGEFORMAT </w:instrText>
      </w:r>
      <w:r w:rsidRPr="00D05F4D">
        <w:fldChar w:fldCharType="separate"/>
      </w:r>
      <w:r w:rsidR="00283637">
        <w:t>Table 3.1</w:t>
      </w:r>
      <w:r w:rsidRPr="00D05F4D">
        <w:fldChar w:fldCharType="end"/>
      </w:r>
      <w:r w:rsidRPr="00D05F4D">
        <w:t xml:space="preserve"> and </w:t>
      </w:r>
      <w:r w:rsidRPr="00D05F4D">
        <w:fldChar w:fldCharType="begin"/>
      </w:r>
      <w:r w:rsidRPr="00D05F4D">
        <w:instrText xml:space="preserve"> REF _Ref36117502 \r \h  \* MERGEFORMAT </w:instrText>
      </w:r>
      <w:r w:rsidRPr="00D05F4D">
        <w:fldChar w:fldCharType="separate"/>
      </w:r>
      <w:r w:rsidR="00283637">
        <w:t>Table 3.2</w:t>
      </w:r>
      <w:r w:rsidRPr="00D05F4D">
        <w:fldChar w:fldCharType="end"/>
      </w:r>
      <w:r w:rsidRPr="00D05F4D">
        <w:t>)</w:t>
      </w:r>
      <w:r>
        <w:t xml:space="preserve"> provide results at the 25</w:t>
      </w:r>
      <w:r w:rsidRPr="00ED66E1">
        <w:rPr>
          <w:vertAlign w:val="superscript"/>
        </w:rPr>
        <w:t>th</w:t>
      </w:r>
      <w:r>
        <w:t>, 50</w:t>
      </w:r>
      <w:r w:rsidRPr="00ED66E1">
        <w:rPr>
          <w:vertAlign w:val="superscript"/>
        </w:rPr>
        <w:t>th</w:t>
      </w:r>
      <w:r>
        <w:t xml:space="preserve"> and 75</w:t>
      </w:r>
      <w:r w:rsidRPr="00ED66E1">
        <w:rPr>
          <w:vertAlign w:val="superscript"/>
        </w:rPr>
        <w:t>th</w:t>
      </w:r>
      <w:r>
        <w:t xml:space="preserve"> percentiles.</w:t>
      </w:r>
      <w:r>
        <w:rPr>
          <w:rStyle w:val="FootnoteReference"/>
        </w:rPr>
        <w:footnoteReference w:id="9"/>
      </w:r>
      <w:r w:rsidRPr="001B4EB7">
        <w:rPr>
          <w:vertAlign w:val="superscript"/>
        </w:rPr>
        <w:t>,</w:t>
      </w:r>
      <w:r w:rsidR="00737DE8">
        <w:rPr>
          <w:rStyle w:val="FootnoteReference"/>
        </w:rPr>
        <w:footnoteReference w:id="10"/>
      </w:r>
    </w:p>
    <w:p w14:paraId="6AE5C4A4" w14:textId="00BEC744" w:rsidR="00B919D7" w:rsidRDefault="00506519" w:rsidP="002E5D35">
      <w:pPr>
        <w:pStyle w:val="CaptionTable"/>
        <w:ind w:left="0"/>
      </w:pPr>
      <w:bookmarkStart w:id="101" w:name="_Ref36117151"/>
      <w:bookmarkStart w:id="102" w:name="_Toc40454682"/>
      <w:r w:rsidRPr="00506519">
        <w:t>B</w:t>
      </w:r>
      <w:r w:rsidR="00B919D7">
        <w:t>ase pay</w:t>
      </w:r>
      <w:bookmarkEnd w:id="101"/>
      <w:bookmarkEnd w:id="102"/>
    </w:p>
    <w:tbl>
      <w:tblPr>
        <w:tblW w:w="5000" w:type="pct"/>
        <w:tblLayout w:type="fixed"/>
        <w:tblLook w:val="04A0" w:firstRow="1" w:lastRow="0" w:firstColumn="1" w:lastColumn="0" w:noHBand="0" w:noVBand="1"/>
      </w:tblPr>
      <w:tblGrid>
        <w:gridCol w:w="1559"/>
        <w:gridCol w:w="1493"/>
        <w:gridCol w:w="1493"/>
        <w:gridCol w:w="1493"/>
        <w:gridCol w:w="1493"/>
        <w:gridCol w:w="1495"/>
      </w:tblGrid>
      <w:tr w:rsidR="00D94C7C" w:rsidRPr="00527F45" w14:paraId="4BC8B1D1" w14:textId="77777777" w:rsidTr="008C28C1">
        <w:trPr>
          <w:trHeight w:val="243"/>
        </w:trPr>
        <w:tc>
          <w:tcPr>
            <w:tcW w:w="864" w:type="pct"/>
            <w:tcBorders>
              <w:top w:val="single" w:sz="12" w:space="0" w:color="62B5E5" w:themeColor="accent3"/>
              <w:left w:val="nil"/>
              <w:bottom w:val="single" w:sz="4" w:space="0" w:color="auto"/>
            </w:tcBorders>
            <w:shd w:val="clear" w:color="auto" w:fill="auto"/>
            <w:vAlign w:val="center"/>
          </w:tcPr>
          <w:p w14:paraId="4AA1FE72" w14:textId="77777777" w:rsidR="00D94C7C" w:rsidRPr="00527F45" w:rsidRDefault="00D94C7C" w:rsidP="00527F45">
            <w:pPr>
              <w:pStyle w:val="TableHeadingCentre"/>
              <w:rPr>
                <w:lang w:eastAsia="en-AU"/>
              </w:rPr>
            </w:pPr>
          </w:p>
        </w:tc>
        <w:tc>
          <w:tcPr>
            <w:tcW w:w="827" w:type="pct"/>
            <w:tcBorders>
              <w:top w:val="single" w:sz="12" w:space="0" w:color="62B5E5" w:themeColor="accent3"/>
              <w:left w:val="nil"/>
              <w:bottom w:val="single" w:sz="4" w:space="0" w:color="auto"/>
            </w:tcBorders>
            <w:shd w:val="clear" w:color="auto" w:fill="auto"/>
            <w:vAlign w:val="center"/>
          </w:tcPr>
          <w:p w14:paraId="0AC01870" w14:textId="0D593F5F" w:rsidR="00D94C7C" w:rsidRPr="00527F45" w:rsidRDefault="00D94C7C" w:rsidP="00527F45">
            <w:pPr>
              <w:pStyle w:val="TableHeadingCentre"/>
              <w:rPr>
                <w:bCs/>
                <w:lang w:eastAsia="en-AU"/>
              </w:rPr>
            </w:pPr>
            <w:r w:rsidRPr="00527F45">
              <w:rPr>
                <w:bCs/>
                <w:lang w:eastAsia="en-AU"/>
              </w:rPr>
              <w:t>Mean</w:t>
            </w:r>
          </w:p>
        </w:tc>
        <w:tc>
          <w:tcPr>
            <w:tcW w:w="827" w:type="pct"/>
            <w:tcBorders>
              <w:top w:val="single" w:sz="12" w:space="0" w:color="62B5E5" w:themeColor="accent3"/>
              <w:bottom w:val="single" w:sz="4" w:space="0" w:color="auto"/>
            </w:tcBorders>
            <w:shd w:val="clear" w:color="auto" w:fill="auto"/>
            <w:vAlign w:val="center"/>
          </w:tcPr>
          <w:p w14:paraId="0676251B" w14:textId="478C2975" w:rsidR="00D94C7C" w:rsidRPr="00527F45" w:rsidRDefault="00D94C7C" w:rsidP="00527F45">
            <w:pPr>
              <w:pStyle w:val="TableHeadingCentre"/>
              <w:rPr>
                <w:bCs/>
                <w:lang w:eastAsia="en-AU"/>
              </w:rPr>
            </w:pPr>
            <w:r w:rsidRPr="00527F45">
              <w:rPr>
                <w:bCs/>
                <w:lang w:eastAsia="en-AU"/>
              </w:rPr>
              <w:t>Med</w:t>
            </w:r>
          </w:p>
        </w:tc>
        <w:tc>
          <w:tcPr>
            <w:tcW w:w="827" w:type="pct"/>
            <w:tcBorders>
              <w:top w:val="single" w:sz="12" w:space="0" w:color="62B5E5" w:themeColor="accent3"/>
              <w:bottom w:val="single" w:sz="4" w:space="0" w:color="auto"/>
            </w:tcBorders>
            <w:shd w:val="clear" w:color="auto" w:fill="auto"/>
            <w:vAlign w:val="center"/>
          </w:tcPr>
          <w:p w14:paraId="7D7A3AEC" w14:textId="2FE77410" w:rsidR="00D94C7C" w:rsidRPr="00527F45" w:rsidRDefault="00D94C7C" w:rsidP="00527F45">
            <w:pPr>
              <w:pStyle w:val="TableHeadingCentre"/>
              <w:rPr>
                <w:bCs/>
                <w:lang w:eastAsia="en-AU"/>
              </w:rPr>
            </w:pPr>
            <w:r w:rsidRPr="00527F45">
              <w:rPr>
                <w:bCs/>
                <w:lang w:eastAsia="en-AU"/>
              </w:rPr>
              <w:t>25</w:t>
            </w:r>
            <w:r w:rsidRPr="00527F45">
              <w:rPr>
                <w:bCs/>
                <w:vertAlign w:val="superscript"/>
                <w:lang w:eastAsia="en-AU"/>
              </w:rPr>
              <w:t>th</w:t>
            </w:r>
            <w:r w:rsidRPr="00527F45">
              <w:rPr>
                <w:bCs/>
                <w:lang w:eastAsia="en-AU"/>
              </w:rPr>
              <w:t xml:space="preserve"> PC</w:t>
            </w:r>
          </w:p>
        </w:tc>
        <w:tc>
          <w:tcPr>
            <w:tcW w:w="827" w:type="pct"/>
            <w:tcBorders>
              <w:top w:val="single" w:sz="12" w:space="0" w:color="62B5E5" w:themeColor="accent3"/>
              <w:bottom w:val="single" w:sz="4" w:space="0" w:color="auto"/>
            </w:tcBorders>
            <w:shd w:val="clear" w:color="auto" w:fill="auto"/>
            <w:vAlign w:val="center"/>
          </w:tcPr>
          <w:p w14:paraId="55335FD3" w14:textId="20D70CAF" w:rsidR="00D94C7C" w:rsidRPr="00527F45" w:rsidRDefault="00D94C7C" w:rsidP="00527F45">
            <w:pPr>
              <w:pStyle w:val="TableHeadingCentre"/>
              <w:rPr>
                <w:bCs/>
                <w:lang w:eastAsia="en-AU"/>
              </w:rPr>
            </w:pPr>
            <w:r w:rsidRPr="00527F45">
              <w:rPr>
                <w:bCs/>
                <w:lang w:eastAsia="en-AU"/>
              </w:rPr>
              <w:t>50</w:t>
            </w:r>
            <w:r w:rsidRPr="00527F45">
              <w:rPr>
                <w:bCs/>
                <w:vertAlign w:val="superscript"/>
                <w:lang w:eastAsia="en-AU"/>
              </w:rPr>
              <w:t>th</w:t>
            </w:r>
            <w:r w:rsidRPr="00527F45">
              <w:rPr>
                <w:bCs/>
                <w:lang w:eastAsia="en-AU"/>
              </w:rPr>
              <w:t xml:space="preserve"> PC</w:t>
            </w:r>
          </w:p>
        </w:tc>
        <w:tc>
          <w:tcPr>
            <w:tcW w:w="828" w:type="pct"/>
            <w:tcBorders>
              <w:top w:val="single" w:sz="12" w:space="0" w:color="62B5E5" w:themeColor="accent3"/>
              <w:bottom w:val="single" w:sz="4" w:space="0" w:color="auto"/>
              <w:right w:val="nil"/>
            </w:tcBorders>
            <w:shd w:val="clear" w:color="auto" w:fill="auto"/>
            <w:vAlign w:val="center"/>
          </w:tcPr>
          <w:p w14:paraId="2EF017AA" w14:textId="2C5FFD90" w:rsidR="00D94C7C" w:rsidRPr="00527F45" w:rsidRDefault="00D94C7C" w:rsidP="00527F45">
            <w:pPr>
              <w:pStyle w:val="TableHeadingCentre"/>
              <w:rPr>
                <w:bCs/>
                <w:lang w:eastAsia="en-AU"/>
              </w:rPr>
            </w:pPr>
            <w:r w:rsidRPr="00527F45">
              <w:rPr>
                <w:bCs/>
                <w:lang w:eastAsia="en-AU"/>
              </w:rPr>
              <w:t>75</w:t>
            </w:r>
            <w:r w:rsidRPr="00527F45">
              <w:rPr>
                <w:bCs/>
                <w:vertAlign w:val="superscript"/>
                <w:lang w:eastAsia="en-AU"/>
              </w:rPr>
              <w:t>th</w:t>
            </w:r>
            <w:r w:rsidRPr="00527F45">
              <w:rPr>
                <w:bCs/>
                <w:lang w:eastAsia="en-AU"/>
              </w:rPr>
              <w:t xml:space="preserve"> PC</w:t>
            </w:r>
          </w:p>
        </w:tc>
      </w:tr>
      <w:tr w:rsidR="00D94C7C" w:rsidRPr="00EA3524" w14:paraId="45346A87" w14:textId="77777777" w:rsidTr="008C28C1">
        <w:trPr>
          <w:trHeight w:val="276"/>
        </w:trPr>
        <w:tc>
          <w:tcPr>
            <w:tcW w:w="864" w:type="pct"/>
            <w:tcBorders>
              <w:top w:val="single" w:sz="4" w:space="0" w:color="auto"/>
              <w:left w:val="nil"/>
              <w:bottom w:val="single" w:sz="4" w:space="0" w:color="auto"/>
            </w:tcBorders>
            <w:shd w:val="clear" w:color="auto" w:fill="auto"/>
            <w:vAlign w:val="center"/>
            <w:hideMark/>
          </w:tcPr>
          <w:p w14:paraId="53722836" w14:textId="0827E4C8" w:rsidR="00D94C7C" w:rsidRPr="00EA3524" w:rsidRDefault="00D94C7C" w:rsidP="00605398">
            <w:pPr>
              <w:spacing w:after="0" w:line="240" w:lineRule="auto"/>
              <w:rPr>
                <w:rFonts w:eastAsia="Times New Roman" w:cs="Times New Roman"/>
                <w:color w:val="000000"/>
                <w:sz w:val="17"/>
                <w:szCs w:val="17"/>
                <w:lang w:eastAsia="en-AU"/>
              </w:rPr>
            </w:pPr>
            <w:r w:rsidRPr="00EA3524">
              <w:rPr>
                <w:rFonts w:eastAsia="Times New Roman" w:cs="Times New Roman"/>
                <w:color w:val="000000"/>
                <w:sz w:val="17"/>
                <w:szCs w:val="17"/>
                <w:lang w:eastAsia="en-AU"/>
              </w:rPr>
              <w:t>Base</w:t>
            </w:r>
            <w:r w:rsidR="004F0836">
              <w:rPr>
                <w:rFonts w:eastAsia="Times New Roman" w:cs="Times New Roman"/>
                <w:color w:val="000000"/>
                <w:sz w:val="17"/>
                <w:szCs w:val="17"/>
                <w:lang w:eastAsia="en-AU"/>
              </w:rPr>
              <w:t xml:space="preserve"> </w:t>
            </w:r>
            <w:r w:rsidRPr="00EA3524">
              <w:rPr>
                <w:rFonts w:eastAsia="Times New Roman" w:cs="Times New Roman"/>
                <w:color w:val="000000"/>
                <w:sz w:val="17"/>
                <w:szCs w:val="17"/>
                <w:lang w:eastAsia="en-AU"/>
              </w:rPr>
              <w:t>salary</w:t>
            </w:r>
          </w:p>
        </w:tc>
        <w:tc>
          <w:tcPr>
            <w:tcW w:w="827" w:type="pct"/>
            <w:tcBorders>
              <w:top w:val="single" w:sz="4" w:space="0" w:color="auto"/>
              <w:left w:val="nil"/>
              <w:bottom w:val="single" w:sz="4" w:space="0" w:color="auto"/>
            </w:tcBorders>
            <w:shd w:val="clear" w:color="auto" w:fill="auto"/>
            <w:vAlign w:val="center"/>
            <w:hideMark/>
          </w:tcPr>
          <w:p w14:paraId="53B89B37" w14:textId="6800953D" w:rsidR="00D94C7C" w:rsidRPr="003F110A" w:rsidRDefault="00D94C7C" w:rsidP="00527F45">
            <w:pPr>
              <w:pStyle w:val="TabletextRight"/>
              <w:jc w:val="center"/>
              <w:rPr>
                <w:lang w:eastAsia="en-AU"/>
              </w:rPr>
            </w:pPr>
            <w:r w:rsidRPr="003F110A">
              <w:t>$30.47</w:t>
            </w:r>
          </w:p>
        </w:tc>
        <w:tc>
          <w:tcPr>
            <w:tcW w:w="827" w:type="pct"/>
            <w:tcBorders>
              <w:top w:val="single" w:sz="4" w:space="0" w:color="auto"/>
              <w:bottom w:val="single" w:sz="4" w:space="0" w:color="auto"/>
            </w:tcBorders>
            <w:shd w:val="clear" w:color="auto" w:fill="auto"/>
            <w:vAlign w:val="center"/>
            <w:hideMark/>
          </w:tcPr>
          <w:p w14:paraId="6C277E7F" w14:textId="73B94DDB" w:rsidR="00D94C7C" w:rsidRPr="003F110A" w:rsidRDefault="00D94C7C" w:rsidP="00527F45">
            <w:pPr>
              <w:pStyle w:val="TabletextRight"/>
              <w:jc w:val="center"/>
              <w:rPr>
                <w:lang w:eastAsia="en-AU"/>
              </w:rPr>
            </w:pPr>
            <w:r w:rsidRPr="003F110A">
              <w:t>$28.75</w:t>
            </w:r>
          </w:p>
        </w:tc>
        <w:tc>
          <w:tcPr>
            <w:tcW w:w="827" w:type="pct"/>
            <w:tcBorders>
              <w:top w:val="single" w:sz="4" w:space="0" w:color="auto"/>
              <w:bottom w:val="single" w:sz="4" w:space="0" w:color="auto"/>
            </w:tcBorders>
            <w:shd w:val="clear" w:color="auto" w:fill="auto"/>
            <w:vAlign w:val="center"/>
            <w:hideMark/>
          </w:tcPr>
          <w:p w14:paraId="422CAF18" w14:textId="4BBF9F27" w:rsidR="00D94C7C" w:rsidRPr="003F110A" w:rsidRDefault="00D94C7C" w:rsidP="00527F45">
            <w:pPr>
              <w:pStyle w:val="TabletextRight"/>
              <w:jc w:val="center"/>
              <w:rPr>
                <w:lang w:eastAsia="en-AU"/>
              </w:rPr>
            </w:pPr>
            <w:r w:rsidRPr="003F110A">
              <w:t>$27.55</w:t>
            </w:r>
          </w:p>
        </w:tc>
        <w:tc>
          <w:tcPr>
            <w:tcW w:w="827" w:type="pct"/>
            <w:tcBorders>
              <w:top w:val="single" w:sz="4" w:space="0" w:color="auto"/>
              <w:bottom w:val="single" w:sz="4" w:space="0" w:color="auto"/>
            </w:tcBorders>
            <w:shd w:val="clear" w:color="auto" w:fill="auto"/>
            <w:vAlign w:val="center"/>
            <w:hideMark/>
          </w:tcPr>
          <w:p w14:paraId="4746075B" w14:textId="4D819836" w:rsidR="00D94C7C" w:rsidRPr="003F110A" w:rsidRDefault="00D94C7C" w:rsidP="00527F45">
            <w:pPr>
              <w:pStyle w:val="TabletextRight"/>
              <w:jc w:val="center"/>
              <w:rPr>
                <w:lang w:eastAsia="en-AU"/>
              </w:rPr>
            </w:pPr>
            <w:r w:rsidRPr="003F110A">
              <w:t>$28.17</w:t>
            </w:r>
          </w:p>
        </w:tc>
        <w:tc>
          <w:tcPr>
            <w:tcW w:w="828" w:type="pct"/>
            <w:tcBorders>
              <w:top w:val="single" w:sz="4" w:space="0" w:color="auto"/>
              <w:bottom w:val="single" w:sz="4" w:space="0" w:color="auto"/>
              <w:right w:val="nil"/>
            </w:tcBorders>
            <w:shd w:val="clear" w:color="auto" w:fill="auto"/>
            <w:vAlign w:val="center"/>
            <w:hideMark/>
          </w:tcPr>
          <w:p w14:paraId="64950D84" w14:textId="7FFF0213" w:rsidR="00D94C7C" w:rsidRPr="003F110A" w:rsidRDefault="00D94C7C" w:rsidP="00527F45">
            <w:pPr>
              <w:pStyle w:val="TabletextRight"/>
              <w:jc w:val="center"/>
              <w:rPr>
                <w:lang w:eastAsia="en-AU"/>
              </w:rPr>
            </w:pPr>
            <w:r w:rsidRPr="003F110A">
              <w:t>$32.66</w:t>
            </w:r>
          </w:p>
        </w:tc>
      </w:tr>
    </w:tbl>
    <w:p w14:paraId="36F469A6" w14:textId="77777777" w:rsidR="006E7487" w:rsidRDefault="006E7487" w:rsidP="006E7487"/>
    <w:p w14:paraId="23DCD0CB" w14:textId="4460B14E" w:rsidR="00F903B6" w:rsidRDefault="00BC7E99" w:rsidP="006E7487">
      <w:r>
        <w:t>A</w:t>
      </w:r>
      <w:r w:rsidR="00F903B6">
        <w:t>s per the box plot</w:t>
      </w:r>
      <w:r w:rsidR="009C3ACB">
        <w:rPr>
          <w:rStyle w:val="FootnoteReference"/>
        </w:rPr>
        <w:footnoteReference w:id="11"/>
      </w:r>
      <w:r w:rsidR="00F903B6">
        <w:t xml:space="preserve"> </w:t>
      </w:r>
      <w:r>
        <w:t xml:space="preserve">in </w:t>
      </w:r>
      <w:r w:rsidR="00D05F4D">
        <w:rPr>
          <w:highlight w:val="yellow"/>
        </w:rPr>
        <w:fldChar w:fldCharType="begin"/>
      </w:r>
      <w:r w:rsidR="00D05F4D">
        <w:instrText xml:space="preserve"> REF _Ref38635145 \n </w:instrText>
      </w:r>
      <w:r w:rsidR="00D05F4D">
        <w:rPr>
          <w:highlight w:val="yellow"/>
        </w:rPr>
        <w:fldChar w:fldCharType="separate"/>
      </w:r>
      <w:r w:rsidR="00283637">
        <w:t>Chart 3.1</w:t>
      </w:r>
      <w:r w:rsidR="00D05F4D">
        <w:rPr>
          <w:highlight w:val="yellow"/>
        </w:rPr>
        <w:fldChar w:fldCharType="end"/>
      </w:r>
      <w:r w:rsidR="003361DE">
        <w:t>,</w:t>
      </w:r>
      <w:r w:rsidR="00F903B6">
        <w:t xml:space="preserve"> </w:t>
      </w:r>
      <w:r w:rsidR="007437FB">
        <w:t xml:space="preserve">wage rates </w:t>
      </w:r>
      <w:r w:rsidR="003361DE" w:rsidRPr="003361DE">
        <w:t>were</w:t>
      </w:r>
      <w:r w:rsidR="003361DE">
        <w:t xml:space="preserve"> predominantly </w:t>
      </w:r>
      <w:r w:rsidR="003361DE" w:rsidRPr="003361DE">
        <w:t>observed within a narrow band of $2</w:t>
      </w:r>
      <w:r w:rsidR="00013F8F">
        <w:t>7</w:t>
      </w:r>
      <w:r w:rsidR="003361DE" w:rsidRPr="003361DE">
        <w:t>.</w:t>
      </w:r>
      <w:r w:rsidR="00013F8F">
        <w:t>5</w:t>
      </w:r>
      <w:r w:rsidR="003361DE" w:rsidRPr="003361DE">
        <w:t>5 to $3</w:t>
      </w:r>
      <w:r w:rsidR="00013F8F">
        <w:t>2</w:t>
      </w:r>
      <w:r w:rsidR="003361DE" w:rsidRPr="003361DE">
        <w:t>.</w:t>
      </w:r>
      <w:r w:rsidR="00013F8F">
        <w:t>66</w:t>
      </w:r>
      <w:r w:rsidR="003361DE" w:rsidRPr="003361DE">
        <w:t>; a range of</w:t>
      </w:r>
      <w:r w:rsidR="00C84E0D">
        <w:t xml:space="preserve"> </w:t>
      </w:r>
      <w:r w:rsidR="003361DE" w:rsidRPr="003361DE">
        <w:t>$5</w:t>
      </w:r>
      <w:r w:rsidR="00C84E0D">
        <w:t>.11</w:t>
      </w:r>
      <w:r w:rsidR="003361DE" w:rsidRPr="003361DE">
        <w:t xml:space="preserve"> per hour</w:t>
      </w:r>
      <w:r w:rsidR="003361DE">
        <w:t xml:space="preserve">. Net of outliers, the box plot indicates a full range of </w:t>
      </w:r>
      <w:r w:rsidR="00622206">
        <w:t>between</w:t>
      </w:r>
      <w:r w:rsidR="007437FB">
        <w:t xml:space="preserve"> $26.25 and $38.75</w:t>
      </w:r>
      <w:r w:rsidR="00F903B6">
        <w:t xml:space="preserve">. </w:t>
      </w:r>
    </w:p>
    <w:p w14:paraId="55BD55E4" w14:textId="10E0F154" w:rsidR="006E7487" w:rsidRDefault="007437FB" w:rsidP="006E7487">
      <w:r>
        <w:t xml:space="preserve">The PDF indicates a positive skew, with </w:t>
      </w:r>
      <w:r w:rsidR="003361DE">
        <w:t>observations</w:t>
      </w:r>
      <w:r w:rsidR="00622206">
        <w:t xml:space="preserve"> above</w:t>
      </w:r>
      <w:r>
        <w:t xml:space="preserve"> $45</w:t>
      </w:r>
      <w:r w:rsidR="00622206">
        <w:t xml:space="preserve"> per hour</w:t>
      </w:r>
      <w:r w:rsidR="003361DE">
        <w:t>.</w:t>
      </w:r>
      <w:r w:rsidR="00FC44C8">
        <w:t xml:space="preserve"> </w:t>
      </w:r>
      <w:r w:rsidR="00F37896">
        <w:t>T</w:t>
      </w:r>
      <w:r w:rsidR="00FC44C8">
        <w:t xml:space="preserve">he positive tail’s departure from a normal distribution above $50 per hour could be </w:t>
      </w:r>
      <w:r w:rsidR="00F80D5F">
        <w:t>indicative</w:t>
      </w:r>
      <w:r w:rsidR="00FC44C8">
        <w:t xml:space="preserve"> of inconsistent or incorrect responses by survey </w:t>
      </w:r>
      <w:r w:rsidR="00C2261A">
        <w:t>respondents</w:t>
      </w:r>
      <w:r w:rsidR="00FC44C8">
        <w:t>.</w:t>
      </w:r>
      <w:r>
        <w:t xml:space="preserve"> </w:t>
      </w:r>
    </w:p>
    <w:p w14:paraId="50704B37" w14:textId="71ACD055" w:rsidR="007453E7" w:rsidRDefault="007453E7">
      <w:pPr>
        <w:pStyle w:val="CaptionChart"/>
      </w:pPr>
      <w:bookmarkStart w:id="103" w:name="_Ref38635145"/>
      <w:bookmarkStart w:id="104" w:name="_Toc40454720"/>
      <w:bookmarkStart w:id="105" w:name="_Hlk37761434"/>
      <w:r>
        <w:lastRenderedPageBreak/>
        <w:t>Box plot</w:t>
      </w:r>
      <w:r w:rsidR="002D0055">
        <w:rPr>
          <w:rStyle w:val="FootnoteReference"/>
        </w:rPr>
        <w:footnoteReference w:id="12"/>
      </w:r>
      <w:r w:rsidR="002E5D35">
        <w:t xml:space="preserve"> (LHS</w:t>
      </w:r>
      <w:r w:rsidR="001B4EB7">
        <w:rPr>
          <w:rStyle w:val="FootnoteReference"/>
        </w:rPr>
        <w:footnoteReference w:id="13"/>
      </w:r>
      <w:r w:rsidR="002E5D35">
        <w:t>)</w:t>
      </w:r>
      <w:r>
        <w:t xml:space="preserve"> </w:t>
      </w:r>
      <w:r w:rsidR="00A32A72">
        <w:t xml:space="preserve">and </w:t>
      </w:r>
      <w:r w:rsidR="002C0733">
        <w:t>P</w:t>
      </w:r>
      <w:r w:rsidR="007437FB">
        <w:t>D</w:t>
      </w:r>
      <w:r w:rsidR="002C0733">
        <w:t>F</w:t>
      </w:r>
      <w:r w:rsidR="002E5D35">
        <w:t xml:space="preserve"> (RHS)</w:t>
      </w:r>
      <w:r w:rsidR="00A32A72">
        <w:t xml:space="preserve"> </w:t>
      </w:r>
      <w:r>
        <w:t xml:space="preserve">of </w:t>
      </w:r>
      <w:r w:rsidR="00DB66C5">
        <w:t xml:space="preserve">DSW </w:t>
      </w:r>
      <w:r>
        <w:t>base pay responses</w:t>
      </w:r>
      <w:bookmarkEnd w:id="103"/>
      <w:bookmarkEnd w:id="104"/>
    </w:p>
    <w:p w14:paraId="3EC8A260" w14:textId="44E7EF10" w:rsidR="00531751" w:rsidRPr="00531751" w:rsidRDefault="001E5E15">
      <w:r>
        <w:rPr>
          <w:noProof/>
          <w:lang w:eastAsia="en-AU"/>
        </w:rPr>
        <w:drawing>
          <wp:inline distT="0" distB="0" distL="0" distR="0" wp14:anchorId="1CD02C95" wp14:editId="75591EE6">
            <wp:extent cx="2852325" cy="2304288"/>
            <wp:effectExtent l="0" t="0" r="5715" b="1270"/>
            <wp:docPr id="29" name="Picture 29" descr="Chart 3.1 Box plot  (LHS) and PDF (RHS) of DSW base pay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6766" cy="2372505"/>
                    </a:xfrm>
                    <a:prstGeom prst="rect">
                      <a:avLst/>
                    </a:prstGeom>
                    <a:noFill/>
                  </pic:spPr>
                </pic:pic>
              </a:graphicData>
            </a:graphic>
          </wp:inline>
        </w:drawing>
      </w:r>
      <w:r w:rsidR="0016516C" w:rsidRPr="0016516C">
        <w:rPr>
          <w:noProof/>
          <w:lang w:eastAsia="en-AU"/>
        </w:rPr>
        <w:drawing>
          <wp:inline distT="0" distB="0" distL="0" distR="0" wp14:anchorId="19981E4C" wp14:editId="02EB4CA2">
            <wp:extent cx="2838450" cy="2303780"/>
            <wp:effectExtent l="0" t="0" r="0" b="1270"/>
            <wp:docPr id="1489793622" name="Picture 1489793622" descr="Chart 3.1 Box plot (LHS) and PDF (RHS) of DSW base pay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0434" cy="2305390"/>
                    </a:xfrm>
                    <a:prstGeom prst="rect">
                      <a:avLst/>
                    </a:prstGeom>
                    <a:noFill/>
                    <a:ln>
                      <a:noFill/>
                    </a:ln>
                  </pic:spPr>
                </pic:pic>
              </a:graphicData>
            </a:graphic>
          </wp:inline>
        </w:drawing>
      </w:r>
    </w:p>
    <w:p w14:paraId="380E8D22" w14:textId="7C134FF4" w:rsidR="00162017" w:rsidRDefault="00162017" w:rsidP="00D861A2">
      <w:pPr>
        <w:pStyle w:val="Heading2"/>
      </w:pPr>
      <w:bookmarkStart w:id="106" w:name="_Toc39047533"/>
      <w:bookmarkStart w:id="107" w:name="_Toc39127149"/>
      <w:bookmarkStart w:id="108" w:name="_Toc40454648"/>
      <w:bookmarkEnd w:id="105"/>
      <w:bookmarkEnd w:id="106"/>
      <w:bookmarkEnd w:id="107"/>
      <w:r>
        <w:t>Supervision costs</w:t>
      </w:r>
      <w:bookmarkEnd w:id="108"/>
    </w:p>
    <w:p w14:paraId="0B405BAC" w14:textId="2849087A" w:rsidR="007A5081" w:rsidRDefault="00966446" w:rsidP="00DB187C">
      <w:pPr>
        <w:keepNext/>
        <w:keepLines/>
      </w:pPr>
      <w:r>
        <w:t>A</w:t>
      </w:r>
      <w:r w:rsidRPr="007D2394">
        <w:t>s shown in Table 3.2</w:t>
      </w:r>
      <w:r>
        <w:t>, t</w:t>
      </w:r>
      <w:r w:rsidR="007A5081" w:rsidRPr="007D2394">
        <w:t xml:space="preserve">he mean span of control (ratio of workers per supervisor) was estimated to be 11.84 to 1, </w:t>
      </w:r>
      <w:r>
        <w:t>with the mean base salary estimated to be $40.40.</w:t>
      </w:r>
    </w:p>
    <w:p w14:paraId="21490FFE" w14:textId="7E73A438" w:rsidR="00162017" w:rsidRPr="003F110A" w:rsidRDefault="00506519" w:rsidP="00F37896">
      <w:pPr>
        <w:pStyle w:val="CaptionTable"/>
        <w:ind w:left="0"/>
      </w:pPr>
      <w:bookmarkStart w:id="109" w:name="_Ref36117502"/>
      <w:bookmarkStart w:id="110" w:name="_Ref36117677"/>
      <w:bookmarkStart w:id="111" w:name="_Toc40454683"/>
      <w:r>
        <w:t>S</w:t>
      </w:r>
      <w:r w:rsidR="00162017" w:rsidRPr="003F110A">
        <w:t xml:space="preserve">upervision costs </w:t>
      </w:r>
      <w:bookmarkEnd w:id="109"/>
      <w:bookmarkEnd w:id="110"/>
      <w:r>
        <w:t>and span of control</w:t>
      </w:r>
      <w:r w:rsidR="001C3269">
        <w:rPr>
          <w:rStyle w:val="FootnoteReference"/>
        </w:rPr>
        <w:footnoteReference w:id="14"/>
      </w:r>
      <w:bookmarkEnd w:id="111"/>
    </w:p>
    <w:tbl>
      <w:tblPr>
        <w:tblW w:w="8997" w:type="dxa"/>
        <w:tblLayout w:type="fixed"/>
        <w:tblLook w:val="04A0" w:firstRow="1" w:lastRow="0" w:firstColumn="1" w:lastColumn="0" w:noHBand="0" w:noVBand="1"/>
      </w:tblPr>
      <w:tblGrid>
        <w:gridCol w:w="1560"/>
        <w:gridCol w:w="1487"/>
        <w:gridCol w:w="1487"/>
        <w:gridCol w:w="1488"/>
        <w:gridCol w:w="1487"/>
        <w:gridCol w:w="1488"/>
      </w:tblGrid>
      <w:tr w:rsidR="00561973" w:rsidRPr="003F110A" w14:paraId="3ABE0CB6" w14:textId="77777777" w:rsidTr="008C28C1">
        <w:trPr>
          <w:trHeight w:val="271"/>
        </w:trPr>
        <w:tc>
          <w:tcPr>
            <w:tcW w:w="1560" w:type="dxa"/>
            <w:tcBorders>
              <w:top w:val="single" w:sz="12" w:space="0" w:color="62B5E5" w:themeColor="accent3"/>
              <w:left w:val="nil"/>
              <w:bottom w:val="single" w:sz="4" w:space="0" w:color="auto"/>
            </w:tcBorders>
            <w:shd w:val="clear" w:color="auto" w:fill="auto"/>
            <w:hideMark/>
          </w:tcPr>
          <w:p w14:paraId="3D82DA6B" w14:textId="77777777" w:rsidR="00561973" w:rsidRPr="003F110A" w:rsidRDefault="00561973" w:rsidP="00987032">
            <w:pPr>
              <w:pStyle w:val="TableHeadingCentre"/>
              <w:rPr>
                <w:lang w:eastAsia="en-AU"/>
              </w:rPr>
            </w:pPr>
          </w:p>
        </w:tc>
        <w:tc>
          <w:tcPr>
            <w:tcW w:w="1487" w:type="dxa"/>
            <w:tcBorders>
              <w:top w:val="single" w:sz="12" w:space="0" w:color="62B5E5" w:themeColor="accent3"/>
              <w:left w:val="nil"/>
              <w:bottom w:val="single" w:sz="4" w:space="0" w:color="auto"/>
            </w:tcBorders>
            <w:shd w:val="clear" w:color="auto" w:fill="auto"/>
            <w:hideMark/>
          </w:tcPr>
          <w:p w14:paraId="41C67112" w14:textId="77777777" w:rsidR="00561973" w:rsidRPr="00987032" w:rsidRDefault="00561973" w:rsidP="00987032">
            <w:pPr>
              <w:pStyle w:val="TableHeadingCentre"/>
              <w:rPr>
                <w:bCs/>
                <w:lang w:eastAsia="en-AU"/>
              </w:rPr>
            </w:pPr>
            <w:r w:rsidRPr="00987032">
              <w:rPr>
                <w:bCs/>
              </w:rPr>
              <w:t>Mean</w:t>
            </w:r>
          </w:p>
        </w:tc>
        <w:tc>
          <w:tcPr>
            <w:tcW w:w="1487" w:type="dxa"/>
            <w:tcBorders>
              <w:top w:val="single" w:sz="12" w:space="0" w:color="62B5E5" w:themeColor="accent3"/>
              <w:bottom w:val="single" w:sz="4" w:space="0" w:color="auto"/>
            </w:tcBorders>
            <w:shd w:val="clear" w:color="auto" w:fill="auto"/>
            <w:hideMark/>
          </w:tcPr>
          <w:p w14:paraId="74ECA524" w14:textId="2823739F" w:rsidR="00561973" w:rsidRPr="00987032" w:rsidRDefault="00561973" w:rsidP="00987032">
            <w:pPr>
              <w:pStyle w:val="TableHeadingCentre"/>
              <w:rPr>
                <w:bCs/>
                <w:lang w:eastAsia="en-AU"/>
              </w:rPr>
            </w:pPr>
            <w:r w:rsidRPr="00987032">
              <w:rPr>
                <w:bCs/>
              </w:rPr>
              <w:t>Med.</w:t>
            </w:r>
          </w:p>
        </w:tc>
        <w:tc>
          <w:tcPr>
            <w:tcW w:w="1488" w:type="dxa"/>
            <w:tcBorders>
              <w:top w:val="single" w:sz="12" w:space="0" w:color="62B5E5" w:themeColor="accent3"/>
              <w:bottom w:val="single" w:sz="4" w:space="0" w:color="auto"/>
            </w:tcBorders>
            <w:shd w:val="clear" w:color="auto" w:fill="auto"/>
            <w:hideMark/>
          </w:tcPr>
          <w:p w14:paraId="35883B9B" w14:textId="7F233CC4" w:rsidR="00561973" w:rsidRPr="00987032" w:rsidRDefault="00561973" w:rsidP="00987032">
            <w:pPr>
              <w:pStyle w:val="TableHeadingCentre"/>
              <w:rPr>
                <w:bCs/>
                <w:lang w:eastAsia="en-AU"/>
              </w:rPr>
            </w:pPr>
            <w:r w:rsidRPr="00987032">
              <w:rPr>
                <w:bCs/>
              </w:rPr>
              <w:t>25th PC</w:t>
            </w:r>
          </w:p>
        </w:tc>
        <w:tc>
          <w:tcPr>
            <w:tcW w:w="1487" w:type="dxa"/>
            <w:tcBorders>
              <w:top w:val="single" w:sz="12" w:space="0" w:color="62B5E5" w:themeColor="accent3"/>
              <w:bottom w:val="single" w:sz="4" w:space="0" w:color="auto"/>
            </w:tcBorders>
            <w:shd w:val="clear" w:color="auto" w:fill="auto"/>
            <w:hideMark/>
          </w:tcPr>
          <w:p w14:paraId="466387F1" w14:textId="169948A8" w:rsidR="00561973" w:rsidRPr="00987032" w:rsidRDefault="00561973" w:rsidP="00987032">
            <w:pPr>
              <w:pStyle w:val="TableHeadingCentre"/>
              <w:rPr>
                <w:bCs/>
                <w:lang w:eastAsia="en-AU"/>
              </w:rPr>
            </w:pPr>
            <w:r w:rsidRPr="00987032">
              <w:rPr>
                <w:bCs/>
              </w:rPr>
              <w:t>50th PC</w:t>
            </w:r>
          </w:p>
        </w:tc>
        <w:tc>
          <w:tcPr>
            <w:tcW w:w="1488" w:type="dxa"/>
            <w:tcBorders>
              <w:top w:val="single" w:sz="12" w:space="0" w:color="62B5E5" w:themeColor="accent3"/>
              <w:bottom w:val="single" w:sz="4" w:space="0" w:color="auto"/>
              <w:right w:val="nil"/>
            </w:tcBorders>
            <w:shd w:val="clear" w:color="auto" w:fill="auto"/>
            <w:hideMark/>
          </w:tcPr>
          <w:p w14:paraId="73631232" w14:textId="118513C0" w:rsidR="00561973" w:rsidRPr="00987032" w:rsidRDefault="00561973" w:rsidP="00987032">
            <w:pPr>
              <w:pStyle w:val="TableHeadingCentre"/>
              <w:rPr>
                <w:bCs/>
                <w:lang w:eastAsia="en-AU"/>
              </w:rPr>
            </w:pPr>
            <w:r w:rsidRPr="00987032">
              <w:rPr>
                <w:bCs/>
              </w:rPr>
              <w:t>75th PC</w:t>
            </w:r>
          </w:p>
        </w:tc>
      </w:tr>
      <w:tr w:rsidR="00561973" w:rsidRPr="003F110A" w14:paraId="16A0700A" w14:textId="77777777" w:rsidTr="008C28C1">
        <w:trPr>
          <w:trHeight w:val="298"/>
        </w:trPr>
        <w:tc>
          <w:tcPr>
            <w:tcW w:w="1560" w:type="dxa"/>
            <w:tcBorders>
              <w:top w:val="single" w:sz="4" w:space="0" w:color="auto"/>
              <w:left w:val="nil"/>
              <w:bottom w:val="single" w:sz="4" w:space="0" w:color="auto"/>
            </w:tcBorders>
            <w:shd w:val="clear" w:color="auto" w:fill="auto"/>
            <w:hideMark/>
          </w:tcPr>
          <w:p w14:paraId="27FA8865" w14:textId="77777777" w:rsidR="00561973" w:rsidRPr="006566F0" w:rsidRDefault="00561973" w:rsidP="00574913">
            <w:pPr>
              <w:spacing w:after="0" w:line="240" w:lineRule="auto"/>
              <w:rPr>
                <w:rFonts w:eastAsia="Times New Roman" w:cs="Times New Roman"/>
                <w:color w:val="000000"/>
                <w:sz w:val="17"/>
                <w:szCs w:val="17"/>
                <w:lang w:eastAsia="en-AU"/>
              </w:rPr>
            </w:pPr>
            <w:r w:rsidRPr="006566F0">
              <w:rPr>
                <w:sz w:val="17"/>
                <w:szCs w:val="17"/>
              </w:rPr>
              <w:t>Base salary</w:t>
            </w:r>
          </w:p>
        </w:tc>
        <w:tc>
          <w:tcPr>
            <w:tcW w:w="1487" w:type="dxa"/>
            <w:tcBorders>
              <w:top w:val="single" w:sz="4" w:space="0" w:color="auto"/>
              <w:left w:val="nil"/>
              <w:bottom w:val="single" w:sz="4" w:space="0" w:color="auto"/>
            </w:tcBorders>
            <w:shd w:val="clear" w:color="auto" w:fill="auto"/>
            <w:vAlign w:val="center"/>
            <w:hideMark/>
          </w:tcPr>
          <w:p w14:paraId="491EBC1F" w14:textId="02029D60" w:rsidR="00561973" w:rsidRPr="00987032" w:rsidRDefault="00561973" w:rsidP="00987032">
            <w:pPr>
              <w:pStyle w:val="TabletextRight"/>
              <w:jc w:val="center"/>
              <w:rPr>
                <w:lang w:eastAsia="en-AU"/>
              </w:rPr>
            </w:pPr>
            <w:r w:rsidRPr="00987032">
              <w:t>$40.40</w:t>
            </w:r>
          </w:p>
        </w:tc>
        <w:tc>
          <w:tcPr>
            <w:tcW w:w="1487" w:type="dxa"/>
            <w:tcBorders>
              <w:top w:val="single" w:sz="4" w:space="0" w:color="auto"/>
              <w:bottom w:val="single" w:sz="4" w:space="0" w:color="auto"/>
            </w:tcBorders>
            <w:shd w:val="clear" w:color="auto" w:fill="auto"/>
            <w:vAlign w:val="center"/>
            <w:hideMark/>
          </w:tcPr>
          <w:p w14:paraId="3B23C508" w14:textId="7B3BC275" w:rsidR="00561973" w:rsidRPr="00987032" w:rsidRDefault="00561973" w:rsidP="00987032">
            <w:pPr>
              <w:pStyle w:val="TabletextRight"/>
              <w:jc w:val="center"/>
              <w:rPr>
                <w:lang w:eastAsia="en-AU"/>
              </w:rPr>
            </w:pPr>
            <w:r w:rsidRPr="00987032">
              <w:t>$38.75</w:t>
            </w:r>
          </w:p>
        </w:tc>
        <w:tc>
          <w:tcPr>
            <w:tcW w:w="1488" w:type="dxa"/>
            <w:tcBorders>
              <w:top w:val="single" w:sz="4" w:space="0" w:color="auto"/>
              <w:bottom w:val="single" w:sz="4" w:space="0" w:color="auto"/>
            </w:tcBorders>
            <w:shd w:val="clear" w:color="auto" w:fill="auto"/>
            <w:vAlign w:val="center"/>
            <w:hideMark/>
          </w:tcPr>
          <w:p w14:paraId="664AA097" w14:textId="6CC3BEAE" w:rsidR="00561973" w:rsidRPr="00987032" w:rsidRDefault="00561973" w:rsidP="00987032">
            <w:pPr>
              <w:pStyle w:val="TabletextRight"/>
              <w:jc w:val="center"/>
              <w:rPr>
                <w:lang w:eastAsia="en-AU"/>
              </w:rPr>
            </w:pPr>
            <w:r w:rsidRPr="00987032">
              <w:t>$32.52</w:t>
            </w:r>
          </w:p>
        </w:tc>
        <w:tc>
          <w:tcPr>
            <w:tcW w:w="1487" w:type="dxa"/>
            <w:tcBorders>
              <w:top w:val="single" w:sz="4" w:space="0" w:color="auto"/>
              <w:bottom w:val="single" w:sz="4" w:space="0" w:color="auto"/>
            </w:tcBorders>
            <w:shd w:val="clear" w:color="auto" w:fill="auto"/>
            <w:vAlign w:val="center"/>
            <w:hideMark/>
          </w:tcPr>
          <w:p w14:paraId="57FFB525" w14:textId="6F089569" w:rsidR="00561973" w:rsidRPr="00987032" w:rsidRDefault="00561973" w:rsidP="00987032">
            <w:pPr>
              <w:pStyle w:val="TabletextRight"/>
              <w:jc w:val="center"/>
              <w:rPr>
                <w:lang w:eastAsia="en-AU"/>
              </w:rPr>
            </w:pPr>
            <w:r w:rsidRPr="00987032">
              <w:t>$37.55</w:t>
            </w:r>
          </w:p>
        </w:tc>
        <w:tc>
          <w:tcPr>
            <w:tcW w:w="1488" w:type="dxa"/>
            <w:tcBorders>
              <w:top w:val="single" w:sz="4" w:space="0" w:color="auto"/>
              <w:bottom w:val="single" w:sz="4" w:space="0" w:color="auto"/>
              <w:right w:val="nil"/>
            </w:tcBorders>
            <w:shd w:val="clear" w:color="auto" w:fill="auto"/>
            <w:vAlign w:val="center"/>
            <w:hideMark/>
          </w:tcPr>
          <w:p w14:paraId="07D522B0" w14:textId="62FA8180" w:rsidR="00561973" w:rsidRPr="00987032" w:rsidRDefault="00561973" w:rsidP="00987032">
            <w:pPr>
              <w:pStyle w:val="TabletextRight"/>
              <w:jc w:val="center"/>
              <w:rPr>
                <w:lang w:eastAsia="en-AU"/>
              </w:rPr>
            </w:pPr>
            <w:r w:rsidRPr="00987032">
              <w:t>$40.81</w:t>
            </w:r>
          </w:p>
        </w:tc>
      </w:tr>
      <w:tr w:rsidR="00561973" w:rsidRPr="00F63830" w14:paraId="0540F488" w14:textId="77777777" w:rsidTr="008C28C1">
        <w:trPr>
          <w:trHeight w:val="327"/>
        </w:trPr>
        <w:tc>
          <w:tcPr>
            <w:tcW w:w="1560" w:type="dxa"/>
            <w:tcBorders>
              <w:top w:val="single" w:sz="4" w:space="0" w:color="auto"/>
              <w:left w:val="nil"/>
              <w:bottom w:val="single" w:sz="4" w:space="0" w:color="auto"/>
            </w:tcBorders>
            <w:shd w:val="clear" w:color="auto" w:fill="auto"/>
            <w:vAlign w:val="center"/>
            <w:hideMark/>
          </w:tcPr>
          <w:p w14:paraId="23F6E8A8" w14:textId="77777777" w:rsidR="00561973" w:rsidRPr="006566F0" w:rsidRDefault="00561973" w:rsidP="008C28C1">
            <w:pPr>
              <w:spacing w:after="0" w:line="240" w:lineRule="auto"/>
              <w:jc w:val="center"/>
              <w:rPr>
                <w:rFonts w:eastAsia="Times New Roman" w:cs="Times New Roman"/>
                <w:sz w:val="17"/>
                <w:szCs w:val="17"/>
                <w:lang w:eastAsia="en-AU"/>
              </w:rPr>
            </w:pPr>
            <w:r w:rsidRPr="006566F0">
              <w:rPr>
                <w:sz w:val="17"/>
                <w:szCs w:val="17"/>
              </w:rPr>
              <w:t>Span of control</w:t>
            </w:r>
          </w:p>
        </w:tc>
        <w:tc>
          <w:tcPr>
            <w:tcW w:w="1487" w:type="dxa"/>
            <w:tcBorders>
              <w:top w:val="single" w:sz="4" w:space="0" w:color="auto"/>
              <w:left w:val="nil"/>
              <w:bottom w:val="single" w:sz="4" w:space="0" w:color="auto"/>
            </w:tcBorders>
            <w:shd w:val="clear" w:color="auto" w:fill="auto"/>
            <w:vAlign w:val="center"/>
            <w:hideMark/>
          </w:tcPr>
          <w:p w14:paraId="4E423DDD" w14:textId="0C4C44EE" w:rsidR="00561973" w:rsidRPr="00987032" w:rsidRDefault="00561973" w:rsidP="00987032">
            <w:pPr>
              <w:pStyle w:val="TabletextRight"/>
              <w:jc w:val="center"/>
              <w:rPr>
                <w:lang w:eastAsia="en-AU"/>
              </w:rPr>
            </w:pPr>
            <w:r w:rsidRPr="00987032">
              <w:t>11.8x</w:t>
            </w:r>
          </w:p>
        </w:tc>
        <w:tc>
          <w:tcPr>
            <w:tcW w:w="1487" w:type="dxa"/>
            <w:tcBorders>
              <w:top w:val="single" w:sz="4" w:space="0" w:color="auto"/>
              <w:bottom w:val="single" w:sz="4" w:space="0" w:color="auto"/>
            </w:tcBorders>
            <w:shd w:val="clear" w:color="auto" w:fill="auto"/>
            <w:vAlign w:val="center"/>
            <w:hideMark/>
          </w:tcPr>
          <w:p w14:paraId="5E4C1D00" w14:textId="64FD0A71" w:rsidR="00561973" w:rsidRPr="00987032" w:rsidRDefault="00561973" w:rsidP="00987032">
            <w:pPr>
              <w:pStyle w:val="TabletextRight"/>
              <w:jc w:val="center"/>
              <w:rPr>
                <w:lang w:eastAsia="en-AU"/>
              </w:rPr>
            </w:pPr>
            <w:r w:rsidRPr="00987032">
              <w:t>9.0x</w:t>
            </w:r>
          </w:p>
        </w:tc>
        <w:tc>
          <w:tcPr>
            <w:tcW w:w="1488" w:type="dxa"/>
            <w:tcBorders>
              <w:top w:val="single" w:sz="4" w:space="0" w:color="auto"/>
              <w:bottom w:val="single" w:sz="4" w:space="0" w:color="auto"/>
            </w:tcBorders>
            <w:shd w:val="clear" w:color="auto" w:fill="auto"/>
            <w:vAlign w:val="center"/>
            <w:hideMark/>
          </w:tcPr>
          <w:p w14:paraId="29018169" w14:textId="5A8682CA" w:rsidR="00561973" w:rsidRPr="00987032" w:rsidRDefault="00561973" w:rsidP="00987032">
            <w:pPr>
              <w:pStyle w:val="TabletextRight"/>
              <w:jc w:val="center"/>
              <w:rPr>
                <w:lang w:eastAsia="en-AU"/>
              </w:rPr>
            </w:pPr>
            <w:r w:rsidRPr="00987032">
              <w:t>5.0x</w:t>
            </w:r>
          </w:p>
        </w:tc>
        <w:tc>
          <w:tcPr>
            <w:tcW w:w="1487" w:type="dxa"/>
            <w:tcBorders>
              <w:top w:val="single" w:sz="4" w:space="0" w:color="auto"/>
              <w:bottom w:val="single" w:sz="4" w:space="0" w:color="auto"/>
            </w:tcBorders>
            <w:shd w:val="clear" w:color="auto" w:fill="auto"/>
            <w:vAlign w:val="center"/>
            <w:hideMark/>
          </w:tcPr>
          <w:p w14:paraId="39CE6F03" w14:textId="7554753E" w:rsidR="00561973" w:rsidRPr="00987032" w:rsidRDefault="00561973" w:rsidP="00987032">
            <w:pPr>
              <w:pStyle w:val="TabletextRight"/>
              <w:jc w:val="center"/>
              <w:rPr>
                <w:lang w:eastAsia="en-AU"/>
              </w:rPr>
            </w:pPr>
            <w:r w:rsidRPr="00987032">
              <w:t>9.0x</w:t>
            </w:r>
          </w:p>
        </w:tc>
        <w:tc>
          <w:tcPr>
            <w:tcW w:w="1488" w:type="dxa"/>
            <w:tcBorders>
              <w:top w:val="single" w:sz="4" w:space="0" w:color="auto"/>
              <w:bottom w:val="single" w:sz="4" w:space="0" w:color="auto"/>
              <w:right w:val="nil"/>
            </w:tcBorders>
            <w:shd w:val="clear" w:color="auto" w:fill="auto"/>
            <w:vAlign w:val="center"/>
            <w:hideMark/>
          </w:tcPr>
          <w:p w14:paraId="3F85A613" w14:textId="4422C103" w:rsidR="00561973" w:rsidRPr="00987032" w:rsidRDefault="00561973" w:rsidP="00987032">
            <w:pPr>
              <w:pStyle w:val="TabletextRight"/>
              <w:jc w:val="center"/>
              <w:rPr>
                <w:lang w:eastAsia="en-AU"/>
              </w:rPr>
            </w:pPr>
            <w:r w:rsidRPr="00987032">
              <w:rPr>
                <w:lang w:eastAsia="en-AU"/>
              </w:rPr>
              <w:t>15.0x</w:t>
            </w:r>
          </w:p>
        </w:tc>
      </w:tr>
    </w:tbl>
    <w:p w14:paraId="676AC711" w14:textId="6F820DA4" w:rsidR="00605398" w:rsidRDefault="00605398" w:rsidP="00162017"/>
    <w:p w14:paraId="6B5241D7" w14:textId="5574FB57" w:rsidR="002C0733" w:rsidRDefault="006423B3" w:rsidP="00162017">
      <w:r>
        <w:t>The wage distributions</w:t>
      </w:r>
      <w:r w:rsidR="001B4EB7">
        <w:t xml:space="preserve"> for front-line supervisors (FLS)</w:t>
      </w:r>
      <w:r>
        <w:t xml:space="preserve"> exhibit</w:t>
      </w:r>
      <w:r w:rsidR="001160C5">
        <w:t xml:space="preserve"> a wider range of values when compared with DSW wages</w:t>
      </w:r>
      <w:r>
        <w:t>.</w:t>
      </w:r>
      <w:r w:rsidR="001160C5">
        <w:t xml:space="preserve"> As per the box plot in </w:t>
      </w:r>
      <w:r w:rsidR="00D05F4D">
        <w:fldChar w:fldCharType="begin"/>
      </w:r>
      <w:r w:rsidR="00D05F4D">
        <w:instrText xml:space="preserve"> REF _Ref38635202 \n </w:instrText>
      </w:r>
      <w:r w:rsidR="00D05F4D">
        <w:fldChar w:fldCharType="separate"/>
      </w:r>
      <w:r w:rsidR="00283637">
        <w:t>Chart 3.2</w:t>
      </w:r>
      <w:r w:rsidR="00D05F4D">
        <w:fldChar w:fldCharType="end"/>
      </w:r>
      <w:r w:rsidR="001160C5">
        <w:t xml:space="preserve">, </w:t>
      </w:r>
      <w:r w:rsidR="00FC44C8">
        <w:t>responses net of outliers</w:t>
      </w:r>
      <w:r w:rsidR="001160C5">
        <w:t xml:space="preserve"> were </w:t>
      </w:r>
      <w:r w:rsidR="00FC44C8">
        <w:t>observed</w:t>
      </w:r>
      <w:r w:rsidR="001160C5">
        <w:t xml:space="preserve"> </w:t>
      </w:r>
      <w:r w:rsidR="00FC44C8">
        <w:t>b</w:t>
      </w:r>
      <w:r w:rsidR="001160C5">
        <w:t>etween $26.25 per hour and $47.50; a range of $21.25 per hour</w:t>
      </w:r>
      <w:r w:rsidR="00FC44C8">
        <w:t xml:space="preserve"> </w:t>
      </w:r>
      <w:r w:rsidR="00F37896">
        <w:t>or almost</w:t>
      </w:r>
      <w:r w:rsidR="00FC44C8">
        <w:t xml:space="preserve"> double the DSW range of $12.5 per hour</w:t>
      </w:r>
      <w:r w:rsidR="001160C5">
        <w:t xml:space="preserve">. </w:t>
      </w:r>
      <w:r w:rsidR="00FC44C8">
        <w:t>Similarly,</w:t>
      </w:r>
      <w:r w:rsidR="00622206">
        <w:t xml:space="preserve"> the</w:t>
      </w:r>
      <w:r w:rsidR="00A525A1">
        <w:t xml:space="preserve"> interquartile range</w:t>
      </w:r>
      <w:r w:rsidR="00622206">
        <w:t xml:space="preserve"> </w:t>
      </w:r>
      <w:r w:rsidR="00A525A1">
        <w:t>(</w:t>
      </w:r>
      <w:r w:rsidR="00622206">
        <w:t>IQR</w:t>
      </w:r>
      <w:r w:rsidR="00A525A1">
        <w:t>)</w:t>
      </w:r>
      <w:r w:rsidR="00622206">
        <w:t xml:space="preserve"> was broader at</w:t>
      </w:r>
      <w:r w:rsidR="00C84E0D">
        <w:t xml:space="preserve"> $8.29</w:t>
      </w:r>
      <w:r w:rsidR="00622206">
        <w:t xml:space="preserve"> per hour, indicating a wider response spread around the mode</w:t>
      </w:r>
      <w:r w:rsidR="00622206">
        <w:rPr>
          <w:rStyle w:val="FootnoteReference"/>
        </w:rPr>
        <w:footnoteReference w:id="15"/>
      </w:r>
      <w:r w:rsidR="00622206">
        <w:t xml:space="preserve">. Consistent with this, the FLS PDF exhibits lower kurtosis than the DSW PDF indicating </w:t>
      </w:r>
      <w:r w:rsidR="00F903B6">
        <w:t>wider dispersion</w:t>
      </w:r>
      <w:r w:rsidR="000A7818">
        <w:t>.</w:t>
      </w:r>
    </w:p>
    <w:p w14:paraId="6439F7C8" w14:textId="0484EBA7" w:rsidR="00F903B6" w:rsidRDefault="00FC44C8" w:rsidP="00162017">
      <w:r>
        <w:t>The greater dispersion of FLS salaries may be due to higher levels of</w:t>
      </w:r>
      <w:r w:rsidR="00F903B6">
        <w:t xml:space="preserve"> bargaining power of supervisors, as well as a wider range of skill levels and responsibilities </w:t>
      </w:r>
      <w:r>
        <w:t>at this level</w:t>
      </w:r>
      <w:r w:rsidR="00F903B6">
        <w:t>.</w:t>
      </w:r>
    </w:p>
    <w:p w14:paraId="24B65ED2" w14:textId="32310C00" w:rsidR="00386486" w:rsidRDefault="00DB66C5" w:rsidP="004804E6">
      <w:pPr>
        <w:pStyle w:val="CaptionChart"/>
      </w:pPr>
      <w:bookmarkStart w:id="112" w:name="_Ref38635202"/>
      <w:bookmarkStart w:id="113" w:name="_Toc40454721"/>
      <w:r>
        <w:lastRenderedPageBreak/>
        <w:t>Box plot</w:t>
      </w:r>
      <w:r w:rsidR="002E5D35">
        <w:t xml:space="preserve"> (LHS)</w:t>
      </w:r>
      <w:r>
        <w:t xml:space="preserve"> and P</w:t>
      </w:r>
      <w:r w:rsidR="00622206">
        <w:t>D</w:t>
      </w:r>
      <w:r>
        <w:t>F</w:t>
      </w:r>
      <w:r w:rsidR="002E5D35">
        <w:t xml:space="preserve"> (RHS)</w:t>
      </w:r>
      <w:r>
        <w:t xml:space="preserve"> of FLS base pay responses</w:t>
      </w:r>
      <w:bookmarkEnd w:id="112"/>
      <w:bookmarkEnd w:id="113"/>
      <w:r>
        <w:t xml:space="preserve"> </w:t>
      </w:r>
    </w:p>
    <w:p w14:paraId="342804AA" w14:textId="638CA7F5" w:rsidR="002A6D26" w:rsidRPr="00DB66C5" w:rsidRDefault="0016516C" w:rsidP="00DB66C5">
      <w:r w:rsidRPr="0016516C">
        <w:rPr>
          <w:noProof/>
          <w:lang w:eastAsia="en-AU"/>
        </w:rPr>
        <w:drawing>
          <wp:inline distT="0" distB="0" distL="0" distR="0" wp14:anchorId="38AC3E0C" wp14:editId="7E269E1E">
            <wp:extent cx="2672080" cy="2303780"/>
            <wp:effectExtent l="0" t="0" r="0" b="1270"/>
            <wp:docPr id="1489793610" name="Picture 1489793610" descr="Chart 3.2 Box plot (LHS) and PDF (RHS) of FLS base pay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2080" cy="2303780"/>
                    </a:xfrm>
                    <a:prstGeom prst="rect">
                      <a:avLst/>
                    </a:prstGeom>
                    <a:noFill/>
                    <a:ln>
                      <a:noFill/>
                    </a:ln>
                  </pic:spPr>
                </pic:pic>
              </a:graphicData>
            </a:graphic>
          </wp:inline>
        </w:drawing>
      </w:r>
      <w:r w:rsidR="002A6D26" w:rsidRPr="002A6D26">
        <w:rPr>
          <w:noProof/>
        </w:rPr>
        <w:t xml:space="preserve"> </w:t>
      </w:r>
      <w:r w:rsidRPr="0016516C">
        <w:rPr>
          <w:noProof/>
          <w:lang w:eastAsia="en-AU"/>
        </w:rPr>
        <w:drawing>
          <wp:inline distT="0" distB="0" distL="0" distR="0" wp14:anchorId="06F9A18A" wp14:editId="7749EA20">
            <wp:extent cx="2849880" cy="2315845"/>
            <wp:effectExtent l="0" t="0" r="7620" b="8255"/>
            <wp:docPr id="1489793612" name="Picture 1489793612" descr="Chart 3.2 Box plot (LHS) and PDF (RHS) of FLS base pay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49880" cy="2315845"/>
                    </a:xfrm>
                    <a:prstGeom prst="rect">
                      <a:avLst/>
                    </a:prstGeom>
                    <a:noFill/>
                    <a:ln>
                      <a:noFill/>
                    </a:ln>
                  </pic:spPr>
                </pic:pic>
              </a:graphicData>
            </a:graphic>
          </wp:inline>
        </w:drawing>
      </w:r>
    </w:p>
    <w:p w14:paraId="358B885B" w14:textId="394E3623" w:rsidR="00C42AFF" w:rsidRDefault="00EC351B" w:rsidP="00F91781">
      <w:r>
        <w:t xml:space="preserve">As per the span of control distribution </w:t>
      </w:r>
      <w:r w:rsidR="004804E6">
        <w:t xml:space="preserve">(see </w:t>
      </w:r>
      <w:r w:rsidR="00D05F4D">
        <w:rPr>
          <w:highlight w:val="yellow"/>
        </w:rPr>
        <w:fldChar w:fldCharType="begin"/>
      </w:r>
      <w:r w:rsidR="00D05F4D">
        <w:instrText xml:space="preserve"> REF _Ref38635229 \n </w:instrText>
      </w:r>
      <w:r w:rsidR="00D05F4D">
        <w:rPr>
          <w:highlight w:val="yellow"/>
        </w:rPr>
        <w:fldChar w:fldCharType="separate"/>
      </w:r>
      <w:r w:rsidR="00283637">
        <w:t>Chart 3.3</w:t>
      </w:r>
      <w:r w:rsidR="00D05F4D">
        <w:rPr>
          <w:highlight w:val="yellow"/>
        </w:rPr>
        <w:fldChar w:fldCharType="end"/>
      </w:r>
      <w:r w:rsidR="004804E6">
        <w:t>)</w:t>
      </w:r>
      <w:r>
        <w:t>,</w:t>
      </w:r>
      <w:r w:rsidR="00786E21">
        <w:t xml:space="preserve"> the majority of responses fall within the range of 5x to 15x, however there were a number of observations well above the median of 11.84x as exhibited by the</w:t>
      </w:r>
      <w:r w:rsidR="00326510">
        <w:t xml:space="preserve"> tall whisker in the box plot and</w:t>
      </w:r>
      <w:r w:rsidR="00786E21">
        <w:t xml:space="preserve"> long tail of the P</w:t>
      </w:r>
      <w:r w:rsidR="00326510">
        <w:t>D</w:t>
      </w:r>
      <w:r w:rsidR="0054740B">
        <w:t>F</w:t>
      </w:r>
      <w:r w:rsidR="00F91781">
        <w:t>.</w:t>
      </w:r>
      <w:r w:rsidR="00AF155D">
        <w:t xml:space="preserve"> </w:t>
      </w:r>
      <w:r w:rsidR="00DB24B8">
        <w:t>These responses may be indicative of providers with a smaller supervisor workforce, greater casualisation</w:t>
      </w:r>
      <w:r w:rsidR="00C42AFF">
        <w:t xml:space="preserve"> and</w:t>
      </w:r>
      <w:r w:rsidR="00DB24B8">
        <w:t xml:space="preserve"> </w:t>
      </w:r>
      <w:r w:rsidR="002E5AFE">
        <w:t>financially leaner</w:t>
      </w:r>
      <w:r w:rsidR="00DB24B8">
        <w:t xml:space="preserve"> business models</w:t>
      </w:r>
      <w:r w:rsidR="00C42AFF">
        <w:t>, or all three</w:t>
      </w:r>
      <w:r w:rsidR="00DB24B8">
        <w:t>.</w:t>
      </w:r>
      <w:r w:rsidR="00C42AFF">
        <w:t xml:space="preserve"> Furthermore, </w:t>
      </w:r>
      <w:r w:rsidR="002E5AFE">
        <w:t>several</w:t>
      </w:r>
      <w:r w:rsidR="00C42AFF">
        <w:t xml:space="preserve"> responses indicated a 0x span of control, which</w:t>
      </w:r>
      <w:r w:rsidR="002E5AFE">
        <w:t>,</w:t>
      </w:r>
      <w:r w:rsidR="00C42AFF">
        <w:t xml:space="preserve"> may be indicative of smaller providers with no formal</w:t>
      </w:r>
      <w:r w:rsidR="002E5AFE">
        <w:t xml:space="preserve"> FLS staff as DSWs may be self-managing in some environments</w:t>
      </w:r>
      <w:r w:rsidR="00F37896">
        <w:rPr>
          <w:rStyle w:val="FootnoteReference"/>
        </w:rPr>
        <w:footnoteReference w:id="16"/>
      </w:r>
      <w:r w:rsidR="002E5AFE">
        <w:t>.</w:t>
      </w:r>
    </w:p>
    <w:p w14:paraId="6A2B8E5B" w14:textId="563538A2" w:rsidR="0053220B" w:rsidRDefault="0053220B">
      <w:pPr>
        <w:pStyle w:val="CaptionChart"/>
      </w:pPr>
      <w:bookmarkStart w:id="114" w:name="_Ref38635229"/>
      <w:bookmarkStart w:id="115" w:name="_Toc40454722"/>
      <w:r>
        <w:t>Box plot</w:t>
      </w:r>
      <w:r w:rsidR="002E5D35">
        <w:t xml:space="preserve"> (LHS) </w:t>
      </w:r>
      <w:r w:rsidR="00A32A72">
        <w:t xml:space="preserve">and </w:t>
      </w:r>
      <w:r w:rsidR="00D05F4D">
        <w:t>PDF</w:t>
      </w:r>
      <w:r w:rsidR="002E5D35">
        <w:t xml:space="preserve"> (RHS)</w:t>
      </w:r>
      <w:r w:rsidR="00E844D9">
        <w:t xml:space="preserve"> </w:t>
      </w:r>
      <w:r>
        <w:t>of span of control responses</w:t>
      </w:r>
      <w:bookmarkEnd w:id="114"/>
      <w:bookmarkEnd w:id="115"/>
    </w:p>
    <w:p w14:paraId="49DB5F39" w14:textId="5D8BA863" w:rsidR="00402D02" w:rsidRPr="00402D02" w:rsidRDefault="0016516C">
      <w:r w:rsidRPr="0016516C">
        <w:rPr>
          <w:noProof/>
          <w:lang w:eastAsia="en-AU"/>
        </w:rPr>
        <w:drawing>
          <wp:inline distT="0" distB="0" distL="0" distR="0" wp14:anchorId="1EE48692" wp14:editId="2083BF92">
            <wp:extent cx="2553335" cy="1995170"/>
            <wp:effectExtent l="0" t="0" r="0" b="5080"/>
            <wp:docPr id="1489793606" name="Picture 1489793606" descr="Chart 3.3 Box plot (LHS) and PDF (RHS) of span of control response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3335" cy="1995170"/>
                    </a:xfrm>
                    <a:prstGeom prst="rect">
                      <a:avLst/>
                    </a:prstGeom>
                    <a:noFill/>
                    <a:ln>
                      <a:noFill/>
                    </a:ln>
                  </pic:spPr>
                </pic:pic>
              </a:graphicData>
            </a:graphic>
          </wp:inline>
        </w:drawing>
      </w:r>
      <w:r w:rsidR="00004CB9" w:rsidRPr="00004CB9">
        <w:rPr>
          <w:noProof/>
        </w:rPr>
        <w:t xml:space="preserve"> </w:t>
      </w:r>
      <w:r w:rsidRPr="0016516C">
        <w:rPr>
          <w:noProof/>
          <w:lang w:eastAsia="en-AU"/>
        </w:rPr>
        <w:drawing>
          <wp:inline distT="0" distB="0" distL="0" distR="0" wp14:anchorId="4BB1909D" wp14:editId="675B3AC2">
            <wp:extent cx="3040380" cy="2018665"/>
            <wp:effectExtent l="0" t="0" r="7620" b="635"/>
            <wp:docPr id="1489793608" name="Picture 1489793608" descr="Chart 3.3 Box plot (LHS) and PDF (RHS) of span of control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0380" cy="2018665"/>
                    </a:xfrm>
                    <a:prstGeom prst="rect">
                      <a:avLst/>
                    </a:prstGeom>
                    <a:noFill/>
                    <a:ln>
                      <a:noFill/>
                    </a:ln>
                  </pic:spPr>
                </pic:pic>
              </a:graphicData>
            </a:graphic>
          </wp:inline>
        </w:drawing>
      </w:r>
    </w:p>
    <w:p w14:paraId="7BC923E3" w14:textId="243B11E7" w:rsidR="00004CB9" w:rsidRDefault="008F3FFD" w:rsidP="00162017">
      <w:r>
        <w:t xml:space="preserve">As shown in </w:t>
      </w:r>
      <w:r>
        <w:fldChar w:fldCharType="begin"/>
      </w:r>
      <w:r>
        <w:instrText xml:space="preserve"> REF _Ref38788189 \r \h </w:instrText>
      </w:r>
      <w:r>
        <w:fldChar w:fldCharType="separate"/>
      </w:r>
      <w:r w:rsidR="00283637">
        <w:t>Table 3.3</w:t>
      </w:r>
      <w:r>
        <w:fldChar w:fldCharType="end"/>
      </w:r>
      <w:r w:rsidR="005B744B">
        <w:t xml:space="preserve">, </w:t>
      </w:r>
      <w:r w:rsidR="00F9359C">
        <w:t xml:space="preserve">span of control increases </w:t>
      </w:r>
      <w:r w:rsidR="00F037A9">
        <w:t>significantly</w:t>
      </w:r>
      <w:r w:rsidR="00F9359C">
        <w:t xml:space="preserve"> with </w:t>
      </w:r>
      <w:r w:rsidR="00C91E71">
        <w:t>headcount</w:t>
      </w:r>
      <w:r w:rsidR="00F80B0C">
        <w:t xml:space="preserve"> -</w:t>
      </w:r>
      <w:r w:rsidR="00455512">
        <w:t xml:space="preserve"> from a mean of 5.6x for small organisations</w:t>
      </w:r>
      <w:r>
        <w:t xml:space="preserve"> to a mean of 17.7x for large organisations. </w:t>
      </w:r>
      <w:r w:rsidR="00F80B0C">
        <w:t xml:space="preserve">This may be indicative </w:t>
      </w:r>
      <w:r w:rsidR="00C73A5E">
        <w:t>of greater</w:t>
      </w:r>
      <w:r w:rsidR="00163D2C">
        <w:t xml:space="preserve"> workforce</w:t>
      </w:r>
      <w:r w:rsidR="00C73A5E">
        <w:t xml:space="preserve"> cost efficiencies </w:t>
      </w:r>
      <w:r w:rsidR="00163D2C">
        <w:t xml:space="preserve">and operational management practices </w:t>
      </w:r>
      <w:r w:rsidR="00E951A4">
        <w:t>in larger firms.</w:t>
      </w:r>
      <w:r w:rsidR="00E951A4">
        <w:rPr>
          <w:rStyle w:val="FootnoteReference"/>
        </w:rPr>
        <w:footnoteReference w:id="17"/>
      </w:r>
    </w:p>
    <w:p w14:paraId="6270A8BB" w14:textId="53A3A213" w:rsidR="007D2394" w:rsidRDefault="00F9678E" w:rsidP="009C1642">
      <w:pPr>
        <w:pStyle w:val="CaptionTable"/>
        <w:ind w:left="0"/>
      </w:pPr>
      <w:bookmarkStart w:id="116" w:name="_Ref38788189"/>
      <w:bookmarkStart w:id="117" w:name="_Toc40454684"/>
      <w:r>
        <w:t xml:space="preserve">Span of control </w:t>
      </w:r>
      <w:r w:rsidR="00C94772">
        <w:t>by size of</w:t>
      </w:r>
      <w:bookmarkEnd w:id="116"/>
      <w:r w:rsidR="006F07D2">
        <w:t xml:space="preserve"> organisation</w:t>
      </w:r>
      <w:bookmarkEnd w:id="117"/>
    </w:p>
    <w:tbl>
      <w:tblPr>
        <w:tblW w:w="9243" w:type="dxa"/>
        <w:tblLook w:val="04A0" w:firstRow="1" w:lastRow="0" w:firstColumn="1" w:lastColumn="0" w:noHBand="0" w:noVBand="1"/>
      </w:tblPr>
      <w:tblGrid>
        <w:gridCol w:w="1540"/>
        <w:gridCol w:w="1540"/>
        <w:gridCol w:w="1541"/>
        <w:gridCol w:w="1540"/>
        <w:gridCol w:w="1541"/>
        <w:gridCol w:w="1541"/>
      </w:tblGrid>
      <w:tr w:rsidR="003B15BC" w:rsidRPr="00987032" w14:paraId="38E8EFC7" w14:textId="77777777" w:rsidTr="008C28C1">
        <w:trPr>
          <w:trHeight w:val="239"/>
        </w:trPr>
        <w:tc>
          <w:tcPr>
            <w:tcW w:w="1540" w:type="dxa"/>
            <w:tcBorders>
              <w:top w:val="single" w:sz="12" w:space="0" w:color="62B5E5" w:themeColor="accent3"/>
              <w:left w:val="nil"/>
              <w:bottom w:val="single" w:sz="4" w:space="0" w:color="auto"/>
              <w:right w:val="nil"/>
            </w:tcBorders>
            <w:shd w:val="clear" w:color="auto" w:fill="auto"/>
            <w:vAlign w:val="center"/>
            <w:hideMark/>
          </w:tcPr>
          <w:p w14:paraId="7247B3E0" w14:textId="77777777" w:rsidR="003B15BC" w:rsidRPr="00D655A4" w:rsidRDefault="003B15BC" w:rsidP="00987032">
            <w:pPr>
              <w:pStyle w:val="TableHeadingCentre"/>
              <w:rPr>
                <w:sz w:val="16"/>
                <w:szCs w:val="16"/>
                <w:lang w:val="en-US"/>
              </w:rPr>
            </w:pPr>
            <w:r w:rsidRPr="00D655A4">
              <w:rPr>
                <w:sz w:val="16"/>
                <w:szCs w:val="16"/>
              </w:rPr>
              <w:t> </w:t>
            </w:r>
          </w:p>
        </w:tc>
        <w:tc>
          <w:tcPr>
            <w:tcW w:w="1540" w:type="dxa"/>
            <w:tcBorders>
              <w:top w:val="single" w:sz="12" w:space="0" w:color="62B5E5" w:themeColor="accent3"/>
              <w:left w:val="nil"/>
              <w:bottom w:val="single" w:sz="4" w:space="0" w:color="auto"/>
              <w:right w:val="nil"/>
            </w:tcBorders>
            <w:shd w:val="clear" w:color="auto" w:fill="auto"/>
            <w:vAlign w:val="center"/>
            <w:hideMark/>
          </w:tcPr>
          <w:p w14:paraId="43CC7F2D" w14:textId="77777777" w:rsidR="003B15BC" w:rsidRPr="00D655A4" w:rsidRDefault="003B15BC" w:rsidP="00987032">
            <w:pPr>
              <w:pStyle w:val="TableHeadingCentre"/>
              <w:rPr>
                <w:color w:val="62B5E5"/>
                <w:sz w:val="16"/>
                <w:szCs w:val="16"/>
                <w:lang w:val="en-US"/>
              </w:rPr>
            </w:pPr>
            <w:r w:rsidRPr="00D655A4">
              <w:rPr>
                <w:bCs/>
                <w:color w:val="62B5E5"/>
                <w:sz w:val="16"/>
                <w:szCs w:val="16"/>
              </w:rPr>
              <w:t>Mean</w:t>
            </w:r>
          </w:p>
        </w:tc>
        <w:tc>
          <w:tcPr>
            <w:tcW w:w="1541" w:type="dxa"/>
            <w:tcBorders>
              <w:top w:val="single" w:sz="12" w:space="0" w:color="62B5E5" w:themeColor="accent3"/>
              <w:left w:val="nil"/>
              <w:bottom w:val="single" w:sz="4" w:space="0" w:color="auto"/>
              <w:right w:val="nil"/>
            </w:tcBorders>
            <w:shd w:val="clear" w:color="auto" w:fill="auto"/>
            <w:vAlign w:val="center"/>
            <w:hideMark/>
          </w:tcPr>
          <w:p w14:paraId="1737C348" w14:textId="77777777" w:rsidR="003B15BC" w:rsidRPr="00D655A4" w:rsidRDefault="003B15BC" w:rsidP="00987032">
            <w:pPr>
              <w:pStyle w:val="TableHeadingCentre"/>
              <w:rPr>
                <w:color w:val="62B5E5"/>
                <w:sz w:val="16"/>
                <w:szCs w:val="16"/>
                <w:lang w:val="en-US"/>
              </w:rPr>
            </w:pPr>
            <w:r w:rsidRPr="00D655A4">
              <w:rPr>
                <w:bCs/>
                <w:color w:val="62B5E5"/>
                <w:sz w:val="16"/>
                <w:szCs w:val="16"/>
              </w:rPr>
              <w:t>WM</w:t>
            </w:r>
          </w:p>
        </w:tc>
        <w:tc>
          <w:tcPr>
            <w:tcW w:w="1540" w:type="dxa"/>
            <w:tcBorders>
              <w:top w:val="single" w:sz="12" w:space="0" w:color="62B5E5" w:themeColor="accent3"/>
              <w:left w:val="nil"/>
              <w:bottom w:val="single" w:sz="4" w:space="0" w:color="auto"/>
              <w:right w:val="nil"/>
            </w:tcBorders>
            <w:shd w:val="clear" w:color="auto" w:fill="auto"/>
            <w:vAlign w:val="center"/>
            <w:hideMark/>
          </w:tcPr>
          <w:p w14:paraId="514B6424" w14:textId="77777777" w:rsidR="003B15BC" w:rsidRPr="00D655A4" w:rsidRDefault="003B15BC" w:rsidP="00987032">
            <w:pPr>
              <w:pStyle w:val="TableHeadingCentre"/>
              <w:rPr>
                <w:color w:val="62B5E5"/>
                <w:sz w:val="16"/>
                <w:szCs w:val="16"/>
                <w:lang w:val="en-US"/>
              </w:rPr>
            </w:pPr>
            <w:r w:rsidRPr="00D655A4">
              <w:rPr>
                <w:bCs/>
                <w:color w:val="62B5E5"/>
                <w:sz w:val="16"/>
                <w:szCs w:val="16"/>
              </w:rPr>
              <w:t>Median</w:t>
            </w:r>
          </w:p>
        </w:tc>
        <w:tc>
          <w:tcPr>
            <w:tcW w:w="1541" w:type="dxa"/>
            <w:tcBorders>
              <w:top w:val="single" w:sz="12" w:space="0" w:color="62B5E5" w:themeColor="accent3"/>
              <w:left w:val="nil"/>
              <w:bottom w:val="single" w:sz="4" w:space="0" w:color="auto"/>
              <w:right w:val="nil"/>
            </w:tcBorders>
            <w:shd w:val="clear" w:color="auto" w:fill="auto"/>
            <w:vAlign w:val="center"/>
          </w:tcPr>
          <w:p w14:paraId="544DA1C1" w14:textId="2EE09420" w:rsidR="003B15BC" w:rsidRPr="00D655A4" w:rsidRDefault="003B15BC" w:rsidP="00987032">
            <w:pPr>
              <w:pStyle w:val="TableHeadingCentre"/>
              <w:rPr>
                <w:color w:val="62B5E5"/>
                <w:sz w:val="16"/>
                <w:szCs w:val="16"/>
                <w:lang w:val="en-US"/>
              </w:rPr>
            </w:pPr>
            <w:r w:rsidRPr="00D655A4">
              <w:rPr>
                <w:color w:val="62B5E5"/>
                <w:sz w:val="16"/>
                <w:szCs w:val="16"/>
                <w:lang w:val="en-US"/>
              </w:rPr>
              <w:t>25</w:t>
            </w:r>
            <w:r w:rsidRPr="00D655A4">
              <w:rPr>
                <w:color w:val="62B5E5"/>
                <w:sz w:val="16"/>
                <w:szCs w:val="16"/>
                <w:vertAlign w:val="superscript"/>
                <w:lang w:val="en-US"/>
              </w:rPr>
              <w:t>th</w:t>
            </w:r>
            <w:r w:rsidRPr="00D655A4">
              <w:rPr>
                <w:color w:val="62B5E5"/>
                <w:sz w:val="16"/>
                <w:szCs w:val="16"/>
                <w:lang w:val="en-US"/>
              </w:rPr>
              <w:t xml:space="preserve"> PC</w:t>
            </w:r>
          </w:p>
        </w:tc>
        <w:tc>
          <w:tcPr>
            <w:tcW w:w="1541" w:type="dxa"/>
            <w:tcBorders>
              <w:top w:val="single" w:sz="12" w:space="0" w:color="62B5E5" w:themeColor="accent3"/>
              <w:left w:val="nil"/>
              <w:bottom w:val="single" w:sz="4" w:space="0" w:color="auto"/>
              <w:right w:val="nil"/>
            </w:tcBorders>
            <w:shd w:val="clear" w:color="auto" w:fill="auto"/>
            <w:vAlign w:val="center"/>
          </w:tcPr>
          <w:p w14:paraId="41433970" w14:textId="4F206BBA" w:rsidR="003B15BC" w:rsidRPr="00D655A4" w:rsidRDefault="003B15BC" w:rsidP="00987032">
            <w:pPr>
              <w:pStyle w:val="TableHeadingCentre"/>
              <w:rPr>
                <w:color w:val="62B5E5"/>
                <w:sz w:val="16"/>
                <w:szCs w:val="16"/>
                <w:lang w:val="en-US"/>
              </w:rPr>
            </w:pPr>
            <w:r w:rsidRPr="00D655A4">
              <w:rPr>
                <w:color w:val="62B5E5"/>
                <w:sz w:val="16"/>
                <w:szCs w:val="16"/>
                <w:lang w:val="en-US"/>
              </w:rPr>
              <w:t>75</w:t>
            </w:r>
            <w:r w:rsidRPr="00D655A4">
              <w:rPr>
                <w:color w:val="62B5E5"/>
                <w:sz w:val="16"/>
                <w:szCs w:val="16"/>
                <w:vertAlign w:val="superscript"/>
                <w:lang w:val="en-US"/>
              </w:rPr>
              <w:t>th</w:t>
            </w:r>
            <w:r w:rsidRPr="00D655A4">
              <w:rPr>
                <w:color w:val="62B5E5"/>
                <w:sz w:val="16"/>
                <w:szCs w:val="16"/>
                <w:lang w:val="en-US"/>
              </w:rPr>
              <w:t xml:space="preserve"> PC</w:t>
            </w:r>
          </w:p>
        </w:tc>
      </w:tr>
      <w:tr w:rsidR="003B15BC" w:rsidRPr="009C1642" w14:paraId="44C2A515" w14:textId="77777777" w:rsidTr="008C28C1">
        <w:trPr>
          <w:trHeight w:val="331"/>
        </w:trPr>
        <w:tc>
          <w:tcPr>
            <w:tcW w:w="1540" w:type="dxa"/>
            <w:tcBorders>
              <w:top w:val="single" w:sz="4" w:space="0" w:color="auto"/>
              <w:left w:val="nil"/>
              <w:bottom w:val="single" w:sz="4" w:space="0" w:color="auto"/>
              <w:right w:val="nil"/>
            </w:tcBorders>
            <w:shd w:val="clear" w:color="auto" w:fill="auto"/>
            <w:vAlign w:val="center"/>
            <w:hideMark/>
          </w:tcPr>
          <w:p w14:paraId="5B437E75" w14:textId="478D8C71" w:rsidR="003B15BC" w:rsidRPr="00D655A4" w:rsidRDefault="009867B3" w:rsidP="003B15BC">
            <w:pPr>
              <w:spacing w:after="0" w:line="240" w:lineRule="auto"/>
              <w:rPr>
                <w:rFonts w:eastAsia="Times New Roman" w:cs="Calibri"/>
                <w:color w:val="000000"/>
                <w:sz w:val="16"/>
                <w:szCs w:val="16"/>
                <w:lang w:val="en-US"/>
              </w:rPr>
            </w:pPr>
            <w:r w:rsidRPr="00D655A4">
              <w:rPr>
                <w:rFonts w:eastAsia="Times New Roman" w:cs="Calibri"/>
                <w:color w:val="000000"/>
                <w:sz w:val="16"/>
                <w:szCs w:val="16"/>
              </w:rPr>
              <w:t>Small</w:t>
            </w:r>
          </w:p>
        </w:tc>
        <w:tc>
          <w:tcPr>
            <w:tcW w:w="1540" w:type="dxa"/>
            <w:tcBorders>
              <w:top w:val="single" w:sz="4" w:space="0" w:color="auto"/>
              <w:left w:val="nil"/>
              <w:bottom w:val="single" w:sz="4" w:space="0" w:color="auto"/>
              <w:right w:val="nil"/>
            </w:tcBorders>
            <w:shd w:val="clear" w:color="auto" w:fill="auto"/>
            <w:vAlign w:val="center"/>
            <w:hideMark/>
          </w:tcPr>
          <w:p w14:paraId="47572E30" w14:textId="77777777" w:rsidR="003B15BC" w:rsidRPr="00D655A4" w:rsidRDefault="003B15BC" w:rsidP="003B15B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5.6x</w:t>
            </w:r>
          </w:p>
        </w:tc>
        <w:tc>
          <w:tcPr>
            <w:tcW w:w="1541" w:type="dxa"/>
            <w:tcBorders>
              <w:top w:val="single" w:sz="4" w:space="0" w:color="auto"/>
              <w:left w:val="nil"/>
              <w:bottom w:val="single" w:sz="4" w:space="0" w:color="auto"/>
              <w:right w:val="nil"/>
            </w:tcBorders>
            <w:shd w:val="clear" w:color="auto" w:fill="auto"/>
            <w:vAlign w:val="center"/>
            <w:hideMark/>
          </w:tcPr>
          <w:p w14:paraId="7693BF8D" w14:textId="77777777" w:rsidR="003B15BC" w:rsidRPr="00D655A4" w:rsidRDefault="003B15BC" w:rsidP="003B15B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6.6x</w:t>
            </w:r>
          </w:p>
        </w:tc>
        <w:tc>
          <w:tcPr>
            <w:tcW w:w="1540" w:type="dxa"/>
            <w:tcBorders>
              <w:top w:val="single" w:sz="4" w:space="0" w:color="auto"/>
              <w:left w:val="nil"/>
              <w:bottom w:val="single" w:sz="4" w:space="0" w:color="auto"/>
              <w:right w:val="nil"/>
            </w:tcBorders>
            <w:shd w:val="clear" w:color="auto" w:fill="auto"/>
            <w:vAlign w:val="center"/>
            <w:hideMark/>
          </w:tcPr>
          <w:p w14:paraId="1D287571" w14:textId="77777777" w:rsidR="003B15BC" w:rsidRPr="00D655A4" w:rsidRDefault="003B15BC" w:rsidP="003B15B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4.5x</w:t>
            </w:r>
          </w:p>
        </w:tc>
        <w:tc>
          <w:tcPr>
            <w:tcW w:w="1541" w:type="dxa"/>
            <w:tcBorders>
              <w:top w:val="single" w:sz="4" w:space="0" w:color="auto"/>
              <w:left w:val="nil"/>
              <w:bottom w:val="single" w:sz="4" w:space="0" w:color="auto"/>
              <w:right w:val="nil"/>
            </w:tcBorders>
            <w:shd w:val="clear" w:color="auto" w:fill="auto"/>
            <w:vAlign w:val="center"/>
          </w:tcPr>
          <w:p w14:paraId="342E3536" w14:textId="7C25FEF5" w:rsidR="003B15BC" w:rsidRPr="00D655A4" w:rsidRDefault="00F66479" w:rsidP="00115227">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lang w:val="en-US"/>
              </w:rPr>
              <w:t>2.2</w:t>
            </w:r>
            <w:r w:rsidR="004C5872" w:rsidRPr="00D655A4">
              <w:rPr>
                <w:rFonts w:eastAsia="Times New Roman" w:cs="Calibri"/>
                <w:color w:val="000000"/>
                <w:sz w:val="16"/>
                <w:szCs w:val="16"/>
                <w:lang w:val="en-US"/>
              </w:rPr>
              <w:t>x</w:t>
            </w:r>
          </w:p>
        </w:tc>
        <w:tc>
          <w:tcPr>
            <w:tcW w:w="1541" w:type="dxa"/>
            <w:tcBorders>
              <w:top w:val="single" w:sz="4" w:space="0" w:color="auto"/>
              <w:left w:val="nil"/>
              <w:bottom w:val="single" w:sz="4" w:space="0" w:color="auto"/>
              <w:right w:val="nil"/>
            </w:tcBorders>
            <w:shd w:val="clear" w:color="auto" w:fill="auto"/>
            <w:vAlign w:val="center"/>
          </w:tcPr>
          <w:p w14:paraId="6BBC2531" w14:textId="5AA1B25A" w:rsidR="003B15BC" w:rsidRPr="00D655A4" w:rsidRDefault="00F66479" w:rsidP="003B15B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lang w:val="en-US"/>
              </w:rPr>
              <w:t>7.3</w:t>
            </w:r>
            <w:r w:rsidR="004C5872" w:rsidRPr="00D655A4">
              <w:rPr>
                <w:rFonts w:eastAsia="Times New Roman" w:cs="Calibri"/>
                <w:color w:val="000000"/>
                <w:sz w:val="16"/>
                <w:szCs w:val="16"/>
                <w:lang w:val="en-US"/>
              </w:rPr>
              <w:t>x</w:t>
            </w:r>
          </w:p>
        </w:tc>
      </w:tr>
      <w:tr w:rsidR="009867B3" w:rsidRPr="009C1642" w14:paraId="0BBAB200" w14:textId="77777777" w:rsidTr="000E3A77">
        <w:trPr>
          <w:trHeight w:val="331"/>
        </w:trPr>
        <w:tc>
          <w:tcPr>
            <w:tcW w:w="1540" w:type="dxa"/>
            <w:tcBorders>
              <w:top w:val="single" w:sz="4" w:space="0" w:color="auto"/>
              <w:left w:val="nil"/>
              <w:bottom w:val="single" w:sz="4" w:space="0" w:color="auto"/>
              <w:right w:val="nil"/>
            </w:tcBorders>
            <w:shd w:val="clear" w:color="auto" w:fill="auto"/>
            <w:vAlign w:val="center"/>
          </w:tcPr>
          <w:p w14:paraId="3BA63C27" w14:textId="0679C159" w:rsidR="009867B3" w:rsidRPr="00D655A4" w:rsidRDefault="009867B3" w:rsidP="009867B3">
            <w:pPr>
              <w:spacing w:after="0" w:line="240" w:lineRule="auto"/>
              <w:rPr>
                <w:rFonts w:eastAsia="Times New Roman" w:cs="Calibri"/>
                <w:color w:val="000000"/>
                <w:sz w:val="16"/>
                <w:szCs w:val="16"/>
              </w:rPr>
            </w:pPr>
            <w:r w:rsidRPr="00D655A4">
              <w:rPr>
                <w:rFonts w:eastAsia="Times New Roman" w:cs="Calibri"/>
                <w:color w:val="000000"/>
                <w:sz w:val="16"/>
                <w:szCs w:val="16"/>
              </w:rPr>
              <w:t>Medium</w:t>
            </w:r>
          </w:p>
        </w:tc>
        <w:tc>
          <w:tcPr>
            <w:tcW w:w="1540" w:type="dxa"/>
            <w:tcBorders>
              <w:top w:val="single" w:sz="4" w:space="0" w:color="auto"/>
              <w:left w:val="nil"/>
              <w:bottom w:val="single" w:sz="4" w:space="0" w:color="auto"/>
              <w:right w:val="nil"/>
            </w:tcBorders>
            <w:shd w:val="clear" w:color="auto" w:fill="auto"/>
            <w:vAlign w:val="center"/>
          </w:tcPr>
          <w:p w14:paraId="735E7EC1" w14:textId="19D3DACC" w:rsidR="009867B3" w:rsidRPr="00D655A4" w:rsidRDefault="009867B3" w:rsidP="009867B3">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11.4x</w:t>
            </w:r>
          </w:p>
        </w:tc>
        <w:tc>
          <w:tcPr>
            <w:tcW w:w="1541" w:type="dxa"/>
            <w:tcBorders>
              <w:top w:val="single" w:sz="4" w:space="0" w:color="auto"/>
              <w:left w:val="nil"/>
              <w:bottom w:val="single" w:sz="4" w:space="0" w:color="auto"/>
              <w:right w:val="nil"/>
            </w:tcBorders>
            <w:shd w:val="clear" w:color="auto" w:fill="auto"/>
            <w:vAlign w:val="center"/>
          </w:tcPr>
          <w:p w14:paraId="0B31A31C" w14:textId="6F7D8A04" w:rsidR="009867B3" w:rsidRPr="00D655A4" w:rsidRDefault="009867B3" w:rsidP="009867B3">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12.3x</w:t>
            </w:r>
          </w:p>
        </w:tc>
        <w:tc>
          <w:tcPr>
            <w:tcW w:w="1540" w:type="dxa"/>
            <w:tcBorders>
              <w:top w:val="single" w:sz="4" w:space="0" w:color="auto"/>
              <w:left w:val="nil"/>
              <w:bottom w:val="single" w:sz="4" w:space="0" w:color="auto"/>
              <w:right w:val="nil"/>
            </w:tcBorders>
            <w:shd w:val="clear" w:color="auto" w:fill="auto"/>
            <w:vAlign w:val="center"/>
          </w:tcPr>
          <w:p w14:paraId="0A4B195B" w14:textId="3E24A75A" w:rsidR="009867B3" w:rsidRPr="00D655A4" w:rsidRDefault="009867B3" w:rsidP="009867B3">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9.4x</w:t>
            </w:r>
          </w:p>
        </w:tc>
        <w:tc>
          <w:tcPr>
            <w:tcW w:w="1541" w:type="dxa"/>
            <w:tcBorders>
              <w:top w:val="single" w:sz="4" w:space="0" w:color="auto"/>
              <w:left w:val="nil"/>
              <w:bottom w:val="single" w:sz="4" w:space="0" w:color="auto"/>
              <w:right w:val="nil"/>
            </w:tcBorders>
            <w:shd w:val="clear" w:color="auto" w:fill="auto"/>
            <w:vAlign w:val="center"/>
          </w:tcPr>
          <w:p w14:paraId="7E1863AA" w14:textId="1F34F0C1" w:rsidR="009867B3" w:rsidRPr="00D655A4" w:rsidRDefault="009867B3" w:rsidP="00115227">
            <w:pPr>
              <w:spacing w:after="0" w:line="240" w:lineRule="auto"/>
              <w:jc w:val="center"/>
              <w:rPr>
                <w:rFonts w:eastAsia="Times New Roman" w:cs="Calibri"/>
                <w:color w:val="000000"/>
                <w:sz w:val="16"/>
                <w:szCs w:val="16"/>
                <w:lang w:val="en-US"/>
              </w:rPr>
            </w:pPr>
            <w:r w:rsidRPr="00D655A4">
              <w:rPr>
                <w:color w:val="000000"/>
                <w:sz w:val="16"/>
                <w:szCs w:val="16"/>
              </w:rPr>
              <w:t>6.0x</w:t>
            </w:r>
          </w:p>
        </w:tc>
        <w:tc>
          <w:tcPr>
            <w:tcW w:w="1541" w:type="dxa"/>
            <w:tcBorders>
              <w:top w:val="single" w:sz="4" w:space="0" w:color="auto"/>
              <w:left w:val="nil"/>
              <w:bottom w:val="single" w:sz="4" w:space="0" w:color="auto"/>
              <w:right w:val="nil"/>
            </w:tcBorders>
            <w:shd w:val="clear" w:color="auto" w:fill="auto"/>
            <w:vAlign w:val="center"/>
          </w:tcPr>
          <w:p w14:paraId="08B46606" w14:textId="4D04D369" w:rsidR="009867B3" w:rsidRPr="00D655A4" w:rsidRDefault="009867B3" w:rsidP="009867B3">
            <w:pPr>
              <w:spacing w:after="0" w:line="240" w:lineRule="auto"/>
              <w:jc w:val="center"/>
              <w:rPr>
                <w:rFonts w:eastAsia="Times New Roman" w:cs="Calibri"/>
                <w:color w:val="000000"/>
                <w:sz w:val="16"/>
                <w:szCs w:val="16"/>
                <w:lang w:val="en-US"/>
              </w:rPr>
            </w:pPr>
            <w:r w:rsidRPr="00D655A4">
              <w:rPr>
                <w:color w:val="000000"/>
                <w:sz w:val="16"/>
                <w:szCs w:val="16"/>
              </w:rPr>
              <w:t>13.6x</w:t>
            </w:r>
          </w:p>
        </w:tc>
      </w:tr>
      <w:tr w:rsidR="00C94772" w:rsidRPr="009C1642" w14:paraId="51F08F12" w14:textId="77777777" w:rsidTr="000E3A77">
        <w:trPr>
          <w:trHeight w:val="331"/>
        </w:trPr>
        <w:tc>
          <w:tcPr>
            <w:tcW w:w="1540" w:type="dxa"/>
            <w:tcBorders>
              <w:top w:val="single" w:sz="4" w:space="0" w:color="auto"/>
              <w:left w:val="nil"/>
              <w:bottom w:val="single" w:sz="4" w:space="0" w:color="auto"/>
              <w:right w:val="nil"/>
            </w:tcBorders>
            <w:shd w:val="clear" w:color="auto" w:fill="auto"/>
            <w:vAlign w:val="center"/>
          </w:tcPr>
          <w:p w14:paraId="3CD60CF6" w14:textId="19D70A9D" w:rsidR="00C94772" w:rsidRPr="00D655A4" w:rsidRDefault="00C94772" w:rsidP="00C94772">
            <w:pPr>
              <w:spacing w:after="0" w:line="240" w:lineRule="auto"/>
              <w:rPr>
                <w:rFonts w:eastAsia="Times New Roman" w:cs="Calibri"/>
                <w:color w:val="000000"/>
                <w:sz w:val="16"/>
                <w:szCs w:val="16"/>
              </w:rPr>
            </w:pPr>
            <w:r w:rsidRPr="00D655A4">
              <w:rPr>
                <w:rFonts w:eastAsia="Times New Roman" w:cs="Calibri"/>
                <w:color w:val="000000"/>
                <w:sz w:val="16"/>
                <w:szCs w:val="16"/>
              </w:rPr>
              <w:t>Large</w:t>
            </w:r>
          </w:p>
        </w:tc>
        <w:tc>
          <w:tcPr>
            <w:tcW w:w="1540" w:type="dxa"/>
            <w:tcBorders>
              <w:top w:val="single" w:sz="4" w:space="0" w:color="auto"/>
              <w:left w:val="nil"/>
              <w:bottom w:val="single" w:sz="4" w:space="0" w:color="auto"/>
              <w:right w:val="nil"/>
            </w:tcBorders>
            <w:shd w:val="clear" w:color="auto" w:fill="auto"/>
            <w:vAlign w:val="center"/>
          </w:tcPr>
          <w:p w14:paraId="7ABC1B98" w14:textId="7E1F3E44" w:rsidR="00C94772" w:rsidRPr="00D655A4" w:rsidRDefault="00C94772" w:rsidP="00C94772">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17.7x</w:t>
            </w:r>
          </w:p>
        </w:tc>
        <w:tc>
          <w:tcPr>
            <w:tcW w:w="1541" w:type="dxa"/>
            <w:tcBorders>
              <w:top w:val="single" w:sz="4" w:space="0" w:color="auto"/>
              <w:left w:val="nil"/>
              <w:bottom w:val="single" w:sz="4" w:space="0" w:color="auto"/>
              <w:right w:val="nil"/>
            </w:tcBorders>
            <w:shd w:val="clear" w:color="auto" w:fill="auto"/>
            <w:vAlign w:val="center"/>
          </w:tcPr>
          <w:p w14:paraId="1D7B9B72" w14:textId="0FA4A586" w:rsidR="00C94772" w:rsidRPr="00D655A4" w:rsidRDefault="00C94772" w:rsidP="00C94772">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19.9x</w:t>
            </w:r>
          </w:p>
        </w:tc>
        <w:tc>
          <w:tcPr>
            <w:tcW w:w="1540" w:type="dxa"/>
            <w:tcBorders>
              <w:top w:val="single" w:sz="4" w:space="0" w:color="auto"/>
              <w:left w:val="nil"/>
              <w:bottom w:val="single" w:sz="4" w:space="0" w:color="auto"/>
              <w:right w:val="nil"/>
            </w:tcBorders>
            <w:shd w:val="clear" w:color="auto" w:fill="auto"/>
            <w:vAlign w:val="center"/>
          </w:tcPr>
          <w:p w14:paraId="2A071665" w14:textId="3A6ED208" w:rsidR="00C94772" w:rsidRPr="00D655A4" w:rsidRDefault="00C94772" w:rsidP="00C94772">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14.4x</w:t>
            </w:r>
          </w:p>
        </w:tc>
        <w:tc>
          <w:tcPr>
            <w:tcW w:w="1541" w:type="dxa"/>
            <w:tcBorders>
              <w:top w:val="single" w:sz="4" w:space="0" w:color="auto"/>
              <w:left w:val="nil"/>
              <w:bottom w:val="single" w:sz="4" w:space="0" w:color="auto"/>
              <w:right w:val="nil"/>
            </w:tcBorders>
            <w:shd w:val="clear" w:color="auto" w:fill="auto"/>
            <w:vAlign w:val="center"/>
          </w:tcPr>
          <w:p w14:paraId="6CF2DA16" w14:textId="487C5A44" w:rsidR="00C94772" w:rsidRPr="00D655A4" w:rsidRDefault="00C94772" w:rsidP="00115227">
            <w:pPr>
              <w:spacing w:after="0" w:line="240" w:lineRule="auto"/>
              <w:jc w:val="center"/>
              <w:rPr>
                <w:rFonts w:eastAsia="Times New Roman" w:cs="Calibri"/>
                <w:color w:val="000000"/>
                <w:sz w:val="16"/>
                <w:szCs w:val="16"/>
                <w:lang w:val="en-US"/>
              </w:rPr>
            </w:pPr>
            <w:r w:rsidRPr="00D655A4">
              <w:rPr>
                <w:color w:val="000000"/>
                <w:sz w:val="16"/>
                <w:szCs w:val="16"/>
              </w:rPr>
              <w:t>9.6x</w:t>
            </w:r>
          </w:p>
        </w:tc>
        <w:tc>
          <w:tcPr>
            <w:tcW w:w="1541" w:type="dxa"/>
            <w:tcBorders>
              <w:top w:val="single" w:sz="4" w:space="0" w:color="auto"/>
              <w:left w:val="nil"/>
              <w:bottom w:val="single" w:sz="4" w:space="0" w:color="auto"/>
              <w:right w:val="nil"/>
            </w:tcBorders>
            <w:shd w:val="clear" w:color="auto" w:fill="auto"/>
            <w:vAlign w:val="center"/>
          </w:tcPr>
          <w:p w14:paraId="3BA55D14" w14:textId="659FC8FA" w:rsidR="00C94772" w:rsidRPr="00D655A4" w:rsidRDefault="00C94772" w:rsidP="00C94772">
            <w:pPr>
              <w:spacing w:after="0" w:line="240" w:lineRule="auto"/>
              <w:jc w:val="center"/>
              <w:rPr>
                <w:rFonts w:eastAsia="Times New Roman" w:cs="Calibri"/>
                <w:color w:val="000000"/>
                <w:sz w:val="16"/>
                <w:szCs w:val="16"/>
                <w:lang w:val="en-US"/>
              </w:rPr>
            </w:pPr>
            <w:r w:rsidRPr="00D655A4">
              <w:rPr>
                <w:color w:val="000000"/>
                <w:sz w:val="16"/>
                <w:szCs w:val="16"/>
              </w:rPr>
              <w:t>21.0x</w:t>
            </w:r>
          </w:p>
        </w:tc>
      </w:tr>
    </w:tbl>
    <w:p w14:paraId="736110D7" w14:textId="77777777" w:rsidR="00103691" w:rsidRDefault="00103691" w:rsidP="00D861A2">
      <w:pPr>
        <w:pStyle w:val="Heading2"/>
      </w:pPr>
      <w:bookmarkStart w:id="118" w:name="_Toc39748576"/>
      <w:bookmarkStart w:id="119" w:name="_Toc39761580"/>
      <w:bookmarkStart w:id="120" w:name="_Toc39762870"/>
      <w:bookmarkStart w:id="121" w:name="_Toc39837041"/>
      <w:bookmarkStart w:id="122" w:name="_Toc40454649"/>
      <w:bookmarkEnd w:id="118"/>
      <w:bookmarkEnd w:id="119"/>
      <w:bookmarkEnd w:id="120"/>
      <w:bookmarkEnd w:id="121"/>
      <w:r>
        <w:lastRenderedPageBreak/>
        <w:t>Shift loadings</w:t>
      </w:r>
      <w:bookmarkEnd w:id="122"/>
    </w:p>
    <w:p w14:paraId="78DFB117" w14:textId="77777777" w:rsidR="003D649A" w:rsidRDefault="003D649A" w:rsidP="003D649A">
      <w:r>
        <w:t>The survey asked providers to nominate whether the majority of their front-line staff and supervisors were paid according to the Social, Community, Home Care and Disability Services (</w:t>
      </w:r>
      <w:r w:rsidRPr="008C28C1">
        <w:t>SCHADS</w:t>
      </w:r>
      <w:r>
        <w:t>)</w:t>
      </w:r>
      <w:r w:rsidRPr="008C28C1">
        <w:t xml:space="preserve"> Award</w:t>
      </w:r>
      <w:r>
        <w:t>. Providers who paid the majority of their staff in line with the SCHADS Award were not required to provide information on leave provisions, and weekend loading rates, as these aspects are specified in the Award, and it was assumed they comply with Award conditions. The tables relating to these aspects provide results across all respondents, which has incorporated the Award specifications into the calculation.</w:t>
      </w:r>
    </w:p>
    <w:p w14:paraId="5097AB77" w14:textId="6513A01F" w:rsidR="006541E2" w:rsidRDefault="000E3A77" w:rsidP="00D861A2">
      <w:pPr>
        <w:keepNext/>
        <w:keepLines/>
      </w:pPr>
      <w:r>
        <w:t>The following tables</w:t>
      </w:r>
      <w:r w:rsidR="00D94588">
        <w:t xml:space="preserve"> </w:t>
      </w:r>
      <w:r w:rsidR="00103691">
        <w:t>set out</w:t>
      </w:r>
      <w:r w:rsidR="00A32006">
        <w:t xml:space="preserve"> the</w:t>
      </w:r>
      <w:r w:rsidR="00103691">
        <w:t xml:space="preserve"> </w:t>
      </w:r>
      <w:r w:rsidR="004C35FB">
        <w:t>survey results</w:t>
      </w:r>
      <w:r w:rsidR="00103691">
        <w:t xml:space="preserve"> with respect to shift loadings. For organisations operating under the SCHADS </w:t>
      </w:r>
      <w:r w:rsidR="00D22EEE">
        <w:t>A</w:t>
      </w:r>
      <w:r w:rsidR="00103691">
        <w:t xml:space="preserve">ward, the loadings were assumed to be in line with the </w:t>
      </w:r>
      <w:r w:rsidR="00573660">
        <w:t>A</w:t>
      </w:r>
      <w:r w:rsidR="00103691">
        <w:t xml:space="preserve">ward and applied to all DSWs and supervisors operating for </w:t>
      </w:r>
      <w:r w:rsidR="00103691" w:rsidRPr="00995D0D">
        <w:t xml:space="preserve">such organisations. </w:t>
      </w:r>
    </w:p>
    <w:p w14:paraId="3D8FFD33" w14:textId="4CF39A87" w:rsidR="008F1C45" w:rsidRDefault="008F1C45" w:rsidP="00D861A2">
      <w:pPr>
        <w:keepNext/>
        <w:keepLines/>
      </w:pPr>
      <w:r>
        <w:t xml:space="preserve">The SCHADS responses accounted </w:t>
      </w:r>
      <w:r w:rsidRPr="003F110A">
        <w:t>for 77.6% of those measured. As such</w:t>
      </w:r>
      <w:r w:rsidR="00D22EEE">
        <w:t>,</w:t>
      </w:r>
      <w:r w:rsidRPr="003F110A">
        <w:t xml:space="preserve"> the non-SCHADS values above are weighted by a factor of 22.4%, with the balance (77.6%) being the SCHADS </w:t>
      </w:r>
      <w:r w:rsidR="003D649A">
        <w:t>Award parameters</w:t>
      </w:r>
      <w:r w:rsidRPr="003F110A">
        <w:t>.</w:t>
      </w:r>
      <w:r>
        <w:t xml:space="preserve"> </w:t>
      </w:r>
      <w:r w:rsidR="00F108C0">
        <w:fldChar w:fldCharType="begin"/>
      </w:r>
      <w:r w:rsidR="00F108C0">
        <w:instrText xml:space="preserve"> REF _Ref39677608 \r \h </w:instrText>
      </w:r>
      <w:r w:rsidR="00F108C0">
        <w:fldChar w:fldCharType="separate"/>
      </w:r>
      <w:r w:rsidR="00283637">
        <w:t>Table 3.4</w:t>
      </w:r>
      <w:r w:rsidR="00F108C0">
        <w:fldChar w:fldCharType="end"/>
      </w:r>
      <w:r>
        <w:t xml:space="preserve"> illustrates the results for SCHADS and non-SCHADS respondents</w:t>
      </w:r>
      <w:r w:rsidR="000E3A77">
        <w:t xml:space="preserve">, and </w:t>
      </w:r>
      <w:r w:rsidR="000E3A77">
        <w:fldChar w:fldCharType="begin"/>
      </w:r>
      <w:r w:rsidR="000E3A77">
        <w:instrText xml:space="preserve"> REF _Ref39763172 \r \h </w:instrText>
      </w:r>
      <w:r w:rsidR="000E3A77">
        <w:fldChar w:fldCharType="separate"/>
      </w:r>
      <w:r w:rsidR="00283637">
        <w:t>Table 3.5</w:t>
      </w:r>
      <w:r w:rsidR="000E3A77">
        <w:fldChar w:fldCharType="end"/>
      </w:r>
      <w:r w:rsidR="000E3A77">
        <w:t xml:space="preserve"> provides the results at the 25</w:t>
      </w:r>
      <w:r w:rsidR="000E3A77" w:rsidRPr="000E3A77">
        <w:rPr>
          <w:vertAlign w:val="superscript"/>
        </w:rPr>
        <w:t>th</w:t>
      </w:r>
      <w:r w:rsidR="000E3A77">
        <w:t xml:space="preserve"> and 75</w:t>
      </w:r>
      <w:r w:rsidR="000E3A77" w:rsidRPr="000E3A77">
        <w:rPr>
          <w:vertAlign w:val="superscript"/>
        </w:rPr>
        <w:t>th</w:t>
      </w:r>
      <w:r w:rsidR="000E3A77">
        <w:t xml:space="preserve"> percentiles.</w:t>
      </w:r>
    </w:p>
    <w:p w14:paraId="3277BED3" w14:textId="7E18FD3A" w:rsidR="008F1C45" w:rsidRDefault="00506519" w:rsidP="00D861A2">
      <w:pPr>
        <w:pStyle w:val="CaptionTable"/>
        <w:ind w:left="0"/>
      </w:pPr>
      <w:bookmarkStart w:id="123" w:name="_Ref39677608"/>
      <w:bookmarkStart w:id="124" w:name="_Toc40454685"/>
      <w:r>
        <w:t>Shift loadings</w:t>
      </w:r>
      <w:r w:rsidR="008F1C45">
        <w:t xml:space="preserve"> – SCHADS and </w:t>
      </w:r>
      <w:r w:rsidR="000E3A77">
        <w:t>n</w:t>
      </w:r>
      <w:r w:rsidR="008F1C45">
        <w:t>on-SCHADS</w:t>
      </w:r>
      <w:bookmarkEnd w:id="123"/>
      <w:bookmarkEnd w:id="124"/>
    </w:p>
    <w:tbl>
      <w:tblPr>
        <w:tblW w:w="9026" w:type="dxa"/>
        <w:tblLayout w:type="fixed"/>
        <w:tblLook w:val="04A0" w:firstRow="1" w:lastRow="0" w:firstColumn="1" w:lastColumn="0" w:noHBand="0" w:noVBand="1"/>
      </w:tblPr>
      <w:tblGrid>
        <w:gridCol w:w="1038"/>
        <w:gridCol w:w="887"/>
        <w:gridCol w:w="888"/>
        <w:gridCol w:w="887"/>
        <w:gridCol w:w="888"/>
        <w:gridCol w:w="887"/>
        <w:gridCol w:w="888"/>
        <w:gridCol w:w="887"/>
        <w:gridCol w:w="888"/>
        <w:gridCol w:w="888"/>
      </w:tblGrid>
      <w:tr w:rsidR="000E3A77" w:rsidRPr="008E3BA6" w14:paraId="62A37BB6" w14:textId="77777777" w:rsidTr="000E3A77">
        <w:trPr>
          <w:trHeight w:val="261"/>
        </w:trPr>
        <w:tc>
          <w:tcPr>
            <w:tcW w:w="1038" w:type="dxa"/>
            <w:tcBorders>
              <w:top w:val="single" w:sz="12" w:space="0" w:color="62B5E5" w:themeColor="accent3"/>
              <w:left w:val="nil"/>
              <w:right w:val="single" w:sz="4" w:space="0" w:color="000000" w:themeColor="text1"/>
            </w:tcBorders>
            <w:shd w:val="clear" w:color="auto" w:fill="auto"/>
            <w:vAlign w:val="center"/>
            <w:hideMark/>
          </w:tcPr>
          <w:p w14:paraId="560C5E22" w14:textId="77777777" w:rsidR="000E3A77" w:rsidRPr="00D655A4" w:rsidRDefault="000E3A77" w:rsidP="00D861A2">
            <w:pPr>
              <w:keepNext/>
              <w:keepLines/>
              <w:spacing w:after="0" w:line="240" w:lineRule="auto"/>
              <w:rPr>
                <w:rFonts w:eastAsia="Times New Roman" w:cs="Times New Roman"/>
                <w:b/>
                <w:bCs/>
                <w:color w:val="62B5E5"/>
                <w:sz w:val="16"/>
                <w:szCs w:val="16"/>
                <w:lang w:val="en-US"/>
              </w:rPr>
            </w:pPr>
            <w:r w:rsidRPr="00D655A4">
              <w:rPr>
                <w:rFonts w:eastAsia="Times New Roman" w:cs="Times New Roman"/>
                <w:b/>
                <w:bCs/>
                <w:color w:val="62B5E5"/>
                <w:sz w:val="16"/>
                <w:szCs w:val="16"/>
                <w:lang w:val="en-US"/>
              </w:rPr>
              <w:t> </w:t>
            </w:r>
          </w:p>
        </w:tc>
        <w:tc>
          <w:tcPr>
            <w:tcW w:w="2662" w:type="dxa"/>
            <w:gridSpan w:val="3"/>
            <w:tcBorders>
              <w:top w:val="single" w:sz="12" w:space="0" w:color="62B5E5" w:themeColor="accent3"/>
              <w:left w:val="single" w:sz="4" w:space="0" w:color="000000" w:themeColor="text1"/>
              <w:right w:val="single" w:sz="4" w:space="0" w:color="000000" w:themeColor="text1"/>
            </w:tcBorders>
          </w:tcPr>
          <w:p w14:paraId="7C44FF31" w14:textId="3278A4FC" w:rsidR="000E3A77" w:rsidRPr="00D655A4" w:rsidRDefault="000E3A77" w:rsidP="000E3A77">
            <w:pPr>
              <w:keepNext/>
              <w:keepLines/>
              <w:spacing w:after="0" w:line="240" w:lineRule="auto"/>
              <w:jc w:val="center"/>
              <w:rPr>
                <w:rFonts w:eastAsia="Times New Roman" w:cs="Times New Roman"/>
                <w:b/>
                <w:bCs/>
                <w:color w:val="62B5E5"/>
                <w:sz w:val="16"/>
                <w:szCs w:val="16"/>
                <w:lang w:val="en-US"/>
              </w:rPr>
            </w:pPr>
            <w:r w:rsidRPr="00D655A4">
              <w:rPr>
                <w:rFonts w:eastAsia="Times New Roman" w:cs="Times New Roman"/>
                <w:b/>
                <w:bCs/>
                <w:color w:val="62B5E5"/>
                <w:sz w:val="16"/>
                <w:szCs w:val="16"/>
                <w:lang w:val="en-US"/>
              </w:rPr>
              <w:t>Permanent</w:t>
            </w:r>
          </w:p>
        </w:tc>
        <w:tc>
          <w:tcPr>
            <w:tcW w:w="2663" w:type="dxa"/>
            <w:gridSpan w:val="3"/>
            <w:tcBorders>
              <w:top w:val="single" w:sz="12" w:space="0" w:color="62B5E5" w:themeColor="accent3"/>
              <w:left w:val="single" w:sz="4" w:space="0" w:color="000000" w:themeColor="text1"/>
              <w:right w:val="single" w:sz="4" w:space="0" w:color="000000" w:themeColor="text1"/>
            </w:tcBorders>
          </w:tcPr>
          <w:p w14:paraId="7DFF0052" w14:textId="67129F2E" w:rsidR="000E3A77" w:rsidRPr="00D655A4" w:rsidRDefault="000E3A77" w:rsidP="000E3A77">
            <w:pPr>
              <w:keepNext/>
              <w:keepLines/>
              <w:spacing w:after="0" w:line="240" w:lineRule="auto"/>
              <w:jc w:val="center"/>
              <w:rPr>
                <w:rFonts w:eastAsia="Times New Roman" w:cs="Times New Roman"/>
                <w:b/>
                <w:bCs/>
                <w:color w:val="62B5E5"/>
                <w:sz w:val="16"/>
                <w:szCs w:val="16"/>
                <w:lang w:val="en-US"/>
              </w:rPr>
            </w:pPr>
            <w:r w:rsidRPr="00D655A4">
              <w:rPr>
                <w:rFonts w:eastAsia="Times New Roman" w:cs="Times New Roman"/>
                <w:b/>
                <w:bCs/>
                <w:color w:val="62B5E5"/>
                <w:sz w:val="16"/>
                <w:szCs w:val="16"/>
                <w:lang w:val="en-US"/>
              </w:rPr>
              <w:t>Casual</w:t>
            </w:r>
          </w:p>
        </w:tc>
        <w:tc>
          <w:tcPr>
            <w:tcW w:w="2663" w:type="dxa"/>
            <w:gridSpan w:val="3"/>
            <w:tcBorders>
              <w:top w:val="single" w:sz="12" w:space="0" w:color="62B5E5" w:themeColor="accent3"/>
              <w:left w:val="single" w:sz="4" w:space="0" w:color="000000" w:themeColor="text1"/>
              <w:right w:val="nil"/>
            </w:tcBorders>
          </w:tcPr>
          <w:p w14:paraId="3ABC3E01" w14:textId="6B44365E" w:rsidR="000E3A77" w:rsidRPr="00D655A4" w:rsidRDefault="000E3A77" w:rsidP="000E3A77">
            <w:pPr>
              <w:keepNext/>
              <w:keepLines/>
              <w:spacing w:after="0" w:line="240" w:lineRule="auto"/>
              <w:jc w:val="center"/>
              <w:rPr>
                <w:rFonts w:eastAsia="Times New Roman" w:cs="Times New Roman"/>
                <w:b/>
                <w:bCs/>
                <w:color w:val="62B5E5"/>
                <w:sz w:val="16"/>
                <w:szCs w:val="16"/>
                <w:lang w:val="en-US"/>
              </w:rPr>
            </w:pPr>
            <w:r w:rsidRPr="00D655A4">
              <w:rPr>
                <w:rFonts w:eastAsia="Times New Roman" w:cs="Times New Roman"/>
                <w:b/>
                <w:bCs/>
                <w:color w:val="62B5E5"/>
                <w:sz w:val="16"/>
                <w:szCs w:val="16"/>
                <w:lang w:val="en-US"/>
              </w:rPr>
              <w:t>Difference</w:t>
            </w:r>
          </w:p>
        </w:tc>
      </w:tr>
      <w:tr w:rsidR="000E3A77" w:rsidRPr="008E3BA6" w14:paraId="11645F6F" w14:textId="77777777" w:rsidTr="000E3A77">
        <w:trPr>
          <w:trHeight w:val="20"/>
        </w:trPr>
        <w:tc>
          <w:tcPr>
            <w:tcW w:w="1038" w:type="dxa"/>
            <w:tcBorders>
              <w:top w:val="nil"/>
              <w:left w:val="nil"/>
              <w:bottom w:val="single" w:sz="4" w:space="0" w:color="auto"/>
              <w:right w:val="single" w:sz="4" w:space="0" w:color="000000" w:themeColor="text1"/>
            </w:tcBorders>
            <w:shd w:val="clear" w:color="auto" w:fill="auto"/>
            <w:vAlign w:val="center"/>
            <w:hideMark/>
          </w:tcPr>
          <w:p w14:paraId="34CDDCAB" w14:textId="77777777" w:rsidR="000E3A77" w:rsidRPr="00D655A4" w:rsidRDefault="000E3A77" w:rsidP="000E3A77">
            <w:pPr>
              <w:keepNext/>
              <w:keepLines/>
              <w:spacing w:after="0" w:line="240" w:lineRule="auto"/>
              <w:rPr>
                <w:rFonts w:eastAsia="Times New Roman" w:cs="Times New Roman"/>
                <w:b/>
                <w:bCs/>
                <w:color w:val="62B5E5"/>
                <w:sz w:val="16"/>
                <w:szCs w:val="16"/>
                <w:lang w:val="en-US"/>
              </w:rPr>
            </w:pPr>
            <w:r w:rsidRPr="00D655A4">
              <w:rPr>
                <w:rFonts w:eastAsia="Times New Roman" w:cs="Times New Roman"/>
                <w:b/>
                <w:bCs/>
                <w:color w:val="62B5E5"/>
                <w:sz w:val="16"/>
                <w:szCs w:val="16"/>
                <w:lang w:val="en-US"/>
              </w:rPr>
              <w:t> </w:t>
            </w:r>
          </w:p>
        </w:tc>
        <w:tc>
          <w:tcPr>
            <w:tcW w:w="887" w:type="dxa"/>
            <w:tcBorders>
              <w:top w:val="nil"/>
              <w:left w:val="single" w:sz="4" w:space="0" w:color="000000" w:themeColor="text1"/>
              <w:bottom w:val="single" w:sz="4" w:space="0" w:color="auto"/>
              <w:right w:val="nil"/>
            </w:tcBorders>
            <w:vAlign w:val="center"/>
          </w:tcPr>
          <w:p w14:paraId="4566B67C" w14:textId="57FF0ED6" w:rsidR="000E3A77" w:rsidRPr="00D655A4" w:rsidRDefault="000E3A77" w:rsidP="000E3A77">
            <w:pPr>
              <w:keepNext/>
              <w:keepLines/>
              <w:spacing w:after="0" w:line="240" w:lineRule="auto"/>
              <w:jc w:val="center"/>
              <w:rPr>
                <w:rFonts w:eastAsia="Times New Roman" w:cs="Times New Roman"/>
                <w:i/>
                <w:iCs/>
                <w:color w:val="62B5E5"/>
                <w:sz w:val="16"/>
                <w:szCs w:val="16"/>
                <w:lang w:val="en-US"/>
              </w:rPr>
            </w:pPr>
            <w:r w:rsidRPr="00D655A4">
              <w:rPr>
                <w:rFonts w:eastAsia="Times New Roman" w:cs="Times New Roman"/>
                <w:i/>
                <w:iCs/>
                <w:color w:val="62B5E5"/>
                <w:sz w:val="16"/>
                <w:szCs w:val="16"/>
                <w:lang w:val="en-US"/>
              </w:rPr>
              <w:t>Mean</w:t>
            </w:r>
          </w:p>
        </w:tc>
        <w:tc>
          <w:tcPr>
            <w:tcW w:w="888" w:type="dxa"/>
            <w:tcBorders>
              <w:top w:val="nil"/>
              <w:left w:val="nil"/>
              <w:bottom w:val="single" w:sz="4" w:space="0" w:color="auto"/>
            </w:tcBorders>
          </w:tcPr>
          <w:p w14:paraId="703FF865" w14:textId="63D2EA2B" w:rsidR="000E3A77" w:rsidRPr="00D655A4" w:rsidRDefault="000E3A77" w:rsidP="000E3A77">
            <w:pPr>
              <w:keepNext/>
              <w:keepLines/>
              <w:spacing w:after="0" w:line="240" w:lineRule="auto"/>
              <w:jc w:val="center"/>
              <w:rPr>
                <w:rFonts w:eastAsia="Times New Roman" w:cs="Times New Roman"/>
                <w:i/>
                <w:iCs/>
                <w:color w:val="62B5E5"/>
                <w:sz w:val="16"/>
                <w:szCs w:val="16"/>
                <w:lang w:val="en-US"/>
              </w:rPr>
            </w:pPr>
            <w:r w:rsidRPr="00D655A4">
              <w:rPr>
                <w:rFonts w:eastAsia="Times New Roman" w:cs="Times New Roman"/>
                <w:i/>
                <w:iCs/>
                <w:color w:val="62B5E5"/>
                <w:sz w:val="16"/>
                <w:szCs w:val="16"/>
                <w:lang w:val="en-US"/>
              </w:rPr>
              <w:t>WM</w:t>
            </w:r>
          </w:p>
        </w:tc>
        <w:tc>
          <w:tcPr>
            <w:tcW w:w="887" w:type="dxa"/>
            <w:tcBorders>
              <w:top w:val="nil"/>
              <w:left w:val="nil"/>
              <w:bottom w:val="single" w:sz="4" w:space="0" w:color="auto"/>
              <w:right w:val="single" w:sz="4" w:space="0" w:color="000000" w:themeColor="text1"/>
            </w:tcBorders>
            <w:shd w:val="clear" w:color="auto" w:fill="auto"/>
            <w:vAlign w:val="center"/>
          </w:tcPr>
          <w:p w14:paraId="18B8CC3F" w14:textId="369F1D10" w:rsidR="000E3A77" w:rsidRPr="00D655A4" w:rsidRDefault="000E3A77" w:rsidP="000E3A77">
            <w:pPr>
              <w:keepNext/>
              <w:keepLines/>
              <w:spacing w:after="0" w:line="240" w:lineRule="auto"/>
              <w:jc w:val="center"/>
              <w:rPr>
                <w:rFonts w:eastAsia="Times New Roman" w:cs="Times New Roman"/>
                <w:i/>
                <w:iCs/>
                <w:color w:val="62B5E5"/>
                <w:sz w:val="16"/>
                <w:szCs w:val="16"/>
                <w:lang w:val="en-US"/>
              </w:rPr>
            </w:pPr>
            <w:r w:rsidRPr="00D655A4">
              <w:rPr>
                <w:rFonts w:eastAsia="Times New Roman" w:cs="Times New Roman"/>
                <w:i/>
                <w:iCs/>
                <w:color w:val="62B5E5"/>
                <w:sz w:val="16"/>
                <w:szCs w:val="16"/>
                <w:lang w:val="en-US"/>
              </w:rPr>
              <w:t>Med</w:t>
            </w:r>
          </w:p>
        </w:tc>
        <w:tc>
          <w:tcPr>
            <w:tcW w:w="888" w:type="dxa"/>
            <w:tcBorders>
              <w:top w:val="nil"/>
              <w:left w:val="single" w:sz="4" w:space="0" w:color="000000" w:themeColor="text1"/>
              <w:bottom w:val="single" w:sz="4" w:space="0" w:color="auto"/>
              <w:right w:val="nil"/>
            </w:tcBorders>
            <w:vAlign w:val="center"/>
          </w:tcPr>
          <w:p w14:paraId="30479B67" w14:textId="77E691A2" w:rsidR="000E3A77" w:rsidRPr="00D655A4" w:rsidRDefault="000E3A77" w:rsidP="000E3A77">
            <w:pPr>
              <w:keepNext/>
              <w:keepLines/>
              <w:spacing w:after="0" w:line="240" w:lineRule="auto"/>
              <w:jc w:val="center"/>
              <w:rPr>
                <w:rFonts w:eastAsia="Times New Roman" w:cs="Times New Roman"/>
                <w:i/>
                <w:iCs/>
                <w:color w:val="62B5E5"/>
                <w:sz w:val="16"/>
                <w:szCs w:val="16"/>
                <w:lang w:val="en-US"/>
              </w:rPr>
            </w:pPr>
            <w:r w:rsidRPr="00D655A4">
              <w:rPr>
                <w:rFonts w:eastAsia="Times New Roman" w:cs="Times New Roman"/>
                <w:i/>
                <w:iCs/>
                <w:color w:val="62B5E5"/>
                <w:sz w:val="16"/>
                <w:szCs w:val="16"/>
                <w:lang w:val="en-US"/>
              </w:rPr>
              <w:t>Mean</w:t>
            </w:r>
          </w:p>
        </w:tc>
        <w:tc>
          <w:tcPr>
            <w:tcW w:w="887" w:type="dxa"/>
            <w:tcBorders>
              <w:top w:val="nil"/>
              <w:left w:val="nil"/>
              <w:bottom w:val="single" w:sz="4" w:space="0" w:color="auto"/>
              <w:right w:val="nil"/>
            </w:tcBorders>
          </w:tcPr>
          <w:p w14:paraId="7198DA58" w14:textId="42594289" w:rsidR="000E3A77" w:rsidRPr="00D655A4" w:rsidRDefault="000E3A77" w:rsidP="000E3A77">
            <w:pPr>
              <w:keepNext/>
              <w:keepLines/>
              <w:spacing w:after="0" w:line="240" w:lineRule="auto"/>
              <w:jc w:val="center"/>
              <w:rPr>
                <w:rFonts w:eastAsia="Times New Roman" w:cs="Times New Roman"/>
                <w:i/>
                <w:iCs/>
                <w:color w:val="62B5E5"/>
                <w:sz w:val="16"/>
                <w:szCs w:val="16"/>
                <w:lang w:val="en-US"/>
              </w:rPr>
            </w:pPr>
            <w:r w:rsidRPr="00D655A4">
              <w:rPr>
                <w:rFonts w:eastAsia="Times New Roman" w:cs="Times New Roman"/>
                <w:i/>
                <w:iCs/>
                <w:color w:val="62B5E5"/>
                <w:sz w:val="16"/>
                <w:szCs w:val="16"/>
                <w:lang w:val="en-US"/>
              </w:rPr>
              <w:t>WM</w:t>
            </w:r>
          </w:p>
        </w:tc>
        <w:tc>
          <w:tcPr>
            <w:tcW w:w="888" w:type="dxa"/>
            <w:tcBorders>
              <w:top w:val="nil"/>
              <w:left w:val="nil"/>
              <w:bottom w:val="single" w:sz="4" w:space="0" w:color="auto"/>
              <w:right w:val="single" w:sz="4" w:space="0" w:color="000000" w:themeColor="text1"/>
            </w:tcBorders>
            <w:shd w:val="clear" w:color="auto" w:fill="auto"/>
            <w:vAlign w:val="center"/>
          </w:tcPr>
          <w:p w14:paraId="04804DB4" w14:textId="755A65DF" w:rsidR="000E3A77" w:rsidRPr="00D655A4" w:rsidRDefault="000E3A77" w:rsidP="000E3A77">
            <w:pPr>
              <w:keepNext/>
              <w:keepLines/>
              <w:spacing w:after="0" w:line="240" w:lineRule="auto"/>
              <w:jc w:val="center"/>
              <w:rPr>
                <w:rFonts w:eastAsia="Times New Roman" w:cs="Times New Roman"/>
                <w:i/>
                <w:iCs/>
                <w:color w:val="62B5E5"/>
                <w:sz w:val="16"/>
                <w:szCs w:val="16"/>
                <w:lang w:val="en-US"/>
              </w:rPr>
            </w:pPr>
            <w:r w:rsidRPr="00D655A4">
              <w:rPr>
                <w:rFonts w:eastAsia="Times New Roman" w:cs="Times New Roman"/>
                <w:i/>
                <w:iCs/>
                <w:color w:val="62B5E5"/>
                <w:sz w:val="16"/>
                <w:szCs w:val="16"/>
                <w:lang w:val="en-US"/>
              </w:rPr>
              <w:t>Med</w:t>
            </w:r>
          </w:p>
        </w:tc>
        <w:tc>
          <w:tcPr>
            <w:tcW w:w="887" w:type="dxa"/>
            <w:tcBorders>
              <w:top w:val="nil"/>
              <w:left w:val="single" w:sz="4" w:space="0" w:color="000000" w:themeColor="text1"/>
              <w:bottom w:val="single" w:sz="4" w:space="0" w:color="auto"/>
              <w:right w:val="nil"/>
            </w:tcBorders>
            <w:vAlign w:val="center"/>
          </w:tcPr>
          <w:p w14:paraId="61031810" w14:textId="71ACDE9B" w:rsidR="000E3A77" w:rsidRPr="00D655A4" w:rsidRDefault="000E3A77" w:rsidP="000E3A77">
            <w:pPr>
              <w:keepNext/>
              <w:keepLines/>
              <w:spacing w:after="0" w:line="240" w:lineRule="auto"/>
              <w:jc w:val="center"/>
              <w:rPr>
                <w:rFonts w:eastAsia="Times New Roman" w:cs="Times New Roman"/>
                <w:i/>
                <w:iCs/>
                <w:color w:val="62B5E5"/>
                <w:sz w:val="16"/>
                <w:szCs w:val="16"/>
                <w:lang w:val="en-US"/>
              </w:rPr>
            </w:pPr>
            <w:r w:rsidRPr="00D655A4">
              <w:rPr>
                <w:rFonts w:eastAsia="Times New Roman" w:cs="Times New Roman"/>
                <w:i/>
                <w:iCs/>
                <w:color w:val="62B5E5"/>
                <w:sz w:val="16"/>
                <w:szCs w:val="16"/>
                <w:lang w:val="en-US"/>
              </w:rPr>
              <w:t>Mean</w:t>
            </w:r>
          </w:p>
        </w:tc>
        <w:tc>
          <w:tcPr>
            <w:tcW w:w="888" w:type="dxa"/>
            <w:tcBorders>
              <w:top w:val="nil"/>
              <w:left w:val="nil"/>
              <w:bottom w:val="single" w:sz="4" w:space="0" w:color="auto"/>
              <w:right w:val="nil"/>
            </w:tcBorders>
          </w:tcPr>
          <w:p w14:paraId="781E0CD5" w14:textId="0123B2D0" w:rsidR="000E3A77" w:rsidRPr="00D655A4" w:rsidRDefault="000E3A77" w:rsidP="000E3A77">
            <w:pPr>
              <w:keepNext/>
              <w:keepLines/>
              <w:spacing w:after="0" w:line="240" w:lineRule="auto"/>
              <w:jc w:val="center"/>
              <w:rPr>
                <w:rFonts w:eastAsia="Times New Roman" w:cs="Times New Roman"/>
                <w:i/>
                <w:iCs/>
                <w:color w:val="62B5E5"/>
                <w:sz w:val="16"/>
                <w:szCs w:val="16"/>
                <w:lang w:val="en-US"/>
              </w:rPr>
            </w:pPr>
            <w:r w:rsidRPr="00D655A4">
              <w:rPr>
                <w:rFonts w:eastAsia="Times New Roman" w:cs="Times New Roman"/>
                <w:i/>
                <w:iCs/>
                <w:color w:val="62B5E5"/>
                <w:sz w:val="16"/>
                <w:szCs w:val="16"/>
                <w:lang w:val="en-US"/>
              </w:rPr>
              <w:t>WM</w:t>
            </w:r>
          </w:p>
        </w:tc>
        <w:tc>
          <w:tcPr>
            <w:tcW w:w="888" w:type="dxa"/>
            <w:tcBorders>
              <w:top w:val="nil"/>
              <w:left w:val="nil"/>
              <w:bottom w:val="single" w:sz="4" w:space="0" w:color="auto"/>
              <w:right w:val="nil"/>
            </w:tcBorders>
            <w:shd w:val="clear" w:color="auto" w:fill="auto"/>
            <w:vAlign w:val="center"/>
          </w:tcPr>
          <w:p w14:paraId="4931AA70" w14:textId="518F8A89" w:rsidR="000E3A77" w:rsidRPr="00D655A4" w:rsidRDefault="000E3A77" w:rsidP="000E3A77">
            <w:pPr>
              <w:keepNext/>
              <w:keepLines/>
              <w:spacing w:after="0" w:line="240" w:lineRule="auto"/>
              <w:jc w:val="center"/>
              <w:rPr>
                <w:rFonts w:eastAsia="Times New Roman" w:cs="Times New Roman"/>
                <w:i/>
                <w:iCs/>
                <w:color w:val="62B5E5"/>
                <w:sz w:val="16"/>
                <w:szCs w:val="16"/>
                <w:lang w:val="en-US"/>
              </w:rPr>
            </w:pPr>
            <w:r w:rsidRPr="00D655A4">
              <w:rPr>
                <w:rFonts w:eastAsia="Times New Roman" w:cs="Times New Roman"/>
                <w:i/>
                <w:iCs/>
                <w:color w:val="62B5E5"/>
                <w:sz w:val="16"/>
                <w:szCs w:val="16"/>
                <w:lang w:val="en-US"/>
              </w:rPr>
              <w:t>Med</w:t>
            </w:r>
          </w:p>
        </w:tc>
      </w:tr>
      <w:tr w:rsidR="00D655A4" w:rsidRPr="008E3BA6" w14:paraId="42CEAEDB" w14:textId="77777777" w:rsidTr="00D655A4">
        <w:trPr>
          <w:trHeight w:val="261"/>
        </w:trPr>
        <w:tc>
          <w:tcPr>
            <w:tcW w:w="1038" w:type="dxa"/>
            <w:tcBorders>
              <w:top w:val="single" w:sz="4" w:space="0" w:color="auto"/>
              <w:left w:val="nil"/>
              <w:bottom w:val="single" w:sz="4" w:space="0" w:color="auto"/>
              <w:right w:val="single" w:sz="4" w:space="0" w:color="000000" w:themeColor="text1"/>
            </w:tcBorders>
            <w:shd w:val="clear" w:color="auto" w:fill="auto"/>
            <w:vAlign w:val="center"/>
            <w:hideMark/>
          </w:tcPr>
          <w:p w14:paraId="52ADE982" w14:textId="77777777" w:rsidR="00CD5F1B" w:rsidRPr="00D655A4" w:rsidRDefault="00CD5F1B" w:rsidP="00CD5F1B">
            <w:pPr>
              <w:keepNext/>
              <w:keepLines/>
              <w:spacing w:after="0" w:line="240" w:lineRule="auto"/>
              <w:rPr>
                <w:rFonts w:eastAsia="Times New Roman" w:cs="Times New Roman"/>
                <w:color w:val="000000"/>
                <w:sz w:val="16"/>
                <w:szCs w:val="16"/>
                <w:lang w:val="en-US"/>
              </w:rPr>
            </w:pPr>
            <w:r w:rsidRPr="00D655A4">
              <w:rPr>
                <w:rFonts w:eastAsia="Times New Roman" w:cs="Times New Roman"/>
                <w:color w:val="000000"/>
                <w:sz w:val="16"/>
                <w:szCs w:val="16"/>
                <w:lang w:val="en-US"/>
              </w:rPr>
              <w:t>Weekday</w:t>
            </w:r>
          </w:p>
        </w:tc>
        <w:tc>
          <w:tcPr>
            <w:tcW w:w="887" w:type="dxa"/>
            <w:tcBorders>
              <w:top w:val="single" w:sz="4" w:space="0" w:color="auto"/>
              <w:left w:val="single" w:sz="4" w:space="0" w:color="000000" w:themeColor="text1"/>
              <w:bottom w:val="single" w:sz="4" w:space="0" w:color="auto"/>
              <w:right w:val="nil"/>
            </w:tcBorders>
            <w:vAlign w:val="center"/>
          </w:tcPr>
          <w:p w14:paraId="02CCB94B" w14:textId="6EE9015B" w:rsidR="00CD5F1B" w:rsidRPr="00D655A4" w:rsidRDefault="00CD5F1B" w:rsidP="00115227">
            <w:pPr>
              <w:keepNext/>
              <w:keepLines/>
              <w:spacing w:after="0" w:line="240" w:lineRule="auto"/>
              <w:jc w:val="center"/>
              <w:rPr>
                <w:rFonts w:eastAsia="Times New Roman" w:cs="Times New Roman"/>
                <w:color w:val="000000"/>
                <w:sz w:val="16"/>
                <w:szCs w:val="16"/>
                <w:lang w:val="en-US"/>
              </w:rPr>
            </w:pPr>
            <w:r w:rsidRPr="00D655A4">
              <w:rPr>
                <w:rFonts w:eastAsia="Times New Roman" w:cs="Times New Roman"/>
                <w:color w:val="000000"/>
                <w:sz w:val="16"/>
                <w:szCs w:val="16"/>
                <w:lang w:val="en-US"/>
              </w:rPr>
              <w:t>0%</w:t>
            </w:r>
          </w:p>
        </w:tc>
        <w:tc>
          <w:tcPr>
            <w:tcW w:w="888" w:type="dxa"/>
            <w:tcBorders>
              <w:top w:val="nil"/>
              <w:left w:val="nil"/>
              <w:bottom w:val="single" w:sz="8" w:space="0" w:color="000000"/>
              <w:right w:val="nil"/>
            </w:tcBorders>
            <w:shd w:val="clear" w:color="auto" w:fill="auto"/>
            <w:vAlign w:val="center"/>
          </w:tcPr>
          <w:p w14:paraId="35756497" w14:textId="3674F901"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color w:val="000000"/>
                <w:sz w:val="16"/>
                <w:szCs w:val="16"/>
              </w:rPr>
              <w:t>0%</w:t>
            </w:r>
          </w:p>
        </w:tc>
        <w:tc>
          <w:tcPr>
            <w:tcW w:w="887" w:type="dxa"/>
            <w:tcBorders>
              <w:top w:val="nil"/>
              <w:left w:val="nil"/>
              <w:bottom w:val="single" w:sz="8" w:space="0" w:color="000000"/>
              <w:right w:val="single" w:sz="4" w:space="0" w:color="auto"/>
            </w:tcBorders>
            <w:shd w:val="clear" w:color="auto" w:fill="auto"/>
            <w:vAlign w:val="center"/>
          </w:tcPr>
          <w:p w14:paraId="10B8645A" w14:textId="40816205"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color w:val="000000"/>
                <w:sz w:val="16"/>
                <w:szCs w:val="16"/>
              </w:rPr>
              <w:t>0%</w:t>
            </w:r>
          </w:p>
        </w:tc>
        <w:tc>
          <w:tcPr>
            <w:tcW w:w="888" w:type="dxa"/>
            <w:tcBorders>
              <w:top w:val="single" w:sz="4" w:space="0" w:color="auto"/>
              <w:left w:val="single" w:sz="4" w:space="0" w:color="000000" w:themeColor="text1"/>
              <w:bottom w:val="single" w:sz="4" w:space="0" w:color="auto"/>
              <w:right w:val="nil"/>
            </w:tcBorders>
            <w:vAlign w:val="center"/>
          </w:tcPr>
          <w:p w14:paraId="1F8F8740" w14:textId="636DDD59"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rFonts w:eastAsia="Times New Roman" w:cs="Times New Roman"/>
                <w:color w:val="000000"/>
                <w:sz w:val="16"/>
                <w:szCs w:val="16"/>
                <w:lang w:val="en-US"/>
              </w:rPr>
              <w:t>24%</w:t>
            </w:r>
          </w:p>
        </w:tc>
        <w:tc>
          <w:tcPr>
            <w:tcW w:w="887" w:type="dxa"/>
            <w:tcBorders>
              <w:top w:val="single" w:sz="4" w:space="0" w:color="auto"/>
              <w:left w:val="nil"/>
              <w:bottom w:val="single" w:sz="4" w:space="0" w:color="auto"/>
              <w:right w:val="nil"/>
            </w:tcBorders>
            <w:vAlign w:val="center"/>
          </w:tcPr>
          <w:p w14:paraId="7F6BFD84" w14:textId="254299A5"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26%</w:t>
            </w:r>
          </w:p>
        </w:tc>
        <w:tc>
          <w:tcPr>
            <w:tcW w:w="888" w:type="dxa"/>
            <w:tcBorders>
              <w:top w:val="single" w:sz="4" w:space="0" w:color="auto"/>
              <w:left w:val="nil"/>
              <w:bottom w:val="single" w:sz="4" w:space="0" w:color="auto"/>
              <w:right w:val="single" w:sz="4" w:space="0" w:color="000000" w:themeColor="text1"/>
            </w:tcBorders>
            <w:shd w:val="clear" w:color="auto" w:fill="auto"/>
            <w:vAlign w:val="center"/>
          </w:tcPr>
          <w:p w14:paraId="0CEE7F14" w14:textId="070D05DE"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25%</w:t>
            </w:r>
          </w:p>
        </w:tc>
        <w:tc>
          <w:tcPr>
            <w:tcW w:w="887" w:type="dxa"/>
            <w:tcBorders>
              <w:top w:val="single" w:sz="4" w:space="0" w:color="auto"/>
              <w:left w:val="single" w:sz="4" w:space="0" w:color="000000" w:themeColor="text1"/>
              <w:bottom w:val="single" w:sz="4" w:space="0" w:color="auto"/>
              <w:right w:val="nil"/>
            </w:tcBorders>
            <w:vAlign w:val="center"/>
          </w:tcPr>
          <w:p w14:paraId="2F87D468" w14:textId="0FE4DC78"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rFonts w:eastAsia="Times New Roman" w:cs="Times New Roman"/>
                <w:color w:val="000000"/>
                <w:sz w:val="16"/>
                <w:szCs w:val="16"/>
                <w:lang w:val="en-US"/>
              </w:rPr>
              <w:t>24%</w:t>
            </w:r>
          </w:p>
        </w:tc>
        <w:tc>
          <w:tcPr>
            <w:tcW w:w="888" w:type="dxa"/>
            <w:tcBorders>
              <w:top w:val="single" w:sz="4" w:space="0" w:color="auto"/>
              <w:left w:val="nil"/>
              <w:bottom w:val="single" w:sz="4" w:space="0" w:color="auto"/>
              <w:right w:val="nil"/>
            </w:tcBorders>
            <w:vAlign w:val="center"/>
          </w:tcPr>
          <w:p w14:paraId="38E3A3FE" w14:textId="392DCD9D"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26%</w:t>
            </w:r>
          </w:p>
        </w:tc>
        <w:tc>
          <w:tcPr>
            <w:tcW w:w="888" w:type="dxa"/>
            <w:tcBorders>
              <w:top w:val="single" w:sz="4" w:space="0" w:color="auto"/>
              <w:left w:val="nil"/>
              <w:bottom w:val="single" w:sz="4" w:space="0" w:color="auto"/>
              <w:right w:val="nil"/>
            </w:tcBorders>
            <w:shd w:val="clear" w:color="auto" w:fill="auto"/>
            <w:vAlign w:val="center"/>
          </w:tcPr>
          <w:p w14:paraId="348DE674" w14:textId="2D35C9C4"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25%</w:t>
            </w:r>
          </w:p>
        </w:tc>
      </w:tr>
      <w:tr w:rsidR="00D655A4" w:rsidRPr="008E3BA6" w14:paraId="1669A078" w14:textId="77777777" w:rsidTr="00D655A4">
        <w:trPr>
          <w:trHeight w:val="280"/>
        </w:trPr>
        <w:tc>
          <w:tcPr>
            <w:tcW w:w="1038" w:type="dxa"/>
            <w:tcBorders>
              <w:top w:val="single" w:sz="4" w:space="0" w:color="auto"/>
              <w:left w:val="nil"/>
              <w:bottom w:val="single" w:sz="4" w:space="0" w:color="auto"/>
              <w:right w:val="single" w:sz="4" w:space="0" w:color="000000" w:themeColor="text1"/>
            </w:tcBorders>
            <w:shd w:val="clear" w:color="auto" w:fill="auto"/>
            <w:vAlign w:val="center"/>
            <w:hideMark/>
          </w:tcPr>
          <w:p w14:paraId="0E16E2AD" w14:textId="77777777" w:rsidR="00CD5F1B" w:rsidRPr="00D655A4" w:rsidRDefault="00CD5F1B" w:rsidP="00CD5F1B">
            <w:pPr>
              <w:keepNext/>
              <w:keepLines/>
              <w:spacing w:after="0" w:line="240" w:lineRule="auto"/>
              <w:rPr>
                <w:rFonts w:eastAsia="Times New Roman" w:cs="Times New Roman"/>
                <w:color w:val="000000"/>
                <w:sz w:val="16"/>
                <w:szCs w:val="16"/>
                <w:lang w:val="en-US"/>
              </w:rPr>
            </w:pPr>
            <w:r w:rsidRPr="00D655A4">
              <w:rPr>
                <w:rFonts w:eastAsia="Times New Roman" w:cs="Times New Roman"/>
                <w:color w:val="000000"/>
                <w:sz w:val="16"/>
                <w:szCs w:val="16"/>
                <w:lang w:val="en-US"/>
              </w:rPr>
              <w:t>Saturday</w:t>
            </w:r>
          </w:p>
        </w:tc>
        <w:tc>
          <w:tcPr>
            <w:tcW w:w="887" w:type="dxa"/>
            <w:tcBorders>
              <w:top w:val="single" w:sz="4" w:space="0" w:color="auto"/>
              <w:left w:val="single" w:sz="4" w:space="0" w:color="000000" w:themeColor="text1"/>
              <w:bottom w:val="single" w:sz="4" w:space="0" w:color="auto"/>
              <w:right w:val="nil"/>
            </w:tcBorders>
            <w:vAlign w:val="center"/>
          </w:tcPr>
          <w:p w14:paraId="21984665" w14:textId="7BE5E32F" w:rsidR="00CD5F1B" w:rsidRPr="00D655A4" w:rsidRDefault="00CD5F1B" w:rsidP="00115227">
            <w:pPr>
              <w:keepNext/>
              <w:keepLines/>
              <w:spacing w:after="0" w:line="240" w:lineRule="auto"/>
              <w:jc w:val="center"/>
              <w:rPr>
                <w:rFonts w:eastAsia="Times New Roman" w:cs="Times New Roman"/>
                <w:color w:val="000000"/>
                <w:sz w:val="16"/>
                <w:szCs w:val="16"/>
                <w:lang w:val="en-US"/>
              </w:rPr>
            </w:pPr>
            <w:r w:rsidRPr="00D655A4">
              <w:rPr>
                <w:rFonts w:eastAsia="Times New Roman" w:cs="Times New Roman"/>
                <w:color w:val="000000"/>
                <w:sz w:val="16"/>
                <w:szCs w:val="16"/>
                <w:lang w:val="en-US"/>
              </w:rPr>
              <w:t>48%</w:t>
            </w:r>
          </w:p>
        </w:tc>
        <w:tc>
          <w:tcPr>
            <w:tcW w:w="888" w:type="dxa"/>
            <w:tcBorders>
              <w:top w:val="nil"/>
              <w:left w:val="nil"/>
              <w:bottom w:val="single" w:sz="8" w:space="0" w:color="000000"/>
              <w:right w:val="nil"/>
            </w:tcBorders>
            <w:shd w:val="clear" w:color="auto" w:fill="auto"/>
            <w:vAlign w:val="center"/>
          </w:tcPr>
          <w:p w14:paraId="311BB0FD" w14:textId="3E9A3EAC"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color w:val="000000"/>
                <w:sz w:val="16"/>
                <w:szCs w:val="16"/>
              </w:rPr>
              <w:t>50%</w:t>
            </w:r>
          </w:p>
        </w:tc>
        <w:tc>
          <w:tcPr>
            <w:tcW w:w="887" w:type="dxa"/>
            <w:tcBorders>
              <w:top w:val="nil"/>
              <w:left w:val="nil"/>
              <w:bottom w:val="single" w:sz="8" w:space="0" w:color="000000"/>
              <w:right w:val="single" w:sz="4" w:space="0" w:color="auto"/>
            </w:tcBorders>
            <w:shd w:val="clear" w:color="auto" w:fill="auto"/>
            <w:vAlign w:val="center"/>
          </w:tcPr>
          <w:p w14:paraId="3620AA3F" w14:textId="3E6312B1"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color w:val="000000"/>
                <w:sz w:val="16"/>
                <w:szCs w:val="16"/>
              </w:rPr>
              <w:t>50%</w:t>
            </w:r>
          </w:p>
        </w:tc>
        <w:tc>
          <w:tcPr>
            <w:tcW w:w="888" w:type="dxa"/>
            <w:tcBorders>
              <w:top w:val="single" w:sz="4" w:space="0" w:color="auto"/>
              <w:left w:val="single" w:sz="4" w:space="0" w:color="000000" w:themeColor="text1"/>
              <w:bottom w:val="single" w:sz="4" w:space="0" w:color="auto"/>
              <w:right w:val="nil"/>
            </w:tcBorders>
            <w:vAlign w:val="center"/>
          </w:tcPr>
          <w:p w14:paraId="0910B033" w14:textId="08D195F2"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rFonts w:eastAsia="Times New Roman" w:cs="Times New Roman"/>
                <w:color w:val="000000"/>
                <w:sz w:val="16"/>
                <w:szCs w:val="16"/>
                <w:lang w:val="en-US"/>
              </w:rPr>
              <w:t>50%</w:t>
            </w:r>
          </w:p>
        </w:tc>
        <w:tc>
          <w:tcPr>
            <w:tcW w:w="887" w:type="dxa"/>
            <w:tcBorders>
              <w:top w:val="single" w:sz="4" w:space="0" w:color="auto"/>
              <w:left w:val="nil"/>
              <w:bottom w:val="single" w:sz="4" w:space="0" w:color="auto"/>
              <w:right w:val="nil"/>
            </w:tcBorders>
            <w:vAlign w:val="center"/>
          </w:tcPr>
          <w:p w14:paraId="6C7F9957" w14:textId="19A6DA19"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51%</w:t>
            </w:r>
          </w:p>
        </w:tc>
        <w:tc>
          <w:tcPr>
            <w:tcW w:w="888" w:type="dxa"/>
            <w:tcBorders>
              <w:top w:val="single" w:sz="4" w:space="0" w:color="auto"/>
              <w:left w:val="nil"/>
              <w:bottom w:val="single" w:sz="4" w:space="0" w:color="auto"/>
              <w:right w:val="single" w:sz="4" w:space="0" w:color="000000" w:themeColor="text1"/>
            </w:tcBorders>
            <w:shd w:val="clear" w:color="auto" w:fill="auto"/>
            <w:vAlign w:val="center"/>
          </w:tcPr>
          <w:p w14:paraId="1E2FF9D9" w14:textId="3109B501"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50%</w:t>
            </w:r>
          </w:p>
        </w:tc>
        <w:tc>
          <w:tcPr>
            <w:tcW w:w="887" w:type="dxa"/>
            <w:tcBorders>
              <w:top w:val="single" w:sz="4" w:space="0" w:color="auto"/>
              <w:left w:val="single" w:sz="4" w:space="0" w:color="000000" w:themeColor="text1"/>
              <w:bottom w:val="single" w:sz="4" w:space="0" w:color="auto"/>
              <w:right w:val="nil"/>
            </w:tcBorders>
            <w:vAlign w:val="center"/>
          </w:tcPr>
          <w:p w14:paraId="0FB6272F" w14:textId="59EA9A52"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rFonts w:eastAsia="Times New Roman" w:cs="Times New Roman"/>
                <w:color w:val="000000"/>
                <w:sz w:val="16"/>
                <w:szCs w:val="16"/>
                <w:lang w:val="en-US"/>
              </w:rPr>
              <w:t>2%</w:t>
            </w:r>
          </w:p>
        </w:tc>
        <w:tc>
          <w:tcPr>
            <w:tcW w:w="888" w:type="dxa"/>
            <w:tcBorders>
              <w:top w:val="single" w:sz="4" w:space="0" w:color="auto"/>
              <w:left w:val="nil"/>
              <w:bottom w:val="single" w:sz="4" w:space="0" w:color="auto"/>
              <w:right w:val="nil"/>
            </w:tcBorders>
            <w:vAlign w:val="center"/>
          </w:tcPr>
          <w:p w14:paraId="5F91C1D4" w14:textId="335AE99A" w:rsidR="00CD5F1B" w:rsidRPr="00D655A4" w:rsidRDefault="00A7378B">
            <w:pPr>
              <w:keepNext/>
              <w:keepLines/>
              <w:spacing w:after="0" w:line="240" w:lineRule="auto"/>
              <w:jc w:val="center"/>
              <w:rPr>
                <w:rFonts w:eastAsia="Times New Roman" w:cs="Times New Roman"/>
                <w:color w:val="000000"/>
                <w:sz w:val="16"/>
                <w:szCs w:val="16"/>
                <w:lang w:val="en-US"/>
              </w:rPr>
            </w:pPr>
            <w:r w:rsidRPr="00D655A4">
              <w:rPr>
                <w:sz w:val="16"/>
                <w:szCs w:val="16"/>
              </w:rPr>
              <w:t>1</w:t>
            </w:r>
            <w:r w:rsidR="00CD5F1B" w:rsidRPr="00D655A4">
              <w:rPr>
                <w:sz w:val="16"/>
                <w:szCs w:val="16"/>
              </w:rPr>
              <w:t>%</w:t>
            </w:r>
          </w:p>
        </w:tc>
        <w:tc>
          <w:tcPr>
            <w:tcW w:w="888" w:type="dxa"/>
            <w:tcBorders>
              <w:top w:val="single" w:sz="4" w:space="0" w:color="auto"/>
              <w:left w:val="nil"/>
              <w:bottom w:val="single" w:sz="4" w:space="0" w:color="auto"/>
              <w:right w:val="nil"/>
            </w:tcBorders>
            <w:shd w:val="clear" w:color="auto" w:fill="auto"/>
            <w:vAlign w:val="center"/>
          </w:tcPr>
          <w:p w14:paraId="3190ADD5" w14:textId="67F40F41"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0%</w:t>
            </w:r>
          </w:p>
        </w:tc>
      </w:tr>
      <w:tr w:rsidR="00D655A4" w:rsidRPr="008E3BA6" w14:paraId="17588DDB" w14:textId="77777777" w:rsidTr="00D655A4">
        <w:trPr>
          <w:trHeight w:val="269"/>
        </w:trPr>
        <w:tc>
          <w:tcPr>
            <w:tcW w:w="1038" w:type="dxa"/>
            <w:tcBorders>
              <w:top w:val="single" w:sz="4" w:space="0" w:color="auto"/>
              <w:left w:val="nil"/>
              <w:bottom w:val="single" w:sz="4" w:space="0" w:color="auto"/>
              <w:right w:val="single" w:sz="4" w:space="0" w:color="000000" w:themeColor="text1"/>
            </w:tcBorders>
            <w:shd w:val="clear" w:color="auto" w:fill="auto"/>
            <w:vAlign w:val="center"/>
            <w:hideMark/>
          </w:tcPr>
          <w:p w14:paraId="6D3DD822" w14:textId="77777777" w:rsidR="00CD5F1B" w:rsidRPr="00D655A4" w:rsidRDefault="00CD5F1B" w:rsidP="00CD5F1B">
            <w:pPr>
              <w:keepNext/>
              <w:keepLines/>
              <w:spacing w:after="0" w:line="240" w:lineRule="auto"/>
              <w:rPr>
                <w:rFonts w:eastAsia="Times New Roman" w:cs="Times New Roman"/>
                <w:color w:val="000000"/>
                <w:sz w:val="16"/>
                <w:szCs w:val="16"/>
                <w:lang w:val="en-US"/>
              </w:rPr>
            </w:pPr>
            <w:r w:rsidRPr="00D655A4">
              <w:rPr>
                <w:rFonts w:eastAsia="Times New Roman" w:cs="Times New Roman"/>
                <w:color w:val="000000"/>
                <w:sz w:val="16"/>
                <w:szCs w:val="16"/>
                <w:lang w:val="en-US"/>
              </w:rPr>
              <w:t>Sunday</w:t>
            </w:r>
          </w:p>
        </w:tc>
        <w:tc>
          <w:tcPr>
            <w:tcW w:w="887" w:type="dxa"/>
            <w:tcBorders>
              <w:top w:val="single" w:sz="4" w:space="0" w:color="auto"/>
              <w:left w:val="single" w:sz="4" w:space="0" w:color="000000" w:themeColor="text1"/>
              <w:bottom w:val="single" w:sz="4" w:space="0" w:color="auto"/>
              <w:right w:val="nil"/>
            </w:tcBorders>
            <w:vAlign w:val="center"/>
          </w:tcPr>
          <w:p w14:paraId="55A9730F" w14:textId="3D498E44" w:rsidR="00CD5F1B" w:rsidRPr="00D655A4" w:rsidRDefault="00CD5F1B" w:rsidP="00115227">
            <w:pPr>
              <w:keepNext/>
              <w:keepLines/>
              <w:spacing w:after="0" w:line="240" w:lineRule="auto"/>
              <w:jc w:val="center"/>
              <w:rPr>
                <w:rFonts w:eastAsia="Times New Roman" w:cs="Times New Roman"/>
                <w:color w:val="000000"/>
                <w:sz w:val="16"/>
                <w:szCs w:val="16"/>
                <w:lang w:val="en-US"/>
              </w:rPr>
            </w:pPr>
            <w:r w:rsidRPr="00D655A4">
              <w:rPr>
                <w:rFonts w:eastAsia="Times New Roman" w:cs="Times New Roman"/>
                <w:color w:val="000000"/>
                <w:sz w:val="16"/>
                <w:szCs w:val="16"/>
                <w:lang w:val="en-US"/>
              </w:rPr>
              <w:t>92%</w:t>
            </w:r>
          </w:p>
        </w:tc>
        <w:tc>
          <w:tcPr>
            <w:tcW w:w="888" w:type="dxa"/>
            <w:tcBorders>
              <w:top w:val="nil"/>
              <w:left w:val="nil"/>
              <w:bottom w:val="single" w:sz="8" w:space="0" w:color="000000"/>
              <w:right w:val="nil"/>
            </w:tcBorders>
            <w:shd w:val="clear" w:color="auto" w:fill="auto"/>
            <w:vAlign w:val="center"/>
          </w:tcPr>
          <w:p w14:paraId="6FDA54F2" w14:textId="79D0F1B4"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color w:val="000000"/>
                <w:sz w:val="16"/>
                <w:szCs w:val="16"/>
              </w:rPr>
              <w:t>95%</w:t>
            </w:r>
          </w:p>
        </w:tc>
        <w:tc>
          <w:tcPr>
            <w:tcW w:w="887" w:type="dxa"/>
            <w:tcBorders>
              <w:top w:val="nil"/>
              <w:left w:val="nil"/>
              <w:bottom w:val="single" w:sz="8" w:space="0" w:color="000000"/>
              <w:right w:val="single" w:sz="4" w:space="0" w:color="auto"/>
            </w:tcBorders>
            <w:shd w:val="clear" w:color="auto" w:fill="auto"/>
            <w:vAlign w:val="center"/>
          </w:tcPr>
          <w:p w14:paraId="59A9AFCD" w14:textId="5FD58BB0"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color w:val="000000"/>
                <w:sz w:val="16"/>
                <w:szCs w:val="16"/>
              </w:rPr>
              <w:t>91%</w:t>
            </w:r>
          </w:p>
        </w:tc>
        <w:tc>
          <w:tcPr>
            <w:tcW w:w="888" w:type="dxa"/>
            <w:tcBorders>
              <w:top w:val="single" w:sz="4" w:space="0" w:color="auto"/>
              <w:left w:val="single" w:sz="4" w:space="0" w:color="000000" w:themeColor="text1"/>
              <w:bottom w:val="single" w:sz="4" w:space="0" w:color="auto"/>
              <w:right w:val="nil"/>
            </w:tcBorders>
            <w:vAlign w:val="center"/>
          </w:tcPr>
          <w:p w14:paraId="69E60A70" w14:textId="6B722CFE"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rFonts w:eastAsia="Times New Roman" w:cs="Times New Roman"/>
                <w:color w:val="000000"/>
                <w:sz w:val="16"/>
                <w:szCs w:val="16"/>
                <w:lang w:val="en-US"/>
              </w:rPr>
              <w:t>93%</w:t>
            </w:r>
          </w:p>
        </w:tc>
        <w:tc>
          <w:tcPr>
            <w:tcW w:w="887" w:type="dxa"/>
            <w:tcBorders>
              <w:top w:val="single" w:sz="4" w:space="0" w:color="auto"/>
              <w:left w:val="nil"/>
              <w:bottom w:val="single" w:sz="4" w:space="0" w:color="auto"/>
              <w:right w:val="nil"/>
            </w:tcBorders>
            <w:vAlign w:val="center"/>
          </w:tcPr>
          <w:p w14:paraId="2A13425B" w14:textId="5C71C73C"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95%</w:t>
            </w:r>
          </w:p>
        </w:tc>
        <w:tc>
          <w:tcPr>
            <w:tcW w:w="888" w:type="dxa"/>
            <w:tcBorders>
              <w:top w:val="single" w:sz="4" w:space="0" w:color="auto"/>
              <w:left w:val="nil"/>
              <w:bottom w:val="single" w:sz="4" w:space="0" w:color="auto"/>
              <w:right w:val="single" w:sz="4" w:space="0" w:color="000000" w:themeColor="text1"/>
            </w:tcBorders>
            <w:shd w:val="clear" w:color="auto" w:fill="auto"/>
            <w:vAlign w:val="center"/>
          </w:tcPr>
          <w:p w14:paraId="5DCA3A71" w14:textId="13F51F28"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94%</w:t>
            </w:r>
          </w:p>
        </w:tc>
        <w:tc>
          <w:tcPr>
            <w:tcW w:w="887" w:type="dxa"/>
            <w:tcBorders>
              <w:top w:val="single" w:sz="4" w:space="0" w:color="auto"/>
              <w:left w:val="single" w:sz="4" w:space="0" w:color="000000" w:themeColor="text1"/>
              <w:bottom w:val="single" w:sz="4" w:space="0" w:color="auto"/>
              <w:right w:val="nil"/>
            </w:tcBorders>
            <w:vAlign w:val="center"/>
          </w:tcPr>
          <w:p w14:paraId="3DBBEF5B" w14:textId="182F1482"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rFonts w:eastAsia="Times New Roman" w:cs="Times New Roman"/>
                <w:color w:val="000000"/>
                <w:sz w:val="16"/>
                <w:szCs w:val="16"/>
                <w:lang w:val="en-US"/>
              </w:rPr>
              <w:t>1%</w:t>
            </w:r>
          </w:p>
        </w:tc>
        <w:tc>
          <w:tcPr>
            <w:tcW w:w="888" w:type="dxa"/>
            <w:tcBorders>
              <w:top w:val="single" w:sz="4" w:space="0" w:color="auto"/>
              <w:left w:val="nil"/>
              <w:bottom w:val="single" w:sz="4" w:space="0" w:color="auto"/>
              <w:right w:val="nil"/>
            </w:tcBorders>
            <w:vAlign w:val="center"/>
          </w:tcPr>
          <w:p w14:paraId="20ACCCB4" w14:textId="18FA2162"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0%</w:t>
            </w:r>
          </w:p>
        </w:tc>
        <w:tc>
          <w:tcPr>
            <w:tcW w:w="888" w:type="dxa"/>
            <w:tcBorders>
              <w:top w:val="single" w:sz="4" w:space="0" w:color="auto"/>
              <w:left w:val="nil"/>
              <w:bottom w:val="single" w:sz="4" w:space="0" w:color="auto"/>
              <w:right w:val="nil"/>
            </w:tcBorders>
            <w:shd w:val="clear" w:color="auto" w:fill="auto"/>
            <w:vAlign w:val="center"/>
          </w:tcPr>
          <w:p w14:paraId="3230DB44" w14:textId="4EDF6E3D" w:rsidR="00CD5F1B" w:rsidRPr="00D655A4" w:rsidRDefault="00CD5F1B">
            <w:pPr>
              <w:keepNext/>
              <w:keepLines/>
              <w:spacing w:after="0" w:line="240" w:lineRule="auto"/>
              <w:jc w:val="center"/>
              <w:rPr>
                <w:rFonts w:eastAsia="Times New Roman" w:cs="Times New Roman"/>
                <w:color w:val="000000"/>
                <w:sz w:val="16"/>
                <w:szCs w:val="16"/>
                <w:lang w:val="en-US"/>
              </w:rPr>
            </w:pPr>
            <w:r w:rsidRPr="00D655A4">
              <w:rPr>
                <w:sz w:val="16"/>
                <w:szCs w:val="16"/>
              </w:rPr>
              <w:t>3%</w:t>
            </w:r>
          </w:p>
        </w:tc>
      </w:tr>
    </w:tbl>
    <w:p w14:paraId="3BAA9B3F" w14:textId="3B635B39" w:rsidR="000E3A77" w:rsidRDefault="000E3A77" w:rsidP="000E3A77">
      <w:pPr>
        <w:pStyle w:val="CaptionTable"/>
        <w:ind w:left="0"/>
      </w:pPr>
      <w:bookmarkStart w:id="125" w:name="_Ref39763172"/>
      <w:bookmarkStart w:id="126" w:name="_Toc40454686"/>
      <w:r>
        <w:t>Shift loadings, percentiles –</w:t>
      </w:r>
      <w:r w:rsidRPr="008F1C45">
        <w:t xml:space="preserve"> </w:t>
      </w:r>
      <w:r>
        <w:t>SCHADS and non-SCHADS</w:t>
      </w:r>
      <w:bookmarkEnd w:id="125"/>
      <w:bookmarkEnd w:id="126"/>
    </w:p>
    <w:tbl>
      <w:tblPr>
        <w:tblW w:w="5000" w:type="pct"/>
        <w:tblLook w:val="04A0" w:firstRow="1" w:lastRow="0" w:firstColumn="1" w:lastColumn="0" w:noHBand="0" w:noVBand="1"/>
      </w:tblPr>
      <w:tblGrid>
        <w:gridCol w:w="950"/>
        <w:gridCol w:w="1317"/>
        <w:gridCol w:w="1402"/>
        <w:gridCol w:w="1293"/>
        <w:gridCol w:w="1385"/>
        <w:gridCol w:w="1309"/>
        <w:gridCol w:w="1370"/>
      </w:tblGrid>
      <w:tr w:rsidR="00113404" w:rsidRPr="000E3A77" w14:paraId="578D04E5" w14:textId="77777777" w:rsidTr="00D655A4">
        <w:trPr>
          <w:trHeight w:val="315"/>
        </w:trPr>
        <w:tc>
          <w:tcPr>
            <w:tcW w:w="526" w:type="pct"/>
            <w:tcBorders>
              <w:top w:val="single" w:sz="12" w:space="0" w:color="62B5E5" w:themeColor="accent3"/>
              <w:left w:val="nil"/>
              <w:right w:val="single" w:sz="4" w:space="0" w:color="000000" w:themeColor="text1"/>
            </w:tcBorders>
            <w:shd w:val="clear" w:color="auto" w:fill="auto"/>
            <w:vAlign w:val="center"/>
            <w:hideMark/>
          </w:tcPr>
          <w:p w14:paraId="3A15D1DF" w14:textId="77777777" w:rsidR="000E3A77" w:rsidRPr="00D655A4" w:rsidRDefault="000E3A77" w:rsidP="00113404">
            <w:pPr>
              <w:keepNext/>
              <w:keepLines/>
              <w:spacing w:after="0" w:line="240" w:lineRule="auto"/>
              <w:rPr>
                <w:rFonts w:eastAsia="Times New Roman" w:cs="Calibri"/>
                <w:b/>
                <w:bCs/>
                <w:color w:val="62B5E5"/>
                <w:sz w:val="16"/>
                <w:szCs w:val="16"/>
                <w:lang w:val="en-US"/>
              </w:rPr>
            </w:pPr>
            <w:r w:rsidRPr="00D655A4">
              <w:rPr>
                <w:rFonts w:eastAsia="Times New Roman" w:cs="Calibri"/>
                <w:b/>
                <w:bCs/>
                <w:color w:val="62B5E5"/>
                <w:sz w:val="16"/>
                <w:szCs w:val="16"/>
              </w:rPr>
              <w:t> </w:t>
            </w:r>
          </w:p>
        </w:tc>
        <w:tc>
          <w:tcPr>
            <w:tcW w:w="1506" w:type="pct"/>
            <w:gridSpan w:val="2"/>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72213DB0" w14:textId="77777777" w:rsidR="000E3A77" w:rsidRPr="00D655A4" w:rsidRDefault="000E3A77" w:rsidP="00113404">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Permanent</w:t>
            </w:r>
          </w:p>
        </w:tc>
        <w:tc>
          <w:tcPr>
            <w:tcW w:w="1483" w:type="pct"/>
            <w:gridSpan w:val="2"/>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00487570" w14:textId="77777777" w:rsidR="000E3A77" w:rsidRPr="00D655A4" w:rsidRDefault="000E3A77" w:rsidP="00113404">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Casual</w:t>
            </w:r>
          </w:p>
        </w:tc>
        <w:tc>
          <w:tcPr>
            <w:tcW w:w="1484" w:type="pct"/>
            <w:gridSpan w:val="2"/>
            <w:tcBorders>
              <w:top w:val="single" w:sz="12" w:space="0" w:color="62B5E5" w:themeColor="accent3"/>
              <w:left w:val="single" w:sz="4" w:space="0" w:color="000000" w:themeColor="text1"/>
              <w:right w:val="nil"/>
            </w:tcBorders>
            <w:shd w:val="clear" w:color="auto" w:fill="auto"/>
            <w:vAlign w:val="center"/>
            <w:hideMark/>
          </w:tcPr>
          <w:p w14:paraId="76CDFDC2" w14:textId="77777777" w:rsidR="000E3A77" w:rsidRPr="00D655A4" w:rsidRDefault="000E3A77" w:rsidP="00113404">
            <w:pPr>
              <w:keepNext/>
              <w:keepLines/>
              <w:spacing w:after="0" w:line="240" w:lineRule="auto"/>
              <w:jc w:val="center"/>
              <w:rPr>
                <w:rFonts w:eastAsia="Times New Roman" w:cs="Calibri"/>
                <w:b/>
                <w:bCs/>
                <w:color w:val="62B5E5"/>
                <w:sz w:val="16"/>
                <w:szCs w:val="16"/>
                <w:lang w:val="en-US"/>
              </w:rPr>
            </w:pPr>
            <w:r w:rsidRPr="00115227">
              <w:rPr>
                <w:rFonts w:eastAsia="Times New Roman" w:cs="Times New Roman"/>
                <w:b/>
                <w:bCs/>
                <w:color w:val="62B5E5"/>
                <w:sz w:val="16"/>
                <w:szCs w:val="16"/>
                <w:lang w:eastAsia="en-AU"/>
              </w:rPr>
              <w:t>Difference</w:t>
            </w:r>
          </w:p>
        </w:tc>
      </w:tr>
      <w:tr w:rsidR="00264D1F" w:rsidRPr="00117C44" w14:paraId="03F1F73A" w14:textId="77777777" w:rsidTr="00264D1F">
        <w:trPr>
          <w:trHeight w:val="315"/>
        </w:trPr>
        <w:tc>
          <w:tcPr>
            <w:tcW w:w="526" w:type="pct"/>
            <w:tcBorders>
              <w:left w:val="nil"/>
              <w:bottom w:val="single" w:sz="4" w:space="0" w:color="auto"/>
              <w:right w:val="single" w:sz="4" w:space="0" w:color="000000" w:themeColor="text1"/>
            </w:tcBorders>
            <w:shd w:val="clear" w:color="auto" w:fill="auto"/>
            <w:vAlign w:val="center"/>
            <w:hideMark/>
          </w:tcPr>
          <w:p w14:paraId="5801B25C" w14:textId="77777777" w:rsidR="000E3A77" w:rsidRPr="00D655A4" w:rsidRDefault="000E3A77" w:rsidP="00113404">
            <w:pPr>
              <w:keepNext/>
              <w:keepLines/>
              <w:spacing w:after="0" w:line="240" w:lineRule="auto"/>
              <w:rPr>
                <w:rFonts w:eastAsia="Times New Roman" w:cs="Calibri"/>
                <w:b/>
                <w:bCs/>
                <w:color w:val="62B5E5"/>
                <w:sz w:val="16"/>
                <w:szCs w:val="16"/>
                <w:lang w:val="en-US"/>
              </w:rPr>
            </w:pPr>
            <w:r w:rsidRPr="00D655A4">
              <w:rPr>
                <w:rFonts w:eastAsia="Times New Roman" w:cs="Calibri"/>
                <w:b/>
                <w:bCs/>
                <w:color w:val="62B5E5"/>
                <w:sz w:val="16"/>
                <w:szCs w:val="16"/>
              </w:rPr>
              <w:t> </w:t>
            </w:r>
          </w:p>
        </w:tc>
        <w:tc>
          <w:tcPr>
            <w:tcW w:w="730" w:type="pct"/>
            <w:tcBorders>
              <w:left w:val="single" w:sz="4" w:space="0" w:color="000000" w:themeColor="text1"/>
              <w:bottom w:val="single" w:sz="4" w:space="0" w:color="auto"/>
            </w:tcBorders>
            <w:shd w:val="clear" w:color="auto" w:fill="auto"/>
            <w:vAlign w:val="center"/>
            <w:hideMark/>
          </w:tcPr>
          <w:p w14:paraId="54246636" w14:textId="77777777" w:rsidR="000E3A77" w:rsidRPr="00D655A4" w:rsidRDefault="000E3A77" w:rsidP="00113404">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25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777" w:type="pct"/>
            <w:tcBorders>
              <w:bottom w:val="single" w:sz="4" w:space="0" w:color="auto"/>
              <w:right w:val="single" w:sz="4" w:space="0" w:color="000000" w:themeColor="text1"/>
            </w:tcBorders>
            <w:shd w:val="clear" w:color="auto" w:fill="auto"/>
            <w:vAlign w:val="center"/>
            <w:hideMark/>
          </w:tcPr>
          <w:p w14:paraId="137209F3" w14:textId="77777777" w:rsidR="000E3A77" w:rsidRPr="00D655A4" w:rsidRDefault="000E3A77" w:rsidP="00113404">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75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716" w:type="pct"/>
            <w:tcBorders>
              <w:left w:val="single" w:sz="4" w:space="0" w:color="000000" w:themeColor="text1"/>
              <w:bottom w:val="single" w:sz="4" w:space="0" w:color="auto"/>
            </w:tcBorders>
            <w:shd w:val="clear" w:color="auto" w:fill="auto"/>
            <w:vAlign w:val="center"/>
            <w:hideMark/>
          </w:tcPr>
          <w:p w14:paraId="18F46B13" w14:textId="77777777" w:rsidR="000E3A77" w:rsidRPr="00D655A4" w:rsidRDefault="000E3A77" w:rsidP="00113404">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25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767" w:type="pct"/>
            <w:tcBorders>
              <w:bottom w:val="single" w:sz="4" w:space="0" w:color="auto"/>
              <w:right w:val="single" w:sz="4" w:space="0" w:color="000000" w:themeColor="text1"/>
            </w:tcBorders>
            <w:shd w:val="clear" w:color="auto" w:fill="auto"/>
            <w:vAlign w:val="center"/>
            <w:hideMark/>
          </w:tcPr>
          <w:p w14:paraId="73BC696D" w14:textId="77777777" w:rsidR="000E3A77" w:rsidRPr="00D655A4" w:rsidRDefault="000E3A77" w:rsidP="00113404">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75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725" w:type="pct"/>
            <w:tcBorders>
              <w:left w:val="single" w:sz="4" w:space="0" w:color="000000" w:themeColor="text1"/>
              <w:bottom w:val="single" w:sz="4" w:space="0" w:color="auto"/>
            </w:tcBorders>
            <w:shd w:val="clear" w:color="auto" w:fill="auto"/>
            <w:vAlign w:val="center"/>
            <w:hideMark/>
          </w:tcPr>
          <w:p w14:paraId="1E257D46" w14:textId="77777777" w:rsidR="000E3A77" w:rsidRPr="00D655A4" w:rsidRDefault="000E3A77" w:rsidP="00113404">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25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759" w:type="pct"/>
            <w:tcBorders>
              <w:bottom w:val="single" w:sz="4" w:space="0" w:color="auto"/>
              <w:right w:val="nil"/>
            </w:tcBorders>
            <w:shd w:val="clear" w:color="auto" w:fill="auto"/>
            <w:vAlign w:val="center"/>
            <w:hideMark/>
          </w:tcPr>
          <w:p w14:paraId="1F43B7E1" w14:textId="77777777" w:rsidR="000E3A77" w:rsidRPr="00D655A4" w:rsidRDefault="000E3A77" w:rsidP="00113404">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75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r>
      <w:tr w:rsidR="00113404" w:rsidRPr="00117C44" w14:paraId="4FE9B91F" w14:textId="77777777" w:rsidTr="00D655A4">
        <w:trPr>
          <w:trHeight w:val="315"/>
        </w:trPr>
        <w:tc>
          <w:tcPr>
            <w:tcW w:w="526" w:type="pct"/>
            <w:tcBorders>
              <w:top w:val="single" w:sz="4" w:space="0" w:color="auto"/>
              <w:left w:val="nil"/>
              <w:bottom w:val="single" w:sz="4" w:space="0" w:color="auto"/>
              <w:right w:val="single" w:sz="4" w:space="0" w:color="000000" w:themeColor="text1"/>
            </w:tcBorders>
            <w:shd w:val="clear" w:color="auto" w:fill="auto"/>
            <w:vAlign w:val="center"/>
            <w:hideMark/>
          </w:tcPr>
          <w:p w14:paraId="74A6204B" w14:textId="77777777" w:rsidR="006F73EF" w:rsidRPr="00D655A4" w:rsidRDefault="006F73EF" w:rsidP="006F73EF">
            <w:pPr>
              <w:keepNext/>
              <w:keepLines/>
              <w:spacing w:after="0" w:line="240" w:lineRule="auto"/>
              <w:rPr>
                <w:rFonts w:eastAsia="Times New Roman" w:cs="Calibri"/>
                <w:color w:val="000000"/>
                <w:sz w:val="16"/>
                <w:szCs w:val="16"/>
                <w:lang w:val="en-US"/>
              </w:rPr>
            </w:pPr>
            <w:r w:rsidRPr="00D655A4">
              <w:rPr>
                <w:rFonts w:eastAsia="Times New Roman" w:cs="Calibri"/>
                <w:color w:val="000000"/>
                <w:sz w:val="16"/>
                <w:szCs w:val="16"/>
              </w:rPr>
              <w:t>Weekday</w:t>
            </w:r>
          </w:p>
        </w:tc>
        <w:tc>
          <w:tcPr>
            <w:tcW w:w="730" w:type="pct"/>
            <w:tcBorders>
              <w:top w:val="single" w:sz="4" w:space="0" w:color="auto"/>
              <w:left w:val="single" w:sz="4" w:space="0" w:color="000000" w:themeColor="text1"/>
              <w:bottom w:val="single" w:sz="4" w:space="0" w:color="auto"/>
            </w:tcBorders>
            <w:shd w:val="clear" w:color="auto" w:fill="auto"/>
            <w:vAlign w:val="center"/>
          </w:tcPr>
          <w:p w14:paraId="2431CE3D" w14:textId="39B79D80" w:rsidR="006F73EF" w:rsidRPr="00D655A4" w:rsidRDefault="006F73EF" w:rsidP="00115227">
            <w:pPr>
              <w:keepNext/>
              <w:keepLines/>
              <w:spacing w:after="0" w:line="240" w:lineRule="auto"/>
              <w:jc w:val="center"/>
              <w:rPr>
                <w:rFonts w:eastAsia="Times New Roman" w:cs="Calibri"/>
                <w:color w:val="000000"/>
                <w:sz w:val="16"/>
                <w:szCs w:val="16"/>
                <w:lang w:val="en-US"/>
              </w:rPr>
            </w:pPr>
            <w:r w:rsidRPr="00D655A4">
              <w:rPr>
                <w:sz w:val="16"/>
                <w:szCs w:val="16"/>
              </w:rPr>
              <w:t>0%</w:t>
            </w:r>
          </w:p>
        </w:tc>
        <w:tc>
          <w:tcPr>
            <w:tcW w:w="777" w:type="pct"/>
            <w:tcBorders>
              <w:top w:val="single" w:sz="4" w:space="0" w:color="auto"/>
              <w:bottom w:val="single" w:sz="4" w:space="0" w:color="auto"/>
              <w:right w:val="single" w:sz="4" w:space="0" w:color="000000" w:themeColor="text1"/>
            </w:tcBorders>
            <w:shd w:val="clear" w:color="auto" w:fill="auto"/>
            <w:vAlign w:val="center"/>
          </w:tcPr>
          <w:p w14:paraId="25C1D0B4" w14:textId="54220BA5"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0%</w:t>
            </w:r>
          </w:p>
        </w:tc>
        <w:tc>
          <w:tcPr>
            <w:tcW w:w="716" w:type="pct"/>
            <w:tcBorders>
              <w:top w:val="single" w:sz="4" w:space="0" w:color="auto"/>
              <w:left w:val="single" w:sz="4" w:space="0" w:color="000000" w:themeColor="text1"/>
              <w:bottom w:val="single" w:sz="4" w:space="0" w:color="auto"/>
            </w:tcBorders>
            <w:shd w:val="clear" w:color="auto" w:fill="auto"/>
            <w:vAlign w:val="center"/>
          </w:tcPr>
          <w:p w14:paraId="17705B5D" w14:textId="21921F79"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23%</w:t>
            </w:r>
          </w:p>
        </w:tc>
        <w:tc>
          <w:tcPr>
            <w:tcW w:w="767" w:type="pct"/>
            <w:tcBorders>
              <w:top w:val="single" w:sz="4" w:space="0" w:color="auto"/>
              <w:bottom w:val="single" w:sz="4" w:space="0" w:color="auto"/>
              <w:right w:val="single" w:sz="4" w:space="0" w:color="000000" w:themeColor="text1"/>
            </w:tcBorders>
            <w:shd w:val="clear" w:color="auto" w:fill="auto"/>
            <w:vAlign w:val="center"/>
          </w:tcPr>
          <w:p w14:paraId="4C6DCDAF" w14:textId="7DCE1C7A"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25%</w:t>
            </w:r>
          </w:p>
        </w:tc>
        <w:tc>
          <w:tcPr>
            <w:tcW w:w="725" w:type="pct"/>
            <w:tcBorders>
              <w:top w:val="single" w:sz="4" w:space="0" w:color="auto"/>
              <w:left w:val="single" w:sz="4" w:space="0" w:color="000000" w:themeColor="text1"/>
              <w:bottom w:val="single" w:sz="4" w:space="0" w:color="auto"/>
            </w:tcBorders>
            <w:shd w:val="clear" w:color="auto" w:fill="auto"/>
            <w:vAlign w:val="center"/>
          </w:tcPr>
          <w:p w14:paraId="2B7896AE" w14:textId="61ABB3F1"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23%</w:t>
            </w:r>
          </w:p>
        </w:tc>
        <w:tc>
          <w:tcPr>
            <w:tcW w:w="759" w:type="pct"/>
            <w:tcBorders>
              <w:top w:val="single" w:sz="4" w:space="0" w:color="auto"/>
              <w:bottom w:val="single" w:sz="4" w:space="0" w:color="auto"/>
              <w:right w:val="nil"/>
            </w:tcBorders>
            <w:shd w:val="clear" w:color="auto" w:fill="auto"/>
            <w:vAlign w:val="center"/>
          </w:tcPr>
          <w:p w14:paraId="4C395E76" w14:textId="13231579"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25%</w:t>
            </w:r>
          </w:p>
        </w:tc>
      </w:tr>
      <w:tr w:rsidR="00113404" w:rsidRPr="00117C44" w14:paraId="3DC82228" w14:textId="77777777" w:rsidTr="00D655A4">
        <w:trPr>
          <w:trHeight w:val="315"/>
        </w:trPr>
        <w:tc>
          <w:tcPr>
            <w:tcW w:w="526" w:type="pct"/>
            <w:tcBorders>
              <w:top w:val="single" w:sz="4" w:space="0" w:color="auto"/>
              <w:left w:val="nil"/>
              <w:bottom w:val="single" w:sz="4" w:space="0" w:color="auto"/>
              <w:right w:val="single" w:sz="4" w:space="0" w:color="000000" w:themeColor="text1"/>
            </w:tcBorders>
            <w:shd w:val="clear" w:color="auto" w:fill="auto"/>
            <w:vAlign w:val="center"/>
            <w:hideMark/>
          </w:tcPr>
          <w:p w14:paraId="546FB573" w14:textId="77777777" w:rsidR="006F73EF" w:rsidRPr="00D655A4" w:rsidRDefault="006F73EF" w:rsidP="006F73EF">
            <w:pPr>
              <w:keepNext/>
              <w:keepLines/>
              <w:spacing w:after="0" w:line="240" w:lineRule="auto"/>
              <w:rPr>
                <w:rFonts w:eastAsia="Times New Roman" w:cs="Calibri"/>
                <w:color w:val="000000"/>
                <w:sz w:val="16"/>
                <w:szCs w:val="16"/>
                <w:lang w:val="en-US"/>
              </w:rPr>
            </w:pPr>
            <w:r w:rsidRPr="00D655A4">
              <w:rPr>
                <w:rFonts w:eastAsia="Times New Roman" w:cs="Calibri"/>
                <w:color w:val="000000"/>
                <w:sz w:val="16"/>
                <w:szCs w:val="16"/>
              </w:rPr>
              <w:t>Saturday</w:t>
            </w:r>
          </w:p>
        </w:tc>
        <w:tc>
          <w:tcPr>
            <w:tcW w:w="730" w:type="pct"/>
            <w:tcBorders>
              <w:top w:val="single" w:sz="4" w:space="0" w:color="auto"/>
              <w:left w:val="single" w:sz="4" w:space="0" w:color="000000" w:themeColor="text1"/>
              <w:bottom w:val="single" w:sz="4" w:space="0" w:color="auto"/>
            </w:tcBorders>
            <w:shd w:val="clear" w:color="auto" w:fill="auto"/>
            <w:vAlign w:val="center"/>
          </w:tcPr>
          <w:p w14:paraId="5C90D8CA" w14:textId="3925921B" w:rsidR="006F73EF" w:rsidRPr="00D655A4" w:rsidRDefault="006F73EF" w:rsidP="00115227">
            <w:pPr>
              <w:keepNext/>
              <w:keepLines/>
              <w:spacing w:after="0" w:line="240" w:lineRule="auto"/>
              <w:jc w:val="center"/>
              <w:rPr>
                <w:rFonts w:eastAsia="Times New Roman" w:cs="Calibri"/>
                <w:color w:val="000000"/>
                <w:sz w:val="16"/>
                <w:szCs w:val="16"/>
                <w:lang w:val="en-US"/>
              </w:rPr>
            </w:pPr>
            <w:r w:rsidRPr="00D655A4">
              <w:rPr>
                <w:sz w:val="16"/>
                <w:szCs w:val="16"/>
              </w:rPr>
              <w:t>39%</w:t>
            </w:r>
          </w:p>
        </w:tc>
        <w:tc>
          <w:tcPr>
            <w:tcW w:w="777" w:type="pct"/>
            <w:tcBorders>
              <w:top w:val="single" w:sz="4" w:space="0" w:color="auto"/>
              <w:bottom w:val="single" w:sz="4" w:space="0" w:color="auto"/>
              <w:right w:val="single" w:sz="4" w:space="0" w:color="000000" w:themeColor="text1"/>
            </w:tcBorders>
            <w:shd w:val="clear" w:color="auto" w:fill="auto"/>
            <w:vAlign w:val="center"/>
          </w:tcPr>
          <w:p w14:paraId="3BD99952" w14:textId="7162F57D"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50%</w:t>
            </w:r>
          </w:p>
        </w:tc>
        <w:tc>
          <w:tcPr>
            <w:tcW w:w="716" w:type="pct"/>
            <w:tcBorders>
              <w:top w:val="single" w:sz="4" w:space="0" w:color="auto"/>
              <w:left w:val="single" w:sz="4" w:space="0" w:color="000000" w:themeColor="text1"/>
              <w:bottom w:val="single" w:sz="4" w:space="0" w:color="auto"/>
            </w:tcBorders>
            <w:shd w:val="clear" w:color="auto" w:fill="auto"/>
            <w:vAlign w:val="center"/>
          </w:tcPr>
          <w:p w14:paraId="25DBB3C2" w14:textId="67276503"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40%</w:t>
            </w:r>
          </w:p>
        </w:tc>
        <w:tc>
          <w:tcPr>
            <w:tcW w:w="767" w:type="pct"/>
            <w:tcBorders>
              <w:top w:val="single" w:sz="4" w:space="0" w:color="auto"/>
              <w:bottom w:val="single" w:sz="4" w:space="0" w:color="auto"/>
              <w:right w:val="single" w:sz="4" w:space="0" w:color="000000" w:themeColor="text1"/>
            </w:tcBorders>
            <w:shd w:val="clear" w:color="auto" w:fill="auto"/>
            <w:vAlign w:val="center"/>
          </w:tcPr>
          <w:p w14:paraId="788BF290" w14:textId="6D5B051F"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56%</w:t>
            </w:r>
          </w:p>
        </w:tc>
        <w:tc>
          <w:tcPr>
            <w:tcW w:w="725" w:type="pct"/>
            <w:tcBorders>
              <w:top w:val="single" w:sz="4" w:space="0" w:color="auto"/>
              <w:left w:val="single" w:sz="4" w:space="0" w:color="000000" w:themeColor="text1"/>
              <w:bottom w:val="single" w:sz="4" w:space="0" w:color="auto"/>
            </w:tcBorders>
            <w:shd w:val="clear" w:color="auto" w:fill="auto"/>
            <w:vAlign w:val="center"/>
          </w:tcPr>
          <w:p w14:paraId="2BE57D64" w14:textId="43FB6C2B"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1%</w:t>
            </w:r>
          </w:p>
        </w:tc>
        <w:tc>
          <w:tcPr>
            <w:tcW w:w="759" w:type="pct"/>
            <w:tcBorders>
              <w:top w:val="single" w:sz="4" w:space="0" w:color="auto"/>
              <w:bottom w:val="single" w:sz="4" w:space="0" w:color="auto"/>
              <w:right w:val="nil"/>
            </w:tcBorders>
            <w:shd w:val="clear" w:color="auto" w:fill="auto"/>
            <w:vAlign w:val="center"/>
          </w:tcPr>
          <w:p w14:paraId="1E084191" w14:textId="1F7183B7"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6%</w:t>
            </w:r>
          </w:p>
        </w:tc>
      </w:tr>
      <w:tr w:rsidR="00113404" w:rsidRPr="00117C44" w14:paraId="633943E2" w14:textId="77777777" w:rsidTr="00D655A4">
        <w:trPr>
          <w:trHeight w:val="315"/>
        </w:trPr>
        <w:tc>
          <w:tcPr>
            <w:tcW w:w="526" w:type="pct"/>
            <w:tcBorders>
              <w:top w:val="single" w:sz="4" w:space="0" w:color="auto"/>
              <w:left w:val="nil"/>
              <w:bottom w:val="single" w:sz="4" w:space="0" w:color="auto"/>
              <w:right w:val="single" w:sz="4" w:space="0" w:color="000000" w:themeColor="text1"/>
            </w:tcBorders>
            <w:shd w:val="clear" w:color="auto" w:fill="auto"/>
            <w:vAlign w:val="center"/>
            <w:hideMark/>
          </w:tcPr>
          <w:p w14:paraId="41D32123" w14:textId="77777777" w:rsidR="006F73EF" w:rsidRPr="00D655A4" w:rsidRDefault="006F73EF" w:rsidP="006F73EF">
            <w:pPr>
              <w:keepNext/>
              <w:keepLines/>
              <w:spacing w:after="0" w:line="240" w:lineRule="auto"/>
              <w:rPr>
                <w:rFonts w:eastAsia="Times New Roman" w:cs="Calibri"/>
                <w:color w:val="000000"/>
                <w:sz w:val="16"/>
                <w:szCs w:val="16"/>
                <w:lang w:val="en-US"/>
              </w:rPr>
            </w:pPr>
            <w:r w:rsidRPr="00D655A4">
              <w:rPr>
                <w:rFonts w:eastAsia="Times New Roman" w:cs="Calibri"/>
                <w:color w:val="000000"/>
                <w:sz w:val="16"/>
                <w:szCs w:val="16"/>
              </w:rPr>
              <w:t>Sunday</w:t>
            </w:r>
          </w:p>
        </w:tc>
        <w:tc>
          <w:tcPr>
            <w:tcW w:w="730" w:type="pct"/>
            <w:tcBorders>
              <w:top w:val="single" w:sz="4" w:space="0" w:color="auto"/>
              <w:left w:val="single" w:sz="4" w:space="0" w:color="000000" w:themeColor="text1"/>
              <w:bottom w:val="single" w:sz="4" w:space="0" w:color="auto"/>
            </w:tcBorders>
            <w:shd w:val="clear" w:color="auto" w:fill="auto"/>
            <w:vAlign w:val="center"/>
          </w:tcPr>
          <w:p w14:paraId="5BAB15ED" w14:textId="7C70BAE3" w:rsidR="006F73EF" w:rsidRPr="00D655A4" w:rsidRDefault="006F73EF" w:rsidP="00115227">
            <w:pPr>
              <w:keepNext/>
              <w:keepLines/>
              <w:spacing w:after="0" w:line="240" w:lineRule="auto"/>
              <w:jc w:val="center"/>
              <w:rPr>
                <w:rFonts w:eastAsia="Times New Roman" w:cs="Calibri"/>
                <w:color w:val="000000"/>
                <w:sz w:val="16"/>
                <w:szCs w:val="16"/>
                <w:lang w:val="en-US"/>
              </w:rPr>
            </w:pPr>
            <w:r w:rsidRPr="00D655A4">
              <w:rPr>
                <w:sz w:val="16"/>
                <w:szCs w:val="16"/>
              </w:rPr>
              <w:t>78%</w:t>
            </w:r>
          </w:p>
        </w:tc>
        <w:tc>
          <w:tcPr>
            <w:tcW w:w="777" w:type="pct"/>
            <w:tcBorders>
              <w:top w:val="single" w:sz="4" w:space="0" w:color="auto"/>
              <w:bottom w:val="single" w:sz="4" w:space="0" w:color="auto"/>
              <w:right w:val="single" w:sz="4" w:space="0" w:color="000000" w:themeColor="text1"/>
            </w:tcBorders>
            <w:shd w:val="clear" w:color="auto" w:fill="auto"/>
            <w:vAlign w:val="center"/>
          </w:tcPr>
          <w:p w14:paraId="4D75199C" w14:textId="0BBE87AF"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100%</w:t>
            </w:r>
          </w:p>
        </w:tc>
        <w:tc>
          <w:tcPr>
            <w:tcW w:w="716" w:type="pct"/>
            <w:tcBorders>
              <w:top w:val="single" w:sz="4" w:space="0" w:color="auto"/>
              <w:left w:val="single" w:sz="4" w:space="0" w:color="000000" w:themeColor="text1"/>
              <w:bottom w:val="single" w:sz="4" w:space="0" w:color="auto"/>
            </w:tcBorders>
            <w:shd w:val="clear" w:color="auto" w:fill="auto"/>
            <w:vAlign w:val="center"/>
          </w:tcPr>
          <w:p w14:paraId="206460D2" w14:textId="57E058B7"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78%</w:t>
            </w:r>
          </w:p>
        </w:tc>
        <w:tc>
          <w:tcPr>
            <w:tcW w:w="767" w:type="pct"/>
            <w:tcBorders>
              <w:top w:val="single" w:sz="4" w:space="0" w:color="auto"/>
              <w:bottom w:val="single" w:sz="4" w:space="0" w:color="auto"/>
              <w:right w:val="single" w:sz="4" w:space="0" w:color="000000" w:themeColor="text1"/>
            </w:tcBorders>
            <w:shd w:val="clear" w:color="auto" w:fill="auto"/>
            <w:vAlign w:val="center"/>
          </w:tcPr>
          <w:p w14:paraId="45E32863" w14:textId="54B85865"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100%</w:t>
            </w:r>
          </w:p>
        </w:tc>
        <w:tc>
          <w:tcPr>
            <w:tcW w:w="725" w:type="pct"/>
            <w:tcBorders>
              <w:top w:val="single" w:sz="4" w:space="0" w:color="auto"/>
              <w:left w:val="single" w:sz="4" w:space="0" w:color="000000" w:themeColor="text1"/>
              <w:bottom w:val="single" w:sz="4" w:space="0" w:color="auto"/>
            </w:tcBorders>
            <w:shd w:val="clear" w:color="auto" w:fill="auto"/>
            <w:vAlign w:val="center"/>
          </w:tcPr>
          <w:p w14:paraId="36913E79" w14:textId="60D6D201"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0%</w:t>
            </w:r>
          </w:p>
        </w:tc>
        <w:tc>
          <w:tcPr>
            <w:tcW w:w="759" w:type="pct"/>
            <w:tcBorders>
              <w:top w:val="single" w:sz="4" w:space="0" w:color="auto"/>
              <w:bottom w:val="single" w:sz="4" w:space="0" w:color="auto"/>
              <w:right w:val="nil"/>
            </w:tcBorders>
            <w:shd w:val="clear" w:color="auto" w:fill="auto"/>
            <w:vAlign w:val="center"/>
          </w:tcPr>
          <w:p w14:paraId="7D167FFF" w14:textId="2C4357FE" w:rsidR="006F73EF" w:rsidRPr="00D655A4" w:rsidRDefault="006F73EF">
            <w:pPr>
              <w:keepNext/>
              <w:keepLines/>
              <w:spacing w:after="0" w:line="240" w:lineRule="auto"/>
              <w:jc w:val="center"/>
              <w:rPr>
                <w:rFonts w:eastAsia="Times New Roman" w:cs="Calibri"/>
                <w:color w:val="000000"/>
                <w:sz w:val="16"/>
                <w:szCs w:val="16"/>
                <w:lang w:val="en-US"/>
              </w:rPr>
            </w:pPr>
            <w:r w:rsidRPr="00D655A4">
              <w:rPr>
                <w:sz w:val="16"/>
                <w:szCs w:val="16"/>
              </w:rPr>
              <w:t>0%</w:t>
            </w:r>
          </w:p>
        </w:tc>
      </w:tr>
    </w:tbl>
    <w:p w14:paraId="0056910F" w14:textId="77777777" w:rsidR="000E3A77" w:rsidRDefault="000E3A77" w:rsidP="00103691"/>
    <w:p w14:paraId="62A631E3" w14:textId="1422D2E6" w:rsidR="004C35FB" w:rsidRDefault="001446D2" w:rsidP="00103691">
      <w:r w:rsidRPr="00995D0D">
        <w:t xml:space="preserve">The results in </w:t>
      </w:r>
      <w:r w:rsidR="008F2088">
        <w:fldChar w:fldCharType="begin"/>
      </w:r>
      <w:r w:rsidR="008F2088">
        <w:instrText xml:space="preserve"> REF _Ref39677661 \r \h </w:instrText>
      </w:r>
      <w:r w:rsidR="008F2088">
        <w:fldChar w:fldCharType="separate"/>
      </w:r>
      <w:r w:rsidR="00283637">
        <w:t>Table 3.6</w:t>
      </w:r>
      <w:r w:rsidR="008F2088">
        <w:fldChar w:fldCharType="end"/>
      </w:r>
      <w:r w:rsidR="004804E6">
        <w:t xml:space="preserve"> </w:t>
      </w:r>
      <w:r w:rsidR="00AD4EB3">
        <w:t>illustrate</w:t>
      </w:r>
      <w:r w:rsidRPr="00995D0D">
        <w:t xml:space="preserve"> non-SCHADS responses</w:t>
      </w:r>
      <w:r w:rsidR="00AD4EB3">
        <w:t xml:space="preserve"> only</w:t>
      </w:r>
      <w:r w:rsidRPr="00995D0D">
        <w:t>.</w:t>
      </w:r>
      <w:r w:rsidR="004C35FB" w:rsidRPr="00995D0D">
        <w:t xml:space="preserve"> As </w:t>
      </w:r>
      <w:r w:rsidR="00693A95">
        <w:t>shown, inclusion of the non</w:t>
      </w:r>
      <w:r w:rsidR="000E3A77">
        <w:t> </w:t>
      </w:r>
      <w:r w:rsidR="00693A95">
        <w:t>SCHADS results lowers the mean loadings for both permanent and casual staff on Saturdays and Sundays</w:t>
      </w:r>
      <w:r w:rsidR="004C35FB" w:rsidRPr="00995D0D">
        <w:t>.</w:t>
      </w:r>
    </w:p>
    <w:p w14:paraId="2EE313FA" w14:textId="251D12A3" w:rsidR="00AC06F7" w:rsidRDefault="00506519" w:rsidP="00D94588">
      <w:pPr>
        <w:pStyle w:val="CaptionTable"/>
        <w:ind w:left="0"/>
      </w:pPr>
      <w:bookmarkStart w:id="127" w:name="_Ref39677554"/>
      <w:bookmarkStart w:id="128" w:name="_Ref39677661"/>
      <w:bookmarkStart w:id="129" w:name="_Ref39678491"/>
      <w:bookmarkStart w:id="130" w:name="_Ref39678502"/>
      <w:bookmarkStart w:id="131" w:name="_Toc40454687"/>
      <w:r>
        <w:t>Shift loadings –</w:t>
      </w:r>
      <w:r w:rsidR="008F1C45" w:rsidRPr="008F1C45">
        <w:t xml:space="preserve"> </w:t>
      </w:r>
      <w:r w:rsidR="008F1C45">
        <w:t>non-SCHADS only</w:t>
      </w:r>
      <w:bookmarkEnd w:id="127"/>
      <w:bookmarkEnd w:id="128"/>
      <w:bookmarkEnd w:id="129"/>
      <w:bookmarkEnd w:id="130"/>
      <w:bookmarkEnd w:id="131"/>
    </w:p>
    <w:tbl>
      <w:tblPr>
        <w:tblW w:w="8943" w:type="dxa"/>
        <w:tblInd w:w="-5" w:type="dxa"/>
        <w:tblLayout w:type="fixed"/>
        <w:tblLook w:val="04A0" w:firstRow="1" w:lastRow="0" w:firstColumn="1" w:lastColumn="0" w:noHBand="0" w:noVBand="1"/>
      </w:tblPr>
      <w:tblGrid>
        <w:gridCol w:w="1347"/>
        <w:gridCol w:w="843"/>
        <w:gridCol w:w="843"/>
        <w:gridCol w:w="842"/>
        <w:gridCol w:w="843"/>
        <w:gridCol w:w="843"/>
        <w:gridCol w:w="842"/>
        <w:gridCol w:w="843"/>
        <w:gridCol w:w="843"/>
        <w:gridCol w:w="854"/>
      </w:tblGrid>
      <w:tr w:rsidR="005857E4" w:rsidRPr="000E3A77" w14:paraId="6C190ADB" w14:textId="77777777" w:rsidTr="008C28C1">
        <w:trPr>
          <w:trHeight w:val="276"/>
        </w:trPr>
        <w:tc>
          <w:tcPr>
            <w:tcW w:w="1347" w:type="dxa"/>
            <w:tcBorders>
              <w:top w:val="single" w:sz="12" w:space="0" w:color="62B5E5" w:themeColor="accent3"/>
              <w:left w:val="nil"/>
              <w:right w:val="single" w:sz="4" w:space="0" w:color="000000" w:themeColor="text1"/>
            </w:tcBorders>
            <w:shd w:val="clear" w:color="auto" w:fill="auto"/>
            <w:vAlign w:val="center"/>
            <w:hideMark/>
          </w:tcPr>
          <w:p w14:paraId="0E5DC6E6" w14:textId="77777777" w:rsidR="005857E4" w:rsidRPr="000E3A77" w:rsidRDefault="005857E4" w:rsidP="00FE320C">
            <w:pPr>
              <w:spacing w:after="0" w:line="240" w:lineRule="auto"/>
              <w:rPr>
                <w:rFonts w:eastAsia="Times New Roman" w:cs="Times New Roman"/>
                <w:b/>
                <w:bCs/>
                <w:color w:val="62B5E5"/>
                <w:sz w:val="16"/>
                <w:szCs w:val="16"/>
                <w:lang w:eastAsia="en-AU"/>
              </w:rPr>
            </w:pPr>
            <w:bookmarkStart w:id="132" w:name="_Hlk37761200"/>
            <w:r w:rsidRPr="000E3A77">
              <w:rPr>
                <w:rFonts w:eastAsia="Times New Roman" w:cs="Times New Roman"/>
                <w:b/>
                <w:bCs/>
                <w:color w:val="62B5E5"/>
                <w:sz w:val="16"/>
                <w:szCs w:val="16"/>
                <w:lang w:eastAsia="en-AU"/>
              </w:rPr>
              <w:t> </w:t>
            </w:r>
          </w:p>
        </w:tc>
        <w:tc>
          <w:tcPr>
            <w:tcW w:w="2528" w:type="dxa"/>
            <w:gridSpan w:val="3"/>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28B9CEA8" w14:textId="7B14EA88" w:rsidR="005857E4" w:rsidRPr="000E3A77" w:rsidRDefault="005857E4" w:rsidP="00FE320C">
            <w:pPr>
              <w:spacing w:after="0" w:line="240" w:lineRule="auto"/>
              <w:jc w:val="center"/>
              <w:rPr>
                <w:rFonts w:eastAsia="Times New Roman" w:cs="Times New Roman"/>
                <w:b/>
                <w:bCs/>
                <w:color w:val="62B5E5"/>
                <w:sz w:val="16"/>
                <w:szCs w:val="16"/>
                <w:lang w:eastAsia="en-AU"/>
              </w:rPr>
            </w:pPr>
            <w:r w:rsidRPr="000E3A77">
              <w:rPr>
                <w:rFonts w:eastAsia="Times New Roman" w:cs="Times New Roman"/>
                <w:b/>
                <w:bCs/>
                <w:color w:val="62B5E5"/>
                <w:sz w:val="16"/>
                <w:szCs w:val="16"/>
                <w:lang w:eastAsia="en-AU"/>
              </w:rPr>
              <w:t>Permanent</w:t>
            </w:r>
          </w:p>
        </w:tc>
        <w:tc>
          <w:tcPr>
            <w:tcW w:w="2528" w:type="dxa"/>
            <w:gridSpan w:val="3"/>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7B39D214" w14:textId="7E629EB0" w:rsidR="005857E4" w:rsidRPr="000E3A77" w:rsidRDefault="005857E4" w:rsidP="00FE320C">
            <w:pPr>
              <w:spacing w:after="0" w:line="240" w:lineRule="auto"/>
              <w:jc w:val="center"/>
              <w:rPr>
                <w:rFonts w:eastAsia="Times New Roman" w:cs="Times New Roman"/>
                <w:b/>
                <w:bCs/>
                <w:color w:val="62B5E5"/>
                <w:sz w:val="16"/>
                <w:szCs w:val="16"/>
                <w:lang w:eastAsia="en-AU"/>
              </w:rPr>
            </w:pPr>
            <w:r w:rsidRPr="000E3A77">
              <w:rPr>
                <w:rFonts w:eastAsia="Times New Roman" w:cs="Times New Roman"/>
                <w:b/>
                <w:bCs/>
                <w:color w:val="62B5E5"/>
                <w:sz w:val="16"/>
                <w:szCs w:val="16"/>
                <w:lang w:eastAsia="en-AU"/>
              </w:rPr>
              <w:t>Casual</w:t>
            </w:r>
          </w:p>
        </w:tc>
        <w:tc>
          <w:tcPr>
            <w:tcW w:w="2540" w:type="dxa"/>
            <w:gridSpan w:val="3"/>
            <w:tcBorders>
              <w:top w:val="single" w:sz="12" w:space="0" w:color="62B5E5" w:themeColor="accent3"/>
              <w:left w:val="single" w:sz="4" w:space="0" w:color="000000" w:themeColor="text1"/>
              <w:right w:val="nil"/>
            </w:tcBorders>
            <w:shd w:val="clear" w:color="auto" w:fill="auto"/>
            <w:vAlign w:val="center"/>
            <w:hideMark/>
          </w:tcPr>
          <w:p w14:paraId="743D3B4E" w14:textId="0552DE91" w:rsidR="005857E4" w:rsidRPr="000E3A77" w:rsidRDefault="005857E4" w:rsidP="00FE320C">
            <w:pPr>
              <w:spacing w:after="0" w:line="240" w:lineRule="auto"/>
              <w:jc w:val="center"/>
              <w:rPr>
                <w:rFonts w:eastAsia="Times New Roman" w:cs="Times New Roman"/>
                <w:b/>
                <w:bCs/>
                <w:color w:val="62B5E5"/>
                <w:sz w:val="16"/>
                <w:szCs w:val="16"/>
                <w:lang w:eastAsia="en-AU"/>
              </w:rPr>
            </w:pPr>
            <w:r w:rsidRPr="000E3A77">
              <w:rPr>
                <w:rFonts w:eastAsia="Times New Roman" w:cs="Times New Roman"/>
                <w:b/>
                <w:bCs/>
                <w:color w:val="62B5E5"/>
                <w:sz w:val="16"/>
                <w:szCs w:val="16"/>
                <w:lang w:eastAsia="en-AU"/>
              </w:rPr>
              <w:t>Difference</w:t>
            </w:r>
          </w:p>
        </w:tc>
      </w:tr>
      <w:tr w:rsidR="005857E4" w:rsidRPr="009A3C88" w14:paraId="3E78E496" w14:textId="77777777" w:rsidTr="008C28C1">
        <w:trPr>
          <w:trHeight w:val="276"/>
        </w:trPr>
        <w:tc>
          <w:tcPr>
            <w:tcW w:w="1347" w:type="dxa"/>
            <w:tcBorders>
              <w:left w:val="nil"/>
              <w:bottom w:val="single" w:sz="4" w:space="0" w:color="auto"/>
              <w:right w:val="single" w:sz="4" w:space="0" w:color="000000" w:themeColor="text1"/>
            </w:tcBorders>
            <w:shd w:val="clear" w:color="auto" w:fill="auto"/>
            <w:vAlign w:val="center"/>
            <w:hideMark/>
          </w:tcPr>
          <w:p w14:paraId="17C26694" w14:textId="77777777" w:rsidR="005857E4" w:rsidRPr="009A3C88" w:rsidRDefault="005857E4" w:rsidP="007D2394">
            <w:pPr>
              <w:spacing w:after="0" w:line="240" w:lineRule="auto"/>
              <w:rPr>
                <w:rFonts w:eastAsia="Times New Roman" w:cs="Times New Roman"/>
                <w:b/>
                <w:bCs/>
                <w:color w:val="62B5E5"/>
                <w:sz w:val="16"/>
                <w:szCs w:val="16"/>
                <w:lang w:eastAsia="en-AU"/>
              </w:rPr>
            </w:pPr>
            <w:r w:rsidRPr="009A3C88">
              <w:rPr>
                <w:rFonts w:eastAsia="Times New Roman" w:cs="Times New Roman"/>
                <w:b/>
                <w:bCs/>
                <w:color w:val="62B5E5"/>
                <w:sz w:val="16"/>
                <w:szCs w:val="16"/>
                <w:lang w:eastAsia="en-AU"/>
              </w:rPr>
              <w:t> </w:t>
            </w:r>
          </w:p>
        </w:tc>
        <w:tc>
          <w:tcPr>
            <w:tcW w:w="843" w:type="dxa"/>
            <w:tcBorders>
              <w:left w:val="single" w:sz="4" w:space="0" w:color="000000" w:themeColor="text1"/>
            </w:tcBorders>
            <w:shd w:val="clear" w:color="auto" w:fill="auto"/>
            <w:vAlign w:val="center"/>
            <w:hideMark/>
          </w:tcPr>
          <w:p w14:paraId="59408528" w14:textId="77777777" w:rsidR="005857E4" w:rsidRPr="009A3C88" w:rsidRDefault="005857E4" w:rsidP="007D2394">
            <w:pPr>
              <w:spacing w:after="0" w:line="240" w:lineRule="auto"/>
              <w:jc w:val="center"/>
              <w:rPr>
                <w:rFonts w:eastAsia="Times New Roman" w:cs="Times New Roman"/>
                <w:i/>
                <w:iCs/>
                <w:color w:val="62B5E5"/>
                <w:sz w:val="16"/>
                <w:szCs w:val="16"/>
                <w:lang w:eastAsia="en-AU"/>
              </w:rPr>
            </w:pPr>
            <w:r w:rsidRPr="009A3C88">
              <w:rPr>
                <w:rFonts w:eastAsia="Times New Roman" w:cs="Times New Roman"/>
                <w:i/>
                <w:iCs/>
                <w:color w:val="62B5E5"/>
                <w:sz w:val="16"/>
                <w:szCs w:val="16"/>
                <w:lang w:eastAsia="en-AU"/>
              </w:rPr>
              <w:t>Mean</w:t>
            </w:r>
          </w:p>
        </w:tc>
        <w:tc>
          <w:tcPr>
            <w:tcW w:w="843" w:type="dxa"/>
            <w:shd w:val="clear" w:color="auto" w:fill="auto"/>
            <w:vAlign w:val="center"/>
          </w:tcPr>
          <w:p w14:paraId="1B412C5F" w14:textId="1A88C78C" w:rsidR="005857E4" w:rsidRPr="009A3C88" w:rsidRDefault="005857E4" w:rsidP="007D2394">
            <w:pPr>
              <w:spacing w:after="0" w:line="240" w:lineRule="auto"/>
              <w:jc w:val="center"/>
              <w:rPr>
                <w:rFonts w:eastAsia="Times New Roman" w:cs="Times New Roman"/>
                <w:i/>
                <w:iCs/>
                <w:color w:val="62B5E5"/>
                <w:sz w:val="16"/>
                <w:szCs w:val="16"/>
                <w:lang w:eastAsia="en-AU"/>
              </w:rPr>
            </w:pPr>
            <w:r w:rsidRPr="009A3C88">
              <w:rPr>
                <w:rFonts w:eastAsia="Times New Roman" w:cs="Times New Roman"/>
                <w:i/>
                <w:iCs/>
                <w:color w:val="62B5E5"/>
                <w:sz w:val="16"/>
                <w:szCs w:val="16"/>
                <w:lang w:eastAsia="en-AU"/>
              </w:rPr>
              <w:t>WM</w:t>
            </w:r>
          </w:p>
        </w:tc>
        <w:tc>
          <w:tcPr>
            <w:tcW w:w="842" w:type="dxa"/>
            <w:tcBorders>
              <w:right w:val="single" w:sz="4" w:space="0" w:color="000000" w:themeColor="text1"/>
            </w:tcBorders>
            <w:shd w:val="clear" w:color="auto" w:fill="auto"/>
            <w:vAlign w:val="center"/>
            <w:hideMark/>
          </w:tcPr>
          <w:p w14:paraId="2E4FEE03" w14:textId="24F58A93" w:rsidR="005857E4" w:rsidRPr="009A3C88" w:rsidRDefault="005857E4" w:rsidP="007D2394">
            <w:pPr>
              <w:spacing w:after="0" w:line="240" w:lineRule="auto"/>
              <w:jc w:val="center"/>
              <w:rPr>
                <w:rFonts w:eastAsia="Times New Roman" w:cs="Times New Roman"/>
                <w:i/>
                <w:iCs/>
                <w:color w:val="62B5E5"/>
                <w:sz w:val="16"/>
                <w:szCs w:val="16"/>
                <w:lang w:eastAsia="en-AU"/>
              </w:rPr>
            </w:pPr>
            <w:r w:rsidRPr="009A3C88">
              <w:rPr>
                <w:rFonts w:eastAsia="Times New Roman" w:cs="Times New Roman"/>
                <w:i/>
                <w:iCs/>
                <w:color w:val="62B5E5"/>
                <w:sz w:val="16"/>
                <w:szCs w:val="16"/>
                <w:lang w:eastAsia="en-AU"/>
              </w:rPr>
              <w:t>Med</w:t>
            </w:r>
          </w:p>
        </w:tc>
        <w:tc>
          <w:tcPr>
            <w:tcW w:w="843" w:type="dxa"/>
            <w:tcBorders>
              <w:left w:val="single" w:sz="4" w:space="0" w:color="000000" w:themeColor="text1"/>
              <w:bottom w:val="single" w:sz="4" w:space="0" w:color="auto"/>
            </w:tcBorders>
            <w:shd w:val="clear" w:color="auto" w:fill="auto"/>
            <w:vAlign w:val="center"/>
            <w:hideMark/>
          </w:tcPr>
          <w:p w14:paraId="4B6AB717" w14:textId="77777777" w:rsidR="005857E4" w:rsidRPr="009A3C88" w:rsidRDefault="005857E4" w:rsidP="007D2394">
            <w:pPr>
              <w:spacing w:after="0" w:line="240" w:lineRule="auto"/>
              <w:jc w:val="center"/>
              <w:rPr>
                <w:rFonts w:eastAsia="Times New Roman" w:cs="Times New Roman"/>
                <w:i/>
                <w:iCs/>
                <w:color w:val="62B5E5"/>
                <w:sz w:val="16"/>
                <w:szCs w:val="16"/>
                <w:lang w:eastAsia="en-AU"/>
              </w:rPr>
            </w:pPr>
            <w:r w:rsidRPr="009A3C88">
              <w:rPr>
                <w:rFonts w:eastAsia="Times New Roman" w:cs="Times New Roman"/>
                <w:i/>
                <w:iCs/>
                <w:color w:val="62B5E5"/>
                <w:sz w:val="16"/>
                <w:szCs w:val="16"/>
                <w:lang w:eastAsia="en-AU"/>
              </w:rPr>
              <w:t>Mean</w:t>
            </w:r>
          </w:p>
        </w:tc>
        <w:tc>
          <w:tcPr>
            <w:tcW w:w="843" w:type="dxa"/>
            <w:shd w:val="clear" w:color="auto" w:fill="auto"/>
            <w:vAlign w:val="center"/>
          </w:tcPr>
          <w:p w14:paraId="57FECA91" w14:textId="3C7D360F" w:rsidR="005857E4" w:rsidRPr="009A3C88" w:rsidRDefault="005857E4" w:rsidP="007D2394">
            <w:pPr>
              <w:spacing w:after="0" w:line="240" w:lineRule="auto"/>
              <w:jc w:val="center"/>
              <w:rPr>
                <w:rFonts w:eastAsia="Times New Roman" w:cs="Times New Roman"/>
                <w:i/>
                <w:iCs/>
                <w:color w:val="62B5E5"/>
                <w:sz w:val="16"/>
                <w:szCs w:val="16"/>
                <w:lang w:eastAsia="en-AU"/>
              </w:rPr>
            </w:pPr>
            <w:r w:rsidRPr="009A3C88">
              <w:rPr>
                <w:rFonts w:eastAsia="Times New Roman" w:cs="Times New Roman"/>
                <w:i/>
                <w:iCs/>
                <w:color w:val="62B5E5"/>
                <w:sz w:val="16"/>
                <w:szCs w:val="16"/>
                <w:lang w:eastAsia="en-AU"/>
              </w:rPr>
              <w:t>WM</w:t>
            </w:r>
          </w:p>
        </w:tc>
        <w:tc>
          <w:tcPr>
            <w:tcW w:w="842" w:type="dxa"/>
            <w:tcBorders>
              <w:right w:val="single" w:sz="4" w:space="0" w:color="000000" w:themeColor="text1"/>
            </w:tcBorders>
            <w:shd w:val="clear" w:color="auto" w:fill="auto"/>
            <w:vAlign w:val="center"/>
            <w:hideMark/>
          </w:tcPr>
          <w:p w14:paraId="64ADF504" w14:textId="5BD0B5ED" w:rsidR="005857E4" w:rsidRPr="009A3C88" w:rsidRDefault="005857E4" w:rsidP="007D2394">
            <w:pPr>
              <w:spacing w:after="0" w:line="240" w:lineRule="auto"/>
              <w:jc w:val="center"/>
              <w:rPr>
                <w:rFonts w:eastAsia="Times New Roman" w:cs="Times New Roman"/>
                <w:i/>
                <w:iCs/>
                <w:color w:val="62B5E5"/>
                <w:sz w:val="16"/>
                <w:szCs w:val="16"/>
                <w:lang w:eastAsia="en-AU"/>
              </w:rPr>
            </w:pPr>
            <w:r w:rsidRPr="009A3C88">
              <w:rPr>
                <w:rFonts w:eastAsia="Times New Roman" w:cs="Times New Roman"/>
                <w:i/>
                <w:iCs/>
                <w:color w:val="62B5E5"/>
                <w:sz w:val="16"/>
                <w:szCs w:val="16"/>
                <w:lang w:eastAsia="en-AU"/>
              </w:rPr>
              <w:t>Med.</w:t>
            </w:r>
          </w:p>
        </w:tc>
        <w:tc>
          <w:tcPr>
            <w:tcW w:w="843" w:type="dxa"/>
            <w:tcBorders>
              <w:left w:val="single" w:sz="4" w:space="0" w:color="000000" w:themeColor="text1"/>
              <w:bottom w:val="single" w:sz="4" w:space="0" w:color="auto"/>
            </w:tcBorders>
            <w:shd w:val="clear" w:color="auto" w:fill="auto"/>
            <w:vAlign w:val="center"/>
            <w:hideMark/>
          </w:tcPr>
          <w:p w14:paraId="009D7A37" w14:textId="77777777" w:rsidR="005857E4" w:rsidRPr="009A3C88" w:rsidRDefault="005857E4" w:rsidP="007D2394">
            <w:pPr>
              <w:spacing w:after="0" w:line="240" w:lineRule="auto"/>
              <w:jc w:val="center"/>
              <w:rPr>
                <w:rFonts w:eastAsia="Times New Roman" w:cs="Times New Roman"/>
                <w:i/>
                <w:iCs/>
                <w:color w:val="62B5E5"/>
                <w:sz w:val="16"/>
                <w:szCs w:val="16"/>
                <w:lang w:eastAsia="en-AU"/>
              </w:rPr>
            </w:pPr>
            <w:r w:rsidRPr="009A3C88">
              <w:rPr>
                <w:rFonts w:eastAsia="Times New Roman" w:cs="Times New Roman"/>
                <w:i/>
                <w:iCs/>
                <w:color w:val="62B5E5"/>
                <w:sz w:val="16"/>
                <w:szCs w:val="16"/>
                <w:lang w:eastAsia="en-AU"/>
              </w:rPr>
              <w:t>Mean</w:t>
            </w:r>
          </w:p>
        </w:tc>
        <w:tc>
          <w:tcPr>
            <w:tcW w:w="843" w:type="dxa"/>
            <w:shd w:val="clear" w:color="auto" w:fill="auto"/>
            <w:vAlign w:val="center"/>
            <w:hideMark/>
          </w:tcPr>
          <w:p w14:paraId="346648B4" w14:textId="70E01DCF" w:rsidR="005857E4" w:rsidRPr="009A3C88" w:rsidRDefault="005857E4" w:rsidP="007D2394">
            <w:pPr>
              <w:spacing w:after="0" w:line="240" w:lineRule="auto"/>
              <w:jc w:val="center"/>
              <w:rPr>
                <w:rFonts w:eastAsia="Times New Roman" w:cs="Times New Roman"/>
                <w:i/>
                <w:iCs/>
                <w:color w:val="62B5E5"/>
                <w:sz w:val="16"/>
                <w:szCs w:val="16"/>
                <w:lang w:eastAsia="en-AU"/>
              </w:rPr>
            </w:pPr>
            <w:r w:rsidRPr="009A3C88">
              <w:rPr>
                <w:rFonts w:eastAsia="Times New Roman" w:cs="Times New Roman"/>
                <w:i/>
                <w:iCs/>
                <w:color w:val="62B5E5"/>
                <w:sz w:val="16"/>
                <w:szCs w:val="16"/>
                <w:lang w:eastAsia="en-AU"/>
              </w:rPr>
              <w:t>WM</w:t>
            </w:r>
          </w:p>
        </w:tc>
        <w:tc>
          <w:tcPr>
            <w:tcW w:w="854" w:type="dxa"/>
            <w:tcBorders>
              <w:right w:val="nil"/>
            </w:tcBorders>
            <w:shd w:val="clear" w:color="auto" w:fill="auto"/>
            <w:vAlign w:val="center"/>
            <w:hideMark/>
          </w:tcPr>
          <w:p w14:paraId="52FFE820" w14:textId="3113831E" w:rsidR="005857E4" w:rsidRPr="009A3C88" w:rsidRDefault="005857E4" w:rsidP="007D2394">
            <w:pPr>
              <w:spacing w:after="0" w:line="240" w:lineRule="auto"/>
              <w:jc w:val="center"/>
              <w:rPr>
                <w:rFonts w:eastAsia="Times New Roman" w:cs="Times New Roman"/>
                <w:i/>
                <w:iCs/>
                <w:color w:val="62B5E5"/>
                <w:sz w:val="16"/>
                <w:szCs w:val="16"/>
                <w:lang w:eastAsia="en-AU"/>
              </w:rPr>
            </w:pPr>
            <w:r w:rsidRPr="009A3C88">
              <w:rPr>
                <w:rFonts w:eastAsia="Times New Roman" w:cs="Times New Roman"/>
                <w:i/>
                <w:iCs/>
                <w:color w:val="62B5E5"/>
                <w:sz w:val="16"/>
                <w:szCs w:val="16"/>
                <w:lang w:eastAsia="en-AU"/>
              </w:rPr>
              <w:t>Med.</w:t>
            </w:r>
          </w:p>
        </w:tc>
      </w:tr>
      <w:tr w:rsidR="005857E4" w:rsidRPr="009A3C88" w14:paraId="2F0CE638" w14:textId="77777777" w:rsidTr="008C28C1">
        <w:trPr>
          <w:trHeight w:val="276"/>
        </w:trPr>
        <w:tc>
          <w:tcPr>
            <w:tcW w:w="1347" w:type="dxa"/>
            <w:tcBorders>
              <w:top w:val="single" w:sz="4" w:space="0" w:color="auto"/>
              <w:left w:val="nil"/>
              <w:bottom w:val="single" w:sz="4" w:space="0" w:color="auto"/>
              <w:right w:val="single" w:sz="4" w:space="0" w:color="000000" w:themeColor="text1"/>
            </w:tcBorders>
            <w:shd w:val="clear" w:color="auto" w:fill="auto"/>
            <w:vAlign w:val="center"/>
            <w:hideMark/>
          </w:tcPr>
          <w:p w14:paraId="3EE61F44" w14:textId="4A766C8F" w:rsidR="005857E4" w:rsidRPr="009A3C88" w:rsidRDefault="005857E4" w:rsidP="009A3C88">
            <w:pPr>
              <w:spacing w:after="0" w:line="240" w:lineRule="auto"/>
              <w:rPr>
                <w:rFonts w:eastAsia="Times New Roman" w:cs="Times New Roman"/>
                <w:color w:val="000000"/>
                <w:sz w:val="16"/>
                <w:szCs w:val="16"/>
                <w:lang w:eastAsia="en-AU"/>
              </w:rPr>
            </w:pPr>
            <w:r w:rsidRPr="009A3C88">
              <w:rPr>
                <w:rFonts w:eastAsia="Times New Roman" w:cs="Times New Roman"/>
                <w:color w:val="000000"/>
                <w:sz w:val="16"/>
                <w:szCs w:val="16"/>
                <w:lang w:eastAsia="en-AU"/>
              </w:rPr>
              <w:t>Weekday</w:t>
            </w:r>
          </w:p>
        </w:tc>
        <w:tc>
          <w:tcPr>
            <w:tcW w:w="843" w:type="dxa"/>
            <w:tcBorders>
              <w:top w:val="single" w:sz="4" w:space="0" w:color="auto"/>
              <w:left w:val="single" w:sz="4" w:space="0" w:color="000000" w:themeColor="text1"/>
            </w:tcBorders>
            <w:shd w:val="clear" w:color="auto" w:fill="auto"/>
            <w:vAlign w:val="center"/>
            <w:hideMark/>
          </w:tcPr>
          <w:p w14:paraId="1F8FA372" w14:textId="29DE709D" w:rsidR="005857E4" w:rsidRPr="009A3C88" w:rsidRDefault="005857E4" w:rsidP="00F037A9">
            <w:pPr>
              <w:pStyle w:val="TabletextRight"/>
              <w:jc w:val="center"/>
              <w:rPr>
                <w:sz w:val="16"/>
                <w:szCs w:val="16"/>
                <w:lang w:eastAsia="en-AU"/>
              </w:rPr>
            </w:pPr>
            <w:r w:rsidRPr="009A3C88">
              <w:rPr>
                <w:sz w:val="16"/>
                <w:szCs w:val="16"/>
                <w:lang w:eastAsia="en-AU"/>
              </w:rPr>
              <w:t>0%</w:t>
            </w:r>
          </w:p>
        </w:tc>
        <w:tc>
          <w:tcPr>
            <w:tcW w:w="843" w:type="dxa"/>
            <w:tcBorders>
              <w:top w:val="single" w:sz="4" w:space="0" w:color="auto"/>
            </w:tcBorders>
            <w:shd w:val="clear" w:color="auto" w:fill="auto"/>
            <w:vAlign w:val="center"/>
          </w:tcPr>
          <w:p w14:paraId="647E1804" w14:textId="55930F4D" w:rsidR="005857E4" w:rsidRPr="009A3C88" w:rsidRDefault="005857E4" w:rsidP="00F037A9">
            <w:pPr>
              <w:pStyle w:val="TabletextRight"/>
              <w:jc w:val="center"/>
              <w:rPr>
                <w:sz w:val="16"/>
                <w:szCs w:val="16"/>
                <w:lang w:eastAsia="en-AU"/>
              </w:rPr>
            </w:pPr>
            <w:r w:rsidRPr="009A3C88">
              <w:rPr>
                <w:sz w:val="16"/>
                <w:szCs w:val="16"/>
                <w:lang w:eastAsia="en-AU"/>
              </w:rPr>
              <w:t>0%</w:t>
            </w:r>
          </w:p>
        </w:tc>
        <w:tc>
          <w:tcPr>
            <w:tcW w:w="842" w:type="dxa"/>
            <w:tcBorders>
              <w:top w:val="single" w:sz="4" w:space="0" w:color="auto"/>
              <w:right w:val="single" w:sz="4" w:space="0" w:color="000000" w:themeColor="text1"/>
            </w:tcBorders>
            <w:shd w:val="clear" w:color="auto" w:fill="auto"/>
            <w:vAlign w:val="center"/>
          </w:tcPr>
          <w:p w14:paraId="546C35DB" w14:textId="051B7D0C" w:rsidR="005857E4" w:rsidRPr="009A3C88" w:rsidRDefault="005857E4" w:rsidP="00F037A9">
            <w:pPr>
              <w:pStyle w:val="TabletextRight"/>
              <w:jc w:val="center"/>
              <w:rPr>
                <w:sz w:val="16"/>
                <w:szCs w:val="16"/>
                <w:lang w:eastAsia="en-AU"/>
              </w:rPr>
            </w:pPr>
            <w:r w:rsidRPr="009A3C88">
              <w:rPr>
                <w:sz w:val="16"/>
                <w:szCs w:val="16"/>
                <w:lang w:eastAsia="en-AU"/>
              </w:rPr>
              <w:t>0%</w:t>
            </w:r>
          </w:p>
        </w:tc>
        <w:tc>
          <w:tcPr>
            <w:tcW w:w="843" w:type="dxa"/>
            <w:tcBorders>
              <w:top w:val="single" w:sz="4" w:space="0" w:color="auto"/>
              <w:left w:val="single" w:sz="4" w:space="0" w:color="000000" w:themeColor="text1"/>
              <w:bottom w:val="single" w:sz="4" w:space="0" w:color="auto"/>
            </w:tcBorders>
            <w:shd w:val="clear" w:color="auto" w:fill="auto"/>
            <w:vAlign w:val="center"/>
            <w:hideMark/>
          </w:tcPr>
          <w:p w14:paraId="565AFBAF" w14:textId="29FD8AD3" w:rsidR="005857E4" w:rsidRPr="009A3C88" w:rsidRDefault="005857E4" w:rsidP="00F037A9">
            <w:pPr>
              <w:pStyle w:val="TabletextRight"/>
              <w:jc w:val="center"/>
              <w:rPr>
                <w:sz w:val="16"/>
                <w:szCs w:val="16"/>
                <w:lang w:eastAsia="en-AU"/>
              </w:rPr>
            </w:pPr>
            <w:r w:rsidRPr="009A3C88">
              <w:rPr>
                <w:sz w:val="16"/>
                <w:szCs w:val="16"/>
                <w:lang w:eastAsia="en-AU"/>
              </w:rPr>
              <w:t>22%</w:t>
            </w:r>
          </w:p>
        </w:tc>
        <w:tc>
          <w:tcPr>
            <w:tcW w:w="843" w:type="dxa"/>
            <w:tcBorders>
              <w:top w:val="single" w:sz="4" w:space="0" w:color="auto"/>
            </w:tcBorders>
            <w:shd w:val="clear" w:color="auto" w:fill="auto"/>
            <w:vAlign w:val="center"/>
          </w:tcPr>
          <w:p w14:paraId="7B763C57" w14:textId="7EC39757" w:rsidR="005857E4" w:rsidRPr="009A3C88" w:rsidRDefault="005857E4" w:rsidP="00F037A9">
            <w:pPr>
              <w:pStyle w:val="TabletextRight"/>
              <w:jc w:val="center"/>
              <w:rPr>
                <w:sz w:val="16"/>
                <w:szCs w:val="16"/>
                <w:lang w:eastAsia="en-AU"/>
              </w:rPr>
            </w:pPr>
            <w:r w:rsidRPr="009A3C88">
              <w:rPr>
                <w:sz w:val="16"/>
                <w:szCs w:val="16"/>
                <w:lang w:eastAsia="en-AU"/>
              </w:rPr>
              <w:t>28%</w:t>
            </w:r>
          </w:p>
        </w:tc>
        <w:tc>
          <w:tcPr>
            <w:tcW w:w="842" w:type="dxa"/>
            <w:tcBorders>
              <w:top w:val="single" w:sz="4" w:space="0" w:color="auto"/>
              <w:right w:val="single" w:sz="4" w:space="0" w:color="000000" w:themeColor="text1"/>
            </w:tcBorders>
            <w:shd w:val="clear" w:color="auto" w:fill="auto"/>
            <w:vAlign w:val="center"/>
            <w:hideMark/>
          </w:tcPr>
          <w:p w14:paraId="01F5D8A9" w14:textId="68EC8065" w:rsidR="005857E4" w:rsidRPr="009A3C88" w:rsidRDefault="005857E4" w:rsidP="00F037A9">
            <w:pPr>
              <w:pStyle w:val="TabletextRight"/>
              <w:jc w:val="center"/>
              <w:rPr>
                <w:sz w:val="16"/>
                <w:szCs w:val="16"/>
                <w:lang w:eastAsia="en-AU"/>
              </w:rPr>
            </w:pPr>
            <w:r w:rsidRPr="009A3C88">
              <w:rPr>
                <w:sz w:val="16"/>
                <w:szCs w:val="16"/>
                <w:lang w:eastAsia="en-AU"/>
              </w:rPr>
              <w:t>25%</w:t>
            </w:r>
          </w:p>
        </w:tc>
        <w:tc>
          <w:tcPr>
            <w:tcW w:w="843" w:type="dxa"/>
            <w:tcBorders>
              <w:top w:val="single" w:sz="4" w:space="0" w:color="auto"/>
              <w:left w:val="single" w:sz="4" w:space="0" w:color="000000" w:themeColor="text1"/>
              <w:bottom w:val="single" w:sz="4" w:space="0" w:color="auto"/>
            </w:tcBorders>
            <w:shd w:val="clear" w:color="auto" w:fill="auto"/>
            <w:vAlign w:val="center"/>
            <w:hideMark/>
          </w:tcPr>
          <w:p w14:paraId="4F857308" w14:textId="198ACC12" w:rsidR="005857E4" w:rsidRPr="009A3C88" w:rsidRDefault="005857E4" w:rsidP="00F037A9">
            <w:pPr>
              <w:pStyle w:val="TabletextRight"/>
              <w:jc w:val="center"/>
              <w:rPr>
                <w:sz w:val="16"/>
                <w:szCs w:val="16"/>
                <w:lang w:eastAsia="en-AU"/>
              </w:rPr>
            </w:pPr>
            <w:r w:rsidRPr="009A3C88">
              <w:rPr>
                <w:sz w:val="16"/>
                <w:szCs w:val="16"/>
                <w:lang w:eastAsia="en-AU"/>
              </w:rPr>
              <w:t>22%</w:t>
            </w:r>
          </w:p>
        </w:tc>
        <w:tc>
          <w:tcPr>
            <w:tcW w:w="843" w:type="dxa"/>
            <w:tcBorders>
              <w:top w:val="single" w:sz="4" w:space="0" w:color="auto"/>
            </w:tcBorders>
            <w:shd w:val="clear" w:color="auto" w:fill="auto"/>
            <w:vAlign w:val="center"/>
          </w:tcPr>
          <w:p w14:paraId="4D9AD71E" w14:textId="7CC38994" w:rsidR="005857E4" w:rsidRPr="009A3C88" w:rsidRDefault="005857E4" w:rsidP="00F037A9">
            <w:pPr>
              <w:pStyle w:val="TabletextRight"/>
              <w:jc w:val="center"/>
              <w:rPr>
                <w:sz w:val="16"/>
                <w:szCs w:val="16"/>
                <w:lang w:eastAsia="en-AU"/>
              </w:rPr>
            </w:pPr>
            <w:r w:rsidRPr="009A3C88">
              <w:rPr>
                <w:sz w:val="16"/>
                <w:szCs w:val="16"/>
                <w:lang w:eastAsia="en-AU"/>
              </w:rPr>
              <w:t>28%</w:t>
            </w:r>
          </w:p>
        </w:tc>
        <w:tc>
          <w:tcPr>
            <w:tcW w:w="854" w:type="dxa"/>
            <w:tcBorders>
              <w:top w:val="single" w:sz="4" w:space="0" w:color="auto"/>
              <w:right w:val="nil"/>
            </w:tcBorders>
            <w:shd w:val="clear" w:color="auto" w:fill="auto"/>
            <w:vAlign w:val="center"/>
          </w:tcPr>
          <w:p w14:paraId="483B893E" w14:textId="39165D0C" w:rsidR="005857E4" w:rsidRPr="009A3C88" w:rsidRDefault="005857E4" w:rsidP="00F037A9">
            <w:pPr>
              <w:pStyle w:val="TabletextRight"/>
              <w:jc w:val="center"/>
              <w:rPr>
                <w:sz w:val="16"/>
                <w:szCs w:val="16"/>
                <w:lang w:eastAsia="en-AU"/>
              </w:rPr>
            </w:pPr>
            <w:r w:rsidRPr="009A3C88">
              <w:rPr>
                <w:sz w:val="16"/>
                <w:szCs w:val="16"/>
                <w:lang w:eastAsia="en-AU"/>
              </w:rPr>
              <w:t>25%</w:t>
            </w:r>
          </w:p>
        </w:tc>
      </w:tr>
      <w:tr w:rsidR="005857E4" w:rsidRPr="009A3C88" w14:paraId="4E494B92" w14:textId="77777777" w:rsidTr="008C28C1">
        <w:trPr>
          <w:trHeight w:val="276"/>
        </w:trPr>
        <w:tc>
          <w:tcPr>
            <w:tcW w:w="1347" w:type="dxa"/>
            <w:tcBorders>
              <w:top w:val="single" w:sz="4" w:space="0" w:color="auto"/>
              <w:left w:val="nil"/>
              <w:bottom w:val="single" w:sz="4" w:space="0" w:color="auto"/>
              <w:right w:val="single" w:sz="4" w:space="0" w:color="000000" w:themeColor="text1"/>
            </w:tcBorders>
            <w:shd w:val="clear" w:color="auto" w:fill="auto"/>
            <w:vAlign w:val="center"/>
            <w:hideMark/>
          </w:tcPr>
          <w:p w14:paraId="1CE8ABE4" w14:textId="77777777" w:rsidR="005857E4" w:rsidRPr="009A3C88" w:rsidRDefault="005857E4" w:rsidP="009A3C88">
            <w:pPr>
              <w:spacing w:after="0" w:line="240" w:lineRule="auto"/>
              <w:rPr>
                <w:rFonts w:eastAsia="Times New Roman" w:cs="Times New Roman"/>
                <w:color w:val="000000"/>
                <w:sz w:val="16"/>
                <w:szCs w:val="16"/>
                <w:lang w:eastAsia="en-AU"/>
              </w:rPr>
            </w:pPr>
            <w:r w:rsidRPr="009A3C88">
              <w:rPr>
                <w:rFonts w:eastAsia="Times New Roman" w:cs="Times New Roman"/>
                <w:color w:val="000000"/>
                <w:sz w:val="16"/>
                <w:szCs w:val="16"/>
                <w:lang w:eastAsia="en-AU"/>
              </w:rPr>
              <w:t>Saturday</w:t>
            </w:r>
          </w:p>
        </w:tc>
        <w:tc>
          <w:tcPr>
            <w:tcW w:w="843" w:type="dxa"/>
            <w:tcBorders>
              <w:top w:val="single" w:sz="4" w:space="0" w:color="auto"/>
              <w:left w:val="single" w:sz="4" w:space="0" w:color="000000" w:themeColor="text1"/>
              <w:bottom w:val="single" w:sz="4" w:space="0" w:color="auto"/>
            </w:tcBorders>
            <w:shd w:val="clear" w:color="auto" w:fill="auto"/>
            <w:vAlign w:val="center"/>
            <w:hideMark/>
          </w:tcPr>
          <w:p w14:paraId="411F5209" w14:textId="537F51FE" w:rsidR="005857E4" w:rsidRPr="009A3C88" w:rsidRDefault="005857E4" w:rsidP="00F037A9">
            <w:pPr>
              <w:pStyle w:val="TabletextRight"/>
              <w:jc w:val="center"/>
              <w:rPr>
                <w:sz w:val="16"/>
                <w:szCs w:val="16"/>
                <w:lang w:eastAsia="en-AU"/>
              </w:rPr>
            </w:pPr>
            <w:r w:rsidRPr="009A3C88">
              <w:rPr>
                <w:sz w:val="16"/>
                <w:szCs w:val="16"/>
                <w:lang w:eastAsia="en-AU"/>
              </w:rPr>
              <w:t>42%</w:t>
            </w:r>
          </w:p>
        </w:tc>
        <w:tc>
          <w:tcPr>
            <w:tcW w:w="843" w:type="dxa"/>
            <w:tcBorders>
              <w:top w:val="single" w:sz="4" w:space="0" w:color="auto"/>
              <w:bottom w:val="single" w:sz="4" w:space="0" w:color="auto"/>
            </w:tcBorders>
            <w:shd w:val="clear" w:color="auto" w:fill="auto"/>
            <w:vAlign w:val="center"/>
          </w:tcPr>
          <w:p w14:paraId="699AE74D" w14:textId="5679625A" w:rsidR="005857E4" w:rsidRPr="009A3C88" w:rsidRDefault="005857E4" w:rsidP="00F037A9">
            <w:pPr>
              <w:pStyle w:val="TabletextRight"/>
              <w:jc w:val="center"/>
              <w:rPr>
                <w:sz w:val="16"/>
                <w:szCs w:val="16"/>
                <w:lang w:eastAsia="en-AU"/>
              </w:rPr>
            </w:pPr>
            <w:r w:rsidRPr="009A3C88">
              <w:rPr>
                <w:sz w:val="16"/>
                <w:szCs w:val="16"/>
                <w:lang w:eastAsia="en-AU"/>
              </w:rPr>
              <w:t>51%</w:t>
            </w:r>
          </w:p>
        </w:tc>
        <w:tc>
          <w:tcPr>
            <w:tcW w:w="842" w:type="dxa"/>
            <w:tcBorders>
              <w:top w:val="single" w:sz="4" w:space="0" w:color="auto"/>
              <w:bottom w:val="single" w:sz="4" w:space="0" w:color="auto"/>
              <w:right w:val="single" w:sz="4" w:space="0" w:color="000000" w:themeColor="text1"/>
            </w:tcBorders>
            <w:shd w:val="clear" w:color="auto" w:fill="auto"/>
            <w:vAlign w:val="center"/>
          </w:tcPr>
          <w:p w14:paraId="76A87279" w14:textId="7D4F673D" w:rsidR="005857E4" w:rsidRPr="009A3C88" w:rsidRDefault="005857E4" w:rsidP="00F037A9">
            <w:pPr>
              <w:pStyle w:val="TabletextRight"/>
              <w:jc w:val="center"/>
              <w:rPr>
                <w:sz w:val="16"/>
                <w:szCs w:val="16"/>
                <w:lang w:eastAsia="en-AU"/>
              </w:rPr>
            </w:pPr>
            <w:r w:rsidRPr="009A3C88">
              <w:rPr>
                <w:sz w:val="16"/>
                <w:szCs w:val="16"/>
                <w:lang w:eastAsia="en-AU"/>
              </w:rPr>
              <w:t>50%</w:t>
            </w:r>
          </w:p>
        </w:tc>
        <w:tc>
          <w:tcPr>
            <w:tcW w:w="843" w:type="dxa"/>
            <w:tcBorders>
              <w:top w:val="single" w:sz="4" w:space="0" w:color="auto"/>
              <w:left w:val="single" w:sz="4" w:space="0" w:color="000000" w:themeColor="text1"/>
              <w:bottom w:val="single" w:sz="4" w:space="0" w:color="auto"/>
            </w:tcBorders>
            <w:shd w:val="clear" w:color="auto" w:fill="auto"/>
            <w:vAlign w:val="center"/>
            <w:hideMark/>
          </w:tcPr>
          <w:p w14:paraId="373C95AD" w14:textId="17CF49E0" w:rsidR="005857E4" w:rsidRPr="009A3C88" w:rsidRDefault="005857E4" w:rsidP="00F037A9">
            <w:pPr>
              <w:pStyle w:val="TabletextRight"/>
              <w:jc w:val="center"/>
              <w:rPr>
                <w:sz w:val="16"/>
                <w:szCs w:val="16"/>
                <w:lang w:eastAsia="en-AU"/>
              </w:rPr>
            </w:pPr>
            <w:r w:rsidRPr="009A3C88">
              <w:rPr>
                <w:sz w:val="16"/>
                <w:szCs w:val="16"/>
                <w:lang w:eastAsia="en-AU"/>
              </w:rPr>
              <w:t>48%</w:t>
            </w:r>
          </w:p>
        </w:tc>
        <w:tc>
          <w:tcPr>
            <w:tcW w:w="843" w:type="dxa"/>
            <w:tcBorders>
              <w:top w:val="single" w:sz="4" w:space="0" w:color="auto"/>
              <w:bottom w:val="single" w:sz="4" w:space="0" w:color="auto"/>
            </w:tcBorders>
            <w:shd w:val="clear" w:color="auto" w:fill="auto"/>
            <w:vAlign w:val="center"/>
          </w:tcPr>
          <w:p w14:paraId="2A46E24B" w14:textId="0651DA90" w:rsidR="005857E4" w:rsidRPr="009A3C88" w:rsidRDefault="005857E4" w:rsidP="00F037A9">
            <w:pPr>
              <w:pStyle w:val="TabletextRight"/>
              <w:jc w:val="center"/>
              <w:rPr>
                <w:sz w:val="16"/>
                <w:szCs w:val="16"/>
                <w:lang w:eastAsia="en-AU"/>
              </w:rPr>
            </w:pPr>
            <w:r w:rsidRPr="009A3C88">
              <w:rPr>
                <w:sz w:val="16"/>
                <w:szCs w:val="16"/>
                <w:lang w:eastAsia="en-AU"/>
              </w:rPr>
              <w:t>53%</w:t>
            </w:r>
          </w:p>
        </w:tc>
        <w:tc>
          <w:tcPr>
            <w:tcW w:w="842" w:type="dxa"/>
            <w:tcBorders>
              <w:top w:val="single" w:sz="4" w:space="0" w:color="auto"/>
              <w:bottom w:val="single" w:sz="4" w:space="0" w:color="auto"/>
              <w:right w:val="single" w:sz="4" w:space="0" w:color="000000" w:themeColor="text1"/>
            </w:tcBorders>
            <w:shd w:val="clear" w:color="auto" w:fill="auto"/>
            <w:vAlign w:val="center"/>
            <w:hideMark/>
          </w:tcPr>
          <w:p w14:paraId="7C6425EB" w14:textId="190E38A9" w:rsidR="005857E4" w:rsidRPr="009A3C88" w:rsidRDefault="005857E4" w:rsidP="00F037A9">
            <w:pPr>
              <w:pStyle w:val="TabletextRight"/>
              <w:jc w:val="center"/>
              <w:rPr>
                <w:sz w:val="16"/>
                <w:szCs w:val="16"/>
                <w:lang w:eastAsia="en-AU"/>
              </w:rPr>
            </w:pPr>
            <w:r w:rsidRPr="009A3C88">
              <w:rPr>
                <w:sz w:val="16"/>
                <w:szCs w:val="16"/>
                <w:lang w:eastAsia="en-AU"/>
              </w:rPr>
              <w:t>50%</w:t>
            </w:r>
          </w:p>
        </w:tc>
        <w:tc>
          <w:tcPr>
            <w:tcW w:w="843" w:type="dxa"/>
            <w:tcBorders>
              <w:top w:val="single" w:sz="4" w:space="0" w:color="auto"/>
              <w:left w:val="single" w:sz="4" w:space="0" w:color="000000" w:themeColor="text1"/>
              <w:bottom w:val="single" w:sz="4" w:space="0" w:color="auto"/>
            </w:tcBorders>
            <w:shd w:val="clear" w:color="auto" w:fill="auto"/>
            <w:vAlign w:val="center"/>
            <w:hideMark/>
          </w:tcPr>
          <w:p w14:paraId="290F9DEF" w14:textId="0FAC6AF7" w:rsidR="005857E4" w:rsidRPr="009A3C88" w:rsidRDefault="005857E4" w:rsidP="00F037A9">
            <w:pPr>
              <w:pStyle w:val="TabletextRight"/>
              <w:jc w:val="center"/>
              <w:rPr>
                <w:sz w:val="16"/>
                <w:szCs w:val="16"/>
                <w:lang w:eastAsia="en-AU"/>
              </w:rPr>
            </w:pPr>
            <w:r w:rsidRPr="009A3C88">
              <w:rPr>
                <w:sz w:val="16"/>
                <w:szCs w:val="16"/>
                <w:lang w:eastAsia="en-AU"/>
              </w:rPr>
              <w:t>6%</w:t>
            </w:r>
          </w:p>
        </w:tc>
        <w:tc>
          <w:tcPr>
            <w:tcW w:w="843" w:type="dxa"/>
            <w:tcBorders>
              <w:top w:val="single" w:sz="4" w:space="0" w:color="auto"/>
              <w:bottom w:val="single" w:sz="4" w:space="0" w:color="auto"/>
            </w:tcBorders>
            <w:shd w:val="clear" w:color="auto" w:fill="auto"/>
            <w:vAlign w:val="center"/>
          </w:tcPr>
          <w:p w14:paraId="572AB383" w14:textId="649033F6" w:rsidR="005857E4" w:rsidRPr="009A3C88" w:rsidRDefault="005857E4" w:rsidP="00F037A9">
            <w:pPr>
              <w:pStyle w:val="TabletextRight"/>
              <w:jc w:val="center"/>
              <w:rPr>
                <w:sz w:val="16"/>
                <w:szCs w:val="16"/>
                <w:lang w:eastAsia="en-AU"/>
              </w:rPr>
            </w:pPr>
            <w:r w:rsidRPr="009A3C88">
              <w:rPr>
                <w:sz w:val="16"/>
                <w:szCs w:val="16"/>
                <w:lang w:eastAsia="en-AU"/>
              </w:rPr>
              <w:t>2%</w:t>
            </w:r>
          </w:p>
        </w:tc>
        <w:tc>
          <w:tcPr>
            <w:tcW w:w="854" w:type="dxa"/>
            <w:tcBorders>
              <w:top w:val="single" w:sz="4" w:space="0" w:color="auto"/>
              <w:bottom w:val="single" w:sz="4" w:space="0" w:color="auto"/>
              <w:right w:val="nil"/>
            </w:tcBorders>
            <w:shd w:val="clear" w:color="auto" w:fill="auto"/>
            <w:vAlign w:val="center"/>
          </w:tcPr>
          <w:p w14:paraId="1C3592B1" w14:textId="5597A424" w:rsidR="005857E4" w:rsidRPr="009A3C88" w:rsidRDefault="005857E4" w:rsidP="00F037A9">
            <w:pPr>
              <w:pStyle w:val="TabletextRight"/>
              <w:jc w:val="center"/>
              <w:rPr>
                <w:sz w:val="16"/>
                <w:szCs w:val="16"/>
                <w:lang w:eastAsia="en-AU"/>
              </w:rPr>
            </w:pPr>
            <w:r w:rsidRPr="009A3C88">
              <w:rPr>
                <w:sz w:val="16"/>
                <w:szCs w:val="16"/>
                <w:lang w:eastAsia="en-AU"/>
              </w:rPr>
              <w:t>0%</w:t>
            </w:r>
          </w:p>
        </w:tc>
      </w:tr>
      <w:tr w:rsidR="005857E4" w:rsidRPr="009A3C88" w14:paraId="03FCC84B" w14:textId="77777777" w:rsidTr="008C28C1">
        <w:trPr>
          <w:trHeight w:val="276"/>
        </w:trPr>
        <w:tc>
          <w:tcPr>
            <w:tcW w:w="1347" w:type="dxa"/>
            <w:tcBorders>
              <w:top w:val="single" w:sz="4" w:space="0" w:color="auto"/>
              <w:left w:val="nil"/>
              <w:bottom w:val="single" w:sz="4" w:space="0" w:color="auto"/>
              <w:right w:val="single" w:sz="4" w:space="0" w:color="000000" w:themeColor="text1"/>
            </w:tcBorders>
            <w:shd w:val="clear" w:color="auto" w:fill="auto"/>
            <w:vAlign w:val="center"/>
            <w:hideMark/>
          </w:tcPr>
          <w:p w14:paraId="6CE4ED83" w14:textId="77777777" w:rsidR="005857E4" w:rsidRPr="009A3C88" w:rsidRDefault="005857E4" w:rsidP="009A3C88">
            <w:pPr>
              <w:spacing w:after="0" w:line="240" w:lineRule="auto"/>
              <w:rPr>
                <w:rFonts w:eastAsia="Times New Roman" w:cs="Times New Roman"/>
                <w:color w:val="000000"/>
                <w:sz w:val="16"/>
                <w:szCs w:val="16"/>
                <w:lang w:eastAsia="en-AU"/>
              </w:rPr>
            </w:pPr>
            <w:r w:rsidRPr="009A3C88">
              <w:rPr>
                <w:rFonts w:eastAsia="Times New Roman" w:cs="Times New Roman"/>
                <w:color w:val="000000"/>
                <w:sz w:val="16"/>
                <w:szCs w:val="16"/>
                <w:lang w:eastAsia="en-AU"/>
              </w:rPr>
              <w:t>Sunday</w:t>
            </w:r>
          </w:p>
        </w:tc>
        <w:tc>
          <w:tcPr>
            <w:tcW w:w="843" w:type="dxa"/>
            <w:tcBorders>
              <w:top w:val="single" w:sz="4" w:space="0" w:color="auto"/>
              <w:left w:val="single" w:sz="4" w:space="0" w:color="000000" w:themeColor="text1"/>
              <w:bottom w:val="single" w:sz="4" w:space="0" w:color="auto"/>
            </w:tcBorders>
            <w:shd w:val="clear" w:color="auto" w:fill="auto"/>
            <w:vAlign w:val="center"/>
            <w:hideMark/>
          </w:tcPr>
          <w:p w14:paraId="15097066" w14:textId="2A3C7224" w:rsidR="005857E4" w:rsidRPr="009A3C88" w:rsidRDefault="005857E4" w:rsidP="00F037A9">
            <w:pPr>
              <w:pStyle w:val="TabletextRight"/>
              <w:jc w:val="center"/>
              <w:rPr>
                <w:sz w:val="16"/>
                <w:szCs w:val="16"/>
                <w:lang w:eastAsia="en-AU"/>
              </w:rPr>
            </w:pPr>
            <w:r w:rsidRPr="009A3C88">
              <w:rPr>
                <w:sz w:val="16"/>
                <w:szCs w:val="16"/>
                <w:lang w:eastAsia="en-AU"/>
              </w:rPr>
              <w:t>63%</w:t>
            </w:r>
          </w:p>
        </w:tc>
        <w:tc>
          <w:tcPr>
            <w:tcW w:w="843" w:type="dxa"/>
            <w:tcBorders>
              <w:top w:val="single" w:sz="4" w:space="0" w:color="auto"/>
              <w:bottom w:val="single" w:sz="4" w:space="0" w:color="auto"/>
            </w:tcBorders>
            <w:shd w:val="clear" w:color="auto" w:fill="auto"/>
            <w:vAlign w:val="center"/>
          </w:tcPr>
          <w:p w14:paraId="2629B6F3" w14:textId="6BF38B9E" w:rsidR="005857E4" w:rsidRPr="009A3C88" w:rsidRDefault="005857E4" w:rsidP="00F037A9">
            <w:pPr>
              <w:pStyle w:val="TabletextRight"/>
              <w:jc w:val="center"/>
              <w:rPr>
                <w:sz w:val="16"/>
                <w:szCs w:val="16"/>
                <w:lang w:eastAsia="en-AU"/>
              </w:rPr>
            </w:pPr>
            <w:r w:rsidRPr="009A3C88">
              <w:rPr>
                <w:sz w:val="16"/>
                <w:szCs w:val="16"/>
                <w:lang w:eastAsia="en-AU"/>
              </w:rPr>
              <w:t>76%</w:t>
            </w:r>
          </w:p>
        </w:tc>
        <w:tc>
          <w:tcPr>
            <w:tcW w:w="842" w:type="dxa"/>
            <w:tcBorders>
              <w:top w:val="single" w:sz="4" w:space="0" w:color="auto"/>
              <w:bottom w:val="single" w:sz="4" w:space="0" w:color="auto"/>
              <w:right w:val="single" w:sz="4" w:space="0" w:color="000000" w:themeColor="text1"/>
            </w:tcBorders>
            <w:shd w:val="clear" w:color="auto" w:fill="auto"/>
            <w:vAlign w:val="center"/>
          </w:tcPr>
          <w:p w14:paraId="295C3D1A" w14:textId="2CA2F136" w:rsidR="005857E4" w:rsidRPr="009A3C88" w:rsidRDefault="005857E4" w:rsidP="00F037A9">
            <w:pPr>
              <w:pStyle w:val="TabletextRight"/>
              <w:jc w:val="center"/>
              <w:rPr>
                <w:sz w:val="16"/>
                <w:szCs w:val="16"/>
                <w:lang w:eastAsia="en-AU"/>
              </w:rPr>
            </w:pPr>
            <w:r w:rsidRPr="009A3C88">
              <w:rPr>
                <w:sz w:val="16"/>
                <w:szCs w:val="16"/>
                <w:lang w:eastAsia="en-AU"/>
              </w:rPr>
              <w:t>60%</w:t>
            </w:r>
          </w:p>
        </w:tc>
        <w:tc>
          <w:tcPr>
            <w:tcW w:w="843" w:type="dxa"/>
            <w:tcBorders>
              <w:top w:val="single" w:sz="4" w:space="0" w:color="auto"/>
              <w:left w:val="single" w:sz="4" w:space="0" w:color="000000" w:themeColor="text1"/>
              <w:bottom w:val="single" w:sz="4" w:space="0" w:color="auto"/>
            </w:tcBorders>
            <w:shd w:val="clear" w:color="auto" w:fill="auto"/>
            <w:vAlign w:val="center"/>
            <w:hideMark/>
          </w:tcPr>
          <w:p w14:paraId="52A0EA75" w14:textId="34B81C0A" w:rsidR="005857E4" w:rsidRPr="009A3C88" w:rsidRDefault="005857E4" w:rsidP="00F037A9">
            <w:pPr>
              <w:pStyle w:val="TabletextRight"/>
              <w:jc w:val="center"/>
              <w:rPr>
                <w:sz w:val="16"/>
                <w:szCs w:val="16"/>
                <w:lang w:eastAsia="en-AU"/>
              </w:rPr>
            </w:pPr>
            <w:r w:rsidRPr="009A3C88">
              <w:rPr>
                <w:sz w:val="16"/>
                <w:szCs w:val="16"/>
                <w:lang w:eastAsia="en-AU"/>
              </w:rPr>
              <w:t>69%</w:t>
            </w:r>
          </w:p>
        </w:tc>
        <w:tc>
          <w:tcPr>
            <w:tcW w:w="843" w:type="dxa"/>
            <w:tcBorders>
              <w:top w:val="single" w:sz="4" w:space="0" w:color="auto"/>
              <w:bottom w:val="single" w:sz="4" w:space="0" w:color="auto"/>
            </w:tcBorders>
            <w:shd w:val="clear" w:color="auto" w:fill="auto"/>
            <w:vAlign w:val="center"/>
          </w:tcPr>
          <w:p w14:paraId="024F6672" w14:textId="1618743E" w:rsidR="005857E4" w:rsidRPr="009A3C88" w:rsidRDefault="005857E4" w:rsidP="00F037A9">
            <w:pPr>
              <w:pStyle w:val="TabletextRight"/>
              <w:jc w:val="center"/>
              <w:rPr>
                <w:sz w:val="16"/>
                <w:szCs w:val="16"/>
                <w:lang w:eastAsia="en-AU"/>
              </w:rPr>
            </w:pPr>
            <w:r w:rsidRPr="009A3C88">
              <w:rPr>
                <w:sz w:val="16"/>
                <w:szCs w:val="16"/>
                <w:lang w:eastAsia="en-AU"/>
              </w:rPr>
              <w:t>78%</w:t>
            </w:r>
          </w:p>
        </w:tc>
        <w:tc>
          <w:tcPr>
            <w:tcW w:w="842" w:type="dxa"/>
            <w:tcBorders>
              <w:top w:val="single" w:sz="4" w:space="0" w:color="auto"/>
              <w:bottom w:val="single" w:sz="4" w:space="0" w:color="auto"/>
              <w:right w:val="single" w:sz="4" w:space="0" w:color="000000" w:themeColor="text1"/>
            </w:tcBorders>
            <w:shd w:val="clear" w:color="auto" w:fill="auto"/>
            <w:vAlign w:val="center"/>
            <w:hideMark/>
          </w:tcPr>
          <w:p w14:paraId="3B19D205" w14:textId="2C160353" w:rsidR="005857E4" w:rsidRPr="009A3C88" w:rsidRDefault="005857E4" w:rsidP="00F037A9">
            <w:pPr>
              <w:pStyle w:val="TabletextRight"/>
              <w:jc w:val="center"/>
              <w:rPr>
                <w:sz w:val="16"/>
                <w:szCs w:val="16"/>
                <w:lang w:eastAsia="en-AU"/>
              </w:rPr>
            </w:pPr>
            <w:r w:rsidRPr="009A3C88">
              <w:rPr>
                <w:sz w:val="16"/>
                <w:szCs w:val="16"/>
                <w:lang w:eastAsia="en-AU"/>
              </w:rPr>
              <w:t>75%</w:t>
            </w:r>
          </w:p>
        </w:tc>
        <w:tc>
          <w:tcPr>
            <w:tcW w:w="843" w:type="dxa"/>
            <w:tcBorders>
              <w:top w:val="single" w:sz="4" w:space="0" w:color="auto"/>
              <w:left w:val="single" w:sz="4" w:space="0" w:color="000000" w:themeColor="text1"/>
              <w:bottom w:val="single" w:sz="4" w:space="0" w:color="auto"/>
            </w:tcBorders>
            <w:shd w:val="clear" w:color="auto" w:fill="auto"/>
            <w:vAlign w:val="center"/>
            <w:hideMark/>
          </w:tcPr>
          <w:p w14:paraId="689AE2E8" w14:textId="4BAFA4DD" w:rsidR="005857E4" w:rsidRPr="009A3C88" w:rsidRDefault="005857E4" w:rsidP="00F037A9">
            <w:pPr>
              <w:pStyle w:val="TabletextRight"/>
              <w:jc w:val="center"/>
              <w:rPr>
                <w:sz w:val="16"/>
                <w:szCs w:val="16"/>
                <w:lang w:eastAsia="en-AU"/>
              </w:rPr>
            </w:pPr>
            <w:r w:rsidRPr="009A3C88">
              <w:rPr>
                <w:sz w:val="16"/>
                <w:szCs w:val="16"/>
                <w:lang w:eastAsia="en-AU"/>
              </w:rPr>
              <w:t>6%</w:t>
            </w:r>
          </w:p>
        </w:tc>
        <w:tc>
          <w:tcPr>
            <w:tcW w:w="843" w:type="dxa"/>
            <w:tcBorders>
              <w:top w:val="single" w:sz="4" w:space="0" w:color="auto"/>
              <w:bottom w:val="single" w:sz="4" w:space="0" w:color="auto"/>
            </w:tcBorders>
            <w:shd w:val="clear" w:color="auto" w:fill="auto"/>
            <w:vAlign w:val="center"/>
          </w:tcPr>
          <w:p w14:paraId="18FFCE01" w14:textId="2C548BD3" w:rsidR="005857E4" w:rsidRPr="009A3C88" w:rsidRDefault="005857E4" w:rsidP="00F037A9">
            <w:pPr>
              <w:pStyle w:val="TabletextRight"/>
              <w:jc w:val="center"/>
              <w:rPr>
                <w:sz w:val="16"/>
                <w:szCs w:val="16"/>
                <w:lang w:eastAsia="en-AU"/>
              </w:rPr>
            </w:pPr>
            <w:r w:rsidRPr="009A3C88">
              <w:rPr>
                <w:sz w:val="16"/>
                <w:szCs w:val="16"/>
                <w:lang w:eastAsia="en-AU"/>
              </w:rPr>
              <w:t>2%</w:t>
            </w:r>
          </w:p>
        </w:tc>
        <w:tc>
          <w:tcPr>
            <w:tcW w:w="854" w:type="dxa"/>
            <w:tcBorders>
              <w:top w:val="single" w:sz="4" w:space="0" w:color="auto"/>
              <w:bottom w:val="single" w:sz="4" w:space="0" w:color="auto"/>
              <w:right w:val="nil"/>
            </w:tcBorders>
            <w:shd w:val="clear" w:color="auto" w:fill="auto"/>
            <w:vAlign w:val="center"/>
          </w:tcPr>
          <w:p w14:paraId="288EA92C" w14:textId="2C736D2B" w:rsidR="005857E4" w:rsidRPr="009A3C88" w:rsidRDefault="005857E4" w:rsidP="00F037A9">
            <w:pPr>
              <w:pStyle w:val="TabletextRight"/>
              <w:jc w:val="center"/>
              <w:rPr>
                <w:sz w:val="16"/>
                <w:szCs w:val="16"/>
                <w:lang w:eastAsia="en-AU"/>
              </w:rPr>
            </w:pPr>
            <w:r w:rsidRPr="009A3C88">
              <w:rPr>
                <w:sz w:val="16"/>
                <w:szCs w:val="16"/>
                <w:lang w:eastAsia="en-AU"/>
              </w:rPr>
              <w:t>1</w:t>
            </w:r>
            <w:r>
              <w:rPr>
                <w:sz w:val="16"/>
                <w:szCs w:val="16"/>
                <w:lang w:eastAsia="en-AU"/>
              </w:rPr>
              <w:t>5</w:t>
            </w:r>
            <w:r w:rsidRPr="009A3C88">
              <w:rPr>
                <w:sz w:val="16"/>
                <w:szCs w:val="16"/>
                <w:lang w:eastAsia="en-AU"/>
              </w:rPr>
              <w:t>%</w:t>
            </w:r>
          </w:p>
        </w:tc>
      </w:tr>
    </w:tbl>
    <w:p w14:paraId="7A39823A" w14:textId="6823A774" w:rsidR="00C670D0" w:rsidRDefault="00C670D0">
      <w:pPr>
        <w:spacing w:after="0"/>
      </w:pPr>
      <w:bookmarkStart w:id="133" w:name="_Toc36130582"/>
      <w:bookmarkEnd w:id="132"/>
      <w:bookmarkEnd w:id="133"/>
    </w:p>
    <w:p w14:paraId="6183B74A" w14:textId="2E9A3E14" w:rsidR="0040409C" w:rsidRDefault="00704CA0" w:rsidP="0040409C">
      <w:pPr>
        <w:spacing w:after="0"/>
      </w:pPr>
      <w:r>
        <w:fldChar w:fldCharType="begin"/>
      </w:r>
      <w:r>
        <w:instrText xml:space="preserve"> REF _Ref39046306 \r \h </w:instrText>
      </w:r>
      <w:r>
        <w:fldChar w:fldCharType="separate"/>
      </w:r>
      <w:r w:rsidR="00283637">
        <w:t>Table 3.7</w:t>
      </w:r>
      <w:r>
        <w:fldChar w:fldCharType="end"/>
      </w:r>
      <w:r>
        <w:t xml:space="preserve"> </w:t>
      </w:r>
      <w:r w:rsidR="0040409C">
        <w:t>illustrates</w:t>
      </w:r>
      <w:r w:rsidR="00F037A9" w:rsidRPr="00F037A9">
        <w:t xml:space="preserve"> </w:t>
      </w:r>
      <w:r w:rsidR="0040409C">
        <w:t xml:space="preserve">the non-SCHADS survey results </w:t>
      </w:r>
      <w:r w:rsidR="000E3A77">
        <w:t>at</w:t>
      </w:r>
      <w:r w:rsidR="0040409C">
        <w:t xml:space="preserve"> the 25</w:t>
      </w:r>
      <w:r w:rsidR="0040409C" w:rsidRPr="0040409C">
        <w:rPr>
          <w:vertAlign w:val="superscript"/>
        </w:rPr>
        <w:t>th</w:t>
      </w:r>
      <w:r w:rsidR="0040409C">
        <w:t xml:space="preserve"> and 75</w:t>
      </w:r>
      <w:r w:rsidR="0040409C" w:rsidRPr="0040409C">
        <w:rPr>
          <w:vertAlign w:val="superscript"/>
        </w:rPr>
        <w:t>th</w:t>
      </w:r>
      <w:r w:rsidR="0040409C">
        <w:t xml:space="preserve"> percentiles. Two key themes emerge from these results – first, differences between permanent and casual rates are most pronounced during weekdays</w:t>
      </w:r>
      <w:r w:rsidR="00AE210C">
        <w:t>,</w:t>
      </w:r>
      <w:r w:rsidR="0040409C">
        <w:t xml:space="preserve"> and second, </w:t>
      </w:r>
      <w:r w:rsidR="00AE210C">
        <w:t xml:space="preserve">the </w:t>
      </w:r>
      <w:r w:rsidR="00FE3A3A">
        <w:t>range</w:t>
      </w:r>
      <w:r w:rsidR="00AE210C">
        <w:t xml:space="preserve"> of results </w:t>
      </w:r>
      <w:r w:rsidR="00FE3A3A">
        <w:t>increases</w:t>
      </w:r>
      <w:r w:rsidR="00AE210C">
        <w:t xml:space="preserve"> when moving from weekdays to weekends.</w:t>
      </w:r>
    </w:p>
    <w:p w14:paraId="0BADB946" w14:textId="2A0C5CAD" w:rsidR="007453E7" w:rsidRDefault="00506519" w:rsidP="00D861A2">
      <w:pPr>
        <w:pStyle w:val="CaptionTable"/>
        <w:ind w:left="0"/>
      </w:pPr>
      <w:bookmarkStart w:id="134" w:name="_Ref38788510"/>
      <w:bookmarkStart w:id="135" w:name="_Ref39046306"/>
      <w:bookmarkStart w:id="136" w:name="_Toc40454688"/>
      <w:r>
        <w:lastRenderedPageBreak/>
        <w:t>Shift loadings</w:t>
      </w:r>
      <w:r w:rsidR="007453E7">
        <w:t>, percentiles</w:t>
      </w:r>
      <w:bookmarkEnd w:id="134"/>
      <w:r w:rsidR="008F1C45">
        <w:t xml:space="preserve"> -</w:t>
      </w:r>
      <w:r w:rsidR="008F1C45" w:rsidRPr="008F1C45">
        <w:t xml:space="preserve"> </w:t>
      </w:r>
      <w:r w:rsidR="008F1C45">
        <w:t>non-SCHADS only</w:t>
      </w:r>
      <w:bookmarkEnd w:id="135"/>
      <w:bookmarkEnd w:id="136"/>
    </w:p>
    <w:tbl>
      <w:tblPr>
        <w:tblW w:w="4996" w:type="pct"/>
        <w:tblLook w:val="04A0" w:firstRow="1" w:lastRow="0" w:firstColumn="1" w:lastColumn="0" w:noHBand="0" w:noVBand="1"/>
      </w:tblPr>
      <w:tblGrid>
        <w:gridCol w:w="2349"/>
        <w:gridCol w:w="1108"/>
        <w:gridCol w:w="1117"/>
        <w:gridCol w:w="1109"/>
        <w:gridCol w:w="1118"/>
        <w:gridCol w:w="1109"/>
        <w:gridCol w:w="1109"/>
      </w:tblGrid>
      <w:tr w:rsidR="00117C44" w:rsidRPr="000E3A77" w14:paraId="498BE0D9" w14:textId="77777777" w:rsidTr="000E3A77">
        <w:trPr>
          <w:trHeight w:val="315"/>
        </w:trPr>
        <w:tc>
          <w:tcPr>
            <w:tcW w:w="1302" w:type="pct"/>
            <w:tcBorders>
              <w:top w:val="single" w:sz="12" w:space="0" w:color="62B5E5" w:themeColor="accent3"/>
              <w:left w:val="nil"/>
              <w:right w:val="single" w:sz="4" w:space="0" w:color="000000" w:themeColor="text1"/>
            </w:tcBorders>
            <w:shd w:val="clear" w:color="auto" w:fill="auto"/>
            <w:vAlign w:val="center"/>
            <w:hideMark/>
          </w:tcPr>
          <w:p w14:paraId="206357F8" w14:textId="77777777" w:rsidR="00117C44" w:rsidRPr="00D655A4" w:rsidRDefault="00117C44" w:rsidP="00D861A2">
            <w:pPr>
              <w:keepNext/>
              <w:keepLines/>
              <w:spacing w:after="0" w:line="240" w:lineRule="auto"/>
              <w:rPr>
                <w:rFonts w:eastAsia="Times New Roman" w:cs="Calibri"/>
                <w:b/>
                <w:bCs/>
                <w:color w:val="62B5E5"/>
                <w:sz w:val="16"/>
                <w:szCs w:val="16"/>
                <w:lang w:val="en-US"/>
              </w:rPr>
            </w:pPr>
            <w:r w:rsidRPr="00D655A4">
              <w:rPr>
                <w:rFonts w:eastAsia="Times New Roman" w:cs="Calibri"/>
                <w:b/>
                <w:bCs/>
                <w:color w:val="62B5E5"/>
                <w:sz w:val="16"/>
                <w:szCs w:val="16"/>
              </w:rPr>
              <w:t> </w:t>
            </w:r>
          </w:p>
        </w:tc>
        <w:tc>
          <w:tcPr>
            <w:tcW w:w="1232" w:type="pct"/>
            <w:gridSpan w:val="2"/>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1E328E27" w14:textId="0A9C7511" w:rsidR="00117C44" w:rsidRPr="00D655A4" w:rsidRDefault="00117C44" w:rsidP="00D861A2">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Perm</w:t>
            </w:r>
            <w:r w:rsidR="00F037A9" w:rsidRPr="00D655A4">
              <w:rPr>
                <w:rFonts w:eastAsia="Times New Roman" w:cs="Calibri"/>
                <w:b/>
                <w:bCs/>
                <w:color w:val="62B5E5"/>
                <w:sz w:val="16"/>
                <w:szCs w:val="16"/>
              </w:rPr>
              <w:t>anent</w:t>
            </w:r>
          </w:p>
        </w:tc>
        <w:tc>
          <w:tcPr>
            <w:tcW w:w="1235" w:type="pct"/>
            <w:gridSpan w:val="2"/>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14842578" w14:textId="633CC8A6" w:rsidR="00117C44" w:rsidRPr="00D655A4" w:rsidRDefault="00117C44" w:rsidP="00D861A2">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Cas</w:t>
            </w:r>
            <w:r w:rsidR="00F037A9" w:rsidRPr="00D655A4">
              <w:rPr>
                <w:rFonts w:eastAsia="Times New Roman" w:cs="Calibri"/>
                <w:b/>
                <w:bCs/>
                <w:color w:val="62B5E5"/>
                <w:sz w:val="16"/>
                <w:szCs w:val="16"/>
              </w:rPr>
              <w:t>ual</w:t>
            </w:r>
          </w:p>
        </w:tc>
        <w:tc>
          <w:tcPr>
            <w:tcW w:w="1231" w:type="pct"/>
            <w:gridSpan w:val="2"/>
            <w:tcBorders>
              <w:top w:val="single" w:sz="12" w:space="0" w:color="62B5E5" w:themeColor="accent3"/>
              <w:left w:val="single" w:sz="4" w:space="0" w:color="000000" w:themeColor="text1"/>
              <w:right w:val="nil"/>
            </w:tcBorders>
            <w:shd w:val="clear" w:color="auto" w:fill="auto"/>
            <w:vAlign w:val="center"/>
            <w:hideMark/>
          </w:tcPr>
          <w:p w14:paraId="2C9E2205" w14:textId="4CD16F8D" w:rsidR="00117C44" w:rsidRPr="00D655A4" w:rsidRDefault="00F037A9" w:rsidP="00D861A2">
            <w:pPr>
              <w:keepNext/>
              <w:keepLines/>
              <w:spacing w:after="0" w:line="240" w:lineRule="auto"/>
              <w:jc w:val="center"/>
              <w:rPr>
                <w:rFonts w:eastAsia="Times New Roman" w:cs="Calibri"/>
                <w:b/>
                <w:bCs/>
                <w:color w:val="62B5E5"/>
                <w:sz w:val="16"/>
                <w:szCs w:val="16"/>
                <w:lang w:val="en-US"/>
              </w:rPr>
            </w:pPr>
            <w:r w:rsidRPr="00115227">
              <w:rPr>
                <w:rFonts w:eastAsia="Times New Roman" w:cs="Times New Roman"/>
                <w:b/>
                <w:bCs/>
                <w:color w:val="62B5E5"/>
                <w:sz w:val="16"/>
                <w:szCs w:val="16"/>
                <w:lang w:eastAsia="en-AU"/>
              </w:rPr>
              <w:t>Difference</w:t>
            </w:r>
          </w:p>
        </w:tc>
      </w:tr>
      <w:tr w:rsidR="00117C44" w:rsidRPr="00117C44" w14:paraId="6EF788D3" w14:textId="77777777" w:rsidTr="000E3A77">
        <w:trPr>
          <w:trHeight w:val="315"/>
        </w:trPr>
        <w:tc>
          <w:tcPr>
            <w:tcW w:w="1302" w:type="pct"/>
            <w:tcBorders>
              <w:left w:val="nil"/>
              <w:bottom w:val="single" w:sz="4" w:space="0" w:color="auto"/>
              <w:right w:val="single" w:sz="4" w:space="0" w:color="000000" w:themeColor="text1"/>
            </w:tcBorders>
            <w:shd w:val="clear" w:color="auto" w:fill="auto"/>
            <w:vAlign w:val="center"/>
            <w:hideMark/>
          </w:tcPr>
          <w:p w14:paraId="163DC62B" w14:textId="77777777" w:rsidR="00117C44" w:rsidRPr="00D655A4" w:rsidRDefault="00117C44" w:rsidP="00D861A2">
            <w:pPr>
              <w:keepNext/>
              <w:keepLines/>
              <w:spacing w:after="0" w:line="240" w:lineRule="auto"/>
              <w:rPr>
                <w:rFonts w:eastAsia="Times New Roman" w:cs="Calibri"/>
                <w:b/>
                <w:bCs/>
                <w:color w:val="62B5E5"/>
                <w:sz w:val="16"/>
                <w:szCs w:val="16"/>
                <w:lang w:val="en-US"/>
              </w:rPr>
            </w:pPr>
            <w:r w:rsidRPr="00D655A4">
              <w:rPr>
                <w:rFonts w:eastAsia="Times New Roman" w:cs="Calibri"/>
                <w:b/>
                <w:bCs/>
                <w:color w:val="62B5E5"/>
                <w:sz w:val="16"/>
                <w:szCs w:val="16"/>
              </w:rPr>
              <w:t> </w:t>
            </w:r>
          </w:p>
        </w:tc>
        <w:tc>
          <w:tcPr>
            <w:tcW w:w="614" w:type="pct"/>
            <w:tcBorders>
              <w:left w:val="single" w:sz="4" w:space="0" w:color="000000" w:themeColor="text1"/>
              <w:bottom w:val="single" w:sz="4" w:space="0" w:color="auto"/>
            </w:tcBorders>
            <w:shd w:val="clear" w:color="auto" w:fill="auto"/>
            <w:vAlign w:val="center"/>
            <w:hideMark/>
          </w:tcPr>
          <w:p w14:paraId="5AE81139" w14:textId="77777777" w:rsidR="00117C44" w:rsidRPr="00D655A4" w:rsidRDefault="00117C44" w:rsidP="00D861A2">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25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619" w:type="pct"/>
            <w:tcBorders>
              <w:bottom w:val="single" w:sz="4" w:space="0" w:color="auto"/>
              <w:right w:val="single" w:sz="4" w:space="0" w:color="000000" w:themeColor="text1"/>
            </w:tcBorders>
            <w:shd w:val="clear" w:color="auto" w:fill="auto"/>
            <w:vAlign w:val="center"/>
            <w:hideMark/>
          </w:tcPr>
          <w:p w14:paraId="13E99AFD" w14:textId="77777777" w:rsidR="00117C44" w:rsidRPr="00D655A4" w:rsidRDefault="00117C44" w:rsidP="00D861A2">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75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615" w:type="pct"/>
            <w:tcBorders>
              <w:left w:val="single" w:sz="4" w:space="0" w:color="000000" w:themeColor="text1"/>
              <w:bottom w:val="single" w:sz="4" w:space="0" w:color="auto"/>
            </w:tcBorders>
            <w:shd w:val="clear" w:color="auto" w:fill="auto"/>
            <w:vAlign w:val="center"/>
            <w:hideMark/>
          </w:tcPr>
          <w:p w14:paraId="03EBA93D" w14:textId="77777777" w:rsidR="00117C44" w:rsidRPr="00D655A4" w:rsidRDefault="00117C44" w:rsidP="00D861A2">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25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619" w:type="pct"/>
            <w:tcBorders>
              <w:bottom w:val="single" w:sz="4" w:space="0" w:color="auto"/>
              <w:right w:val="single" w:sz="4" w:space="0" w:color="000000" w:themeColor="text1"/>
            </w:tcBorders>
            <w:shd w:val="clear" w:color="auto" w:fill="auto"/>
            <w:vAlign w:val="center"/>
            <w:hideMark/>
          </w:tcPr>
          <w:p w14:paraId="02C84E06" w14:textId="77777777" w:rsidR="00117C44" w:rsidRPr="00D655A4" w:rsidRDefault="00117C44" w:rsidP="00D861A2">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75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615" w:type="pct"/>
            <w:tcBorders>
              <w:left w:val="single" w:sz="4" w:space="0" w:color="000000" w:themeColor="text1"/>
              <w:bottom w:val="single" w:sz="4" w:space="0" w:color="auto"/>
            </w:tcBorders>
            <w:shd w:val="clear" w:color="auto" w:fill="auto"/>
            <w:vAlign w:val="center"/>
            <w:hideMark/>
          </w:tcPr>
          <w:p w14:paraId="5965ECE2" w14:textId="77777777" w:rsidR="00117C44" w:rsidRPr="00D655A4" w:rsidRDefault="00117C44" w:rsidP="00D861A2">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25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c>
          <w:tcPr>
            <w:tcW w:w="615" w:type="pct"/>
            <w:tcBorders>
              <w:bottom w:val="single" w:sz="4" w:space="0" w:color="auto"/>
              <w:right w:val="nil"/>
            </w:tcBorders>
            <w:shd w:val="clear" w:color="auto" w:fill="auto"/>
            <w:vAlign w:val="center"/>
            <w:hideMark/>
          </w:tcPr>
          <w:p w14:paraId="363D767E" w14:textId="77777777" w:rsidR="00117C44" w:rsidRPr="00D655A4" w:rsidRDefault="00117C44" w:rsidP="00D861A2">
            <w:pPr>
              <w:keepNext/>
              <w:keepLines/>
              <w:spacing w:after="0" w:line="240" w:lineRule="auto"/>
              <w:jc w:val="center"/>
              <w:rPr>
                <w:rFonts w:eastAsia="Times New Roman" w:cs="Calibri"/>
                <w:i/>
                <w:iCs/>
                <w:color w:val="62B5E5"/>
                <w:sz w:val="16"/>
                <w:szCs w:val="16"/>
                <w:lang w:val="en-US"/>
              </w:rPr>
            </w:pPr>
            <w:r w:rsidRPr="00D655A4">
              <w:rPr>
                <w:rFonts w:eastAsia="Times New Roman" w:cs="Calibri"/>
                <w:i/>
                <w:iCs/>
                <w:color w:val="62B5E5"/>
                <w:sz w:val="16"/>
                <w:szCs w:val="16"/>
              </w:rPr>
              <w:t>75</w:t>
            </w:r>
            <w:r w:rsidRPr="00D655A4">
              <w:rPr>
                <w:rFonts w:eastAsia="Times New Roman" w:cs="Calibri"/>
                <w:i/>
                <w:iCs/>
                <w:color w:val="62B5E5"/>
                <w:sz w:val="16"/>
                <w:szCs w:val="16"/>
                <w:vertAlign w:val="superscript"/>
              </w:rPr>
              <w:t>th</w:t>
            </w:r>
            <w:r w:rsidRPr="00D655A4">
              <w:rPr>
                <w:rFonts w:eastAsia="Times New Roman" w:cs="Calibri"/>
                <w:i/>
                <w:iCs/>
                <w:color w:val="62B5E5"/>
                <w:sz w:val="16"/>
                <w:szCs w:val="16"/>
              </w:rPr>
              <w:t xml:space="preserve"> PC</w:t>
            </w:r>
          </w:p>
        </w:tc>
      </w:tr>
      <w:tr w:rsidR="00117C44" w:rsidRPr="00117C44" w14:paraId="3E15F47F" w14:textId="77777777" w:rsidTr="000E3A77">
        <w:trPr>
          <w:trHeight w:val="315"/>
        </w:trPr>
        <w:tc>
          <w:tcPr>
            <w:tcW w:w="1302" w:type="pct"/>
            <w:tcBorders>
              <w:top w:val="single" w:sz="4" w:space="0" w:color="auto"/>
              <w:left w:val="nil"/>
              <w:bottom w:val="single" w:sz="4" w:space="0" w:color="auto"/>
              <w:right w:val="single" w:sz="4" w:space="0" w:color="000000" w:themeColor="text1"/>
            </w:tcBorders>
            <w:shd w:val="clear" w:color="auto" w:fill="auto"/>
            <w:vAlign w:val="center"/>
            <w:hideMark/>
          </w:tcPr>
          <w:p w14:paraId="29490AAD" w14:textId="77777777" w:rsidR="00117C44" w:rsidRPr="00D655A4" w:rsidRDefault="00117C44" w:rsidP="00D861A2">
            <w:pPr>
              <w:keepNext/>
              <w:keepLines/>
              <w:spacing w:after="0" w:line="240" w:lineRule="auto"/>
              <w:rPr>
                <w:rFonts w:eastAsia="Times New Roman" w:cs="Calibri"/>
                <w:color w:val="000000"/>
                <w:sz w:val="16"/>
                <w:szCs w:val="16"/>
                <w:lang w:val="en-US"/>
              </w:rPr>
            </w:pPr>
            <w:r w:rsidRPr="00D655A4">
              <w:rPr>
                <w:rFonts w:eastAsia="Times New Roman" w:cs="Calibri"/>
                <w:color w:val="000000"/>
                <w:sz w:val="16"/>
                <w:szCs w:val="16"/>
              </w:rPr>
              <w:t>Weekday</w:t>
            </w:r>
          </w:p>
        </w:tc>
        <w:tc>
          <w:tcPr>
            <w:tcW w:w="614" w:type="pct"/>
            <w:tcBorders>
              <w:top w:val="single" w:sz="4" w:space="0" w:color="auto"/>
              <w:left w:val="single" w:sz="4" w:space="0" w:color="000000" w:themeColor="text1"/>
              <w:bottom w:val="single" w:sz="4" w:space="0" w:color="auto"/>
            </w:tcBorders>
            <w:shd w:val="clear" w:color="auto" w:fill="auto"/>
            <w:vAlign w:val="center"/>
            <w:hideMark/>
          </w:tcPr>
          <w:p w14:paraId="722B6AC8"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0%</w:t>
            </w:r>
          </w:p>
        </w:tc>
        <w:tc>
          <w:tcPr>
            <w:tcW w:w="619" w:type="pct"/>
            <w:tcBorders>
              <w:top w:val="single" w:sz="4" w:space="0" w:color="auto"/>
              <w:bottom w:val="single" w:sz="4" w:space="0" w:color="auto"/>
              <w:right w:val="single" w:sz="4" w:space="0" w:color="000000" w:themeColor="text1"/>
            </w:tcBorders>
            <w:shd w:val="clear" w:color="auto" w:fill="auto"/>
            <w:vAlign w:val="center"/>
            <w:hideMark/>
          </w:tcPr>
          <w:p w14:paraId="06AC75FE"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0%</w:t>
            </w:r>
          </w:p>
        </w:tc>
        <w:tc>
          <w:tcPr>
            <w:tcW w:w="615" w:type="pct"/>
            <w:tcBorders>
              <w:top w:val="single" w:sz="4" w:space="0" w:color="auto"/>
              <w:left w:val="single" w:sz="4" w:space="0" w:color="000000" w:themeColor="text1"/>
              <w:bottom w:val="single" w:sz="4" w:space="0" w:color="auto"/>
            </w:tcBorders>
            <w:shd w:val="clear" w:color="auto" w:fill="auto"/>
            <w:vAlign w:val="center"/>
            <w:hideMark/>
          </w:tcPr>
          <w:p w14:paraId="21374427"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16%</w:t>
            </w:r>
          </w:p>
        </w:tc>
        <w:tc>
          <w:tcPr>
            <w:tcW w:w="619" w:type="pct"/>
            <w:tcBorders>
              <w:top w:val="single" w:sz="4" w:space="0" w:color="auto"/>
              <w:bottom w:val="single" w:sz="4" w:space="0" w:color="auto"/>
              <w:right w:val="single" w:sz="4" w:space="0" w:color="000000" w:themeColor="text1"/>
            </w:tcBorders>
            <w:shd w:val="clear" w:color="auto" w:fill="auto"/>
            <w:vAlign w:val="center"/>
            <w:hideMark/>
          </w:tcPr>
          <w:p w14:paraId="603E4C74"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25%</w:t>
            </w:r>
          </w:p>
        </w:tc>
        <w:tc>
          <w:tcPr>
            <w:tcW w:w="615" w:type="pct"/>
            <w:tcBorders>
              <w:top w:val="single" w:sz="4" w:space="0" w:color="auto"/>
              <w:left w:val="single" w:sz="4" w:space="0" w:color="000000" w:themeColor="text1"/>
              <w:bottom w:val="single" w:sz="4" w:space="0" w:color="auto"/>
            </w:tcBorders>
            <w:shd w:val="clear" w:color="auto" w:fill="auto"/>
            <w:vAlign w:val="center"/>
            <w:hideMark/>
          </w:tcPr>
          <w:p w14:paraId="5107F87F"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16%</w:t>
            </w:r>
          </w:p>
        </w:tc>
        <w:tc>
          <w:tcPr>
            <w:tcW w:w="615" w:type="pct"/>
            <w:tcBorders>
              <w:top w:val="single" w:sz="4" w:space="0" w:color="auto"/>
              <w:bottom w:val="single" w:sz="4" w:space="0" w:color="auto"/>
              <w:right w:val="nil"/>
            </w:tcBorders>
            <w:shd w:val="clear" w:color="auto" w:fill="auto"/>
            <w:vAlign w:val="center"/>
            <w:hideMark/>
          </w:tcPr>
          <w:p w14:paraId="39D511BB"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25%</w:t>
            </w:r>
          </w:p>
        </w:tc>
      </w:tr>
      <w:tr w:rsidR="00117C44" w:rsidRPr="00117C44" w14:paraId="7259495B" w14:textId="77777777" w:rsidTr="000E3A77">
        <w:trPr>
          <w:trHeight w:val="315"/>
        </w:trPr>
        <w:tc>
          <w:tcPr>
            <w:tcW w:w="1302" w:type="pct"/>
            <w:tcBorders>
              <w:top w:val="single" w:sz="4" w:space="0" w:color="auto"/>
              <w:left w:val="nil"/>
              <w:bottom w:val="single" w:sz="4" w:space="0" w:color="auto"/>
              <w:right w:val="single" w:sz="4" w:space="0" w:color="000000" w:themeColor="text1"/>
            </w:tcBorders>
            <w:shd w:val="clear" w:color="auto" w:fill="auto"/>
            <w:vAlign w:val="center"/>
            <w:hideMark/>
          </w:tcPr>
          <w:p w14:paraId="6B518380" w14:textId="77777777" w:rsidR="00117C44" w:rsidRPr="00D655A4" w:rsidRDefault="00117C44" w:rsidP="00D861A2">
            <w:pPr>
              <w:keepNext/>
              <w:keepLines/>
              <w:spacing w:after="0" w:line="240" w:lineRule="auto"/>
              <w:rPr>
                <w:rFonts w:eastAsia="Times New Roman" w:cs="Calibri"/>
                <w:color w:val="000000"/>
                <w:sz w:val="16"/>
                <w:szCs w:val="16"/>
                <w:lang w:val="en-US"/>
              </w:rPr>
            </w:pPr>
            <w:r w:rsidRPr="00D655A4">
              <w:rPr>
                <w:rFonts w:eastAsia="Times New Roman" w:cs="Calibri"/>
                <w:color w:val="000000"/>
                <w:sz w:val="16"/>
                <w:szCs w:val="16"/>
              </w:rPr>
              <w:t>Saturday</w:t>
            </w:r>
          </w:p>
        </w:tc>
        <w:tc>
          <w:tcPr>
            <w:tcW w:w="614" w:type="pct"/>
            <w:tcBorders>
              <w:top w:val="single" w:sz="4" w:space="0" w:color="auto"/>
              <w:left w:val="single" w:sz="4" w:space="0" w:color="000000" w:themeColor="text1"/>
              <w:bottom w:val="single" w:sz="4" w:space="0" w:color="auto"/>
            </w:tcBorders>
            <w:shd w:val="clear" w:color="auto" w:fill="auto"/>
            <w:vAlign w:val="center"/>
            <w:hideMark/>
          </w:tcPr>
          <w:p w14:paraId="312EBDC3"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0%</w:t>
            </w:r>
          </w:p>
        </w:tc>
        <w:tc>
          <w:tcPr>
            <w:tcW w:w="619" w:type="pct"/>
            <w:tcBorders>
              <w:top w:val="single" w:sz="4" w:space="0" w:color="auto"/>
              <w:bottom w:val="single" w:sz="4" w:space="0" w:color="auto"/>
              <w:right w:val="single" w:sz="4" w:space="0" w:color="000000" w:themeColor="text1"/>
            </w:tcBorders>
            <w:shd w:val="clear" w:color="auto" w:fill="auto"/>
            <w:vAlign w:val="center"/>
            <w:hideMark/>
          </w:tcPr>
          <w:p w14:paraId="6932A9D8"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50%</w:t>
            </w:r>
          </w:p>
        </w:tc>
        <w:tc>
          <w:tcPr>
            <w:tcW w:w="615" w:type="pct"/>
            <w:tcBorders>
              <w:top w:val="single" w:sz="4" w:space="0" w:color="auto"/>
              <w:left w:val="single" w:sz="4" w:space="0" w:color="000000" w:themeColor="text1"/>
              <w:bottom w:val="single" w:sz="4" w:space="0" w:color="auto"/>
            </w:tcBorders>
            <w:shd w:val="clear" w:color="auto" w:fill="auto"/>
            <w:vAlign w:val="center"/>
            <w:hideMark/>
          </w:tcPr>
          <w:p w14:paraId="57AAB2A9"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6%</w:t>
            </w:r>
          </w:p>
        </w:tc>
        <w:tc>
          <w:tcPr>
            <w:tcW w:w="619" w:type="pct"/>
            <w:tcBorders>
              <w:top w:val="single" w:sz="4" w:space="0" w:color="auto"/>
              <w:bottom w:val="single" w:sz="4" w:space="0" w:color="auto"/>
              <w:right w:val="single" w:sz="4" w:space="0" w:color="000000" w:themeColor="text1"/>
            </w:tcBorders>
            <w:shd w:val="clear" w:color="auto" w:fill="auto"/>
            <w:vAlign w:val="center"/>
            <w:hideMark/>
          </w:tcPr>
          <w:p w14:paraId="4A94EC83"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75%</w:t>
            </w:r>
          </w:p>
        </w:tc>
        <w:tc>
          <w:tcPr>
            <w:tcW w:w="615" w:type="pct"/>
            <w:tcBorders>
              <w:top w:val="single" w:sz="4" w:space="0" w:color="auto"/>
              <w:left w:val="single" w:sz="4" w:space="0" w:color="000000" w:themeColor="text1"/>
              <w:bottom w:val="single" w:sz="4" w:space="0" w:color="auto"/>
            </w:tcBorders>
            <w:shd w:val="clear" w:color="auto" w:fill="auto"/>
            <w:vAlign w:val="center"/>
            <w:hideMark/>
          </w:tcPr>
          <w:p w14:paraId="4E4245BD"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6%</w:t>
            </w:r>
          </w:p>
        </w:tc>
        <w:tc>
          <w:tcPr>
            <w:tcW w:w="615" w:type="pct"/>
            <w:tcBorders>
              <w:top w:val="single" w:sz="4" w:space="0" w:color="auto"/>
              <w:bottom w:val="single" w:sz="4" w:space="0" w:color="auto"/>
              <w:right w:val="nil"/>
            </w:tcBorders>
            <w:shd w:val="clear" w:color="auto" w:fill="auto"/>
            <w:vAlign w:val="center"/>
            <w:hideMark/>
          </w:tcPr>
          <w:p w14:paraId="5F7A4FEE"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25%</w:t>
            </w:r>
          </w:p>
        </w:tc>
      </w:tr>
      <w:tr w:rsidR="00117C44" w:rsidRPr="00117C44" w14:paraId="161D9949" w14:textId="77777777" w:rsidTr="000E3A77">
        <w:trPr>
          <w:trHeight w:val="315"/>
        </w:trPr>
        <w:tc>
          <w:tcPr>
            <w:tcW w:w="1302" w:type="pct"/>
            <w:tcBorders>
              <w:top w:val="single" w:sz="4" w:space="0" w:color="auto"/>
              <w:left w:val="nil"/>
              <w:bottom w:val="single" w:sz="4" w:space="0" w:color="auto"/>
              <w:right w:val="single" w:sz="4" w:space="0" w:color="000000" w:themeColor="text1"/>
            </w:tcBorders>
            <w:shd w:val="clear" w:color="auto" w:fill="auto"/>
            <w:vAlign w:val="center"/>
            <w:hideMark/>
          </w:tcPr>
          <w:p w14:paraId="6660177A" w14:textId="77777777" w:rsidR="00117C44" w:rsidRPr="00D655A4" w:rsidRDefault="00117C44" w:rsidP="00D861A2">
            <w:pPr>
              <w:keepNext/>
              <w:keepLines/>
              <w:spacing w:after="0" w:line="240" w:lineRule="auto"/>
              <w:rPr>
                <w:rFonts w:eastAsia="Times New Roman" w:cs="Calibri"/>
                <w:color w:val="000000"/>
                <w:sz w:val="16"/>
                <w:szCs w:val="16"/>
                <w:lang w:val="en-US"/>
              </w:rPr>
            </w:pPr>
            <w:r w:rsidRPr="00D655A4">
              <w:rPr>
                <w:rFonts w:eastAsia="Times New Roman" w:cs="Calibri"/>
                <w:color w:val="000000"/>
                <w:sz w:val="16"/>
                <w:szCs w:val="16"/>
              </w:rPr>
              <w:t>Sunday</w:t>
            </w:r>
          </w:p>
        </w:tc>
        <w:tc>
          <w:tcPr>
            <w:tcW w:w="614" w:type="pct"/>
            <w:tcBorders>
              <w:top w:val="single" w:sz="4" w:space="0" w:color="auto"/>
              <w:left w:val="single" w:sz="4" w:space="0" w:color="000000" w:themeColor="text1"/>
              <w:bottom w:val="single" w:sz="4" w:space="0" w:color="auto"/>
            </w:tcBorders>
            <w:shd w:val="clear" w:color="auto" w:fill="auto"/>
            <w:vAlign w:val="center"/>
            <w:hideMark/>
          </w:tcPr>
          <w:p w14:paraId="0F71810F"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0%</w:t>
            </w:r>
          </w:p>
        </w:tc>
        <w:tc>
          <w:tcPr>
            <w:tcW w:w="619" w:type="pct"/>
            <w:tcBorders>
              <w:top w:val="single" w:sz="4" w:space="0" w:color="auto"/>
              <w:bottom w:val="single" w:sz="4" w:space="0" w:color="auto"/>
              <w:right w:val="single" w:sz="4" w:space="0" w:color="000000" w:themeColor="text1"/>
            </w:tcBorders>
            <w:shd w:val="clear" w:color="auto" w:fill="auto"/>
            <w:vAlign w:val="center"/>
            <w:hideMark/>
          </w:tcPr>
          <w:p w14:paraId="1070D8D8"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100%</w:t>
            </w:r>
          </w:p>
        </w:tc>
        <w:tc>
          <w:tcPr>
            <w:tcW w:w="615" w:type="pct"/>
            <w:tcBorders>
              <w:top w:val="single" w:sz="4" w:space="0" w:color="auto"/>
              <w:left w:val="single" w:sz="4" w:space="0" w:color="000000" w:themeColor="text1"/>
              <w:bottom w:val="single" w:sz="4" w:space="0" w:color="auto"/>
            </w:tcBorders>
            <w:shd w:val="clear" w:color="auto" w:fill="auto"/>
            <w:vAlign w:val="center"/>
            <w:hideMark/>
          </w:tcPr>
          <w:p w14:paraId="543B9961"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w:t>
            </w:r>
          </w:p>
        </w:tc>
        <w:tc>
          <w:tcPr>
            <w:tcW w:w="619" w:type="pct"/>
            <w:tcBorders>
              <w:top w:val="single" w:sz="4" w:space="0" w:color="auto"/>
              <w:bottom w:val="single" w:sz="4" w:space="0" w:color="auto"/>
              <w:right w:val="single" w:sz="4" w:space="0" w:color="000000" w:themeColor="text1"/>
            </w:tcBorders>
            <w:shd w:val="clear" w:color="auto" w:fill="auto"/>
            <w:vAlign w:val="center"/>
            <w:hideMark/>
          </w:tcPr>
          <w:p w14:paraId="0D77FFF3"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100%</w:t>
            </w:r>
          </w:p>
        </w:tc>
        <w:tc>
          <w:tcPr>
            <w:tcW w:w="615" w:type="pct"/>
            <w:tcBorders>
              <w:top w:val="single" w:sz="4" w:space="0" w:color="auto"/>
              <w:left w:val="single" w:sz="4" w:space="0" w:color="000000" w:themeColor="text1"/>
              <w:bottom w:val="single" w:sz="4" w:space="0" w:color="auto"/>
            </w:tcBorders>
            <w:shd w:val="clear" w:color="auto" w:fill="auto"/>
            <w:vAlign w:val="center"/>
            <w:hideMark/>
          </w:tcPr>
          <w:p w14:paraId="4FA2BB5C"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w:t>
            </w:r>
          </w:p>
        </w:tc>
        <w:tc>
          <w:tcPr>
            <w:tcW w:w="615" w:type="pct"/>
            <w:tcBorders>
              <w:top w:val="single" w:sz="4" w:space="0" w:color="auto"/>
              <w:bottom w:val="single" w:sz="4" w:space="0" w:color="auto"/>
              <w:right w:val="nil"/>
            </w:tcBorders>
            <w:shd w:val="clear" w:color="auto" w:fill="auto"/>
            <w:vAlign w:val="center"/>
            <w:hideMark/>
          </w:tcPr>
          <w:p w14:paraId="30FA8719" w14:textId="77777777" w:rsidR="00117C44" w:rsidRPr="00D655A4" w:rsidRDefault="00117C44" w:rsidP="00D861A2">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0%</w:t>
            </w:r>
          </w:p>
        </w:tc>
      </w:tr>
    </w:tbl>
    <w:p w14:paraId="474D7294" w14:textId="77777777" w:rsidR="00117C44" w:rsidRDefault="00117C44" w:rsidP="007453E7"/>
    <w:p w14:paraId="132C88E0" w14:textId="0184F085" w:rsidR="00573660" w:rsidRDefault="00DF0867" w:rsidP="00004CB9">
      <w:r>
        <w:t xml:space="preserve">The variations in rates between weekdays and weekends are further illustrated in the box plots and PDFs in </w:t>
      </w:r>
      <w:r>
        <w:fldChar w:fldCharType="begin"/>
      </w:r>
      <w:r>
        <w:instrText xml:space="preserve"> REF _Ref38964969 \r \h </w:instrText>
      </w:r>
      <w:r>
        <w:fldChar w:fldCharType="separate"/>
      </w:r>
      <w:r w:rsidR="00283637">
        <w:t>Chart 3.4</w:t>
      </w:r>
      <w:r>
        <w:fldChar w:fldCharType="end"/>
      </w:r>
      <w:r w:rsidR="007A5081">
        <w:t>.</w:t>
      </w:r>
      <w:r w:rsidR="00383975">
        <w:t xml:space="preserve"> </w:t>
      </w:r>
    </w:p>
    <w:p w14:paraId="40FFA705" w14:textId="4DF915EC" w:rsidR="00573660" w:rsidRDefault="00DF0867" w:rsidP="00004CB9">
      <w:r>
        <w:t>As shown, the c</w:t>
      </w:r>
      <w:r w:rsidR="00573660">
        <w:t xml:space="preserve">asual weekday loadings are leptokurtic, indicating a low standard deviation and close dispersion around the mean of 22%. </w:t>
      </w:r>
      <w:r w:rsidR="0053512A">
        <w:t xml:space="preserve">This is consistent with a strong standardisation of casual loading weekday penalty rates among providers. </w:t>
      </w:r>
      <w:r w:rsidR="00573660">
        <w:t>A small number of samples at over 100% loading were observed (n=3) resulting in a disjointed long tail in the PDF beyond 50% loading</w:t>
      </w:r>
      <w:r w:rsidR="0053512A">
        <w:t>, however these observations were outliers with a low probability of occurrence in the wider provider population.</w:t>
      </w:r>
    </w:p>
    <w:p w14:paraId="104498C4" w14:textId="77777777" w:rsidR="0053512A" w:rsidRDefault="0053512A" w:rsidP="00004CB9">
      <w:r>
        <w:t xml:space="preserve">Permanent and casual Saturday loadings exhibited similar distribution qualities including points of centrality (~45% loading) and levels of dispersion around their respective modes. This indicates that Saturday loadings are likely to be similar rates for permanent and casual staff alike. </w:t>
      </w:r>
    </w:p>
    <w:p w14:paraId="66DFDB07" w14:textId="3B756D02" w:rsidR="0053512A" w:rsidRDefault="0053512A" w:rsidP="00004CB9">
      <w:r>
        <w:t>As with the Saturday loadings, permanent and casual Sunday loadings follow</w:t>
      </w:r>
      <w:r w:rsidR="006D3835">
        <w:t xml:space="preserve"> similar distribut</w:t>
      </w:r>
      <w:r>
        <w:t>ions and points of centrality, however with a higher level of dispersion and</w:t>
      </w:r>
      <w:r w:rsidR="00F30557">
        <w:t xml:space="preserve"> corresponding</w:t>
      </w:r>
      <w:r>
        <w:t xml:space="preserve"> lower kurtosis. </w:t>
      </w:r>
      <w:r w:rsidR="00F30557">
        <w:t>This indicates that while both permanent and casual Sunday rates may be on average similar at ~65%, there is a lower probability that providers pay a standardised Sunday loading. This may be due to greater variance in workforce and operational models utilised by providers in order to</w:t>
      </w:r>
      <w:r w:rsidR="00450A12">
        <w:t xml:space="preserve"> financially</w:t>
      </w:r>
      <w:r w:rsidR="00F30557">
        <w:t xml:space="preserve"> manage the highest</w:t>
      </w:r>
      <w:r w:rsidR="00450A12">
        <w:t xml:space="preserve"> per hour</w:t>
      </w:r>
      <w:r w:rsidR="00F30557">
        <w:t xml:space="preserve"> wage cost day of the week.</w:t>
      </w:r>
    </w:p>
    <w:p w14:paraId="70696DC5" w14:textId="0BCFC451" w:rsidR="007D2394" w:rsidRDefault="007D2394">
      <w:pPr>
        <w:pStyle w:val="CaptionChart"/>
      </w:pPr>
      <w:bookmarkStart w:id="137" w:name="_Ref38964969"/>
      <w:bookmarkStart w:id="138" w:name="_Toc40454723"/>
      <w:r>
        <w:t>Box plot</w:t>
      </w:r>
      <w:r w:rsidR="002E5D35">
        <w:t xml:space="preserve"> (LHS)</w:t>
      </w:r>
      <w:r>
        <w:t xml:space="preserve"> </w:t>
      </w:r>
      <w:r w:rsidR="00A32A72">
        <w:t xml:space="preserve">and </w:t>
      </w:r>
      <w:r w:rsidR="00383975">
        <w:t>P</w:t>
      </w:r>
      <w:r w:rsidR="00573660">
        <w:t>D</w:t>
      </w:r>
      <w:r w:rsidR="00383975">
        <w:t>F</w:t>
      </w:r>
      <w:r w:rsidR="002E5D35">
        <w:t>s (RHS)</w:t>
      </w:r>
      <w:r w:rsidR="00E844D9">
        <w:t xml:space="preserve"> </w:t>
      </w:r>
      <w:r>
        <w:t>of shift loadin</w:t>
      </w:r>
      <w:r w:rsidR="00383975">
        <w:t>gs</w:t>
      </w:r>
      <w:r w:rsidR="0053220B">
        <w:t xml:space="preserve"> </w:t>
      </w:r>
      <w:r>
        <w:t>responses</w:t>
      </w:r>
      <w:bookmarkEnd w:id="137"/>
      <w:bookmarkEnd w:id="138"/>
    </w:p>
    <w:p w14:paraId="427F2B52" w14:textId="5D612671" w:rsidR="00AB51AC" w:rsidRPr="001C3269" w:rsidRDefault="0016516C" w:rsidP="00DB66C5">
      <w:r w:rsidRPr="0016516C">
        <w:rPr>
          <w:noProof/>
          <w:lang w:eastAsia="en-AU"/>
        </w:rPr>
        <w:drawing>
          <wp:inline distT="0" distB="0" distL="0" distR="0" wp14:anchorId="7C8675EA" wp14:editId="1A41930C">
            <wp:extent cx="2826385" cy="3194685"/>
            <wp:effectExtent l="0" t="0" r="0" b="5715"/>
            <wp:docPr id="1489793604" name="Picture 1489793604" descr="Chart 3.4 Box plot (LHS) and PDFs (RHS) of shift loadings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26385" cy="3194685"/>
                    </a:xfrm>
                    <a:prstGeom prst="rect">
                      <a:avLst/>
                    </a:prstGeom>
                    <a:noFill/>
                    <a:ln>
                      <a:noFill/>
                    </a:ln>
                  </pic:spPr>
                </pic:pic>
              </a:graphicData>
            </a:graphic>
          </wp:inline>
        </w:drawing>
      </w:r>
      <w:r w:rsidR="00004CB9" w:rsidRPr="00004CB9">
        <w:rPr>
          <w:noProof/>
        </w:rPr>
        <w:t xml:space="preserve"> </w:t>
      </w:r>
      <w:r w:rsidRPr="0016516C">
        <w:rPr>
          <w:noProof/>
          <w:lang w:eastAsia="en-AU"/>
        </w:rPr>
        <w:drawing>
          <wp:inline distT="0" distB="0" distL="0" distR="0" wp14:anchorId="25890768" wp14:editId="4BAD21A3">
            <wp:extent cx="2838450" cy="3277870"/>
            <wp:effectExtent l="0" t="0" r="0" b="0"/>
            <wp:docPr id="1489793605" name="Picture 1489793605" descr="Chart 3.4 Box plot (LHS) and PDFs (RHS) of shift loadings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38450" cy="3277870"/>
                    </a:xfrm>
                    <a:prstGeom prst="rect">
                      <a:avLst/>
                    </a:prstGeom>
                    <a:noFill/>
                    <a:ln>
                      <a:noFill/>
                    </a:ln>
                  </pic:spPr>
                </pic:pic>
              </a:graphicData>
            </a:graphic>
          </wp:inline>
        </w:drawing>
      </w:r>
    </w:p>
    <w:p w14:paraId="34BCC77F" w14:textId="594DB68C" w:rsidR="00116217" w:rsidRDefault="00116217" w:rsidP="00470E7F">
      <w:pPr>
        <w:pStyle w:val="Heading2"/>
      </w:pPr>
      <w:bookmarkStart w:id="139" w:name="_Toc40454650"/>
      <w:r>
        <w:lastRenderedPageBreak/>
        <w:t>Days worked versus days paid</w:t>
      </w:r>
      <w:bookmarkEnd w:id="139"/>
    </w:p>
    <w:p w14:paraId="1D3DC8ED" w14:textId="3589BD43" w:rsidR="0042002C" w:rsidRDefault="005536B3" w:rsidP="00470E7F">
      <w:pPr>
        <w:keepNext/>
        <w:keepLines/>
      </w:pPr>
      <w:r>
        <w:t>Across SCHADS and non-SCHADS</w:t>
      </w:r>
      <w:r w:rsidR="0042002C">
        <w:t xml:space="preserve"> employees, the survey results indicated the following average allowances</w:t>
      </w:r>
      <w:r w:rsidR="000E3A77">
        <w:t>:</w:t>
      </w:r>
    </w:p>
    <w:p w14:paraId="4401BCB9" w14:textId="12C9519C" w:rsidR="0042002C" w:rsidRDefault="00AC06F7" w:rsidP="0042002C">
      <w:pPr>
        <w:pStyle w:val="ListBullet"/>
      </w:pPr>
      <w:r>
        <w:t>149.8</w:t>
      </w:r>
      <w:r w:rsidR="0042002C">
        <w:t xml:space="preserve"> hours of annual leave</w:t>
      </w:r>
    </w:p>
    <w:p w14:paraId="05F2ADF4" w14:textId="387BFD97" w:rsidR="0042002C" w:rsidRDefault="0042002C" w:rsidP="0042002C">
      <w:pPr>
        <w:pStyle w:val="ListBullet"/>
      </w:pPr>
      <w:r>
        <w:t>Up to 75.</w:t>
      </w:r>
      <w:r w:rsidR="00AC06F7">
        <w:t>8</w:t>
      </w:r>
      <w:r>
        <w:t xml:space="preserve"> hours of personal leave</w:t>
      </w:r>
    </w:p>
    <w:p w14:paraId="003DCF61" w14:textId="585BD1AC" w:rsidR="0042002C" w:rsidRDefault="00AC06F7" w:rsidP="0042002C">
      <w:pPr>
        <w:pStyle w:val="ListBullet"/>
      </w:pPr>
      <w:r>
        <w:t>33.4</w:t>
      </w:r>
      <w:r w:rsidR="0042002C">
        <w:t xml:space="preserve"> hours of long service leave.</w:t>
      </w:r>
    </w:p>
    <w:p w14:paraId="4CCB3E3A" w14:textId="364815BA" w:rsidR="001446D2" w:rsidRPr="003F110A" w:rsidRDefault="001446D2" w:rsidP="008A7717">
      <w:r>
        <w:t xml:space="preserve">The results in </w:t>
      </w:r>
      <w:r w:rsidR="000E3A77">
        <w:fldChar w:fldCharType="begin"/>
      </w:r>
      <w:r w:rsidR="000E3A77">
        <w:instrText xml:space="preserve"> REF _Ref39763173 \r \h </w:instrText>
      </w:r>
      <w:r w:rsidR="000E3A77">
        <w:fldChar w:fldCharType="separate"/>
      </w:r>
      <w:r w:rsidR="00283637">
        <w:t>Table 3.8</w:t>
      </w:r>
      <w:r w:rsidR="000E3A77">
        <w:fldChar w:fldCharType="end"/>
      </w:r>
      <w:r w:rsidR="000E3A77">
        <w:t xml:space="preserve"> </w:t>
      </w:r>
      <w:r>
        <w:t>incorporate both SCHADS and non-SCHADS responses</w:t>
      </w:r>
      <w:r w:rsidR="004B7162">
        <w:t xml:space="preserve">. </w:t>
      </w:r>
    </w:p>
    <w:p w14:paraId="493E1021" w14:textId="6FD6CD77" w:rsidR="00116217" w:rsidRDefault="00506519" w:rsidP="008B767E">
      <w:pPr>
        <w:pStyle w:val="CaptionTable"/>
        <w:ind w:left="0"/>
      </w:pPr>
      <w:bookmarkStart w:id="140" w:name="_Ref39763173"/>
      <w:bookmarkStart w:id="141" w:name="_Toc40454689"/>
      <w:r>
        <w:t>Leave allowances</w:t>
      </w:r>
      <w:bookmarkEnd w:id="140"/>
      <w:bookmarkEnd w:id="141"/>
    </w:p>
    <w:tbl>
      <w:tblPr>
        <w:tblStyle w:val="Deloittetable"/>
        <w:tblW w:w="5000" w:type="pct"/>
        <w:tblInd w:w="-5" w:type="dxa"/>
        <w:tblLayout w:type="fixed"/>
        <w:tblLook w:val="04A0" w:firstRow="1" w:lastRow="0" w:firstColumn="1" w:lastColumn="0" w:noHBand="0" w:noVBand="1"/>
      </w:tblPr>
      <w:tblGrid>
        <w:gridCol w:w="4402"/>
        <w:gridCol w:w="925"/>
        <w:gridCol w:w="925"/>
        <w:gridCol w:w="924"/>
        <w:gridCol w:w="924"/>
        <w:gridCol w:w="926"/>
      </w:tblGrid>
      <w:tr w:rsidR="00506519" w14:paraId="04FBA956" w14:textId="77777777" w:rsidTr="000E3A77">
        <w:trPr>
          <w:cnfStyle w:val="100000000000" w:firstRow="1" w:lastRow="0" w:firstColumn="0" w:lastColumn="0" w:oddVBand="0" w:evenVBand="0" w:oddHBand="0" w:evenHBand="0" w:firstRowFirstColumn="0" w:firstRowLastColumn="0" w:lastRowFirstColumn="0" w:lastRowLastColumn="0"/>
          <w:trHeight w:val="19"/>
          <w:tblHeader/>
        </w:trPr>
        <w:tc>
          <w:tcPr>
            <w:tcW w:w="2437" w:type="pct"/>
            <w:tcBorders>
              <w:top w:val="single" w:sz="12" w:space="0" w:color="62B5E5" w:themeColor="accent3"/>
              <w:right w:val="nil"/>
            </w:tcBorders>
          </w:tcPr>
          <w:p w14:paraId="77CF5AF9" w14:textId="1B02687D" w:rsidR="00814139" w:rsidRPr="00D655A4" w:rsidRDefault="00814139" w:rsidP="002E5D35">
            <w:pPr>
              <w:keepNext/>
              <w:keepLines/>
              <w:spacing w:after="0"/>
              <w:rPr>
                <w:sz w:val="16"/>
                <w:szCs w:val="16"/>
              </w:rPr>
            </w:pPr>
          </w:p>
        </w:tc>
        <w:tc>
          <w:tcPr>
            <w:tcW w:w="512" w:type="pct"/>
            <w:tcBorders>
              <w:top w:val="single" w:sz="12" w:space="0" w:color="62B5E5" w:themeColor="accent3"/>
              <w:left w:val="nil"/>
            </w:tcBorders>
          </w:tcPr>
          <w:p w14:paraId="3F6AB7B7" w14:textId="384B33E4" w:rsidR="00814139" w:rsidRPr="00D655A4" w:rsidRDefault="00814139" w:rsidP="002E5D35">
            <w:pPr>
              <w:pStyle w:val="TabletextLeft"/>
              <w:keepNext/>
              <w:keepLines/>
              <w:jc w:val="center"/>
              <w:rPr>
                <w:b/>
                <w:color w:val="62B5E5" w:themeColor="accent3"/>
                <w:sz w:val="16"/>
                <w:szCs w:val="16"/>
              </w:rPr>
            </w:pPr>
            <w:r w:rsidRPr="00D655A4">
              <w:rPr>
                <w:b/>
                <w:color w:val="62B5E5" w:themeColor="accent3"/>
                <w:sz w:val="16"/>
                <w:szCs w:val="16"/>
              </w:rPr>
              <w:t>Mean</w:t>
            </w:r>
          </w:p>
        </w:tc>
        <w:tc>
          <w:tcPr>
            <w:tcW w:w="512" w:type="pct"/>
            <w:tcBorders>
              <w:top w:val="single" w:sz="12" w:space="0" w:color="62B5E5" w:themeColor="accent3"/>
            </w:tcBorders>
          </w:tcPr>
          <w:p w14:paraId="7C16B135" w14:textId="31A99F1B" w:rsidR="00814139" w:rsidRPr="00D655A4" w:rsidRDefault="00814139" w:rsidP="002E5D35">
            <w:pPr>
              <w:pStyle w:val="TabletextLeft"/>
              <w:keepNext/>
              <w:keepLines/>
              <w:jc w:val="center"/>
              <w:rPr>
                <w:b/>
                <w:color w:val="62B5E5" w:themeColor="accent3"/>
                <w:sz w:val="16"/>
                <w:szCs w:val="16"/>
              </w:rPr>
            </w:pPr>
            <w:r w:rsidRPr="00D655A4">
              <w:rPr>
                <w:b/>
                <w:color w:val="62B5E5" w:themeColor="accent3"/>
                <w:sz w:val="16"/>
                <w:szCs w:val="16"/>
              </w:rPr>
              <w:t>WM</w:t>
            </w:r>
          </w:p>
        </w:tc>
        <w:tc>
          <w:tcPr>
            <w:tcW w:w="512" w:type="pct"/>
            <w:tcBorders>
              <w:top w:val="single" w:sz="12" w:space="0" w:color="62B5E5" w:themeColor="accent3"/>
            </w:tcBorders>
          </w:tcPr>
          <w:p w14:paraId="0D993445" w14:textId="6336E8EB" w:rsidR="00814139" w:rsidRPr="00D655A4" w:rsidRDefault="00814139" w:rsidP="002E5D35">
            <w:pPr>
              <w:pStyle w:val="TabletextLeft"/>
              <w:keepNext/>
              <w:keepLines/>
              <w:jc w:val="center"/>
              <w:rPr>
                <w:b/>
                <w:color w:val="62B5E5" w:themeColor="accent3"/>
                <w:sz w:val="16"/>
                <w:szCs w:val="16"/>
              </w:rPr>
            </w:pPr>
            <w:r w:rsidRPr="00D655A4">
              <w:rPr>
                <w:b/>
                <w:color w:val="62B5E5" w:themeColor="accent3"/>
                <w:sz w:val="16"/>
                <w:szCs w:val="16"/>
              </w:rPr>
              <w:t>Med.</w:t>
            </w:r>
          </w:p>
        </w:tc>
        <w:tc>
          <w:tcPr>
            <w:tcW w:w="512" w:type="pct"/>
            <w:tcBorders>
              <w:top w:val="single" w:sz="12" w:space="0" w:color="62B5E5" w:themeColor="accent3"/>
            </w:tcBorders>
          </w:tcPr>
          <w:p w14:paraId="4976F1D7" w14:textId="56EC0982" w:rsidR="00814139" w:rsidRPr="00D655A4" w:rsidRDefault="00814139" w:rsidP="002E5D35">
            <w:pPr>
              <w:pStyle w:val="TabletextLeft"/>
              <w:keepNext/>
              <w:keepLines/>
              <w:jc w:val="center"/>
              <w:rPr>
                <w:b/>
                <w:color w:val="62B5E5" w:themeColor="accent3"/>
                <w:sz w:val="16"/>
                <w:szCs w:val="16"/>
              </w:rPr>
            </w:pPr>
            <w:r w:rsidRPr="00D655A4">
              <w:rPr>
                <w:b/>
                <w:color w:val="62B5E5" w:themeColor="accent3"/>
                <w:sz w:val="16"/>
                <w:szCs w:val="16"/>
              </w:rPr>
              <w:t>25th PC</w:t>
            </w:r>
          </w:p>
        </w:tc>
        <w:tc>
          <w:tcPr>
            <w:tcW w:w="513" w:type="pct"/>
            <w:tcBorders>
              <w:top w:val="single" w:sz="12" w:space="0" w:color="62B5E5" w:themeColor="accent3"/>
            </w:tcBorders>
          </w:tcPr>
          <w:p w14:paraId="7328967A" w14:textId="3F690C45" w:rsidR="00814139" w:rsidRPr="00D655A4" w:rsidRDefault="00814139" w:rsidP="002E5D35">
            <w:pPr>
              <w:pStyle w:val="TabletextLeft"/>
              <w:keepNext/>
              <w:keepLines/>
              <w:jc w:val="center"/>
              <w:rPr>
                <w:b/>
                <w:color w:val="62B5E5" w:themeColor="accent3"/>
                <w:sz w:val="16"/>
                <w:szCs w:val="16"/>
              </w:rPr>
            </w:pPr>
            <w:r w:rsidRPr="00D655A4">
              <w:rPr>
                <w:b/>
                <w:color w:val="62B5E5" w:themeColor="accent3"/>
                <w:sz w:val="16"/>
                <w:szCs w:val="16"/>
              </w:rPr>
              <w:t>75th PC</w:t>
            </w:r>
          </w:p>
        </w:tc>
      </w:tr>
      <w:tr w:rsidR="00506519" w14:paraId="56DEEA0B" w14:textId="77777777" w:rsidTr="000E3A77">
        <w:trPr>
          <w:trHeight w:val="19"/>
        </w:trPr>
        <w:tc>
          <w:tcPr>
            <w:tcW w:w="2437" w:type="pct"/>
            <w:tcBorders>
              <w:top w:val="single" w:sz="4" w:space="0" w:color="000000" w:themeColor="text1"/>
              <w:right w:val="nil"/>
            </w:tcBorders>
          </w:tcPr>
          <w:p w14:paraId="459C04B6" w14:textId="0535881C" w:rsidR="007A6049" w:rsidRPr="00D655A4" w:rsidRDefault="007A6049" w:rsidP="007A6049">
            <w:pPr>
              <w:keepNext/>
              <w:keepLines/>
              <w:spacing w:after="0"/>
              <w:rPr>
                <w:sz w:val="16"/>
                <w:szCs w:val="16"/>
              </w:rPr>
            </w:pPr>
            <w:r w:rsidRPr="00D655A4">
              <w:rPr>
                <w:sz w:val="16"/>
                <w:szCs w:val="16"/>
              </w:rPr>
              <w:t>Allowance for annual leave</w:t>
            </w:r>
            <w:r w:rsidR="00506519" w:rsidRPr="00D655A4">
              <w:rPr>
                <w:sz w:val="16"/>
                <w:szCs w:val="16"/>
              </w:rPr>
              <w:t xml:space="preserve"> (hours per year)</w:t>
            </w:r>
          </w:p>
        </w:tc>
        <w:tc>
          <w:tcPr>
            <w:tcW w:w="512" w:type="pct"/>
            <w:tcBorders>
              <w:top w:val="single" w:sz="4" w:space="0" w:color="000000" w:themeColor="text1"/>
              <w:left w:val="nil"/>
            </w:tcBorders>
          </w:tcPr>
          <w:p w14:paraId="3D6DAB39" w14:textId="7E746E07" w:rsidR="007A6049" w:rsidRPr="00D655A4" w:rsidRDefault="007A6049" w:rsidP="007A6049">
            <w:pPr>
              <w:keepNext/>
              <w:keepLines/>
              <w:spacing w:after="0"/>
              <w:jc w:val="center"/>
              <w:rPr>
                <w:sz w:val="16"/>
                <w:szCs w:val="16"/>
              </w:rPr>
            </w:pPr>
            <w:r w:rsidRPr="00D655A4">
              <w:rPr>
                <w:sz w:val="16"/>
                <w:szCs w:val="16"/>
              </w:rPr>
              <w:t>149.8</w:t>
            </w:r>
          </w:p>
        </w:tc>
        <w:tc>
          <w:tcPr>
            <w:tcW w:w="512" w:type="pct"/>
          </w:tcPr>
          <w:p w14:paraId="334E7E87" w14:textId="53ADF22F" w:rsidR="007A6049" w:rsidRPr="00D655A4" w:rsidRDefault="007A6049" w:rsidP="007A6049">
            <w:pPr>
              <w:keepNext/>
              <w:keepLines/>
              <w:spacing w:after="0"/>
              <w:jc w:val="center"/>
              <w:rPr>
                <w:sz w:val="16"/>
                <w:szCs w:val="16"/>
              </w:rPr>
            </w:pPr>
            <w:r w:rsidRPr="00D655A4">
              <w:rPr>
                <w:sz w:val="16"/>
                <w:szCs w:val="16"/>
              </w:rPr>
              <w:t>154.1</w:t>
            </w:r>
          </w:p>
        </w:tc>
        <w:tc>
          <w:tcPr>
            <w:tcW w:w="512" w:type="pct"/>
          </w:tcPr>
          <w:p w14:paraId="6558CC32" w14:textId="5330E7CA" w:rsidR="007A6049" w:rsidRPr="00D655A4" w:rsidRDefault="007A6049" w:rsidP="007A6049">
            <w:pPr>
              <w:keepNext/>
              <w:keepLines/>
              <w:spacing w:after="0"/>
              <w:jc w:val="center"/>
              <w:rPr>
                <w:sz w:val="16"/>
                <w:szCs w:val="16"/>
              </w:rPr>
            </w:pPr>
            <w:r w:rsidRPr="00D655A4">
              <w:rPr>
                <w:sz w:val="16"/>
                <w:szCs w:val="16"/>
              </w:rPr>
              <w:t>152.0</w:t>
            </w:r>
          </w:p>
        </w:tc>
        <w:tc>
          <w:tcPr>
            <w:tcW w:w="512" w:type="pct"/>
          </w:tcPr>
          <w:p w14:paraId="1A9E7B20" w14:textId="16390DBF" w:rsidR="007A6049" w:rsidRPr="00D655A4" w:rsidRDefault="007A6049" w:rsidP="007A6049">
            <w:pPr>
              <w:keepNext/>
              <w:keepLines/>
              <w:spacing w:after="0"/>
              <w:jc w:val="center"/>
              <w:rPr>
                <w:sz w:val="16"/>
                <w:szCs w:val="16"/>
              </w:rPr>
            </w:pPr>
            <w:r w:rsidRPr="00D655A4">
              <w:rPr>
                <w:sz w:val="16"/>
                <w:szCs w:val="16"/>
              </w:rPr>
              <w:t>151.9</w:t>
            </w:r>
          </w:p>
        </w:tc>
        <w:tc>
          <w:tcPr>
            <w:tcW w:w="513" w:type="pct"/>
          </w:tcPr>
          <w:p w14:paraId="4CE62FC0" w14:textId="25D1184D" w:rsidR="007A6049" w:rsidRPr="00D655A4" w:rsidRDefault="007A6049" w:rsidP="007A6049">
            <w:pPr>
              <w:keepNext/>
              <w:keepLines/>
              <w:spacing w:after="0"/>
              <w:jc w:val="center"/>
              <w:rPr>
                <w:sz w:val="16"/>
                <w:szCs w:val="16"/>
              </w:rPr>
            </w:pPr>
            <w:r w:rsidRPr="00D655A4">
              <w:rPr>
                <w:sz w:val="16"/>
                <w:szCs w:val="16"/>
              </w:rPr>
              <w:t>159.7</w:t>
            </w:r>
          </w:p>
        </w:tc>
      </w:tr>
      <w:tr w:rsidR="00506519" w14:paraId="603A3B04" w14:textId="77777777" w:rsidTr="000E3A77">
        <w:trPr>
          <w:trHeight w:val="19"/>
        </w:trPr>
        <w:tc>
          <w:tcPr>
            <w:tcW w:w="2437" w:type="pct"/>
            <w:tcBorders>
              <w:top w:val="single" w:sz="4" w:space="0" w:color="000000" w:themeColor="text1"/>
              <w:right w:val="nil"/>
            </w:tcBorders>
          </w:tcPr>
          <w:p w14:paraId="03B73FDA" w14:textId="5373DD52" w:rsidR="007A6049" w:rsidRPr="00D655A4" w:rsidRDefault="007A6049" w:rsidP="007A6049">
            <w:pPr>
              <w:keepNext/>
              <w:keepLines/>
              <w:spacing w:after="0"/>
              <w:rPr>
                <w:sz w:val="16"/>
                <w:szCs w:val="16"/>
              </w:rPr>
            </w:pPr>
            <w:r w:rsidRPr="00D655A4">
              <w:rPr>
                <w:sz w:val="16"/>
                <w:szCs w:val="16"/>
              </w:rPr>
              <w:t>Allowance for personal leave</w:t>
            </w:r>
            <w:r w:rsidR="00506519" w:rsidRPr="00D655A4">
              <w:rPr>
                <w:sz w:val="16"/>
                <w:szCs w:val="16"/>
              </w:rPr>
              <w:t xml:space="preserve"> (hours per year)</w:t>
            </w:r>
          </w:p>
        </w:tc>
        <w:tc>
          <w:tcPr>
            <w:tcW w:w="512" w:type="pct"/>
            <w:tcBorders>
              <w:top w:val="single" w:sz="4" w:space="0" w:color="000000" w:themeColor="text1"/>
              <w:left w:val="nil"/>
            </w:tcBorders>
          </w:tcPr>
          <w:p w14:paraId="6C4F7146" w14:textId="039CF34A" w:rsidR="007A6049" w:rsidRPr="00D655A4" w:rsidRDefault="007A6049" w:rsidP="007A6049">
            <w:pPr>
              <w:keepNext/>
              <w:keepLines/>
              <w:spacing w:after="0"/>
              <w:jc w:val="center"/>
              <w:rPr>
                <w:sz w:val="16"/>
                <w:szCs w:val="16"/>
              </w:rPr>
            </w:pPr>
            <w:r w:rsidRPr="00D655A4">
              <w:rPr>
                <w:sz w:val="16"/>
                <w:szCs w:val="16"/>
              </w:rPr>
              <w:t>75.8</w:t>
            </w:r>
          </w:p>
        </w:tc>
        <w:tc>
          <w:tcPr>
            <w:tcW w:w="512" w:type="pct"/>
          </w:tcPr>
          <w:p w14:paraId="3EB981A4" w14:textId="372E0645" w:rsidR="007A6049" w:rsidRPr="00D655A4" w:rsidRDefault="007A6049" w:rsidP="007A6049">
            <w:pPr>
              <w:keepNext/>
              <w:keepLines/>
              <w:spacing w:after="0"/>
              <w:jc w:val="center"/>
              <w:rPr>
                <w:sz w:val="16"/>
                <w:szCs w:val="16"/>
              </w:rPr>
            </w:pPr>
            <w:r w:rsidRPr="00D655A4">
              <w:rPr>
                <w:sz w:val="16"/>
                <w:szCs w:val="16"/>
              </w:rPr>
              <w:t>78.3</w:t>
            </w:r>
          </w:p>
        </w:tc>
        <w:tc>
          <w:tcPr>
            <w:tcW w:w="512" w:type="pct"/>
          </w:tcPr>
          <w:p w14:paraId="6DAF4A1D" w14:textId="7BB35B3B" w:rsidR="007A6049" w:rsidRPr="00D655A4" w:rsidRDefault="007A6049" w:rsidP="007A6049">
            <w:pPr>
              <w:keepNext/>
              <w:keepLines/>
              <w:spacing w:after="0"/>
              <w:jc w:val="center"/>
              <w:rPr>
                <w:sz w:val="16"/>
                <w:szCs w:val="16"/>
              </w:rPr>
            </w:pPr>
            <w:r w:rsidRPr="00D655A4">
              <w:rPr>
                <w:sz w:val="16"/>
                <w:szCs w:val="16"/>
              </w:rPr>
              <w:t>76.0</w:t>
            </w:r>
          </w:p>
        </w:tc>
        <w:tc>
          <w:tcPr>
            <w:tcW w:w="512" w:type="pct"/>
          </w:tcPr>
          <w:p w14:paraId="78BB3D0F" w14:textId="2ABFE24B" w:rsidR="007A6049" w:rsidRPr="00D655A4" w:rsidRDefault="007A6049" w:rsidP="007A6049">
            <w:pPr>
              <w:keepNext/>
              <w:keepLines/>
              <w:spacing w:after="0"/>
              <w:jc w:val="center"/>
              <w:rPr>
                <w:sz w:val="16"/>
                <w:szCs w:val="16"/>
              </w:rPr>
            </w:pPr>
            <w:r w:rsidRPr="00D655A4">
              <w:rPr>
                <w:sz w:val="16"/>
                <w:szCs w:val="16"/>
              </w:rPr>
              <w:t>76.0</w:t>
            </w:r>
          </w:p>
        </w:tc>
        <w:tc>
          <w:tcPr>
            <w:tcW w:w="513" w:type="pct"/>
          </w:tcPr>
          <w:p w14:paraId="42225279" w14:textId="1E591477" w:rsidR="007A6049" w:rsidRPr="00D655A4" w:rsidRDefault="007A6049" w:rsidP="007A6049">
            <w:pPr>
              <w:keepNext/>
              <w:keepLines/>
              <w:spacing w:after="0"/>
              <w:jc w:val="center"/>
              <w:rPr>
                <w:sz w:val="16"/>
                <w:szCs w:val="16"/>
              </w:rPr>
            </w:pPr>
            <w:r w:rsidRPr="00D655A4">
              <w:rPr>
                <w:sz w:val="16"/>
                <w:szCs w:val="16"/>
              </w:rPr>
              <w:t>79.4</w:t>
            </w:r>
          </w:p>
        </w:tc>
      </w:tr>
      <w:tr w:rsidR="00506519" w14:paraId="1F8351AB" w14:textId="77777777" w:rsidTr="000E3A77">
        <w:trPr>
          <w:trHeight w:val="19"/>
        </w:trPr>
        <w:tc>
          <w:tcPr>
            <w:tcW w:w="2437" w:type="pct"/>
            <w:tcBorders>
              <w:top w:val="single" w:sz="4" w:space="0" w:color="000000" w:themeColor="text1"/>
              <w:right w:val="nil"/>
            </w:tcBorders>
          </w:tcPr>
          <w:p w14:paraId="0B525716" w14:textId="403A57D5" w:rsidR="007A6049" w:rsidRPr="00D655A4" w:rsidRDefault="007A6049" w:rsidP="007A6049">
            <w:pPr>
              <w:keepNext/>
              <w:keepLines/>
              <w:spacing w:after="0"/>
              <w:rPr>
                <w:sz w:val="16"/>
                <w:szCs w:val="16"/>
              </w:rPr>
            </w:pPr>
            <w:r w:rsidRPr="00D655A4">
              <w:rPr>
                <w:sz w:val="16"/>
                <w:szCs w:val="16"/>
              </w:rPr>
              <w:t>Allowance for long service leave</w:t>
            </w:r>
            <w:r w:rsidR="00506519" w:rsidRPr="00D655A4">
              <w:rPr>
                <w:sz w:val="16"/>
                <w:szCs w:val="16"/>
              </w:rPr>
              <w:t xml:space="preserve"> (hours per year)</w:t>
            </w:r>
          </w:p>
        </w:tc>
        <w:tc>
          <w:tcPr>
            <w:tcW w:w="512" w:type="pct"/>
            <w:tcBorders>
              <w:top w:val="single" w:sz="4" w:space="0" w:color="000000" w:themeColor="text1"/>
              <w:left w:val="nil"/>
            </w:tcBorders>
            <w:vAlign w:val="center"/>
          </w:tcPr>
          <w:p w14:paraId="70E3A22F" w14:textId="144A6915" w:rsidR="007A6049" w:rsidRPr="00D655A4" w:rsidRDefault="007A6049" w:rsidP="007A6049">
            <w:pPr>
              <w:keepNext/>
              <w:keepLines/>
              <w:spacing w:after="0"/>
              <w:jc w:val="center"/>
              <w:rPr>
                <w:sz w:val="16"/>
                <w:szCs w:val="16"/>
              </w:rPr>
            </w:pPr>
            <w:r w:rsidRPr="00D655A4">
              <w:rPr>
                <w:sz w:val="16"/>
                <w:szCs w:val="16"/>
              </w:rPr>
              <w:t>33.4</w:t>
            </w:r>
          </w:p>
        </w:tc>
        <w:tc>
          <w:tcPr>
            <w:tcW w:w="512" w:type="pct"/>
            <w:vAlign w:val="center"/>
          </w:tcPr>
          <w:p w14:paraId="67D1D1F1" w14:textId="05AE0082" w:rsidR="007A6049" w:rsidRPr="00D655A4" w:rsidRDefault="007A6049" w:rsidP="007A6049">
            <w:pPr>
              <w:keepNext/>
              <w:keepLines/>
              <w:spacing w:after="0"/>
              <w:jc w:val="center"/>
              <w:rPr>
                <w:sz w:val="16"/>
                <w:szCs w:val="16"/>
              </w:rPr>
            </w:pPr>
            <w:r w:rsidRPr="00D655A4">
              <w:rPr>
                <w:sz w:val="16"/>
                <w:szCs w:val="16"/>
              </w:rPr>
              <w:t>34.9</w:t>
            </w:r>
          </w:p>
        </w:tc>
        <w:tc>
          <w:tcPr>
            <w:tcW w:w="512" w:type="pct"/>
            <w:vAlign w:val="center"/>
          </w:tcPr>
          <w:p w14:paraId="777007E7" w14:textId="7F561F57" w:rsidR="007A6049" w:rsidRPr="00D655A4" w:rsidRDefault="007A6049" w:rsidP="007A6049">
            <w:pPr>
              <w:keepNext/>
              <w:keepLines/>
              <w:spacing w:after="0"/>
              <w:jc w:val="center"/>
              <w:rPr>
                <w:sz w:val="16"/>
                <w:szCs w:val="16"/>
              </w:rPr>
            </w:pPr>
            <w:r w:rsidRPr="00D655A4">
              <w:rPr>
                <w:sz w:val="16"/>
                <w:szCs w:val="16"/>
              </w:rPr>
              <w:t>32.9</w:t>
            </w:r>
          </w:p>
        </w:tc>
        <w:tc>
          <w:tcPr>
            <w:tcW w:w="512" w:type="pct"/>
            <w:vAlign w:val="center"/>
          </w:tcPr>
          <w:p w14:paraId="1FEC24B4" w14:textId="25FD3B94" w:rsidR="007A6049" w:rsidRPr="00D655A4" w:rsidRDefault="007A6049" w:rsidP="007A6049">
            <w:pPr>
              <w:keepNext/>
              <w:keepLines/>
              <w:spacing w:after="0"/>
              <w:jc w:val="center"/>
              <w:rPr>
                <w:sz w:val="16"/>
                <w:szCs w:val="16"/>
              </w:rPr>
            </w:pPr>
            <w:r w:rsidRPr="00D655A4">
              <w:rPr>
                <w:sz w:val="16"/>
                <w:szCs w:val="16"/>
              </w:rPr>
              <w:t>32.3</w:t>
            </w:r>
          </w:p>
        </w:tc>
        <w:tc>
          <w:tcPr>
            <w:tcW w:w="513" w:type="pct"/>
            <w:vAlign w:val="center"/>
          </w:tcPr>
          <w:p w14:paraId="4148C390" w14:textId="7EE350B0" w:rsidR="007A6049" w:rsidRPr="00D655A4" w:rsidRDefault="007A6049" w:rsidP="007A6049">
            <w:pPr>
              <w:keepNext/>
              <w:keepLines/>
              <w:spacing w:after="0"/>
              <w:jc w:val="center"/>
              <w:rPr>
                <w:sz w:val="16"/>
                <w:szCs w:val="16"/>
              </w:rPr>
            </w:pPr>
            <w:r w:rsidRPr="00D655A4">
              <w:rPr>
                <w:sz w:val="16"/>
                <w:szCs w:val="16"/>
              </w:rPr>
              <w:t>36.6</w:t>
            </w:r>
          </w:p>
        </w:tc>
      </w:tr>
    </w:tbl>
    <w:p w14:paraId="2ED6F5CE" w14:textId="4637855D" w:rsidR="002B745D" w:rsidRDefault="002B745D"/>
    <w:p w14:paraId="5B041F91" w14:textId="0609D93A" w:rsidR="007D6259" w:rsidRDefault="007D6259">
      <w:r>
        <w:t xml:space="preserve">As shown in the PDF of </w:t>
      </w:r>
      <w:r w:rsidR="000C0CB5">
        <w:fldChar w:fldCharType="begin"/>
      </w:r>
      <w:r w:rsidR="000C0CB5">
        <w:instrText xml:space="preserve"> REF _Ref38635547 \n </w:instrText>
      </w:r>
      <w:r w:rsidR="000C0CB5">
        <w:fldChar w:fldCharType="separate"/>
      </w:r>
      <w:r w:rsidR="00283637">
        <w:t>Chart 3.5</w:t>
      </w:r>
      <w:r w:rsidR="000C0CB5">
        <w:fldChar w:fldCharType="end"/>
      </w:r>
      <w:r w:rsidR="00D22EEE">
        <w:t>,</w:t>
      </w:r>
      <w:r w:rsidR="000C0CB5">
        <w:t xml:space="preserve"> </w:t>
      </w:r>
      <w:r>
        <w:t>annual leave exhibited the greatest average number of hours</w:t>
      </w:r>
      <w:r w:rsidR="006D130E">
        <w:t xml:space="preserve">. </w:t>
      </w:r>
      <w:r>
        <w:t>The distribution has a negative skew, which may be consistent with casualisation of the workforce and payment rates in which annual leave is a</w:t>
      </w:r>
      <w:r w:rsidR="00450A12">
        <w:t xml:space="preserve"> priced</w:t>
      </w:r>
      <w:r w:rsidR="00830F89">
        <w:t>-</w:t>
      </w:r>
      <w:r w:rsidR="00450A12">
        <w:t>in</w:t>
      </w:r>
      <w:r>
        <w:t xml:space="preserve"> component of the</w:t>
      </w:r>
      <w:r w:rsidR="00450A12">
        <w:t xml:space="preserve"> hourly</w:t>
      </w:r>
      <w:r>
        <w:t xml:space="preserve"> wage. Both personal leave and long service leave exhibit similar properties, albeit at lower</w:t>
      </w:r>
      <w:r w:rsidR="00003ABA">
        <w:t xml:space="preserve"> average annual entitlement values for each (</w:t>
      </w:r>
      <w:r w:rsidR="006D130E">
        <w:t>75.8</w:t>
      </w:r>
      <w:r w:rsidR="00003ABA">
        <w:t xml:space="preserve"> for personal leave and </w:t>
      </w:r>
      <w:r w:rsidR="006D130E">
        <w:t>33.4</w:t>
      </w:r>
      <w:r w:rsidR="00003ABA">
        <w:t xml:space="preserve"> for long service leave)</w:t>
      </w:r>
      <w:r w:rsidR="00450A12">
        <w:t>.</w:t>
      </w:r>
      <w:r w:rsidR="00003ABA">
        <w:t xml:space="preserve"> </w:t>
      </w:r>
    </w:p>
    <w:p w14:paraId="0C85E56C" w14:textId="0A8234EE" w:rsidR="0053220B" w:rsidRDefault="0053220B" w:rsidP="0053220B">
      <w:pPr>
        <w:pStyle w:val="CaptionChart"/>
      </w:pPr>
      <w:bookmarkStart w:id="142" w:name="_Ref38635547"/>
      <w:bookmarkStart w:id="143" w:name="_Toc40454724"/>
      <w:r>
        <w:t>Box plot</w:t>
      </w:r>
      <w:r w:rsidR="002E5D35">
        <w:t xml:space="preserve"> (LHS)</w:t>
      </w:r>
      <w:r>
        <w:t xml:space="preserve"> </w:t>
      </w:r>
      <w:r w:rsidR="00A32A72">
        <w:t xml:space="preserve">and </w:t>
      </w:r>
      <w:r w:rsidR="004030B6">
        <w:t>P</w:t>
      </w:r>
      <w:r w:rsidR="007D6259">
        <w:t>D</w:t>
      </w:r>
      <w:r w:rsidR="004030B6">
        <w:t>Fs</w:t>
      </w:r>
      <w:r w:rsidR="002E5D35">
        <w:t xml:space="preserve"> (RHS)</w:t>
      </w:r>
      <w:r w:rsidR="00E844D9">
        <w:t xml:space="preserve"> </w:t>
      </w:r>
      <w:r>
        <w:t>of annual leave entitlement</w:t>
      </w:r>
      <w:r w:rsidR="004030B6">
        <w:t>s</w:t>
      </w:r>
      <w:r>
        <w:t xml:space="preserve"> (hours per year) responses</w:t>
      </w:r>
      <w:r w:rsidR="007D6259">
        <w:rPr>
          <w:rStyle w:val="FootnoteReference"/>
        </w:rPr>
        <w:footnoteReference w:id="18"/>
      </w:r>
      <w:bookmarkEnd w:id="142"/>
      <w:bookmarkEnd w:id="143"/>
    </w:p>
    <w:p w14:paraId="32779F87" w14:textId="224C2C59" w:rsidR="00F2543B" w:rsidRDefault="0016516C" w:rsidP="00446242">
      <w:pPr>
        <w:rPr>
          <w:noProof/>
        </w:rPr>
      </w:pPr>
      <w:r w:rsidRPr="00646A29">
        <w:rPr>
          <w:noProof/>
          <w:lang w:eastAsia="en-AU"/>
        </w:rPr>
        <w:drawing>
          <wp:anchor distT="0" distB="0" distL="114300" distR="114300" simplePos="0" relativeHeight="251710464" behindDoc="0" locked="0" layoutInCell="1" allowOverlap="1" wp14:anchorId="7644D745" wp14:editId="29AF74EB">
            <wp:simplePos x="0" y="0"/>
            <wp:positionH relativeFrom="column">
              <wp:posOffset>3015788</wp:posOffset>
            </wp:positionH>
            <wp:positionV relativeFrom="paragraph">
              <wp:posOffset>12321</wp:posOffset>
            </wp:positionV>
            <wp:extent cx="3087370" cy="2505710"/>
            <wp:effectExtent l="0" t="0" r="0" b="8890"/>
            <wp:wrapNone/>
            <wp:docPr id="1489793603" name="Picture 148979360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87370" cy="2505710"/>
                    </a:xfrm>
                    <a:prstGeom prst="rect">
                      <a:avLst/>
                    </a:prstGeom>
                    <a:noFill/>
                    <a:ln>
                      <a:noFill/>
                    </a:ln>
                  </pic:spPr>
                </pic:pic>
              </a:graphicData>
            </a:graphic>
          </wp:anchor>
        </w:drawing>
      </w:r>
      <w:r w:rsidRPr="00646A29">
        <w:rPr>
          <w:noProof/>
          <w:lang w:eastAsia="en-AU"/>
        </w:rPr>
        <w:drawing>
          <wp:inline distT="0" distB="0" distL="0" distR="0" wp14:anchorId="0462AA98" wp14:editId="51914BA4">
            <wp:extent cx="3087370" cy="2149475"/>
            <wp:effectExtent l="0" t="0" r="0" b="3175"/>
            <wp:docPr id="1489793602" name="Picture 1489793602" descr="Chart 3.5 Box plot (LHS) and PDFs (RHS) of annual leave entitlements (hours per year)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87370" cy="2149475"/>
                    </a:xfrm>
                    <a:prstGeom prst="rect">
                      <a:avLst/>
                    </a:prstGeom>
                    <a:noFill/>
                    <a:ln>
                      <a:noFill/>
                    </a:ln>
                  </pic:spPr>
                </pic:pic>
              </a:graphicData>
            </a:graphic>
          </wp:inline>
        </w:drawing>
      </w:r>
      <w:r w:rsidR="00F2543B" w:rsidRPr="00F2543B">
        <w:rPr>
          <w:noProof/>
        </w:rPr>
        <w:t xml:space="preserve"> </w:t>
      </w:r>
    </w:p>
    <w:p w14:paraId="7A34824B" w14:textId="30DBE2B2" w:rsidR="004B0BA8" w:rsidRDefault="004B0BA8" w:rsidP="00D861A2">
      <w:pPr>
        <w:pStyle w:val="Heading2"/>
        <w:keepNext w:val="0"/>
        <w:keepLines w:val="0"/>
      </w:pPr>
      <w:bookmarkStart w:id="144" w:name="_Toc39047537"/>
      <w:bookmarkStart w:id="145" w:name="_Toc39127153"/>
      <w:bookmarkStart w:id="146" w:name="_Toc40454651"/>
      <w:bookmarkEnd w:id="144"/>
      <w:bookmarkEnd w:id="145"/>
      <w:r>
        <w:t>Salary on-costs</w:t>
      </w:r>
      <w:bookmarkEnd w:id="146"/>
    </w:p>
    <w:p w14:paraId="7E9484DA" w14:textId="6A892739" w:rsidR="0042002C" w:rsidRDefault="0042002C" w:rsidP="000F7FD9">
      <w:pPr>
        <w:keepNext/>
        <w:keepLines/>
      </w:pPr>
      <w:r>
        <w:t xml:space="preserve">The </w:t>
      </w:r>
      <w:r w:rsidR="002E2DA4">
        <w:t xml:space="preserve">survey results </w:t>
      </w:r>
      <w:r w:rsidR="000F7FD9">
        <w:t>estimated salary on-costs to be</w:t>
      </w:r>
      <w:r>
        <w:t>:</w:t>
      </w:r>
    </w:p>
    <w:p w14:paraId="54DC2920" w14:textId="649F3FD0" w:rsidR="0042002C" w:rsidRDefault="0042002C" w:rsidP="000F7FD9">
      <w:pPr>
        <w:pStyle w:val="ListBullet"/>
        <w:keepNext/>
        <w:keepLines/>
      </w:pPr>
      <w:r>
        <w:t>Superannuation at 9.</w:t>
      </w:r>
      <w:r w:rsidR="00C670D0">
        <w:t>4</w:t>
      </w:r>
      <w:r>
        <w:t>% of base salary, including leave</w:t>
      </w:r>
    </w:p>
    <w:p w14:paraId="072FCBB2" w14:textId="72BD5D65" w:rsidR="0042002C" w:rsidRPr="003F110A" w:rsidRDefault="0042002C" w:rsidP="000F7FD9">
      <w:pPr>
        <w:pStyle w:val="ListBullet"/>
        <w:keepNext/>
        <w:keepLines/>
      </w:pPr>
      <w:r>
        <w:t xml:space="preserve">Workers compensation </w:t>
      </w:r>
      <w:r w:rsidRPr="003F110A">
        <w:t xml:space="preserve">insurance at </w:t>
      </w:r>
      <w:r w:rsidR="002E2DA4" w:rsidRPr="003F110A">
        <w:t>2.</w:t>
      </w:r>
      <w:r w:rsidR="00B33C6A" w:rsidRPr="003F110A">
        <w:t>6</w:t>
      </w:r>
      <w:r w:rsidRPr="003F110A">
        <w:t>% of base salary, including leave.</w:t>
      </w:r>
    </w:p>
    <w:p w14:paraId="50980783" w14:textId="7D9A5095" w:rsidR="0042002C" w:rsidRPr="003F110A" w:rsidRDefault="00996EA7" w:rsidP="008A7717">
      <w:r>
        <w:t>The estimated superannuation (9.4%) is lower than the mandated minimum rate of</w:t>
      </w:r>
      <w:r w:rsidR="002E2DA4" w:rsidRPr="003F110A">
        <w:t xml:space="preserve"> 9.5%. One potential reason for this difference is that some casual employees or those earning less than $4</w:t>
      </w:r>
      <w:r w:rsidR="00954942">
        <w:t>5</w:t>
      </w:r>
      <w:r w:rsidR="002E2DA4" w:rsidRPr="003F110A">
        <w:t>0</w:t>
      </w:r>
      <w:r w:rsidR="00B53265">
        <w:t xml:space="preserve"> per </w:t>
      </w:r>
      <w:r w:rsidR="00954942">
        <w:t>calendar month</w:t>
      </w:r>
      <w:r w:rsidR="00B53265">
        <w:t xml:space="preserve"> </w:t>
      </w:r>
      <w:r w:rsidR="002E2DA4" w:rsidRPr="003F110A">
        <w:t xml:space="preserve">are not entitled to superannuation. </w:t>
      </w:r>
    </w:p>
    <w:p w14:paraId="72B31F8F" w14:textId="210F22CA" w:rsidR="004B0BA8" w:rsidRPr="003F110A" w:rsidRDefault="00506519" w:rsidP="000C0CB5">
      <w:pPr>
        <w:pStyle w:val="CaptionTable"/>
        <w:ind w:left="0"/>
      </w:pPr>
      <w:bookmarkStart w:id="147" w:name="_Toc40454690"/>
      <w:r>
        <w:lastRenderedPageBreak/>
        <w:t>Salary on-costs</w:t>
      </w:r>
      <w:bookmarkEnd w:id="147"/>
    </w:p>
    <w:tbl>
      <w:tblPr>
        <w:tblStyle w:val="Deloittetable"/>
        <w:tblW w:w="5000" w:type="pct"/>
        <w:tblLook w:val="04A0" w:firstRow="1" w:lastRow="0" w:firstColumn="1" w:lastColumn="0" w:noHBand="0" w:noVBand="1"/>
      </w:tblPr>
      <w:tblGrid>
        <w:gridCol w:w="2980"/>
        <w:gridCol w:w="1210"/>
        <w:gridCol w:w="1209"/>
        <w:gridCol w:w="1209"/>
        <w:gridCol w:w="1209"/>
        <w:gridCol w:w="1209"/>
      </w:tblGrid>
      <w:tr w:rsidR="00CA25DA" w:rsidRPr="008C28C1" w14:paraId="6147B5C7" w14:textId="58472CE5" w:rsidTr="008C28C1">
        <w:trPr>
          <w:cnfStyle w:val="100000000000" w:firstRow="1" w:lastRow="0" w:firstColumn="0" w:lastColumn="0" w:oddVBand="0" w:evenVBand="0" w:oddHBand="0" w:evenHBand="0" w:firstRowFirstColumn="0" w:firstRowLastColumn="0" w:lastRowFirstColumn="0" w:lastRowLastColumn="0"/>
          <w:trHeight w:val="22"/>
        </w:trPr>
        <w:tc>
          <w:tcPr>
            <w:tcW w:w="1650" w:type="pct"/>
            <w:tcBorders>
              <w:top w:val="single" w:sz="12" w:space="0" w:color="62B5E5" w:themeColor="accent3"/>
              <w:right w:val="nil"/>
            </w:tcBorders>
          </w:tcPr>
          <w:p w14:paraId="4A1D4594" w14:textId="77777777" w:rsidR="00CA25DA" w:rsidRPr="00D655A4" w:rsidRDefault="00CA25DA" w:rsidP="00DB66C5">
            <w:pPr>
              <w:pStyle w:val="TabletextLeft"/>
              <w:keepNext/>
              <w:rPr>
                <w:b/>
                <w:bCs/>
                <w:sz w:val="16"/>
                <w:szCs w:val="16"/>
              </w:rPr>
            </w:pPr>
          </w:p>
        </w:tc>
        <w:tc>
          <w:tcPr>
            <w:tcW w:w="670" w:type="pct"/>
            <w:tcBorders>
              <w:top w:val="single" w:sz="12" w:space="0" w:color="62B5E5" w:themeColor="accent3"/>
              <w:left w:val="nil"/>
            </w:tcBorders>
          </w:tcPr>
          <w:p w14:paraId="710D6CE7" w14:textId="77777777" w:rsidR="00CA25DA" w:rsidRPr="00D655A4" w:rsidRDefault="00CA25DA" w:rsidP="00DB66C5">
            <w:pPr>
              <w:pStyle w:val="TabletextLeft"/>
              <w:keepNext/>
              <w:jc w:val="center"/>
              <w:rPr>
                <w:b/>
                <w:bCs/>
                <w:color w:val="62B5E5" w:themeColor="accent3"/>
                <w:sz w:val="16"/>
                <w:szCs w:val="16"/>
              </w:rPr>
            </w:pPr>
            <w:r w:rsidRPr="00D655A4">
              <w:rPr>
                <w:b/>
                <w:bCs/>
                <w:color w:val="62B5E5" w:themeColor="accent3"/>
                <w:sz w:val="16"/>
                <w:szCs w:val="16"/>
              </w:rPr>
              <w:t>Mean</w:t>
            </w:r>
          </w:p>
        </w:tc>
        <w:tc>
          <w:tcPr>
            <w:tcW w:w="670" w:type="pct"/>
            <w:tcBorders>
              <w:top w:val="single" w:sz="12" w:space="0" w:color="62B5E5" w:themeColor="accent3"/>
            </w:tcBorders>
          </w:tcPr>
          <w:p w14:paraId="1493CE9E" w14:textId="4FC76F92" w:rsidR="00CA25DA" w:rsidRPr="00D655A4" w:rsidRDefault="00CA25DA" w:rsidP="00DB66C5">
            <w:pPr>
              <w:pStyle w:val="TabletextLeft"/>
              <w:keepNext/>
              <w:jc w:val="center"/>
              <w:rPr>
                <w:b/>
                <w:bCs/>
                <w:color w:val="62B5E5" w:themeColor="accent3"/>
                <w:sz w:val="16"/>
                <w:szCs w:val="16"/>
              </w:rPr>
            </w:pPr>
            <w:r w:rsidRPr="00D655A4">
              <w:rPr>
                <w:b/>
                <w:bCs/>
                <w:color w:val="62B5E5" w:themeColor="accent3"/>
                <w:sz w:val="16"/>
                <w:szCs w:val="16"/>
              </w:rPr>
              <w:t>WM</w:t>
            </w:r>
          </w:p>
        </w:tc>
        <w:tc>
          <w:tcPr>
            <w:tcW w:w="670" w:type="pct"/>
            <w:tcBorders>
              <w:top w:val="single" w:sz="12" w:space="0" w:color="62B5E5" w:themeColor="accent3"/>
              <w:right w:val="nil"/>
            </w:tcBorders>
          </w:tcPr>
          <w:p w14:paraId="2B17C31E" w14:textId="3732026D" w:rsidR="00CA25DA" w:rsidRPr="00D655A4" w:rsidRDefault="00CA25DA" w:rsidP="00DB66C5">
            <w:pPr>
              <w:pStyle w:val="TabletextLeft"/>
              <w:keepNext/>
              <w:jc w:val="center"/>
              <w:rPr>
                <w:b/>
                <w:bCs/>
                <w:color w:val="62B5E5" w:themeColor="accent3"/>
                <w:sz w:val="16"/>
                <w:szCs w:val="16"/>
              </w:rPr>
            </w:pPr>
            <w:r w:rsidRPr="00D655A4">
              <w:rPr>
                <w:b/>
                <w:bCs/>
                <w:color w:val="62B5E5" w:themeColor="accent3"/>
                <w:sz w:val="16"/>
                <w:szCs w:val="16"/>
              </w:rPr>
              <w:t>Median</w:t>
            </w:r>
          </w:p>
        </w:tc>
        <w:tc>
          <w:tcPr>
            <w:tcW w:w="670" w:type="pct"/>
            <w:tcBorders>
              <w:top w:val="single" w:sz="12" w:space="0" w:color="62B5E5" w:themeColor="accent3"/>
              <w:left w:val="nil"/>
              <w:right w:val="nil"/>
            </w:tcBorders>
          </w:tcPr>
          <w:p w14:paraId="49A530A3" w14:textId="77777777" w:rsidR="00CA25DA" w:rsidRPr="00D655A4" w:rsidRDefault="00CA25DA" w:rsidP="00DB66C5">
            <w:pPr>
              <w:pStyle w:val="TabletextLeft"/>
              <w:keepNext/>
              <w:jc w:val="center"/>
              <w:rPr>
                <w:b/>
                <w:bCs/>
                <w:color w:val="62B5E5" w:themeColor="accent3"/>
                <w:sz w:val="16"/>
                <w:szCs w:val="16"/>
              </w:rPr>
            </w:pPr>
            <w:r w:rsidRPr="00D655A4">
              <w:rPr>
                <w:b/>
                <w:bCs/>
                <w:color w:val="62B5E5" w:themeColor="accent3"/>
                <w:sz w:val="16"/>
                <w:szCs w:val="16"/>
              </w:rPr>
              <w:t>25</w:t>
            </w:r>
            <w:r w:rsidRPr="00D655A4">
              <w:rPr>
                <w:b/>
                <w:bCs/>
                <w:color w:val="62B5E5" w:themeColor="accent3"/>
                <w:sz w:val="16"/>
                <w:szCs w:val="16"/>
                <w:vertAlign w:val="superscript"/>
              </w:rPr>
              <w:t>th</w:t>
            </w:r>
            <w:r w:rsidRPr="00D655A4">
              <w:rPr>
                <w:b/>
                <w:bCs/>
                <w:color w:val="62B5E5" w:themeColor="accent3"/>
                <w:sz w:val="16"/>
                <w:szCs w:val="16"/>
              </w:rPr>
              <w:t xml:space="preserve"> PC</w:t>
            </w:r>
          </w:p>
        </w:tc>
        <w:tc>
          <w:tcPr>
            <w:tcW w:w="670" w:type="pct"/>
            <w:tcBorders>
              <w:top w:val="single" w:sz="12" w:space="0" w:color="62B5E5" w:themeColor="accent3"/>
              <w:left w:val="nil"/>
              <w:right w:val="nil"/>
            </w:tcBorders>
          </w:tcPr>
          <w:p w14:paraId="3D923677" w14:textId="79C3BE5F" w:rsidR="00CA25DA" w:rsidRPr="00D655A4" w:rsidRDefault="00CA25DA" w:rsidP="00DB66C5">
            <w:pPr>
              <w:pStyle w:val="TabletextLeft"/>
              <w:keepNext/>
              <w:jc w:val="center"/>
              <w:rPr>
                <w:b/>
                <w:bCs/>
                <w:color w:val="62B5E5" w:themeColor="accent3"/>
                <w:sz w:val="16"/>
                <w:szCs w:val="16"/>
              </w:rPr>
            </w:pPr>
            <w:r w:rsidRPr="00D655A4">
              <w:rPr>
                <w:b/>
                <w:bCs/>
                <w:color w:val="62B5E5" w:themeColor="accent3"/>
                <w:sz w:val="16"/>
                <w:szCs w:val="16"/>
              </w:rPr>
              <w:t>75</w:t>
            </w:r>
            <w:r w:rsidRPr="00D655A4">
              <w:rPr>
                <w:b/>
                <w:bCs/>
                <w:color w:val="62B5E5" w:themeColor="accent3"/>
                <w:sz w:val="16"/>
                <w:szCs w:val="16"/>
                <w:vertAlign w:val="superscript"/>
              </w:rPr>
              <w:t>th</w:t>
            </w:r>
            <w:r w:rsidRPr="00D655A4">
              <w:rPr>
                <w:b/>
                <w:bCs/>
                <w:color w:val="62B5E5" w:themeColor="accent3"/>
                <w:sz w:val="16"/>
                <w:szCs w:val="16"/>
              </w:rPr>
              <w:t xml:space="preserve"> PC</w:t>
            </w:r>
          </w:p>
        </w:tc>
      </w:tr>
      <w:tr w:rsidR="00CA25DA" w:rsidRPr="003F110A" w14:paraId="067485FE" w14:textId="6B86C886" w:rsidTr="008C28C1">
        <w:trPr>
          <w:trHeight w:val="22"/>
        </w:trPr>
        <w:tc>
          <w:tcPr>
            <w:tcW w:w="1650" w:type="pct"/>
            <w:tcBorders>
              <w:right w:val="nil"/>
            </w:tcBorders>
          </w:tcPr>
          <w:p w14:paraId="171587F6" w14:textId="77777777" w:rsidR="00CA25DA" w:rsidRPr="00D655A4" w:rsidRDefault="00CA25DA" w:rsidP="009C1642">
            <w:pPr>
              <w:pStyle w:val="TabletextLeft"/>
              <w:keepNext/>
              <w:rPr>
                <w:sz w:val="16"/>
                <w:szCs w:val="16"/>
              </w:rPr>
            </w:pPr>
            <w:r w:rsidRPr="00D655A4">
              <w:rPr>
                <w:sz w:val="16"/>
                <w:szCs w:val="16"/>
              </w:rPr>
              <w:t>Superannuation rate</w:t>
            </w:r>
          </w:p>
        </w:tc>
        <w:tc>
          <w:tcPr>
            <w:tcW w:w="670" w:type="pct"/>
            <w:tcBorders>
              <w:left w:val="nil"/>
            </w:tcBorders>
            <w:vAlign w:val="center"/>
          </w:tcPr>
          <w:p w14:paraId="140F6B6E" w14:textId="03A915E1" w:rsidR="00CA25DA" w:rsidRPr="00D655A4" w:rsidRDefault="00CA25DA" w:rsidP="008B767E">
            <w:pPr>
              <w:pStyle w:val="TabletextCentre"/>
              <w:keepNext/>
              <w:rPr>
                <w:sz w:val="16"/>
                <w:szCs w:val="16"/>
              </w:rPr>
            </w:pPr>
            <w:r w:rsidRPr="00D655A4">
              <w:rPr>
                <w:sz w:val="16"/>
                <w:szCs w:val="16"/>
              </w:rPr>
              <w:t>9.4%</w:t>
            </w:r>
          </w:p>
        </w:tc>
        <w:tc>
          <w:tcPr>
            <w:tcW w:w="670" w:type="pct"/>
            <w:vAlign w:val="center"/>
          </w:tcPr>
          <w:p w14:paraId="1114C50A" w14:textId="08B91835" w:rsidR="00CA25DA" w:rsidRPr="00D655A4" w:rsidRDefault="00CA25DA" w:rsidP="008B767E">
            <w:pPr>
              <w:pStyle w:val="TabletextCentre"/>
              <w:keepNext/>
              <w:rPr>
                <w:sz w:val="16"/>
                <w:szCs w:val="16"/>
              </w:rPr>
            </w:pPr>
            <w:r w:rsidRPr="00D655A4">
              <w:rPr>
                <w:sz w:val="16"/>
                <w:szCs w:val="16"/>
              </w:rPr>
              <w:t>9.5%</w:t>
            </w:r>
          </w:p>
        </w:tc>
        <w:tc>
          <w:tcPr>
            <w:tcW w:w="670" w:type="pct"/>
            <w:tcBorders>
              <w:top w:val="single" w:sz="4" w:space="0" w:color="000000" w:themeColor="text1"/>
              <w:right w:val="nil"/>
            </w:tcBorders>
            <w:vAlign w:val="center"/>
          </w:tcPr>
          <w:p w14:paraId="2E9915DB" w14:textId="692EED90" w:rsidR="00CA25DA" w:rsidRPr="00D655A4" w:rsidRDefault="00CA25DA" w:rsidP="008B767E">
            <w:pPr>
              <w:pStyle w:val="TabletextCentre"/>
              <w:keepNext/>
              <w:rPr>
                <w:sz w:val="16"/>
                <w:szCs w:val="16"/>
              </w:rPr>
            </w:pPr>
            <w:r w:rsidRPr="00D655A4">
              <w:rPr>
                <w:sz w:val="16"/>
                <w:szCs w:val="16"/>
              </w:rPr>
              <w:t>9.5%</w:t>
            </w:r>
          </w:p>
        </w:tc>
        <w:tc>
          <w:tcPr>
            <w:tcW w:w="670" w:type="pct"/>
            <w:tcBorders>
              <w:top w:val="single" w:sz="4" w:space="0" w:color="000000" w:themeColor="text1"/>
              <w:left w:val="nil"/>
              <w:right w:val="nil"/>
            </w:tcBorders>
            <w:vAlign w:val="center"/>
          </w:tcPr>
          <w:p w14:paraId="41E8438E" w14:textId="223803A4" w:rsidR="00CA25DA" w:rsidRPr="00D655A4" w:rsidRDefault="00CA25DA" w:rsidP="008B767E">
            <w:pPr>
              <w:pStyle w:val="TabletextCentre"/>
              <w:keepNext/>
              <w:rPr>
                <w:sz w:val="16"/>
                <w:szCs w:val="16"/>
              </w:rPr>
            </w:pPr>
            <w:r w:rsidRPr="00D655A4">
              <w:rPr>
                <w:sz w:val="16"/>
                <w:szCs w:val="16"/>
              </w:rPr>
              <w:t>9.5%</w:t>
            </w:r>
          </w:p>
        </w:tc>
        <w:tc>
          <w:tcPr>
            <w:tcW w:w="670" w:type="pct"/>
            <w:tcBorders>
              <w:top w:val="single" w:sz="4" w:space="0" w:color="000000" w:themeColor="text1"/>
              <w:left w:val="nil"/>
              <w:right w:val="nil"/>
            </w:tcBorders>
            <w:vAlign w:val="center"/>
          </w:tcPr>
          <w:p w14:paraId="2CC7B23E" w14:textId="59F078F4" w:rsidR="00CA25DA" w:rsidRPr="00D655A4" w:rsidRDefault="00CA25DA" w:rsidP="008B767E">
            <w:pPr>
              <w:pStyle w:val="TabletextCentre"/>
              <w:keepNext/>
              <w:rPr>
                <w:sz w:val="16"/>
                <w:szCs w:val="16"/>
              </w:rPr>
            </w:pPr>
            <w:r w:rsidRPr="00D655A4">
              <w:rPr>
                <w:sz w:val="16"/>
                <w:szCs w:val="16"/>
              </w:rPr>
              <w:t>9.5%</w:t>
            </w:r>
          </w:p>
        </w:tc>
      </w:tr>
      <w:tr w:rsidR="00CA25DA" w:rsidRPr="004B4D01" w14:paraId="615836EC" w14:textId="21DC691D" w:rsidTr="008C28C1">
        <w:trPr>
          <w:trHeight w:val="22"/>
        </w:trPr>
        <w:tc>
          <w:tcPr>
            <w:tcW w:w="1650" w:type="pct"/>
            <w:tcBorders>
              <w:right w:val="nil"/>
            </w:tcBorders>
          </w:tcPr>
          <w:p w14:paraId="3F4507DD" w14:textId="77777777" w:rsidR="00CA25DA" w:rsidRPr="00D655A4" w:rsidRDefault="00CA25DA" w:rsidP="009C1642">
            <w:pPr>
              <w:pStyle w:val="TabletextLeft"/>
              <w:keepNext/>
              <w:rPr>
                <w:sz w:val="16"/>
                <w:szCs w:val="16"/>
              </w:rPr>
            </w:pPr>
            <w:r w:rsidRPr="00D655A4">
              <w:rPr>
                <w:sz w:val="16"/>
                <w:szCs w:val="16"/>
              </w:rPr>
              <w:t>Workers compensation premium</w:t>
            </w:r>
          </w:p>
        </w:tc>
        <w:tc>
          <w:tcPr>
            <w:tcW w:w="670" w:type="pct"/>
            <w:tcBorders>
              <w:left w:val="nil"/>
            </w:tcBorders>
            <w:vAlign w:val="center"/>
          </w:tcPr>
          <w:p w14:paraId="2754726E" w14:textId="002F3A9E" w:rsidR="00CA25DA" w:rsidRPr="00D655A4" w:rsidRDefault="00CA25DA" w:rsidP="009C1642">
            <w:pPr>
              <w:pStyle w:val="TabletextCentre"/>
              <w:keepNext/>
              <w:rPr>
                <w:sz w:val="16"/>
                <w:szCs w:val="16"/>
              </w:rPr>
            </w:pPr>
            <w:r w:rsidRPr="00D655A4">
              <w:rPr>
                <w:sz w:val="16"/>
                <w:szCs w:val="16"/>
              </w:rPr>
              <w:t>2.6%</w:t>
            </w:r>
          </w:p>
        </w:tc>
        <w:tc>
          <w:tcPr>
            <w:tcW w:w="670" w:type="pct"/>
            <w:vAlign w:val="center"/>
          </w:tcPr>
          <w:p w14:paraId="520DB83D" w14:textId="2EE87AAB" w:rsidR="00CA25DA" w:rsidRPr="00D655A4" w:rsidRDefault="00CA25DA" w:rsidP="009C1642">
            <w:pPr>
              <w:pStyle w:val="TabletextCentre"/>
              <w:keepNext/>
              <w:rPr>
                <w:sz w:val="16"/>
                <w:szCs w:val="16"/>
              </w:rPr>
            </w:pPr>
            <w:r w:rsidRPr="00D655A4">
              <w:rPr>
                <w:sz w:val="16"/>
                <w:szCs w:val="16"/>
              </w:rPr>
              <w:t>2.8%</w:t>
            </w:r>
          </w:p>
        </w:tc>
        <w:tc>
          <w:tcPr>
            <w:tcW w:w="670" w:type="pct"/>
            <w:tcBorders>
              <w:top w:val="single" w:sz="4" w:space="0" w:color="000000" w:themeColor="text1"/>
              <w:right w:val="nil"/>
            </w:tcBorders>
            <w:vAlign w:val="center"/>
          </w:tcPr>
          <w:p w14:paraId="6DB6C079" w14:textId="28E131C4" w:rsidR="00CA25DA" w:rsidRPr="00D655A4" w:rsidRDefault="00CA25DA" w:rsidP="009C1642">
            <w:pPr>
              <w:pStyle w:val="TabletextCentre"/>
              <w:keepNext/>
              <w:rPr>
                <w:sz w:val="16"/>
                <w:szCs w:val="16"/>
              </w:rPr>
            </w:pPr>
            <w:r w:rsidRPr="00D655A4">
              <w:rPr>
                <w:sz w:val="16"/>
                <w:szCs w:val="16"/>
              </w:rPr>
              <w:t>2.3%</w:t>
            </w:r>
          </w:p>
        </w:tc>
        <w:tc>
          <w:tcPr>
            <w:tcW w:w="670" w:type="pct"/>
            <w:tcBorders>
              <w:top w:val="single" w:sz="4" w:space="0" w:color="000000" w:themeColor="text1"/>
              <w:left w:val="nil"/>
              <w:right w:val="nil"/>
            </w:tcBorders>
            <w:vAlign w:val="center"/>
          </w:tcPr>
          <w:p w14:paraId="1702CBFC" w14:textId="247920F5" w:rsidR="00CA25DA" w:rsidRPr="00D655A4" w:rsidRDefault="00CA25DA" w:rsidP="009C1642">
            <w:pPr>
              <w:pStyle w:val="TabletextCentre"/>
              <w:keepNext/>
              <w:rPr>
                <w:sz w:val="16"/>
                <w:szCs w:val="16"/>
              </w:rPr>
            </w:pPr>
            <w:r w:rsidRPr="00D655A4">
              <w:rPr>
                <w:sz w:val="16"/>
                <w:szCs w:val="16"/>
              </w:rPr>
              <w:t>1.7%</w:t>
            </w:r>
          </w:p>
        </w:tc>
        <w:tc>
          <w:tcPr>
            <w:tcW w:w="670" w:type="pct"/>
            <w:tcBorders>
              <w:top w:val="single" w:sz="4" w:space="0" w:color="000000" w:themeColor="text1"/>
              <w:left w:val="nil"/>
              <w:right w:val="nil"/>
            </w:tcBorders>
            <w:vAlign w:val="center"/>
          </w:tcPr>
          <w:p w14:paraId="1FB94B03" w14:textId="55F22394" w:rsidR="00CA25DA" w:rsidRPr="00D655A4" w:rsidRDefault="00CA25DA" w:rsidP="009C1642">
            <w:pPr>
              <w:pStyle w:val="TabletextCentre"/>
              <w:keepNext/>
              <w:rPr>
                <w:sz w:val="16"/>
                <w:szCs w:val="16"/>
              </w:rPr>
            </w:pPr>
            <w:r w:rsidRPr="00D655A4">
              <w:rPr>
                <w:sz w:val="16"/>
                <w:szCs w:val="16"/>
              </w:rPr>
              <w:t>3.5%</w:t>
            </w:r>
          </w:p>
        </w:tc>
      </w:tr>
    </w:tbl>
    <w:p w14:paraId="6521FE1C" w14:textId="200CE7E9" w:rsidR="00C96361" w:rsidRDefault="00C96361" w:rsidP="00AA7830"/>
    <w:p w14:paraId="2A2987D9" w14:textId="05DE01FF" w:rsidR="002945A8" w:rsidRDefault="00003ABA" w:rsidP="00DB66C5">
      <w:r>
        <w:t xml:space="preserve">The data indicates that with few exceptions, the superannuation rate paid by providers will equal 9.5%. </w:t>
      </w:r>
      <w:r w:rsidR="000C0CB5">
        <w:fldChar w:fldCharType="begin"/>
      </w:r>
      <w:r w:rsidR="000C0CB5">
        <w:instrText xml:space="preserve"> REF _Ref38635591 \n </w:instrText>
      </w:r>
      <w:r w:rsidR="000C0CB5">
        <w:fldChar w:fldCharType="separate"/>
      </w:r>
      <w:r w:rsidR="00283637">
        <w:t>Chart 3.6</w:t>
      </w:r>
      <w:r w:rsidR="000C0CB5">
        <w:fldChar w:fldCharType="end"/>
      </w:r>
      <w:r w:rsidR="000C0CB5">
        <w:t xml:space="preserve"> </w:t>
      </w:r>
      <w:r>
        <w:t>provides a graphical representation of the observed provider responses with 96.9% of responses at 9.5%.</w:t>
      </w:r>
      <w:r w:rsidR="00B137E7">
        <w:t xml:space="preserve"> </w:t>
      </w:r>
      <w:r>
        <w:t>Nine</w:t>
      </w:r>
      <w:r w:rsidR="00B137E7">
        <w:t xml:space="preserve"> outliers were below this (mean = 8.64%) and</w:t>
      </w:r>
      <w:r>
        <w:t xml:space="preserve"> ten were above (</w:t>
      </w:r>
      <w:r w:rsidR="00B137E7">
        <w:t xml:space="preserve">mean = 10.49%). The responses indicate </w:t>
      </w:r>
      <w:r w:rsidR="00450A12">
        <w:t>most</w:t>
      </w:r>
      <w:r w:rsidR="00B137E7">
        <w:t xml:space="preserve"> providers pay as per standard Superannuation Guarantee rates. Values below 9.5% potentially indicate either erroneous entry or examples of a weighted response from some staff members working less than the legal minimum monthly superannuation earnings threshold of $450. The observations above 9.5% indicate that a small proportion of providers (1.7%) offer increased superannuation allowances as part of staff Total Remuneration Packages</w:t>
      </w:r>
      <w:r w:rsidR="007212AF">
        <w:t>.</w:t>
      </w:r>
    </w:p>
    <w:p w14:paraId="365004A9" w14:textId="011EA06C" w:rsidR="0053220B" w:rsidRDefault="00AB2813" w:rsidP="0053220B">
      <w:pPr>
        <w:pStyle w:val="CaptionChart"/>
      </w:pPr>
      <w:bookmarkStart w:id="148" w:name="_Ref38635591"/>
      <w:bookmarkStart w:id="149" w:name="_Toc40454725"/>
      <w:r>
        <w:t>Pie chart</w:t>
      </w:r>
      <w:r w:rsidR="002945A8">
        <w:t xml:space="preserve"> </w:t>
      </w:r>
      <w:r w:rsidR="0053220B">
        <w:t>of superannuation rate responses</w:t>
      </w:r>
      <w:bookmarkEnd w:id="148"/>
      <w:bookmarkEnd w:id="149"/>
    </w:p>
    <w:p w14:paraId="2CC20955" w14:textId="0EFD12AC" w:rsidR="002945A8" w:rsidRDefault="00646A29" w:rsidP="002945A8">
      <w:r w:rsidRPr="00646A29">
        <w:rPr>
          <w:noProof/>
          <w:lang w:eastAsia="en-AU"/>
        </w:rPr>
        <w:drawing>
          <wp:inline distT="0" distB="0" distL="0" distR="0" wp14:anchorId="6E502E3A" wp14:editId="619B5949">
            <wp:extent cx="3218180" cy="2220595"/>
            <wp:effectExtent l="0" t="0" r="1270" b="8255"/>
            <wp:docPr id="1489793601" name="Picture 1489793601" descr="Chart 3.6 Pie chart of superannuation rate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8180" cy="2220595"/>
                    </a:xfrm>
                    <a:prstGeom prst="rect">
                      <a:avLst/>
                    </a:prstGeom>
                    <a:noFill/>
                    <a:ln>
                      <a:noFill/>
                    </a:ln>
                  </pic:spPr>
                </pic:pic>
              </a:graphicData>
            </a:graphic>
          </wp:inline>
        </w:drawing>
      </w:r>
    </w:p>
    <w:p w14:paraId="07B0E744" w14:textId="4C101871" w:rsidR="00845FA0" w:rsidRDefault="007212AF" w:rsidP="002945A8">
      <w:r>
        <w:t>As shown in the</w:t>
      </w:r>
      <w:r w:rsidR="00BB64AA">
        <w:t xml:space="preserve"> box pl</w:t>
      </w:r>
      <w:r w:rsidR="000C0CB5">
        <w:t>o</w:t>
      </w:r>
      <w:r w:rsidR="00BB64AA">
        <w:t xml:space="preserve">t </w:t>
      </w:r>
      <w:r w:rsidR="002E5D35">
        <w:t xml:space="preserve">in </w:t>
      </w:r>
      <w:r w:rsidR="000C0CB5">
        <w:rPr>
          <w:highlight w:val="yellow"/>
        </w:rPr>
        <w:fldChar w:fldCharType="begin"/>
      </w:r>
      <w:r w:rsidR="000C0CB5">
        <w:instrText xml:space="preserve"> REF _Ref38635620 \n </w:instrText>
      </w:r>
      <w:r w:rsidR="000C0CB5">
        <w:rPr>
          <w:highlight w:val="yellow"/>
        </w:rPr>
        <w:fldChar w:fldCharType="separate"/>
      </w:r>
      <w:r w:rsidR="00283637">
        <w:t>Chart 3.7</w:t>
      </w:r>
      <w:r w:rsidR="000C0CB5">
        <w:rPr>
          <w:highlight w:val="yellow"/>
        </w:rPr>
        <w:fldChar w:fldCharType="end"/>
      </w:r>
      <w:r>
        <w:t xml:space="preserve">, </w:t>
      </w:r>
      <w:r w:rsidR="00CB16AC">
        <w:t xml:space="preserve">the </w:t>
      </w:r>
      <w:r w:rsidR="00B53BBC">
        <w:t>IQR</w:t>
      </w:r>
      <w:r w:rsidR="00CB16AC">
        <w:t xml:space="preserve"> of </w:t>
      </w:r>
      <w:r>
        <w:t>workers’ compensation premium</w:t>
      </w:r>
      <w:r w:rsidR="00BB64AA">
        <w:t xml:space="preserve"> </w:t>
      </w:r>
      <w:r w:rsidR="00450A12">
        <w:t xml:space="preserve">observations </w:t>
      </w:r>
      <w:r w:rsidR="00CB16AC">
        <w:t>were within the range</w:t>
      </w:r>
      <w:r>
        <w:t xml:space="preserve"> 1.7% </w:t>
      </w:r>
      <w:r w:rsidR="00BB64AA">
        <w:t>to</w:t>
      </w:r>
      <w:r>
        <w:t xml:space="preserve"> 3.</w:t>
      </w:r>
      <w:r w:rsidR="00B53BBC">
        <w:t>5</w:t>
      </w:r>
      <w:r>
        <w:t xml:space="preserve">%. </w:t>
      </w:r>
      <w:r w:rsidR="00BB64AA">
        <w:t>It was clear by the quant</w:t>
      </w:r>
      <w:r w:rsidR="00A525A1">
        <w:t>um</w:t>
      </w:r>
      <w:r w:rsidR="00BB64AA">
        <w:t xml:space="preserve"> and nature of questions received by the survey help desk during the fielding period that many participants found this question difficult to answer</w:t>
      </w:r>
      <w:r w:rsidR="00CB16AC">
        <w:t>, and as such a number of results may be considered erro</w:t>
      </w:r>
      <w:r w:rsidR="0068083E">
        <w:t>rs</w:t>
      </w:r>
      <w:r w:rsidR="0003284D">
        <w:t>.</w:t>
      </w:r>
      <w:r w:rsidR="00CB16AC">
        <w:t xml:space="preserve"> These included responses of 0% that indicate no workers premiums are paid and responses above 7%, which are above industry standards</w:t>
      </w:r>
      <w:r w:rsidR="000C0AA4">
        <w:rPr>
          <w:rStyle w:val="FootnoteReference"/>
        </w:rPr>
        <w:footnoteReference w:id="19"/>
      </w:r>
      <w:r w:rsidR="00CB16AC">
        <w:t>.</w:t>
      </w:r>
      <w:r w:rsidR="0003284D">
        <w:t xml:space="preserve"> </w:t>
      </w:r>
    </w:p>
    <w:p w14:paraId="3492E203" w14:textId="35E1701D" w:rsidR="0053220B" w:rsidRDefault="0053220B">
      <w:pPr>
        <w:pStyle w:val="CaptionChart"/>
      </w:pPr>
      <w:bookmarkStart w:id="150" w:name="_Ref38635620"/>
      <w:bookmarkStart w:id="151" w:name="_Toc40454726"/>
      <w:r>
        <w:lastRenderedPageBreak/>
        <w:t>Box plot</w:t>
      </w:r>
      <w:r w:rsidR="002E5D35">
        <w:t xml:space="preserve"> (LHS)</w:t>
      </w:r>
      <w:r>
        <w:t xml:space="preserve"> </w:t>
      </w:r>
      <w:r w:rsidR="00A32A72">
        <w:t xml:space="preserve">and </w:t>
      </w:r>
      <w:r w:rsidR="00626E5C">
        <w:t>P</w:t>
      </w:r>
      <w:r w:rsidR="00B53BBC">
        <w:t>D</w:t>
      </w:r>
      <w:r w:rsidR="00626E5C">
        <w:t>F</w:t>
      </w:r>
      <w:r w:rsidR="002E5D35">
        <w:t xml:space="preserve"> (RHS) </w:t>
      </w:r>
      <w:r>
        <w:t>of workers compensation premium (%) responses</w:t>
      </w:r>
      <w:bookmarkEnd w:id="150"/>
      <w:bookmarkEnd w:id="151"/>
    </w:p>
    <w:p w14:paraId="6D4F6DD8" w14:textId="4BD34A68" w:rsidR="00646A29" w:rsidRPr="00646A29" w:rsidRDefault="00646A29" w:rsidP="00446242">
      <w:pPr>
        <w:rPr>
          <w:noProof/>
        </w:rPr>
      </w:pPr>
      <w:r w:rsidRPr="00646A29">
        <w:rPr>
          <w:noProof/>
          <w:lang w:eastAsia="en-AU"/>
        </w:rPr>
        <w:drawing>
          <wp:anchor distT="0" distB="0" distL="114300" distR="114300" simplePos="0" relativeHeight="251709440" behindDoc="0" locked="0" layoutInCell="1" allowOverlap="1" wp14:anchorId="5DCD4617" wp14:editId="748144F3">
            <wp:simplePos x="0" y="0"/>
            <wp:positionH relativeFrom="column">
              <wp:posOffset>3003806</wp:posOffset>
            </wp:positionH>
            <wp:positionV relativeFrom="paragraph">
              <wp:posOffset>15240</wp:posOffset>
            </wp:positionV>
            <wp:extent cx="3087370" cy="2517775"/>
            <wp:effectExtent l="0" t="0" r="0" b="0"/>
            <wp:wrapNone/>
            <wp:docPr id="63" name="Picture 6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87370" cy="2517775"/>
                    </a:xfrm>
                    <a:prstGeom prst="rect">
                      <a:avLst/>
                    </a:prstGeom>
                    <a:noFill/>
                    <a:ln>
                      <a:noFill/>
                    </a:ln>
                  </pic:spPr>
                </pic:pic>
              </a:graphicData>
            </a:graphic>
          </wp:anchor>
        </w:drawing>
      </w:r>
      <w:r w:rsidRPr="00646A29">
        <w:rPr>
          <w:noProof/>
          <w:lang w:eastAsia="en-AU"/>
        </w:rPr>
        <w:drawing>
          <wp:inline distT="0" distB="0" distL="0" distR="0" wp14:anchorId="66BECA46" wp14:editId="38AA3FCC">
            <wp:extent cx="3087370" cy="2185035"/>
            <wp:effectExtent l="0" t="0" r="0" b="0"/>
            <wp:docPr id="60" name="Picture 60" descr="Chart 3.7 Box plot (LHS) and PDF (RHS) of workers compensation premium (%)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87370" cy="2185035"/>
                    </a:xfrm>
                    <a:prstGeom prst="rect">
                      <a:avLst/>
                    </a:prstGeom>
                    <a:noFill/>
                    <a:ln>
                      <a:noFill/>
                    </a:ln>
                  </pic:spPr>
                </pic:pic>
              </a:graphicData>
            </a:graphic>
          </wp:inline>
        </w:drawing>
      </w:r>
      <w:r w:rsidR="00845FA0" w:rsidRPr="00845FA0">
        <w:rPr>
          <w:noProof/>
        </w:rPr>
        <w:t xml:space="preserve"> </w:t>
      </w:r>
    </w:p>
    <w:p w14:paraId="6AB9C9D8" w14:textId="77777777" w:rsidR="00A64C30" w:rsidRDefault="00A64C30" w:rsidP="00A64C30">
      <w:bookmarkStart w:id="152" w:name="_Toc39047539"/>
      <w:bookmarkStart w:id="153" w:name="_Toc39127155"/>
      <w:bookmarkEnd w:id="152"/>
      <w:bookmarkEnd w:id="153"/>
    </w:p>
    <w:p w14:paraId="0547C289" w14:textId="4B2522ED" w:rsidR="00646A29" w:rsidRPr="00646A29" w:rsidRDefault="00AA7830">
      <w:pPr>
        <w:pStyle w:val="Heading2"/>
      </w:pPr>
      <w:bookmarkStart w:id="154" w:name="_Toc40454652"/>
      <w:r>
        <w:t>Permanent and casual workers</w:t>
      </w:r>
      <w:bookmarkEnd w:id="154"/>
    </w:p>
    <w:p w14:paraId="54D4CF75" w14:textId="612B7218" w:rsidR="00172A2D" w:rsidRPr="00CE2232" w:rsidRDefault="00172A2D" w:rsidP="008A7717">
      <w:r>
        <w:t>The survey results found that 43.</w:t>
      </w:r>
      <w:r w:rsidR="00ED564B">
        <w:t>8</w:t>
      </w:r>
      <w:r>
        <w:t xml:space="preserve">% of the DSW workforce is permanently employed. </w:t>
      </w:r>
      <w:r w:rsidR="00C670D0">
        <w:t>There was a high standard deviation in responses for this question in the survey (32.9%) and the proportion of permanent staff increased to 52.5% when calculating across the sector as a whole, rather than the average of each provider.</w:t>
      </w:r>
      <w:r w:rsidR="00CB16AC">
        <w:t xml:space="preserve"> </w:t>
      </w:r>
      <w:r>
        <w:t xml:space="preserve">As </w:t>
      </w:r>
      <w:r w:rsidR="000E3A77">
        <w:fldChar w:fldCharType="begin"/>
      </w:r>
      <w:r w:rsidR="000E3A77">
        <w:instrText xml:space="preserve"> REF _Ref39763174 \r \h </w:instrText>
      </w:r>
      <w:r w:rsidR="000E3A77">
        <w:fldChar w:fldCharType="separate"/>
      </w:r>
      <w:r w:rsidR="00283637">
        <w:t>Table 3.10</w:t>
      </w:r>
      <w:r w:rsidR="000E3A77">
        <w:fldChar w:fldCharType="end"/>
      </w:r>
      <w:r>
        <w:t xml:space="preserve"> illustrates, casual employees receive a casual loading of </w:t>
      </w:r>
      <w:r w:rsidR="00ED564B">
        <w:t>4.</w:t>
      </w:r>
      <w:r w:rsidR="0097696E">
        <w:t>5</w:t>
      </w:r>
      <w:r>
        <w:t>% above a permanent DSW base salary.</w:t>
      </w:r>
    </w:p>
    <w:p w14:paraId="47299458" w14:textId="3CB6674B" w:rsidR="00304E4E" w:rsidRDefault="00506519" w:rsidP="000C0CB5">
      <w:pPr>
        <w:pStyle w:val="CaptionTable"/>
        <w:ind w:left="0"/>
      </w:pPr>
      <w:bookmarkStart w:id="155" w:name="_Toc36130586"/>
      <w:bookmarkStart w:id="156" w:name="_Ref39763174"/>
      <w:bookmarkStart w:id="157" w:name="_Toc40454691"/>
      <w:bookmarkEnd w:id="155"/>
      <w:r>
        <w:t>Permanent employment rate and casual loading</w:t>
      </w:r>
      <w:bookmarkEnd w:id="156"/>
      <w:bookmarkEnd w:id="157"/>
    </w:p>
    <w:tbl>
      <w:tblPr>
        <w:tblStyle w:val="Deloittetable"/>
        <w:tblW w:w="5000" w:type="pct"/>
        <w:tblLook w:val="04A0" w:firstRow="1" w:lastRow="0" w:firstColumn="1" w:lastColumn="0" w:noHBand="0" w:noVBand="1"/>
      </w:tblPr>
      <w:tblGrid>
        <w:gridCol w:w="2819"/>
        <w:gridCol w:w="1241"/>
        <w:gridCol w:w="1242"/>
        <w:gridCol w:w="1240"/>
        <w:gridCol w:w="1242"/>
        <w:gridCol w:w="1242"/>
      </w:tblGrid>
      <w:tr w:rsidR="00CA25DA" w:rsidRPr="004B4D01" w14:paraId="48F0B471" w14:textId="2EC44133" w:rsidTr="008C28C1">
        <w:trPr>
          <w:cnfStyle w:val="100000000000" w:firstRow="1" w:lastRow="0" w:firstColumn="0" w:lastColumn="0" w:oddVBand="0" w:evenVBand="0" w:oddHBand="0" w:evenHBand="0" w:firstRowFirstColumn="0" w:firstRowLastColumn="0" w:lastRowFirstColumn="0" w:lastRowLastColumn="0"/>
          <w:trHeight w:val="231"/>
        </w:trPr>
        <w:tc>
          <w:tcPr>
            <w:tcW w:w="1561" w:type="pct"/>
            <w:tcBorders>
              <w:top w:val="single" w:sz="12" w:space="0" w:color="62B5E5" w:themeColor="accent3"/>
              <w:right w:val="nil"/>
            </w:tcBorders>
          </w:tcPr>
          <w:p w14:paraId="337D296B" w14:textId="77777777" w:rsidR="00CA25DA" w:rsidRPr="00BD729B" w:rsidRDefault="00CA25DA" w:rsidP="00293F23">
            <w:pPr>
              <w:pStyle w:val="TabletextLeft"/>
              <w:keepNext/>
              <w:keepLines/>
            </w:pPr>
          </w:p>
        </w:tc>
        <w:tc>
          <w:tcPr>
            <w:tcW w:w="687" w:type="pct"/>
            <w:tcBorders>
              <w:top w:val="single" w:sz="12" w:space="0" w:color="62B5E5" w:themeColor="accent3"/>
              <w:left w:val="nil"/>
            </w:tcBorders>
          </w:tcPr>
          <w:p w14:paraId="28BC8E4D" w14:textId="77777777" w:rsidR="00CA25DA" w:rsidRPr="008C28C1" w:rsidRDefault="00CA25DA" w:rsidP="00293F23">
            <w:pPr>
              <w:pStyle w:val="TabletextLeft"/>
              <w:keepNext/>
              <w:keepLines/>
              <w:jc w:val="center"/>
              <w:rPr>
                <w:b/>
                <w:bCs/>
                <w:color w:val="62B5E5" w:themeColor="accent3"/>
              </w:rPr>
            </w:pPr>
            <w:r w:rsidRPr="008C28C1">
              <w:rPr>
                <w:b/>
                <w:bCs/>
                <w:color w:val="62B5E5" w:themeColor="accent3"/>
              </w:rPr>
              <w:t>Mean</w:t>
            </w:r>
          </w:p>
        </w:tc>
        <w:tc>
          <w:tcPr>
            <w:tcW w:w="688" w:type="pct"/>
            <w:tcBorders>
              <w:top w:val="single" w:sz="12" w:space="0" w:color="62B5E5" w:themeColor="accent3"/>
            </w:tcBorders>
          </w:tcPr>
          <w:p w14:paraId="15773A8D" w14:textId="487536ED" w:rsidR="00CA25DA" w:rsidRPr="008C28C1" w:rsidRDefault="00CA25DA" w:rsidP="00293F23">
            <w:pPr>
              <w:pStyle w:val="TabletextLeft"/>
              <w:keepNext/>
              <w:keepLines/>
              <w:jc w:val="center"/>
              <w:rPr>
                <w:b/>
                <w:bCs/>
                <w:color w:val="62B5E5" w:themeColor="accent3"/>
              </w:rPr>
            </w:pPr>
            <w:r w:rsidRPr="008C28C1">
              <w:rPr>
                <w:b/>
                <w:bCs/>
                <w:color w:val="62B5E5" w:themeColor="accent3"/>
              </w:rPr>
              <w:t>WM</w:t>
            </w:r>
          </w:p>
        </w:tc>
        <w:tc>
          <w:tcPr>
            <w:tcW w:w="687" w:type="pct"/>
            <w:tcBorders>
              <w:top w:val="single" w:sz="12" w:space="0" w:color="62B5E5" w:themeColor="accent3"/>
              <w:right w:val="nil"/>
            </w:tcBorders>
          </w:tcPr>
          <w:p w14:paraId="64ABE880" w14:textId="0D5BCA94" w:rsidR="00CA25DA" w:rsidRPr="008C28C1" w:rsidRDefault="00CA25DA" w:rsidP="00293F23">
            <w:pPr>
              <w:pStyle w:val="TabletextLeft"/>
              <w:keepNext/>
              <w:keepLines/>
              <w:jc w:val="center"/>
              <w:rPr>
                <w:b/>
                <w:bCs/>
                <w:color w:val="62B5E5" w:themeColor="accent3"/>
              </w:rPr>
            </w:pPr>
            <w:r w:rsidRPr="008C28C1">
              <w:rPr>
                <w:b/>
                <w:bCs/>
                <w:color w:val="62B5E5" w:themeColor="accent3"/>
              </w:rPr>
              <w:t>Median</w:t>
            </w:r>
          </w:p>
        </w:tc>
        <w:tc>
          <w:tcPr>
            <w:tcW w:w="688" w:type="pct"/>
            <w:tcBorders>
              <w:top w:val="single" w:sz="12" w:space="0" w:color="62B5E5" w:themeColor="accent3"/>
              <w:left w:val="nil"/>
              <w:right w:val="nil"/>
            </w:tcBorders>
          </w:tcPr>
          <w:p w14:paraId="3203701C" w14:textId="77777777" w:rsidR="00CA25DA" w:rsidRPr="008C28C1" w:rsidRDefault="00CA25DA" w:rsidP="00293F23">
            <w:pPr>
              <w:pStyle w:val="TabletextLeft"/>
              <w:keepNext/>
              <w:keepLines/>
              <w:jc w:val="center"/>
              <w:rPr>
                <w:b/>
                <w:bCs/>
                <w:color w:val="62B5E5" w:themeColor="accent3"/>
              </w:rPr>
            </w:pPr>
            <w:r w:rsidRPr="008C28C1">
              <w:rPr>
                <w:b/>
                <w:bCs/>
                <w:color w:val="62B5E5" w:themeColor="accent3"/>
              </w:rPr>
              <w:t>25</w:t>
            </w:r>
            <w:r w:rsidRPr="008C28C1">
              <w:rPr>
                <w:b/>
                <w:bCs/>
                <w:color w:val="62B5E5" w:themeColor="accent3"/>
                <w:vertAlign w:val="superscript"/>
              </w:rPr>
              <w:t>th</w:t>
            </w:r>
            <w:r w:rsidRPr="008C28C1">
              <w:rPr>
                <w:b/>
                <w:bCs/>
                <w:color w:val="62B5E5" w:themeColor="accent3"/>
              </w:rPr>
              <w:t xml:space="preserve"> PC</w:t>
            </w:r>
          </w:p>
        </w:tc>
        <w:tc>
          <w:tcPr>
            <w:tcW w:w="688" w:type="pct"/>
            <w:tcBorders>
              <w:top w:val="single" w:sz="12" w:space="0" w:color="62B5E5" w:themeColor="accent3"/>
              <w:left w:val="nil"/>
              <w:right w:val="nil"/>
            </w:tcBorders>
          </w:tcPr>
          <w:p w14:paraId="3A06111A" w14:textId="590ECE24" w:rsidR="00CA25DA" w:rsidRPr="008C28C1" w:rsidRDefault="00CA25DA" w:rsidP="00293F23">
            <w:pPr>
              <w:pStyle w:val="TabletextLeft"/>
              <w:keepNext/>
              <w:keepLines/>
              <w:jc w:val="center"/>
              <w:rPr>
                <w:b/>
                <w:bCs/>
                <w:color w:val="62B5E5" w:themeColor="accent3"/>
              </w:rPr>
            </w:pPr>
            <w:r w:rsidRPr="008C28C1">
              <w:rPr>
                <w:b/>
                <w:bCs/>
                <w:color w:val="62B5E5" w:themeColor="accent3"/>
              </w:rPr>
              <w:t>75</w:t>
            </w:r>
            <w:r w:rsidRPr="008C28C1">
              <w:rPr>
                <w:b/>
                <w:bCs/>
                <w:color w:val="62B5E5" w:themeColor="accent3"/>
                <w:vertAlign w:val="superscript"/>
              </w:rPr>
              <w:t>th</w:t>
            </w:r>
            <w:r w:rsidRPr="008C28C1">
              <w:rPr>
                <w:b/>
                <w:bCs/>
                <w:color w:val="62B5E5" w:themeColor="accent3"/>
              </w:rPr>
              <w:t xml:space="preserve"> PC</w:t>
            </w:r>
          </w:p>
        </w:tc>
      </w:tr>
      <w:tr w:rsidR="00CA25DA" w:rsidRPr="003F110A" w14:paraId="667704F0" w14:textId="705048A8" w:rsidTr="008C28C1">
        <w:trPr>
          <w:trHeight w:val="212"/>
        </w:trPr>
        <w:tc>
          <w:tcPr>
            <w:tcW w:w="1561" w:type="pct"/>
            <w:tcBorders>
              <w:right w:val="nil"/>
            </w:tcBorders>
          </w:tcPr>
          <w:p w14:paraId="55473DD3" w14:textId="77777777" w:rsidR="00CA25DA" w:rsidRPr="003F110A" w:rsidRDefault="00CA25DA" w:rsidP="00BB333D">
            <w:pPr>
              <w:pStyle w:val="TabletextLeft"/>
              <w:keepNext/>
              <w:keepLines/>
            </w:pPr>
            <w:r w:rsidRPr="003F110A">
              <w:t>Permanent employment rate</w:t>
            </w:r>
          </w:p>
        </w:tc>
        <w:tc>
          <w:tcPr>
            <w:tcW w:w="687" w:type="pct"/>
            <w:tcBorders>
              <w:left w:val="nil"/>
            </w:tcBorders>
          </w:tcPr>
          <w:p w14:paraId="23209B2E" w14:textId="48C74751" w:rsidR="00CA25DA" w:rsidRPr="003F110A" w:rsidRDefault="00CA25DA" w:rsidP="00BB333D">
            <w:pPr>
              <w:pStyle w:val="TabletextCentre"/>
              <w:keepNext/>
              <w:keepLines/>
            </w:pPr>
            <w:r w:rsidRPr="0019086D">
              <w:t>43.8%</w:t>
            </w:r>
          </w:p>
        </w:tc>
        <w:tc>
          <w:tcPr>
            <w:tcW w:w="688" w:type="pct"/>
          </w:tcPr>
          <w:p w14:paraId="789E8F82" w14:textId="2007DC20" w:rsidR="00CA25DA" w:rsidRPr="003F110A" w:rsidRDefault="00CA25DA" w:rsidP="00BB333D">
            <w:pPr>
              <w:pStyle w:val="TabletextCentre"/>
              <w:keepNext/>
              <w:keepLines/>
            </w:pPr>
            <w:r w:rsidRPr="0019086D">
              <w:t>52.6%</w:t>
            </w:r>
          </w:p>
        </w:tc>
        <w:tc>
          <w:tcPr>
            <w:tcW w:w="687" w:type="pct"/>
            <w:tcBorders>
              <w:top w:val="single" w:sz="4" w:space="0" w:color="000000" w:themeColor="text1"/>
              <w:right w:val="nil"/>
            </w:tcBorders>
          </w:tcPr>
          <w:p w14:paraId="34EE09E1" w14:textId="206A9B4B" w:rsidR="00CA25DA" w:rsidRPr="003F110A" w:rsidRDefault="00CA25DA" w:rsidP="00BB333D">
            <w:pPr>
              <w:pStyle w:val="TabletextCentre"/>
              <w:keepNext/>
              <w:keepLines/>
            </w:pPr>
            <w:r w:rsidRPr="0019086D">
              <w:t>40.0%</w:t>
            </w:r>
          </w:p>
        </w:tc>
        <w:tc>
          <w:tcPr>
            <w:tcW w:w="688" w:type="pct"/>
            <w:tcBorders>
              <w:top w:val="single" w:sz="4" w:space="0" w:color="000000" w:themeColor="text1"/>
              <w:left w:val="nil"/>
              <w:right w:val="nil"/>
            </w:tcBorders>
          </w:tcPr>
          <w:p w14:paraId="2AFDD23C" w14:textId="4F411AFF" w:rsidR="00CA25DA" w:rsidRPr="003F110A" w:rsidRDefault="00CA25DA" w:rsidP="00BB333D">
            <w:pPr>
              <w:pStyle w:val="TabletextCentre"/>
              <w:keepNext/>
              <w:keepLines/>
            </w:pPr>
            <w:r w:rsidRPr="0019086D">
              <w:t>12.5%</w:t>
            </w:r>
          </w:p>
        </w:tc>
        <w:tc>
          <w:tcPr>
            <w:tcW w:w="688" w:type="pct"/>
            <w:tcBorders>
              <w:top w:val="single" w:sz="4" w:space="0" w:color="000000" w:themeColor="text1"/>
              <w:left w:val="nil"/>
              <w:right w:val="nil"/>
            </w:tcBorders>
          </w:tcPr>
          <w:p w14:paraId="530036E3" w14:textId="0FB58E2B" w:rsidR="00CA25DA" w:rsidRPr="003F110A" w:rsidRDefault="00CA25DA" w:rsidP="00BB333D">
            <w:pPr>
              <w:pStyle w:val="TabletextCentre"/>
              <w:keepNext/>
              <w:keepLines/>
            </w:pPr>
            <w:r w:rsidRPr="0019086D">
              <w:t>71.7%</w:t>
            </w:r>
          </w:p>
        </w:tc>
      </w:tr>
      <w:tr w:rsidR="00CA25DA" w:rsidRPr="003F110A" w14:paraId="3905E66A" w14:textId="6D0BB76E" w:rsidTr="008C28C1">
        <w:trPr>
          <w:trHeight w:val="231"/>
        </w:trPr>
        <w:tc>
          <w:tcPr>
            <w:tcW w:w="1561" w:type="pct"/>
            <w:tcBorders>
              <w:right w:val="nil"/>
            </w:tcBorders>
          </w:tcPr>
          <w:p w14:paraId="7F054D6A" w14:textId="77777777" w:rsidR="00CA25DA" w:rsidRPr="003F110A" w:rsidRDefault="00CA25DA" w:rsidP="00BB333D">
            <w:pPr>
              <w:pStyle w:val="TabletextLeft"/>
            </w:pPr>
            <w:r w:rsidRPr="003F110A">
              <w:t>Casual loading</w:t>
            </w:r>
          </w:p>
        </w:tc>
        <w:tc>
          <w:tcPr>
            <w:tcW w:w="687" w:type="pct"/>
            <w:tcBorders>
              <w:left w:val="nil"/>
            </w:tcBorders>
          </w:tcPr>
          <w:p w14:paraId="56F53E46" w14:textId="7825A48D" w:rsidR="00CA25DA" w:rsidRPr="003F110A" w:rsidRDefault="00CA25DA" w:rsidP="00BB333D">
            <w:pPr>
              <w:pStyle w:val="TabletextCentre"/>
            </w:pPr>
            <w:r w:rsidRPr="0019086D">
              <w:t>4.5%</w:t>
            </w:r>
          </w:p>
        </w:tc>
        <w:tc>
          <w:tcPr>
            <w:tcW w:w="688" w:type="pct"/>
          </w:tcPr>
          <w:p w14:paraId="43CDF185" w14:textId="64C86C72" w:rsidR="00CA25DA" w:rsidRPr="003F110A" w:rsidRDefault="00CA25DA" w:rsidP="00BB333D">
            <w:pPr>
              <w:pStyle w:val="TabletextCentre"/>
            </w:pPr>
            <w:r>
              <w:t>3.8%</w:t>
            </w:r>
          </w:p>
        </w:tc>
        <w:tc>
          <w:tcPr>
            <w:tcW w:w="687" w:type="pct"/>
            <w:tcBorders>
              <w:top w:val="single" w:sz="4" w:space="0" w:color="000000" w:themeColor="text1"/>
              <w:right w:val="nil"/>
            </w:tcBorders>
          </w:tcPr>
          <w:p w14:paraId="1962E331" w14:textId="34E60A4B" w:rsidR="00CA25DA" w:rsidRPr="003F110A" w:rsidRDefault="00CA25DA" w:rsidP="00BB333D">
            <w:pPr>
              <w:pStyle w:val="TabletextCentre"/>
            </w:pPr>
            <w:r w:rsidRPr="0019086D">
              <w:t>4.8%</w:t>
            </w:r>
          </w:p>
        </w:tc>
        <w:tc>
          <w:tcPr>
            <w:tcW w:w="688" w:type="pct"/>
            <w:tcBorders>
              <w:top w:val="single" w:sz="4" w:space="0" w:color="000000" w:themeColor="text1"/>
              <w:left w:val="nil"/>
              <w:right w:val="nil"/>
            </w:tcBorders>
          </w:tcPr>
          <w:p w14:paraId="01B28787" w14:textId="439B38FD" w:rsidR="00CA25DA" w:rsidRPr="003F110A" w:rsidRDefault="00CA25DA" w:rsidP="00BB333D">
            <w:pPr>
              <w:pStyle w:val="TabletextCentre"/>
            </w:pPr>
            <w:r w:rsidRPr="0019086D">
              <w:t>7.0%</w:t>
            </w:r>
          </w:p>
        </w:tc>
        <w:tc>
          <w:tcPr>
            <w:tcW w:w="688" w:type="pct"/>
            <w:tcBorders>
              <w:top w:val="single" w:sz="4" w:space="0" w:color="000000" w:themeColor="text1"/>
              <w:left w:val="nil"/>
              <w:right w:val="nil"/>
            </w:tcBorders>
          </w:tcPr>
          <w:p w14:paraId="7588F0A4" w14:textId="227A299D" w:rsidR="00CA25DA" w:rsidRPr="003F110A" w:rsidRDefault="00CA25DA" w:rsidP="00BB333D">
            <w:pPr>
              <w:pStyle w:val="TabletextCentre"/>
            </w:pPr>
            <w:r>
              <w:t>2.2%</w:t>
            </w:r>
          </w:p>
        </w:tc>
      </w:tr>
    </w:tbl>
    <w:p w14:paraId="58CC5132" w14:textId="52A38E31" w:rsidR="00F2543B" w:rsidRDefault="00F2543B" w:rsidP="00F2543B">
      <w:r>
        <w:br/>
      </w:r>
      <w:r w:rsidR="000C0CB5">
        <w:fldChar w:fldCharType="begin"/>
      </w:r>
      <w:r w:rsidR="000C0CB5">
        <w:instrText xml:space="preserve"> REF _Ref38635767 \n </w:instrText>
      </w:r>
      <w:r w:rsidR="000C0CB5">
        <w:fldChar w:fldCharType="separate"/>
      </w:r>
      <w:r w:rsidR="00283637">
        <w:t>Chart 3.8</w:t>
      </w:r>
      <w:r w:rsidR="000C0CB5">
        <w:fldChar w:fldCharType="end"/>
      </w:r>
      <w:r w:rsidR="000C0CB5">
        <w:t xml:space="preserve"> </w:t>
      </w:r>
      <w:r w:rsidR="00996EA7">
        <w:t>shows that</w:t>
      </w:r>
      <w:r w:rsidR="00626E5C">
        <w:t xml:space="preserve"> the p</w:t>
      </w:r>
      <w:r>
        <w:t xml:space="preserve">ermanent employment rate </w:t>
      </w:r>
      <w:r w:rsidR="00626E5C">
        <w:t>is consistent with</w:t>
      </w:r>
      <w:r>
        <w:t xml:space="preserve"> a</w:t>
      </w:r>
      <w:r w:rsidR="00626E5C">
        <w:t xml:space="preserve"> uniform </w:t>
      </w:r>
      <w:r>
        <w:t>distribution</w:t>
      </w:r>
      <w:r w:rsidR="00626E5C">
        <w:t xml:space="preserve"> </w:t>
      </w:r>
      <w:r w:rsidR="00A927C2">
        <w:t>net of the tails</w:t>
      </w:r>
      <w:r>
        <w:t>,</w:t>
      </w:r>
      <w:r w:rsidR="00A927C2">
        <w:t xml:space="preserve"> which exhibited significantly higher counts than average</w:t>
      </w:r>
      <w:r>
        <w:t xml:space="preserve">. </w:t>
      </w:r>
      <w:r w:rsidR="0056057A">
        <w:t>A</w:t>
      </w:r>
      <w:r w:rsidR="003112EF">
        <w:t>ll possible response values were observed from 0 to 100%</w:t>
      </w:r>
      <w:r w:rsidR="0056057A">
        <w:t>,</w:t>
      </w:r>
      <w:r w:rsidR="003112EF">
        <w:t xml:space="preserve"> with no clear indication of a bell curve centrality. Furthermore, the higher frequencies of responses at the maxima and minima of possible values (0% and 100%) suggests there may be a higher proportion of incorrect responses to this question.</w:t>
      </w:r>
    </w:p>
    <w:p w14:paraId="5A59FBBE" w14:textId="4B6B2C4C" w:rsidR="003112EF" w:rsidRDefault="003112EF" w:rsidP="00F2543B"/>
    <w:p w14:paraId="442E77CF" w14:textId="2C662856" w:rsidR="007531EE" w:rsidRDefault="007531EE" w:rsidP="007531EE">
      <w:pPr>
        <w:pStyle w:val="CaptionChart"/>
      </w:pPr>
      <w:bookmarkStart w:id="158" w:name="_Ref38635767"/>
      <w:bookmarkStart w:id="159" w:name="_Toc40454727"/>
      <w:r>
        <w:lastRenderedPageBreak/>
        <w:t xml:space="preserve">Box plot </w:t>
      </w:r>
      <w:r w:rsidR="002E5D35">
        <w:t xml:space="preserve">(LHS) </w:t>
      </w:r>
      <w:r w:rsidR="00A32A72">
        <w:t>and</w:t>
      </w:r>
      <w:r w:rsidR="002E5D35">
        <w:t xml:space="preserve"> </w:t>
      </w:r>
      <w:r w:rsidR="00626E5C">
        <w:t>frequency histogram</w:t>
      </w:r>
      <w:r w:rsidR="00E53D23">
        <w:t xml:space="preserve"> </w:t>
      </w:r>
      <w:r>
        <w:t>of permanent employment rate (%) responses</w:t>
      </w:r>
      <w:bookmarkEnd w:id="158"/>
      <w:r w:rsidR="002E5D35">
        <w:t xml:space="preserve"> (RHS)</w:t>
      </w:r>
      <w:bookmarkEnd w:id="159"/>
    </w:p>
    <w:p w14:paraId="25E0193F" w14:textId="1967EBBF" w:rsidR="00646A29" w:rsidRDefault="00646A29" w:rsidP="00DB66C5">
      <w:pPr>
        <w:rPr>
          <w:rStyle w:val="CommentReference"/>
        </w:rPr>
      </w:pPr>
      <w:r w:rsidRPr="00646A29">
        <w:rPr>
          <w:noProof/>
          <w:lang w:eastAsia="en-AU"/>
        </w:rPr>
        <w:drawing>
          <wp:inline distT="0" distB="0" distL="0" distR="0" wp14:anchorId="680E0A9C" wp14:editId="7302AD31">
            <wp:extent cx="2576830" cy="2386965"/>
            <wp:effectExtent l="0" t="0" r="0" b="0"/>
            <wp:docPr id="58" name="Picture 58" descr="Chart 3.8 Box plot (LHS) and frequency histogram of permanent employment rate (%) responses (R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6830" cy="2386965"/>
                    </a:xfrm>
                    <a:prstGeom prst="rect">
                      <a:avLst/>
                    </a:prstGeom>
                    <a:noFill/>
                    <a:ln>
                      <a:noFill/>
                    </a:ln>
                  </pic:spPr>
                </pic:pic>
              </a:graphicData>
            </a:graphic>
          </wp:inline>
        </w:drawing>
      </w:r>
      <w:r w:rsidR="00BC75ED" w:rsidRPr="00BC75ED">
        <w:rPr>
          <w:noProof/>
        </w:rPr>
        <w:t xml:space="preserve"> </w:t>
      </w:r>
      <w:r w:rsidRPr="00646A29">
        <w:rPr>
          <w:noProof/>
          <w:lang w:eastAsia="en-AU"/>
        </w:rPr>
        <w:drawing>
          <wp:inline distT="0" distB="0" distL="0" distR="0" wp14:anchorId="2988AC91" wp14:editId="4FF4E974">
            <wp:extent cx="2909570" cy="2399030"/>
            <wp:effectExtent l="0" t="0" r="5080" b="1270"/>
            <wp:docPr id="59" name="Picture 59" descr="Chart 3.8 Box plot (LHS) and frequency histogram of permanent employment rate (%) responses (R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09570" cy="2399030"/>
                    </a:xfrm>
                    <a:prstGeom prst="rect">
                      <a:avLst/>
                    </a:prstGeom>
                    <a:noFill/>
                    <a:ln>
                      <a:noFill/>
                    </a:ln>
                  </pic:spPr>
                </pic:pic>
              </a:graphicData>
            </a:graphic>
          </wp:inline>
        </w:drawing>
      </w:r>
    </w:p>
    <w:p w14:paraId="1FF9FE73" w14:textId="04CB12B6" w:rsidR="00F2543B" w:rsidRDefault="002D7121" w:rsidP="00DB66C5">
      <w:pPr>
        <w:rPr>
          <w:noProof/>
        </w:rPr>
      </w:pPr>
      <w:r>
        <w:rPr>
          <w:rStyle w:val="CommentReference"/>
        </w:rPr>
        <w:t xml:space="preserve">As </w:t>
      </w:r>
      <w:r w:rsidR="003253DE">
        <w:rPr>
          <w:noProof/>
        </w:rPr>
        <w:t xml:space="preserve">per </w:t>
      </w:r>
      <w:r w:rsidR="00DE73A3">
        <w:rPr>
          <w:noProof/>
        </w:rPr>
        <w:fldChar w:fldCharType="begin"/>
      </w:r>
      <w:r w:rsidR="00DE73A3">
        <w:rPr>
          <w:noProof/>
        </w:rPr>
        <w:instrText xml:space="preserve"> REF _Ref39678679 \r \h </w:instrText>
      </w:r>
      <w:r w:rsidR="00DE73A3">
        <w:rPr>
          <w:noProof/>
        </w:rPr>
      </w:r>
      <w:r w:rsidR="00DE73A3">
        <w:rPr>
          <w:noProof/>
        </w:rPr>
        <w:fldChar w:fldCharType="separate"/>
      </w:r>
      <w:r w:rsidR="00283637">
        <w:rPr>
          <w:noProof/>
        </w:rPr>
        <w:t>Table 3.11</w:t>
      </w:r>
      <w:r w:rsidR="00DE73A3">
        <w:rPr>
          <w:noProof/>
        </w:rPr>
        <w:fldChar w:fldCharType="end"/>
      </w:r>
      <w:r w:rsidR="001531F0">
        <w:rPr>
          <w:noProof/>
        </w:rPr>
        <w:t xml:space="preserve">, the permanent employment rate is lowest among medium size organisations </w:t>
      </w:r>
      <w:r w:rsidR="00294937">
        <w:rPr>
          <w:noProof/>
        </w:rPr>
        <w:t>and highest in large organisations, with means of 36% and 48% respectively.</w:t>
      </w:r>
    </w:p>
    <w:p w14:paraId="1D42E5E9" w14:textId="14559159" w:rsidR="00CA25DA" w:rsidRDefault="00CA25DA" w:rsidP="00CA25DA">
      <w:pPr>
        <w:pStyle w:val="CaptionTable"/>
        <w:ind w:left="0"/>
      </w:pPr>
      <w:bookmarkStart w:id="160" w:name="_Ref39678679"/>
      <w:bookmarkStart w:id="161" w:name="_Toc40454692"/>
      <w:r>
        <w:t xml:space="preserve">Permanent employment rate </w:t>
      </w:r>
      <w:r w:rsidR="00C94772">
        <w:t>by size of</w:t>
      </w:r>
      <w:r>
        <w:t xml:space="preserve"> organisation</w:t>
      </w:r>
      <w:bookmarkEnd w:id="160"/>
      <w:bookmarkEnd w:id="161"/>
    </w:p>
    <w:tbl>
      <w:tblPr>
        <w:tblW w:w="9157" w:type="dxa"/>
        <w:tblLook w:val="04A0" w:firstRow="1" w:lastRow="0" w:firstColumn="1" w:lastColumn="0" w:noHBand="0" w:noVBand="1"/>
      </w:tblPr>
      <w:tblGrid>
        <w:gridCol w:w="2519"/>
        <w:gridCol w:w="1327"/>
        <w:gridCol w:w="1328"/>
        <w:gridCol w:w="1327"/>
        <w:gridCol w:w="1328"/>
        <w:gridCol w:w="1328"/>
      </w:tblGrid>
      <w:tr w:rsidR="009A6B21" w:rsidRPr="009C1642" w14:paraId="4BA647A4" w14:textId="77777777" w:rsidTr="008C28C1">
        <w:trPr>
          <w:trHeight w:val="282"/>
        </w:trPr>
        <w:tc>
          <w:tcPr>
            <w:tcW w:w="2519" w:type="dxa"/>
            <w:tcBorders>
              <w:top w:val="single" w:sz="12" w:space="0" w:color="62B5E5" w:themeColor="accent3"/>
              <w:left w:val="nil"/>
              <w:bottom w:val="single" w:sz="4" w:space="0" w:color="auto"/>
              <w:right w:val="nil"/>
            </w:tcBorders>
            <w:shd w:val="clear" w:color="auto" w:fill="auto"/>
            <w:vAlign w:val="center"/>
            <w:hideMark/>
          </w:tcPr>
          <w:p w14:paraId="3672EE31" w14:textId="77777777" w:rsidR="00CA25DA" w:rsidRPr="00D655A4" w:rsidRDefault="00CA25DA" w:rsidP="00A6707A">
            <w:pPr>
              <w:spacing w:after="0" w:line="240" w:lineRule="auto"/>
              <w:rPr>
                <w:rFonts w:eastAsia="Times New Roman" w:cs="Calibri"/>
                <w:color w:val="000000"/>
                <w:sz w:val="16"/>
                <w:szCs w:val="16"/>
                <w:lang w:val="en-US"/>
              </w:rPr>
            </w:pPr>
            <w:r w:rsidRPr="00D655A4">
              <w:rPr>
                <w:rFonts w:eastAsia="Times New Roman" w:cs="Calibri"/>
                <w:color w:val="000000"/>
                <w:sz w:val="16"/>
                <w:szCs w:val="16"/>
              </w:rPr>
              <w:t> </w:t>
            </w:r>
          </w:p>
        </w:tc>
        <w:tc>
          <w:tcPr>
            <w:tcW w:w="1327" w:type="dxa"/>
            <w:tcBorders>
              <w:top w:val="single" w:sz="12" w:space="0" w:color="62B5E5" w:themeColor="accent3"/>
              <w:left w:val="nil"/>
              <w:bottom w:val="single" w:sz="4" w:space="0" w:color="auto"/>
              <w:right w:val="nil"/>
            </w:tcBorders>
            <w:shd w:val="clear" w:color="auto" w:fill="auto"/>
            <w:vAlign w:val="center"/>
            <w:hideMark/>
          </w:tcPr>
          <w:p w14:paraId="7228AB29" w14:textId="77777777" w:rsidR="00CA25DA" w:rsidRPr="00D655A4" w:rsidRDefault="00CA25DA" w:rsidP="00A6707A">
            <w:pPr>
              <w:spacing w:after="0" w:line="240" w:lineRule="auto"/>
              <w:jc w:val="center"/>
              <w:rPr>
                <w:rFonts w:eastAsia="Times New Roman" w:cs="Calibri"/>
                <w:b/>
                <w:color w:val="62B5E5"/>
                <w:sz w:val="16"/>
                <w:szCs w:val="16"/>
                <w:lang w:val="en-US"/>
              </w:rPr>
            </w:pPr>
            <w:r w:rsidRPr="00D655A4">
              <w:rPr>
                <w:rFonts w:eastAsia="Times New Roman" w:cs="Calibri"/>
                <w:b/>
                <w:color w:val="62B5E5"/>
                <w:sz w:val="16"/>
                <w:szCs w:val="16"/>
              </w:rPr>
              <w:t>Mean</w:t>
            </w:r>
          </w:p>
        </w:tc>
        <w:tc>
          <w:tcPr>
            <w:tcW w:w="1328" w:type="dxa"/>
            <w:tcBorders>
              <w:top w:val="single" w:sz="12" w:space="0" w:color="62B5E5" w:themeColor="accent3"/>
              <w:left w:val="nil"/>
              <w:bottom w:val="single" w:sz="4" w:space="0" w:color="auto"/>
              <w:right w:val="nil"/>
            </w:tcBorders>
            <w:shd w:val="clear" w:color="auto" w:fill="auto"/>
            <w:vAlign w:val="center"/>
            <w:hideMark/>
          </w:tcPr>
          <w:p w14:paraId="1D3B2A2D" w14:textId="77777777" w:rsidR="00CA25DA" w:rsidRPr="00D655A4" w:rsidRDefault="00CA25DA" w:rsidP="00A6707A">
            <w:pPr>
              <w:spacing w:after="0" w:line="240" w:lineRule="auto"/>
              <w:jc w:val="center"/>
              <w:rPr>
                <w:rFonts w:eastAsia="Times New Roman" w:cs="Calibri"/>
                <w:b/>
                <w:color w:val="62B5E5"/>
                <w:sz w:val="16"/>
                <w:szCs w:val="16"/>
                <w:lang w:val="en-US"/>
              </w:rPr>
            </w:pPr>
            <w:r w:rsidRPr="00D655A4">
              <w:rPr>
                <w:rFonts w:eastAsia="Times New Roman" w:cs="Calibri"/>
                <w:b/>
                <w:color w:val="62B5E5"/>
                <w:sz w:val="16"/>
                <w:szCs w:val="16"/>
              </w:rPr>
              <w:t>WM</w:t>
            </w:r>
          </w:p>
        </w:tc>
        <w:tc>
          <w:tcPr>
            <w:tcW w:w="1327" w:type="dxa"/>
            <w:tcBorders>
              <w:top w:val="single" w:sz="12" w:space="0" w:color="62B5E5" w:themeColor="accent3"/>
              <w:left w:val="nil"/>
              <w:bottom w:val="single" w:sz="4" w:space="0" w:color="auto"/>
              <w:right w:val="nil"/>
            </w:tcBorders>
            <w:shd w:val="clear" w:color="auto" w:fill="auto"/>
            <w:vAlign w:val="center"/>
            <w:hideMark/>
          </w:tcPr>
          <w:p w14:paraId="01CDB194" w14:textId="77777777" w:rsidR="00CA25DA" w:rsidRPr="00D655A4" w:rsidRDefault="00CA25DA" w:rsidP="00A6707A">
            <w:pPr>
              <w:spacing w:after="0" w:line="240" w:lineRule="auto"/>
              <w:jc w:val="center"/>
              <w:rPr>
                <w:rFonts w:eastAsia="Times New Roman" w:cs="Calibri"/>
                <w:b/>
                <w:color w:val="62B5E5"/>
                <w:sz w:val="16"/>
                <w:szCs w:val="16"/>
                <w:lang w:val="en-US"/>
              </w:rPr>
            </w:pPr>
            <w:r w:rsidRPr="00D655A4">
              <w:rPr>
                <w:rFonts w:eastAsia="Times New Roman" w:cs="Calibri"/>
                <w:b/>
                <w:color w:val="62B5E5"/>
                <w:sz w:val="16"/>
                <w:szCs w:val="16"/>
              </w:rPr>
              <w:t>Median</w:t>
            </w:r>
          </w:p>
        </w:tc>
        <w:tc>
          <w:tcPr>
            <w:tcW w:w="1328" w:type="dxa"/>
            <w:tcBorders>
              <w:top w:val="single" w:sz="12" w:space="0" w:color="62B5E5" w:themeColor="accent3"/>
              <w:left w:val="nil"/>
              <w:bottom w:val="single" w:sz="4" w:space="0" w:color="auto"/>
              <w:right w:val="nil"/>
            </w:tcBorders>
            <w:shd w:val="clear" w:color="auto" w:fill="auto"/>
            <w:vAlign w:val="center"/>
          </w:tcPr>
          <w:p w14:paraId="4B223B34" w14:textId="77777777" w:rsidR="00CA25DA" w:rsidRPr="00D655A4" w:rsidRDefault="00CA25DA" w:rsidP="00A6707A">
            <w:pPr>
              <w:spacing w:after="0" w:line="240" w:lineRule="auto"/>
              <w:jc w:val="center"/>
              <w:rPr>
                <w:rFonts w:eastAsia="Times New Roman" w:cs="Calibri"/>
                <w:b/>
                <w:color w:val="62B5E5"/>
                <w:sz w:val="16"/>
                <w:szCs w:val="16"/>
                <w:lang w:val="en-US"/>
              </w:rPr>
            </w:pPr>
            <w:r w:rsidRPr="00D655A4">
              <w:rPr>
                <w:rFonts w:eastAsia="Times New Roman" w:cs="Calibri"/>
                <w:b/>
                <w:color w:val="62B5E5"/>
                <w:sz w:val="16"/>
                <w:szCs w:val="16"/>
                <w:lang w:val="en-US"/>
              </w:rPr>
              <w:t>25</w:t>
            </w:r>
            <w:r w:rsidRPr="00D655A4">
              <w:rPr>
                <w:rFonts w:eastAsia="Times New Roman" w:cs="Calibri"/>
                <w:b/>
                <w:color w:val="62B5E5"/>
                <w:sz w:val="16"/>
                <w:szCs w:val="16"/>
                <w:vertAlign w:val="superscript"/>
                <w:lang w:val="en-US"/>
              </w:rPr>
              <w:t>th</w:t>
            </w:r>
            <w:r w:rsidRPr="00D655A4">
              <w:rPr>
                <w:rFonts w:eastAsia="Times New Roman" w:cs="Calibri"/>
                <w:b/>
                <w:color w:val="62B5E5"/>
                <w:sz w:val="16"/>
                <w:szCs w:val="16"/>
                <w:lang w:val="en-US"/>
              </w:rPr>
              <w:t xml:space="preserve"> PC</w:t>
            </w:r>
          </w:p>
        </w:tc>
        <w:tc>
          <w:tcPr>
            <w:tcW w:w="1328" w:type="dxa"/>
            <w:tcBorders>
              <w:top w:val="single" w:sz="12" w:space="0" w:color="62B5E5" w:themeColor="accent3"/>
              <w:left w:val="nil"/>
              <w:bottom w:val="single" w:sz="4" w:space="0" w:color="auto"/>
              <w:right w:val="nil"/>
            </w:tcBorders>
            <w:shd w:val="clear" w:color="auto" w:fill="auto"/>
            <w:vAlign w:val="center"/>
          </w:tcPr>
          <w:p w14:paraId="7B461BD2" w14:textId="77777777" w:rsidR="00CA25DA" w:rsidRPr="00D655A4" w:rsidRDefault="00CA25DA" w:rsidP="00A6707A">
            <w:pPr>
              <w:spacing w:after="0" w:line="240" w:lineRule="auto"/>
              <w:jc w:val="center"/>
              <w:rPr>
                <w:rFonts w:eastAsia="Times New Roman" w:cs="Calibri"/>
                <w:b/>
                <w:color w:val="62B5E5"/>
                <w:sz w:val="16"/>
                <w:szCs w:val="16"/>
                <w:lang w:val="en-US"/>
              </w:rPr>
            </w:pPr>
            <w:r w:rsidRPr="00D655A4">
              <w:rPr>
                <w:rFonts w:eastAsia="Times New Roman" w:cs="Calibri"/>
                <w:b/>
                <w:color w:val="62B5E5"/>
                <w:sz w:val="16"/>
                <w:szCs w:val="16"/>
                <w:lang w:val="en-US"/>
              </w:rPr>
              <w:t>75</w:t>
            </w:r>
            <w:r w:rsidRPr="00D655A4">
              <w:rPr>
                <w:rFonts w:eastAsia="Times New Roman" w:cs="Calibri"/>
                <w:b/>
                <w:color w:val="62B5E5"/>
                <w:sz w:val="16"/>
                <w:szCs w:val="16"/>
                <w:vertAlign w:val="superscript"/>
                <w:lang w:val="en-US"/>
              </w:rPr>
              <w:t>th</w:t>
            </w:r>
            <w:r w:rsidRPr="00D655A4">
              <w:rPr>
                <w:rFonts w:eastAsia="Times New Roman" w:cs="Calibri"/>
                <w:b/>
                <w:color w:val="62B5E5"/>
                <w:sz w:val="16"/>
                <w:szCs w:val="16"/>
                <w:lang w:val="en-US"/>
              </w:rPr>
              <w:t xml:space="preserve"> PC</w:t>
            </w:r>
          </w:p>
        </w:tc>
      </w:tr>
      <w:tr w:rsidR="00B1045F" w:rsidRPr="009C1642" w14:paraId="604A7F0A" w14:textId="77777777" w:rsidTr="008C28C1">
        <w:trPr>
          <w:trHeight w:val="343"/>
        </w:trPr>
        <w:tc>
          <w:tcPr>
            <w:tcW w:w="2519" w:type="dxa"/>
            <w:tcBorders>
              <w:top w:val="single" w:sz="4" w:space="0" w:color="auto"/>
              <w:left w:val="nil"/>
              <w:bottom w:val="single" w:sz="4" w:space="0" w:color="auto"/>
              <w:right w:val="nil"/>
            </w:tcBorders>
            <w:shd w:val="clear" w:color="auto" w:fill="auto"/>
            <w:vAlign w:val="center"/>
            <w:hideMark/>
          </w:tcPr>
          <w:p w14:paraId="45173E43" w14:textId="343097D6" w:rsidR="00B1045F" w:rsidRPr="00D655A4" w:rsidRDefault="0080077E" w:rsidP="008C28C1">
            <w:pPr>
              <w:pStyle w:val="TabletextLeft"/>
              <w:rPr>
                <w:sz w:val="16"/>
                <w:szCs w:val="16"/>
                <w:lang w:val="en-US"/>
              </w:rPr>
            </w:pPr>
            <w:r w:rsidRPr="00D655A4">
              <w:rPr>
                <w:sz w:val="16"/>
                <w:szCs w:val="16"/>
              </w:rPr>
              <w:t>Small headcount</w:t>
            </w:r>
          </w:p>
        </w:tc>
        <w:tc>
          <w:tcPr>
            <w:tcW w:w="1327" w:type="dxa"/>
            <w:tcBorders>
              <w:top w:val="single" w:sz="4" w:space="0" w:color="auto"/>
              <w:left w:val="nil"/>
              <w:bottom w:val="single" w:sz="4" w:space="0" w:color="auto"/>
              <w:right w:val="nil"/>
            </w:tcBorders>
            <w:shd w:val="clear" w:color="auto" w:fill="auto"/>
            <w:vAlign w:val="center"/>
            <w:hideMark/>
          </w:tcPr>
          <w:p w14:paraId="27BC6875" w14:textId="471E8CFA" w:rsidR="00B1045F" w:rsidRPr="00D655A4" w:rsidRDefault="00B1045F" w:rsidP="008C28C1">
            <w:pPr>
              <w:pStyle w:val="TabletextLeft"/>
              <w:jc w:val="center"/>
              <w:rPr>
                <w:sz w:val="16"/>
                <w:szCs w:val="16"/>
                <w:lang w:val="en-US"/>
              </w:rPr>
            </w:pPr>
            <w:r w:rsidRPr="00D655A4">
              <w:rPr>
                <w:sz w:val="16"/>
                <w:szCs w:val="16"/>
              </w:rPr>
              <w:t>47%</w:t>
            </w:r>
          </w:p>
        </w:tc>
        <w:tc>
          <w:tcPr>
            <w:tcW w:w="1328" w:type="dxa"/>
            <w:tcBorders>
              <w:top w:val="single" w:sz="4" w:space="0" w:color="auto"/>
              <w:left w:val="nil"/>
              <w:bottom w:val="single" w:sz="4" w:space="0" w:color="auto"/>
              <w:right w:val="nil"/>
            </w:tcBorders>
            <w:shd w:val="clear" w:color="auto" w:fill="auto"/>
            <w:vAlign w:val="center"/>
            <w:hideMark/>
          </w:tcPr>
          <w:p w14:paraId="02001B5D" w14:textId="4F1D849D" w:rsidR="00B1045F" w:rsidRPr="00D655A4" w:rsidRDefault="00B1045F" w:rsidP="008C28C1">
            <w:pPr>
              <w:pStyle w:val="TabletextLeft"/>
              <w:jc w:val="center"/>
              <w:rPr>
                <w:sz w:val="16"/>
                <w:szCs w:val="16"/>
                <w:lang w:val="en-US"/>
              </w:rPr>
            </w:pPr>
            <w:r w:rsidRPr="00D655A4">
              <w:rPr>
                <w:sz w:val="16"/>
                <w:szCs w:val="16"/>
              </w:rPr>
              <w:t>45%</w:t>
            </w:r>
          </w:p>
        </w:tc>
        <w:tc>
          <w:tcPr>
            <w:tcW w:w="1327" w:type="dxa"/>
            <w:tcBorders>
              <w:top w:val="single" w:sz="4" w:space="0" w:color="auto"/>
              <w:left w:val="nil"/>
              <w:bottom w:val="single" w:sz="4" w:space="0" w:color="auto"/>
              <w:right w:val="nil"/>
            </w:tcBorders>
            <w:shd w:val="clear" w:color="auto" w:fill="auto"/>
            <w:vAlign w:val="center"/>
            <w:hideMark/>
          </w:tcPr>
          <w:p w14:paraId="59265D81" w14:textId="4456CF40" w:rsidR="00B1045F" w:rsidRPr="00D655A4" w:rsidRDefault="00B1045F" w:rsidP="008C28C1">
            <w:pPr>
              <w:pStyle w:val="TabletextLeft"/>
              <w:jc w:val="center"/>
              <w:rPr>
                <w:sz w:val="16"/>
                <w:szCs w:val="16"/>
                <w:lang w:val="en-US"/>
              </w:rPr>
            </w:pPr>
            <w:r w:rsidRPr="00D655A4">
              <w:rPr>
                <w:sz w:val="16"/>
                <w:szCs w:val="16"/>
              </w:rPr>
              <w:t>38%</w:t>
            </w:r>
          </w:p>
        </w:tc>
        <w:tc>
          <w:tcPr>
            <w:tcW w:w="1328" w:type="dxa"/>
            <w:tcBorders>
              <w:top w:val="single" w:sz="4" w:space="0" w:color="auto"/>
              <w:left w:val="nil"/>
              <w:bottom w:val="single" w:sz="4" w:space="0" w:color="auto"/>
              <w:right w:val="nil"/>
            </w:tcBorders>
            <w:shd w:val="clear" w:color="auto" w:fill="auto"/>
            <w:vAlign w:val="center"/>
          </w:tcPr>
          <w:p w14:paraId="2FDE09D7" w14:textId="081AC7C8" w:rsidR="00B1045F" w:rsidRPr="00D655A4" w:rsidRDefault="00B1045F" w:rsidP="008C28C1">
            <w:pPr>
              <w:pStyle w:val="TabletextLeft"/>
              <w:jc w:val="center"/>
              <w:rPr>
                <w:sz w:val="16"/>
                <w:szCs w:val="16"/>
                <w:lang w:val="en-US"/>
              </w:rPr>
            </w:pPr>
            <w:r w:rsidRPr="00D655A4">
              <w:rPr>
                <w:sz w:val="16"/>
                <w:szCs w:val="16"/>
              </w:rPr>
              <w:t>13%</w:t>
            </w:r>
          </w:p>
        </w:tc>
        <w:tc>
          <w:tcPr>
            <w:tcW w:w="1328" w:type="dxa"/>
            <w:tcBorders>
              <w:top w:val="single" w:sz="4" w:space="0" w:color="auto"/>
              <w:left w:val="nil"/>
              <w:bottom w:val="single" w:sz="4" w:space="0" w:color="auto"/>
              <w:right w:val="nil"/>
            </w:tcBorders>
            <w:shd w:val="clear" w:color="auto" w:fill="auto"/>
            <w:vAlign w:val="center"/>
          </w:tcPr>
          <w:p w14:paraId="742C3DC4" w14:textId="066F04D9" w:rsidR="00B1045F" w:rsidRPr="00D655A4" w:rsidRDefault="00B1045F" w:rsidP="008C28C1">
            <w:pPr>
              <w:pStyle w:val="TabletextLeft"/>
              <w:jc w:val="center"/>
              <w:rPr>
                <w:sz w:val="16"/>
                <w:szCs w:val="16"/>
                <w:lang w:val="en-US"/>
              </w:rPr>
            </w:pPr>
            <w:r w:rsidRPr="00D655A4">
              <w:rPr>
                <w:sz w:val="16"/>
                <w:szCs w:val="16"/>
              </w:rPr>
              <w:t>87%</w:t>
            </w:r>
          </w:p>
        </w:tc>
      </w:tr>
      <w:tr w:rsidR="0080077E" w:rsidRPr="009C1642" w14:paraId="07491B8D" w14:textId="77777777" w:rsidTr="007A056D">
        <w:trPr>
          <w:trHeight w:val="291"/>
        </w:trPr>
        <w:tc>
          <w:tcPr>
            <w:tcW w:w="2519" w:type="dxa"/>
            <w:tcBorders>
              <w:top w:val="single" w:sz="4" w:space="0" w:color="auto"/>
              <w:left w:val="nil"/>
              <w:bottom w:val="single" w:sz="4" w:space="0" w:color="auto"/>
              <w:right w:val="nil"/>
            </w:tcBorders>
            <w:shd w:val="clear" w:color="auto" w:fill="auto"/>
            <w:vAlign w:val="center"/>
          </w:tcPr>
          <w:p w14:paraId="49AC215D" w14:textId="2A490D5B" w:rsidR="0080077E" w:rsidRPr="00D655A4" w:rsidDel="0080077E" w:rsidRDefault="0080077E" w:rsidP="008C28C1">
            <w:pPr>
              <w:pStyle w:val="TabletextLeft"/>
              <w:rPr>
                <w:sz w:val="16"/>
                <w:szCs w:val="16"/>
              </w:rPr>
            </w:pPr>
            <w:r w:rsidRPr="00D655A4">
              <w:rPr>
                <w:sz w:val="16"/>
                <w:szCs w:val="16"/>
              </w:rPr>
              <w:t>Medium headcount</w:t>
            </w:r>
          </w:p>
        </w:tc>
        <w:tc>
          <w:tcPr>
            <w:tcW w:w="1327" w:type="dxa"/>
            <w:tcBorders>
              <w:top w:val="single" w:sz="4" w:space="0" w:color="auto"/>
              <w:left w:val="nil"/>
              <w:bottom w:val="single" w:sz="4" w:space="0" w:color="auto"/>
              <w:right w:val="nil"/>
            </w:tcBorders>
            <w:shd w:val="clear" w:color="auto" w:fill="auto"/>
            <w:vAlign w:val="center"/>
          </w:tcPr>
          <w:p w14:paraId="6B88C486" w14:textId="0E684920" w:rsidR="0080077E" w:rsidRPr="00D655A4" w:rsidRDefault="0080077E" w:rsidP="008C28C1">
            <w:pPr>
              <w:pStyle w:val="TabletextLeft"/>
              <w:jc w:val="center"/>
              <w:rPr>
                <w:sz w:val="16"/>
                <w:szCs w:val="16"/>
              </w:rPr>
            </w:pPr>
            <w:r w:rsidRPr="00D655A4">
              <w:rPr>
                <w:sz w:val="16"/>
                <w:szCs w:val="16"/>
              </w:rPr>
              <w:t>36%</w:t>
            </w:r>
          </w:p>
        </w:tc>
        <w:tc>
          <w:tcPr>
            <w:tcW w:w="1328" w:type="dxa"/>
            <w:tcBorders>
              <w:top w:val="single" w:sz="4" w:space="0" w:color="auto"/>
              <w:left w:val="nil"/>
              <w:bottom w:val="single" w:sz="4" w:space="0" w:color="auto"/>
              <w:right w:val="nil"/>
            </w:tcBorders>
            <w:shd w:val="clear" w:color="auto" w:fill="auto"/>
            <w:vAlign w:val="center"/>
          </w:tcPr>
          <w:p w14:paraId="78E83D6A" w14:textId="51C9FBB5" w:rsidR="0080077E" w:rsidRPr="00D655A4" w:rsidRDefault="0080077E" w:rsidP="008C28C1">
            <w:pPr>
              <w:pStyle w:val="TabletextLeft"/>
              <w:jc w:val="center"/>
              <w:rPr>
                <w:sz w:val="16"/>
                <w:szCs w:val="16"/>
              </w:rPr>
            </w:pPr>
            <w:r w:rsidRPr="00D655A4">
              <w:rPr>
                <w:sz w:val="16"/>
                <w:szCs w:val="16"/>
              </w:rPr>
              <w:t>37%</w:t>
            </w:r>
          </w:p>
        </w:tc>
        <w:tc>
          <w:tcPr>
            <w:tcW w:w="1327" w:type="dxa"/>
            <w:tcBorders>
              <w:top w:val="single" w:sz="4" w:space="0" w:color="auto"/>
              <w:left w:val="nil"/>
              <w:bottom w:val="single" w:sz="4" w:space="0" w:color="auto"/>
              <w:right w:val="nil"/>
            </w:tcBorders>
            <w:shd w:val="clear" w:color="auto" w:fill="auto"/>
            <w:vAlign w:val="center"/>
          </w:tcPr>
          <w:p w14:paraId="00890BB7" w14:textId="4CCA399A" w:rsidR="0080077E" w:rsidRPr="00D655A4" w:rsidRDefault="0080077E" w:rsidP="008C28C1">
            <w:pPr>
              <w:pStyle w:val="TabletextLeft"/>
              <w:jc w:val="center"/>
              <w:rPr>
                <w:sz w:val="16"/>
                <w:szCs w:val="16"/>
              </w:rPr>
            </w:pPr>
            <w:r w:rsidRPr="00D655A4">
              <w:rPr>
                <w:sz w:val="16"/>
                <w:szCs w:val="16"/>
              </w:rPr>
              <w:t>23%</w:t>
            </w:r>
          </w:p>
        </w:tc>
        <w:tc>
          <w:tcPr>
            <w:tcW w:w="1328" w:type="dxa"/>
            <w:tcBorders>
              <w:top w:val="single" w:sz="4" w:space="0" w:color="auto"/>
              <w:left w:val="nil"/>
              <w:bottom w:val="single" w:sz="4" w:space="0" w:color="auto"/>
              <w:right w:val="nil"/>
            </w:tcBorders>
            <w:shd w:val="clear" w:color="auto" w:fill="auto"/>
            <w:vAlign w:val="center"/>
          </w:tcPr>
          <w:p w14:paraId="249316DE" w14:textId="0510A38A" w:rsidR="0080077E" w:rsidRPr="00D655A4" w:rsidRDefault="0080077E" w:rsidP="008C28C1">
            <w:pPr>
              <w:pStyle w:val="TabletextLeft"/>
              <w:jc w:val="center"/>
              <w:rPr>
                <w:sz w:val="16"/>
                <w:szCs w:val="16"/>
              </w:rPr>
            </w:pPr>
            <w:r w:rsidRPr="00D655A4">
              <w:rPr>
                <w:sz w:val="16"/>
                <w:szCs w:val="16"/>
              </w:rPr>
              <w:t>12%</w:t>
            </w:r>
          </w:p>
        </w:tc>
        <w:tc>
          <w:tcPr>
            <w:tcW w:w="1328" w:type="dxa"/>
            <w:tcBorders>
              <w:top w:val="single" w:sz="4" w:space="0" w:color="auto"/>
              <w:left w:val="nil"/>
              <w:bottom w:val="single" w:sz="4" w:space="0" w:color="auto"/>
              <w:right w:val="nil"/>
            </w:tcBorders>
            <w:shd w:val="clear" w:color="auto" w:fill="auto"/>
            <w:vAlign w:val="center"/>
          </w:tcPr>
          <w:p w14:paraId="39E0FCA5" w14:textId="6A5E8965" w:rsidR="0080077E" w:rsidRPr="00D655A4" w:rsidRDefault="0080077E" w:rsidP="008C28C1">
            <w:pPr>
              <w:pStyle w:val="TabletextLeft"/>
              <w:jc w:val="center"/>
              <w:rPr>
                <w:sz w:val="16"/>
                <w:szCs w:val="16"/>
              </w:rPr>
            </w:pPr>
            <w:r w:rsidRPr="00D655A4">
              <w:rPr>
                <w:sz w:val="16"/>
                <w:szCs w:val="16"/>
              </w:rPr>
              <w:t>59%</w:t>
            </w:r>
          </w:p>
        </w:tc>
      </w:tr>
      <w:tr w:rsidR="0080077E" w:rsidRPr="009C1642" w14:paraId="3631E704" w14:textId="77777777" w:rsidTr="007A056D">
        <w:trPr>
          <w:trHeight w:val="256"/>
        </w:trPr>
        <w:tc>
          <w:tcPr>
            <w:tcW w:w="2519" w:type="dxa"/>
            <w:tcBorders>
              <w:top w:val="single" w:sz="4" w:space="0" w:color="auto"/>
              <w:left w:val="nil"/>
              <w:bottom w:val="single" w:sz="4" w:space="0" w:color="auto"/>
              <w:right w:val="nil"/>
            </w:tcBorders>
            <w:shd w:val="clear" w:color="auto" w:fill="auto"/>
            <w:vAlign w:val="center"/>
          </w:tcPr>
          <w:p w14:paraId="098C2517" w14:textId="44A1DDF1" w:rsidR="0080077E" w:rsidRPr="00D655A4" w:rsidDel="0080077E" w:rsidRDefault="0080077E" w:rsidP="008C28C1">
            <w:pPr>
              <w:pStyle w:val="TabletextLeft"/>
              <w:rPr>
                <w:sz w:val="16"/>
                <w:szCs w:val="16"/>
              </w:rPr>
            </w:pPr>
            <w:r w:rsidRPr="00D655A4">
              <w:rPr>
                <w:sz w:val="16"/>
                <w:szCs w:val="16"/>
              </w:rPr>
              <w:t>Large headcount</w:t>
            </w:r>
          </w:p>
        </w:tc>
        <w:tc>
          <w:tcPr>
            <w:tcW w:w="1327" w:type="dxa"/>
            <w:tcBorders>
              <w:top w:val="single" w:sz="4" w:space="0" w:color="auto"/>
              <w:left w:val="nil"/>
              <w:bottom w:val="single" w:sz="4" w:space="0" w:color="auto"/>
              <w:right w:val="nil"/>
            </w:tcBorders>
            <w:shd w:val="clear" w:color="auto" w:fill="auto"/>
            <w:vAlign w:val="center"/>
          </w:tcPr>
          <w:p w14:paraId="60779961" w14:textId="21541834" w:rsidR="0080077E" w:rsidRPr="00D655A4" w:rsidRDefault="0080077E" w:rsidP="008C28C1">
            <w:pPr>
              <w:pStyle w:val="TabletextLeft"/>
              <w:jc w:val="center"/>
              <w:rPr>
                <w:sz w:val="16"/>
                <w:szCs w:val="16"/>
              </w:rPr>
            </w:pPr>
            <w:r w:rsidRPr="00D655A4">
              <w:rPr>
                <w:sz w:val="16"/>
                <w:szCs w:val="16"/>
              </w:rPr>
              <w:t>48%</w:t>
            </w:r>
          </w:p>
        </w:tc>
        <w:tc>
          <w:tcPr>
            <w:tcW w:w="1328" w:type="dxa"/>
            <w:tcBorders>
              <w:top w:val="single" w:sz="4" w:space="0" w:color="auto"/>
              <w:left w:val="nil"/>
              <w:bottom w:val="single" w:sz="4" w:space="0" w:color="auto"/>
              <w:right w:val="nil"/>
            </w:tcBorders>
            <w:shd w:val="clear" w:color="auto" w:fill="auto"/>
            <w:vAlign w:val="center"/>
          </w:tcPr>
          <w:p w14:paraId="6743F6A7" w14:textId="3231474D" w:rsidR="0080077E" w:rsidRPr="00D655A4" w:rsidRDefault="0080077E" w:rsidP="008C28C1">
            <w:pPr>
              <w:pStyle w:val="TabletextLeft"/>
              <w:jc w:val="center"/>
              <w:rPr>
                <w:sz w:val="16"/>
                <w:szCs w:val="16"/>
              </w:rPr>
            </w:pPr>
            <w:r w:rsidRPr="00D655A4">
              <w:rPr>
                <w:sz w:val="16"/>
                <w:szCs w:val="16"/>
              </w:rPr>
              <w:t>55%</w:t>
            </w:r>
          </w:p>
        </w:tc>
        <w:tc>
          <w:tcPr>
            <w:tcW w:w="1327" w:type="dxa"/>
            <w:tcBorders>
              <w:top w:val="single" w:sz="4" w:space="0" w:color="auto"/>
              <w:left w:val="nil"/>
              <w:bottom w:val="single" w:sz="4" w:space="0" w:color="auto"/>
              <w:right w:val="nil"/>
            </w:tcBorders>
            <w:shd w:val="clear" w:color="auto" w:fill="auto"/>
            <w:vAlign w:val="center"/>
          </w:tcPr>
          <w:p w14:paraId="355A4B65" w14:textId="27892898" w:rsidR="0080077E" w:rsidRPr="00D655A4" w:rsidRDefault="0080077E" w:rsidP="008C28C1">
            <w:pPr>
              <w:pStyle w:val="TabletextLeft"/>
              <w:jc w:val="center"/>
              <w:rPr>
                <w:sz w:val="16"/>
                <w:szCs w:val="16"/>
              </w:rPr>
            </w:pPr>
            <w:r w:rsidRPr="00D655A4">
              <w:rPr>
                <w:sz w:val="16"/>
                <w:szCs w:val="16"/>
              </w:rPr>
              <w:t>53%</w:t>
            </w:r>
          </w:p>
        </w:tc>
        <w:tc>
          <w:tcPr>
            <w:tcW w:w="1328" w:type="dxa"/>
            <w:tcBorders>
              <w:top w:val="single" w:sz="4" w:space="0" w:color="auto"/>
              <w:left w:val="nil"/>
              <w:bottom w:val="single" w:sz="4" w:space="0" w:color="auto"/>
              <w:right w:val="nil"/>
            </w:tcBorders>
            <w:shd w:val="clear" w:color="auto" w:fill="auto"/>
            <w:vAlign w:val="center"/>
          </w:tcPr>
          <w:p w14:paraId="640B3CA7" w14:textId="53E71DF8" w:rsidR="0080077E" w:rsidRPr="00D655A4" w:rsidRDefault="0080077E" w:rsidP="008C28C1">
            <w:pPr>
              <w:pStyle w:val="TabletextLeft"/>
              <w:jc w:val="center"/>
              <w:rPr>
                <w:sz w:val="16"/>
                <w:szCs w:val="16"/>
              </w:rPr>
            </w:pPr>
            <w:r w:rsidRPr="00D655A4">
              <w:rPr>
                <w:sz w:val="16"/>
                <w:szCs w:val="16"/>
              </w:rPr>
              <w:t>19%</w:t>
            </w:r>
          </w:p>
        </w:tc>
        <w:tc>
          <w:tcPr>
            <w:tcW w:w="1328" w:type="dxa"/>
            <w:tcBorders>
              <w:top w:val="single" w:sz="4" w:space="0" w:color="auto"/>
              <w:left w:val="nil"/>
              <w:bottom w:val="single" w:sz="4" w:space="0" w:color="auto"/>
              <w:right w:val="nil"/>
            </w:tcBorders>
            <w:shd w:val="clear" w:color="auto" w:fill="auto"/>
            <w:vAlign w:val="center"/>
          </w:tcPr>
          <w:p w14:paraId="1E22C024" w14:textId="64758942" w:rsidR="0080077E" w:rsidRPr="00D655A4" w:rsidRDefault="0080077E" w:rsidP="008C28C1">
            <w:pPr>
              <w:pStyle w:val="TabletextLeft"/>
              <w:jc w:val="center"/>
              <w:rPr>
                <w:sz w:val="16"/>
                <w:szCs w:val="16"/>
              </w:rPr>
            </w:pPr>
            <w:r w:rsidRPr="00D655A4">
              <w:rPr>
                <w:sz w:val="16"/>
                <w:szCs w:val="16"/>
              </w:rPr>
              <w:t>71%</w:t>
            </w:r>
          </w:p>
        </w:tc>
      </w:tr>
    </w:tbl>
    <w:p w14:paraId="5CCE90EC" w14:textId="0AAEAF77" w:rsidR="00AA7830" w:rsidRDefault="00304E4E" w:rsidP="00446242">
      <w:pPr>
        <w:pStyle w:val="Heading2"/>
      </w:pPr>
      <w:bookmarkStart w:id="162" w:name="_Toc39748581"/>
      <w:bookmarkStart w:id="163" w:name="_Toc39761585"/>
      <w:bookmarkStart w:id="164" w:name="_Toc39762875"/>
      <w:bookmarkStart w:id="165" w:name="_Toc39837046"/>
      <w:bookmarkStart w:id="166" w:name="_Toc39748599"/>
      <w:bookmarkStart w:id="167" w:name="_Toc39761603"/>
      <w:bookmarkStart w:id="168" w:name="_Toc39762893"/>
      <w:bookmarkStart w:id="169" w:name="_Toc39837064"/>
      <w:bookmarkStart w:id="170" w:name="_Toc39748617"/>
      <w:bookmarkStart w:id="171" w:name="_Toc39761621"/>
      <w:bookmarkStart w:id="172" w:name="_Toc39762911"/>
      <w:bookmarkStart w:id="173" w:name="_Toc39837082"/>
      <w:bookmarkStart w:id="174" w:name="_Toc39748618"/>
      <w:bookmarkStart w:id="175" w:name="_Toc39761622"/>
      <w:bookmarkStart w:id="176" w:name="_Toc39762912"/>
      <w:bookmarkStart w:id="177" w:name="_Toc39837083"/>
      <w:bookmarkStart w:id="178" w:name="_Toc39748646"/>
      <w:bookmarkStart w:id="179" w:name="_Toc39761650"/>
      <w:bookmarkStart w:id="180" w:name="_Toc39762940"/>
      <w:bookmarkStart w:id="181" w:name="_Toc39837111"/>
      <w:bookmarkStart w:id="182" w:name="_Toc40454653"/>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3F110A">
        <w:t>Utilisation</w:t>
      </w:r>
      <w:bookmarkEnd w:id="182"/>
    </w:p>
    <w:p w14:paraId="43A903CB" w14:textId="4EAD845E" w:rsidR="00ED564B" w:rsidRPr="003F110A" w:rsidRDefault="00172A2D" w:rsidP="00446242">
      <w:pPr>
        <w:keepNext/>
        <w:keepLines/>
      </w:pPr>
      <w:r w:rsidRPr="003F110A">
        <w:t xml:space="preserve">Not all working hours are billable. For example, the SCHADS Award provides that a DSW should have a </w:t>
      </w:r>
      <w:r w:rsidR="00BA74A6" w:rsidRPr="003F110A">
        <w:t>ten-minute</w:t>
      </w:r>
      <w:r w:rsidRPr="003F110A">
        <w:t xml:space="preserve"> paid break from work every four hours. DSWs also need to undertake training and attend to other issues. </w:t>
      </w:r>
    </w:p>
    <w:p w14:paraId="5CFF7A07" w14:textId="05854DF4" w:rsidR="00604885" w:rsidRDefault="00172A2D" w:rsidP="008A7717">
      <w:r w:rsidRPr="003F110A">
        <w:t xml:space="preserve">As </w:t>
      </w:r>
      <w:r w:rsidR="000E3A77">
        <w:fldChar w:fldCharType="begin"/>
      </w:r>
      <w:r w:rsidR="000E3A77">
        <w:instrText xml:space="preserve"> REF _Ref39763175 \r \h </w:instrText>
      </w:r>
      <w:r w:rsidR="000E3A77">
        <w:fldChar w:fldCharType="separate"/>
      </w:r>
      <w:r w:rsidR="00283637">
        <w:t>Table 3.12</w:t>
      </w:r>
      <w:r w:rsidR="000E3A77">
        <w:fldChar w:fldCharType="end"/>
      </w:r>
      <w:r w:rsidR="00D00057">
        <w:rPr>
          <w:rStyle w:val="FootnoteReference"/>
        </w:rPr>
        <w:footnoteReference w:id="20"/>
      </w:r>
      <w:r w:rsidR="00DC6C4C">
        <w:t xml:space="preserve"> </w:t>
      </w:r>
      <w:r w:rsidRPr="003F110A">
        <w:t xml:space="preserve">illustrates, the mean </w:t>
      </w:r>
      <w:r w:rsidR="00604885">
        <w:t xml:space="preserve">and median </w:t>
      </w:r>
      <w:r w:rsidRPr="003F110A">
        <w:t xml:space="preserve">utilisation estimated based on survey </w:t>
      </w:r>
      <w:r w:rsidR="00ED564B" w:rsidRPr="003F110A">
        <w:t xml:space="preserve">responses was </w:t>
      </w:r>
      <w:r w:rsidR="002757B4" w:rsidRPr="003F110A">
        <w:t>79</w:t>
      </w:r>
      <w:r w:rsidR="00ED564B" w:rsidRPr="003F110A">
        <w:t>.</w:t>
      </w:r>
      <w:r w:rsidR="002757B4" w:rsidRPr="003F110A">
        <w:t>8</w:t>
      </w:r>
      <w:r w:rsidRPr="003F110A">
        <w:t>%</w:t>
      </w:r>
      <w:r w:rsidR="00604885">
        <w:t xml:space="preserve"> and 87.0%</w:t>
      </w:r>
      <w:r w:rsidR="0056057A">
        <w:t>,</w:t>
      </w:r>
      <w:r w:rsidR="00604885">
        <w:t xml:space="preserve"> respectively.</w:t>
      </w:r>
      <w:r w:rsidR="00996EA7">
        <w:t xml:space="preserve"> </w:t>
      </w:r>
      <w:r w:rsidR="006B2D70">
        <w:t xml:space="preserve">The WM </w:t>
      </w:r>
      <w:r w:rsidR="00A46474">
        <w:t xml:space="preserve">shows </w:t>
      </w:r>
      <w:r w:rsidR="006B2D70">
        <w:t>higher than average utilisation rates at 83.2%</w:t>
      </w:r>
      <w:r w:rsidR="00A46474">
        <w:t>,</w:t>
      </w:r>
      <w:r w:rsidR="006B2D70">
        <w:t xml:space="preserve"> indicating that larger providers are more efficient in their utilisation, resulting in higher utilisation rates and corresponding billable time.</w:t>
      </w:r>
    </w:p>
    <w:p w14:paraId="45327584" w14:textId="2F8C5DF4" w:rsidR="00304E4E" w:rsidRPr="003F110A" w:rsidRDefault="00506519" w:rsidP="000C0CB5">
      <w:pPr>
        <w:pStyle w:val="CaptionTable"/>
        <w:ind w:left="0"/>
      </w:pPr>
      <w:bookmarkStart w:id="183" w:name="_Ref39763175"/>
      <w:bookmarkStart w:id="184" w:name="_Toc40454693"/>
      <w:r>
        <w:lastRenderedPageBreak/>
        <w:t>Utilisation</w:t>
      </w:r>
      <w:bookmarkEnd w:id="183"/>
      <w:bookmarkEnd w:id="184"/>
    </w:p>
    <w:tbl>
      <w:tblPr>
        <w:tblW w:w="4972" w:type="pct"/>
        <w:tblLayout w:type="fixed"/>
        <w:tblLook w:val="04A0" w:firstRow="1" w:lastRow="0" w:firstColumn="1" w:lastColumn="0" w:noHBand="0" w:noVBand="1"/>
      </w:tblPr>
      <w:tblGrid>
        <w:gridCol w:w="2268"/>
        <w:gridCol w:w="1341"/>
        <w:gridCol w:w="1341"/>
        <w:gridCol w:w="1343"/>
        <w:gridCol w:w="1341"/>
        <w:gridCol w:w="1341"/>
      </w:tblGrid>
      <w:tr w:rsidR="009A6B21" w:rsidRPr="008C28C1" w14:paraId="0FF1FFA3" w14:textId="496E06B5" w:rsidTr="008C28C1">
        <w:trPr>
          <w:trHeight w:val="248"/>
        </w:trPr>
        <w:tc>
          <w:tcPr>
            <w:tcW w:w="1264" w:type="pct"/>
            <w:tcBorders>
              <w:top w:val="single" w:sz="12" w:space="0" w:color="62B5E5" w:themeColor="accent3"/>
              <w:left w:val="nil"/>
              <w:bottom w:val="single" w:sz="4" w:space="0" w:color="auto"/>
            </w:tcBorders>
            <w:shd w:val="clear" w:color="auto" w:fill="auto"/>
            <w:vAlign w:val="center"/>
            <w:hideMark/>
          </w:tcPr>
          <w:p w14:paraId="5E8F2C7E" w14:textId="77777777" w:rsidR="009A6B21" w:rsidRPr="00D655A4" w:rsidRDefault="009A6B21" w:rsidP="00DB66C5">
            <w:pPr>
              <w:keepNext/>
              <w:spacing w:after="0" w:line="240" w:lineRule="auto"/>
              <w:rPr>
                <w:rFonts w:asciiTheme="minorHAnsi" w:eastAsia="Times New Roman" w:hAnsiTheme="minorHAnsi" w:cs="Times New Roman"/>
                <w:b/>
                <w:bCs/>
                <w:color w:val="000000"/>
                <w:sz w:val="16"/>
                <w:szCs w:val="16"/>
                <w:lang w:eastAsia="en-AU"/>
              </w:rPr>
            </w:pPr>
            <w:r w:rsidRPr="00D655A4">
              <w:rPr>
                <w:rFonts w:asciiTheme="minorHAnsi" w:eastAsia="Times New Roman" w:hAnsiTheme="minorHAnsi" w:cs="Times New Roman"/>
                <w:b/>
                <w:bCs/>
                <w:color w:val="000000"/>
                <w:sz w:val="16"/>
                <w:szCs w:val="16"/>
                <w:lang w:eastAsia="en-AU"/>
              </w:rPr>
              <w:t> </w:t>
            </w:r>
          </w:p>
        </w:tc>
        <w:tc>
          <w:tcPr>
            <w:tcW w:w="747" w:type="pct"/>
            <w:tcBorders>
              <w:top w:val="single" w:sz="12" w:space="0" w:color="62B5E5" w:themeColor="accent3"/>
              <w:left w:val="nil"/>
              <w:bottom w:val="single" w:sz="4" w:space="0" w:color="auto"/>
            </w:tcBorders>
            <w:shd w:val="clear" w:color="auto" w:fill="auto"/>
            <w:vAlign w:val="center"/>
            <w:hideMark/>
          </w:tcPr>
          <w:p w14:paraId="5B0F2F45" w14:textId="77777777" w:rsidR="009A6B21" w:rsidRPr="00D655A4" w:rsidRDefault="009A6B21" w:rsidP="002E5D35">
            <w:pPr>
              <w:keepNext/>
              <w:spacing w:after="0" w:line="240" w:lineRule="auto"/>
              <w:jc w:val="center"/>
              <w:rPr>
                <w:rFonts w:asciiTheme="minorHAnsi" w:eastAsia="Times New Roman" w:hAnsiTheme="minorHAnsi" w:cs="Times New Roman"/>
                <w:b/>
                <w:bCs/>
                <w:color w:val="62B5E5"/>
                <w:sz w:val="16"/>
                <w:szCs w:val="16"/>
                <w:lang w:eastAsia="en-AU"/>
              </w:rPr>
            </w:pPr>
            <w:r w:rsidRPr="00D655A4">
              <w:rPr>
                <w:rFonts w:asciiTheme="minorHAnsi" w:eastAsia="Times New Roman" w:hAnsiTheme="minorHAnsi" w:cs="Times New Roman"/>
                <w:b/>
                <w:bCs/>
                <w:color w:val="62B5E5"/>
                <w:sz w:val="16"/>
                <w:szCs w:val="16"/>
                <w:lang w:eastAsia="en-AU"/>
              </w:rPr>
              <w:t>Mean</w:t>
            </w:r>
          </w:p>
        </w:tc>
        <w:tc>
          <w:tcPr>
            <w:tcW w:w="747" w:type="pct"/>
            <w:tcBorders>
              <w:top w:val="single" w:sz="12" w:space="0" w:color="62B5E5" w:themeColor="accent3"/>
              <w:bottom w:val="single" w:sz="4" w:space="0" w:color="auto"/>
            </w:tcBorders>
            <w:vAlign w:val="center"/>
          </w:tcPr>
          <w:p w14:paraId="420E4DB2" w14:textId="29DED283" w:rsidR="009A6B21" w:rsidRPr="00D655A4" w:rsidRDefault="009A6B21" w:rsidP="002E5D35">
            <w:pPr>
              <w:keepNext/>
              <w:spacing w:after="0" w:line="240" w:lineRule="auto"/>
              <w:jc w:val="center"/>
              <w:rPr>
                <w:rFonts w:asciiTheme="minorHAnsi" w:eastAsia="Times New Roman" w:hAnsiTheme="minorHAnsi" w:cs="Times New Roman"/>
                <w:b/>
                <w:bCs/>
                <w:color w:val="62B5E5"/>
                <w:sz w:val="16"/>
                <w:szCs w:val="16"/>
                <w:lang w:eastAsia="en-AU"/>
              </w:rPr>
            </w:pPr>
            <w:r w:rsidRPr="00D655A4">
              <w:rPr>
                <w:rFonts w:asciiTheme="minorHAnsi" w:eastAsia="Times New Roman" w:hAnsiTheme="minorHAnsi" w:cs="Times New Roman"/>
                <w:b/>
                <w:bCs/>
                <w:color w:val="62B5E5"/>
                <w:sz w:val="16"/>
                <w:szCs w:val="16"/>
                <w:lang w:eastAsia="en-AU"/>
              </w:rPr>
              <w:t>WM</w:t>
            </w:r>
          </w:p>
        </w:tc>
        <w:tc>
          <w:tcPr>
            <w:tcW w:w="748" w:type="pct"/>
            <w:tcBorders>
              <w:top w:val="single" w:sz="12" w:space="0" w:color="62B5E5" w:themeColor="accent3"/>
              <w:bottom w:val="single" w:sz="4" w:space="0" w:color="auto"/>
            </w:tcBorders>
            <w:shd w:val="clear" w:color="auto" w:fill="auto"/>
            <w:vAlign w:val="center"/>
            <w:hideMark/>
          </w:tcPr>
          <w:p w14:paraId="70955A28" w14:textId="25016862" w:rsidR="009A6B21" w:rsidRPr="00D655A4" w:rsidRDefault="009A6B21" w:rsidP="002E5D35">
            <w:pPr>
              <w:keepNext/>
              <w:spacing w:after="0" w:line="240" w:lineRule="auto"/>
              <w:jc w:val="center"/>
              <w:rPr>
                <w:rFonts w:asciiTheme="minorHAnsi" w:eastAsia="Times New Roman" w:hAnsiTheme="minorHAnsi" w:cs="Times New Roman"/>
                <w:b/>
                <w:bCs/>
                <w:color w:val="62B5E5"/>
                <w:sz w:val="16"/>
                <w:szCs w:val="16"/>
                <w:lang w:eastAsia="en-AU"/>
              </w:rPr>
            </w:pPr>
            <w:r w:rsidRPr="00D655A4">
              <w:rPr>
                <w:rFonts w:asciiTheme="minorHAnsi" w:eastAsia="Times New Roman" w:hAnsiTheme="minorHAnsi" w:cs="Times New Roman"/>
                <w:b/>
                <w:bCs/>
                <w:color w:val="62B5E5"/>
                <w:sz w:val="16"/>
                <w:szCs w:val="16"/>
                <w:lang w:eastAsia="en-AU"/>
              </w:rPr>
              <w:t>Med.</w:t>
            </w:r>
          </w:p>
        </w:tc>
        <w:tc>
          <w:tcPr>
            <w:tcW w:w="747" w:type="pct"/>
            <w:tcBorders>
              <w:top w:val="single" w:sz="12" w:space="0" w:color="62B5E5" w:themeColor="accent3"/>
              <w:bottom w:val="single" w:sz="4" w:space="0" w:color="auto"/>
            </w:tcBorders>
            <w:shd w:val="clear" w:color="auto" w:fill="auto"/>
            <w:vAlign w:val="center"/>
            <w:hideMark/>
          </w:tcPr>
          <w:p w14:paraId="2CB0A68B" w14:textId="77777777" w:rsidR="009A6B21" w:rsidRPr="00D655A4" w:rsidRDefault="009A6B21" w:rsidP="002E5D35">
            <w:pPr>
              <w:keepNext/>
              <w:spacing w:after="0" w:line="240" w:lineRule="auto"/>
              <w:jc w:val="center"/>
              <w:rPr>
                <w:rFonts w:asciiTheme="minorHAnsi" w:eastAsia="Times New Roman" w:hAnsiTheme="minorHAnsi" w:cs="Times New Roman"/>
                <w:b/>
                <w:bCs/>
                <w:color w:val="62B5E5"/>
                <w:sz w:val="16"/>
                <w:szCs w:val="16"/>
                <w:lang w:eastAsia="en-AU"/>
              </w:rPr>
            </w:pPr>
            <w:r w:rsidRPr="00D655A4">
              <w:rPr>
                <w:rFonts w:asciiTheme="minorHAnsi" w:eastAsia="Times New Roman" w:hAnsiTheme="minorHAnsi" w:cs="Times New Roman"/>
                <w:b/>
                <w:bCs/>
                <w:color w:val="62B5E5"/>
                <w:sz w:val="16"/>
                <w:szCs w:val="16"/>
                <w:lang w:eastAsia="en-AU"/>
              </w:rPr>
              <w:t>25</w:t>
            </w:r>
            <w:r w:rsidRPr="00D655A4">
              <w:rPr>
                <w:rFonts w:asciiTheme="minorHAnsi" w:eastAsia="Times New Roman" w:hAnsiTheme="minorHAnsi" w:cs="Times New Roman"/>
                <w:b/>
                <w:bCs/>
                <w:color w:val="62B5E5"/>
                <w:sz w:val="16"/>
                <w:szCs w:val="16"/>
                <w:vertAlign w:val="superscript"/>
                <w:lang w:eastAsia="en-AU"/>
              </w:rPr>
              <w:t>th</w:t>
            </w:r>
            <w:r w:rsidRPr="00D655A4">
              <w:rPr>
                <w:rFonts w:asciiTheme="minorHAnsi" w:eastAsia="Times New Roman" w:hAnsiTheme="minorHAnsi" w:cs="Times New Roman"/>
                <w:b/>
                <w:bCs/>
                <w:color w:val="62B5E5"/>
                <w:sz w:val="16"/>
                <w:szCs w:val="16"/>
                <w:lang w:eastAsia="en-AU"/>
              </w:rPr>
              <w:t xml:space="preserve"> PC</w:t>
            </w:r>
          </w:p>
        </w:tc>
        <w:tc>
          <w:tcPr>
            <w:tcW w:w="748" w:type="pct"/>
            <w:tcBorders>
              <w:top w:val="single" w:sz="12" w:space="0" w:color="62B5E5" w:themeColor="accent3"/>
              <w:bottom w:val="single" w:sz="4" w:space="0" w:color="auto"/>
              <w:right w:val="nil"/>
            </w:tcBorders>
            <w:vAlign w:val="center"/>
          </w:tcPr>
          <w:p w14:paraId="1D04341C" w14:textId="5640F283" w:rsidR="009A6B21" w:rsidRPr="00D655A4" w:rsidRDefault="009A6B21" w:rsidP="002E5D35">
            <w:pPr>
              <w:keepNext/>
              <w:spacing w:after="0" w:line="240" w:lineRule="auto"/>
              <w:jc w:val="center"/>
              <w:rPr>
                <w:rFonts w:asciiTheme="minorHAnsi" w:eastAsia="Times New Roman" w:hAnsiTheme="minorHAnsi" w:cs="Times New Roman"/>
                <w:b/>
                <w:bCs/>
                <w:color w:val="62B5E5"/>
                <w:sz w:val="16"/>
                <w:szCs w:val="16"/>
                <w:lang w:eastAsia="en-AU"/>
              </w:rPr>
            </w:pPr>
            <w:r w:rsidRPr="00D655A4">
              <w:rPr>
                <w:rFonts w:asciiTheme="minorHAnsi" w:eastAsia="Times New Roman" w:hAnsiTheme="minorHAnsi" w:cs="Times New Roman"/>
                <w:b/>
                <w:bCs/>
                <w:color w:val="62B5E5"/>
                <w:sz w:val="16"/>
                <w:szCs w:val="16"/>
                <w:lang w:eastAsia="en-AU"/>
              </w:rPr>
              <w:t>75</w:t>
            </w:r>
            <w:r w:rsidRPr="00D655A4">
              <w:rPr>
                <w:rFonts w:asciiTheme="minorHAnsi" w:eastAsia="Times New Roman" w:hAnsiTheme="minorHAnsi" w:cs="Times New Roman"/>
                <w:b/>
                <w:bCs/>
                <w:color w:val="62B5E5"/>
                <w:sz w:val="16"/>
                <w:szCs w:val="16"/>
                <w:vertAlign w:val="superscript"/>
                <w:lang w:eastAsia="en-AU"/>
              </w:rPr>
              <w:t>th</w:t>
            </w:r>
            <w:r w:rsidRPr="00D655A4">
              <w:rPr>
                <w:rFonts w:asciiTheme="minorHAnsi" w:eastAsia="Times New Roman" w:hAnsiTheme="minorHAnsi" w:cs="Times New Roman"/>
                <w:b/>
                <w:bCs/>
                <w:color w:val="62B5E5"/>
                <w:sz w:val="16"/>
                <w:szCs w:val="16"/>
                <w:lang w:eastAsia="en-AU"/>
              </w:rPr>
              <w:t xml:space="preserve"> PC</w:t>
            </w:r>
          </w:p>
        </w:tc>
      </w:tr>
      <w:tr w:rsidR="009A6B21" w:rsidRPr="00117C44" w14:paraId="6F3D8EDC" w14:textId="77777777" w:rsidTr="008C28C1">
        <w:trPr>
          <w:trHeight w:val="293"/>
        </w:trPr>
        <w:tc>
          <w:tcPr>
            <w:tcW w:w="1264" w:type="pct"/>
            <w:tcBorders>
              <w:top w:val="single" w:sz="4" w:space="0" w:color="auto"/>
              <w:left w:val="nil"/>
              <w:bottom w:val="single" w:sz="4" w:space="0" w:color="auto"/>
            </w:tcBorders>
            <w:shd w:val="clear" w:color="auto" w:fill="auto"/>
            <w:vAlign w:val="center"/>
          </w:tcPr>
          <w:p w14:paraId="3CDD6678" w14:textId="632C9D30" w:rsidR="009A6B21" w:rsidRPr="00D655A4" w:rsidRDefault="009A6B21" w:rsidP="00117C44">
            <w:pPr>
              <w:keepNext/>
              <w:spacing w:after="0" w:line="240" w:lineRule="auto"/>
              <w:rPr>
                <w:rFonts w:asciiTheme="minorHAnsi" w:eastAsia="Times New Roman" w:hAnsiTheme="minorHAnsi" w:cs="Times New Roman"/>
                <w:color w:val="000000"/>
                <w:sz w:val="16"/>
                <w:szCs w:val="16"/>
                <w:lang w:eastAsia="en-AU"/>
              </w:rPr>
            </w:pPr>
            <w:r w:rsidRPr="00D655A4">
              <w:rPr>
                <w:rFonts w:asciiTheme="minorHAnsi" w:eastAsia="Times New Roman" w:hAnsiTheme="minorHAnsi" w:cs="Times New Roman"/>
                <w:color w:val="000000"/>
                <w:sz w:val="16"/>
                <w:szCs w:val="16"/>
                <w:lang w:eastAsia="en-AU"/>
              </w:rPr>
              <w:t>Non</w:t>
            </w:r>
            <w:r w:rsidRPr="00D655A4">
              <w:rPr>
                <w:rFonts w:asciiTheme="minorHAnsi" w:eastAsia="Times New Roman" w:hAnsiTheme="minorHAnsi" w:cs="Times New Roman"/>
                <w:color w:val="000000"/>
                <w:sz w:val="16"/>
                <w:szCs w:val="16"/>
                <w:lang w:eastAsia="en-AU"/>
              </w:rPr>
              <w:noBreakHyphen/>
              <w:t>billable travel time</w:t>
            </w:r>
          </w:p>
        </w:tc>
        <w:tc>
          <w:tcPr>
            <w:tcW w:w="747" w:type="pct"/>
            <w:tcBorders>
              <w:top w:val="single" w:sz="4" w:space="0" w:color="auto"/>
              <w:left w:val="nil"/>
              <w:bottom w:val="single" w:sz="4" w:space="0" w:color="auto"/>
            </w:tcBorders>
            <w:shd w:val="clear" w:color="auto" w:fill="auto"/>
            <w:vAlign w:val="center"/>
          </w:tcPr>
          <w:p w14:paraId="4EC98110" w14:textId="4E1B2BBB" w:rsidR="009A6B21" w:rsidRPr="00D655A4" w:rsidRDefault="009A6B21" w:rsidP="002E5D35">
            <w:pPr>
              <w:keepNext/>
              <w:spacing w:after="0" w:line="240" w:lineRule="auto"/>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4.2%</w:t>
            </w:r>
          </w:p>
        </w:tc>
        <w:tc>
          <w:tcPr>
            <w:tcW w:w="747" w:type="pct"/>
            <w:tcBorders>
              <w:top w:val="single" w:sz="4" w:space="0" w:color="auto"/>
              <w:bottom w:val="single" w:sz="4" w:space="0" w:color="auto"/>
            </w:tcBorders>
            <w:vAlign w:val="center"/>
          </w:tcPr>
          <w:p w14:paraId="23691E3A" w14:textId="0369946E" w:rsidR="009A6B21" w:rsidRPr="00D655A4" w:rsidRDefault="009A6B21" w:rsidP="002E5D35">
            <w:pPr>
              <w:keepNext/>
              <w:spacing w:after="0" w:line="240" w:lineRule="auto"/>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3.0%</w:t>
            </w:r>
          </w:p>
        </w:tc>
        <w:tc>
          <w:tcPr>
            <w:tcW w:w="748" w:type="pct"/>
            <w:tcBorders>
              <w:top w:val="single" w:sz="4" w:space="0" w:color="auto"/>
              <w:bottom w:val="single" w:sz="4" w:space="0" w:color="auto"/>
            </w:tcBorders>
            <w:shd w:val="clear" w:color="auto" w:fill="auto"/>
            <w:vAlign w:val="center"/>
          </w:tcPr>
          <w:p w14:paraId="12B961A1" w14:textId="046FFE3B" w:rsidR="009A6B21" w:rsidRPr="00D655A4" w:rsidRDefault="009A6B21" w:rsidP="002E5D35">
            <w:pPr>
              <w:keepNext/>
              <w:spacing w:after="0" w:line="240" w:lineRule="auto"/>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2.0%</w:t>
            </w:r>
          </w:p>
        </w:tc>
        <w:tc>
          <w:tcPr>
            <w:tcW w:w="747" w:type="pct"/>
            <w:tcBorders>
              <w:top w:val="single" w:sz="4" w:space="0" w:color="auto"/>
              <w:bottom w:val="single" w:sz="4" w:space="0" w:color="auto"/>
            </w:tcBorders>
            <w:shd w:val="clear" w:color="auto" w:fill="auto"/>
            <w:vAlign w:val="center"/>
          </w:tcPr>
          <w:p w14:paraId="6CE306B2" w14:textId="5778CEBC" w:rsidR="009A6B21" w:rsidRPr="00D655A4" w:rsidRDefault="009A6B21" w:rsidP="002E5D35">
            <w:pPr>
              <w:keepNext/>
              <w:spacing w:after="0" w:line="240" w:lineRule="auto"/>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0.0%</w:t>
            </w:r>
          </w:p>
        </w:tc>
        <w:tc>
          <w:tcPr>
            <w:tcW w:w="748" w:type="pct"/>
            <w:tcBorders>
              <w:top w:val="single" w:sz="4" w:space="0" w:color="auto"/>
              <w:bottom w:val="single" w:sz="4" w:space="0" w:color="auto"/>
              <w:right w:val="nil"/>
            </w:tcBorders>
            <w:vAlign w:val="center"/>
          </w:tcPr>
          <w:p w14:paraId="5C84D71E" w14:textId="509FF011" w:rsidR="009A6B21" w:rsidRPr="00D655A4" w:rsidRDefault="009A6B21" w:rsidP="002E5D35">
            <w:pPr>
              <w:keepNext/>
              <w:spacing w:after="0" w:line="240" w:lineRule="auto"/>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6.0%</w:t>
            </w:r>
          </w:p>
        </w:tc>
      </w:tr>
      <w:tr w:rsidR="009A6B21" w:rsidRPr="00117C44" w14:paraId="77F833B8" w14:textId="1EB9230A" w:rsidTr="008C28C1">
        <w:trPr>
          <w:trHeight w:val="346"/>
        </w:trPr>
        <w:tc>
          <w:tcPr>
            <w:tcW w:w="1264" w:type="pct"/>
            <w:tcBorders>
              <w:top w:val="single" w:sz="4" w:space="0" w:color="auto"/>
              <w:left w:val="nil"/>
              <w:bottom w:val="single" w:sz="4" w:space="0" w:color="auto"/>
            </w:tcBorders>
            <w:shd w:val="clear" w:color="auto" w:fill="auto"/>
            <w:vAlign w:val="center"/>
            <w:hideMark/>
          </w:tcPr>
          <w:p w14:paraId="13AB5FFF" w14:textId="77777777" w:rsidR="009A6B21" w:rsidRPr="00D655A4" w:rsidRDefault="009A6B21" w:rsidP="00117C44">
            <w:pPr>
              <w:keepNext/>
              <w:spacing w:after="0" w:line="240" w:lineRule="auto"/>
              <w:rPr>
                <w:rFonts w:asciiTheme="minorHAnsi" w:eastAsia="Times New Roman" w:hAnsiTheme="minorHAnsi" w:cs="Times New Roman"/>
                <w:color w:val="000000"/>
                <w:sz w:val="16"/>
                <w:szCs w:val="16"/>
                <w:lang w:eastAsia="en-AU"/>
              </w:rPr>
            </w:pPr>
            <w:r w:rsidRPr="00D655A4">
              <w:rPr>
                <w:rFonts w:asciiTheme="minorHAnsi" w:eastAsia="Times New Roman" w:hAnsiTheme="minorHAnsi" w:cs="Times New Roman"/>
                <w:color w:val="000000"/>
                <w:sz w:val="16"/>
                <w:szCs w:val="16"/>
                <w:lang w:eastAsia="en-AU"/>
              </w:rPr>
              <w:t>Breaks</w:t>
            </w:r>
          </w:p>
        </w:tc>
        <w:tc>
          <w:tcPr>
            <w:tcW w:w="747" w:type="pct"/>
            <w:tcBorders>
              <w:top w:val="single" w:sz="4" w:space="0" w:color="auto"/>
              <w:left w:val="nil"/>
              <w:bottom w:val="single" w:sz="4" w:space="0" w:color="auto"/>
            </w:tcBorders>
            <w:shd w:val="clear" w:color="auto" w:fill="auto"/>
            <w:vAlign w:val="center"/>
          </w:tcPr>
          <w:p w14:paraId="5141F4F2" w14:textId="2B254246" w:rsidR="009A6B21" w:rsidRPr="00D655A4" w:rsidRDefault="009A6B21" w:rsidP="002E5D35">
            <w:pPr>
              <w:pStyle w:val="TabletextRight"/>
              <w:keepNext/>
              <w:jc w:val="center"/>
              <w:rPr>
                <w:rFonts w:asciiTheme="minorHAnsi" w:eastAsia="Times New Roman" w:hAnsiTheme="minorHAnsi" w:cs="Times New Roman"/>
                <w:sz w:val="16"/>
                <w:szCs w:val="16"/>
                <w:lang w:eastAsia="en-AU"/>
              </w:rPr>
            </w:pPr>
            <w:r w:rsidRPr="00D655A4">
              <w:rPr>
                <w:rFonts w:asciiTheme="minorHAnsi" w:hAnsiTheme="minorHAnsi"/>
                <w:sz w:val="16"/>
                <w:szCs w:val="16"/>
              </w:rPr>
              <w:t>2.5%</w:t>
            </w:r>
          </w:p>
        </w:tc>
        <w:tc>
          <w:tcPr>
            <w:tcW w:w="747" w:type="pct"/>
            <w:tcBorders>
              <w:top w:val="single" w:sz="4" w:space="0" w:color="auto"/>
              <w:bottom w:val="single" w:sz="4" w:space="0" w:color="auto"/>
            </w:tcBorders>
            <w:vAlign w:val="center"/>
          </w:tcPr>
          <w:p w14:paraId="4AEA5278" w14:textId="4F6C3638" w:rsidR="009A6B21" w:rsidRPr="00D655A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2.6%</w:t>
            </w:r>
          </w:p>
        </w:tc>
        <w:tc>
          <w:tcPr>
            <w:tcW w:w="748" w:type="pct"/>
            <w:tcBorders>
              <w:top w:val="single" w:sz="4" w:space="0" w:color="auto"/>
              <w:bottom w:val="single" w:sz="4" w:space="0" w:color="auto"/>
            </w:tcBorders>
            <w:shd w:val="clear" w:color="auto" w:fill="auto"/>
            <w:vAlign w:val="center"/>
          </w:tcPr>
          <w:p w14:paraId="6A5EC0DA" w14:textId="240FFA86" w:rsidR="009A6B21" w:rsidRPr="00D655A4" w:rsidRDefault="009A6B21" w:rsidP="002E5D35">
            <w:pPr>
              <w:pStyle w:val="TabletextRight"/>
              <w:keepNext/>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1.0%</w:t>
            </w:r>
          </w:p>
        </w:tc>
        <w:tc>
          <w:tcPr>
            <w:tcW w:w="747" w:type="pct"/>
            <w:tcBorders>
              <w:top w:val="single" w:sz="4" w:space="0" w:color="auto"/>
              <w:bottom w:val="single" w:sz="4" w:space="0" w:color="auto"/>
            </w:tcBorders>
            <w:shd w:val="clear" w:color="auto" w:fill="auto"/>
            <w:vAlign w:val="center"/>
          </w:tcPr>
          <w:p w14:paraId="50195C56" w14:textId="76C5B6D2" w:rsidR="009A6B21" w:rsidRPr="00D655A4" w:rsidRDefault="009A6B21" w:rsidP="002E5D35">
            <w:pPr>
              <w:pStyle w:val="TabletextRight"/>
              <w:keepNext/>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0.0%</w:t>
            </w:r>
          </w:p>
        </w:tc>
        <w:tc>
          <w:tcPr>
            <w:tcW w:w="748" w:type="pct"/>
            <w:tcBorders>
              <w:top w:val="single" w:sz="4" w:space="0" w:color="auto"/>
              <w:bottom w:val="single" w:sz="4" w:space="0" w:color="auto"/>
              <w:right w:val="nil"/>
            </w:tcBorders>
            <w:vAlign w:val="center"/>
          </w:tcPr>
          <w:p w14:paraId="3F81EA42" w14:textId="1A0384A9" w:rsidR="009A6B21" w:rsidRPr="00D655A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5.0%</w:t>
            </w:r>
          </w:p>
        </w:tc>
      </w:tr>
      <w:tr w:rsidR="009A6B21" w:rsidRPr="00117C44" w14:paraId="27DC78AA" w14:textId="5E494EA0" w:rsidTr="008C28C1">
        <w:trPr>
          <w:trHeight w:val="280"/>
        </w:trPr>
        <w:tc>
          <w:tcPr>
            <w:tcW w:w="1264" w:type="pct"/>
            <w:tcBorders>
              <w:top w:val="single" w:sz="4" w:space="0" w:color="auto"/>
              <w:left w:val="nil"/>
              <w:bottom w:val="single" w:sz="4" w:space="0" w:color="auto"/>
            </w:tcBorders>
            <w:shd w:val="clear" w:color="auto" w:fill="auto"/>
            <w:vAlign w:val="center"/>
            <w:hideMark/>
          </w:tcPr>
          <w:p w14:paraId="07E509F1" w14:textId="77777777" w:rsidR="009A6B21" w:rsidRPr="00D655A4" w:rsidRDefault="009A6B21" w:rsidP="00117C44">
            <w:pPr>
              <w:keepNext/>
              <w:spacing w:after="0" w:line="240" w:lineRule="auto"/>
              <w:rPr>
                <w:rFonts w:asciiTheme="minorHAnsi" w:eastAsia="Times New Roman" w:hAnsiTheme="minorHAnsi" w:cs="Times New Roman"/>
                <w:color w:val="000000"/>
                <w:sz w:val="16"/>
                <w:szCs w:val="16"/>
                <w:lang w:eastAsia="en-AU"/>
              </w:rPr>
            </w:pPr>
            <w:r w:rsidRPr="00D655A4">
              <w:rPr>
                <w:rFonts w:asciiTheme="minorHAnsi" w:eastAsia="Times New Roman" w:hAnsiTheme="minorHAnsi" w:cs="Times New Roman"/>
                <w:color w:val="000000"/>
                <w:sz w:val="16"/>
                <w:szCs w:val="16"/>
                <w:lang w:eastAsia="en-AU"/>
              </w:rPr>
              <w:t>Training</w:t>
            </w:r>
          </w:p>
        </w:tc>
        <w:tc>
          <w:tcPr>
            <w:tcW w:w="747" w:type="pct"/>
            <w:tcBorders>
              <w:top w:val="single" w:sz="4" w:space="0" w:color="auto"/>
              <w:left w:val="nil"/>
              <w:bottom w:val="single" w:sz="4" w:space="0" w:color="auto"/>
            </w:tcBorders>
            <w:shd w:val="clear" w:color="auto" w:fill="auto"/>
            <w:vAlign w:val="center"/>
          </w:tcPr>
          <w:p w14:paraId="164A45E8" w14:textId="214F29B3" w:rsidR="009A6B21" w:rsidRPr="00D655A4" w:rsidRDefault="009A6B21" w:rsidP="002E5D35">
            <w:pPr>
              <w:pStyle w:val="TabletextRight"/>
              <w:keepNext/>
              <w:jc w:val="center"/>
              <w:rPr>
                <w:rFonts w:asciiTheme="minorHAnsi" w:eastAsia="Times New Roman" w:hAnsiTheme="minorHAnsi" w:cs="Times New Roman"/>
                <w:sz w:val="16"/>
                <w:szCs w:val="16"/>
                <w:lang w:eastAsia="en-AU"/>
              </w:rPr>
            </w:pPr>
            <w:r w:rsidRPr="00D655A4">
              <w:rPr>
                <w:rFonts w:asciiTheme="minorHAnsi" w:hAnsiTheme="minorHAnsi"/>
                <w:sz w:val="16"/>
                <w:szCs w:val="16"/>
              </w:rPr>
              <w:t>3.9%</w:t>
            </w:r>
          </w:p>
        </w:tc>
        <w:tc>
          <w:tcPr>
            <w:tcW w:w="747" w:type="pct"/>
            <w:tcBorders>
              <w:top w:val="single" w:sz="4" w:space="0" w:color="auto"/>
              <w:bottom w:val="single" w:sz="4" w:space="0" w:color="auto"/>
            </w:tcBorders>
            <w:vAlign w:val="center"/>
          </w:tcPr>
          <w:p w14:paraId="3F364FFF" w14:textId="74FF75B1" w:rsidR="009A6B21" w:rsidRPr="00D655A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3.1%</w:t>
            </w:r>
          </w:p>
        </w:tc>
        <w:tc>
          <w:tcPr>
            <w:tcW w:w="748" w:type="pct"/>
            <w:tcBorders>
              <w:top w:val="single" w:sz="4" w:space="0" w:color="auto"/>
              <w:bottom w:val="single" w:sz="4" w:space="0" w:color="auto"/>
            </w:tcBorders>
            <w:shd w:val="clear" w:color="auto" w:fill="auto"/>
            <w:vAlign w:val="center"/>
          </w:tcPr>
          <w:p w14:paraId="3A688503" w14:textId="14657371" w:rsidR="009A6B21" w:rsidRPr="00D655A4" w:rsidRDefault="009A6B21" w:rsidP="002E5D35">
            <w:pPr>
              <w:pStyle w:val="TabletextRight"/>
              <w:keepNext/>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3.0%</w:t>
            </w:r>
          </w:p>
        </w:tc>
        <w:tc>
          <w:tcPr>
            <w:tcW w:w="747" w:type="pct"/>
            <w:tcBorders>
              <w:top w:val="single" w:sz="4" w:space="0" w:color="auto"/>
              <w:bottom w:val="single" w:sz="4" w:space="0" w:color="auto"/>
            </w:tcBorders>
            <w:shd w:val="clear" w:color="auto" w:fill="auto"/>
            <w:vAlign w:val="center"/>
          </w:tcPr>
          <w:p w14:paraId="56C3929D" w14:textId="13BB37FB" w:rsidR="009A6B21" w:rsidRPr="00D655A4" w:rsidRDefault="009A6B21" w:rsidP="002E5D35">
            <w:pPr>
              <w:pStyle w:val="TabletextRight"/>
              <w:keepNext/>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1.5%</w:t>
            </w:r>
          </w:p>
        </w:tc>
        <w:tc>
          <w:tcPr>
            <w:tcW w:w="748" w:type="pct"/>
            <w:tcBorders>
              <w:top w:val="single" w:sz="4" w:space="0" w:color="auto"/>
              <w:bottom w:val="single" w:sz="4" w:space="0" w:color="auto"/>
              <w:right w:val="nil"/>
            </w:tcBorders>
            <w:vAlign w:val="center"/>
          </w:tcPr>
          <w:p w14:paraId="3D5A422B" w14:textId="105F631D" w:rsidR="009A6B21" w:rsidRPr="00D655A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5.0%</w:t>
            </w:r>
          </w:p>
        </w:tc>
      </w:tr>
      <w:tr w:rsidR="009A6B21" w:rsidRPr="00117C44" w14:paraId="447C261A" w14:textId="4D9736EB" w:rsidTr="008C28C1">
        <w:trPr>
          <w:trHeight w:val="335"/>
        </w:trPr>
        <w:tc>
          <w:tcPr>
            <w:tcW w:w="1264" w:type="pct"/>
            <w:tcBorders>
              <w:top w:val="single" w:sz="4" w:space="0" w:color="auto"/>
              <w:left w:val="nil"/>
              <w:bottom w:val="single" w:sz="4" w:space="0" w:color="auto"/>
            </w:tcBorders>
            <w:shd w:val="clear" w:color="auto" w:fill="auto"/>
            <w:vAlign w:val="center"/>
            <w:hideMark/>
          </w:tcPr>
          <w:p w14:paraId="500DCD40" w14:textId="357F83D9" w:rsidR="009A6B21" w:rsidRPr="00D655A4" w:rsidRDefault="009A6B21" w:rsidP="00117C44">
            <w:pPr>
              <w:keepNext/>
              <w:spacing w:after="0" w:line="240" w:lineRule="auto"/>
              <w:rPr>
                <w:rFonts w:asciiTheme="minorHAnsi" w:eastAsia="Times New Roman" w:hAnsiTheme="minorHAnsi" w:cs="Times New Roman"/>
                <w:color w:val="000000"/>
                <w:sz w:val="16"/>
                <w:szCs w:val="16"/>
                <w:lang w:eastAsia="en-AU"/>
              </w:rPr>
            </w:pPr>
            <w:r w:rsidRPr="00D655A4">
              <w:rPr>
                <w:rFonts w:asciiTheme="minorHAnsi" w:eastAsia="Times New Roman" w:hAnsiTheme="minorHAnsi" w:cs="Times New Roman"/>
                <w:color w:val="000000"/>
                <w:sz w:val="16"/>
                <w:szCs w:val="16"/>
                <w:lang w:eastAsia="en-AU"/>
              </w:rPr>
              <w:t>Client related admin</w:t>
            </w:r>
          </w:p>
        </w:tc>
        <w:tc>
          <w:tcPr>
            <w:tcW w:w="747" w:type="pct"/>
            <w:tcBorders>
              <w:top w:val="single" w:sz="4" w:space="0" w:color="auto"/>
              <w:left w:val="nil"/>
              <w:bottom w:val="single" w:sz="4" w:space="0" w:color="auto"/>
            </w:tcBorders>
            <w:shd w:val="clear" w:color="auto" w:fill="auto"/>
            <w:vAlign w:val="center"/>
          </w:tcPr>
          <w:p w14:paraId="30A77D2A" w14:textId="366A1B97" w:rsidR="009A6B21" w:rsidRPr="00D655A4" w:rsidRDefault="009A6B21" w:rsidP="002E5D35">
            <w:pPr>
              <w:pStyle w:val="TabletextRight"/>
              <w:keepNext/>
              <w:jc w:val="center"/>
              <w:rPr>
                <w:rFonts w:asciiTheme="minorHAnsi" w:eastAsia="Times New Roman" w:hAnsiTheme="minorHAnsi" w:cs="Times New Roman"/>
                <w:sz w:val="16"/>
                <w:szCs w:val="16"/>
                <w:lang w:eastAsia="en-AU"/>
              </w:rPr>
            </w:pPr>
            <w:r w:rsidRPr="00D655A4">
              <w:rPr>
                <w:rFonts w:asciiTheme="minorHAnsi" w:hAnsiTheme="minorHAnsi"/>
                <w:sz w:val="16"/>
                <w:szCs w:val="16"/>
              </w:rPr>
              <w:t>6.0%</w:t>
            </w:r>
          </w:p>
        </w:tc>
        <w:tc>
          <w:tcPr>
            <w:tcW w:w="747" w:type="pct"/>
            <w:tcBorders>
              <w:top w:val="single" w:sz="4" w:space="0" w:color="auto"/>
              <w:bottom w:val="single" w:sz="4" w:space="0" w:color="auto"/>
            </w:tcBorders>
            <w:vAlign w:val="center"/>
          </w:tcPr>
          <w:p w14:paraId="11D088AC" w14:textId="1FB13158" w:rsidR="009A6B21" w:rsidRPr="00D655A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5.0%</w:t>
            </w:r>
          </w:p>
        </w:tc>
        <w:tc>
          <w:tcPr>
            <w:tcW w:w="748" w:type="pct"/>
            <w:tcBorders>
              <w:top w:val="single" w:sz="4" w:space="0" w:color="auto"/>
              <w:bottom w:val="single" w:sz="4" w:space="0" w:color="auto"/>
            </w:tcBorders>
            <w:shd w:val="clear" w:color="auto" w:fill="auto"/>
            <w:vAlign w:val="center"/>
          </w:tcPr>
          <w:p w14:paraId="2479948B" w14:textId="6BBECD5D" w:rsidR="009A6B21" w:rsidRPr="00D655A4" w:rsidRDefault="009A6B21" w:rsidP="002E5D35">
            <w:pPr>
              <w:pStyle w:val="TabletextRight"/>
              <w:keepNext/>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5.0%</w:t>
            </w:r>
          </w:p>
        </w:tc>
        <w:tc>
          <w:tcPr>
            <w:tcW w:w="747" w:type="pct"/>
            <w:tcBorders>
              <w:top w:val="single" w:sz="4" w:space="0" w:color="auto"/>
              <w:bottom w:val="single" w:sz="4" w:space="0" w:color="auto"/>
            </w:tcBorders>
            <w:shd w:val="clear" w:color="auto" w:fill="auto"/>
            <w:vAlign w:val="center"/>
          </w:tcPr>
          <w:p w14:paraId="67445BA1" w14:textId="11D9652B" w:rsidR="009A6B21" w:rsidRPr="00D655A4" w:rsidRDefault="009A6B21" w:rsidP="002E5D35">
            <w:pPr>
              <w:pStyle w:val="TabletextRight"/>
              <w:keepNext/>
              <w:jc w:val="center"/>
              <w:rPr>
                <w:rFonts w:asciiTheme="minorHAnsi" w:eastAsia="Times New Roman" w:hAnsiTheme="minorHAnsi" w:cs="Times New Roman"/>
                <w:color w:val="000000"/>
                <w:sz w:val="16"/>
                <w:szCs w:val="16"/>
                <w:lang w:eastAsia="en-AU"/>
              </w:rPr>
            </w:pPr>
            <w:r w:rsidRPr="00D655A4">
              <w:rPr>
                <w:rFonts w:asciiTheme="minorHAnsi" w:hAnsiTheme="minorHAnsi"/>
                <w:sz w:val="16"/>
                <w:szCs w:val="16"/>
              </w:rPr>
              <w:t>2.0%</w:t>
            </w:r>
          </w:p>
        </w:tc>
        <w:tc>
          <w:tcPr>
            <w:tcW w:w="748" w:type="pct"/>
            <w:tcBorders>
              <w:top w:val="single" w:sz="4" w:space="0" w:color="auto"/>
              <w:bottom w:val="single" w:sz="4" w:space="0" w:color="auto"/>
              <w:right w:val="nil"/>
            </w:tcBorders>
            <w:vAlign w:val="center"/>
          </w:tcPr>
          <w:p w14:paraId="3D22AE89" w14:textId="5C0AEA2D" w:rsidR="009A6B21" w:rsidRPr="00D655A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10.0%</w:t>
            </w:r>
          </w:p>
        </w:tc>
      </w:tr>
      <w:tr w:rsidR="009A6B21" w:rsidRPr="00117C44" w14:paraId="45CFC62E" w14:textId="77777777" w:rsidTr="008C28C1">
        <w:trPr>
          <w:trHeight w:val="487"/>
        </w:trPr>
        <w:tc>
          <w:tcPr>
            <w:tcW w:w="1264" w:type="pct"/>
            <w:tcBorders>
              <w:top w:val="single" w:sz="4" w:space="0" w:color="auto"/>
              <w:left w:val="nil"/>
              <w:bottom w:val="single" w:sz="4" w:space="0" w:color="auto"/>
            </w:tcBorders>
            <w:shd w:val="clear" w:color="auto" w:fill="auto"/>
            <w:vAlign w:val="center"/>
          </w:tcPr>
          <w:p w14:paraId="16EC13F4" w14:textId="77F1F5F8" w:rsidR="009A6B21" w:rsidRPr="00D655A4" w:rsidRDefault="009A6B21" w:rsidP="00117C44">
            <w:pPr>
              <w:keepNext/>
              <w:spacing w:after="0" w:line="240" w:lineRule="auto"/>
              <w:rPr>
                <w:rFonts w:asciiTheme="minorHAnsi" w:eastAsia="Times New Roman" w:hAnsiTheme="minorHAnsi" w:cs="Times New Roman"/>
                <w:color w:val="000000"/>
                <w:sz w:val="16"/>
                <w:szCs w:val="16"/>
                <w:lang w:eastAsia="en-AU"/>
              </w:rPr>
            </w:pPr>
            <w:r w:rsidRPr="00D655A4">
              <w:rPr>
                <w:rFonts w:asciiTheme="minorHAnsi" w:eastAsia="Times New Roman" w:hAnsiTheme="minorHAnsi" w:cs="Times New Roman"/>
                <w:color w:val="000000"/>
                <w:sz w:val="16"/>
                <w:szCs w:val="16"/>
                <w:lang w:eastAsia="en-AU"/>
              </w:rPr>
              <w:t>General admin and other tasks</w:t>
            </w:r>
          </w:p>
        </w:tc>
        <w:tc>
          <w:tcPr>
            <w:tcW w:w="747" w:type="pct"/>
            <w:tcBorders>
              <w:top w:val="single" w:sz="4" w:space="0" w:color="auto"/>
              <w:left w:val="nil"/>
              <w:bottom w:val="single" w:sz="4" w:space="0" w:color="auto"/>
            </w:tcBorders>
            <w:shd w:val="clear" w:color="auto" w:fill="auto"/>
            <w:vAlign w:val="center"/>
          </w:tcPr>
          <w:p w14:paraId="60B61957" w14:textId="29C6AC19" w:rsidR="009A6B21" w:rsidRPr="00D655A4" w:rsidDel="00165AB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3.6%</w:t>
            </w:r>
          </w:p>
        </w:tc>
        <w:tc>
          <w:tcPr>
            <w:tcW w:w="747" w:type="pct"/>
            <w:tcBorders>
              <w:top w:val="single" w:sz="4" w:space="0" w:color="auto"/>
              <w:bottom w:val="single" w:sz="4" w:space="0" w:color="auto"/>
            </w:tcBorders>
            <w:vAlign w:val="center"/>
          </w:tcPr>
          <w:p w14:paraId="44F71285" w14:textId="45C4F633" w:rsidR="009A6B21" w:rsidRPr="00D655A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3.1%</w:t>
            </w:r>
          </w:p>
        </w:tc>
        <w:tc>
          <w:tcPr>
            <w:tcW w:w="748" w:type="pct"/>
            <w:tcBorders>
              <w:top w:val="single" w:sz="4" w:space="0" w:color="auto"/>
              <w:bottom w:val="single" w:sz="4" w:space="0" w:color="auto"/>
            </w:tcBorders>
            <w:shd w:val="clear" w:color="auto" w:fill="auto"/>
            <w:vAlign w:val="center"/>
          </w:tcPr>
          <w:p w14:paraId="558E5214" w14:textId="3025E86E" w:rsidR="009A6B21" w:rsidRPr="00D655A4" w:rsidDel="00165AB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2.0%</w:t>
            </w:r>
          </w:p>
        </w:tc>
        <w:tc>
          <w:tcPr>
            <w:tcW w:w="747" w:type="pct"/>
            <w:tcBorders>
              <w:top w:val="single" w:sz="4" w:space="0" w:color="auto"/>
              <w:bottom w:val="single" w:sz="4" w:space="0" w:color="auto"/>
            </w:tcBorders>
            <w:shd w:val="clear" w:color="auto" w:fill="auto"/>
            <w:vAlign w:val="center"/>
          </w:tcPr>
          <w:p w14:paraId="4FEFBA55" w14:textId="39529F00" w:rsidR="009A6B21" w:rsidRPr="00D655A4" w:rsidDel="00165AB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0.0%</w:t>
            </w:r>
          </w:p>
        </w:tc>
        <w:tc>
          <w:tcPr>
            <w:tcW w:w="748" w:type="pct"/>
            <w:tcBorders>
              <w:top w:val="single" w:sz="4" w:space="0" w:color="auto"/>
              <w:bottom w:val="single" w:sz="4" w:space="0" w:color="auto"/>
              <w:right w:val="nil"/>
            </w:tcBorders>
            <w:vAlign w:val="center"/>
          </w:tcPr>
          <w:p w14:paraId="3ACC2C64" w14:textId="31AA9114" w:rsidR="009A6B21" w:rsidRPr="00D655A4" w:rsidRDefault="009A6B21" w:rsidP="002E5D35">
            <w:pPr>
              <w:pStyle w:val="TabletextRight"/>
              <w:keepNext/>
              <w:jc w:val="center"/>
              <w:rPr>
                <w:rFonts w:asciiTheme="minorHAnsi" w:hAnsiTheme="minorHAnsi"/>
                <w:sz w:val="16"/>
                <w:szCs w:val="16"/>
              </w:rPr>
            </w:pPr>
            <w:r w:rsidRPr="00D655A4">
              <w:rPr>
                <w:rFonts w:asciiTheme="minorHAnsi" w:hAnsiTheme="minorHAnsi"/>
                <w:sz w:val="16"/>
                <w:szCs w:val="16"/>
              </w:rPr>
              <w:t>5.0%</w:t>
            </w:r>
          </w:p>
        </w:tc>
      </w:tr>
      <w:tr w:rsidR="009A6B21" w:rsidRPr="00117C44" w14:paraId="1D78349F" w14:textId="749005D4" w:rsidTr="008C28C1">
        <w:trPr>
          <w:trHeight w:val="280"/>
        </w:trPr>
        <w:tc>
          <w:tcPr>
            <w:tcW w:w="1264" w:type="pct"/>
            <w:tcBorders>
              <w:top w:val="single" w:sz="4" w:space="0" w:color="auto"/>
              <w:left w:val="nil"/>
              <w:bottom w:val="single" w:sz="4" w:space="0" w:color="auto"/>
            </w:tcBorders>
            <w:shd w:val="clear" w:color="auto" w:fill="auto"/>
            <w:vAlign w:val="center"/>
            <w:hideMark/>
          </w:tcPr>
          <w:p w14:paraId="69CE7B86" w14:textId="77777777" w:rsidR="009A6B21" w:rsidRPr="00D655A4" w:rsidRDefault="009A6B21" w:rsidP="00604885">
            <w:pPr>
              <w:keepNext/>
              <w:spacing w:after="0" w:line="240" w:lineRule="auto"/>
              <w:rPr>
                <w:rFonts w:asciiTheme="minorHAnsi" w:eastAsia="Times New Roman" w:hAnsiTheme="minorHAnsi" w:cs="Times New Roman"/>
                <w:i/>
                <w:iCs/>
                <w:color w:val="000000"/>
                <w:sz w:val="16"/>
                <w:szCs w:val="16"/>
                <w:lang w:eastAsia="en-AU"/>
              </w:rPr>
            </w:pPr>
            <w:r w:rsidRPr="00D655A4">
              <w:rPr>
                <w:rFonts w:asciiTheme="minorHAnsi" w:eastAsia="Times New Roman" w:hAnsiTheme="minorHAnsi" w:cs="Times New Roman"/>
                <w:i/>
                <w:iCs/>
                <w:color w:val="000000"/>
                <w:sz w:val="16"/>
                <w:szCs w:val="16"/>
                <w:lang w:eastAsia="en-AU"/>
              </w:rPr>
              <w:t>Total utilisation</w:t>
            </w:r>
          </w:p>
        </w:tc>
        <w:tc>
          <w:tcPr>
            <w:tcW w:w="747" w:type="pct"/>
            <w:tcBorders>
              <w:top w:val="single" w:sz="4" w:space="0" w:color="auto"/>
              <w:left w:val="nil"/>
              <w:bottom w:val="single" w:sz="4" w:space="0" w:color="auto"/>
            </w:tcBorders>
            <w:shd w:val="clear" w:color="auto" w:fill="auto"/>
            <w:vAlign w:val="center"/>
          </w:tcPr>
          <w:p w14:paraId="1F86A3D9" w14:textId="5EA227FE" w:rsidR="009A6B21" w:rsidRPr="00D655A4" w:rsidRDefault="009A6B21" w:rsidP="002E5D35">
            <w:pPr>
              <w:pStyle w:val="TabletextRight"/>
              <w:keepNext/>
              <w:jc w:val="center"/>
              <w:rPr>
                <w:rFonts w:asciiTheme="minorHAnsi" w:eastAsia="Times New Roman" w:hAnsiTheme="minorHAnsi" w:cs="Times New Roman"/>
                <w:sz w:val="16"/>
                <w:szCs w:val="16"/>
                <w:lang w:eastAsia="en-AU"/>
              </w:rPr>
            </w:pPr>
            <w:r w:rsidRPr="00D655A4">
              <w:rPr>
                <w:sz w:val="16"/>
                <w:szCs w:val="16"/>
              </w:rPr>
              <w:t>79.8%</w:t>
            </w:r>
          </w:p>
        </w:tc>
        <w:tc>
          <w:tcPr>
            <w:tcW w:w="747" w:type="pct"/>
            <w:tcBorders>
              <w:top w:val="single" w:sz="4" w:space="0" w:color="auto"/>
              <w:bottom w:val="single" w:sz="4" w:space="0" w:color="auto"/>
            </w:tcBorders>
            <w:vAlign w:val="center"/>
          </w:tcPr>
          <w:p w14:paraId="03399642" w14:textId="2CBD594A" w:rsidR="009A6B21" w:rsidRPr="00D655A4" w:rsidRDefault="009A6B21" w:rsidP="002E5D35">
            <w:pPr>
              <w:pStyle w:val="TabletextRight"/>
              <w:keepNext/>
              <w:jc w:val="center"/>
              <w:rPr>
                <w:rFonts w:asciiTheme="minorHAnsi" w:hAnsiTheme="minorHAnsi"/>
                <w:sz w:val="16"/>
                <w:szCs w:val="16"/>
              </w:rPr>
            </w:pPr>
            <w:r w:rsidRPr="00D655A4">
              <w:rPr>
                <w:sz w:val="16"/>
                <w:szCs w:val="16"/>
              </w:rPr>
              <w:t>83.2%</w:t>
            </w:r>
          </w:p>
        </w:tc>
        <w:tc>
          <w:tcPr>
            <w:tcW w:w="748" w:type="pct"/>
            <w:tcBorders>
              <w:top w:val="single" w:sz="4" w:space="0" w:color="auto"/>
              <w:bottom w:val="single" w:sz="4" w:space="0" w:color="auto"/>
            </w:tcBorders>
            <w:shd w:val="clear" w:color="auto" w:fill="auto"/>
            <w:vAlign w:val="center"/>
          </w:tcPr>
          <w:p w14:paraId="0B486CC4" w14:textId="15EA7DA6" w:rsidR="009A6B21" w:rsidRPr="00D655A4" w:rsidRDefault="00AD6CEB" w:rsidP="002E5D35">
            <w:pPr>
              <w:pStyle w:val="TabletextRight"/>
              <w:keepNext/>
              <w:jc w:val="center"/>
              <w:rPr>
                <w:rFonts w:asciiTheme="minorHAnsi" w:eastAsia="Times New Roman" w:hAnsiTheme="minorHAnsi" w:cs="Times New Roman"/>
                <w:color w:val="000000"/>
                <w:sz w:val="16"/>
                <w:szCs w:val="16"/>
                <w:lang w:eastAsia="en-AU"/>
              </w:rPr>
            </w:pPr>
            <w:r>
              <w:rPr>
                <w:sz w:val="16"/>
                <w:szCs w:val="16"/>
              </w:rPr>
              <w:t>80.0</w:t>
            </w:r>
            <w:r w:rsidR="009A6B21" w:rsidRPr="00D655A4">
              <w:rPr>
                <w:sz w:val="16"/>
                <w:szCs w:val="16"/>
              </w:rPr>
              <w:t>%</w:t>
            </w:r>
          </w:p>
        </w:tc>
        <w:tc>
          <w:tcPr>
            <w:tcW w:w="747" w:type="pct"/>
            <w:tcBorders>
              <w:top w:val="single" w:sz="4" w:space="0" w:color="auto"/>
              <w:bottom w:val="single" w:sz="4" w:space="0" w:color="auto"/>
            </w:tcBorders>
            <w:shd w:val="clear" w:color="auto" w:fill="auto"/>
            <w:vAlign w:val="center"/>
          </w:tcPr>
          <w:p w14:paraId="74813FC4" w14:textId="276473AB" w:rsidR="009A6B21" w:rsidRPr="00D655A4" w:rsidRDefault="00D00057" w:rsidP="002E5D35">
            <w:pPr>
              <w:pStyle w:val="TabletextRight"/>
              <w:keepNext/>
              <w:jc w:val="center"/>
              <w:rPr>
                <w:rFonts w:asciiTheme="minorHAnsi" w:eastAsia="Times New Roman" w:hAnsiTheme="minorHAnsi" w:cs="Times New Roman"/>
                <w:color w:val="000000"/>
                <w:sz w:val="16"/>
                <w:szCs w:val="16"/>
                <w:lang w:eastAsia="en-AU"/>
              </w:rPr>
            </w:pPr>
            <w:r>
              <w:rPr>
                <w:sz w:val="16"/>
                <w:szCs w:val="16"/>
              </w:rPr>
              <w:t>90.0%</w:t>
            </w:r>
          </w:p>
        </w:tc>
        <w:tc>
          <w:tcPr>
            <w:tcW w:w="748" w:type="pct"/>
            <w:tcBorders>
              <w:top w:val="single" w:sz="4" w:space="0" w:color="auto"/>
              <w:bottom w:val="single" w:sz="4" w:space="0" w:color="auto"/>
              <w:right w:val="nil"/>
            </w:tcBorders>
            <w:vAlign w:val="center"/>
          </w:tcPr>
          <w:p w14:paraId="543C8176" w14:textId="0FDBC694" w:rsidR="009A6B21" w:rsidRPr="00D655A4" w:rsidRDefault="00D00057" w:rsidP="002E5D35">
            <w:pPr>
              <w:pStyle w:val="TabletextRight"/>
              <w:keepNext/>
              <w:jc w:val="center"/>
              <w:rPr>
                <w:rFonts w:asciiTheme="minorHAnsi" w:eastAsia="Times New Roman" w:hAnsiTheme="minorHAnsi" w:cs="Times New Roman"/>
                <w:color w:val="000000"/>
                <w:sz w:val="16"/>
                <w:szCs w:val="16"/>
                <w:lang w:eastAsia="en-AU"/>
              </w:rPr>
            </w:pPr>
            <w:r>
              <w:rPr>
                <w:sz w:val="16"/>
                <w:szCs w:val="16"/>
              </w:rPr>
              <w:t>71.0</w:t>
            </w:r>
            <w:r w:rsidRPr="00D655A4">
              <w:rPr>
                <w:sz w:val="16"/>
                <w:szCs w:val="16"/>
              </w:rPr>
              <w:t>%</w:t>
            </w:r>
          </w:p>
        </w:tc>
      </w:tr>
    </w:tbl>
    <w:p w14:paraId="7F84E916" w14:textId="00BF207C" w:rsidR="00BA30F3" w:rsidRDefault="002474B0" w:rsidP="002474B0">
      <w:r>
        <w:br/>
      </w:r>
      <w:r w:rsidR="00BA30F3">
        <w:t xml:space="preserve">As shown in the box plot </w:t>
      </w:r>
      <w:r w:rsidR="0056057A">
        <w:t xml:space="preserve">of </w:t>
      </w:r>
      <w:r w:rsidR="000C0CB5">
        <w:fldChar w:fldCharType="begin"/>
      </w:r>
      <w:r w:rsidR="000C0CB5">
        <w:instrText xml:space="preserve"> REF _Ref38635829 \n </w:instrText>
      </w:r>
      <w:r w:rsidR="000C0CB5">
        <w:fldChar w:fldCharType="separate"/>
      </w:r>
      <w:r w:rsidR="00283637">
        <w:t>Chart 3.9</w:t>
      </w:r>
      <w:r w:rsidR="000C0CB5">
        <w:fldChar w:fldCharType="end"/>
      </w:r>
      <w:r w:rsidR="0056057A">
        <w:t>,</w:t>
      </w:r>
      <w:r w:rsidR="00BA30F3">
        <w:t xml:space="preserve"> the training and break utilisation rates observed were tightly concentrated with IQRs of 3.5% and 5% respectively. </w:t>
      </w:r>
    </w:p>
    <w:p w14:paraId="428956FD" w14:textId="5100655C" w:rsidR="00BA30F3" w:rsidRDefault="00BA30F3" w:rsidP="002474B0">
      <w:r>
        <w:t xml:space="preserve">The range of </w:t>
      </w:r>
      <w:r w:rsidR="00304415">
        <w:t>non-billable ‘</w:t>
      </w:r>
      <w:r>
        <w:t>other task</w:t>
      </w:r>
      <w:r w:rsidR="00304415">
        <w:t>’</w:t>
      </w:r>
      <w:r>
        <w:t xml:space="preserve"> observations was far greater (with an IQR of 14%) </w:t>
      </w:r>
      <w:r w:rsidR="00304415">
        <w:t xml:space="preserve">and a lower level of kurtosis </w:t>
      </w:r>
      <w:r>
        <w:t xml:space="preserve">indicating </w:t>
      </w:r>
      <w:r w:rsidR="00304415">
        <w:t xml:space="preserve">that in some instances, significant time was undertaken by DSWs </w:t>
      </w:r>
      <w:r w:rsidR="00AE50A9">
        <w:t>which</w:t>
      </w:r>
      <w:r w:rsidR="00304415">
        <w:t xml:space="preserve"> did not relate to direct, billable support provision.</w:t>
      </w:r>
    </w:p>
    <w:p w14:paraId="0548900E" w14:textId="7D5DE3EB" w:rsidR="00165AB4" w:rsidRDefault="00165AB4" w:rsidP="00165AB4">
      <w:pPr>
        <w:pStyle w:val="CaptionChart"/>
      </w:pPr>
      <w:bookmarkStart w:id="185" w:name="_Ref38635829"/>
      <w:bookmarkStart w:id="186" w:name="_Toc40454728"/>
      <w:r>
        <w:t>Box plot</w:t>
      </w:r>
      <w:r w:rsidR="002E5D35">
        <w:t xml:space="preserve"> (LHS)</w:t>
      </w:r>
      <w:r>
        <w:t xml:space="preserve"> </w:t>
      </w:r>
      <w:r w:rsidR="00A32A72">
        <w:t xml:space="preserve">and </w:t>
      </w:r>
      <w:r w:rsidR="00617AC6">
        <w:t>P</w:t>
      </w:r>
      <w:r w:rsidR="000C0CB5">
        <w:t>D</w:t>
      </w:r>
      <w:r w:rsidR="00617AC6">
        <w:t>F</w:t>
      </w:r>
      <w:r w:rsidR="002E5D35">
        <w:t>s (RHS)</w:t>
      </w:r>
      <w:r w:rsidR="00E844D9">
        <w:t xml:space="preserve"> </w:t>
      </w:r>
      <w:r>
        <w:t>of non</w:t>
      </w:r>
      <w:r>
        <w:noBreakHyphen/>
        <w:t>billable time (%) responses</w:t>
      </w:r>
      <w:bookmarkEnd w:id="185"/>
      <w:bookmarkEnd w:id="186"/>
    </w:p>
    <w:p w14:paraId="34EC9955" w14:textId="7DDF0DC5" w:rsidR="00F2543B" w:rsidRDefault="00646A29" w:rsidP="00F2543B">
      <w:pPr>
        <w:rPr>
          <w:noProof/>
        </w:rPr>
      </w:pPr>
      <w:r w:rsidRPr="00646A29">
        <w:rPr>
          <w:noProof/>
          <w:lang w:eastAsia="en-AU"/>
        </w:rPr>
        <w:drawing>
          <wp:anchor distT="0" distB="0" distL="114300" distR="114300" simplePos="0" relativeHeight="251707392" behindDoc="0" locked="0" layoutInCell="1" allowOverlap="1" wp14:anchorId="34ECD27E" wp14:editId="1E3F042F">
            <wp:simplePos x="0" y="0"/>
            <wp:positionH relativeFrom="column">
              <wp:posOffset>2968559</wp:posOffset>
            </wp:positionH>
            <wp:positionV relativeFrom="paragraph">
              <wp:posOffset>16510</wp:posOffset>
            </wp:positionV>
            <wp:extent cx="3087370" cy="2339340"/>
            <wp:effectExtent l="0" t="0" r="0" b="0"/>
            <wp:wrapNone/>
            <wp:docPr id="57" name="Picture 57">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87370" cy="2339340"/>
                    </a:xfrm>
                    <a:prstGeom prst="rect">
                      <a:avLst/>
                    </a:prstGeom>
                    <a:noFill/>
                    <a:ln>
                      <a:noFill/>
                    </a:ln>
                  </pic:spPr>
                </pic:pic>
              </a:graphicData>
            </a:graphic>
          </wp:anchor>
        </w:drawing>
      </w:r>
      <w:r w:rsidRPr="00646A29">
        <w:rPr>
          <w:noProof/>
          <w:lang w:eastAsia="en-AU"/>
        </w:rPr>
        <w:drawing>
          <wp:inline distT="0" distB="0" distL="0" distR="0" wp14:anchorId="6A29583A" wp14:editId="5602DA5B">
            <wp:extent cx="3028315" cy="2386965"/>
            <wp:effectExtent l="0" t="0" r="635" b="0"/>
            <wp:docPr id="54" name="Picture 54" descr="Chart 3.9 Box plot (LHS) and PDFs (RHS) of non billable travel time (%)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28315" cy="2386965"/>
                    </a:xfrm>
                    <a:prstGeom prst="rect">
                      <a:avLst/>
                    </a:prstGeom>
                    <a:noFill/>
                    <a:ln>
                      <a:noFill/>
                    </a:ln>
                  </pic:spPr>
                </pic:pic>
              </a:graphicData>
            </a:graphic>
          </wp:inline>
        </w:drawing>
      </w:r>
      <w:r w:rsidR="00F2543B" w:rsidRPr="00F2543B">
        <w:rPr>
          <w:noProof/>
        </w:rPr>
        <w:t xml:space="preserve"> </w:t>
      </w:r>
    </w:p>
    <w:p w14:paraId="76B702B0" w14:textId="02D43F08" w:rsidR="000B64D4" w:rsidRPr="001C3269" w:rsidRDefault="000A0826" w:rsidP="001B4EB7">
      <w:pPr>
        <w:keepNext/>
        <w:keepLines/>
        <w:contextualSpacing/>
      </w:pPr>
      <w:r>
        <w:lastRenderedPageBreak/>
        <w:t>C</w:t>
      </w:r>
      <w:r w:rsidR="00622414">
        <w:t>onsistent with the</w:t>
      </w:r>
      <w:r w:rsidR="00B922E8">
        <w:t xml:space="preserve"> levels of non-billable time shown above, </w:t>
      </w:r>
      <w:r w:rsidR="002E5D35">
        <w:t xml:space="preserve">the </w:t>
      </w:r>
      <w:r w:rsidR="00B922E8">
        <w:t xml:space="preserve">box plot in </w:t>
      </w:r>
      <w:r w:rsidR="000C0CB5">
        <w:fldChar w:fldCharType="begin"/>
      </w:r>
      <w:r w:rsidR="000C0CB5">
        <w:instrText xml:space="preserve"> REF _Ref38635854 \n </w:instrText>
      </w:r>
      <w:r w:rsidR="000C0CB5">
        <w:fldChar w:fldCharType="separate"/>
      </w:r>
      <w:r w:rsidR="00283637">
        <w:t>Chart 3.10</w:t>
      </w:r>
      <w:r w:rsidR="000C0CB5">
        <w:fldChar w:fldCharType="end"/>
      </w:r>
      <w:r w:rsidR="000C0CB5">
        <w:t xml:space="preserve"> </w:t>
      </w:r>
      <w:r w:rsidR="00B922E8">
        <w:t>illustrates</w:t>
      </w:r>
      <w:r w:rsidR="00622414">
        <w:t xml:space="preserve"> the </w:t>
      </w:r>
      <w:r w:rsidR="0056057A">
        <w:t>IQR</w:t>
      </w:r>
      <w:r w:rsidR="00622414">
        <w:t xml:space="preserve"> of</w:t>
      </w:r>
      <w:r w:rsidR="00B922E8">
        <w:t xml:space="preserve"> billable time</w:t>
      </w:r>
      <w:r w:rsidR="000579C4">
        <w:t>, being time spent delivering direct and chargeable disability support services,</w:t>
      </w:r>
      <w:r w:rsidR="00B922E8">
        <w:t xml:space="preserve"> to occur between 70.6% to 90.0% of working time.</w:t>
      </w:r>
      <w:r w:rsidR="00B922E8">
        <w:rPr>
          <w:rStyle w:val="FootnoteReference"/>
        </w:rPr>
        <w:footnoteReference w:id="21"/>
      </w:r>
      <w:r w:rsidR="00B922E8">
        <w:t xml:space="preserve"> </w:t>
      </w:r>
    </w:p>
    <w:p w14:paraId="54EB434D" w14:textId="2382D778" w:rsidR="0031432E" w:rsidRDefault="00646A29" w:rsidP="002E5D35">
      <w:pPr>
        <w:pStyle w:val="CaptionChart"/>
        <w:contextualSpacing/>
      </w:pPr>
      <w:bookmarkStart w:id="187" w:name="_Ref38635854"/>
      <w:bookmarkStart w:id="188" w:name="_Toc40454729"/>
      <w:r w:rsidRPr="00646A29">
        <w:rPr>
          <w:noProof/>
          <w:lang w:eastAsia="en-AU"/>
        </w:rPr>
        <w:drawing>
          <wp:anchor distT="0" distB="0" distL="114300" distR="114300" simplePos="0" relativeHeight="251706368" behindDoc="0" locked="0" layoutInCell="1" allowOverlap="1" wp14:anchorId="7620A17E" wp14:editId="729033BF">
            <wp:simplePos x="0" y="0"/>
            <wp:positionH relativeFrom="column">
              <wp:posOffset>2917570</wp:posOffset>
            </wp:positionH>
            <wp:positionV relativeFrom="paragraph">
              <wp:posOffset>253554</wp:posOffset>
            </wp:positionV>
            <wp:extent cx="3087370" cy="2695575"/>
            <wp:effectExtent l="0" t="0" r="0" b="0"/>
            <wp:wrapNone/>
            <wp:docPr id="53" name="Picture 5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87370" cy="2695575"/>
                    </a:xfrm>
                    <a:prstGeom prst="rect">
                      <a:avLst/>
                    </a:prstGeom>
                    <a:noFill/>
                    <a:ln>
                      <a:noFill/>
                    </a:ln>
                  </pic:spPr>
                </pic:pic>
              </a:graphicData>
            </a:graphic>
          </wp:anchor>
        </w:drawing>
      </w:r>
      <w:r w:rsidR="00617AC6">
        <w:t>Box plot</w:t>
      </w:r>
      <w:r w:rsidR="002E5D35">
        <w:t xml:space="preserve"> (LHS)</w:t>
      </w:r>
      <w:r w:rsidR="00617AC6">
        <w:t xml:space="preserve"> and P</w:t>
      </w:r>
      <w:r w:rsidR="000C0CB5">
        <w:t>D</w:t>
      </w:r>
      <w:r w:rsidR="00617AC6">
        <w:t>F</w:t>
      </w:r>
      <w:r w:rsidR="002E5D35">
        <w:t xml:space="preserve"> (RHS)</w:t>
      </w:r>
      <w:r w:rsidR="00617AC6">
        <w:t xml:space="preserve"> of billable time (%) responses</w:t>
      </w:r>
      <w:bookmarkEnd w:id="187"/>
      <w:bookmarkEnd w:id="188"/>
    </w:p>
    <w:p w14:paraId="77B1C3A2" w14:textId="4CFA5C85" w:rsidR="000D2CD9" w:rsidRPr="001C3269" w:rsidRDefault="000D2CD9" w:rsidP="002E5D35">
      <w:pPr>
        <w:contextualSpacing/>
      </w:pPr>
      <w:r w:rsidRPr="000D2CD9">
        <w:rPr>
          <w:noProof/>
          <w:lang w:eastAsia="en-AU"/>
        </w:rPr>
        <w:drawing>
          <wp:inline distT="0" distB="0" distL="0" distR="0" wp14:anchorId="566DF028" wp14:editId="2D3D86E7">
            <wp:extent cx="2957195" cy="2363470"/>
            <wp:effectExtent l="0" t="0" r="0" b="0"/>
            <wp:docPr id="1489793628" name="Picture 1489793628" descr="Chart 1.1 Box plot (LHS) and PDF (RHS) of billable travel time (%)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57195" cy="2363470"/>
                    </a:xfrm>
                    <a:prstGeom prst="rect">
                      <a:avLst/>
                    </a:prstGeom>
                    <a:noFill/>
                    <a:ln>
                      <a:noFill/>
                    </a:ln>
                  </pic:spPr>
                </pic:pic>
              </a:graphicData>
            </a:graphic>
          </wp:inline>
        </w:drawing>
      </w:r>
    </w:p>
    <w:p w14:paraId="2CC2642F" w14:textId="77777777" w:rsidR="0045066E" w:rsidRDefault="0045066E" w:rsidP="002E5D35">
      <w:pPr>
        <w:contextualSpacing/>
        <w:rPr>
          <w:noProof/>
        </w:rPr>
      </w:pPr>
    </w:p>
    <w:p w14:paraId="68104606" w14:textId="77777777" w:rsidR="00646A29" w:rsidRDefault="00646A29" w:rsidP="002E5D35">
      <w:pPr>
        <w:contextualSpacing/>
        <w:rPr>
          <w:noProof/>
        </w:rPr>
      </w:pPr>
    </w:p>
    <w:p w14:paraId="6A9B89CE" w14:textId="5B2D11D7" w:rsidR="00810F33" w:rsidRDefault="008E326F" w:rsidP="00DB66C5">
      <w:pPr>
        <w:rPr>
          <w:noProof/>
        </w:rPr>
      </w:pPr>
      <w:r>
        <w:rPr>
          <w:noProof/>
        </w:rPr>
        <w:t>P</w:t>
      </w:r>
      <w:r w:rsidR="00922DAC">
        <w:rPr>
          <w:noProof/>
        </w:rPr>
        <w:t xml:space="preserve">er </w:t>
      </w:r>
      <w:r w:rsidR="00500DBC">
        <w:rPr>
          <w:noProof/>
        </w:rPr>
        <w:fldChar w:fldCharType="begin"/>
      </w:r>
      <w:r w:rsidR="00500DBC">
        <w:rPr>
          <w:noProof/>
        </w:rPr>
        <w:instrText xml:space="preserve"> REF _Ref39678781 \r \h </w:instrText>
      </w:r>
      <w:r w:rsidR="00500DBC">
        <w:rPr>
          <w:noProof/>
        </w:rPr>
      </w:r>
      <w:r w:rsidR="00500DBC">
        <w:rPr>
          <w:noProof/>
        </w:rPr>
        <w:fldChar w:fldCharType="separate"/>
      </w:r>
      <w:r w:rsidR="00283637">
        <w:rPr>
          <w:noProof/>
        </w:rPr>
        <w:t>Table 3.13</w:t>
      </w:r>
      <w:r w:rsidR="00500DBC">
        <w:rPr>
          <w:noProof/>
        </w:rPr>
        <w:fldChar w:fldCharType="end"/>
      </w:r>
      <w:r w:rsidR="00EA15CB">
        <w:rPr>
          <w:noProof/>
        </w:rPr>
        <w:t xml:space="preserve">, </w:t>
      </w:r>
      <w:r w:rsidR="00C10FB9">
        <w:rPr>
          <w:noProof/>
        </w:rPr>
        <w:t xml:space="preserve">mean utilisation increases in line with organisation size, from </w:t>
      </w:r>
      <w:r w:rsidR="00C86AAF">
        <w:rPr>
          <w:noProof/>
        </w:rPr>
        <w:t xml:space="preserve">72.6% to 80.7% for small to large organisations respectively. </w:t>
      </w:r>
      <w:r w:rsidR="00B75280">
        <w:rPr>
          <w:noProof/>
        </w:rPr>
        <w:t xml:space="preserve">This </w:t>
      </w:r>
      <w:r w:rsidR="00845E0F">
        <w:rPr>
          <w:noProof/>
        </w:rPr>
        <w:t xml:space="preserve">may be due to staff in smaller organisations being required to undertake a number of </w:t>
      </w:r>
      <w:r w:rsidR="00AD1027">
        <w:rPr>
          <w:noProof/>
        </w:rPr>
        <w:t xml:space="preserve">additional responsibilities outside of their core roles in the absense of </w:t>
      </w:r>
      <w:r w:rsidR="00D27EED">
        <w:rPr>
          <w:noProof/>
        </w:rPr>
        <w:t>other staff members</w:t>
      </w:r>
      <w:r w:rsidR="00CD0414">
        <w:rPr>
          <w:noProof/>
        </w:rPr>
        <w:t xml:space="preserve"> in the firms. With their bigger size, large organisations </w:t>
      </w:r>
      <w:r w:rsidR="00A73DAE">
        <w:rPr>
          <w:noProof/>
        </w:rPr>
        <w:t>are more able to hire staff with specifc responsibilities</w:t>
      </w:r>
      <w:r w:rsidR="000579C4">
        <w:rPr>
          <w:noProof/>
        </w:rPr>
        <w:t xml:space="preserve"> and have greater efficiency for allocating staff time</w:t>
      </w:r>
      <w:r w:rsidR="00A73DAE">
        <w:rPr>
          <w:noProof/>
        </w:rPr>
        <w:t>.</w:t>
      </w:r>
    </w:p>
    <w:p w14:paraId="2BA49C3C" w14:textId="285F81DE" w:rsidR="00810F33" w:rsidRDefault="00850C5F" w:rsidP="00506519">
      <w:pPr>
        <w:pStyle w:val="CaptionTable"/>
        <w:ind w:left="0"/>
      </w:pPr>
      <w:bookmarkStart w:id="189" w:name="_Toc39748820"/>
      <w:bookmarkStart w:id="190" w:name="_Toc39761823"/>
      <w:bookmarkStart w:id="191" w:name="_Toc39763114"/>
      <w:bookmarkStart w:id="192" w:name="_Toc39836976"/>
      <w:bookmarkStart w:id="193" w:name="_Toc39837823"/>
      <w:bookmarkStart w:id="194" w:name="_Toc39748821"/>
      <w:bookmarkStart w:id="195" w:name="_Toc39761824"/>
      <w:bookmarkStart w:id="196" w:name="_Toc39763115"/>
      <w:bookmarkStart w:id="197" w:name="_Toc39836977"/>
      <w:bookmarkStart w:id="198" w:name="_Toc39837824"/>
      <w:bookmarkStart w:id="199" w:name="_Toc39748822"/>
      <w:bookmarkStart w:id="200" w:name="_Toc39761825"/>
      <w:bookmarkStart w:id="201" w:name="_Toc39763116"/>
      <w:bookmarkStart w:id="202" w:name="_Toc39836978"/>
      <w:bookmarkStart w:id="203" w:name="_Toc39837825"/>
      <w:bookmarkStart w:id="204" w:name="_Toc39748823"/>
      <w:bookmarkStart w:id="205" w:name="_Toc39761826"/>
      <w:bookmarkStart w:id="206" w:name="_Toc39763117"/>
      <w:bookmarkStart w:id="207" w:name="_Toc39836979"/>
      <w:bookmarkStart w:id="208" w:name="_Toc39837826"/>
      <w:bookmarkStart w:id="209" w:name="_Ref39678781"/>
      <w:bookmarkStart w:id="210" w:name="_Toc40454694"/>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t xml:space="preserve">Utilisation </w:t>
      </w:r>
      <w:r w:rsidR="00810F33">
        <w:t>in small organisations</w:t>
      </w:r>
      <w:bookmarkEnd w:id="209"/>
      <w:bookmarkEnd w:id="210"/>
    </w:p>
    <w:tbl>
      <w:tblPr>
        <w:tblW w:w="9157" w:type="dxa"/>
        <w:tblLook w:val="04A0" w:firstRow="1" w:lastRow="0" w:firstColumn="1" w:lastColumn="0" w:noHBand="0" w:noVBand="1"/>
      </w:tblPr>
      <w:tblGrid>
        <w:gridCol w:w="2502"/>
        <w:gridCol w:w="1331"/>
        <w:gridCol w:w="1331"/>
        <w:gridCol w:w="1331"/>
        <w:gridCol w:w="1331"/>
        <w:gridCol w:w="1331"/>
      </w:tblGrid>
      <w:tr w:rsidR="00235227" w:rsidRPr="008C28C1" w14:paraId="4AC168F4" w14:textId="77777777" w:rsidTr="008C28C1">
        <w:trPr>
          <w:trHeight w:val="282"/>
        </w:trPr>
        <w:tc>
          <w:tcPr>
            <w:tcW w:w="2502" w:type="dxa"/>
            <w:tcBorders>
              <w:top w:val="single" w:sz="12" w:space="0" w:color="62B5E5" w:themeColor="accent3"/>
              <w:left w:val="nil"/>
              <w:bottom w:val="single" w:sz="4" w:space="0" w:color="auto"/>
              <w:right w:val="nil"/>
            </w:tcBorders>
            <w:shd w:val="clear" w:color="auto" w:fill="auto"/>
            <w:vAlign w:val="center"/>
            <w:hideMark/>
          </w:tcPr>
          <w:p w14:paraId="5F4DD243" w14:textId="77777777" w:rsidR="00810F33" w:rsidRPr="00D655A4" w:rsidRDefault="00810F33" w:rsidP="00506519">
            <w:pPr>
              <w:keepNext/>
              <w:keepLines/>
              <w:spacing w:after="0" w:line="240" w:lineRule="auto"/>
              <w:rPr>
                <w:rFonts w:eastAsia="Times New Roman" w:cs="Calibri"/>
                <w:b/>
                <w:bCs/>
                <w:color w:val="000000"/>
                <w:sz w:val="16"/>
                <w:szCs w:val="16"/>
                <w:lang w:val="en-US"/>
              </w:rPr>
            </w:pPr>
            <w:r w:rsidRPr="00D655A4">
              <w:rPr>
                <w:rFonts w:eastAsia="Times New Roman" w:cs="Calibri"/>
                <w:b/>
                <w:bCs/>
                <w:color w:val="000000"/>
                <w:sz w:val="16"/>
                <w:szCs w:val="16"/>
              </w:rPr>
              <w:t> </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478835E5" w14:textId="77777777" w:rsidR="00810F33" w:rsidRPr="00D655A4" w:rsidRDefault="00810F33" w:rsidP="00506519">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Mean</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4F887F10" w14:textId="77777777" w:rsidR="00810F33" w:rsidRPr="00D655A4" w:rsidRDefault="00810F33" w:rsidP="00506519">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WM</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427F5FBB" w14:textId="77777777" w:rsidR="00810F33" w:rsidRPr="00D655A4" w:rsidRDefault="00810F33" w:rsidP="00506519">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Median</w:t>
            </w:r>
          </w:p>
        </w:tc>
        <w:tc>
          <w:tcPr>
            <w:tcW w:w="1331" w:type="dxa"/>
            <w:tcBorders>
              <w:top w:val="single" w:sz="12" w:space="0" w:color="62B5E5" w:themeColor="accent3"/>
              <w:left w:val="nil"/>
              <w:bottom w:val="single" w:sz="4" w:space="0" w:color="auto"/>
              <w:right w:val="nil"/>
            </w:tcBorders>
            <w:shd w:val="clear" w:color="auto" w:fill="auto"/>
            <w:vAlign w:val="center"/>
          </w:tcPr>
          <w:p w14:paraId="2B885763" w14:textId="77777777" w:rsidR="00810F33" w:rsidRPr="00D655A4" w:rsidRDefault="00810F33" w:rsidP="00506519">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25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c>
          <w:tcPr>
            <w:tcW w:w="1331" w:type="dxa"/>
            <w:tcBorders>
              <w:top w:val="single" w:sz="12" w:space="0" w:color="62B5E5" w:themeColor="accent3"/>
              <w:left w:val="nil"/>
              <w:bottom w:val="single" w:sz="4" w:space="0" w:color="auto"/>
              <w:right w:val="nil"/>
            </w:tcBorders>
            <w:shd w:val="clear" w:color="auto" w:fill="auto"/>
            <w:vAlign w:val="center"/>
          </w:tcPr>
          <w:p w14:paraId="288D2B43" w14:textId="77777777" w:rsidR="00810F33" w:rsidRPr="00D655A4" w:rsidRDefault="00810F33" w:rsidP="00506519">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75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r>
      <w:tr w:rsidR="001836A2" w:rsidRPr="009C1642" w14:paraId="1FB2712A"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6DA9C53F" w14:textId="3E9E5DB1" w:rsidR="001836A2" w:rsidRPr="00D655A4" w:rsidRDefault="001836A2" w:rsidP="00506519">
            <w:pPr>
              <w:keepNext/>
              <w:keepLines/>
              <w:spacing w:after="0" w:line="240" w:lineRule="auto"/>
              <w:rPr>
                <w:rFonts w:eastAsia="Times New Roman" w:cs="Calibri"/>
                <w:color w:val="000000"/>
                <w:sz w:val="16"/>
                <w:szCs w:val="16"/>
              </w:rPr>
            </w:pPr>
            <w:r w:rsidRPr="00D655A4">
              <w:rPr>
                <w:rFonts w:eastAsia="Times New Roman" w:cs="Calibri"/>
                <w:color w:val="000000"/>
                <w:sz w:val="16"/>
                <w:szCs w:val="16"/>
              </w:rPr>
              <w:t>Non</w:t>
            </w:r>
            <w:r w:rsidRPr="00D655A4">
              <w:rPr>
                <w:rFonts w:eastAsia="Times New Roman" w:cs="Calibri"/>
                <w:color w:val="000000"/>
                <w:sz w:val="16"/>
                <w:szCs w:val="16"/>
              </w:rPr>
              <w:noBreakHyphen/>
              <w:t>billable travel time</w:t>
            </w:r>
          </w:p>
        </w:tc>
        <w:tc>
          <w:tcPr>
            <w:tcW w:w="1331" w:type="dxa"/>
            <w:tcBorders>
              <w:top w:val="single" w:sz="4" w:space="0" w:color="auto"/>
              <w:left w:val="nil"/>
              <w:bottom w:val="single" w:sz="4" w:space="0" w:color="auto"/>
              <w:right w:val="nil"/>
            </w:tcBorders>
            <w:shd w:val="clear" w:color="auto" w:fill="auto"/>
            <w:vAlign w:val="center"/>
          </w:tcPr>
          <w:p w14:paraId="250100E4" w14:textId="5E1E86D5" w:rsidR="001836A2" w:rsidRPr="00D655A4" w:rsidRDefault="001836A2" w:rsidP="00506519">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4.4%</w:t>
            </w:r>
          </w:p>
        </w:tc>
        <w:tc>
          <w:tcPr>
            <w:tcW w:w="1331" w:type="dxa"/>
            <w:tcBorders>
              <w:top w:val="single" w:sz="4" w:space="0" w:color="auto"/>
              <w:left w:val="nil"/>
              <w:bottom w:val="single" w:sz="4" w:space="0" w:color="auto"/>
              <w:right w:val="nil"/>
            </w:tcBorders>
            <w:shd w:val="clear" w:color="auto" w:fill="auto"/>
            <w:vAlign w:val="center"/>
          </w:tcPr>
          <w:p w14:paraId="328C002C" w14:textId="542774DE" w:rsidR="001836A2" w:rsidRPr="00D655A4" w:rsidRDefault="001836A2" w:rsidP="00506519">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4.1%</w:t>
            </w:r>
          </w:p>
        </w:tc>
        <w:tc>
          <w:tcPr>
            <w:tcW w:w="1331" w:type="dxa"/>
            <w:tcBorders>
              <w:top w:val="single" w:sz="4" w:space="0" w:color="auto"/>
              <w:left w:val="nil"/>
              <w:bottom w:val="single" w:sz="4" w:space="0" w:color="auto"/>
              <w:right w:val="nil"/>
            </w:tcBorders>
            <w:shd w:val="clear" w:color="auto" w:fill="auto"/>
            <w:vAlign w:val="center"/>
          </w:tcPr>
          <w:p w14:paraId="3FEF6D8E" w14:textId="08BB3A2D" w:rsidR="001836A2" w:rsidRPr="00D655A4" w:rsidRDefault="001836A2" w:rsidP="00506519">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2.0%</w:t>
            </w:r>
          </w:p>
        </w:tc>
        <w:tc>
          <w:tcPr>
            <w:tcW w:w="1331" w:type="dxa"/>
            <w:tcBorders>
              <w:top w:val="nil"/>
              <w:left w:val="nil"/>
              <w:bottom w:val="single" w:sz="8" w:space="0" w:color="000000"/>
              <w:right w:val="nil"/>
            </w:tcBorders>
            <w:shd w:val="clear" w:color="auto" w:fill="auto"/>
            <w:vAlign w:val="center"/>
          </w:tcPr>
          <w:p w14:paraId="5F4AA4B2" w14:textId="68AA0629" w:rsidR="001836A2" w:rsidRPr="00D655A4" w:rsidRDefault="001836A2" w:rsidP="00506519">
            <w:pPr>
              <w:keepNext/>
              <w:keepLines/>
              <w:spacing w:after="0" w:line="240" w:lineRule="auto"/>
              <w:jc w:val="center"/>
              <w:rPr>
                <w:rFonts w:eastAsia="Times New Roman" w:cs="Calibri"/>
                <w:color w:val="000000"/>
                <w:sz w:val="16"/>
                <w:szCs w:val="16"/>
                <w:lang w:val="en-US"/>
              </w:rPr>
            </w:pPr>
            <w:r w:rsidRPr="00D655A4">
              <w:rPr>
                <w:color w:val="000000"/>
                <w:sz w:val="16"/>
                <w:szCs w:val="16"/>
              </w:rPr>
              <w:t>0.0%</w:t>
            </w:r>
          </w:p>
        </w:tc>
        <w:tc>
          <w:tcPr>
            <w:tcW w:w="1331" w:type="dxa"/>
            <w:tcBorders>
              <w:top w:val="nil"/>
              <w:left w:val="nil"/>
              <w:bottom w:val="single" w:sz="8" w:space="0" w:color="000000"/>
              <w:right w:val="nil"/>
            </w:tcBorders>
            <w:shd w:val="clear" w:color="auto" w:fill="auto"/>
            <w:vAlign w:val="center"/>
          </w:tcPr>
          <w:p w14:paraId="4D9D1EC6" w14:textId="5DBB3EDD" w:rsidR="001836A2" w:rsidRPr="00D655A4" w:rsidRDefault="001836A2" w:rsidP="00506519">
            <w:pPr>
              <w:keepNext/>
              <w:keepLines/>
              <w:spacing w:after="0" w:line="240" w:lineRule="auto"/>
              <w:jc w:val="center"/>
              <w:rPr>
                <w:rFonts w:eastAsia="Times New Roman" w:cs="Calibri"/>
                <w:color w:val="000000"/>
                <w:sz w:val="16"/>
                <w:szCs w:val="16"/>
                <w:lang w:val="en-US"/>
              </w:rPr>
            </w:pPr>
            <w:r w:rsidRPr="00D655A4">
              <w:rPr>
                <w:color w:val="000000"/>
                <w:sz w:val="16"/>
                <w:szCs w:val="16"/>
              </w:rPr>
              <w:t>7.8%</w:t>
            </w:r>
          </w:p>
        </w:tc>
      </w:tr>
      <w:tr w:rsidR="001836A2" w:rsidRPr="009C1642" w14:paraId="30ECC821"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0EC331C6" w14:textId="5C7D2039" w:rsidR="001836A2" w:rsidRPr="00D655A4" w:rsidRDefault="001836A2" w:rsidP="00506519">
            <w:pPr>
              <w:keepNext/>
              <w:keepLines/>
              <w:spacing w:after="0" w:line="240" w:lineRule="auto"/>
              <w:rPr>
                <w:rFonts w:eastAsia="Times New Roman" w:cs="Calibri"/>
                <w:color w:val="000000"/>
                <w:sz w:val="16"/>
                <w:szCs w:val="16"/>
              </w:rPr>
            </w:pPr>
            <w:r w:rsidRPr="00D655A4">
              <w:rPr>
                <w:rFonts w:eastAsia="Times New Roman" w:cs="Calibri"/>
                <w:color w:val="000000"/>
                <w:sz w:val="16"/>
                <w:szCs w:val="16"/>
              </w:rPr>
              <w:t>Breaks</w:t>
            </w:r>
          </w:p>
        </w:tc>
        <w:tc>
          <w:tcPr>
            <w:tcW w:w="1331" w:type="dxa"/>
            <w:tcBorders>
              <w:top w:val="single" w:sz="4" w:space="0" w:color="auto"/>
              <w:left w:val="nil"/>
              <w:bottom w:val="single" w:sz="4" w:space="0" w:color="auto"/>
              <w:right w:val="nil"/>
            </w:tcBorders>
            <w:shd w:val="clear" w:color="auto" w:fill="auto"/>
            <w:vAlign w:val="center"/>
          </w:tcPr>
          <w:p w14:paraId="7159388B" w14:textId="11B37571" w:rsidR="001836A2" w:rsidRPr="00D655A4" w:rsidRDefault="001836A2" w:rsidP="00506519">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2.8%</w:t>
            </w:r>
          </w:p>
        </w:tc>
        <w:tc>
          <w:tcPr>
            <w:tcW w:w="1331" w:type="dxa"/>
            <w:tcBorders>
              <w:top w:val="single" w:sz="4" w:space="0" w:color="auto"/>
              <w:left w:val="nil"/>
              <w:bottom w:val="single" w:sz="4" w:space="0" w:color="auto"/>
              <w:right w:val="nil"/>
            </w:tcBorders>
            <w:shd w:val="clear" w:color="auto" w:fill="auto"/>
            <w:vAlign w:val="center"/>
          </w:tcPr>
          <w:p w14:paraId="06DB0E82" w14:textId="2CAD2028" w:rsidR="001836A2" w:rsidRPr="00D655A4" w:rsidRDefault="001836A2" w:rsidP="00506519">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3.0%</w:t>
            </w:r>
          </w:p>
        </w:tc>
        <w:tc>
          <w:tcPr>
            <w:tcW w:w="1331" w:type="dxa"/>
            <w:tcBorders>
              <w:top w:val="single" w:sz="4" w:space="0" w:color="auto"/>
              <w:left w:val="nil"/>
              <w:bottom w:val="single" w:sz="4" w:space="0" w:color="auto"/>
              <w:right w:val="nil"/>
            </w:tcBorders>
            <w:shd w:val="clear" w:color="auto" w:fill="auto"/>
            <w:vAlign w:val="center"/>
          </w:tcPr>
          <w:p w14:paraId="1CC834D2" w14:textId="08B7698A" w:rsidR="001836A2" w:rsidRPr="00D655A4" w:rsidRDefault="001836A2" w:rsidP="00506519">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1.2%</w:t>
            </w:r>
          </w:p>
        </w:tc>
        <w:tc>
          <w:tcPr>
            <w:tcW w:w="1331" w:type="dxa"/>
            <w:tcBorders>
              <w:top w:val="nil"/>
              <w:left w:val="nil"/>
              <w:bottom w:val="single" w:sz="8" w:space="0" w:color="000000"/>
              <w:right w:val="nil"/>
            </w:tcBorders>
            <w:shd w:val="clear" w:color="auto" w:fill="auto"/>
            <w:vAlign w:val="center"/>
          </w:tcPr>
          <w:p w14:paraId="479F1A7B" w14:textId="73679AAB" w:rsidR="001836A2" w:rsidRPr="00D655A4" w:rsidRDefault="001836A2" w:rsidP="00506519">
            <w:pPr>
              <w:keepNext/>
              <w:keepLines/>
              <w:spacing w:after="0" w:line="240" w:lineRule="auto"/>
              <w:jc w:val="center"/>
              <w:rPr>
                <w:rFonts w:eastAsia="Times New Roman" w:cs="Calibri"/>
                <w:color w:val="000000"/>
                <w:sz w:val="16"/>
                <w:szCs w:val="16"/>
                <w:lang w:val="en-US"/>
              </w:rPr>
            </w:pPr>
            <w:r w:rsidRPr="00D655A4">
              <w:rPr>
                <w:color w:val="000000"/>
                <w:sz w:val="16"/>
                <w:szCs w:val="16"/>
              </w:rPr>
              <w:t>0.0%</w:t>
            </w:r>
          </w:p>
        </w:tc>
        <w:tc>
          <w:tcPr>
            <w:tcW w:w="1331" w:type="dxa"/>
            <w:tcBorders>
              <w:top w:val="nil"/>
              <w:left w:val="nil"/>
              <w:bottom w:val="single" w:sz="8" w:space="0" w:color="000000"/>
              <w:right w:val="nil"/>
            </w:tcBorders>
            <w:shd w:val="clear" w:color="auto" w:fill="auto"/>
            <w:vAlign w:val="center"/>
          </w:tcPr>
          <w:p w14:paraId="3DC7B162" w14:textId="68A59206" w:rsidR="001836A2" w:rsidRPr="00D655A4" w:rsidRDefault="001836A2" w:rsidP="00506519">
            <w:pPr>
              <w:keepNext/>
              <w:keepLines/>
              <w:spacing w:after="0" w:line="240" w:lineRule="auto"/>
              <w:jc w:val="center"/>
              <w:rPr>
                <w:rFonts w:eastAsia="Times New Roman" w:cs="Calibri"/>
                <w:color w:val="000000"/>
                <w:sz w:val="16"/>
                <w:szCs w:val="16"/>
                <w:lang w:val="en-US"/>
              </w:rPr>
            </w:pPr>
            <w:r w:rsidRPr="00D655A4">
              <w:rPr>
                <w:color w:val="000000"/>
                <w:sz w:val="16"/>
                <w:szCs w:val="16"/>
              </w:rPr>
              <w:t>5.0%</w:t>
            </w:r>
          </w:p>
        </w:tc>
      </w:tr>
      <w:tr w:rsidR="001836A2" w:rsidRPr="009C1642" w14:paraId="70319FB9"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44589F5D" w14:textId="474A0B24" w:rsidR="001836A2" w:rsidRPr="00D655A4" w:rsidRDefault="001836A2" w:rsidP="001836A2">
            <w:pPr>
              <w:spacing w:after="0" w:line="240" w:lineRule="auto"/>
              <w:rPr>
                <w:rFonts w:eastAsia="Times New Roman" w:cs="Calibri"/>
                <w:color w:val="000000"/>
                <w:sz w:val="16"/>
                <w:szCs w:val="16"/>
              </w:rPr>
            </w:pPr>
            <w:r w:rsidRPr="00D655A4">
              <w:rPr>
                <w:rFonts w:eastAsia="Times New Roman" w:cs="Calibri"/>
                <w:color w:val="000000"/>
                <w:sz w:val="16"/>
                <w:szCs w:val="16"/>
              </w:rPr>
              <w:t>Training</w:t>
            </w:r>
          </w:p>
        </w:tc>
        <w:tc>
          <w:tcPr>
            <w:tcW w:w="1331" w:type="dxa"/>
            <w:tcBorders>
              <w:top w:val="single" w:sz="4" w:space="0" w:color="auto"/>
              <w:left w:val="nil"/>
              <w:bottom w:val="single" w:sz="4" w:space="0" w:color="auto"/>
              <w:right w:val="nil"/>
            </w:tcBorders>
            <w:shd w:val="clear" w:color="auto" w:fill="auto"/>
            <w:vAlign w:val="center"/>
          </w:tcPr>
          <w:p w14:paraId="16E6861C" w14:textId="7F587FC9" w:rsidR="001836A2" w:rsidRPr="00D655A4" w:rsidRDefault="001836A2" w:rsidP="001836A2">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5.1%</w:t>
            </w:r>
          </w:p>
        </w:tc>
        <w:tc>
          <w:tcPr>
            <w:tcW w:w="1331" w:type="dxa"/>
            <w:tcBorders>
              <w:top w:val="single" w:sz="4" w:space="0" w:color="auto"/>
              <w:left w:val="nil"/>
              <w:bottom w:val="single" w:sz="4" w:space="0" w:color="auto"/>
              <w:right w:val="nil"/>
            </w:tcBorders>
            <w:shd w:val="clear" w:color="auto" w:fill="auto"/>
            <w:vAlign w:val="center"/>
          </w:tcPr>
          <w:p w14:paraId="24B39E84" w14:textId="012B4C1E" w:rsidR="001836A2" w:rsidRPr="00D655A4" w:rsidRDefault="001836A2" w:rsidP="001836A2">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5.2%</w:t>
            </w:r>
          </w:p>
        </w:tc>
        <w:tc>
          <w:tcPr>
            <w:tcW w:w="1331" w:type="dxa"/>
            <w:tcBorders>
              <w:top w:val="single" w:sz="4" w:space="0" w:color="auto"/>
              <w:left w:val="nil"/>
              <w:bottom w:val="single" w:sz="4" w:space="0" w:color="auto"/>
              <w:right w:val="nil"/>
            </w:tcBorders>
            <w:shd w:val="clear" w:color="auto" w:fill="auto"/>
            <w:vAlign w:val="center"/>
          </w:tcPr>
          <w:p w14:paraId="19D4E63A" w14:textId="7513C561" w:rsidR="001836A2" w:rsidRPr="00D655A4" w:rsidRDefault="001836A2" w:rsidP="001836A2">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5.0%</w:t>
            </w:r>
          </w:p>
        </w:tc>
        <w:tc>
          <w:tcPr>
            <w:tcW w:w="1331" w:type="dxa"/>
            <w:tcBorders>
              <w:top w:val="nil"/>
              <w:left w:val="nil"/>
              <w:bottom w:val="single" w:sz="8" w:space="0" w:color="000000"/>
              <w:right w:val="nil"/>
            </w:tcBorders>
            <w:shd w:val="clear" w:color="auto" w:fill="auto"/>
            <w:vAlign w:val="center"/>
          </w:tcPr>
          <w:p w14:paraId="1791025C" w14:textId="32DFCC6B" w:rsidR="001836A2" w:rsidRPr="00D655A4" w:rsidRDefault="001836A2" w:rsidP="001836A2">
            <w:pPr>
              <w:spacing w:after="0" w:line="240" w:lineRule="auto"/>
              <w:jc w:val="center"/>
              <w:rPr>
                <w:rFonts w:eastAsia="Times New Roman" w:cs="Calibri"/>
                <w:color w:val="000000"/>
                <w:sz w:val="16"/>
                <w:szCs w:val="16"/>
                <w:lang w:val="en-US"/>
              </w:rPr>
            </w:pPr>
            <w:r w:rsidRPr="00D655A4">
              <w:rPr>
                <w:color w:val="000000"/>
                <w:sz w:val="16"/>
                <w:szCs w:val="16"/>
              </w:rPr>
              <w:t>2.0%</w:t>
            </w:r>
          </w:p>
        </w:tc>
        <w:tc>
          <w:tcPr>
            <w:tcW w:w="1331" w:type="dxa"/>
            <w:tcBorders>
              <w:top w:val="nil"/>
              <w:left w:val="nil"/>
              <w:bottom w:val="single" w:sz="8" w:space="0" w:color="000000"/>
              <w:right w:val="nil"/>
            </w:tcBorders>
            <w:shd w:val="clear" w:color="auto" w:fill="auto"/>
            <w:vAlign w:val="center"/>
          </w:tcPr>
          <w:p w14:paraId="31143B3F" w14:textId="4EB1EF59" w:rsidR="001836A2" w:rsidRPr="00D655A4" w:rsidRDefault="001836A2" w:rsidP="001836A2">
            <w:pPr>
              <w:spacing w:after="0" w:line="240" w:lineRule="auto"/>
              <w:jc w:val="center"/>
              <w:rPr>
                <w:rFonts w:eastAsia="Times New Roman" w:cs="Calibri"/>
                <w:color w:val="000000"/>
                <w:sz w:val="16"/>
                <w:szCs w:val="16"/>
                <w:lang w:val="en-US"/>
              </w:rPr>
            </w:pPr>
            <w:r w:rsidRPr="00D655A4">
              <w:rPr>
                <w:color w:val="000000"/>
                <w:sz w:val="16"/>
                <w:szCs w:val="16"/>
              </w:rPr>
              <w:t>5.4%</w:t>
            </w:r>
          </w:p>
        </w:tc>
      </w:tr>
      <w:tr w:rsidR="001836A2" w:rsidRPr="009C1642" w14:paraId="3F3CFA09"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177BAE42" w14:textId="7E9A3526" w:rsidR="001836A2" w:rsidRPr="00D655A4" w:rsidRDefault="001836A2" w:rsidP="001836A2">
            <w:pPr>
              <w:spacing w:after="0" w:line="240" w:lineRule="auto"/>
              <w:rPr>
                <w:rFonts w:eastAsia="Times New Roman" w:cs="Calibri"/>
                <w:color w:val="000000"/>
                <w:sz w:val="16"/>
                <w:szCs w:val="16"/>
              </w:rPr>
            </w:pPr>
            <w:r w:rsidRPr="00D655A4">
              <w:rPr>
                <w:rFonts w:eastAsia="Times New Roman" w:cs="Calibri"/>
                <w:color w:val="000000"/>
                <w:sz w:val="16"/>
                <w:szCs w:val="16"/>
              </w:rPr>
              <w:t>Client related admin</w:t>
            </w:r>
          </w:p>
        </w:tc>
        <w:tc>
          <w:tcPr>
            <w:tcW w:w="1331" w:type="dxa"/>
            <w:tcBorders>
              <w:top w:val="single" w:sz="4" w:space="0" w:color="auto"/>
              <w:left w:val="nil"/>
              <w:bottom w:val="single" w:sz="4" w:space="0" w:color="auto"/>
              <w:right w:val="nil"/>
            </w:tcBorders>
            <w:shd w:val="clear" w:color="auto" w:fill="auto"/>
            <w:vAlign w:val="center"/>
          </w:tcPr>
          <w:p w14:paraId="7ED8C6DB" w14:textId="12881A12" w:rsidR="001836A2" w:rsidRPr="00D655A4" w:rsidRDefault="001836A2" w:rsidP="001836A2">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7.5%</w:t>
            </w:r>
          </w:p>
        </w:tc>
        <w:tc>
          <w:tcPr>
            <w:tcW w:w="1331" w:type="dxa"/>
            <w:tcBorders>
              <w:top w:val="single" w:sz="4" w:space="0" w:color="auto"/>
              <w:left w:val="nil"/>
              <w:bottom w:val="single" w:sz="4" w:space="0" w:color="auto"/>
              <w:right w:val="nil"/>
            </w:tcBorders>
            <w:shd w:val="clear" w:color="auto" w:fill="auto"/>
            <w:vAlign w:val="center"/>
          </w:tcPr>
          <w:p w14:paraId="5D51B831" w14:textId="0A5CDEE9" w:rsidR="001836A2" w:rsidRPr="00D655A4" w:rsidRDefault="001836A2" w:rsidP="001836A2">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7.0%</w:t>
            </w:r>
          </w:p>
        </w:tc>
        <w:tc>
          <w:tcPr>
            <w:tcW w:w="1331" w:type="dxa"/>
            <w:tcBorders>
              <w:top w:val="single" w:sz="4" w:space="0" w:color="auto"/>
              <w:left w:val="nil"/>
              <w:bottom w:val="single" w:sz="4" w:space="0" w:color="auto"/>
              <w:right w:val="nil"/>
            </w:tcBorders>
            <w:shd w:val="clear" w:color="auto" w:fill="auto"/>
            <w:vAlign w:val="center"/>
          </w:tcPr>
          <w:p w14:paraId="23141ABA" w14:textId="27E0573B" w:rsidR="001836A2" w:rsidRPr="00D655A4" w:rsidRDefault="001836A2" w:rsidP="001836A2">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5.0%</w:t>
            </w:r>
          </w:p>
        </w:tc>
        <w:tc>
          <w:tcPr>
            <w:tcW w:w="1331" w:type="dxa"/>
            <w:tcBorders>
              <w:top w:val="nil"/>
              <w:left w:val="nil"/>
              <w:bottom w:val="single" w:sz="8" w:space="0" w:color="000000"/>
              <w:right w:val="nil"/>
            </w:tcBorders>
            <w:shd w:val="clear" w:color="auto" w:fill="auto"/>
            <w:vAlign w:val="center"/>
          </w:tcPr>
          <w:p w14:paraId="55520CC3" w14:textId="1B38184E" w:rsidR="001836A2" w:rsidRPr="00D655A4" w:rsidRDefault="001836A2" w:rsidP="001836A2">
            <w:pPr>
              <w:spacing w:after="0" w:line="240" w:lineRule="auto"/>
              <w:jc w:val="center"/>
              <w:rPr>
                <w:rFonts w:eastAsia="Times New Roman" w:cs="Calibri"/>
                <w:color w:val="000000"/>
                <w:sz w:val="16"/>
                <w:szCs w:val="16"/>
                <w:lang w:val="en-US"/>
              </w:rPr>
            </w:pPr>
            <w:r w:rsidRPr="00D655A4">
              <w:rPr>
                <w:color w:val="000000"/>
                <w:sz w:val="16"/>
                <w:szCs w:val="16"/>
              </w:rPr>
              <w:t>3.0%</w:t>
            </w:r>
          </w:p>
        </w:tc>
        <w:tc>
          <w:tcPr>
            <w:tcW w:w="1331" w:type="dxa"/>
            <w:tcBorders>
              <w:top w:val="nil"/>
              <w:left w:val="nil"/>
              <w:bottom w:val="single" w:sz="8" w:space="0" w:color="000000"/>
              <w:right w:val="nil"/>
            </w:tcBorders>
            <w:shd w:val="clear" w:color="auto" w:fill="auto"/>
            <w:vAlign w:val="center"/>
          </w:tcPr>
          <w:p w14:paraId="47C081B6" w14:textId="52091C2F" w:rsidR="001836A2" w:rsidRPr="00D655A4" w:rsidRDefault="001836A2" w:rsidP="001836A2">
            <w:pPr>
              <w:spacing w:after="0" w:line="240" w:lineRule="auto"/>
              <w:jc w:val="center"/>
              <w:rPr>
                <w:rFonts w:eastAsia="Times New Roman" w:cs="Calibri"/>
                <w:color w:val="000000"/>
                <w:sz w:val="16"/>
                <w:szCs w:val="16"/>
                <w:lang w:val="en-US"/>
              </w:rPr>
            </w:pPr>
            <w:r w:rsidRPr="00D655A4">
              <w:rPr>
                <w:color w:val="000000"/>
                <w:sz w:val="16"/>
                <w:szCs w:val="16"/>
              </w:rPr>
              <w:t>10.0%</w:t>
            </w:r>
          </w:p>
        </w:tc>
      </w:tr>
      <w:tr w:rsidR="00735E5B" w:rsidRPr="009C1642" w14:paraId="14E5FA4D" w14:textId="77777777" w:rsidTr="00AD6CEB">
        <w:trPr>
          <w:trHeight w:val="390"/>
        </w:trPr>
        <w:tc>
          <w:tcPr>
            <w:tcW w:w="2502" w:type="dxa"/>
            <w:tcBorders>
              <w:top w:val="single" w:sz="4" w:space="0" w:color="auto"/>
              <w:left w:val="nil"/>
              <w:bottom w:val="single" w:sz="4" w:space="0" w:color="auto"/>
              <w:right w:val="nil"/>
            </w:tcBorders>
            <w:shd w:val="clear" w:color="auto" w:fill="auto"/>
            <w:vAlign w:val="center"/>
          </w:tcPr>
          <w:p w14:paraId="241D3081" w14:textId="7CF5E12C" w:rsidR="00735E5B" w:rsidRPr="00D655A4" w:rsidRDefault="00735E5B" w:rsidP="00735E5B">
            <w:pPr>
              <w:spacing w:after="0" w:line="240" w:lineRule="auto"/>
              <w:rPr>
                <w:rFonts w:eastAsia="Times New Roman" w:cs="Calibri"/>
                <w:color w:val="000000"/>
                <w:sz w:val="16"/>
                <w:szCs w:val="16"/>
              </w:rPr>
            </w:pPr>
            <w:r w:rsidRPr="00D655A4">
              <w:rPr>
                <w:rFonts w:eastAsia="Times New Roman" w:cs="Calibri"/>
                <w:color w:val="000000"/>
                <w:sz w:val="16"/>
                <w:szCs w:val="16"/>
              </w:rPr>
              <w:t>General admin and other tasks</w:t>
            </w:r>
          </w:p>
        </w:tc>
        <w:tc>
          <w:tcPr>
            <w:tcW w:w="1331" w:type="dxa"/>
            <w:tcBorders>
              <w:top w:val="nil"/>
              <w:left w:val="nil"/>
              <w:bottom w:val="single" w:sz="4" w:space="0" w:color="auto"/>
              <w:right w:val="nil"/>
            </w:tcBorders>
            <w:shd w:val="clear" w:color="auto" w:fill="auto"/>
            <w:vAlign w:val="center"/>
          </w:tcPr>
          <w:p w14:paraId="0EDA9065" w14:textId="6BB3A3C5" w:rsidR="00735E5B" w:rsidRPr="00D655A4" w:rsidRDefault="00735E5B" w:rsidP="00735E5B">
            <w:pPr>
              <w:spacing w:after="0" w:line="240" w:lineRule="auto"/>
              <w:jc w:val="center"/>
              <w:rPr>
                <w:rFonts w:eastAsia="Times New Roman" w:cs="Calibri"/>
                <w:color w:val="000000"/>
                <w:sz w:val="16"/>
                <w:szCs w:val="16"/>
              </w:rPr>
            </w:pPr>
            <w:r w:rsidRPr="00D655A4">
              <w:rPr>
                <w:color w:val="000000"/>
                <w:sz w:val="16"/>
                <w:szCs w:val="16"/>
              </w:rPr>
              <w:t>4.8%</w:t>
            </w:r>
          </w:p>
        </w:tc>
        <w:tc>
          <w:tcPr>
            <w:tcW w:w="1331" w:type="dxa"/>
            <w:tcBorders>
              <w:top w:val="nil"/>
              <w:left w:val="nil"/>
              <w:bottom w:val="single" w:sz="4" w:space="0" w:color="auto"/>
              <w:right w:val="nil"/>
            </w:tcBorders>
            <w:shd w:val="clear" w:color="auto" w:fill="auto"/>
            <w:vAlign w:val="center"/>
          </w:tcPr>
          <w:p w14:paraId="71E229C3" w14:textId="13D1195B" w:rsidR="00735E5B" w:rsidRPr="00D655A4" w:rsidRDefault="00735E5B" w:rsidP="00735E5B">
            <w:pPr>
              <w:spacing w:after="0" w:line="240" w:lineRule="auto"/>
              <w:jc w:val="center"/>
              <w:rPr>
                <w:rFonts w:eastAsia="Times New Roman" w:cs="Calibri"/>
                <w:color w:val="000000"/>
                <w:sz w:val="16"/>
                <w:szCs w:val="16"/>
              </w:rPr>
            </w:pPr>
            <w:r w:rsidRPr="00D655A4">
              <w:rPr>
                <w:color w:val="000000"/>
                <w:sz w:val="16"/>
                <w:szCs w:val="16"/>
              </w:rPr>
              <w:t>4.7%</w:t>
            </w:r>
          </w:p>
        </w:tc>
        <w:tc>
          <w:tcPr>
            <w:tcW w:w="1331" w:type="dxa"/>
            <w:tcBorders>
              <w:top w:val="nil"/>
              <w:left w:val="nil"/>
              <w:bottom w:val="single" w:sz="4" w:space="0" w:color="auto"/>
              <w:right w:val="nil"/>
            </w:tcBorders>
            <w:shd w:val="clear" w:color="auto" w:fill="auto"/>
            <w:vAlign w:val="center"/>
          </w:tcPr>
          <w:p w14:paraId="0C690B17" w14:textId="742640C6" w:rsidR="00735E5B" w:rsidRPr="00D655A4" w:rsidRDefault="00735E5B" w:rsidP="00735E5B">
            <w:pPr>
              <w:spacing w:after="0" w:line="240" w:lineRule="auto"/>
              <w:jc w:val="center"/>
              <w:rPr>
                <w:rFonts w:eastAsia="Times New Roman" w:cs="Calibri"/>
                <w:color w:val="000000"/>
                <w:sz w:val="16"/>
                <w:szCs w:val="16"/>
              </w:rPr>
            </w:pPr>
            <w:r w:rsidRPr="00D655A4">
              <w:rPr>
                <w:color w:val="000000"/>
                <w:sz w:val="16"/>
                <w:szCs w:val="16"/>
              </w:rPr>
              <w:t>5.0%</w:t>
            </w:r>
          </w:p>
        </w:tc>
        <w:tc>
          <w:tcPr>
            <w:tcW w:w="1331" w:type="dxa"/>
            <w:tcBorders>
              <w:top w:val="nil"/>
              <w:left w:val="nil"/>
              <w:bottom w:val="single" w:sz="4" w:space="0" w:color="auto"/>
              <w:right w:val="nil"/>
            </w:tcBorders>
            <w:shd w:val="clear" w:color="auto" w:fill="auto"/>
            <w:vAlign w:val="center"/>
          </w:tcPr>
          <w:p w14:paraId="34DB1E8A" w14:textId="7A88B261" w:rsidR="00735E5B" w:rsidRPr="00D655A4" w:rsidRDefault="00735E5B" w:rsidP="00735E5B">
            <w:pPr>
              <w:spacing w:after="0" w:line="240" w:lineRule="auto"/>
              <w:jc w:val="center"/>
              <w:rPr>
                <w:rFonts w:eastAsia="Times New Roman" w:cs="Calibri"/>
                <w:color w:val="000000"/>
                <w:sz w:val="16"/>
                <w:szCs w:val="16"/>
                <w:lang w:val="en-US"/>
              </w:rPr>
            </w:pPr>
            <w:r w:rsidRPr="00D655A4">
              <w:rPr>
                <w:color w:val="000000"/>
                <w:sz w:val="16"/>
                <w:szCs w:val="16"/>
              </w:rPr>
              <w:t>1.0%</w:t>
            </w:r>
          </w:p>
        </w:tc>
        <w:tc>
          <w:tcPr>
            <w:tcW w:w="1331" w:type="dxa"/>
            <w:tcBorders>
              <w:top w:val="nil"/>
              <w:left w:val="nil"/>
              <w:bottom w:val="single" w:sz="4" w:space="0" w:color="auto"/>
              <w:right w:val="nil"/>
            </w:tcBorders>
            <w:shd w:val="clear" w:color="auto" w:fill="auto"/>
            <w:vAlign w:val="center"/>
          </w:tcPr>
          <w:p w14:paraId="552F5BEA" w14:textId="7840D2A8" w:rsidR="00735E5B" w:rsidRPr="00D655A4" w:rsidRDefault="00735E5B" w:rsidP="00735E5B">
            <w:pPr>
              <w:spacing w:after="0" w:line="240" w:lineRule="auto"/>
              <w:jc w:val="center"/>
              <w:rPr>
                <w:rFonts w:eastAsia="Times New Roman" w:cs="Calibri"/>
                <w:color w:val="000000"/>
                <w:sz w:val="16"/>
                <w:szCs w:val="16"/>
                <w:lang w:val="en-US"/>
              </w:rPr>
            </w:pPr>
            <w:r w:rsidRPr="00D655A4">
              <w:rPr>
                <w:color w:val="000000"/>
                <w:sz w:val="16"/>
                <w:szCs w:val="16"/>
              </w:rPr>
              <w:t>5.8%</w:t>
            </w:r>
          </w:p>
        </w:tc>
      </w:tr>
      <w:tr w:rsidR="00735E5B" w:rsidRPr="009C1642" w14:paraId="3A9903BD" w14:textId="77777777" w:rsidTr="00AD6CEB">
        <w:trPr>
          <w:trHeight w:val="390"/>
        </w:trPr>
        <w:tc>
          <w:tcPr>
            <w:tcW w:w="2502" w:type="dxa"/>
            <w:tcBorders>
              <w:top w:val="single" w:sz="4" w:space="0" w:color="auto"/>
              <w:left w:val="nil"/>
              <w:bottom w:val="single" w:sz="4" w:space="0" w:color="auto"/>
              <w:right w:val="nil"/>
            </w:tcBorders>
            <w:shd w:val="clear" w:color="auto" w:fill="auto"/>
            <w:vAlign w:val="center"/>
          </w:tcPr>
          <w:p w14:paraId="78C5B0BE" w14:textId="7FCC4440" w:rsidR="00735E5B" w:rsidRPr="00D655A4" w:rsidRDefault="00735E5B" w:rsidP="00735E5B">
            <w:pPr>
              <w:spacing w:after="0" w:line="240" w:lineRule="auto"/>
              <w:rPr>
                <w:rFonts w:eastAsia="Times New Roman" w:cs="Calibri"/>
                <w:color w:val="000000"/>
                <w:sz w:val="16"/>
                <w:szCs w:val="16"/>
              </w:rPr>
            </w:pPr>
            <w:r w:rsidRPr="00D655A4">
              <w:rPr>
                <w:rFonts w:eastAsia="Times New Roman" w:cs="Calibri"/>
                <w:i/>
                <w:iCs/>
                <w:color w:val="000000"/>
                <w:sz w:val="16"/>
                <w:szCs w:val="16"/>
              </w:rPr>
              <w:t>Total utilisation</w:t>
            </w:r>
          </w:p>
        </w:tc>
        <w:tc>
          <w:tcPr>
            <w:tcW w:w="1331" w:type="dxa"/>
            <w:tcBorders>
              <w:top w:val="single" w:sz="4" w:space="0" w:color="auto"/>
              <w:left w:val="nil"/>
              <w:bottom w:val="single" w:sz="4" w:space="0" w:color="auto"/>
              <w:right w:val="nil"/>
            </w:tcBorders>
            <w:shd w:val="clear" w:color="auto" w:fill="auto"/>
            <w:vAlign w:val="center"/>
          </w:tcPr>
          <w:p w14:paraId="531A60AF" w14:textId="17AD9DD1" w:rsidR="00735E5B" w:rsidRPr="00D655A4" w:rsidRDefault="00735E5B" w:rsidP="00735E5B">
            <w:pPr>
              <w:spacing w:after="0" w:line="240" w:lineRule="auto"/>
              <w:jc w:val="center"/>
              <w:rPr>
                <w:rFonts w:eastAsia="Times New Roman" w:cs="Calibri"/>
                <w:color w:val="000000"/>
                <w:sz w:val="16"/>
                <w:szCs w:val="16"/>
              </w:rPr>
            </w:pPr>
            <w:r w:rsidRPr="00D655A4">
              <w:rPr>
                <w:color w:val="000000"/>
                <w:sz w:val="16"/>
                <w:szCs w:val="16"/>
              </w:rPr>
              <w:t>75.3%</w:t>
            </w:r>
          </w:p>
        </w:tc>
        <w:tc>
          <w:tcPr>
            <w:tcW w:w="1331" w:type="dxa"/>
            <w:tcBorders>
              <w:top w:val="single" w:sz="4" w:space="0" w:color="auto"/>
              <w:left w:val="nil"/>
              <w:bottom w:val="single" w:sz="4" w:space="0" w:color="auto"/>
              <w:right w:val="nil"/>
            </w:tcBorders>
            <w:shd w:val="clear" w:color="auto" w:fill="auto"/>
            <w:vAlign w:val="center"/>
          </w:tcPr>
          <w:p w14:paraId="35FBF690" w14:textId="6E3047A0" w:rsidR="00735E5B" w:rsidRPr="00D655A4" w:rsidRDefault="00735E5B" w:rsidP="00735E5B">
            <w:pPr>
              <w:spacing w:after="0" w:line="240" w:lineRule="auto"/>
              <w:jc w:val="center"/>
              <w:rPr>
                <w:rFonts w:eastAsia="Times New Roman" w:cs="Calibri"/>
                <w:color w:val="000000"/>
                <w:sz w:val="16"/>
                <w:szCs w:val="16"/>
              </w:rPr>
            </w:pPr>
            <w:r w:rsidRPr="00D655A4">
              <w:rPr>
                <w:color w:val="000000"/>
                <w:sz w:val="16"/>
                <w:szCs w:val="16"/>
              </w:rPr>
              <w:t>76.0%</w:t>
            </w:r>
          </w:p>
        </w:tc>
        <w:tc>
          <w:tcPr>
            <w:tcW w:w="1331" w:type="dxa"/>
            <w:tcBorders>
              <w:top w:val="single" w:sz="4" w:space="0" w:color="auto"/>
              <w:left w:val="nil"/>
              <w:bottom w:val="single" w:sz="4" w:space="0" w:color="auto"/>
              <w:right w:val="nil"/>
            </w:tcBorders>
            <w:shd w:val="clear" w:color="auto" w:fill="auto"/>
            <w:vAlign w:val="center"/>
          </w:tcPr>
          <w:p w14:paraId="1E2EB5C0" w14:textId="373DD2FB" w:rsidR="00735E5B" w:rsidRPr="00D655A4" w:rsidRDefault="00AD6CEB" w:rsidP="00735E5B">
            <w:pPr>
              <w:spacing w:after="0" w:line="240" w:lineRule="auto"/>
              <w:jc w:val="center"/>
              <w:rPr>
                <w:rFonts w:eastAsia="Times New Roman" w:cs="Calibri"/>
                <w:color w:val="000000"/>
                <w:sz w:val="16"/>
                <w:szCs w:val="16"/>
              </w:rPr>
            </w:pPr>
            <w:r>
              <w:rPr>
                <w:color w:val="000000"/>
                <w:sz w:val="16"/>
                <w:szCs w:val="16"/>
              </w:rPr>
              <w:t>75.0</w:t>
            </w:r>
            <w:r w:rsidR="00735E5B" w:rsidRPr="00D655A4">
              <w:rPr>
                <w:color w:val="000000"/>
                <w:sz w:val="16"/>
                <w:szCs w:val="16"/>
              </w:rPr>
              <w:t>%</w:t>
            </w:r>
          </w:p>
        </w:tc>
        <w:tc>
          <w:tcPr>
            <w:tcW w:w="1331" w:type="dxa"/>
            <w:tcBorders>
              <w:top w:val="single" w:sz="4" w:space="0" w:color="auto"/>
              <w:left w:val="nil"/>
              <w:bottom w:val="single" w:sz="4" w:space="0" w:color="auto"/>
              <w:right w:val="nil"/>
            </w:tcBorders>
            <w:shd w:val="clear" w:color="auto" w:fill="auto"/>
            <w:vAlign w:val="center"/>
          </w:tcPr>
          <w:p w14:paraId="00FF4C83" w14:textId="297BCD8E" w:rsidR="00735E5B" w:rsidRPr="00D655A4" w:rsidRDefault="000A0826" w:rsidP="00735E5B">
            <w:pPr>
              <w:spacing w:after="0" w:line="240" w:lineRule="auto"/>
              <w:jc w:val="center"/>
              <w:rPr>
                <w:rFonts w:eastAsia="Times New Roman" w:cs="Calibri"/>
                <w:color w:val="000000"/>
                <w:sz w:val="16"/>
                <w:szCs w:val="16"/>
                <w:lang w:val="en-US"/>
              </w:rPr>
            </w:pPr>
            <w:r>
              <w:rPr>
                <w:color w:val="000000"/>
                <w:sz w:val="16"/>
                <w:szCs w:val="16"/>
              </w:rPr>
              <w:t>85.0%</w:t>
            </w:r>
          </w:p>
        </w:tc>
        <w:tc>
          <w:tcPr>
            <w:tcW w:w="1331" w:type="dxa"/>
            <w:tcBorders>
              <w:top w:val="single" w:sz="4" w:space="0" w:color="auto"/>
              <w:left w:val="nil"/>
              <w:bottom w:val="single" w:sz="4" w:space="0" w:color="auto"/>
              <w:right w:val="nil"/>
            </w:tcBorders>
            <w:shd w:val="clear" w:color="auto" w:fill="auto"/>
            <w:vAlign w:val="center"/>
          </w:tcPr>
          <w:p w14:paraId="5D26F52F" w14:textId="701ED9FD" w:rsidR="00735E5B" w:rsidRPr="00D655A4" w:rsidRDefault="000A0826" w:rsidP="00735E5B">
            <w:pPr>
              <w:spacing w:after="0" w:line="240" w:lineRule="auto"/>
              <w:jc w:val="center"/>
              <w:rPr>
                <w:rFonts w:eastAsia="Times New Roman" w:cs="Calibri"/>
                <w:color w:val="000000"/>
                <w:sz w:val="16"/>
                <w:szCs w:val="16"/>
                <w:lang w:val="en-US"/>
              </w:rPr>
            </w:pPr>
            <w:r>
              <w:rPr>
                <w:color w:val="000000"/>
                <w:sz w:val="16"/>
                <w:szCs w:val="16"/>
              </w:rPr>
              <w:t>67.3</w:t>
            </w:r>
            <w:r w:rsidRPr="00D655A4">
              <w:rPr>
                <w:color w:val="000000"/>
                <w:sz w:val="16"/>
                <w:szCs w:val="16"/>
              </w:rPr>
              <w:t>%</w:t>
            </w:r>
          </w:p>
        </w:tc>
      </w:tr>
    </w:tbl>
    <w:p w14:paraId="4FFDE1EA" w14:textId="479C1B6F" w:rsidR="00850C5F" w:rsidRDefault="00850C5F" w:rsidP="00996EA7">
      <w:pPr>
        <w:pStyle w:val="CaptionTable"/>
        <w:ind w:left="0"/>
      </w:pPr>
      <w:bookmarkStart w:id="211" w:name="_Toc40454695"/>
      <w:r>
        <w:lastRenderedPageBreak/>
        <w:t>Utilisation in medium organisations</w:t>
      </w:r>
      <w:bookmarkEnd w:id="211"/>
    </w:p>
    <w:tbl>
      <w:tblPr>
        <w:tblW w:w="9157" w:type="dxa"/>
        <w:tblLook w:val="04A0" w:firstRow="1" w:lastRow="0" w:firstColumn="1" w:lastColumn="0" w:noHBand="0" w:noVBand="1"/>
      </w:tblPr>
      <w:tblGrid>
        <w:gridCol w:w="2502"/>
        <w:gridCol w:w="1331"/>
        <w:gridCol w:w="1331"/>
        <w:gridCol w:w="1331"/>
        <w:gridCol w:w="1331"/>
        <w:gridCol w:w="1331"/>
      </w:tblGrid>
      <w:tr w:rsidR="00850C5F" w:rsidRPr="008C28C1" w14:paraId="3A884F13" w14:textId="77777777" w:rsidTr="008C28C1">
        <w:trPr>
          <w:trHeight w:val="282"/>
        </w:trPr>
        <w:tc>
          <w:tcPr>
            <w:tcW w:w="2502" w:type="dxa"/>
            <w:tcBorders>
              <w:top w:val="single" w:sz="12" w:space="0" w:color="62B5E5" w:themeColor="accent3"/>
              <w:left w:val="nil"/>
              <w:bottom w:val="single" w:sz="4" w:space="0" w:color="auto"/>
              <w:right w:val="nil"/>
            </w:tcBorders>
            <w:shd w:val="clear" w:color="auto" w:fill="auto"/>
            <w:vAlign w:val="center"/>
            <w:hideMark/>
          </w:tcPr>
          <w:p w14:paraId="50812E73" w14:textId="77777777" w:rsidR="00850C5F" w:rsidRPr="00D655A4" w:rsidRDefault="00850C5F" w:rsidP="008C28C1">
            <w:pPr>
              <w:keepNext/>
              <w:keepLines/>
              <w:spacing w:after="0" w:line="240" w:lineRule="auto"/>
              <w:rPr>
                <w:rFonts w:eastAsia="Times New Roman" w:cs="Calibri"/>
                <w:b/>
                <w:bCs/>
                <w:color w:val="000000"/>
                <w:sz w:val="16"/>
                <w:szCs w:val="16"/>
                <w:lang w:val="en-US"/>
              </w:rPr>
            </w:pPr>
            <w:r w:rsidRPr="00D655A4">
              <w:rPr>
                <w:rFonts w:eastAsia="Times New Roman" w:cs="Calibri"/>
                <w:b/>
                <w:bCs/>
                <w:color w:val="000000"/>
                <w:sz w:val="16"/>
                <w:szCs w:val="16"/>
              </w:rPr>
              <w:t> </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06DFDE34" w14:textId="77777777" w:rsidR="00850C5F" w:rsidRPr="00D655A4" w:rsidRDefault="00850C5F"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Mean</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555C1DFF" w14:textId="77777777" w:rsidR="00850C5F" w:rsidRPr="00D655A4" w:rsidRDefault="00850C5F"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WM</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49F7A6D0" w14:textId="77777777" w:rsidR="00850C5F" w:rsidRPr="00D655A4" w:rsidRDefault="00850C5F"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Median</w:t>
            </w:r>
          </w:p>
        </w:tc>
        <w:tc>
          <w:tcPr>
            <w:tcW w:w="1331" w:type="dxa"/>
            <w:tcBorders>
              <w:top w:val="single" w:sz="12" w:space="0" w:color="62B5E5" w:themeColor="accent3"/>
              <w:left w:val="nil"/>
              <w:bottom w:val="single" w:sz="4" w:space="0" w:color="auto"/>
              <w:right w:val="nil"/>
            </w:tcBorders>
            <w:shd w:val="clear" w:color="auto" w:fill="auto"/>
            <w:vAlign w:val="center"/>
          </w:tcPr>
          <w:p w14:paraId="3CC757F9" w14:textId="77777777" w:rsidR="00850C5F" w:rsidRPr="00D655A4" w:rsidRDefault="00850C5F"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25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c>
          <w:tcPr>
            <w:tcW w:w="1331" w:type="dxa"/>
            <w:tcBorders>
              <w:top w:val="single" w:sz="12" w:space="0" w:color="62B5E5" w:themeColor="accent3"/>
              <w:left w:val="nil"/>
              <w:bottom w:val="single" w:sz="4" w:space="0" w:color="auto"/>
              <w:right w:val="nil"/>
            </w:tcBorders>
            <w:shd w:val="clear" w:color="auto" w:fill="auto"/>
            <w:vAlign w:val="center"/>
          </w:tcPr>
          <w:p w14:paraId="4686C033" w14:textId="77777777" w:rsidR="00850C5F" w:rsidRPr="00D655A4" w:rsidRDefault="00850C5F"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75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r>
      <w:tr w:rsidR="00A672CD" w:rsidRPr="009C1642" w14:paraId="4B09390A"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7BF37A74" w14:textId="77777777" w:rsidR="00A672CD" w:rsidRPr="00D655A4" w:rsidRDefault="00A672CD" w:rsidP="008C28C1">
            <w:pPr>
              <w:keepNext/>
              <w:keepLines/>
              <w:spacing w:after="0" w:line="240" w:lineRule="auto"/>
              <w:rPr>
                <w:rFonts w:eastAsia="Times New Roman" w:cs="Calibri"/>
                <w:color w:val="000000"/>
                <w:sz w:val="16"/>
                <w:szCs w:val="16"/>
              </w:rPr>
            </w:pPr>
            <w:r w:rsidRPr="00D655A4">
              <w:rPr>
                <w:rFonts w:eastAsia="Times New Roman" w:cs="Calibri"/>
                <w:color w:val="000000"/>
                <w:sz w:val="16"/>
                <w:szCs w:val="16"/>
              </w:rPr>
              <w:t>Non</w:t>
            </w:r>
            <w:r w:rsidRPr="00D655A4">
              <w:rPr>
                <w:rFonts w:eastAsia="Times New Roman" w:cs="Calibri"/>
                <w:color w:val="000000"/>
                <w:sz w:val="16"/>
                <w:szCs w:val="16"/>
              </w:rPr>
              <w:noBreakHyphen/>
              <w:t>billable travel time</w:t>
            </w:r>
          </w:p>
        </w:tc>
        <w:tc>
          <w:tcPr>
            <w:tcW w:w="1331" w:type="dxa"/>
            <w:tcBorders>
              <w:top w:val="single" w:sz="4" w:space="0" w:color="auto"/>
              <w:left w:val="nil"/>
              <w:bottom w:val="single" w:sz="4" w:space="0" w:color="auto"/>
              <w:right w:val="nil"/>
            </w:tcBorders>
            <w:shd w:val="clear" w:color="auto" w:fill="auto"/>
            <w:vAlign w:val="center"/>
          </w:tcPr>
          <w:p w14:paraId="46ADB697" w14:textId="27F9D70B"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4.7%</w:t>
            </w:r>
          </w:p>
        </w:tc>
        <w:tc>
          <w:tcPr>
            <w:tcW w:w="1331" w:type="dxa"/>
            <w:tcBorders>
              <w:top w:val="single" w:sz="4" w:space="0" w:color="auto"/>
              <w:left w:val="nil"/>
              <w:bottom w:val="single" w:sz="4" w:space="0" w:color="auto"/>
              <w:right w:val="nil"/>
            </w:tcBorders>
            <w:shd w:val="clear" w:color="auto" w:fill="auto"/>
            <w:vAlign w:val="center"/>
          </w:tcPr>
          <w:p w14:paraId="1142A1D7" w14:textId="36BB8256"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4.5%</w:t>
            </w:r>
          </w:p>
        </w:tc>
        <w:tc>
          <w:tcPr>
            <w:tcW w:w="1331" w:type="dxa"/>
            <w:tcBorders>
              <w:top w:val="single" w:sz="4" w:space="0" w:color="auto"/>
              <w:left w:val="nil"/>
              <w:bottom w:val="single" w:sz="4" w:space="0" w:color="auto"/>
              <w:right w:val="nil"/>
            </w:tcBorders>
            <w:shd w:val="clear" w:color="auto" w:fill="auto"/>
            <w:vAlign w:val="center"/>
          </w:tcPr>
          <w:p w14:paraId="4447668F" w14:textId="5283DFB4"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2.0%</w:t>
            </w:r>
          </w:p>
        </w:tc>
        <w:tc>
          <w:tcPr>
            <w:tcW w:w="1331" w:type="dxa"/>
            <w:tcBorders>
              <w:top w:val="nil"/>
              <w:left w:val="nil"/>
              <w:bottom w:val="single" w:sz="8" w:space="0" w:color="000000"/>
              <w:right w:val="nil"/>
            </w:tcBorders>
            <w:shd w:val="clear" w:color="auto" w:fill="auto"/>
            <w:vAlign w:val="center"/>
          </w:tcPr>
          <w:p w14:paraId="0236514C" w14:textId="2CE63C69"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0.0%</w:t>
            </w:r>
          </w:p>
        </w:tc>
        <w:tc>
          <w:tcPr>
            <w:tcW w:w="1331" w:type="dxa"/>
            <w:tcBorders>
              <w:top w:val="nil"/>
              <w:left w:val="nil"/>
              <w:bottom w:val="single" w:sz="8" w:space="0" w:color="000000"/>
              <w:right w:val="nil"/>
            </w:tcBorders>
            <w:shd w:val="clear" w:color="auto" w:fill="auto"/>
            <w:vAlign w:val="center"/>
          </w:tcPr>
          <w:p w14:paraId="78D97FD0" w14:textId="17A85BC4"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8.5%</w:t>
            </w:r>
          </w:p>
        </w:tc>
      </w:tr>
      <w:tr w:rsidR="00A672CD" w:rsidRPr="009C1642" w14:paraId="3922AB34"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3BDE0362" w14:textId="77777777" w:rsidR="00A672CD" w:rsidRPr="00D655A4" w:rsidRDefault="00A672CD" w:rsidP="008C28C1">
            <w:pPr>
              <w:keepNext/>
              <w:keepLines/>
              <w:spacing w:after="0" w:line="240" w:lineRule="auto"/>
              <w:rPr>
                <w:rFonts w:eastAsia="Times New Roman" w:cs="Calibri"/>
                <w:color w:val="000000"/>
                <w:sz w:val="16"/>
                <w:szCs w:val="16"/>
              </w:rPr>
            </w:pPr>
            <w:r w:rsidRPr="00D655A4">
              <w:rPr>
                <w:rFonts w:eastAsia="Times New Roman" w:cs="Calibri"/>
                <w:color w:val="000000"/>
                <w:sz w:val="16"/>
                <w:szCs w:val="16"/>
              </w:rPr>
              <w:t>Breaks</w:t>
            </w:r>
          </w:p>
        </w:tc>
        <w:tc>
          <w:tcPr>
            <w:tcW w:w="1331" w:type="dxa"/>
            <w:tcBorders>
              <w:top w:val="single" w:sz="4" w:space="0" w:color="auto"/>
              <w:left w:val="nil"/>
              <w:bottom w:val="single" w:sz="4" w:space="0" w:color="auto"/>
              <w:right w:val="nil"/>
            </w:tcBorders>
            <w:shd w:val="clear" w:color="auto" w:fill="auto"/>
            <w:vAlign w:val="center"/>
          </w:tcPr>
          <w:p w14:paraId="4F349CC5" w14:textId="2829DAA7"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2.4%</w:t>
            </w:r>
          </w:p>
        </w:tc>
        <w:tc>
          <w:tcPr>
            <w:tcW w:w="1331" w:type="dxa"/>
            <w:tcBorders>
              <w:top w:val="single" w:sz="4" w:space="0" w:color="auto"/>
              <w:left w:val="nil"/>
              <w:bottom w:val="single" w:sz="4" w:space="0" w:color="auto"/>
              <w:right w:val="nil"/>
            </w:tcBorders>
            <w:shd w:val="clear" w:color="auto" w:fill="auto"/>
            <w:vAlign w:val="center"/>
          </w:tcPr>
          <w:p w14:paraId="306F0710" w14:textId="68B5FF79"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2.2%</w:t>
            </w:r>
          </w:p>
        </w:tc>
        <w:tc>
          <w:tcPr>
            <w:tcW w:w="1331" w:type="dxa"/>
            <w:tcBorders>
              <w:top w:val="single" w:sz="4" w:space="0" w:color="auto"/>
              <w:left w:val="nil"/>
              <w:bottom w:val="single" w:sz="4" w:space="0" w:color="auto"/>
              <w:right w:val="nil"/>
            </w:tcBorders>
            <w:shd w:val="clear" w:color="auto" w:fill="auto"/>
            <w:vAlign w:val="center"/>
          </w:tcPr>
          <w:p w14:paraId="2E6EADF5" w14:textId="2916B7C0"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0.5%</w:t>
            </w:r>
          </w:p>
        </w:tc>
        <w:tc>
          <w:tcPr>
            <w:tcW w:w="1331" w:type="dxa"/>
            <w:tcBorders>
              <w:top w:val="nil"/>
              <w:left w:val="nil"/>
              <w:bottom w:val="single" w:sz="8" w:space="0" w:color="000000"/>
              <w:right w:val="nil"/>
            </w:tcBorders>
            <w:shd w:val="clear" w:color="auto" w:fill="auto"/>
            <w:vAlign w:val="center"/>
          </w:tcPr>
          <w:p w14:paraId="67144BDF" w14:textId="30D53CF4"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0.0%</w:t>
            </w:r>
          </w:p>
        </w:tc>
        <w:tc>
          <w:tcPr>
            <w:tcW w:w="1331" w:type="dxa"/>
            <w:tcBorders>
              <w:top w:val="nil"/>
              <w:left w:val="nil"/>
              <w:bottom w:val="single" w:sz="8" w:space="0" w:color="000000"/>
              <w:right w:val="nil"/>
            </w:tcBorders>
            <w:shd w:val="clear" w:color="auto" w:fill="auto"/>
            <w:vAlign w:val="center"/>
          </w:tcPr>
          <w:p w14:paraId="10AF88E0" w14:textId="7F9032CE"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4.6%</w:t>
            </w:r>
          </w:p>
        </w:tc>
      </w:tr>
      <w:tr w:rsidR="00A672CD" w:rsidRPr="009C1642" w14:paraId="7813D546"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020EBBB7" w14:textId="77777777" w:rsidR="00A672CD" w:rsidRPr="00D655A4" w:rsidRDefault="00A672CD" w:rsidP="008C28C1">
            <w:pPr>
              <w:keepNext/>
              <w:keepLines/>
              <w:spacing w:after="0" w:line="240" w:lineRule="auto"/>
              <w:rPr>
                <w:rFonts w:eastAsia="Times New Roman" w:cs="Calibri"/>
                <w:color w:val="000000"/>
                <w:sz w:val="16"/>
                <w:szCs w:val="16"/>
              </w:rPr>
            </w:pPr>
            <w:r w:rsidRPr="00D655A4">
              <w:rPr>
                <w:rFonts w:eastAsia="Times New Roman" w:cs="Calibri"/>
                <w:color w:val="000000"/>
                <w:sz w:val="16"/>
                <w:szCs w:val="16"/>
              </w:rPr>
              <w:t>Training</w:t>
            </w:r>
          </w:p>
        </w:tc>
        <w:tc>
          <w:tcPr>
            <w:tcW w:w="1331" w:type="dxa"/>
            <w:tcBorders>
              <w:top w:val="single" w:sz="4" w:space="0" w:color="auto"/>
              <w:left w:val="nil"/>
              <w:bottom w:val="single" w:sz="4" w:space="0" w:color="auto"/>
              <w:right w:val="nil"/>
            </w:tcBorders>
            <w:shd w:val="clear" w:color="auto" w:fill="auto"/>
            <w:vAlign w:val="center"/>
          </w:tcPr>
          <w:p w14:paraId="0A441C72" w14:textId="6793FEB7"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3.8%</w:t>
            </w:r>
          </w:p>
        </w:tc>
        <w:tc>
          <w:tcPr>
            <w:tcW w:w="1331" w:type="dxa"/>
            <w:tcBorders>
              <w:top w:val="single" w:sz="4" w:space="0" w:color="auto"/>
              <w:left w:val="nil"/>
              <w:bottom w:val="single" w:sz="4" w:space="0" w:color="auto"/>
              <w:right w:val="nil"/>
            </w:tcBorders>
            <w:shd w:val="clear" w:color="auto" w:fill="auto"/>
            <w:vAlign w:val="center"/>
          </w:tcPr>
          <w:p w14:paraId="72040766" w14:textId="339F94A3"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3.5%</w:t>
            </w:r>
          </w:p>
        </w:tc>
        <w:tc>
          <w:tcPr>
            <w:tcW w:w="1331" w:type="dxa"/>
            <w:tcBorders>
              <w:top w:val="single" w:sz="4" w:space="0" w:color="auto"/>
              <w:left w:val="nil"/>
              <w:bottom w:val="single" w:sz="4" w:space="0" w:color="auto"/>
              <w:right w:val="nil"/>
            </w:tcBorders>
            <w:shd w:val="clear" w:color="auto" w:fill="auto"/>
            <w:vAlign w:val="center"/>
          </w:tcPr>
          <w:p w14:paraId="1F9CB78D" w14:textId="0C16091C"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3.0%</w:t>
            </w:r>
          </w:p>
        </w:tc>
        <w:tc>
          <w:tcPr>
            <w:tcW w:w="1331" w:type="dxa"/>
            <w:tcBorders>
              <w:top w:val="nil"/>
              <w:left w:val="nil"/>
              <w:bottom w:val="single" w:sz="8" w:space="0" w:color="000000"/>
              <w:right w:val="nil"/>
            </w:tcBorders>
            <w:shd w:val="clear" w:color="auto" w:fill="auto"/>
            <w:vAlign w:val="center"/>
          </w:tcPr>
          <w:p w14:paraId="5A3A6F51" w14:textId="59FA04B1"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2.0%</w:t>
            </w:r>
          </w:p>
        </w:tc>
        <w:tc>
          <w:tcPr>
            <w:tcW w:w="1331" w:type="dxa"/>
            <w:tcBorders>
              <w:top w:val="nil"/>
              <w:left w:val="nil"/>
              <w:bottom w:val="single" w:sz="8" w:space="0" w:color="000000"/>
              <w:right w:val="nil"/>
            </w:tcBorders>
            <w:shd w:val="clear" w:color="auto" w:fill="auto"/>
            <w:vAlign w:val="center"/>
          </w:tcPr>
          <w:p w14:paraId="0ECD6121" w14:textId="6792DDE1"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5.0%</w:t>
            </w:r>
          </w:p>
        </w:tc>
      </w:tr>
      <w:tr w:rsidR="00A672CD" w:rsidRPr="009C1642" w14:paraId="16FA1D84"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2BE9D7AA" w14:textId="77777777" w:rsidR="00A672CD" w:rsidRPr="00D655A4" w:rsidRDefault="00A672CD" w:rsidP="008C28C1">
            <w:pPr>
              <w:keepNext/>
              <w:keepLines/>
              <w:spacing w:after="0" w:line="240" w:lineRule="auto"/>
              <w:rPr>
                <w:rFonts w:eastAsia="Times New Roman" w:cs="Calibri"/>
                <w:color w:val="000000"/>
                <w:sz w:val="16"/>
                <w:szCs w:val="16"/>
              </w:rPr>
            </w:pPr>
            <w:r w:rsidRPr="00D655A4">
              <w:rPr>
                <w:rFonts w:eastAsia="Times New Roman" w:cs="Calibri"/>
                <w:color w:val="000000"/>
                <w:sz w:val="16"/>
                <w:szCs w:val="16"/>
              </w:rPr>
              <w:t>Client related admin</w:t>
            </w:r>
          </w:p>
        </w:tc>
        <w:tc>
          <w:tcPr>
            <w:tcW w:w="1331" w:type="dxa"/>
            <w:tcBorders>
              <w:top w:val="single" w:sz="4" w:space="0" w:color="auto"/>
              <w:left w:val="nil"/>
              <w:bottom w:val="single" w:sz="4" w:space="0" w:color="auto"/>
              <w:right w:val="nil"/>
            </w:tcBorders>
            <w:shd w:val="clear" w:color="auto" w:fill="auto"/>
            <w:vAlign w:val="center"/>
          </w:tcPr>
          <w:p w14:paraId="45036AB3" w14:textId="44682D1F"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5.7%</w:t>
            </w:r>
          </w:p>
        </w:tc>
        <w:tc>
          <w:tcPr>
            <w:tcW w:w="1331" w:type="dxa"/>
            <w:tcBorders>
              <w:top w:val="single" w:sz="4" w:space="0" w:color="auto"/>
              <w:left w:val="nil"/>
              <w:bottom w:val="single" w:sz="4" w:space="0" w:color="auto"/>
              <w:right w:val="nil"/>
            </w:tcBorders>
            <w:shd w:val="clear" w:color="auto" w:fill="auto"/>
            <w:vAlign w:val="center"/>
          </w:tcPr>
          <w:p w14:paraId="2F213BFB" w14:textId="6B97CFB5"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5.5%</w:t>
            </w:r>
          </w:p>
        </w:tc>
        <w:tc>
          <w:tcPr>
            <w:tcW w:w="1331" w:type="dxa"/>
            <w:tcBorders>
              <w:top w:val="single" w:sz="4" w:space="0" w:color="auto"/>
              <w:left w:val="nil"/>
              <w:bottom w:val="single" w:sz="4" w:space="0" w:color="auto"/>
              <w:right w:val="nil"/>
            </w:tcBorders>
            <w:shd w:val="clear" w:color="auto" w:fill="auto"/>
            <w:vAlign w:val="center"/>
          </w:tcPr>
          <w:p w14:paraId="2906D5B1" w14:textId="3A083D9A" w:rsidR="00A672CD" w:rsidRPr="00D655A4" w:rsidRDefault="00A672CD" w:rsidP="008C28C1">
            <w:pPr>
              <w:keepNext/>
              <w:keepLines/>
              <w:spacing w:after="0" w:line="240" w:lineRule="auto"/>
              <w:jc w:val="center"/>
              <w:rPr>
                <w:rFonts w:eastAsia="Times New Roman" w:cs="Calibri"/>
                <w:color w:val="000000"/>
                <w:sz w:val="16"/>
                <w:szCs w:val="16"/>
              </w:rPr>
            </w:pPr>
            <w:r w:rsidRPr="00D655A4">
              <w:rPr>
                <w:rFonts w:eastAsia="Times New Roman" w:cs="Calibri"/>
                <w:color w:val="000000"/>
                <w:sz w:val="16"/>
                <w:szCs w:val="16"/>
              </w:rPr>
              <w:t>5.0%</w:t>
            </w:r>
          </w:p>
        </w:tc>
        <w:tc>
          <w:tcPr>
            <w:tcW w:w="1331" w:type="dxa"/>
            <w:tcBorders>
              <w:top w:val="nil"/>
              <w:left w:val="nil"/>
              <w:bottom w:val="single" w:sz="8" w:space="0" w:color="000000"/>
              <w:right w:val="nil"/>
            </w:tcBorders>
            <w:shd w:val="clear" w:color="auto" w:fill="auto"/>
            <w:vAlign w:val="center"/>
          </w:tcPr>
          <w:p w14:paraId="0640A20C" w14:textId="0856E9F1"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2.0%</w:t>
            </w:r>
          </w:p>
        </w:tc>
        <w:tc>
          <w:tcPr>
            <w:tcW w:w="1331" w:type="dxa"/>
            <w:tcBorders>
              <w:top w:val="nil"/>
              <w:left w:val="nil"/>
              <w:bottom w:val="single" w:sz="8" w:space="0" w:color="000000"/>
              <w:right w:val="nil"/>
            </w:tcBorders>
            <w:shd w:val="clear" w:color="auto" w:fill="auto"/>
            <w:vAlign w:val="center"/>
          </w:tcPr>
          <w:p w14:paraId="7895696B" w14:textId="095976EE"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8.0%</w:t>
            </w:r>
          </w:p>
        </w:tc>
      </w:tr>
      <w:tr w:rsidR="00A672CD" w:rsidRPr="009C1642" w14:paraId="2ED1EA24" w14:textId="77777777" w:rsidTr="00AD6CEB">
        <w:trPr>
          <w:trHeight w:val="390"/>
        </w:trPr>
        <w:tc>
          <w:tcPr>
            <w:tcW w:w="2502" w:type="dxa"/>
            <w:tcBorders>
              <w:top w:val="single" w:sz="4" w:space="0" w:color="auto"/>
              <w:left w:val="nil"/>
              <w:bottom w:val="single" w:sz="4" w:space="0" w:color="auto"/>
              <w:right w:val="nil"/>
            </w:tcBorders>
            <w:shd w:val="clear" w:color="auto" w:fill="auto"/>
            <w:vAlign w:val="center"/>
          </w:tcPr>
          <w:p w14:paraId="144B1D4F" w14:textId="77777777" w:rsidR="00A672CD" w:rsidRPr="00D655A4" w:rsidRDefault="00A672CD" w:rsidP="008C28C1">
            <w:pPr>
              <w:keepNext/>
              <w:keepLines/>
              <w:spacing w:after="0" w:line="240" w:lineRule="auto"/>
              <w:rPr>
                <w:rFonts w:eastAsia="Times New Roman" w:cs="Calibri"/>
                <w:color w:val="000000"/>
                <w:sz w:val="16"/>
                <w:szCs w:val="16"/>
              </w:rPr>
            </w:pPr>
            <w:r w:rsidRPr="00D655A4">
              <w:rPr>
                <w:rFonts w:eastAsia="Times New Roman" w:cs="Calibri"/>
                <w:color w:val="000000"/>
                <w:sz w:val="16"/>
                <w:szCs w:val="16"/>
              </w:rPr>
              <w:t>General admin and other tasks</w:t>
            </w:r>
          </w:p>
        </w:tc>
        <w:tc>
          <w:tcPr>
            <w:tcW w:w="1331" w:type="dxa"/>
            <w:tcBorders>
              <w:top w:val="nil"/>
              <w:left w:val="nil"/>
              <w:bottom w:val="single" w:sz="4" w:space="0" w:color="auto"/>
              <w:right w:val="nil"/>
            </w:tcBorders>
            <w:shd w:val="clear" w:color="auto" w:fill="auto"/>
            <w:vAlign w:val="center"/>
          </w:tcPr>
          <w:p w14:paraId="20B016B3" w14:textId="6E249E6B" w:rsidR="00A672CD" w:rsidRPr="00D655A4" w:rsidRDefault="00A672CD" w:rsidP="008C28C1">
            <w:pPr>
              <w:keepNext/>
              <w:keepLines/>
              <w:spacing w:after="0" w:line="240" w:lineRule="auto"/>
              <w:jc w:val="center"/>
              <w:rPr>
                <w:rFonts w:eastAsia="Times New Roman" w:cs="Calibri"/>
                <w:color w:val="000000"/>
                <w:sz w:val="16"/>
                <w:szCs w:val="16"/>
              </w:rPr>
            </w:pPr>
            <w:r w:rsidRPr="00D655A4">
              <w:rPr>
                <w:color w:val="000000"/>
                <w:sz w:val="16"/>
                <w:szCs w:val="16"/>
              </w:rPr>
              <w:t>3.5%</w:t>
            </w:r>
          </w:p>
        </w:tc>
        <w:tc>
          <w:tcPr>
            <w:tcW w:w="1331" w:type="dxa"/>
            <w:tcBorders>
              <w:top w:val="nil"/>
              <w:left w:val="nil"/>
              <w:bottom w:val="single" w:sz="4" w:space="0" w:color="auto"/>
              <w:right w:val="nil"/>
            </w:tcBorders>
            <w:shd w:val="clear" w:color="auto" w:fill="auto"/>
            <w:vAlign w:val="center"/>
          </w:tcPr>
          <w:p w14:paraId="1E6390F2" w14:textId="2555CBE5" w:rsidR="00A672CD" w:rsidRPr="00D655A4" w:rsidRDefault="00A672CD" w:rsidP="008C28C1">
            <w:pPr>
              <w:keepNext/>
              <w:keepLines/>
              <w:spacing w:after="0" w:line="240" w:lineRule="auto"/>
              <w:jc w:val="center"/>
              <w:rPr>
                <w:rFonts w:eastAsia="Times New Roman" w:cs="Calibri"/>
                <w:color w:val="000000"/>
                <w:sz w:val="16"/>
                <w:szCs w:val="16"/>
              </w:rPr>
            </w:pPr>
            <w:r w:rsidRPr="00D655A4">
              <w:rPr>
                <w:color w:val="000000"/>
                <w:sz w:val="16"/>
                <w:szCs w:val="16"/>
              </w:rPr>
              <w:t>3.2%</w:t>
            </w:r>
          </w:p>
        </w:tc>
        <w:tc>
          <w:tcPr>
            <w:tcW w:w="1331" w:type="dxa"/>
            <w:tcBorders>
              <w:top w:val="nil"/>
              <w:left w:val="nil"/>
              <w:bottom w:val="single" w:sz="4" w:space="0" w:color="auto"/>
              <w:right w:val="nil"/>
            </w:tcBorders>
            <w:shd w:val="clear" w:color="auto" w:fill="auto"/>
            <w:vAlign w:val="center"/>
          </w:tcPr>
          <w:p w14:paraId="6CBC4511" w14:textId="16163A5E" w:rsidR="00A672CD" w:rsidRPr="00D655A4" w:rsidRDefault="00A672CD" w:rsidP="008C28C1">
            <w:pPr>
              <w:keepNext/>
              <w:keepLines/>
              <w:spacing w:after="0" w:line="240" w:lineRule="auto"/>
              <w:jc w:val="center"/>
              <w:rPr>
                <w:rFonts w:eastAsia="Times New Roman" w:cs="Calibri"/>
                <w:color w:val="000000"/>
                <w:sz w:val="16"/>
                <w:szCs w:val="16"/>
              </w:rPr>
            </w:pPr>
            <w:r w:rsidRPr="00D655A4">
              <w:rPr>
                <w:color w:val="000000"/>
                <w:sz w:val="16"/>
                <w:szCs w:val="16"/>
              </w:rPr>
              <w:t>2.0%</w:t>
            </w:r>
          </w:p>
        </w:tc>
        <w:tc>
          <w:tcPr>
            <w:tcW w:w="1331" w:type="dxa"/>
            <w:tcBorders>
              <w:top w:val="nil"/>
              <w:left w:val="nil"/>
              <w:bottom w:val="single" w:sz="4" w:space="0" w:color="auto"/>
              <w:right w:val="nil"/>
            </w:tcBorders>
            <w:shd w:val="clear" w:color="auto" w:fill="auto"/>
            <w:vAlign w:val="center"/>
          </w:tcPr>
          <w:p w14:paraId="0DB27D03" w14:textId="6DC9EBE2"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0.0%</w:t>
            </w:r>
          </w:p>
        </w:tc>
        <w:tc>
          <w:tcPr>
            <w:tcW w:w="1331" w:type="dxa"/>
            <w:tcBorders>
              <w:top w:val="nil"/>
              <w:left w:val="nil"/>
              <w:bottom w:val="single" w:sz="4" w:space="0" w:color="auto"/>
              <w:right w:val="nil"/>
            </w:tcBorders>
            <w:shd w:val="clear" w:color="auto" w:fill="auto"/>
            <w:vAlign w:val="center"/>
          </w:tcPr>
          <w:p w14:paraId="13729BDB" w14:textId="766B1EBB" w:rsidR="00A672CD" w:rsidRPr="00D655A4" w:rsidRDefault="00A672CD"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5.0%</w:t>
            </w:r>
          </w:p>
        </w:tc>
      </w:tr>
      <w:tr w:rsidR="00A672CD" w:rsidRPr="009C1642" w14:paraId="6971EDA9" w14:textId="77777777" w:rsidTr="00AD6CEB">
        <w:trPr>
          <w:trHeight w:val="390"/>
        </w:trPr>
        <w:tc>
          <w:tcPr>
            <w:tcW w:w="2502" w:type="dxa"/>
            <w:tcBorders>
              <w:top w:val="single" w:sz="4" w:space="0" w:color="auto"/>
              <w:left w:val="nil"/>
              <w:bottom w:val="single" w:sz="4" w:space="0" w:color="auto"/>
              <w:right w:val="nil"/>
            </w:tcBorders>
            <w:shd w:val="clear" w:color="auto" w:fill="auto"/>
            <w:vAlign w:val="center"/>
          </w:tcPr>
          <w:p w14:paraId="461028CA" w14:textId="77777777" w:rsidR="00A672CD" w:rsidRPr="00D655A4" w:rsidRDefault="00A672CD" w:rsidP="00A672CD">
            <w:pPr>
              <w:spacing w:after="0" w:line="240" w:lineRule="auto"/>
              <w:rPr>
                <w:rFonts w:eastAsia="Times New Roman" w:cs="Calibri"/>
                <w:color w:val="000000"/>
                <w:sz w:val="16"/>
                <w:szCs w:val="16"/>
              </w:rPr>
            </w:pPr>
            <w:r w:rsidRPr="00D655A4">
              <w:rPr>
                <w:rFonts w:eastAsia="Times New Roman" w:cs="Calibri"/>
                <w:i/>
                <w:iCs/>
                <w:color w:val="000000"/>
                <w:sz w:val="16"/>
                <w:szCs w:val="16"/>
              </w:rPr>
              <w:t>Total utilisation</w:t>
            </w:r>
          </w:p>
        </w:tc>
        <w:tc>
          <w:tcPr>
            <w:tcW w:w="1331" w:type="dxa"/>
            <w:tcBorders>
              <w:top w:val="single" w:sz="4" w:space="0" w:color="auto"/>
              <w:left w:val="nil"/>
              <w:bottom w:val="single" w:sz="4" w:space="0" w:color="auto"/>
              <w:right w:val="nil"/>
            </w:tcBorders>
            <w:shd w:val="clear" w:color="auto" w:fill="auto"/>
            <w:vAlign w:val="center"/>
          </w:tcPr>
          <w:p w14:paraId="74F9B2AF" w14:textId="7F4661AB" w:rsidR="00A672CD" w:rsidRPr="00D655A4" w:rsidRDefault="00A672CD" w:rsidP="00A672CD">
            <w:pPr>
              <w:spacing w:after="0" w:line="240" w:lineRule="auto"/>
              <w:jc w:val="center"/>
              <w:rPr>
                <w:rFonts w:eastAsia="Times New Roman" w:cs="Calibri"/>
                <w:color w:val="000000"/>
                <w:sz w:val="16"/>
                <w:szCs w:val="16"/>
              </w:rPr>
            </w:pPr>
            <w:r w:rsidRPr="00D655A4">
              <w:rPr>
                <w:color w:val="000000"/>
                <w:sz w:val="16"/>
                <w:szCs w:val="16"/>
              </w:rPr>
              <w:t>79.9%</w:t>
            </w:r>
          </w:p>
        </w:tc>
        <w:tc>
          <w:tcPr>
            <w:tcW w:w="1331" w:type="dxa"/>
            <w:tcBorders>
              <w:top w:val="single" w:sz="4" w:space="0" w:color="auto"/>
              <w:left w:val="nil"/>
              <w:bottom w:val="single" w:sz="4" w:space="0" w:color="auto"/>
              <w:right w:val="nil"/>
            </w:tcBorders>
            <w:shd w:val="clear" w:color="auto" w:fill="auto"/>
            <w:vAlign w:val="center"/>
          </w:tcPr>
          <w:p w14:paraId="2A48D398" w14:textId="75873911" w:rsidR="00A672CD" w:rsidRPr="00D655A4" w:rsidRDefault="00A672CD" w:rsidP="00A672CD">
            <w:pPr>
              <w:spacing w:after="0" w:line="240" w:lineRule="auto"/>
              <w:jc w:val="center"/>
              <w:rPr>
                <w:rFonts w:eastAsia="Times New Roman" w:cs="Calibri"/>
                <w:color w:val="000000"/>
                <w:sz w:val="16"/>
                <w:szCs w:val="16"/>
              </w:rPr>
            </w:pPr>
            <w:r w:rsidRPr="00D655A4">
              <w:rPr>
                <w:color w:val="000000"/>
                <w:sz w:val="16"/>
                <w:szCs w:val="16"/>
              </w:rPr>
              <w:t>81.1%</w:t>
            </w:r>
          </w:p>
        </w:tc>
        <w:tc>
          <w:tcPr>
            <w:tcW w:w="1331" w:type="dxa"/>
            <w:tcBorders>
              <w:top w:val="single" w:sz="4" w:space="0" w:color="auto"/>
              <w:left w:val="nil"/>
              <w:bottom w:val="single" w:sz="4" w:space="0" w:color="auto"/>
              <w:right w:val="nil"/>
            </w:tcBorders>
            <w:shd w:val="clear" w:color="auto" w:fill="auto"/>
            <w:vAlign w:val="center"/>
          </w:tcPr>
          <w:p w14:paraId="46EA36F9" w14:textId="6A9D9F1E" w:rsidR="00A672CD" w:rsidRPr="00D655A4" w:rsidRDefault="00AD6CEB" w:rsidP="00A672CD">
            <w:pPr>
              <w:spacing w:after="0" w:line="240" w:lineRule="auto"/>
              <w:jc w:val="center"/>
              <w:rPr>
                <w:rFonts w:eastAsia="Times New Roman" w:cs="Calibri"/>
                <w:color w:val="000000"/>
                <w:sz w:val="16"/>
                <w:szCs w:val="16"/>
              </w:rPr>
            </w:pPr>
            <w:r>
              <w:rPr>
                <w:color w:val="000000"/>
                <w:sz w:val="16"/>
                <w:szCs w:val="16"/>
              </w:rPr>
              <w:t>80.0</w:t>
            </w:r>
            <w:r w:rsidR="00A672CD" w:rsidRPr="00D655A4">
              <w:rPr>
                <w:color w:val="000000"/>
                <w:sz w:val="16"/>
                <w:szCs w:val="16"/>
              </w:rPr>
              <w:t>%</w:t>
            </w:r>
          </w:p>
        </w:tc>
        <w:tc>
          <w:tcPr>
            <w:tcW w:w="1331" w:type="dxa"/>
            <w:tcBorders>
              <w:top w:val="single" w:sz="4" w:space="0" w:color="auto"/>
              <w:left w:val="nil"/>
              <w:bottom w:val="single" w:sz="4" w:space="0" w:color="auto"/>
              <w:right w:val="nil"/>
            </w:tcBorders>
            <w:shd w:val="clear" w:color="auto" w:fill="auto"/>
            <w:vAlign w:val="center"/>
          </w:tcPr>
          <w:p w14:paraId="224BD69C" w14:textId="39F86455" w:rsidR="00A672CD" w:rsidRPr="00D655A4" w:rsidRDefault="000A0826" w:rsidP="00A672CD">
            <w:pPr>
              <w:spacing w:after="0" w:line="240" w:lineRule="auto"/>
              <w:jc w:val="center"/>
              <w:rPr>
                <w:rFonts w:eastAsia="Times New Roman" w:cs="Calibri"/>
                <w:color w:val="000000"/>
                <w:sz w:val="16"/>
                <w:szCs w:val="16"/>
                <w:lang w:val="en-US"/>
              </w:rPr>
            </w:pPr>
            <w:r>
              <w:rPr>
                <w:color w:val="000000"/>
                <w:sz w:val="16"/>
                <w:szCs w:val="16"/>
              </w:rPr>
              <w:t>88.5%</w:t>
            </w:r>
          </w:p>
        </w:tc>
        <w:tc>
          <w:tcPr>
            <w:tcW w:w="1331" w:type="dxa"/>
            <w:tcBorders>
              <w:top w:val="single" w:sz="4" w:space="0" w:color="auto"/>
              <w:left w:val="nil"/>
              <w:bottom w:val="single" w:sz="4" w:space="0" w:color="auto"/>
              <w:right w:val="nil"/>
            </w:tcBorders>
            <w:shd w:val="clear" w:color="auto" w:fill="auto"/>
            <w:vAlign w:val="center"/>
          </w:tcPr>
          <w:p w14:paraId="5274E494" w14:textId="3EDAC5D0" w:rsidR="00A672CD" w:rsidRPr="00D655A4" w:rsidRDefault="000A0826" w:rsidP="00A672CD">
            <w:pPr>
              <w:spacing w:after="0" w:line="240" w:lineRule="auto"/>
              <w:jc w:val="center"/>
              <w:rPr>
                <w:rFonts w:eastAsia="Times New Roman" w:cs="Calibri"/>
                <w:color w:val="000000"/>
                <w:sz w:val="16"/>
                <w:szCs w:val="16"/>
                <w:lang w:val="en-US"/>
              </w:rPr>
            </w:pPr>
            <w:r>
              <w:rPr>
                <w:color w:val="000000"/>
                <w:sz w:val="16"/>
                <w:szCs w:val="16"/>
              </w:rPr>
              <w:t>70.8</w:t>
            </w:r>
            <w:r w:rsidRPr="00D655A4">
              <w:rPr>
                <w:color w:val="000000"/>
                <w:sz w:val="16"/>
                <w:szCs w:val="16"/>
              </w:rPr>
              <w:t>%</w:t>
            </w:r>
          </w:p>
        </w:tc>
      </w:tr>
    </w:tbl>
    <w:p w14:paraId="62609883" w14:textId="66109AED" w:rsidR="00850C5F" w:rsidRDefault="00850C5F" w:rsidP="00DB66C5"/>
    <w:p w14:paraId="75A18C77" w14:textId="764C3DEC" w:rsidR="00850C5F" w:rsidRDefault="00850C5F" w:rsidP="00850C5F">
      <w:pPr>
        <w:pStyle w:val="CaptionTable"/>
        <w:ind w:left="0"/>
      </w:pPr>
      <w:bookmarkStart w:id="212" w:name="_Ref40453649"/>
      <w:bookmarkStart w:id="213" w:name="_Toc40454696"/>
      <w:r>
        <w:t>Utilisation in large organisations</w:t>
      </w:r>
      <w:bookmarkEnd w:id="212"/>
      <w:bookmarkEnd w:id="213"/>
    </w:p>
    <w:tbl>
      <w:tblPr>
        <w:tblW w:w="9157" w:type="dxa"/>
        <w:tblLook w:val="04A0" w:firstRow="1" w:lastRow="0" w:firstColumn="1" w:lastColumn="0" w:noHBand="0" w:noVBand="1"/>
      </w:tblPr>
      <w:tblGrid>
        <w:gridCol w:w="2502"/>
        <w:gridCol w:w="1331"/>
        <w:gridCol w:w="1331"/>
        <w:gridCol w:w="1331"/>
        <w:gridCol w:w="1331"/>
        <w:gridCol w:w="1331"/>
      </w:tblGrid>
      <w:tr w:rsidR="00850C5F" w:rsidRPr="008C28C1" w14:paraId="6C3FD811" w14:textId="77777777" w:rsidTr="008C28C1">
        <w:trPr>
          <w:trHeight w:val="282"/>
        </w:trPr>
        <w:tc>
          <w:tcPr>
            <w:tcW w:w="2502" w:type="dxa"/>
            <w:tcBorders>
              <w:top w:val="single" w:sz="12" w:space="0" w:color="62B5E5" w:themeColor="accent3"/>
              <w:left w:val="nil"/>
              <w:bottom w:val="single" w:sz="4" w:space="0" w:color="auto"/>
              <w:right w:val="nil"/>
            </w:tcBorders>
            <w:shd w:val="clear" w:color="auto" w:fill="auto"/>
            <w:vAlign w:val="center"/>
            <w:hideMark/>
          </w:tcPr>
          <w:p w14:paraId="7587500E" w14:textId="77777777" w:rsidR="00850C5F" w:rsidRPr="00D655A4" w:rsidRDefault="00850C5F" w:rsidP="00A6707A">
            <w:pPr>
              <w:spacing w:after="0" w:line="240" w:lineRule="auto"/>
              <w:rPr>
                <w:rFonts w:eastAsia="Times New Roman" w:cs="Calibri"/>
                <w:b/>
                <w:bCs/>
                <w:color w:val="000000"/>
                <w:sz w:val="16"/>
                <w:szCs w:val="16"/>
                <w:lang w:val="en-US"/>
              </w:rPr>
            </w:pPr>
            <w:r w:rsidRPr="00D655A4">
              <w:rPr>
                <w:rFonts w:eastAsia="Times New Roman" w:cs="Calibri"/>
                <w:b/>
                <w:bCs/>
                <w:color w:val="000000"/>
                <w:sz w:val="16"/>
                <w:szCs w:val="16"/>
              </w:rPr>
              <w:t> </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63172923" w14:textId="77777777" w:rsidR="00850C5F" w:rsidRPr="00D655A4" w:rsidRDefault="00850C5F"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Mean</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0A920DE4" w14:textId="77777777" w:rsidR="00850C5F" w:rsidRPr="00D655A4" w:rsidRDefault="00850C5F"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WM</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202BA611" w14:textId="77777777" w:rsidR="00850C5F" w:rsidRPr="00D655A4" w:rsidRDefault="00850C5F"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Median</w:t>
            </w:r>
          </w:p>
        </w:tc>
        <w:tc>
          <w:tcPr>
            <w:tcW w:w="1331" w:type="dxa"/>
            <w:tcBorders>
              <w:top w:val="single" w:sz="12" w:space="0" w:color="62B5E5" w:themeColor="accent3"/>
              <w:left w:val="nil"/>
              <w:bottom w:val="single" w:sz="4" w:space="0" w:color="auto"/>
              <w:right w:val="nil"/>
            </w:tcBorders>
            <w:shd w:val="clear" w:color="auto" w:fill="auto"/>
            <w:vAlign w:val="center"/>
          </w:tcPr>
          <w:p w14:paraId="458EA388" w14:textId="77777777" w:rsidR="00850C5F" w:rsidRPr="00D655A4" w:rsidRDefault="00850C5F"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25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c>
          <w:tcPr>
            <w:tcW w:w="1331" w:type="dxa"/>
            <w:tcBorders>
              <w:top w:val="single" w:sz="12" w:space="0" w:color="62B5E5" w:themeColor="accent3"/>
              <w:left w:val="nil"/>
              <w:bottom w:val="single" w:sz="4" w:space="0" w:color="auto"/>
              <w:right w:val="nil"/>
            </w:tcBorders>
            <w:shd w:val="clear" w:color="auto" w:fill="auto"/>
            <w:vAlign w:val="center"/>
          </w:tcPr>
          <w:p w14:paraId="0C246B95" w14:textId="77777777" w:rsidR="00850C5F" w:rsidRPr="00D655A4" w:rsidRDefault="00850C5F"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75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r>
      <w:tr w:rsidR="007901EC" w:rsidRPr="009C1642" w14:paraId="23A0EA09"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674A6F20" w14:textId="77777777" w:rsidR="007901EC" w:rsidRPr="00D655A4" w:rsidRDefault="007901EC" w:rsidP="007901EC">
            <w:pPr>
              <w:spacing w:after="0" w:line="240" w:lineRule="auto"/>
              <w:rPr>
                <w:rFonts w:eastAsia="Times New Roman" w:cs="Calibri"/>
                <w:color w:val="000000"/>
                <w:sz w:val="16"/>
                <w:szCs w:val="16"/>
              </w:rPr>
            </w:pPr>
            <w:r w:rsidRPr="00D655A4">
              <w:rPr>
                <w:rFonts w:eastAsia="Times New Roman" w:cs="Calibri"/>
                <w:color w:val="000000"/>
                <w:sz w:val="16"/>
                <w:szCs w:val="16"/>
              </w:rPr>
              <w:t>Non</w:t>
            </w:r>
            <w:r w:rsidRPr="00D655A4">
              <w:rPr>
                <w:rFonts w:eastAsia="Times New Roman" w:cs="Calibri"/>
                <w:color w:val="000000"/>
                <w:sz w:val="16"/>
                <w:szCs w:val="16"/>
              </w:rPr>
              <w:noBreakHyphen/>
              <w:t>billable travel time</w:t>
            </w:r>
          </w:p>
        </w:tc>
        <w:tc>
          <w:tcPr>
            <w:tcW w:w="1331" w:type="dxa"/>
            <w:tcBorders>
              <w:top w:val="nil"/>
              <w:left w:val="nil"/>
              <w:bottom w:val="single" w:sz="8" w:space="0" w:color="000000"/>
              <w:right w:val="nil"/>
            </w:tcBorders>
            <w:shd w:val="clear" w:color="auto" w:fill="auto"/>
            <w:vAlign w:val="center"/>
          </w:tcPr>
          <w:p w14:paraId="2D960222" w14:textId="308E45E9"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3.4%</w:t>
            </w:r>
          </w:p>
        </w:tc>
        <w:tc>
          <w:tcPr>
            <w:tcW w:w="1331" w:type="dxa"/>
            <w:tcBorders>
              <w:top w:val="nil"/>
              <w:left w:val="nil"/>
              <w:bottom w:val="single" w:sz="8" w:space="0" w:color="000000"/>
              <w:right w:val="nil"/>
            </w:tcBorders>
            <w:shd w:val="clear" w:color="auto" w:fill="auto"/>
            <w:vAlign w:val="center"/>
          </w:tcPr>
          <w:p w14:paraId="6EDC8E37" w14:textId="366355B7"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2.8%</w:t>
            </w:r>
          </w:p>
        </w:tc>
        <w:tc>
          <w:tcPr>
            <w:tcW w:w="1331" w:type="dxa"/>
            <w:tcBorders>
              <w:top w:val="nil"/>
              <w:left w:val="nil"/>
              <w:bottom w:val="single" w:sz="8" w:space="0" w:color="000000"/>
              <w:right w:val="nil"/>
            </w:tcBorders>
            <w:shd w:val="clear" w:color="auto" w:fill="auto"/>
            <w:vAlign w:val="center"/>
          </w:tcPr>
          <w:p w14:paraId="1E48D935" w14:textId="66D7B23A"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1.5%</w:t>
            </w:r>
          </w:p>
        </w:tc>
        <w:tc>
          <w:tcPr>
            <w:tcW w:w="1331" w:type="dxa"/>
            <w:tcBorders>
              <w:top w:val="nil"/>
              <w:left w:val="nil"/>
              <w:bottom w:val="single" w:sz="8" w:space="0" w:color="000000"/>
              <w:right w:val="nil"/>
            </w:tcBorders>
            <w:shd w:val="clear" w:color="auto" w:fill="auto"/>
            <w:vAlign w:val="center"/>
          </w:tcPr>
          <w:p w14:paraId="6BC1783B" w14:textId="7BDD5234"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0.0%</w:t>
            </w:r>
          </w:p>
        </w:tc>
        <w:tc>
          <w:tcPr>
            <w:tcW w:w="1331" w:type="dxa"/>
            <w:tcBorders>
              <w:top w:val="nil"/>
              <w:left w:val="nil"/>
              <w:bottom w:val="single" w:sz="8" w:space="0" w:color="000000"/>
              <w:right w:val="nil"/>
            </w:tcBorders>
            <w:shd w:val="clear" w:color="auto" w:fill="auto"/>
            <w:vAlign w:val="center"/>
          </w:tcPr>
          <w:p w14:paraId="782E4F30" w14:textId="74A78DBF"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5.0%</w:t>
            </w:r>
          </w:p>
        </w:tc>
      </w:tr>
      <w:tr w:rsidR="007901EC" w:rsidRPr="009C1642" w14:paraId="27709C37"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6F3F3003" w14:textId="77777777" w:rsidR="007901EC" w:rsidRPr="00D655A4" w:rsidRDefault="007901EC" w:rsidP="007901EC">
            <w:pPr>
              <w:spacing w:after="0" w:line="240" w:lineRule="auto"/>
              <w:rPr>
                <w:rFonts w:eastAsia="Times New Roman" w:cs="Calibri"/>
                <w:color w:val="000000"/>
                <w:sz w:val="16"/>
                <w:szCs w:val="16"/>
              </w:rPr>
            </w:pPr>
            <w:r w:rsidRPr="00D655A4">
              <w:rPr>
                <w:rFonts w:eastAsia="Times New Roman" w:cs="Calibri"/>
                <w:color w:val="000000"/>
                <w:sz w:val="16"/>
                <w:szCs w:val="16"/>
              </w:rPr>
              <w:t>Breaks</w:t>
            </w:r>
          </w:p>
        </w:tc>
        <w:tc>
          <w:tcPr>
            <w:tcW w:w="1331" w:type="dxa"/>
            <w:tcBorders>
              <w:top w:val="nil"/>
              <w:left w:val="nil"/>
              <w:bottom w:val="single" w:sz="8" w:space="0" w:color="000000"/>
              <w:right w:val="nil"/>
            </w:tcBorders>
            <w:shd w:val="clear" w:color="auto" w:fill="auto"/>
            <w:vAlign w:val="center"/>
          </w:tcPr>
          <w:p w14:paraId="6621CDA3" w14:textId="2471AB61"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2.3%</w:t>
            </w:r>
          </w:p>
        </w:tc>
        <w:tc>
          <w:tcPr>
            <w:tcW w:w="1331" w:type="dxa"/>
            <w:tcBorders>
              <w:top w:val="nil"/>
              <w:left w:val="nil"/>
              <w:bottom w:val="single" w:sz="8" w:space="0" w:color="000000"/>
              <w:right w:val="nil"/>
            </w:tcBorders>
            <w:shd w:val="clear" w:color="auto" w:fill="auto"/>
            <w:vAlign w:val="center"/>
          </w:tcPr>
          <w:p w14:paraId="39DACB72" w14:textId="2121F73A"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2.6%</w:t>
            </w:r>
          </w:p>
        </w:tc>
        <w:tc>
          <w:tcPr>
            <w:tcW w:w="1331" w:type="dxa"/>
            <w:tcBorders>
              <w:top w:val="nil"/>
              <w:left w:val="nil"/>
              <w:bottom w:val="single" w:sz="8" w:space="0" w:color="000000"/>
              <w:right w:val="nil"/>
            </w:tcBorders>
            <w:shd w:val="clear" w:color="auto" w:fill="auto"/>
            <w:vAlign w:val="center"/>
          </w:tcPr>
          <w:p w14:paraId="19BB971A" w14:textId="7FE1A2B9"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1.0%</w:t>
            </w:r>
          </w:p>
        </w:tc>
        <w:tc>
          <w:tcPr>
            <w:tcW w:w="1331" w:type="dxa"/>
            <w:tcBorders>
              <w:top w:val="nil"/>
              <w:left w:val="nil"/>
              <w:bottom w:val="single" w:sz="8" w:space="0" w:color="000000"/>
              <w:right w:val="nil"/>
            </w:tcBorders>
            <w:shd w:val="clear" w:color="auto" w:fill="auto"/>
            <w:vAlign w:val="center"/>
          </w:tcPr>
          <w:p w14:paraId="4CA08D3F" w14:textId="0E2CA0FA"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0.0%</w:t>
            </w:r>
          </w:p>
        </w:tc>
        <w:tc>
          <w:tcPr>
            <w:tcW w:w="1331" w:type="dxa"/>
            <w:tcBorders>
              <w:top w:val="nil"/>
              <w:left w:val="nil"/>
              <w:bottom w:val="single" w:sz="8" w:space="0" w:color="000000"/>
              <w:right w:val="nil"/>
            </w:tcBorders>
            <w:shd w:val="clear" w:color="auto" w:fill="auto"/>
            <w:vAlign w:val="center"/>
          </w:tcPr>
          <w:p w14:paraId="46578AB2" w14:textId="61283D68"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4.4%</w:t>
            </w:r>
          </w:p>
        </w:tc>
      </w:tr>
      <w:tr w:rsidR="007901EC" w:rsidRPr="009C1642" w14:paraId="1BE9717E"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2625C3BF" w14:textId="77777777" w:rsidR="007901EC" w:rsidRPr="00D655A4" w:rsidRDefault="007901EC" w:rsidP="007901EC">
            <w:pPr>
              <w:spacing w:after="0" w:line="240" w:lineRule="auto"/>
              <w:rPr>
                <w:rFonts w:eastAsia="Times New Roman" w:cs="Calibri"/>
                <w:color w:val="000000"/>
                <w:sz w:val="16"/>
                <w:szCs w:val="16"/>
              </w:rPr>
            </w:pPr>
            <w:r w:rsidRPr="00D655A4">
              <w:rPr>
                <w:rFonts w:eastAsia="Times New Roman" w:cs="Calibri"/>
                <w:color w:val="000000"/>
                <w:sz w:val="16"/>
                <w:szCs w:val="16"/>
              </w:rPr>
              <w:t>Training</w:t>
            </w:r>
          </w:p>
        </w:tc>
        <w:tc>
          <w:tcPr>
            <w:tcW w:w="1331" w:type="dxa"/>
            <w:tcBorders>
              <w:top w:val="nil"/>
              <w:left w:val="nil"/>
              <w:bottom w:val="single" w:sz="8" w:space="0" w:color="000000"/>
              <w:right w:val="nil"/>
            </w:tcBorders>
            <w:shd w:val="clear" w:color="auto" w:fill="auto"/>
            <w:vAlign w:val="center"/>
          </w:tcPr>
          <w:p w14:paraId="11D34118" w14:textId="30B5D95A"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3.1%</w:t>
            </w:r>
          </w:p>
        </w:tc>
        <w:tc>
          <w:tcPr>
            <w:tcW w:w="1331" w:type="dxa"/>
            <w:tcBorders>
              <w:top w:val="nil"/>
              <w:left w:val="nil"/>
              <w:bottom w:val="single" w:sz="8" w:space="0" w:color="000000"/>
              <w:right w:val="nil"/>
            </w:tcBorders>
            <w:shd w:val="clear" w:color="auto" w:fill="auto"/>
            <w:vAlign w:val="center"/>
          </w:tcPr>
          <w:p w14:paraId="7074ECDD" w14:textId="438CD747"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2.9%</w:t>
            </w:r>
          </w:p>
        </w:tc>
        <w:tc>
          <w:tcPr>
            <w:tcW w:w="1331" w:type="dxa"/>
            <w:tcBorders>
              <w:top w:val="nil"/>
              <w:left w:val="nil"/>
              <w:bottom w:val="single" w:sz="8" w:space="0" w:color="000000"/>
              <w:right w:val="nil"/>
            </w:tcBorders>
            <w:shd w:val="clear" w:color="auto" w:fill="auto"/>
            <w:vAlign w:val="center"/>
          </w:tcPr>
          <w:p w14:paraId="50AFCE80" w14:textId="5CAAEF19"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2.4%</w:t>
            </w:r>
          </w:p>
        </w:tc>
        <w:tc>
          <w:tcPr>
            <w:tcW w:w="1331" w:type="dxa"/>
            <w:tcBorders>
              <w:top w:val="nil"/>
              <w:left w:val="nil"/>
              <w:bottom w:val="single" w:sz="8" w:space="0" w:color="000000"/>
              <w:right w:val="nil"/>
            </w:tcBorders>
            <w:shd w:val="clear" w:color="auto" w:fill="auto"/>
            <w:vAlign w:val="center"/>
          </w:tcPr>
          <w:p w14:paraId="0391D3DA" w14:textId="24A38ADE"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1.0%</w:t>
            </w:r>
          </w:p>
        </w:tc>
        <w:tc>
          <w:tcPr>
            <w:tcW w:w="1331" w:type="dxa"/>
            <w:tcBorders>
              <w:top w:val="nil"/>
              <w:left w:val="nil"/>
              <w:bottom w:val="single" w:sz="8" w:space="0" w:color="000000"/>
              <w:right w:val="nil"/>
            </w:tcBorders>
            <w:shd w:val="clear" w:color="auto" w:fill="auto"/>
            <w:vAlign w:val="center"/>
          </w:tcPr>
          <w:p w14:paraId="0C791363" w14:textId="311338FF"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5.0%</w:t>
            </w:r>
          </w:p>
        </w:tc>
      </w:tr>
      <w:tr w:rsidR="007901EC" w:rsidRPr="009C1642" w14:paraId="1A24BA9A" w14:textId="77777777" w:rsidTr="008C28C1">
        <w:trPr>
          <w:trHeight w:val="390"/>
        </w:trPr>
        <w:tc>
          <w:tcPr>
            <w:tcW w:w="2502" w:type="dxa"/>
            <w:tcBorders>
              <w:top w:val="single" w:sz="4" w:space="0" w:color="auto"/>
              <w:left w:val="nil"/>
              <w:bottom w:val="single" w:sz="4" w:space="0" w:color="auto"/>
              <w:right w:val="nil"/>
            </w:tcBorders>
            <w:shd w:val="clear" w:color="auto" w:fill="auto"/>
            <w:vAlign w:val="center"/>
          </w:tcPr>
          <w:p w14:paraId="65B3AEE9" w14:textId="77777777" w:rsidR="007901EC" w:rsidRPr="00D655A4" w:rsidRDefault="007901EC" w:rsidP="007901EC">
            <w:pPr>
              <w:spacing w:after="0" w:line="240" w:lineRule="auto"/>
              <w:rPr>
                <w:rFonts w:eastAsia="Times New Roman" w:cs="Calibri"/>
                <w:color w:val="000000"/>
                <w:sz w:val="16"/>
                <w:szCs w:val="16"/>
              </w:rPr>
            </w:pPr>
            <w:r w:rsidRPr="00D655A4">
              <w:rPr>
                <w:rFonts w:eastAsia="Times New Roman" w:cs="Calibri"/>
                <w:color w:val="000000"/>
                <w:sz w:val="16"/>
                <w:szCs w:val="16"/>
              </w:rPr>
              <w:t>Client related admin</w:t>
            </w:r>
          </w:p>
        </w:tc>
        <w:tc>
          <w:tcPr>
            <w:tcW w:w="1331" w:type="dxa"/>
            <w:tcBorders>
              <w:top w:val="nil"/>
              <w:left w:val="nil"/>
              <w:bottom w:val="single" w:sz="8" w:space="0" w:color="000000"/>
              <w:right w:val="nil"/>
            </w:tcBorders>
            <w:shd w:val="clear" w:color="auto" w:fill="auto"/>
            <w:vAlign w:val="center"/>
          </w:tcPr>
          <w:p w14:paraId="394A0D11" w14:textId="0F501AF5"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5.3%</w:t>
            </w:r>
          </w:p>
        </w:tc>
        <w:tc>
          <w:tcPr>
            <w:tcW w:w="1331" w:type="dxa"/>
            <w:tcBorders>
              <w:top w:val="nil"/>
              <w:left w:val="nil"/>
              <w:bottom w:val="single" w:sz="8" w:space="0" w:color="000000"/>
              <w:right w:val="nil"/>
            </w:tcBorders>
            <w:shd w:val="clear" w:color="auto" w:fill="auto"/>
            <w:vAlign w:val="center"/>
          </w:tcPr>
          <w:p w14:paraId="68E418A5" w14:textId="5F4A1ED9"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4.9%</w:t>
            </w:r>
          </w:p>
        </w:tc>
        <w:tc>
          <w:tcPr>
            <w:tcW w:w="1331" w:type="dxa"/>
            <w:tcBorders>
              <w:top w:val="nil"/>
              <w:left w:val="nil"/>
              <w:bottom w:val="single" w:sz="8" w:space="0" w:color="000000"/>
              <w:right w:val="nil"/>
            </w:tcBorders>
            <w:shd w:val="clear" w:color="auto" w:fill="auto"/>
            <w:vAlign w:val="center"/>
          </w:tcPr>
          <w:p w14:paraId="1192591F" w14:textId="23EFD502"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4.9%</w:t>
            </w:r>
          </w:p>
        </w:tc>
        <w:tc>
          <w:tcPr>
            <w:tcW w:w="1331" w:type="dxa"/>
            <w:tcBorders>
              <w:top w:val="nil"/>
              <w:left w:val="nil"/>
              <w:bottom w:val="single" w:sz="8" w:space="0" w:color="000000"/>
              <w:right w:val="nil"/>
            </w:tcBorders>
            <w:shd w:val="clear" w:color="auto" w:fill="auto"/>
            <w:vAlign w:val="center"/>
          </w:tcPr>
          <w:p w14:paraId="3671B24F" w14:textId="42CB7E59"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1.0%</w:t>
            </w:r>
          </w:p>
        </w:tc>
        <w:tc>
          <w:tcPr>
            <w:tcW w:w="1331" w:type="dxa"/>
            <w:tcBorders>
              <w:top w:val="nil"/>
              <w:left w:val="nil"/>
              <w:bottom w:val="single" w:sz="8" w:space="0" w:color="000000"/>
              <w:right w:val="nil"/>
            </w:tcBorders>
            <w:shd w:val="clear" w:color="auto" w:fill="auto"/>
            <w:vAlign w:val="center"/>
          </w:tcPr>
          <w:p w14:paraId="42D25571" w14:textId="13BB0742"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7.8%</w:t>
            </w:r>
          </w:p>
        </w:tc>
      </w:tr>
      <w:tr w:rsidR="007901EC" w:rsidRPr="009C1642" w14:paraId="28071AF6" w14:textId="77777777" w:rsidTr="00AD6CEB">
        <w:trPr>
          <w:trHeight w:val="390"/>
        </w:trPr>
        <w:tc>
          <w:tcPr>
            <w:tcW w:w="2502" w:type="dxa"/>
            <w:tcBorders>
              <w:top w:val="single" w:sz="4" w:space="0" w:color="auto"/>
              <w:left w:val="nil"/>
              <w:bottom w:val="single" w:sz="4" w:space="0" w:color="auto"/>
              <w:right w:val="nil"/>
            </w:tcBorders>
            <w:shd w:val="clear" w:color="auto" w:fill="auto"/>
            <w:vAlign w:val="center"/>
          </w:tcPr>
          <w:p w14:paraId="0E1764AA" w14:textId="77777777" w:rsidR="007901EC" w:rsidRPr="00D655A4" w:rsidRDefault="007901EC" w:rsidP="007901EC">
            <w:pPr>
              <w:spacing w:after="0" w:line="240" w:lineRule="auto"/>
              <w:rPr>
                <w:rFonts w:eastAsia="Times New Roman" w:cs="Calibri"/>
                <w:color w:val="000000"/>
                <w:sz w:val="16"/>
                <w:szCs w:val="16"/>
              </w:rPr>
            </w:pPr>
            <w:r w:rsidRPr="00D655A4">
              <w:rPr>
                <w:rFonts w:eastAsia="Times New Roman" w:cs="Calibri"/>
                <w:color w:val="000000"/>
                <w:sz w:val="16"/>
                <w:szCs w:val="16"/>
              </w:rPr>
              <w:t>General admin and other tasks</w:t>
            </w:r>
          </w:p>
        </w:tc>
        <w:tc>
          <w:tcPr>
            <w:tcW w:w="1331" w:type="dxa"/>
            <w:tcBorders>
              <w:top w:val="nil"/>
              <w:left w:val="nil"/>
              <w:bottom w:val="single" w:sz="4" w:space="0" w:color="auto"/>
              <w:right w:val="nil"/>
            </w:tcBorders>
            <w:shd w:val="clear" w:color="auto" w:fill="auto"/>
            <w:vAlign w:val="center"/>
          </w:tcPr>
          <w:p w14:paraId="327D8282" w14:textId="18E8A07F"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2.9%</w:t>
            </w:r>
          </w:p>
        </w:tc>
        <w:tc>
          <w:tcPr>
            <w:tcW w:w="1331" w:type="dxa"/>
            <w:tcBorders>
              <w:top w:val="nil"/>
              <w:left w:val="nil"/>
              <w:bottom w:val="single" w:sz="4" w:space="0" w:color="auto"/>
              <w:right w:val="nil"/>
            </w:tcBorders>
            <w:shd w:val="clear" w:color="auto" w:fill="auto"/>
            <w:vAlign w:val="center"/>
          </w:tcPr>
          <w:p w14:paraId="14048A46" w14:textId="57C2CCC0"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3.0%</w:t>
            </w:r>
          </w:p>
        </w:tc>
        <w:tc>
          <w:tcPr>
            <w:tcW w:w="1331" w:type="dxa"/>
            <w:tcBorders>
              <w:top w:val="nil"/>
              <w:left w:val="nil"/>
              <w:bottom w:val="single" w:sz="4" w:space="0" w:color="auto"/>
              <w:right w:val="nil"/>
            </w:tcBorders>
            <w:shd w:val="clear" w:color="auto" w:fill="auto"/>
            <w:vAlign w:val="center"/>
          </w:tcPr>
          <w:p w14:paraId="0D395921" w14:textId="146FF5C3"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2.0%</w:t>
            </w:r>
          </w:p>
        </w:tc>
        <w:tc>
          <w:tcPr>
            <w:tcW w:w="1331" w:type="dxa"/>
            <w:tcBorders>
              <w:top w:val="nil"/>
              <w:left w:val="nil"/>
              <w:bottom w:val="single" w:sz="4" w:space="0" w:color="auto"/>
              <w:right w:val="nil"/>
            </w:tcBorders>
            <w:shd w:val="clear" w:color="auto" w:fill="auto"/>
            <w:vAlign w:val="center"/>
          </w:tcPr>
          <w:p w14:paraId="6C1CF537" w14:textId="2633F57C"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0.0%</w:t>
            </w:r>
          </w:p>
        </w:tc>
        <w:tc>
          <w:tcPr>
            <w:tcW w:w="1331" w:type="dxa"/>
            <w:tcBorders>
              <w:top w:val="nil"/>
              <w:left w:val="nil"/>
              <w:bottom w:val="single" w:sz="4" w:space="0" w:color="auto"/>
              <w:right w:val="nil"/>
            </w:tcBorders>
            <w:shd w:val="clear" w:color="auto" w:fill="auto"/>
            <w:vAlign w:val="center"/>
          </w:tcPr>
          <w:p w14:paraId="2DF841F5" w14:textId="325D6001" w:rsidR="007901EC" w:rsidRPr="00D655A4" w:rsidRDefault="007901EC" w:rsidP="007901EC">
            <w:pPr>
              <w:spacing w:after="0" w:line="240" w:lineRule="auto"/>
              <w:jc w:val="center"/>
              <w:rPr>
                <w:rFonts w:eastAsia="Times New Roman" w:cs="Calibri"/>
                <w:color w:val="000000"/>
                <w:sz w:val="16"/>
                <w:szCs w:val="16"/>
                <w:lang w:val="en-US"/>
              </w:rPr>
            </w:pPr>
            <w:r w:rsidRPr="00D655A4">
              <w:rPr>
                <w:color w:val="000000"/>
                <w:sz w:val="16"/>
                <w:szCs w:val="16"/>
              </w:rPr>
              <w:t>5.0%</w:t>
            </w:r>
          </w:p>
        </w:tc>
      </w:tr>
      <w:tr w:rsidR="007901EC" w:rsidRPr="009C1642" w14:paraId="7A3E5F93" w14:textId="77777777" w:rsidTr="00AD6CEB">
        <w:trPr>
          <w:trHeight w:val="390"/>
        </w:trPr>
        <w:tc>
          <w:tcPr>
            <w:tcW w:w="2502" w:type="dxa"/>
            <w:tcBorders>
              <w:top w:val="single" w:sz="4" w:space="0" w:color="auto"/>
              <w:left w:val="nil"/>
              <w:bottom w:val="single" w:sz="4" w:space="0" w:color="auto"/>
              <w:right w:val="nil"/>
            </w:tcBorders>
            <w:shd w:val="clear" w:color="auto" w:fill="auto"/>
            <w:vAlign w:val="center"/>
          </w:tcPr>
          <w:p w14:paraId="33A229BB" w14:textId="77777777" w:rsidR="007901EC" w:rsidRPr="00D655A4" w:rsidRDefault="007901EC" w:rsidP="007901EC">
            <w:pPr>
              <w:spacing w:after="0" w:line="240" w:lineRule="auto"/>
              <w:rPr>
                <w:rFonts w:eastAsia="Times New Roman" w:cs="Calibri"/>
                <w:color w:val="000000"/>
                <w:sz w:val="16"/>
                <w:szCs w:val="16"/>
              </w:rPr>
            </w:pPr>
            <w:r w:rsidRPr="00D655A4">
              <w:rPr>
                <w:rFonts w:eastAsia="Times New Roman" w:cs="Calibri"/>
                <w:i/>
                <w:iCs/>
                <w:color w:val="000000"/>
                <w:sz w:val="16"/>
                <w:szCs w:val="16"/>
              </w:rPr>
              <w:t>Total utilisation</w:t>
            </w:r>
          </w:p>
        </w:tc>
        <w:tc>
          <w:tcPr>
            <w:tcW w:w="1331" w:type="dxa"/>
            <w:tcBorders>
              <w:top w:val="single" w:sz="4" w:space="0" w:color="auto"/>
              <w:left w:val="nil"/>
              <w:bottom w:val="single" w:sz="4" w:space="0" w:color="auto"/>
              <w:right w:val="nil"/>
            </w:tcBorders>
            <w:shd w:val="clear" w:color="auto" w:fill="auto"/>
            <w:vAlign w:val="center"/>
          </w:tcPr>
          <w:p w14:paraId="6F27C705" w14:textId="73D94C48"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83.0%</w:t>
            </w:r>
          </w:p>
        </w:tc>
        <w:tc>
          <w:tcPr>
            <w:tcW w:w="1331" w:type="dxa"/>
            <w:tcBorders>
              <w:top w:val="single" w:sz="4" w:space="0" w:color="auto"/>
              <w:left w:val="nil"/>
              <w:bottom w:val="single" w:sz="4" w:space="0" w:color="auto"/>
              <w:right w:val="nil"/>
            </w:tcBorders>
            <w:shd w:val="clear" w:color="auto" w:fill="auto"/>
            <w:vAlign w:val="center"/>
          </w:tcPr>
          <w:p w14:paraId="640AEDB8" w14:textId="69E395CD" w:rsidR="007901EC" w:rsidRPr="00D655A4" w:rsidRDefault="007901EC" w:rsidP="007901EC">
            <w:pPr>
              <w:spacing w:after="0" w:line="240" w:lineRule="auto"/>
              <w:jc w:val="center"/>
              <w:rPr>
                <w:rFonts w:eastAsia="Times New Roman" w:cs="Calibri"/>
                <w:color w:val="000000"/>
                <w:sz w:val="16"/>
                <w:szCs w:val="16"/>
              </w:rPr>
            </w:pPr>
            <w:r w:rsidRPr="00D655A4">
              <w:rPr>
                <w:color w:val="000000"/>
                <w:sz w:val="16"/>
                <w:szCs w:val="16"/>
              </w:rPr>
              <w:t>83.</w:t>
            </w:r>
            <w:r w:rsidR="00AD6CEB">
              <w:rPr>
                <w:color w:val="000000"/>
                <w:sz w:val="16"/>
                <w:szCs w:val="16"/>
              </w:rPr>
              <w:t>7</w:t>
            </w:r>
            <w:r w:rsidRPr="00D655A4">
              <w:rPr>
                <w:color w:val="000000"/>
                <w:sz w:val="16"/>
                <w:szCs w:val="16"/>
              </w:rPr>
              <w:t>%</w:t>
            </w:r>
          </w:p>
        </w:tc>
        <w:tc>
          <w:tcPr>
            <w:tcW w:w="1331" w:type="dxa"/>
            <w:tcBorders>
              <w:top w:val="single" w:sz="4" w:space="0" w:color="auto"/>
              <w:left w:val="nil"/>
              <w:bottom w:val="single" w:sz="4" w:space="0" w:color="auto"/>
              <w:right w:val="nil"/>
            </w:tcBorders>
            <w:shd w:val="clear" w:color="auto" w:fill="auto"/>
            <w:vAlign w:val="center"/>
          </w:tcPr>
          <w:p w14:paraId="124EA30F" w14:textId="47355F9F" w:rsidR="007901EC" w:rsidRPr="00D655A4" w:rsidRDefault="00AD6CEB" w:rsidP="007901EC">
            <w:pPr>
              <w:spacing w:after="0" w:line="240" w:lineRule="auto"/>
              <w:jc w:val="center"/>
              <w:rPr>
                <w:rFonts w:eastAsia="Times New Roman" w:cs="Calibri"/>
                <w:color w:val="000000"/>
                <w:sz w:val="16"/>
                <w:szCs w:val="16"/>
              </w:rPr>
            </w:pPr>
            <w:r>
              <w:rPr>
                <w:color w:val="000000"/>
                <w:sz w:val="16"/>
                <w:szCs w:val="16"/>
              </w:rPr>
              <w:t>84.0</w:t>
            </w:r>
            <w:r w:rsidR="007901EC" w:rsidRPr="00D655A4">
              <w:rPr>
                <w:color w:val="000000"/>
                <w:sz w:val="16"/>
                <w:szCs w:val="16"/>
              </w:rPr>
              <w:t>%</w:t>
            </w:r>
          </w:p>
        </w:tc>
        <w:tc>
          <w:tcPr>
            <w:tcW w:w="1331" w:type="dxa"/>
            <w:tcBorders>
              <w:top w:val="single" w:sz="4" w:space="0" w:color="auto"/>
              <w:left w:val="nil"/>
              <w:bottom w:val="single" w:sz="4" w:space="0" w:color="auto"/>
              <w:right w:val="nil"/>
            </w:tcBorders>
            <w:shd w:val="clear" w:color="auto" w:fill="auto"/>
            <w:vAlign w:val="center"/>
          </w:tcPr>
          <w:p w14:paraId="6DD2298C" w14:textId="17FECED7" w:rsidR="007901EC" w:rsidRPr="00D655A4" w:rsidRDefault="000A0826" w:rsidP="007901EC">
            <w:pPr>
              <w:spacing w:after="0" w:line="240" w:lineRule="auto"/>
              <w:jc w:val="center"/>
              <w:rPr>
                <w:rFonts w:eastAsia="Times New Roman" w:cs="Calibri"/>
                <w:color w:val="000000"/>
                <w:sz w:val="16"/>
                <w:szCs w:val="16"/>
                <w:lang w:val="en-US"/>
              </w:rPr>
            </w:pPr>
            <w:r>
              <w:rPr>
                <w:color w:val="000000"/>
                <w:sz w:val="16"/>
                <w:szCs w:val="16"/>
              </w:rPr>
              <w:t>91.0%</w:t>
            </w:r>
          </w:p>
        </w:tc>
        <w:tc>
          <w:tcPr>
            <w:tcW w:w="1331" w:type="dxa"/>
            <w:tcBorders>
              <w:top w:val="single" w:sz="4" w:space="0" w:color="auto"/>
              <w:left w:val="nil"/>
              <w:bottom w:val="single" w:sz="4" w:space="0" w:color="auto"/>
              <w:right w:val="nil"/>
            </w:tcBorders>
            <w:shd w:val="clear" w:color="auto" w:fill="auto"/>
            <w:vAlign w:val="center"/>
          </w:tcPr>
          <w:p w14:paraId="3290DB6B" w14:textId="4C1D6711" w:rsidR="007901EC" w:rsidRPr="00D655A4" w:rsidRDefault="000A0826" w:rsidP="007901EC">
            <w:pPr>
              <w:spacing w:after="0" w:line="240" w:lineRule="auto"/>
              <w:jc w:val="center"/>
              <w:rPr>
                <w:rFonts w:eastAsia="Times New Roman" w:cs="Calibri"/>
                <w:color w:val="000000"/>
                <w:sz w:val="16"/>
                <w:szCs w:val="16"/>
                <w:lang w:val="en-US"/>
              </w:rPr>
            </w:pPr>
            <w:r>
              <w:rPr>
                <w:color w:val="000000"/>
                <w:sz w:val="16"/>
                <w:szCs w:val="16"/>
              </w:rPr>
              <w:t>76.0</w:t>
            </w:r>
            <w:r w:rsidRPr="00D655A4">
              <w:rPr>
                <w:color w:val="000000"/>
                <w:sz w:val="16"/>
                <w:szCs w:val="16"/>
              </w:rPr>
              <w:t>%</w:t>
            </w:r>
          </w:p>
        </w:tc>
      </w:tr>
    </w:tbl>
    <w:p w14:paraId="261458DB" w14:textId="1FAD221A" w:rsidR="00850C5F" w:rsidRDefault="00850C5F" w:rsidP="00DB66C5"/>
    <w:p w14:paraId="20236E47" w14:textId="550D0F27" w:rsidR="00304E4E" w:rsidRPr="003F110A" w:rsidRDefault="00304E4E" w:rsidP="00DB66C5">
      <w:pPr>
        <w:pStyle w:val="Heading2"/>
      </w:pPr>
      <w:bookmarkStart w:id="214" w:name="_Toc39748648"/>
      <w:bookmarkStart w:id="215" w:name="_Toc39761652"/>
      <w:bookmarkStart w:id="216" w:name="_Toc39762942"/>
      <w:bookmarkStart w:id="217" w:name="_Toc39837113"/>
      <w:bookmarkStart w:id="218" w:name="_Toc39748649"/>
      <w:bookmarkStart w:id="219" w:name="_Toc39761653"/>
      <w:bookmarkStart w:id="220" w:name="_Toc39762943"/>
      <w:bookmarkStart w:id="221" w:name="_Toc39837114"/>
      <w:bookmarkStart w:id="222" w:name="_Toc39748741"/>
      <w:bookmarkStart w:id="223" w:name="_Toc39761745"/>
      <w:bookmarkStart w:id="224" w:name="_Toc39763035"/>
      <w:bookmarkStart w:id="225" w:name="_Toc39837206"/>
      <w:bookmarkStart w:id="226" w:name="_Toc40454654"/>
      <w:bookmarkEnd w:id="214"/>
      <w:bookmarkEnd w:id="215"/>
      <w:bookmarkEnd w:id="216"/>
      <w:bookmarkEnd w:id="217"/>
      <w:bookmarkEnd w:id="218"/>
      <w:bookmarkEnd w:id="219"/>
      <w:bookmarkEnd w:id="220"/>
      <w:bookmarkEnd w:id="221"/>
      <w:bookmarkEnd w:id="222"/>
      <w:bookmarkEnd w:id="223"/>
      <w:bookmarkEnd w:id="224"/>
      <w:bookmarkEnd w:id="225"/>
      <w:r w:rsidRPr="003F110A">
        <w:t>Overheads</w:t>
      </w:r>
      <w:r w:rsidR="00B843A9" w:rsidRPr="003F110A">
        <w:t xml:space="preserve"> and </w:t>
      </w:r>
      <w:r w:rsidR="000579C4">
        <w:t xml:space="preserve">implied </w:t>
      </w:r>
      <w:r w:rsidR="00B843A9" w:rsidRPr="003F110A">
        <w:t>margins</w:t>
      </w:r>
      <w:bookmarkEnd w:id="226"/>
    </w:p>
    <w:p w14:paraId="0CBFDBB6" w14:textId="374A6CF9" w:rsidR="00172A2D" w:rsidRPr="003F110A" w:rsidRDefault="006E589F" w:rsidP="00172A2D">
      <w:r w:rsidRPr="003F110A">
        <w:t xml:space="preserve">The survey captured </w:t>
      </w:r>
      <w:r w:rsidR="002407BA" w:rsidRPr="003F110A">
        <w:t>several</w:t>
      </w:r>
      <w:r w:rsidRPr="003F110A">
        <w:t xml:space="preserve"> overhead </w:t>
      </w:r>
      <w:r w:rsidR="002407BA" w:rsidRPr="003F110A">
        <w:t xml:space="preserve">categories, listed in </w:t>
      </w:r>
      <w:r w:rsidR="00830F89">
        <w:fldChar w:fldCharType="begin"/>
      </w:r>
      <w:r w:rsidR="00830F89">
        <w:instrText xml:space="preserve"> REF _Ref39678801 \r \h </w:instrText>
      </w:r>
      <w:r w:rsidR="00830F89">
        <w:fldChar w:fldCharType="separate"/>
      </w:r>
      <w:r w:rsidR="00283637">
        <w:t>Table 3.16</w:t>
      </w:r>
      <w:r w:rsidR="00830F89">
        <w:fldChar w:fldCharType="end"/>
      </w:r>
      <w:r w:rsidR="002407BA" w:rsidRPr="003F110A">
        <w:t xml:space="preserve">. </w:t>
      </w:r>
      <w:r w:rsidR="005C2DEE" w:rsidRPr="003F110A">
        <w:t xml:space="preserve">The survey responses indicated that overheads represented </w:t>
      </w:r>
      <w:r w:rsidR="002757B4" w:rsidRPr="003F110A">
        <w:t>2</w:t>
      </w:r>
      <w:r w:rsidR="002407BA" w:rsidRPr="003F110A">
        <w:t>8</w:t>
      </w:r>
      <w:r w:rsidR="002757B4" w:rsidRPr="003F110A">
        <w:t>.</w:t>
      </w:r>
      <w:r w:rsidR="002407BA" w:rsidRPr="003F110A">
        <w:t>5</w:t>
      </w:r>
      <w:r w:rsidR="005C2DEE" w:rsidRPr="003F110A">
        <w:t>% of direct costs</w:t>
      </w:r>
      <w:r w:rsidR="002407BA" w:rsidRPr="003F110A">
        <w:t xml:space="preserve"> when including all overhead categories. However, when excluding depreciation and interest</w:t>
      </w:r>
      <w:r w:rsidR="00E40573" w:rsidRPr="003F110A">
        <w:t>,</w:t>
      </w:r>
      <w:r w:rsidR="002407BA" w:rsidRPr="003F110A">
        <w:t xml:space="preserve"> which are typically considered capitalisation and finance expenses, the ratio lowered to 27.7%.</w:t>
      </w:r>
      <w:r w:rsidR="00A77094">
        <w:t xml:space="preserve"> </w:t>
      </w:r>
      <w:r w:rsidR="000579C4">
        <w:t>Implied m</w:t>
      </w:r>
      <w:r w:rsidR="002757B4" w:rsidRPr="003F110A">
        <w:t>argin as a share of other costs was on average 1.7%, when assuming an 8% per annum required rate of return against working capital.</w:t>
      </w:r>
      <w:r w:rsidR="00645C69">
        <w:rPr>
          <w:rStyle w:val="FootnoteReference"/>
        </w:rPr>
        <w:footnoteReference w:id="22"/>
      </w:r>
    </w:p>
    <w:p w14:paraId="58592896" w14:textId="4EC556D6" w:rsidR="0007575B" w:rsidRPr="003F110A" w:rsidRDefault="00506519" w:rsidP="000C0CB5">
      <w:pPr>
        <w:pStyle w:val="CaptionTable"/>
        <w:ind w:left="0"/>
      </w:pPr>
      <w:bookmarkStart w:id="227" w:name="_Toc36130589"/>
      <w:bookmarkStart w:id="228" w:name="_Toc40454697"/>
      <w:bookmarkStart w:id="229" w:name="_Ref39678801"/>
      <w:bookmarkStart w:id="230" w:name="_Ref39678811"/>
      <w:bookmarkEnd w:id="227"/>
      <w:r>
        <w:t>O</w:t>
      </w:r>
      <w:r w:rsidR="0007575B" w:rsidRPr="003F110A">
        <w:t xml:space="preserve">verheads </w:t>
      </w:r>
      <w:r w:rsidR="00B843A9" w:rsidRPr="003F110A">
        <w:t xml:space="preserve">and </w:t>
      </w:r>
      <w:r w:rsidR="000579C4">
        <w:t xml:space="preserve">implied </w:t>
      </w:r>
      <w:r w:rsidR="00B843A9" w:rsidRPr="003F110A">
        <w:t>margins</w:t>
      </w:r>
      <w:bookmarkEnd w:id="228"/>
      <w:r w:rsidR="00B843A9" w:rsidRPr="003F110A">
        <w:t xml:space="preserve"> </w:t>
      </w:r>
      <w:bookmarkEnd w:id="229"/>
      <w:bookmarkEnd w:id="230"/>
    </w:p>
    <w:tbl>
      <w:tblPr>
        <w:tblW w:w="5000" w:type="pct"/>
        <w:tblLook w:val="04A0" w:firstRow="1" w:lastRow="0" w:firstColumn="1" w:lastColumn="0" w:noHBand="0" w:noVBand="1"/>
      </w:tblPr>
      <w:tblGrid>
        <w:gridCol w:w="2821"/>
        <w:gridCol w:w="1241"/>
        <w:gridCol w:w="1240"/>
        <w:gridCol w:w="1242"/>
        <w:gridCol w:w="1240"/>
        <w:gridCol w:w="1242"/>
      </w:tblGrid>
      <w:tr w:rsidR="000518DB" w:rsidRPr="008C28C1" w14:paraId="154682C5" w14:textId="182913DB" w:rsidTr="008C28C1">
        <w:trPr>
          <w:trHeight w:val="356"/>
        </w:trPr>
        <w:tc>
          <w:tcPr>
            <w:tcW w:w="1562" w:type="pct"/>
            <w:tcBorders>
              <w:top w:val="single" w:sz="12" w:space="0" w:color="62B5E5" w:themeColor="accent3"/>
              <w:left w:val="nil"/>
              <w:bottom w:val="single" w:sz="4" w:space="0" w:color="auto"/>
            </w:tcBorders>
            <w:shd w:val="clear" w:color="auto" w:fill="auto"/>
            <w:vAlign w:val="center"/>
            <w:hideMark/>
          </w:tcPr>
          <w:p w14:paraId="183EF108" w14:textId="77777777" w:rsidR="000518DB" w:rsidRPr="008C28C1" w:rsidRDefault="000518DB" w:rsidP="00AF2275">
            <w:pPr>
              <w:keepNext/>
              <w:spacing w:after="0" w:line="240" w:lineRule="auto"/>
              <w:rPr>
                <w:rFonts w:eastAsia="Times New Roman" w:cs="Times New Roman"/>
                <w:b/>
                <w:bCs/>
                <w:color w:val="000000"/>
                <w:sz w:val="17"/>
                <w:szCs w:val="17"/>
                <w:lang w:eastAsia="en-AU"/>
              </w:rPr>
            </w:pPr>
            <w:r w:rsidRPr="008C28C1">
              <w:rPr>
                <w:rFonts w:eastAsia="Times New Roman" w:cs="Times New Roman"/>
                <w:b/>
                <w:bCs/>
                <w:color w:val="000000"/>
                <w:sz w:val="17"/>
                <w:szCs w:val="17"/>
                <w:lang w:eastAsia="en-AU"/>
              </w:rPr>
              <w:t> </w:t>
            </w:r>
          </w:p>
        </w:tc>
        <w:tc>
          <w:tcPr>
            <w:tcW w:w="687" w:type="pct"/>
            <w:tcBorders>
              <w:top w:val="single" w:sz="12" w:space="0" w:color="62B5E5" w:themeColor="accent3"/>
              <w:left w:val="nil"/>
              <w:bottom w:val="single" w:sz="4" w:space="0" w:color="auto"/>
            </w:tcBorders>
            <w:shd w:val="clear" w:color="auto" w:fill="auto"/>
            <w:vAlign w:val="center"/>
            <w:hideMark/>
          </w:tcPr>
          <w:p w14:paraId="51DD6EAB" w14:textId="77777777" w:rsidR="000518DB" w:rsidRPr="008C28C1" w:rsidRDefault="000518DB" w:rsidP="00293F23">
            <w:pPr>
              <w:keepNext/>
              <w:spacing w:after="0" w:line="240" w:lineRule="auto"/>
              <w:jc w:val="center"/>
              <w:rPr>
                <w:rFonts w:eastAsia="Times New Roman" w:cs="Times New Roman"/>
                <w:b/>
                <w:bCs/>
                <w:color w:val="62B5E5"/>
                <w:sz w:val="17"/>
                <w:szCs w:val="17"/>
                <w:lang w:eastAsia="en-AU"/>
              </w:rPr>
            </w:pPr>
            <w:r w:rsidRPr="008C28C1">
              <w:rPr>
                <w:rFonts w:eastAsia="Times New Roman" w:cs="Times New Roman"/>
                <w:b/>
                <w:bCs/>
                <w:color w:val="62B5E5"/>
                <w:sz w:val="17"/>
                <w:szCs w:val="17"/>
                <w:lang w:eastAsia="en-AU"/>
              </w:rPr>
              <w:t>Mean</w:t>
            </w:r>
          </w:p>
        </w:tc>
        <w:tc>
          <w:tcPr>
            <w:tcW w:w="687" w:type="pct"/>
            <w:tcBorders>
              <w:top w:val="single" w:sz="12" w:space="0" w:color="62B5E5" w:themeColor="accent3"/>
              <w:bottom w:val="single" w:sz="4" w:space="0" w:color="auto"/>
            </w:tcBorders>
            <w:vAlign w:val="center"/>
          </w:tcPr>
          <w:p w14:paraId="3D36F0A3" w14:textId="326BB805" w:rsidR="000518DB" w:rsidRPr="008C28C1" w:rsidRDefault="000518DB" w:rsidP="00B922E8">
            <w:pPr>
              <w:keepNext/>
              <w:spacing w:after="0" w:line="240" w:lineRule="auto"/>
              <w:jc w:val="center"/>
              <w:rPr>
                <w:rFonts w:eastAsia="Times New Roman" w:cs="Times New Roman"/>
                <w:b/>
                <w:bCs/>
                <w:color w:val="62B5E5"/>
                <w:sz w:val="17"/>
                <w:szCs w:val="17"/>
                <w:lang w:eastAsia="en-AU"/>
              </w:rPr>
            </w:pPr>
            <w:r w:rsidRPr="008C28C1">
              <w:rPr>
                <w:rFonts w:eastAsia="Times New Roman" w:cs="Times New Roman"/>
                <w:b/>
                <w:bCs/>
                <w:color w:val="62B5E5"/>
                <w:sz w:val="17"/>
                <w:szCs w:val="17"/>
                <w:lang w:eastAsia="en-AU"/>
              </w:rPr>
              <w:t>WM</w:t>
            </w:r>
          </w:p>
        </w:tc>
        <w:tc>
          <w:tcPr>
            <w:tcW w:w="688" w:type="pct"/>
            <w:tcBorders>
              <w:top w:val="single" w:sz="12" w:space="0" w:color="62B5E5" w:themeColor="accent3"/>
              <w:bottom w:val="single" w:sz="4" w:space="0" w:color="auto"/>
            </w:tcBorders>
            <w:shd w:val="clear" w:color="auto" w:fill="auto"/>
            <w:vAlign w:val="center"/>
            <w:hideMark/>
          </w:tcPr>
          <w:p w14:paraId="36EB652C" w14:textId="36B447E5" w:rsidR="000518DB" w:rsidRPr="008C28C1" w:rsidRDefault="000518DB" w:rsidP="00B922E8">
            <w:pPr>
              <w:keepNext/>
              <w:spacing w:after="0" w:line="240" w:lineRule="auto"/>
              <w:jc w:val="center"/>
              <w:rPr>
                <w:rFonts w:eastAsia="Times New Roman" w:cs="Times New Roman"/>
                <w:b/>
                <w:bCs/>
                <w:color w:val="62B5E5"/>
                <w:sz w:val="17"/>
                <w:szCs w:val="17"/>
                <w:lang w:eastAsia="en-AU"/>
              </w:rPr>
            </w:pPr>
            <w:r w:rsidRPr="008C28C1">
              <w:rPr>
                <w:rFonts w:eastAsia="Times New Roman" w:cs="Times New Roman"/>
                <w:b/>
                <w:bCs/>
                <w:color w:val="62B5E5"/>
                <w:sz w:val="17"/>
                <w:szCs w:val="17"/>
                <w:lang w:eastAsia="en-AU"/>
              </w:rPr>
              <w:t>Med.</w:t>
            </w:r>
          </w:p>
        </w:tc>
        <w:tc>
          <w:tcPr>
            <w:tcW w:w="687" w:type="pct"/>
            <w:tcBorders>
              <w:top w:val="single" w:sz="12" w:space="0" w:color="62B5E5" w:themeColor="accent3"/>
              <w:bottom w:val="single" w:sz="4" w:space="0" w:color="auto"/>
            </w:tcBorders>
            <w:shd w:val="clear" w:color="auto" w:fill="auto"/>
            <w:vAlign w:val="center"/>
            <w:hideMark/>
          </w:tcPr>
          <w:p w14:paraId="7F9514A9" w14:textId="77777777" w:rsidR="000518DB" w:rsidRPr="008C28C1" w:rsidRDefault="000518DB" w:rsidP="00B922E8">
            <w:pPr>
              <w:keepNext/>
              <w:spacing w:after="0" w:line="240" w:lineRule="auto"/>
              <w:jc w:val="center"/>
              <w:rPr>
                <w:rFonts w:eastAsia="Times New Roman" w:cs="Times New Roman"/>
                <w:b/>
                <w:bCs/>
                <w:color w:val="62B5E5"/>
                <w:sz w:val="17"/>
                <w:szCs w:val="17"/>
                <w:lang w:eastAsia="en-AU"/>
              </w:rPr>
            </w:pPr>
            <w:r w:rsidRPr="008C28C1">
              <w:rPr>
                <w:rFonts w:eastAsia="Times New Roman" w:cs="Times New Roman"/>
                <w:b/>
                <w:bCs/>
                <w:color w:val="62B5E5"/>
                <w:sz w:val="17"/>
                <w:szCs w:val="17"/>
                <w:lang w:eastAsia="en-AU"/>
              </w:rPr>
              <w:t>25</w:t>
            </w:r>
            <w:r w:rsidRPr="008C28C1">
              <w:rPr>
                <w:rFonts w:eastAsia="Times New Roman" w:cs="Times New Roman"/>
                <w:b/>
                <w:bCs/>
                <w:color w:val="62B5E5"/>
                <w:sz w:val="17"/>
                <w:szCs w:val="17"/>
                <w:vertAlign w:val="superscript"/>
                <w:lang w:eastAsia="en-AU"/>
              </w:rPr>
              <w:t>th</w:t>
            </w:r>
            <w:r w:rsidRPr="008C28C1">
              <w:rPr>
                <w:rFonts w:eastAsia="Times New Roman" w:cs="Times New Roman"/>
                <w:b/>
                <w:bCs/>
                <w:color w:val="62B5E5"/>
                <w:sz w:val="17"/>
                <w:szCs w:val="17"/>
                <w:lang w:eastAsia="en-AU"/>
              </w:rPr>
              <w:t xml:space="preserve"> PC</w:t>
            </w:r>
          </w:p>
        </w:tc>
        <w:tc>
          <w:tcPr>
            <w:tcW w:w="688" w:type="pct"/>
            <w:tcBorders>
              <w:top w:val="single" w:sz="12" w:space="0" w:color="62B5E5" w:themeColor="accent3"/>
              <w:bottom w:val="single" w:sz="4" w:space="0" w:color="auto"/>
              <w:right w:val="nil"/>
            </w:tcBorders>
            <w:vAlign w:val="center"/>
          </w:tcPr>
          <w:p w14:paraId="7AEB6510" w14:textId="0A2B54D6" w:rsidR="000518DB" w:rsidRPr="008C28C1" w:rsidRDefault="000518DB" w:rsidP="00B922E8">
            <w:pPr>
              <w:keepNext/>
              <w:spacing w:after="0" w:line="240" w:lineRule="auto"/>
              <w:jc w:val="center"/>
              <w:rPr>
                <w:rFonts w:eastAsia="Times New Roman" w:cs="Times New Roman"/>
                <w:b/>
                <w:bCs/>
                <w:color w:val="62B5E5"/>
                <w:sz w:val="17"/>
                <w:szCs w:val="17"/>
                <w:lang w:eastAsia="en-AU"/>
              </w:rPr>
            </w:pPr>
            <w:r w:rsidRPr="008C28C1">
              <w:rPr>
                <w:rFonts w:eastAsia="Times New Roman" w:cs="Times New Roman"/>
                <w:b/>
                <w:bCs/>
                <w:color w:val="62B5E5"/>
                <w:sz w:val="17"/>
                <w:szCs w:val="17"/>
                <w:lang w:eastAsia="en-AU"/>
              </w:rPr>
              <w:t>75</w:t>
            </w:r>
            <w:r w:rsidRPr="008C28C1">
              <w:rPr>
                <w:rFonts w:eastAsia="Times New Roman" w:cs="Times New Roman"/>
                <w:b/>
                <w:bCs/>
                <w:color w:val="62B5E5"/>
                <w:sz w:val="17"/>
                <w:szCs w:val="17"/>
                <w:vertAlign w:val="superscript"/>
                <w:lang w:eastAsia="en-AU"/>
              </w:rPr>
              <w:t>th</w:t>
            </w:r>
            <w:r w:rsidRPr="008C28C1">
              <w:rPr>
                <w:rFonts w:eastAsia="Times New Roman" w:cs="Times New Roman"/>
                <w:b/>
                <w:bCs/>
                <w:color w:val="62B5E5"/>
                <w:sz w:val="17"/>
                <w:szCs w:val="17"/>
                <w:lang w:eastAsia="en-AU"/>
              </w:rPr>
              <w:t xml:space="preserve"> PC</w:t>
            </w:r>
          </w:p>
        </w:tc>
      </w:tr>
      <w:tr w:rsidR="000518DB" w:rsidRPr="003F110A" w14:paraId="5785280B" w14:textId="6DE21CC9" w:rsidTr="008C28C1">
        <w:trPr>
          <w:trHeight w:val="612"/>
        </w:trPr>
        <w:tc>
          <w:tcPr>
            <w:tcW w:w="1562" w:type="pct"/>
            <w:tcBorders>
              <w:top w:val="single" w:sz="4" w:space="0" w:color="auto"/>
              <w:left w:val="nil"/>
              <w:bottom w:val="single" w:sz="4" w:space="0" w:color="auto"/>
            </w:tcBorders>
            <w:shd w:val="clear" w:color="auto" w:fill="auto"/>
            <w:vAlign w:val="center"/>
            <w:hideMark/>
          </w:tcPr>
          <w:p w14:paraId="4D137E48" w14:textId="2B6F1F85" w:rsidR="000518DB" w:rsidRPr="003F110A" w:rsidRDefault="000518DB" w:rsidP="00101AB8">
            <w:pPr>
              <w:keepNext/>
              <w:spacing w:after="0" w:line="240" w:lineRule="auto"/>
              <w:rPr>
                <w:rFonts w:eastAsia="Times New Roman" w:cs="Times New Roman"/>
                <w:color w:val="000000"/>
                <w:sz w:val="17"/>
                <w:szCs w:val="17"/>
                <w:lang w:eastAsia="en-AU"/>
              </w:rPr>
            </w:pPr>
            <w:r w:rsidRPr="003F110A">
              <w:rPr>
                <w:rFonts w:eastAsia="Times New Roman" w:cs="Times New Roman"/>
                <w:color w:val="000000"/>
                <w:sz w:val="17"/>
                <w:szCs w:val="17"/>
                <w:lang w:eastAsia="en-AU"/>
              </w:rPr>
              <w:t>Overheads (ex</w:t>
            </w:r>
            <w:r>
              <w:rPr>
                <w:rFonts w:eastAsia="Times New Roman" w:cs="Times New Roman"/>
                <w:color w:val="000000"/>
                <w:sz w:val="17"/>
                <w:szCs w:val="17"/>
                <w:lang w:eastAsia="en-AU"/>
              </w:rPr>
              <w:t>cluding</w:t>
            </w:r>
            <w:r w:rsidRPr="003F110A">
              <w:rPr>
                <w:rFonts w:eastAsia="Times New Roman" w:cs="Times New Roman"/>
                <w:color w:val="000000"/>
                <w:sz w:val="17"/>
                <w:szCs w:val="17"/>
                <w:lang w:eastAsia="en-AU"/>
              </w:rPr>
              <w:t xml:space="preserve"> interest </w:t>
            </w:r>
            <w:r>
              <w:rPr>
                <w:rFonts w:eastAsia="Times New Roman" w:cs="Times New Roman"/>
                <w:color w:val="000000"/>
                <w:sz w:val="17"/>
                <w:szCs w:val="17"/>
                <w:lang w:eastAsia="en-AU"/>
              </w:rPr>
              <w:t xml:space="preserve">and </w:t>
            </w:r>
            <w:r w:rsidRPr="003F110A">
              <w:rPr>
                <w:rFonts w:eastAsia="Times New Roman" w:cs="Times New Roman"/>
                <w:color w:val="000000"/>
                <w:sz w:val="17"/>
                <w:szCs w:val="17"/>
                <w:lang w:eastAsia="en-AU"/>
              </w:rPr>
              <w:t>depreciation) as a share of direct costs</w:t>
            </w:r>
          </w:p>
        </w:tc>
        <w:tc>
          <w:tcPr>
            <w:tcW w:w="687" w:type="pct"/>
            <w:tcBorders>
              <w:top w:val="single" w:sz="4" w:space="0" w:color="auto"/>
              <w:left w:val="nil"/>
              <w:bottom w:val="single" w:sz="4" w:space="0" w:color="auto"/>
            </w:tcBorders>
            <w:shd w:val="clear" w:color="auto" w:fill="auto"/>
            <w:vAlign w:val="center"/>
          </w:tcPr>
          <w:p w14:paraId="5F800B1C" w14:textId="4F16A7FE" w:rsidR="000518DB" w:rsidRPr="003F110A" w:rsidRDefault="000518DB" w:rsidP="00101AB8">
            <w:pPr>
              <w:pStyle w:val="TabletextCentre"/>
              <w:rPr>
                <w:rFonts w:eastAsia="Times New Roman" w:cs="Times New Roman"/>
                <w:color w:val="000000"/>
                <w:szCs w:val="17"/>
                <w:lang w:eastAsia="en-AU"/>
              </w:rPr>
            </w:pPr>
            <w:r w:rsidRPr="007C3601">
              <w:t>27.7%</w:t>
            </w:r>
          </w:p>
        </w:tc>
        <w:tc>
          <w:tcPr>
            <w:tcW w:w="687" w:type="pct"/>
            <w:tcBorders>
              <w:top w:val="single" w:sz="4" w:space="0" w:color="auto"/>
              <w:bottom w:val="single" w:sz="4" w:space="0" w:color="auto"/>
            </w:tcBorders>
            <w:vAlign w:val="center"/>
          </w:tcPr>
          <w:p w14:paraId="5EF6B088" w14:textId="3337A466" w:rsidR="000518DB" w:rsidRPr="003F110A" w:rsidRDefault="000518DB" w:rsidP="00101AB8">
            <w:pPr>
              <w:pStyle w:val="TabletextCentre"/>
            </w:pPr>
            <w:r w:rsidRPr="007C3601">
              <w:t>28.7%</w:t>
            </w:r>
          </w:p>
        </w:tc>
        <w:tc>
          <w:tcPr>
            <w:tcW w:w="688" w:type="pct"/>
            <w:tcBorders>
              <w:top w:val="single" w:sz="4" w:space="0" w:color="auto"/>
              <w:bottom w:val="single" w:sz="4" w:space="0" w:color="auto"/>
            </w:tcBorders>
            <w:shd w:val="clear" w:color="auto" w:fill="auto"/>
            <w:vAlign w:val="center"/>
          </w:tcPr>
          <w:p w14:paraId="4E37114E" w14:textId="474E6B57" w:rsidR="000518DB" w:rsidRPr="003F110A" w:rsidRDefault="000518DB" w:rsidP="00101AB8">
            <w:pPr>
              <w:pStyle w:val="TabletextCentre"/>
              <w:rPr>
                <w:rFonts w:eastAsia="Times New Roman" w:cs="Times New Roman"/>
                <w:color w:val="000000"/>
                <w:szCs w:val="17"/>
                <w:lang w:eastAsia="en-AU"/>
              </w:rPr>
            </w:pPr>
            <w:r w:rsidRPr="007C3601">
              <w:t>28.1%</w:t>
            </w:r>
          </w:p>
        </w:tc>
        <w:tc>
          <w:tcPr>
            <w:tcW w:w="687" w:type="pct"/>
            <w:tcBorders>
              <w:top w:val="single" w:sz="4" w:space="0" w:color="auto"/>
              <w:bottom w:val="single" w:sz="4" w:space="0" w:color="auto"/>
            </w:tcBorders>
            <w:shd w:val="clear" w:color="auto" w:fill="auto"/>
            <w:vAlign w:val="center"/>
          </w:tcPr>
          <w:p w14:paraId="319FB8E6" w14:textId="00023586" w:rsidR="000518DB" w:rsidRPr="003F110A" w:rsidRDefault="000518DB" w:rsidP="00101AB8">
            <w:pPr>
              <w:pStyle w:val="TabletextCentre"/>
              <w:rPr>
                <w:rFonts w:eastAsia="Times New Roman" w:cs="Times New Roman"/>
                <w:color w:val="000000"/>
                <w:szCs w:val="17"/>
                <w:lang w:eastAsia="en-AU"/>
              </w:rPr>
            </w:pPr>
            <w:r w:rsidRPr="007C3601">
              <w:t>19.8%</w:t>
            </w:r>
          </w:p>
        </w:tc>
        <w:tc>
          <w:tcPr>
            <w:tcW w:w="688" w:type="pct"/>
            <w:tcBorders>
              <w:top w:val="single" w:sz="4" w:space="0" w:color="auto"/>
              <w:bottom w:val="single" w:sz="4" w:space="0" w:color="auto"/>
              <w:right w:val="nil"/>
            </w:tcBorders>
            <w:vAlign w:val="center"/>
          </w:tcPr>
          <w:p w14:paraId="16774D9F" w14:textId="6FCC07A7" w:rsidR="000518DB" w:rsidRPr="003F110A" w:rsidRDefault="000518DB" w:rsidP="00101AB8">
            <w:pPr>
              <w:pStyle w:val="TabletextCentre"/>
            </w:pPr>
            <w:r w:rsidRPr="007C3601">
              <w:t>36.4%</w:t>
            </w:r>
          </w:p>
        </w:tc>
      </w:tr>
      <w:tr w:rsidR="000518DB" w:rsidRPr="003F110A" w14:paraId="1C06741D" w14:textId="7D11AC3D" w:rsidTr="008C28C1">
        <w:trPr>
          <w:trHeight w:val="612"/>
        </w:trPr>
        <w:tc>
          <w:tcPr>
            <w:tcW w:w="1562" w:type="pct"/>
            <w:tcBorders>
              <w:top w:val="single" w:sz="4" w:space="0" w:color="auto"/>
              <w:left w:val="nil"/>
              <w:bottom w:val="single" w:sz="4" w:space="0" w:color="auto"/>
            </w:tcBorders>
            <w:shd w:val="clear" w:color="auto" w:fill="auto"/>
            <w:vAlign w:val="center"/>
            <w:hideMark/>
          </w:tcPr>
          <w:p w14:paraId="2A5E1BB1" w14:textId="3B2941F8" w:rsidR="000518DB" w:rsidRPr="003F110A" w:rsidRDefault="000518DB" w:rsidP="00101AB8">
            <w:pPr>
              <w:keepNext/>
              <w:spacing w:after="0" w:line="240" w:lineRule="auto"/>
              <w:rPr>
                <w:rFonts w:eastAsia="Times New Roman" w:cs="Times New Roman"/>
                <w:color w:val="000000"/>
                <w:sz w:val="17"/>
                <w:szCs w:val="17"/>
                <w:lang w:eastAsia="en-AU"/>
              </w:rPr>
            </w:pPr>
            <w:r>
              <w:rPr>
                <w:rFonts w:eastAsia="Times New Roman" w:cs="Times New Roman"/>
                <w:color w:val="000000"/>
                <w:sz w:val="17"/>
                <w:szCs w:val="17"/>
                <w:lang w:eastAsia="en-AU"/>
              </w:rPr>
              <w:t>Implied m</w:t>
            </w:r>
            <w:r w:rsidRPr="003F110A">
              <w:rPr>
                <w:rFonts w:eastAsia="Times New Roman" w:cs="Times New Roman"/>
                <w:color w:val="000000"/>
                <w:sz w:val="17"/>
                <w:szCs w:val="17"/>
                <w:lang w:eastAsia="en-AU"/>
              </w:rPr>
              <w:t>argin as a share of other costs</w:t>
            </w:r>
          </w:p>
        </w:tc>
        <w:tc>
          <w:tcPr>
            <w:tcW w:w="687" w:type="pct"/>
            <w:tcBorders>
              <w:top w:val="single" w:sz="4" w:space="0" w:color="auto"/>
              <w:left w:val="nil"/>
              <w:bottom w:val="single" w:sz="4" w:space="0" w:color="auto"/>
            </w:tcBorders>
            <w:shd w:val="clear" w:color="auto" w:fill="auto"/>
            <w:vAlign w:val="center"/>
          </w:tcPr>
          <w:p w14:paraId="32FF4EED" w14:textId="3F220D67" w:rsidR="000518DB" w:rsidRPr="003F110A" w:rsidRDefault="000518DB" w:rsidP="00101AB8">
            <w:pPr>
              <w:pStyle w:val="TabletextCentre"/>
              <w:rPr>
                <w:rFonts w:eastAsia="Times New Roman" w:cs="Times New Roman"/>
                <w:color w:val="000000"/>
                <w:szCs w:val="17"/>
                <w:lang w:eastAsia="en-AU"/>
              </w:rPr>
            </w:pPr>
            <w:r w:rsidRPr="007C3601">
              <w:t>1.7%</w:t>
            </w:r>
          </w:p>
        </w:tc>
        <w:tc>
          <w:tcPr>
            <w:tcW w:w="687" w:type="pct"/>
            <w:tcBorders>
              <w:top w:val="single" w:sz="4" w:space="0" w:color="auto"/>
              <w:bottom w:val="single" w:sz="4" w:space="0" w:color="auto"/>
            </w:tcBorders>
            <w:vAlign w:val="center"/>
          </w:tcPr>
          <w:p w14:paraId="3C3FE0EB" w14:textId="18690D46" w:rsidR="000518DB" w:rsidRPr="003F110A" w:rsidRDefault="000518DB" w:rsidP="00101AB8">
            <w:pPr>
              <w:pStyle w:val="TabletextCentre"/>
            </w:pPr>
            <w:r w:rsidRPr="007C3601">
              <w:t>1.6%</w:t>
            </w:r>
          </w:p>
        </w:tc>
        <w:tc>
          <w:tcPr>
            <w:tcW w:w="688" w:type="pct"/>
            <w:tcBorders>
              <w:top w:val="single" w:sz="4" w:space="0" w:color="auto"/>
              <w:bottom w:val="single" w:sz="4" w:space="0" w:color="auto"/>
            </w:tcBorders>
            <w:shd w:val="clear" w:color="auto" w:fill="auto"/>
            <w:vAlign w:val="center"/>
          </w:tcPr>
          <w:p w14:paraId="078398AB" w14:textId="5456A6D5" w:rsidR="000518DB" w:rsidRPr="003F110A" w:rsidRDefault="000518DB" w:rsidP="00101AB8">
            <w:pPr>
              <w:pStyle w:val="TabletextCentre"/>
              <w:rPr>
                <w:rFonts w:eastAsia="Times New Roman" w:cs="Times New Roman"/>
                <w:color w:val="000000"/>
                <w:szCs w:val="17"/>
                <w:lang w:eastAsia="en-AU"/>
              </w:rPr>
            </w:pPr>
            <w:r w:rsidRPr="007C3601">
              <w:t>1.2%</w:t>
            </w:r>
          </w:p>
        </w:tc>
        <w:tc>
          <w:tcPr>
            <w:tcW w:w="687" w:type="pct"/>
            <w:tcBorders>
              <w:top w:val="single" w:sz="4" w:space="0" w:color="auto"/>
              <w:bottom w:val="single" w:sz="4" w:space="0" w:color="auto"/>
            </w:tcBorders>
            <w:shd w:val="clear" w:color="auto" w:fill="auto"/>
            <w:vAlign w:val="center"/>
          </w:tcPr>
          <w:p w14:paraId="5E847EEF" w14:textId="2E2F4ED9" w:rsidR="000518DB" w:rsidRPr="003F110A" w:rsidRDefault="000518DB" w:rsidP="00101AB8">
            <w:pPr>
              <w:pStyle w:val="TabletextCentre"/>
            </w:pPr>
            <w:r w:rsidRPr="007C3601">
              <w:t>0.5%</w:t>
            </w:r>
          </w:p>
        </w:tc>
        <w:tc>
          <w:tcPr>
            <w:tcW w:w="688" w:type="pct"/>
            <w:tcBorders>
              <w:top w:val="single" w:sz="4" w:space="0" w:color="auto"/>
              <w:bottom w:val="single" w:sz="4" w:space="0" w:color="auto"/>
              <w:right w:val="nil"/>
            </w:tcBorders>
            <w:vAlign w:val="center"/>
          </w:tcPr>
          <w:p w14:paraId="2A09A2FD" w14:textId="67F0A6CF" w:rsidR="000518DB" w:rsidRPr="003F110A" w:rsidRDefault="000518DB" w:rsidP="00101AB8">
            <w:pPr>
              <w:pStyle w:val="TabletextCentre"/>
            </w:pPr>
            <w:r w:rsidRPr="007C3601">
              <w:t>2.3%</w:t>
            </w:r>
          </w:p>
        </w:tc>
      </w:tr>
    </w:tbl>
    <w:p w14:paraId="35EF4AAF" w14:textId="1AD4045B" w:rsidR="002757B4" w:rsidRDefault="002757B4" w:rsidP="002757B4"/>
    <w:p w14:paraId="52B7C6DD" w14:textId="5CDDCD1C" w:rsidR="002270F8" w:rsidRDefault="00746532" w:rsidP="001B4EB7">
      <w:pPr>
        <w:keepNext/>
        <w:keepLines/>
      </w:pPr>
      <w:r>
        <w:lastRenderedPageBreak/>
        <w:t>P</w:t>
      </w:r>
      <w:r w:rsidR="002270F8">
        <w:t xml:space="preserve">er </w:t>
      </w:r>
      <w:r w:rsidR="005C567D">
        <w:fldChar w:fldCharType="begin"/>
      </w:r>
      <w:r w:rsidR="005C567D">
        <w:instrText xml:space="preserve"> REF _Ref38635884 \n </w:instrText>
      </w:r>
      <w:r w:rsidR="005C567D">
        <w:fldChar w:fldCharType="separate"/>
      </w:r>
      <w:r w:rsidR="00283637">
        <w:t>Chart 3.11</w:t>
      </w:r>
      <w:r w:rsidR="005C567D">
        <w:fldChar w:fldCharType="end"/>
      </w:r>
      <w:r w:rsidR="002270F8">
        <w:t xml:space="preserve">, survey responses of direct costs and overheads items resulted in a wide range of results. It is likely that some organisations were not isolating financial responses related to TTP eligible disability service provision. As such in some cases direct costs (the denominator in the ratio) may not have correctly related to the corresponding overheads items (the numerator), thus increasing the </w:t>
      </w:r>
      <w:r w:rsidR="00AB0FA8">
        <w:t xml:space="preserve">variance of results. Outliers notwithstanding, the </w:t>
      </w:r>
      <w:r>
        <w:t>IQR</w:t>
      </w:r>
      <w:r w:rsidR="00AB0FA8">
        <w:t xml:space="preserve"> indicate</w:t>
      </w:r>
      <w:r>
        <w:t>s</w:t>
      </w:r>
      <w:r w:rsidR="00AB0FA8">
        <w:t xml:space="preserve"> likely observations between 20% to 36%</w:t>
      </w:r>
      <w:r w:rsidR="002F429A">
        <w:t>,</w:t>
      </w:r>
      <w:r w:rsidR="00AB0FA8">
        <w:t xml:space="preserve"> a range of 16%.</w:t>
      </w:r>
      <w:r w:rsidR="002270F8">
        <w:t xml:space="preserve"> </w:t>
      </w:r>
    </w:p>
    <w:p w14:paraId="5C8B8E23" w14:textId="40C32173" w:rsidR="00165AB4" w:rsidRDefault="00165AB4" w:rsidP="00165AB4">
      <w:pPr>
        <w:pStyle w:val="CaptionChart"/>
      </w:pPr>
      <w:bookmarkStart w:id="231" w:name="_Ref38635884"/>
      <w:bookmarkStart w:id="232" w:name="_Toc40454730"/>
      <w:r>
        <w:t>Box plot</w:t>
      </w:r>
      <w:r w:rsidR="002E5D35">
        <w:t xml:space="preserve"> (LHS)</w:t>
      </w:r>
      <w:r>
        <w:t xml:space="preserve"> </w:t>
      </w:r>
      <w:r w:rsidR="00A32A72">
        <w:t xml:space="preserve">and </w:t>
      </w:r>
      <w:r w:rsidR="003F6894">
        <w:t>frequency histogram</w:t>
      </w:r>
      <w:r w:rsidR="00E844D9">
        <w:t xml:space="preserve"> </w:t>
      </w:r>
      <w:r>
        <w:t>of overheads (%) responses</w:t>
      </w:r>
      <w:bookmarkEnd w:id="231"/>
      <w:r w:rsidR="002E5D35">
        <w:t xml:space="preserve"> (RHS)</w:t>
      </w:r>
      <w:bookmarkEnd w:id="232"/>
    </w:p>
    <w:p w14:paraId="13FC8FA3" w14:textId="614C2F10" w:rsidR="002474B0" w:rsidRPr="001C3269" w:rsidRDefault="00646A29" w:rsidP="00DB66C5">
      <w:r w:rsidRPr="00646A29">
        <w:rPr>
          <w:noProof/>
          <w:lang w:eastAsia="en-AU"/>
        </w:rPr>
        <w:drawing>
          <wp:anchor distT="0" distB="0" distL="114300" distR="114300" simplePos="0" relativeHeight="251708416" behindDoc="0" locked="0" layoutInCell="1" allowOverlap="1" wp14:anchorId="3F314870" wp14:editId="211E1AD4">
            <wp:simplePos x="0" y="0"/>
            <wp:positionH relativeFrom="column">
              <wp:posOffset>2648198</wp:posOffset>
            </wp:positionH>
            <wp:positionV relativeFrom="paragraph">
              <wp:posOffset>18415</wp:posOffset>
            </wp:positionV>
            <wp:extent cx="2897505" cy="2588895"/>
            <wp:effectExtent l="0" t="0" r="0" b="1905"/>
            <wp:wrapNone/>
            <wp:docPr id="45" name="Picture 4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97505" cy="2588895"/>
                    </a:xfrm>
                    <a:prstGeom prst="rect">
                      <a:avLst/>
                    </a:prstGeom>
                    <a:noFill/>
                    <a:ln>
                      <a:noFill/>
                    </a:ln>
                  </pic:spPr>
                </pic:pic>
              </a:graphicData>
            </a:graphic>
          </wp:anchor>
        </w:drawing>
      </w:r>
      <w:r w:rsidRPr="00646A29">
        <w:rPr>
          <w:noProof/>
          <w:lang w:eastAsia="en-AU"/>
        </w:rPr>
        <w:drawing>
          <wp:inline distT="0" distB="0" distL="0" distR="0" wp14:anchorId="644BBA45" wp14:editId="5219121F">
            <wp:extent cx="2695575" cy="2612390"/>
            <wp:effectExtent l="0" t="0" r="9525" b="0"/>
            <wp:docPr id="38" name="Picture 38" descr="Chart 3.11 Box plot (LHS) and frequency histogram of overheads (%) responses (R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95575" cy="2612390"/>
                    </a:xfrm>
                    <a:prstGeom prst="rect">
                      <a:avLst/>
                    </a:prstGeom>
                    <a:noFill/>
                    <a:ln>
                      <a:noFill/>
                    </a:ln>
                  </pic:spPr>
                </pic:pic>
              </a:graphicData>
            </a:graphic>
          </wp:inline>
        </w:drawing>
      </w:r>
      <w:r w:rsidR="00BC75ED" w:rsidRPr="00BC75ED">
        <w:rPr>
          <w:noProof/>
        </w:rPr>
        <w:t xml:space="preserve"> </w:t>
      </w:r>
    </w:p>
    <w:p w14:paraId="4C4DDEFF" w14:textId="1665CBAD" w:rsidR="005C567D" w:rsidRPr="00B934B1" w:rsidRDefault="005C567D" w:rsidP="005C567D">
      <w:pPr>
        <w:rPr>
          <w:bCs/>
        </w:rPr>
      </w:pPr>
      <w:r>
        <w:rPr>
          <w:bCs/>
        </w:rPr>
        <w:fldChar w:fldCharType="begin"/>
      </w:r>
      <w:r>
        <w:rPr>
          <w:bCs/>
        </w:rPr>
        <w:instrText xml:space="preserve"> REF _Ref38635953 \n </w:instrText>
      </w:r>
      <w:r>
        <w:rPr>
          <w:bCs/>
        </w:rPr>
        <w:fldChar w:fldCharType="separate"/>
      </w:r>
      <w:r w:rsidR="00283637">
        <w:rPr>
          <w:bCs/>
        </w:rPr>
        <w:t>Chart 3.12</w:t>
      </w:r>
      <w:r>
        <w:rPr>
          <w:bCs/>
        </w:rPr>
        <w:fldChar w:fldCharType="end"/>
      </w:r>
      <w:r>
        <w:rPr>
          <w:bCs/>
        </w:rPr>
        <w:t xml:space="preserve"> </w:t>
      </w:r>
      <w:r w:rsidR="00746532">
        <w:rPr>
          <w:bCs/>
        </w:rPr>
        <w:t xml:space="preserve">shows that </w:t>
      </w:r>
      <w:r>
        <w:rPr>
          <w:bCs/>
        </w:rPr>
        <w:t xml:space="preserve">while the distribution of </w:t>
      </w:r>
      <w:r w:rsidR="00A6707A">
        <w:rPr>
          <w:bCs/>
        </w:rPr>
        <w:t xml:space="preserve">implied </w:t>
      </w:r>
      <w:r>
        <w:rPr>
          <w:bCs/>
        </w:rPr>
        <w:t>margins exhibited a long tail, the majority of observations were between 0.5% and 2.3%. Beyond this, observations rapidly reduce with results above 5% being unlikely.</w:t>
      </w:r>
    </w:p>
    <w:p w14:paraId="39E5D6D9" w14:textId="7B71E6C9" w:rsidR="00165AB4" w:rsidRDefault="00165AB4">
      <w:pPr>
        <w:pStyle w:val="CaptionChart"/>
      </w:pPr>
      <w:bookmarkStart w:id="233" w:name="_Toc39761864"/>
      <w:bookmarkStart w:id="234" w:name="_Toc39763155"/>
      <w:bookmarkStart w:id="235" w:name="_Toc39837017"/>
      <w:bookmarkStart w:id="236" w:name="_Toc39837864"/>
      <w:bookmarkStart w:id="237" w:name="_Ref38635953"/>
      <w:bookmarkStart w:id="238" w:name="_Toc40454731"/>
      <w:bookmarkEnd w:id="233"/>
      <w:bookmarkEnd w:id="234"/>
      <w:bookmarkEnd w:id="235"/>
      <w:bookmarkEnd w:id="236"/>
      <w:r>
        <w:t xml:space="preserve">Box plot </w:t>
      </w:r>
      <w:r w:rsidR="00FB71C3">
        <w:t xml:space="preserve">(LHS) </w:t>
      </w:r>
      <w:r w:rsidR="00A32A72">
        <w:t xml:space="preserve">and </w:t>
      </w:r>
      <w:r w:rsidR="005C567D">
        <w:t>frequency histogram</w:t>
      </w:r>
      <w:r w:rsidR="00E844D9">
        <w:t xml:space="preserve"> </w:t>
      </w:r>
      <w:r>
        <w:t xml:space="preserve">of </w:t>
      </w:r>
      <w:r w:rsidR="00A6707A">
        <w:t xml:space="preserve">implied </w:t>
      </w:r>
      <w:r>
        <w:t>margins (%) response</w:t>
      </w:r>
      <w:r w:rsidR="00A32A72">
        <w:t>s</w:t>
      </w:r>
      <w:bookmarkEnd w:id="237"/>
      <w:r w:rsidR="00FB71C3">
        <w:t xml:space="preserve"> (RHS)</w:t>
      </w:r>
      <w:bookmarkEnd w:id="238"/>
    </w:p>
    <w:p w14:paraId="7786752E" w14:textId="5677C19B" w:rsidR="009001C6" w:rsidRDefault="009001C6" w:rsidP="00E844D9">
      <w:r w:rsidRPr="009001C6">
        <w:rPr>
          <w:noProof/>
          <w:lang w:eastAsia="en-AU"/>
        </w:rPr>
        <w:drawing>
          <wp:inline distT="0" distB="0" distL="0" distR="0" wp14:anchorId="1F40AB4F" wp14:editId="0D184BC9">
            <wp:extent cx="2636520" cy="2410460"/>
            <wp:effectExtent l="0" t="0" r="0" b="8890"/>
            <wp:docPr id="26" name="Picture 26" descr="Chart 3.12 Box plot (LHS) and frequency histogram of margins (%) responses (R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36520" cy="2410460"/>
                    </a:xfrm>
                    <a:prstGeom prst="rect">
                      <a:avLst/>
                    </a:prstGeom>
                    <a:noFill/>
                    <a:ln>
                      <a:noFill/>
                    </a:ln>
                  </pic:spPr>
                </pic:pic>
              </a:graphicData>
            </a:graphic>
          </wp:inline>
        </w:drawing>
      </w:r>
      <w:r w:rsidR="00EB1D3D" w:rsidRPr="00EB1D3D">
        <w:rPr>
          <w:noProof/>
        </w:rPr>
        <w:t xml:space="preserve"> </w:t>
      </w:r>
      <w:r w:rsidR="001455DF" w:rsidRPr="001455DF">
        <w:rPr>
          <w:noProof/>
          <w:lang w:eastAsia="en-AU"/>
        </w:rPr>
        <w:drawing>
          <wp:inline distT="0" distB="0" distL="0" distR="0" wp14:anchorId="0525B6B2" wp14:editId="7B9B9AF8">
            <wp:extent cx="3003882" cy="2257060"/>
            <wp:effectExtent l="0" t="0" r="6350" b="0"/>
            <wp:docPr id="14" name="Picture 14" descr="Chart 3.12 Box plot (LHS) and frequency histogram of implied margins (%) responses (R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13360" cy="2264182"/>
                    </a:xfrm>
                    <a:prstGeom prst="rect">
                      <a:avLst/>
                    </a:prstGeom>
                    <a:noFill/>
                    <a:ln>
                      <a:noFill/>
                    </a:ln>
                  </pic:spPr>
                </pic:pic>
              </a:graphicData>
            </a:graphic>
          </wp:inline>
        </w:drawing>
      </w:r>
    </w:p>
    <w:p w14:paraId="1352BA10" w14:textId="692D9C79" w:rsidR="00E844D9" w:rsidRPr="00E844D9" w:rsidRDefault="000E3A77" w:rsidP="00E844D9">
      <w:r>
        <w:fldChar w:fldCharType="begin"/>
      </w:r>
      <w:r>
        <w:instrText xml:space="preserve"> REF _Ref39763176 \r \h </w:instrText>
      </w:r>
      <w:r>
        <w:fldChar w:fldCharType="separate"/>
      </w:r>
      <w:r w:rsidR="00283637">
        <w:t>Table 3.17</w:t>
      </w:r>
      <w:r>
        <w:fldChar w:fldCharType="end"/>
      </w:r>
      <w:r w:rsidR="00500DBC">
        <w:t xml:space="preserve"> </w:t>
      </w:r>
      <w:r w:rsidR="00B922E8">
        <w:t>provides a breakdown of overheads as captured by the survey. Non-service level staff salaries formed the majority of overhead costs at 46.</w:t>
      </w:r>
      <w:r w:rsidR="0068083E">
        <w:t>9</w:t>
      </w:r>
      <w:r w:rsidR="00B922E8">
        <w:t xml:space="preserve">%. The ‘Other’ category formed the second highest at 24.5%. This could be indicative of insufficient overheads categories being presented in the survey, or limited understanding by participants as to costs that may have been appropriately placed in </w:t>
      </w:r>
      <w:r w:rsidR="00AB1D0B">
        <w:t>a</w:t>
      </w:r>
      <w:r w:rsidR="00B922E8">
        <w:t xml:space="preserve"> specific categor</w:t>
      </w:r>
      <w:r w:rsidR="00AB1D0B">
        <w:t>y</w:t>
      </w:r>
      <w:r w:rsidR="00B922E8">
        <w:t xml:space="preserve">. </w:t>
      </w:r>
      <w:r w:rsidR="00AB3E3B">
        <w:t>Other significant categories that captured over 5% of costs were</w:t>
      </w:r>
      <w:r w:rsidR="007E5AA9">
        <w:t xml:space="preserve"> IT costs (5.1%), rent and fittings (7.4%) and depreciation (7.4%).</w:t>
      </w:r>
    </w:p>
    <w:p w14:paraId="4ACEB628" w14:textId="6E1211AD" w:rsidR="00F36446" w:rsidRPr="003F110A" w:rsidRDefault="000E3A77" w:rsidP="00446242">
      <w:pPr>
        <w:pStyle w:val="CaptionTable"/>
        <w:ind w:left="0"/>
      </w:pPr>
      <w:bookmarkStart w:id="239" w:name="_Toc36130640"/>
      <w:bookmarkStart w:id="240" w:name="_Toc36130644"/>
      <w:bookmarkStart w:id="241" w:name="_Ref39763176"/>
      <w:bookmarkStart w:id="242" w:name="_Toc40454698"/>
      <w:bookmarkStart w:id="243" w:name="_Ref35578991"/>
      <w:bookmarkEnd w:id="239"/>
      <w:bookmarkEnd w:id="240"/>
      <w:r>
        <w:lastRenderedPageBreak/>
        <w:t>Share of overheads categories</w:t>
      </w:r>
      <w:bookmarkEnd w:id="241"/>
      <w:bookmarkEnd w:id="242"/>
    </w:p>
    <w:tbl>
      <w:tblPr>
        <w:tblStyle w:val="Deloittetable"/>
        <w:tblW w:w="5000" w:type="pct"/>
        <w:tblLook w:val="04A0" w:firstRow="1" w:lastRow="0" w:firstColumn="1" w:lastColumn="0" w:noHBand="0" w:noVBand="1"/>
      </w:tblPr>
      <w:tblGrid>
        <w:gridCol w:w="5620"/>
        <w:gridCol w:w="3406"/>
      </w:tblGrid>
      <w:tr w:rsidR="00F36446" w:rsidRPr="003F110A" w14:paraId="53C5B816" w14:textId="77777777" w:rsidTr="003F110A">
        <w:trPr>
          <w:cnfStyle w:val="100000000000" w:firstRow="1" w:lastRow="0" w:firstColumn="0" w:lastColumn="0" w:oddVBand="0" w:evenVBand="0" w:oddHBand="0" w:evenHBand="0" w:firstRowFirstColumn="0" w:firstRowLastColumn="0" w:lastRowFirstColumn="0" w:lastRowLastColumn="0"/>
          <w:tblHeader/>
        </w:trPr>
        <w:tc>
          <w:tcPr>
            <w:tcW w:w="0" w:type="pct"/>
          </w:tcPr>
          <w:p w14:paraId="0743DF5F" w14:textId="67F56DFB" w:rsidR="00F36446" w:rsidRPr="003F110A" w:rsidRDefault="00F36446" w:rsidP="00446242">
            <w:pPr>
              <w:pStyle w:val="TabletextLeft"/>
              <w:keepNext/>
              <w:keepLines/>
              <w:rPr>
                <w:b/>
                <w:color w:val="62B5E5" w:themeColor="accent3"/>
              </w:rPr>
            </w:pPr>
            <w:r w:rsidRPr="003F110A">
              <w:rPr>
                <w:b/>
                <w:color w:val="62B5E5" w:themeColor="accent3"/>
              </w:rPr>
              <w:t>Category</w:t>
            </w:r>
          </w:p>
        </w:tc>
        <w:tc>
          <w:tcPr>
            <w:tcW w:w="0" w:type="pct"/>
          </w:tcPr>
          <w:p w14:paraId="51DCFCE1" w14:textId="3C14B8C1" w:rsidR="00F36446" w:rsidRPr="003F110A" w:rsidRDefault="004E4DE3" w:rsidP="00446242">
            <w:pPr>
              <w:pStyle w:val="TabletextLeft"/>
              <w:keepNext/>
              <w:keepLines/>
              <w:jc w:val="center"/>
              <w:rPr>
                <w:b/>
                <w:color w:val="62B5E5" w:themeColor="accent3"/>
              </w:rPr>
            </w:pPr>
            <w:r>
              <w:rPr>
                <w:b/>
                <w:color w:val="62B5E5" w:themeColor="accent3"/>
              </w:rPr>
              <w:t xml:space="preserve">Share of total </w:t>
            </w:r>
          </w:p>
        </w:tc>
      </w:tr>
      <w:tr w:rsidR="00825B06" w:rsidRPr="003F110A" w14:paraId="0FDEA3FE" w14:textId="77777777" w:rsidTr="008A7717">
        <w:tc>
          <w:tcPr>
            <w:tcW w:w="0" w:type="pct"/>
            <w:tcBorders>
              <w:top w:val="single" w:sz="4" w:space="0" w:color="000000" w:themeColor="text1"/>
              <w:bottom w:val="single" w:sz="4" w:space="0" w:color="000000" w:themeColor="text1"/>
            </w:tcBorders>
          </w:tcPr>
          <w:p w14:paraId="583BA10A" w14:textId="23B440DF" w:rsidR="00825B06" w:rsidRPr="003F110A" w:rsidRDefault="00825B06" w:rsidP="00446242">
            <w:pPr>
              <w:pStyle w:val="TabletextLeft"/>
              <w:keepNext/>
              <w:keepLines/>
            </w:pPr>
            <w:r w:rsidRPr="003F110A">
              <w:t>Non-service level staff</w:t>
            </w:r>
          </w:p>
        </w:tc>
        <w:tc>
          <w:tcPr>
            <w:tcW w:w="0" w:type="pct"/>
            <w:tcBorders>
              <w:top w:val="single" w:sz="4" w:space="0" w:color="000000" w:themeColor="text1"/>
              <w:bottom w:val="single" w:sz="4" w:space="0" w:color="000000" w:themeColor="text1"/>
              <w:right w:val="nil"/>
            </w:tcBorders>
          </w:tcPr>
          <w:p w14:paraId="029DE04B" w14:textId="2D88D9C6" w:rsidR="00825B06" w:rsidRPr="003F110A" w:rsidRDefault="00825B06" w:rsidP="00446242">
            <w:pPr>
              <w:pStyle w:val="TabletextLeft"/>
              <w:keepNext/>
              <w:keepLines/>
              <w:jc w:val="center"/>
            </w:pPr>
            <w:r w:rsidRPr="003F110A">
              <w:t>4</w:t>
            </w:r>
            <w:r w:rsidR="002757B4" w:rsidRPr="003F110A">
              <w:t>6.9</w:t>
            </w:r>
            <w:r w:rsidRPr="003F110A">
              <w:t>%</w:t>
            </w:r>
          </w:p>
        </w:tc>
      </w:tr>
      <w:tr w:rsidR="00825B06" w:rsidRPr="003F110A" w14:paraId="65361F79" w14:textId="77777777" w:rsidTr="008A7717">
        <w:tc>
          <w:tcPr>
            <w:tcW w:w="0" w:type="pct"/>
            <w:tcBorders>
              <w:top w:val="single" w:sz="4" w:space="0" w:color="000000" w:themeColor="text1"/>
              <w:bottom w:val="single" w:sz="4" w:space="0" w:color="000000" w:themeColor="text1"/>
            </w:tcBorders>
          </w:tcPr>
          <w:p w14:paraId="6B460217" w14:textId="49B031CB" w:rsidR="00825B06" w:rsidRPr="003F110A" w:rsidRDefault="00825B06" w:rsidP="00446242">
            <w:pPr>
              <w:pStyle w:val="TabletextLeft"/>
              <w:keepNext/>
              <w:keepLines/>
            </w:pPr>
            <w:r w:rsidRPr="003F110A">
              <w:t>Insurance premiums</w:t>
            </w:r>
          </w:p>
        </w:tc>
        <w:tc>
          <w:tcPr>
            <w:tcW w:w="0" w:type="pct"/>
            <w:tcBorders>
              <w:top w:val="single" w:sz="4" w:space="0" w:color="000000" w:themeColor="text1"/>
              <w:bottom w:val="single" w:sz="4" w:space="0" w:color="000000" w:themeColor="text1"/>
              <w:right w:val="nil"/>
            </w:tcBorders>
          </w:tcPr>
          <w:p w14:paraId="77CB1CBF" w14:textId="5F376427" w:rsidR="00825B06" w:rsidRPr="003F110A" w:rsidRDefault="002757B4" w:rsidP="00446242">
            <w:pPr>
              <w:pStyle w:val="TabletextLeft"/>
              <w:keepNext/>
              <w:keepLines/>
              <w:jc w:val="center"/>
            </w:pPr>
            <w:r w:rsidRPr="003F110A">
              <w:t>1.7</w:t>
            </w:r>
            <w:r w:rsidR="00825B06" w:rsidRPr="003F110A">
              <w:t>%</w:t>
            </w:r>
          </w:p>
        </w:tc>
      </w:tr>
      <w:tr w:rsidR="00825B06" w:rsidRPr="003F110A" w14:paraId="6C4BE98F" w14:textId="77777777" w:rsidTr="008A7717">
        <w:tc>
          <w:tcPr>
            <w:tcW w:w="0" w:type="pct"/>
            <w:tcBorders>
              <w:top w:val="single" w:sz="4" w:space="0" w:color="000000" w:themeColor="text1"/>
              <w:bottom w:val="single" w:sz="4" w:space="0" w:color="000000" w:themeColor="text1"/>
            </w:tcBorders>
          </w:tcPr>
          <w:p w14:paraId="6F861431" w14:textId="6C987F4E" w:rsidR="00825B06" w:rsidRPr="003F110A" w:rsidRDefault="00825B06" w:rsidP="00446242">
            <w:pPr>
              <w:pStyle w:val="TabletextLeft"/>
              <w:keepNext/>
              <w:keepLines/>
            </w:pPr>
            <w:r w:rsidRPr="003F110A">
              <w:t>Rent and fittings</w:t>
            </w:r>
          </w:p>
        </w:tc>
        <w:tc>
          <w:tcPr>
            <w:tcW w:w="0" w:type="pct"/>
            <w:tcBorders>
              <w:top w:val="single" w:sz="4" w:space="0" w:color="000000" w:themeColor="text1"/>
              <w:bottom w:val="single" w:sz="4" w:space="0" w:color="000000" w:themeColor="text1"/>
              <w:right w:val="nil"/>
            </w:tcBorders>
          </w:tcPr>
          <w:p w14:paraId="05C1865A" w14:textId="3ADCC6BB" w:rsidR="00825B06" w:rsidRPr="003F110A" w:rsidRDefault="002757B4" w:rsidP="00446242">
            <w:pPr>
              <w:pStyle w:val="TabletextLeft"/>
              <w:keepNext/>
              <w:keepLines/>
              <w:jc w:val="center"/>
            </w:pPr>
            <w:r w:rsidRPr="003F110A">
              <w:t>7.4</w:t>
            </w:r>
            <w:r w:rsidR="00825B06" w:rsidRPr="003F110A">
              <w:t>%</w:t>
            </w:r>
          </w:p>
        </w:tc>
      </w:tr>
      <w:tr w:rsidR="00825B06" w:rsidRPr="003F110A" w14:paraId="023C339C" w14:textId="77777777" w:rsidTr="008A7717">
        <w:tc>
          <w:tcPr>
            <w:tcW w:w="0" w:type="pct"/>
            <w:tcBorders>
              <w:top w:val="single" w:sz="4" w:space="0" w:color="000000" w:themeColor="text1"/>
              <w:bottom w:val="single" w:sz="4" w:space="0" w:color="000000" w:themeColor="text1"/>
            </w:tcBorders>
          </w:tcPr>
          <w:p w14:paraId="1A21D37B" w14:textId="56FEBAEA" w:rsidR="00825B06" w:rsidRPr="003F110A" w:rsidRDefault="00825B06" w:rsidP="00446242">
            <w:pPr>
              <w:pStyle w:val="TabletextLeft"/>
              <w:keepNext/>
              <w:keepLines/>
            </w:pPr>
            <w:r w:rsidRPr="003F110A">
              <w:t>Fleet</w:t>
            </w:r>
          </w:p>
        </w:tc>
        <w:tc>
          <w:tcPr>
            <w:tcW w:w="0" w:type="pct"/>
            <w:tcBorders>
              <w:top w:val="single" w:sz="4" w:space="0" w:color="000000" w:themeColor="text1"/>
              <w:bottom w:val="single" w:sz="4" w:space="0" w:color="000000" w:themeColor="text1"/>
              <w:right w:val="nil"/>
            </w:tcBorders>
          </w:tcPr>
          <w:p w14:paraId="1EBAE051" w14:textId="760B1FFC" w:rsidR="00825B06" w:rsidRPr="003F110A" w:rsidRDefault="00825B06" w:rsidP="00446242">
            <w:pPr>
              <w:pStyle w:val="TabletextLeft"/>
              <w:keepNext/>
              <w:keepLines/>
              <w:jc w:val="center"/>
            </w:pPr>
            <w:r w:rsidRPr="003F110A">
              <w:t>4</w:t>
            </w:r>
            <w:r w:rsidR="002757B4" w:rsidRPr="003F110A">
              <w:t>.2</w:t>
            </w:r>
            <w:r w:rsidRPr="003F110A">
              <w:t>%</w:t>
            </w:r>
          </w:p>
        </w:tc>
      </w:tr>
      <w:tr w:rsidR="00825B06" w:rsidRPr="003F110A" w14:paraId="3A52F5E9" w14:textId="77777777" w:rsidTr="008A7717">
        <w:tc>
          <w:tcPr>
            <w:tcW w:w="0" w:type="pct"/>
            <w:tcBorders>
              <w:top w:val="single" w:sz="4" w:space="0" w:color="000000" w:themeColor="text1"/>
              <w:bottom w:val="single" w:sz="4" w:space="0" w:color="000000" w:themeColor="text1"/>
            </w:tcBorders>
          </w:tcPr>
          <w:p w14:paraId="4B36B41D" w14:textId="4400150E" w:rsidR="00825B06" w:rsidRPr="003F110A" w:rsidRDefault="00825B06" w:rsidP="00446242">
            <w:pPr>
              <w:pStyle w:val="TabletextLeft"/>
              <w:keepNext/>
              <w:keepLines/>
            </w:pPr>
            <w:r w:rsidRPr="003F110A">
              <w:t>Marketing</w:t>
            </w:r>
          </w:p>
        </w:tc>
        <w:tc>
          <w:tcPr>
            <w:tcW w:w="0" w:type="pct"/>
            <w:tcBorders>
              <w:top w:val="single" w:sz="4" w:space="0" w:color="000000" w:themeColor="text1"/>
              <w:bottom w:val="single" w:sz="4" w:space="0" w:color="000000" w:themeColor="text1"/>
              <w:right w:val="nil"/>
            </w:tcBorders>
          </w:tcPr>
          <w:p w14:paraId="0CA8946E" w14:textId="51FEA523" w:rsidR="00825B06" w:rsidRPr="003F110A" w:rsidRDefault="002757B4" w:rsidP="00446242">
            <w:pPr>
              <w:pStyle w:val="TabletextLeft"/>
              <w:keepNext/>
              <w:keepLines/>
              <w:jc w:val="center"/>
            </w:pPr>
            <w:r w:rsidRPr="003F110A">
              <w:t>1.9</w:t>
            </w:r>
            <w:r w:rsidR="00825B06" w:rsidRPr="003F110A">
              <w:t>%</w:t>
            </w:r>
          </w:p>
        </w:tc>
      </w:tr>
      <w:tr w:rsidR="00825B06" w:rsidRPr="003F110A" w14:paraId="56CD9C2B" w14:textId="77777777" w:rsidTr="008A7717">
        <w:tc>
          <w:tcPr>
            <w:tcW w:w="0" w:type="pct"/>
            <w:tcBorders>
              <w:top w:val="single" w:sz="4" w:space="0" w:color="000000" w:themeColor="text1"/>
              <w:bottom w:val="single" w:sz="4" w:space="0" w:color="000000" w:themeColor="text1"/>
            </w:tcBorders>
          </w:tcPr>
          <w:p w14:paraId="683507D6" w14:textId="7B81A633" w:rsidR="00825B06" w:rsidRPr="003F110A" w:rsidRDefault="00825B06" w:rsidP="00446242">
            <w:pPr>
              <w:pStyle w:val="TabletextLeft"/>
              <w:keepNext/>
              <w:keepLines/>
            </w:pPr>
            <w:r w:rsidRPr="003F110A">
              <w:t>Accounting and audit</w:t>
            </w:r>
          </w:p>
        </w:tc>
        <w:tc>
          <w:tcPr>
            <w:tcW w:w="0" w:type="pct"/>
            <w:tcBorders>
              <w:top w:val="single" w:sz="4" w:space="0" w:color="000000" w:themeColor="text1"/>
              <w:bottom w:val="single" w:sz="4" w:space="0" w:color="000000" w:themeColor="text1"/>
              <w:right w:val="nil"/>
            </w:tcBorders>
          </w:tcPr>
          <w:p w14:paraId="557A7B00" w14:textId="2AC78661" w:rsidR="00825B06" w:rsidRPr="003F110A" w:rsidRDefault="002757B4" w:rsidP="00446242">
            <w:pPr>
              <w:pStyle w:val="TabletextLeft"/>
              <w:keepNext/>
              <w:keepLines/>
              <w:jc w:val="center"/>
            </w:pPr>
            <w:r w:rsidRPr="003F110A">
              <w:t>0.7</w:t>
            </w:r>
            <w:r w:rsidR="00825B06" w:rsidRPr="003F110A">
              <w:t>%</w:t>
            </w:r>
          </w:p>
        </w:tc>
      </w:tr>
      <w:tr w:rsidR="00825B06" w:rsidRPr="003F110A" w14:paraId="549A367C" w14:textId="77777777" w:rsidTr="008A7717">
        <w:tc>
          <w:tcPr>
            <w:tcW w:w="0" w:type="pct"/>
            <w:tcBorders>
              <w:top w:val="single" w:sz="4" w:space="0" w:color="000000" w:themeColor="text1"/>
              <w:bottom w:val="single" w:sz="4" w:space="0" w:color="000000" w:themeColor="text1"/>
            </w:tcBorders>
          </w:tcPr>
          <w:p w14:paraId="3E0308F9" w14:textId="594F5C21" w:rsidR="00825B06" w:rsidRPr="003F110A" w:rsidRDefault="00825B06" w:rsidP="00446242">
            <w:pPr>
              <w:pStyle w:val="TabletextLeft"/>
              <w:keepNext/>
              <w:keepLines/>
            </w:pPr>
            <w:r w:rsidRPr="003F110A">
              <w:t>IT and other costs</w:t>
            </w:r>
          </w:p>
        </w:tc>
        <w:tc>
          <w:tcPr>
            <w:tcW w:w="0" w:type="pct"/>
            <w:tcBorders>
              <w:top w:val="single" w:sz="4" w:space="0" w:color="000000" w:themeColor="text1"/>
              <w:bottom w:val="single" w:sz="4" w:space="0" w:color="000000" w:themeColor="text1"/>
              <w:right w:val="nil"/>
            </w:tcBorders>
          </w:tcPr>
          <w:p w14:paraId="157C1765" w14:textId="62D8031C" w:rsidR="00825B06" w:rsidRPr="003F110A" w:rsidRDefault="00825B06" w:rsidP="00446242">
            <w:pPr>
              <w:pStyle w:val="TabletextLeft"/>
              <w:keepNext/>
              <w:keepLines/>
              <w:jc w:val="center"/>
            </w:pPr>
            <w:r w:rsidRPr="003F110A">
              <w:t>5</w:t>
            </w:r>
            <w:r w:rsidR="002757B4" w:rsidRPr="003F110A">
              <w:t>.1</w:t>
            </w:r>
            <w:r w:rsidRPr="003F110A">
              <w:t>%</w:t>
            </w:r>
          </w:p>
        </w:tc>
      </w:tr>
      <w:tr w:rsidR="00825B06" w:rsidRPr="003F110A" w14:paraId="6B88228A" w14:textId="77777777" w:rsidTr="008A7717">
        <w:tc>
          <w:tcPr>
            <w:tcW w:w="0" w:type="pct"/>
            <w:tcBorders>
              <w:top w:val="single" w:sz="4" w:space="0" w:color="000000" w:themeColor="text1"/>
              <w:bottom w:val="single" w:sz="4" w:space="0" w:color="000000" w:themeColor="text1"/>
            </w:tcBorders>
          </w:tcPr>
          <w:p w14:paraId="6272DD73" w14:textId="7994835A" w:rsidR="00825B06" w:rsidRPr="003F110A" w:rsidRDefault="00825B06" w:rsidP="00446242">
            <w:pPr>
              <w:pStyle w:val="TabletextLeft"/>
              <w:keepNext/>
              <w:keepLines/>
            </w:pPr>
            <w:r w:rsidRPr="003F110A">
              <w:t>Depreciation</w:t>
            </w:r>
          </w:p>
        </w:tc>
        <w:tc>
          <w:tcPr>
            <w:tcW w:w="0" w:type="pct"/>
            <w:tcBorders>
              <w:top w:val="single" w:sz="4" w:space="0" w:color="000000" w:themeColor="text1"/>
              <w:bottom w:val="single" w:sz="4" w:space="0" w:color="000000" w:themeColor="text1"/>
              <w:right w:val="nil"/>
            </w:tcBorders>
          </w:tcPr>
          <w:p w14:paraId="6BA6729F" w14:textId="4C7BA8E1" w:rsidR="00825B06" w:rsidRPr="003F110A" w:rsidRDefault="00825B06" w:rsidP="00446242">
            <w:pPr>
              <w:pStyle w:val="TabletextLeft"/>
              <w:keepNext/>
              <w:keepLines/>
              <w:jc w:val="center"/>
            </w:pPr>
            <w:r w:rsidRPr="003F110A">
              <w:t>7</w:t>
            </w:r>
            <w:r w:rsidR="002757B4" w:rsidRPr="003F110A">
              <w:t>.3</w:t>
            </w:r>
            <w:r w:rsidRPr="003F110A">
              <w:t>%</w:t>
            </w:r>
          </w:p>
        </w:tc>
      </w:tr>
      <w:tr w:rsidR="00825B06" w:rsidRPr="003F110A" w14:paraId="13FAC4B2" w14:textId="77777777" w:rsidTr="008A7717">
        <w:tc>
          <w:tcPr>
            <w:tcW w:w="0" w:type="pct"/>
            <w:tcBorders>
              <w:top w:val="single" w:sz="4" w:space="0" w:color="000000" w:themeColor="text1"/>
              <w:bottom w:val="single" w:sz="4" w:space="0" w:color="000000" w:themeColor="text1"/>
            </w:tcBorders>
          </w:tcPr>
          <w:p w14:paraId="38B0714A" w14:textId="243D9917" w:rsidR="00825B06" w:rsidRPr="003F110A" w:rsidRDefault="00825B06" w:rsidP="00446242">
            <w:pPr>
              <w:pStyle w:val="TabletextLeft"/>
              <w:keepNext/>
              <w:keepLines/>
              <w:tabs>
                <w:tab w:val="left" w:pos="1215"/>
              </w:tabs>
            </w:pPr>
            <w:r w:rsidRPr="003F110A">
              <w:t>Interest</w:t>
            </w:r>
            <w:r w:rsidR="00B246B8">
              <w:tab/>
            </w:r>
          </w:p>
        </w:tc>
        <w:tc>
          <w:tcPr>
            <w:tcW w:w="0" w:type="pct"/>
            <w:tcBorders>
              <w:top w:val="single" w:sz="4" w:space="0" w:color="000000" w:themeColor="text1"/>
              <w:bottom w:val="single" w:sz="4" w:space="0" w:color="000000" w:themeColor="text1"/>
              <w:right w:val="nil"/>
            </w:tcBorders>
          </w:tcPr>
          <w:p w14:paraId="63F6F3FB" w14:textId="60DABB1F" w:rsidR="00825B06" w:rsidRPr="003F110A" w:rsidRDefault="00825B06" w:rsidP="00446242">
            <w:pPr>
              <w:pStyle w:val="TabletextLeft"/>
              <w:keepNext/>
              <w:keepLines/>
              <w:jc w:val="center"/>
            </w:pPr>
            <w:r w:rsidRPr="003F110A">
              <w:t>0</w:t>
            </w:r>
            <w:r w:rsidR="002757B4" w:rsidRPr="003F110A">
              <w:t>.3</w:t>
            </w:r>
            <w:r w:rsidRPr="003F110A">
              <w:t>%</w:t>
            </w:r>
          </w:p>
        </w:tc>
      </w:tr>
      <w:tr w:rsidR="00825B06" w:rsidRPr="003F110A" w14:paraId="43E21059" w14:textId="77777777" w:rsidTr="008A7717">
        <w:tc>
          <w:tcPr>
            <w:tcW w:w="0" w:type="pct"/>
            <w:tcBorders>
              <w:top w:val="single" w:sz="4" w:space="0" w:color="000000" w:themeColor="text1"/>
              <w:bottom w:val="single" w:sz="4" w:space="0" w:color="000000" w:themeColor="text1"/>
            </w:tcBorders>
          </w:tcPr>
          <w:p w14:paraId="1960D269" w14:textId="6D7EB317" w:rsidR="00825B06" w:rsidRPr="003F110A" w:rsidRDefault="00825B06" w:rsidP="00446242">
            <w:pPr>
              <w:pStyle w:val="TabletextLeft"/>
              <w:keepNext/>
              <w:keepLines/>
            </w:pPr>
            <w:r w:rsidRPr="003F110A">
              <w:t>Other (excludes cost of goods sold)</w:t>
            </w:r>
          </w:p>
        </w:tc>
        <w:tc>
          <w:tcPr>
            <w:tcW w:w="0" w:type="pct"/>
            <w:tcBorders>
              <w:top w:val="single" w:sz="4" w:space="0" w:color="000000" w:themeColor="text1"/>
              <w:bottom w:val="single" w:sz="4" w:space="0" w:color="000000" w:themeColor="text1"/>
              <w:right w:val="nil"/>
            </w:tcBorders>
          </w:tcPr>
          <w:p w14:paraId="3274BF77" w14:textId="06C0D28E" w:rsidR="00825B06" w:rsidRPr="003F110A" w:rsidRDefault="00825B06" w:rsidP="00446242">
            <w:pPr>
              <w:pStyle w:val="TabletextLeft"/>
              <w:keepNext/>
              <w:keepLines/>
              <w:jc w:val="center"/>
            </w:pPr>
            <w:r w:rsidRPr="003F110A">
              <w:t>2</w:t>
            </w:r>
            <w:r w:rsidR="002757B4" w:rsidRPr="003F110A">
              <w:t>4.5</w:t>
            </w:r>
            <w:r w:rsidRPr="003F110A">
              <w:t>%</w:t>
            </w:r>
          </w:p>
        </w:tc>
      </w:tr>
      <w:tr w:rsidR="00F36446" w:rsidRPr="004B4D01" w14:paraId="3826876B" w14:textId="77777777" w:rsidTr="00F36446">
        <w:tc>
          <w:tcPr>
            <w:tcW w:w="3113" w:type="pct"/>
            <w:tcBorders>
              <w:top w:val="single" w:sz="4" w:space="0" w:color="000000" w:themeColor="text1"/>
              <w:bottom w:val="single" w:sz="4" w:space="0" w:color="000000" w:themeColor="text1"/>
            </w:tcBorders>
          </w:tcPr>
          <w:p w14:paraId="0CFF6ACA" w14:textId="3AD2EB5D" w:rsidR="00F36446" w:rsidRPr="003F110A" w:rsidRDefault="00F36446" w:rsidP="00446242">
            <w:pPr>
              <w:pStyle w:val="TabletextLeft"/>
              <w:keepNext/>
              <w:keepLines/>
              <w:rPr>
                <w:b/>
                <w:bCs/>
              </w:rPr>
            </w:pPr>
            <w:r w:rsidRPr="003F110A">
              <w:rPr>
                <w:b/>
                <w:bCs/>
              </w:rPr>
              <w:t>Total</w:t>
            </w:r>
          </w:p>
        </w:tc>
        <w:tc>
          <w:tcPr>
            <w:tcW w:w="1887" w:type="pct"/>
            <w:tcBorders>
              <w:top w:val="single" w:sz="4" w:space="0" w:color="000000" w:themeColor="text1"/>
              <w:bottom w:val="single" w:sz="4" w:space="0" w:color="000000" w:themeColor="text1"/>
              <w:right w:val="nil"/>
            </w:tcBorders>
            <w:vAlign w:val="center"/>
          </w:tcPr>
          <w:p w14:paraId="3DB0868C" w14:textId="7A01BC0C" w:rsidR="00F36446" w:rsidRPr="003F110A" w:rsidRDefault="00F36446" w:rsidP="00446242">
            <w:pPr>
              <w:pStyle w:val="TabletextLeft"/>
              <w:keepNext/>
              <w:keepLines/>
              <w:jc w:val="center"/>
              <w:rPr>
                <w:b/>
                <w:bCs/>
              </w:rPr>
            </w:pPr>
            <w:r w:rsidRPr="003F110A">
              <w:rPr>
                <w:b/>
                <w:bCs/>
              </w:rPr>
              <w:t>100</w:t>
            </w:r>
            <w:r w:rsidR="00E0383F">
              <w:rPr>
                <w:b/>
                <w:bCs/>
              </w:rPr>
              <w:t>.0</w:t>
            </w:r>
            <w:r w:rsidR="002757B4" w:rsidRPr="003F110A">
              <w:rPr>
                <w:b/>
                <w:bCs/>
              </w:rPr>
              <w:t>%</w:t>
            </w:r>
          </w:p>
        </w:tc>
      </w:tr>
    </w:tbl>
    <w:p w14:paraId="48A5A39C" w14:textId="33C50705" w:rsidR="00F36446" w:rsidRDefault="00F36446" w:rsidP="00F36446"/>
    <w:p w14:paraId="28AB11A0" w14:textId="7B7C5C39" w:rsidR="00855BEF" w:rsidRDefault="00080EC7" w:rsidP="00F36446">
      <w:r>
        <w:fldChar w:fldCharType="begin"/>
      </w:r>
      <w:r>
        <w:instrText xml:space="preserve"> REF _Ref39678899 \r \h </w:instrText>
      </w:r>
      <w:r>
        <w:fldChar w:fldCharType="separate"/>
      </w:r>
      <w:r w:rsidR="00283637">
        <w:t>Table 3.18</w:t>
      </w:r>
      <w:r>
        <w:fldChar w:fldCharType="end"/>
      </w:r>
      <w:r>
        <w:t xml:space="preserve">, </w:t>
      </w:r>
      <w:r>
        <w:fldChar w:fldCharType="begin"/>
      </w:r>
      <w:r>
        <w:instrText xml:space="preserve"> REF _Ref39678906 \r \h </w:instrText>
      </w:r>
      <w:r>
        <w:fldChar w:fldCharType="separate"/>
      </w:r>
      <w:r w:rsidR="00283637">
        <w:t>Table 3.19</w:t>
      </w:r>
      <w:r>
        <w:fldChar w:fldCharType="end"/>
      </w:r>
      <w:r>
        <w:t xml:space="preserve"> and </w:t>
      </w:r>
      <w:r>
        <w:fldChar w:fldCharType="begin"/>
      </w:r>
      <w:r>
        <w:instrText xml:space="preserve"> REF _Ref39678922 \r \h </w:instrText>
      </w:r>
      <w:r>
        <w:fldChar w:fldCharType="separate"/>
      </w:r>
      <w:r w:rsidR="00283637">
        <w:t>Table 3.20</w:t>
      </w:r>
      <w:r>
        <w:fldChar w:fldCharType="end"/>
      </w:r>
      <w:r w:rsidR="00855BEF">
        <w:t xml:space="preserve"> illustrate the impacts of over</w:t>
      </w:r>
      <w:r w:rsidR="00C731DE">
        <w:t xml:space="preserve">heads and </w:t>
      </w:r>
      <w:r w:rsidR="00A6707A">
        <w:t xml:space="preserve">implied </w:t>
      </w:r>
      <w:r w:rsidR="00C731DE">
        <w:t>margins by size of organisation</w:t>
      </w:r>
      <w:r w:rsidR="00D933A0">
        <w:t xml:space="preserve">. </w:t>
      </w:r>
      <w:r w:rsidR="00536C56">
        <w:t>L</w:t>
      </w:r>
      <w:r w:rsidR="00260A20">
        <w:t>arge organisation</w:t>
      </w:r>
      <w:r w:rsidR="00746532">
        <w:t xml:space="preserve">s had </w:t>
      </w:r>
      <w:r w:rsidR="00260A20">
        <w:t xml:space="preserve">overhead shares </w:t>
      </w:r>
      <w:r w:rsidR="00746532">
        <w:t>which were</w:t>
      </w:r>
      <w:r w:rsidR="00260A20">
        <w:t xml:space="preserve"> </w:t>
      </w:r>
      <w:r w:rsidR="00536C56">
        <w:t xml:space="preserve">on average </w:t>
      </w:r>
      <w:r w:rsidR="00260A20">
        <w:t>greater</w:t>
      </w:r>
      <w:r w:rsidR="00536C56">
        <w:t xml:space="preserve"> than small organisations</w:t>
      </w:r>
      <w:r w:rsidR="00260A20">
        <w:t xml:space="preserve"> (29.1%</w:t>
      </w:r>
      <w:r w:rsidR="00536C56">
        <w:t xml:space="preserve"> versus 26.5% respectively</w:t>
      </w:r>
      <w:r w:rsidR="00BE3F73">
        <w:t>). This is</w:t>
      </w:r>
      <w:r w:rsidR="00B22257">
        <w:t xml:space="preserve"> potentially due to a greater number of non-core or administrative staff being employed </w:t>
      </w:r>
      <w:r w:rsidR="00832CC5">
        <w:t xml:space="preserve">by larger firms for their finance, legal and human resource departments. </w:t>
      </w:r>
    </w:p>
    <w:p w14:paraId="4525E8AD" w14:textId="1780398B" w:rsidR="00606A03" w:rsidRDefault="0084224F" w:rsidP="00F36446">
      <w:r>
        <w:t xml:space="preserve">By contrast, </w:t>
      </w:r>
      <w:r w:rsidR="00A6707A">
        <w:t xml:space="preserve">implied </w:t>
      </w:r>
      <w:r>
        <w:t xml:space="preserve">margin results are smaller for large organisations than </w:t>
      </w:r>
      <w:r w:rsidR="00D93B2C">
        <w:t xml:space="preserve">small, at </w:t>
      </w:r>
      <w:r w:rsidR="00AF11C1">
        <w:t xml:space="preserve">an average </w:t>
      </w:r>
      <w:r w:rsidR="00D93B2C">
        <w:t>of 1.6% and 2.1% respectively. This may be due to large</w:t>
      </w:r>
      <w:r w:rsidR="00B77388">
        <w:t xml:space="preserve"> organisations have lower working capital days in an effort to ensure capital is </w:t>
      </w:r>
      <w:r w:rsidR="00C7612F">
        <w:t xml:space="preserve">being more efficiently employed and invested. </w:t>
      </w:r>
      <w:r w:rsidR="00AF11C1">
        <w:t>S</w:t>
      </w:r>
      <w:r w:rsidR="00CF0C2E">
        <w:t>maller firms have higher working capital days</w:t>
      </w:r>
      <w:r w:rsidR="00AF11C1">
        <w:t xml:space="preserve">, which may be due to being more restricted in their </w:t>
      </w:r>
      <w:r w:rsidR="00BF081B">
        <w:t>ability</w:t>
      </w:r>
      <w:r w:rsidR="00AF11C1">
        <w:t xml:space="preserve"> to manage capital structures and revenue streams</w:t>
      </w:r>
      <w:r w:rsidR="00CF0C2E">
        <w:t>.</w:t>
      </w:r>
    </w:p>
    <w:p w14:paraId="15E23C64" w14:textId="54CCCB2D" w:rsidR="00C51790" w:rsidRDefault="000E3A77" w:rsidP="00C51790">
      <w:pPr>
        <w:pStyle w:val="CaptionTable"/>
        <w:ind w:left="0"/>
      </w:pPr>
      <w:bookmarkStart w:id="244" w:name="_Ref39678899"/>
      <w:bookmarkStart w:id="245" w:name="_Toc40454699"/>
      <w:r>
        <w:t>Overheads and implied margins</w:t>
      </w:r>
      <w:r w:rsidR="00C51790">
        <w:t xml:space="preserve"> in small organisations</w:t>
      </w:r>
      <w:bookmarkEnd w:id="244"/>
      <w:bookmarkEnd w:id="245"/>
    </w:p>
    <w:tbl>
      <w:tblPr>
        <w:tblW w:w="9157" w:type="dxa"/>
        <w:tblLook w:val="04A0" w:firstRow="1" w:lastRow="0" w:firstColumn="1" w:lastColumn="0" w:noHBand="0" w:noVBand="1"/>
      </w:tblPr>
      <w:tblGrid>
        <w:gridCol w:w="2504"/>
        <w:gridCol w:w="1330"/>
        <w:gridCol w:w="1331"/>
        <w:gridCol w:w="1330"/>
        <w:gridCol w:w="1331"/>
        <w:gridCol w:w="1331"/>
      </w:tblGrid>
      <w:tr w:rsidR="00635A0C" w:rsidRPr="008C28C1" w14:paraId="76A4D54F" w14:textId="77777777" w:rsidTr="007A056D">
        <w:trPr>
          <w:trHeight w:val="282"/>
        </w:trPr>
        <w:tc>
          <w:tcPr>
            <w:tcW w:w="2504" w:type="dxa"/>
            <w:tcBorders>
              <w:top w:val="single" w:sz="12" w:space="0" w:color="62B5E5" w:themeColor="accent3"/>
              <w:left w:val="nil"/>
              <w:bottom w:val="single" w:sz="4" w:space="0" w:color="auto"/>
              <w:right w:val="nil"/>
            </w:tcBorders>
            <w:shd w:val="clear" w:color="auto" w:fill="auto"/>
            <w:vAlign w:val="center"/>
            <w:hideMark/>
          </w:tcPr>
          <w:p w14:paraId="2233A06F" w14:textId="77777777" w:rsidR="00C51790" w:rsidRPr="00D655A4" w:rsidRDefault="00C51790" w:rsidP="00A6707A">
            <w:pPr>
              <w:spacing w:after="0" w:line="240" w:lineRule="auto"/>
              <w:rPr>
                <w:rFonts w:eastAsia="Times New Roman" w:cs="Calibri"/>
                <w:b/>
                <w:bCs/>
                <w:color w:val="000000"/>
                <w:sz w:val="16"/>
                <w:szCs w:val="16"/>
                <w:lang w:val="en-US"/>
              </w:rPr>
            </w:pPr>
            <w:r w:rsidRPr="00D655A4">
              <w:rPr>
                <w:rFonts w:eastAsia="Times New Roman" w:cs="Calibri"/>
                <w:b/>
                <w:bCs/>
                <w:color w:val="000000"/>
                <w:sz w:val="16"/>
                <w:szCs w:val="16"/>
              </w:rPr>
              <w:t> </w:t>
            </w:r>
          </w:p>
        </w:tc>
        <w:tc>
          <w:tcPr>
            <w:tcW w:w="1330" w:type="dxa"/>
            <w:tcBorders>
              <w:top w:val="single" w:sz="12" w:space="0" w:color="62B5E5" w:themeColor="accent3"/>
              <w:left w:val="nil"/>
              <w:bottom w:val="single" w:sz="4" w:space="0" w:color="auto"/>
              <w:right w:val="nil"/>
            </w:tcBorders>
            <w:shd w:val="clear" w:color="auto" w:fill="auto"/>
            <w:vAlign w:val="center"/>
            <w:hideMark/>
          </w:tcPr>
          <w:p w14:paraId="319E7E31" w14:textId="77777777" w:rsidR="00C51790" w:rsidRPr="00D655A4" w:rsidRDefault="00C51790"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Mean</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285BFCA9" w14:textId="77777777" w:rsidR="00C51790" w:rsidRPr="00D655A4" w:rsidRDefault="00C51790"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WM</w:t>
            </w:r>
          </w:p>
        </w:tc>
        <w:tc>
          <w:tcPr>
            <w:tcW w:w="1330" w:type="dxa"/>
            <w:tcBorders>
              <w:top w:val="single" w:sz="12" w:space="0" w:color="62B5E5" w:themeColor="accent3"/>
              <w:left w:val="nil"/>
              <w:bottom w:val="single" w:sz="4" w:space="0" w:color="auto"/>
              <w:right w:val="nil"/>
            </w:tcBorders>
            <w:shd w:val="clear" w:color="auto" w:fill="auto"/>
            <w:vAlign w:val="center"/>
            <w:hideMark/>
          </w:tcPr>
          <w:p w14:paraId="6BF8B795" w14:textId="77777777" w:rsidR="00C51790" w:rsidRPr="00D655A4" w:rsidRDefault="00C51790"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Median</w:t>
            </w:r>
          </w:p>
        </w:tc>
        <w:tc>
          <w:tcPr>
            <w:tcW w:w="1331" w:type="dxa"/>
            <w:tcBorders>
              <w:top w:val="single" w:sz="12" w:space="0" w:color="62B5E5" w:themeColor="accent3"/>
              <w:left w:val="nil"/>
              <w:bottom w:val="single" w:sz="4" w:space="0" w:color="auto"/>
              <w:right w:val="nil"/>
            </w:tcBorders>
            <w:shd w:val="clear" w:color="auto" w:fill="auto"/>
            <w:vAlign w:val="center"/>
          </w:tcPr>
          <w:p w14:paraId="3FA7C750" w14:textId="77777777" w:rsidR="00C51790" w:rsidRPr="00D655A4" w:rsidRDefault="00C51790"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25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c>
          <w:tcPr>
            <w:tcW w:w="1331" w:type="dxa"/>
            <w:tcBorders>
              <w:top w:val="single" w:sz="12" w:space="0" w:color="62B5E5" w:themeColor="accent3"/>
              <w:left w:val="nil"/>
              <w:bottom w:val="single" w:sz="4" w:space="0" w:color="auto"/>
              <w:right w:val="nil"/>
            </w:tcBorders>
            <w:shd w:val="clear" w:color="auto" w:fill="auto"/>
            <w:vAlign w:val="center"/>
          </w:tcPr>
          <w:p w14:paraId="22962F64" w14:textId="77777777" w:rsidR="00C51790" w:rsidRPr="00D655A4" w:rsidRDefault="00C51790"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75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r>
      <w:tr w:rsidR="00635A0C" w:rsidRPr="009C1642" w14:paraId="0717D539" w14:textId="77777777" w:rsidTr="007A056D">
        <w:trPr>
          <w:trHeight w:val="390"/>
        </w:trPr>
        <w:tc>
          <w:tcPr>
            <w:tcW w:w="2504" w:type="dxa"/>
            <w:tcBorders>
              <w:top w:val="single" w:sz="4" w:space="0" w:color="auto"/>
              <w:left w:val="nil"/>
              <w:bottom w:val="single" w:sz="4" w:space="0" w:color="auto"/>
              <w:right w:val="nil"/>
            </w:tcBorders>
            <w:shd w:val="clear" w:color="auto" w:fill="auto"/>
            <w:vAlign w:val="center"/>
            <w:hideMark/>
          </w:tcPr>
          <w:p w14:paraId="2C982A91" w14:textId="3E7BD617" w:rsidR="00635A0C" w:rsidRPr="00D655A4" w:rsidRDefault="00635A0C" w:rsidP="00635A0C">
            <w:pPr>
              <w:spacing w:after="0" w:line="240" w:lineRule="auto"/>
              <w:rPr>
                <w:rFonts w:eastAsia="Times New Roman" w:cs="Calibri"/>
                <w:color w:val="000000"/>
                <w:sz w:val="16"/>
                <w:szCs w:val="16"/>
                <w:lang w:val="en-US"/>
              </w:rPr>
            </w:pPr>
            <w:r w:rsidRPr="00D655A4">
              <w:rPr>
                <w:rFonts w:eastAsia="Times New Roman" w:cs="Calibri"/>
                <w:color w:val="000000"/>
                <w:sz w:val="16"/>
                <w:szCs w:val="16"/>
              </w:rPr>
              <w:t>Overheads (excluding interest and depreciation) as a share of direct costs</w:t>
            </w:r>
          </w:p>
        </w:tc>
        <w:tc>
          <w:tcPr>
            <w:tcW w:w="1330" w:type="dxa"/>
            <w:tcBorders>
              <w:top w:val="single" w:sz="4" w:space="0" w:color="auto"/>
              <w:left w:val="nil"/>
              <w:bottom w:val="single" w:sz="4" w:space="0" w:color="auto"/>
              <w:right w:val="nil"/>
            </w:tcBorders>
            <w:shd w:val="clear" w:color="auto" w:fill="auto"/>
            <w:vAlign w:val="center"/>
          </w:tcPr>
          <w:p w14:paraId="64A5C1AF" w14:textId="3E6C3F5A" w:rsidR="00635A0C" w:rsidRPr="00D655A4" w:rsidRDefault="00635A0C" w:rsidP="00635A0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26.5%</w:t>
            </w:r>
          </w:p>
        </w:tc>
        <w:tc>
          <w:tcPr>
            <w:tcW w:w="1331" w:type="dxa"/>
            <w:tcBorders>
              <w:top w:val="single" w:sz="4" w:space="0" w:color="auto"/>
              <w:left w:val="nil"/>
              <w:bottom w:val="single" w:sz="4" w:space="0" w:color="auto"/>
              <w:right w:val="nil"/>
            </w:tcBorders>
            <w:shd w:val="clear" w:color="auto" w:fill="auto"/>
            <w:vAlign w:val="center"/>
          </w:tcPr>
          <w:p w14:paraId="46043B94" w14:textId="59C737BC" w:rsidR="00635A0C" w:rsidRPr="00D655A4" w:rsidRDefault="00635A0C" w:rsidP="00635A0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26.9%</w:t>
            </w:r>
          </w:p>
        </w:tc>
        <w:tc>
          <w:tcPr>
            <w:tcW w:w="1330" w:type="dxa"/>
            <w:tcBorders>
              <w:top w:val="single" w:sz="4" w:space="0" w:color="auto"/>
              <w:left w:val="nil"/>
              <w:bottom w:val="single" w:sz="4" w:space="0" w:color="auto"/>
              <w:right w:val="nil"/>
            </w:tcBorders>
            <w:shd w:val="clear" w:color="auto" w:fill="auto"/>
            <w:vAlign w:val="center"/>
          </w:tcPr>
          <w:p w14:paraId="2B6E70E9" w14:textId="4AB2118B" w:rsidR="00635A0C" w:rsidRPr="00D655A4" w:rsidRDefault="00635A0C" w:rsidP="00635A0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23.3%</w:t>
            </w:r>
          </w:p>
        </w:tc>
        <w:tc>
          <w:tcPr>
            <w:tcW w:w="1331" w:type="dxa"/>
            <w:tcBorders>
              <w:top w:val="single" w:sz="4" w:space="0" w:color="auto"/>
              <w:left w:val="nil"/>
              <w:bottom w:val="single" w:sz="4" w:space="0" w:color="auto"/>
              <w:right w:val="nil"/>
            </w:tcBorders>
            <w:shd w:val="clear" w:color="auto" w:fill="auto"/>
            <w:vAlign w:val="center"/>
          </w:tcPr>
          <w:p w14:paraId="46EE73CF" w14:textId="1531AAF6" w:rsidR="00635A0C" w:rsidRPr="00D655A4" w:rsidRDefault="00635A0C" w:rsidP="00635A0C">
            <w:pPr>
              <w:spacing w:after="0" w:line="240" w:lineRule="auto"/>
              <w:jc w:val="center"/>
              <w:rPr>
                <w:rFonts w:eastAsia="Times New Roman" w:cs="Calibri"/>
                <w:color w:val="000000"/>
                <w:sz w:val="16"/>
                <w:szCs w:val="16"/>
                <w:lang w:val="en-US"/>
              </w:rPr>
            </w:pPr>
            <w:r w:rsidRPr="00D655A4">
              <w:rPr>
                <w:color w:val="000000"/>
                <w:sz w:val="16"/>
                <w:szCs w:val="16"/>
              </w:rPr>
              <w:t>19.0%</w:t>
            </w:r>
          </w:p>
        </w:tc>
        <w:tc>
          <w:tcPr>
            <w:tcW w:w="1331" w:type="dxa"/>
            <w:tcBorders>
              <w:top w:val="single" w:sz="4" w:space="0" w:color="auto"/>
              <w:left w:val="nil"/>
              <w:bottom w:val="single" w:sz="4" w:space="0" w:color="auto"/>
              <w:right w:val="nil"/>
            </w:tcBorders>
            <w:shd w:val="clear" w:color="auto" w:fill="auto"/>
            <w:vAlign w:val="center"/>
          </w:tcPr>
          <w:p w14:paraId="44DDABE2" w14:textId="2D785132" w:rsidR="00635A0C" w:rsidRPr="00D655A4" w:rsidRDefault="00635A0C" w:rsidP="00635A0C">
            <w:pPr>
              <w:spacing w:after="0" w:line="240" w:lineRule="auto"/>
              <w:jc w:val="center"/>
              <w:rPr>
                <w:rFonts w:eastAsia="Times New Roman" w:cs="Calibri"/>
                <w:color w:val="000000"/>
                <w:sz w:val="16"/>
                <w:szCs w:val="16"/>
                <w:lang w:val="en-US"/>
              </w:rPr>
            </w:pPr>
            <w:r w:rsidRPr="00D655A4">
              <w:rPr>
                <w:color w:val="000000"/>
                <w:sz w:val="16"/>
                <w:szCs w:val="16"/>
              </w:rPr>
              <w:t>36.5%</w:t>
            </w:r>
          </w:p>
        </w:tc>
      </w:tr>
      <w:tr w:rsidR="00635A0C" w:rsidRPr="009C1642" w14:paraId="41495780" w14:textId="77777777" w:rsidTr="007A056D">
        <w:trPr>
          <w:trHeight w:val="390"/>
        </w:trPr>
        <w:tc>
          <w:tcPr>
            <w:tcW w:w="2504" w:type="dxa"/>
            <w:tcBorders>
              <w:top w:val="single" w:sz="4" w:space="0" w:color="auto"/>
              <w:left w:val="nil"/>
              <w:bottom w:val="single" w:sz="4" w:space="0" w:color="auto"/>
              <w:right w:val="nil"/>
            </w:tcBorders>
            <w:shd w:val="clear" w:color="auto" w:fill="auto"/>
            <w:vAlign w:val="center"/>
          </w:tcPr>
          <w:p w14:paraId="69555110" w14:textId="5BAFB44E" w:rsidR="00635A0C" w:rsidRPr="00D655A4" w:rsidRDefault="00635A0C" w:rsidP="00635A0C">
            <w:pPr>
              <w:spacing w:after="0" w:line="240" w:lineRule="auto"/>
              <w:rPr>
                <w:rFonts w:eastAsia="Times New Roman" w:cs="Calibri"/>
                <w:color w:val="000000"/>
                <w:sz w:val="16"/>
                <w:szCs w:val="16"/>
              </w:rPr>
            </w:pPr>
            <w:r w:rsidRPr="00D655A4">
              <w:rPr>
                <w:rFonts w:eastAsia="Times New Roman" w:cs="Calibri"/>
                <w:color w:val="000000"/>
                <w:sz w:val="16"/>
                <w:szCs w:val="16"/>
              </w:rPr>
              <w:t>Implied margin as a share of other costs</w:t>
            </w:r>
          </w:p>
        </w:tc>
        <w:tc>
          <w:tcPr>
            <w:tcW w:w="1330" w:type="dxa"/>
            <w:tcBorders>
              <w:top w:val="single" w:sz="4" w:space="0" w:color="auto"/>
              <w:left w:val="nil"/>
              <w:bottom w:val="single" w:sz="4" w:space="0" w:color="auto"/>
              <w:right w:val="nil"/>
            </w:tcBorders>
            <w:shd w:val="clear" w:color="auto" w:fill="auto"/>
            <w:vAlign w:val="center"/>
          </w:tcPr>
          <w:p w14:paraId="0913C66E" w14:textId="2C57F111" w:rsidR="00635A0C" w:rsidRPr="00D655A4" w:rsidRDefault="00635A0C" w:rsidP="00635A0C">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2.1%</w:t>
            </w:r>
          </w:p>
        </w:tc>
        <w:tc>
          <w:tcPr>
            <w:tcW w:w="1331" w:type="dxa"/>
            <w:tcBorders>
              <w:top w:val="single" w:sz="4" w:space="0" w:color="auto"/>
              <w:left w:val="nil"/>
              <w:bottom w:val="single" w:sz="4" w:space="0" w:color="auto"/>
              <w:right w:val="nil"/>
            </w:tcBorders>
            <w:shd w:val="clear" w:color="auto" w:fill="auto"/>
            <w:vAlign w:val="center"/>
          </w:tcPr>
          <w:p w14:paraId="56B027DA" w14:textId="44C7DE69" w:rsidR="00635A0C" w:rsidRPr="00D655A4" w:rsidRDefault="00635A0C" w:rsidP="00635A0C">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2.2%</w:t>
            </w:r>
          </w:p>
        </w:tc>
        <w:tc>
          <w:tcPr>
            <w:tcW w:w="1330" w:type="dxa"/>
            <w:tcBorders>
              <w:top w:val="single" w:sz="4" w:space="0" w:color="auto"/>
              <w:left w:val="nil"/>
              <w:bottom w:val="single" w:sz="4" w:space="0" w:color="auto"/>
              <w:right w:val="nil"/>
            </w:tcBorders>
            <w:shd w:val="clear" w:color="auto" w:fill="auto"/>
            <w:vAlign w:val="center"/>
          </w:tcPr>
          <w:p w14:paraId="3EF5B162" w14:textId="42AC35B1" w:rsidR="00635A0C" w:rsidRPr="00D655A4" w:rsidRDefault="00635A0C" w:rsidP="00635A0C">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1.5%</w:t>
            </w:r>
          </w:p>
        </w:tc>
        <w:tc>
          <w:tcPr>
            <w:tcW w:w="1331" w:type="dxa"/>
            <w:tcBorders>
              <w:top w:val="single" w:sz="4" w:space="0" w:color="auto"/>
              <w:left w:val="nil"/>
              <w:bottom w:val="single" w:sz="8" w:space="0" w:color="000000"/>
              <w:right w:val="nil"/>
            </w:tcBorders>
            <w:shd w:val="clear" w:color="auto" w:fill="auto"/>
            <w:vAlign w:val="center"/>
          </w:tcPr>
          <w:p w14:paraId="72A2D89C" w14:textId="7BCFBCFC" w:rsidR="00635A0C" w:rsidRPr="00D655A4" w:rsidRDefault="00635A0C" w:rsidP="00635A0C">
            <w:pPr>
              <w:spacing w:after="0" w:line="240" w:lineRule="auto"/>
              <w:jc w:val="center"/>
              <w:rPr>
                <w:rFonts w:eastAsia="Times New Roman" w:cs="Calibri"/>
                <w:color w:val="000000"/>
                <w:sz w:val="16"/>
                <w:szCs w:val="16"/>
                <w:lang w:val="en-US"/>
              </w:rPr>
            </w:pPr>
            <w:r w:rsidRPr="00D655A4">
              <w:rPr>
                <w:color w:val="000000"/>
                <w:sz w:val="16"/>
                <w:szCs w:val="16"/>
              </w:rPr>
              <w:t>0.7%</w:t>
            </w:r>
          </w:p>
        </w:tc>
        <w:tc>
          <w:tcPr>
            <w:tcW w:w="1331" w:type="dxa"/>
            <w:tcBorders>
              <w:top w:val="single" w:sz="4" w:space="0" w:color="auto"/>
              <w:left w:val="nil"/>
              <w:bottom w:val="single" w:sz="8" w:space="0" w:color="000000"/>
              <w:right w:val="nil"/>
            </w:tcBorders>
            <w:shd w:val="clear" w:color="auto" w:fill="auto"/>
            <w:vAlign w:val="center"/>
          </w:tcPr>
          <w:p w14:paraId="6C5CDAF8" w14:textId="6B91F6DF" w:rsidR="00635A0C" w:rsidRPr="00D655A4" w:rsidRDefault="00635A0C" w:rsidP="00635A0C">
            <w:pPr>
              <w:spacing w:after="0" w:line="240" w:lineRule="auto"/>
              <w:jc w:val="center"/>
              <w:rPr>
                <w:rFonts w:eastAsia="Times New Roman" w:cs="Calibri"/>
                <w:color w:val="000000"/>
                <w:sz w:val="16"/>
                <w:szCs w:val="16"/>
                <w:lang w:val="en-US"/>
              </w:rPr>
            </w:pPr>
            <w:r w:rsidRPr="00D655A4">
              <w:rPr>
                <w:color w:val="000000"/>
                <w:sz w:val="16"/>
                <w:szCs w:val="16"/>
              </w:rPr>
              <w:t>3.1%</w:t>
            </w:r>
          </w:p>
        </w:tc>
      </w:tr>
    </w:tbl>
    <w:p w14:paraId="29CCCF0A" w14:textId="57252D82" w:rsidR="0098009B" w:rsidRDefault="000E3A77" w:rsidP="0098009B">
      <w:pPr>
        <w:pStyle w:val="CaptionTable"/>
        <w:ind w:left="0"/>
      </w:pPr>
      <w:bookmarkStart w:id="246" w:name="_Ref39678906"/>
      <w:bookmarkStart w:id="247" w:name="_Toc40454700"/>
      <w:r>
        <w:t>Overheads and implied margins</w:t>
      </w:r>
      <w:r w:rsidR="0098009B">
        <w:t xml:space="preserve"> in medium organisation</w:t>
      </w:r>
      <w:r w:rsidR="00D37975">
        <w:t>s</w:t>
      </w:r>
      <w:bookmarkEnd w:id="246"/>
      <w:bookmarkEnd w:id="247"/>
    </w:p>
    <w:tbl>
      <w:tblPr>
        <w:tblW w:w="9157" w:type="dxa"/>
        <w:tblLook w:val="04A0" w:firstRow="1" w:lastRow="0" w:firstColumn="1" w:lastColumn="0" w:noHBand="0" w:noVBand="1"/>
      </w:tblPr>
      <w:tblGrid>
        <w:gridCol w:w="2504"/>
        <w:gridCol w:w="1330"/>
        <w:gridCol w:w="1331"/>
        <w:gridCol w:w="1330"/>
        <w:gridCol w:w="1331"/>
        <w:gridCol w:w="1331"/>
      </w:tblGrid>
      <w:tr w:rsidR="00A60432" w:rsidRPr="008C28C1" w14:paraId="1BEDCC1F" w14:textId="77777777" w:rsidTr="00283637">
        <w:trPr>
          <w:trHeight w:val="282"/>
        </w:trPr>
        <w:tc>
          <w:tcPr>
            <w:tcW w:w="2504" w:type="dxa"/>
            <w:tcBorders>
              <w:top w:val="single" w:sz="12" w:space="0" w:color="62B5E5" w:themeColor="accent3"/>
              <w:left w:val="nil"/>
              <w:bottom w:val="single" w:sz="4" w:space="0" w:color="auto"/>
              <w:right w:val="nil"/>
            </w:tcBorders>
            <w:shd w:val="clear" w:color="auto" w:fill="auto"/>
            <w:vAlign w:val="center"/>
            <w:hideMark/>
          </w:tcPr>
          <w:p w14:paraId="542CF276" w14:textId="77777777" w:rsidR="0098009B" w:rsidRPr="00D655A4" w:rsidRDefault="0098009B" w:rsidP="00A6707A">
            <w:pPr>
              <w:spacing w:after="0" w:line="240" w:lineRule="auto"/>
              <w:rPr>
                <w:rFonts w:eastAsia="Times New Roman" w:cs="Calibri"/>
                <w:b/>
                <w:bCs/>
                <w:color w:val="000000"/>
                <w:sz w:val="16"/>
                <w:szCs w:val="16"/>
                <w:lang w:val="en-US"/>
              </w:rPr>
            </w:pPr>
            <w:r w:rsidRPr="00D655A4">
              <w:rPr>
                <w:rFonts w:eastAsia="Times New Roman" w:cs="Calibri"/>
                <w:b/>
                <w:bCs/>
                <w:color w:val="000000"/>
                <w:sz w:val="16"/>
                <w:szCs w:val="16"/>
              </w:rPr>
              <w:t> </w:t>
            </w:r>
          </w:p>
        </w:tc>
        <w:tc>
          <w:tcPr>
            <w:tcW w:w="1330" w:type="dxa"/>
            <w:tcBorders>
              <w:top w:val="single" w:sz="12" w:space="0" w:color="62B5E5" w:themeColor="accent3"/>
              <w:left w:val="nil"/>
              <w:bottom w:val="single" w:sz="4" w:space="0" w:color="auto"/>
              <w:right w:val="nil"/>
            </w:tcBorders>
            <w:shd w:val="clear" w:color="auto" w:fill="auto"/>
            <w:vAlign w:val="center"/>
            <w:hideMark/>
          </w:tcPr>
          <w:p w14:paraId="5B5E84B0" w14:textId="77777777" w:rsidR="0098009B" w:rsidRPr="00D655A4" w:rsidRDefault="0098009B"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Mean</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54153C63" w14:textId="77777777" w:rsidR="0098009B" w:rsidRPr="00D655A4" w:rsidRDefault="0098009B"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WM</w:t>
            </w:r>
          </w:p>
        </w:tc>
        <w:tc>
          <w:tcPr>
            <w:tcW w:w="1330" w:type="dxa"/>
            <w:tcBorders>
              <w:top w:val="single" w:sz="12" w:space="0" w:color="62B5E5" w:themeColor="accent3"/>
              <w:left w:val="nil"/>
              <w:bottom w:val="single" w:sz="4" w:space="0" w:color="auto"/>
              <w:right w:val="nil"/>
            </w:tcBorders>
            <w:shd w:val="clear" w:color="auto" w:fill="auto"/>
            <w:vAlign w:val="center"/>
            <w:hideMark/>
          </w:tcPr>
          <w:p w14:paraId="4DBA83BF" w14:textId="77777777" w:rsidR="0098009B" w:rsidRPr="00D655A4" w:rsidRDefault="0098009B"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Median</w:t>
            </w:r>
          </w:p>
        </w:tc>
        <w:tc>
          <w:tcPr>
            <w:tcW w:w="1331" w:type="dxa"/>
            <w:tcBorders>
              <w:top w:val="single" w:sz="12" w:space="0" w:color="62B5E5" w:themeColor="accent3"/>
              <w:left w:val="nil"/>
              <w:bottom w:val="single" w:sz="4" w:space="0" w:color="auto"/>
              <w:right w:val="nil"/>
            </w:tcBorders>
            <w:shd w:val="clear" w:color="auto" w:fill="auto"/>
            <w:vAlign w:val="center"/>
          </w:tcPr>
          <w:p w14:paraId="075D11CE" w14:textId="77777777" w:rsidR="0098009B" w:rsidRPr="00D655A4" w:rsidRDefault="0098009B"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25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c>
          <w:tcPr>
            <w:tcW w:w="1331" w:type="dxa"/>
            <w:tcBorders>
              <w:top w:val="single" w:sz="12" w:space="0" w:color="62B5E5" w:themeColor="accent3"/>
              <w:left w:val="nil"/>
              <w:bottom w:val="single" w:sz="4" w:space="0" w:color="auto"/>
              <w:right w:val="nil"/>
            </w:tcBorders>
            <w:shd w:val="clear" w:color="auto" w:fill="auto"/>
            <w:vAlign w:val="center"/>
          </w:tcPr>
          <w:p w14:paraId="1880B007" w14:textId="77777777" w:rsidR="0098009B" w:rsidRPr="00D655A4" w:rsidRDefault="0098009B" w:rsidP="00A6707A">
            <w:pPr>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75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r>
      <w:tr w:rsidR="00AE6A9C" w:rsidRPr="009C1642" w14:paraId="413776FB" w14:textId="77777777" w:rsidTr="00283637">
        <w:trPr>
          <w:trHeight w:val="390"/>
        </w:trPr>
        <w:tc>
          <w:tcPr>
            <w:tcW w:w="2504" w:type="dxa"/>
            <w:tcBorders>
              <w:top w:val="single" w:sz="4" w:space="0" w:color="auto"/>
              <w:left w:val="nil"/>
              <w:bottom w:val="single" w:sz="4" w:space="0" w:color="auto"/>
              <w:right w:val="nil"/>
            </w:tcBorders>
            <w:shd w:val="clear" w:color="auto" w:fill="auto"/>
            <w:vAlign w:val="center"/>
            <w:hideMark/>
          </w:tcPr>
          <w:p w14:paraId="0CBC70FF" w14:textId="77777777" w:rsidR="00AE6A9C" w:rsidRPr="00D655A4" w:rsidRDefault="00AE6A9C" w:rsidP="00AE6A9C">
            <w:pPr>
              <w:spacing w:after="0" w:line="240" w:lineRule="auto"/>
              <w:rPr>
                <w:rFonts w:eastAsia="Times New Roman" w:cs="Calibri"/>
                <w:color w:val="000000"/>
                <w:sz w:val="16"/>
                <w:szCs w:val="16"/>
                <w:lang w:val="en-US"/>
              </w:rPr>
            </w:pPr>
            <w:r w:rsidRPr="00D655A4">
              <w:rPr>
                <w:rFonts w:eastAsia="Times New Roman" w:cs="Calibri"/>
                <w:color w:val="000000"/>
                <w:sz w:val="16"/>
                <w:szCs w:val="16"/>
              </w:rPr>
              <w:t>Overheads (excluding interest and depreciation) as a share of direct costs</w:t>
            </w:r>
          </w:p>
        </w:tc>
        <w:tc>
          <w:tcPr>
            <w:tcW w:w="1330" w:type="dxa"/>
            <w:tcBorders>
              <w:top w:val="single" w:sz="4" w:space="0" w:color="auto"/>
              <w:left w:val="nil"/>
              <w:bottom w:val="single" w:sz="4" w:space="0" w:color="auto"/>
              <w:right w:val="nil"/>
            </w:tcBorders>
            <w:shd w:val="clear" w:color="auto" w:fill="auto"/>
            <w:vAlign w:val="center"/>
          </w:tcPr>
          <w:p w14:paraId="34478ECD" w14:textId="5BF3D373" w:rsidR="00AE6A9C" w:rsidRPr="00D655A4" w:rsidRDefault="00AE6A9C" w:rsidP="00AE6A9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26.9%</w:t>
            </w:r>
          </w:p>
        </w:tc>
        <w:tc>
          <w:tcPr>
            <w:tcW w:w="1331" w:type="dxa"/>
            <w:tcBorders>
              <w:top w:val="single" w:sz="4" w:space="0" w:color="auto"/>
              <w:left w:val="nil"/>
              <w:bottom w:val="single" w:sz="4" w:space="0" w:color="auto"/>
              <w:right w:val="nil"/>
            </w:tcBorders>
            <w:shd w:val="clear" w:color="auto" w:fill="auto"/>
            <w:vAlign w:val="center"/>
          </w:tcPr>
          <w:p w14:paraId="383E0FBC" w14:textId="3403BBA5" w:rsidR="00AE6A9C" w:rsidRPr="00D655A4" w:rsidRDefault="00AE6A9C" w:rsidP="00AE6A9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27.9%</w:t>
            </w:r>
          </w:p>
        </w:tc>
        <w:tc>
          <w:tcPr>
            <w:tcW w:w="1330" w:type="dxa"/>
            <w:tcBorders>
              <w:top w:val="single" w:sz="4" w:space="0" w:color="auto"/>
              <w:left w:val="nil"/>
              <w:bottom w:val="single" w:sz="4" w:space="0" w:color="auto"/>
              <w:right w:val="nil"/>
            </w:tcBorders>
            <w:shd w:val="clear" w:color="auto" w:fill="auto"/>
            <w:vAlign w:val="center"/>
          </w:tcPr>
          <w:p w14:paraId="3FEE8127" w14:textId="0E426CC1" w:rsidR="00AE6A9C" w:rsidRPr="00D655A4" w:rsidRDefault="00AE6A9C" w:rsidP="00AE6A9C">
            <w:pPr>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28.1%</w:t>
            </w:r>
          </w:p>
        </w:tc>
        <w:tc>
          <w:tcPr>
            <w:tcW w:w="1331" w:type="dxa"/>
            <w:tcBorders>
              <w:top w:val="single" w:sz="4" w:space="0" w:color="auto"/>
              <w:left w:val="nil"/>
              <w:bottom w:val="single" w:sz="4" w:space="0" w:color="auto"/>
              <w:right w:val="nil"/>
            </w:tcBorders>
            <w:shd w:val="clear" w:color="auto" w:fill="auto"/>
            <w:vAlign w:val="center"/>
          </w:tcPr>
          <w:p w14:paraId="3BDD978D" w14:textId="1A0178D4" w:rsidR="00AE6A9C" w:rsidRPr="00D655A4" w:rsidRDefault="00AE6A9C" w:rsidP="00AE6A9C">
            <w:pPr>
              <w:spacing w:after="0" w:line="240" w:lineRule="auto"/>
              <w:jc w:val="center"/>
              <w:rPr>
                <w:rFonts w:eastAsia="Times New Roman" w:cs="Calibri"/>
                <w:color w:val="000000"/>
                <w:sz w:val="16"/>
                <w:szCs w:val="16"/>
                <w:lang w:val="en-US"/>
              </w:rPr>
            </w:pPr>
            <w:r w:rsidRPr="00D655A4">
              <w:rPr>
                <w:color w:val="000000"/>
                <w:sz w:val="16"/>
                <w:szCs w:val="16"/>
              </w:rPr>
              <w:t>17.4%</w:t>
            </w:r>
          </w:p>
        </w:tc>
        <w:tc>
          <w:tcPr>
            <w:tcW w:w="1331" w:type="dxa"/>
            <w:tcBorders>
              <w:top w:val="single" w:sz="4" w:space="0" w:color="auto"/>
              <w:left w:val="nil"/>
              <w:bottom w:val="single" w:sz="4" w:space="0" w:color="auto"/>
              <w:right w:val="nil"/>
            </w:tcBorders>
            <w:shd w:val="clear" w:color="auto" w:fill="auto"/>
            <w:vAlign w:val="center"/>
          </w:tcPr>
          <w:p w14:paraId="3F0BC2A8" w14:textId="45852120" w:rsidR="00AE6A9C" w:rsidRPr="00D655A4" w:rsidRDefault="00AE6A9C" w:rsidP="00AE6A9C">
            <w:pPr>
              <w:spacing w:after="0" w:line="240" w:lineRule="auto"/>
              <w:jc w:val="center"/>
              <w:rPr>
                <w:rFonts w:eastAsia="Times New Roman" w:cs="Calibri"/>
                <w:color w:val="000000"/>
                <w:sz w:val="16"/>
                <w:szCs w:val="16"/>
                <w:lang w:val="en-US"/>
              </w:rPr>
            </w:pPr>
            <w:r w:rsidRPr="00D655A4">
              <w:rPr>
                <w:color w:val="000000"/>
                <w:sz w:val="16"/>
                <w:szCs w:val="16"/>
              </w:rPr>
              <w:t>35.9%</w:t>
            </w:r>
          </w:p>
        </w:tc>
      </w:tr>
      <w:tr w:rsidR="00AE6A9C" w:rsidRPr="009C1642" w14:paraId="34F3D0BE" w14:textId="77777777" w:rsidTr="00283637">
        <w:trPr>
          <w:trHeight w:val="390"/>
        </w:trPr>
        <w:tc>
          <w:tcPr>
            <w:tcW w:w="2504" w:type="dxa"/>
            <w:tcBorders>
              <w:top w:val="single" w:sz="4" w:space="0" w:color="auto"/>
              <w:left w:val="nil"/>
              <w:bottom w:val="single" w:sz="4" w:space="0" w:color="auto"/>
              <w:right w:val="nil"/>
            </w:tcBorders>
            <w:shd w:val="clear" w:color="auto" w:fill="auto"/>
            <w:vAlign w:val="center"/>
          </w:tcPr>
          <w:p w14:paraId="07DC4DC2" w14:textId="77777777" w:rsidR="00AE6A9C" w:rsidRPr="00D655A4" w:rsidRDefault="00AE6A9C" w:rsidP="00AE6A9C">
            <w:pPr>
              <w:spacing w:after="0" w:line="240" w:lineRule="auto"/>
              <w:rPr>
                <w:rFonts w:eastAsia="Times New Roman" w:cs="Calibri"/>
                <w:color w:val="000000"/>
                <w:sz w:val="16"/>
                <w:szCs w:val="16"/>
              </w:rPr>
            </w:pPr>
            <w:r w:rsidRPr="00D655A4">
              <w:rPr>
                <w:rFonts w:eastAsia="Times New Roman" w:cs="Calibri"/>
                <w:color w:val="000000"/>
                <w:sz w:val="16"/>
                <w:szCs w:val="16"/>
              </w:rPr>
              <w:t>Implied margin as a share of other costs</w:t>
            </w:r>
          </w:p>
        </w:tc>
        <w:tc>
          <w:tcPr>
            <w:tcW w:w="1330" w:type="dxa"/>
            <w:tcBorders>
              <w:top w:val="single" w:sz="4" w:space="0" w:color="auto"/>
              <w:left w:val="nil"/>
              <w:bottom w:val="single" w:sz="4" w:space="0" w:color="auto"/>
              <w:right w:val="nil"/>
            </w:tcBorders>
            <w:shd w:val="clear" w:color="auto" w:fill="auto"/>
            <w:vAlign w:val="center"/>
          </w:tcPr>
          <w:p w14:paraId="299FC566" w14:textId="2552EA5A" w:rsidR="00AE6A9C" w:rsidRPr="00D655A4" w:rsidRDefault="00AE6A9C" w:rsidP="00AE6A9C">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1.7%</w:t>
            </w:r>
          </w:p>
        </w:tc>
        <w:tc>
          <w:tcPr>
            <w:tcW w:w="1331" w:type="dxa"/>
            <w:tcBorders>
              <w:top w:val="single" w:sz="4" w:space="0" w:color="auto"/>
              <w:left w:val="nil"/>
              <w:bottom w:val="single" w:sz="4" w:space="0" w:color="auto"/>
              <w:right w:val="nil"/>
            </w:tcBorders>
            <w:shd w:val="clear" w:color="auto" w:fill="auto"/>
            <w:vAlign w:val="center"/>
          </w:tcPr>
          <w:p w14:paraId="71649D30" w14:textId="78F5480C" w:rsidR="00AE6A9C" w:rsidRPr="00D655A4" w:rsidRDefault="00AE6A9C" w:rsidP="00AE6A9C">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1.7%</w:t>
            </w:r>
          </w:p>
        </w:tc>
        <w:tc>
          <w:tcPr>
            <w:tcW w:w="1330" w:type="dxa"/>
            <w:tcBorders>
              <w:top w:val="single" w:sz="4" w:space="0" w:color="auto"/>
              <w:left w:val="nil"/>
              <w:bottom w:val="single" w:sz="4" w:space="0" w:color="auto"/>
              <w:right w:val="nil"/>
            </w:tcBorders>
            <w:shd w:val="clear" w:color="auto" w:fill="auto"/>
            <w:vAlign w:val="center"/>
          </w:tcPr>
          <w:p w14:paraId="3BEF310D" w14:textId="74D9EDE4" w:rsidR="00AE6A9C" w:rsidRPr="00D655A4" w:rsidRDefault="00AE6A9C" w:rsidP="00AE6A9C">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1.2%</w:t>
            </w:r>
          </w:p>
        </w:tc>
        <w:tc>
          <w:tcPr>
            <w:tcW w:w="1331" w:type="dxa"/>
            <w:tcBorders>
              <w:top w:val="single" w:sz="4" w:space="0" w:color="auto"/>
              <w:left w:val="nil"/>
              <w:bottom w:val="single" w:sz="8" w:space="0" w:color="000000"/>
              <w:right w:val="nil"/>
            </w:tcBorders>
            <w:shd w:val="clear" w:color="auto" w:fill="auto"/>
            <w:vAlign w:val="center"/>
          </w:tcPr>
          <w:p w14:paraId="623987E0" w14:textId="1F54A6BD" w:rsidR="00AE6A9C" w:rsidRPr="00D655A4" w:rsidRDefault="00AE6A9C" w:rsidP="00AE6A9C">
            <w:pPr>
              <w:spacing w:after="0" w:line="240" w:lineRule="auto"/>
              <w:jc w:val="center"/>
              <w:rPr>
                <w:rFonts w:eastAsia="Times New Roman" w:cs="Calibri"/>
                <w:color w:val="000000"/>
                <w:sz w:val="16"/>
                <w:szCs w:val="16"/>
                <w:lang w:val="en-US"/>
              </w:rPr>
            </w:pPr>
            <w:r w:rsidRPr="00D655A4">
              <w:rPr>
                <w:color w:val="000000"/>
                <w:sz w:val="16"/>
                <w:szCs w:val="16"/>
              </w:rPr>
              <w:t>0.4%</w:t>
            </w:r>
          </w:p>
        </w:tc>
        <w:tc>
          <w:tcPr>
            <w:tcW w:w="1331" w:type="dxa"/>
            <w:tcBorders>
              <w:top w:val="single" w:sz="4" w:space="0" w:color="auto"/>
              <w:left w:val="nil"/>
              <w:bottom w:val="single" w:sz="8" w:space="0" w:color="000000"/>
              <w:right w:val="nil"/>
            </w:tcBorders>
            <w:shd w:val="clear" w:color="auto" w:fill="auto"/>
            <w:vAlign w:val="center"/>
          </w:tcPr>
          <w:p w14:paraId="541E9981" w14:textId="0D8D5989" w:rsidR="00AE6A9C" w:rsidRPr="00D655A4" w:rsidRDefault="00AE6A9C" w:rsidP="00AE6A9C">
            <w:pPr>
              <w:spacing w:after="0" w:line="240" w:lineRule="auto"/>
              <w:jc w:val="center"/>
              <w:rPr>
                <w:rFonts w:eastAsia="Times New Roman" w:cs="Calibri"/>
                <w:color w:val="000000"/>
                <w:sz w:val="16"/>
                <w:szCs w:val="16"/>
                <w:lang w:val="en-US"/>
              </w:rPr>
            </w:pPr>
            <w:r w:rsidRPr="00D655A4">
              <w:rPr>
                <w:color w:val="000000"/>
                <w:sz w:val="16"/>
                <w:szCs w:val="16"/>
              </w:rPr>
              <w:t>2.4%</w:t>
            </w:r>
          </w:p>
        </w:tc>
      </w:tr>
    </w:tbl>
    <w:p w14:paraId="1DFB4FCB" w14:textId="49129773" w:rsidR="0098009B" w:rsidRDefault="000E3A77" w:rsidP="00506519">
      <w:pPr>
        <w:pStyle w:val="CaptionTable"/>
        <w:ind w:left="0"/>
      </w:pPr>
      <w:bookmarkStart w:id="248" w:name="_Ref39678922"/>
      <w:bookmarkStart w:id="249" w:name="_Toc40454701"/>
      <w:r>
        <w:t>Overheads</w:t>
      </w:r>
      <w:r w:rsidR="0098009B" w:rsidRPr="003F110A">
        <w:t xml:space="preserve"> and </w:t>
      </w:r>
      <w:r w:rsidR="00A6707A">
        <w:t xml:space="preserve">implied </w:t>
      </w:r>
      <w:r w:rsidR="0098009B" w:rsidRPr="003F110A">
        <w:t xml:space="preserve">margins </w:t>
      </w:r>
      <w:r w:rsidR="0098009B">
        <w:t>in large organisations</w:t>
      </w:r>
      <w:bookmarkEnd w:id="248"/>
      <w:bookmarkEnd w:id="249"/>
    </w:p>
    <w:tbl>
      <w:tblPr>
        <w:tblW w:w="9157" w:type="dxa"/>
        <w:tblLook w:val="04A0" w:firstRow="1" w:lastRow="0" w:firstColumn="1" w:lastColumn="0" w:noHBand="0" w:noVBand="1"/>
      </w:tblPr>
      <w:tblGrid>
        <w:gridCol w:w="2504"/>
        <w:gridCol w:w="1330"/>
        <w:gridCol w:w="1331"/>
        <w:gridCol w:w="1330"/>
        <w:gridCol w:w="1331"/>
        <w:gridCol w:w="1331"/>
      </w:tblGrid>
      <w:tr w:rsidR="00A60432" w:rsidRPr="008C28C1" w14:paraId="4393AAF0" w14:textId="77777777" w:rsidTr="00283637">
        <w:trPr>
          <w:trHeight w:val="282"/>
        </w:trPr>
        <w:tc>
          <w:tcPr>
            <w:tcW w:w="2504" w:type="dxa"/>
            <w:tcBorders>
              <w:top w:val="single" w:sz="12" w:space="0" w:color="62B5E5" w:themeColor="accent3"/>
              <w:left w:val="nil"/>
              <w:bottom w:val="single" w:sz="4" w:space="0" w:color="auto"/>
              <w:right w:val="nil"/>
            </w:tcBorders>
            <w:shd w:val="clear" w:color="auto" w:fill="auto"/>
            <w:vAlign w:val="center"/>
            <w:hideMark/>
          </w:tcPr>
          <w:p w14:paraId="6BC1FD92" w14:textId="77777777" w:rsidR="0098009B" w:rsidRPr="00D655A4" w:rsidRDefault="0098009B" w:rsidP="008C28C1">
            <w:pPr>
              <w:keepNext/>
              <w:keepLines/>
              <w:spacing w:after="0" w:line="240" w:lineRule="auto"/>
              <w:rPr>
                <w:rFonts w:eastAsia="Times New Roman" w:cs="Calibri"/>
                <w:b/>
                <w:bCs/>
                <w:color w:val="000000"/>
                <w:sz w:val="16"/>
                <w:szCs w:val="16"/>
                <w:lang w:val="en-US"/>
              </w:rPr>
            </w:pPr>
            <w:r w:rsidRPr="00D655A4">
              <w:rPr>
                <w:rFonts w:eastAsia="Times New Roman" w:cs="Calibri"/>
                <w:b/>
                <w:bCs/>
                <w:color w:val="000000"/>
                <w:sz w:val="16"/>
                <w:szCs w:val="16"/>
              </w:rPr>
              <w:t> </w:t>
            </w:r>
          </w:p>
        </w:tc>
        <w:tc>
          <w:tcPr>
            <w:tcW w:w="1330" w:type="dxa"/>
            <w:tcBorders>
              <w:top w:val="single" w:sz="12" w:space="0" w:color="62B5E5" w:themeColor="accent3"/>
              <w:left w:val="nil"/>
              <w:bottom w:val="single" w:sz="4" w:space="0" w:color="auto"/>
              <w:right w:val="nil"/>
            </w:tcBorders>
            <w:shd w:val="clear" w:color="auto" w:fill="auto"/>
            <w:vAlign w:val="center"/>
            <w:hideMark/>
          </w:tcPr>
          <w:p w14:paraId="0C29AAC6" w14:textId="77777777" w:rsidR="0098009B" w:rsidRPr="00D655A4" w:rsidRDefault="0098009B"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Mean</w:t>
            </w:r>
          </w:p>
        </w:tc>
        <w:tc>
          <w:tcPr>
            <w:tcW w:w="1331" w:type="dxa"/>
            <w:tcBorders>
              <w:top w:val="single" w:sz="12" w:space="0" w:color="62B5E5" w:themeColor="accent3"/>
              <w:left w:val="nil"/>
              <w:bottom w:val="single" w:sz="4" w:space="0" w:color="auto"/>
              <w:right w:val="nil"/>
            </w:tcBorders>
            <w:shd w:val="clear" w:color="auto" w:fill="auto"/>
            <w:vAlign w:val="center"/>
            <w:hideMark/>
          </w:tcPr>
          <w:p w14:paraId="35893497" w14:textId="77777777" w:rsidR="0098009B" w:rsidRPr="00D655A4" w:rsidRDefault="0098009B"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WM</w:t>
            </w:r>
          </w:p>
        </w:tc>
        <w:tc>
          <w:tcPr>
            <w:tcW w:w="1330" w:type="dxa"/>
            <w:tcBorders>
              <w:top w:val="single" w:sz="12" w:space="0" w:color="62B5E5" w:themeColor="accent3"/>
              <w:left w:val="nil"/>
              <w:bottom w:val="single" w:sz="4" w:space="0" w:color="auto"/>
              <w:right w:val="nil"/>
            </w:tcBorders>
            <w:shd w:val="clear" w:color="auto" w:fill="auto"/>
            <w:vAlign w:val="center"/>
            <w:hideMark/>
          </w:tcPr>
          <w:p w14:paraId="6BB34358" w14:textId="77777777" w:rsidR="0098009B" w:rsidRPr="00D655A4" w:rsidRDefault="0098009B"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rPr>
              <w:t>Median</w:t>
            </w:r>
          </w:p>
        </w:tc>
        <w:tc>
          <w:tcPr>
            <w:tcW w:w="1331" w:type="dxa"/>
            <w:tcBorders>
              <w:top w:val="single" w:sz="12" w:space="0" w:color="62B5E5" w:themeColor="accent3"/>
              <w:left w:val="nil"/>
              <w:bottom w:val="single" w:sz="4" w:space="0" w:color="auto"/>
              <w:right w:val="nil"/>
            </w:tcBorders>
            <w:shd w:val="clear" w:color="auto" w:fill="auto"/>
            <w:vAlign w:val="center"/>
          </w:tcPr>
          <w:p w14:paraId="572B738A" w14:textId="77777777" w:rsidR="0098009B" w:rsidRPr="00D655A4" w:rsidRDefault="0098009B"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25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c>
          <w:tcPr>
            <w:tcW w:w="1331" w:type="dxa"/>
            <w:tcBorders>
              <w:top w:val="single" w:sz="12" w:space="0" w:color="62B5E5" w:themeColor="accent3"/>
              <w:left w:val="nil"/>
              <w:bottom w:val="single" w:sz="4" w:space="0" w:color="auto"/>
              <w:right w:val="nil"/>
            </w:tcBorders>
            <w:shd w:val="clear" w:color="auto" w:fill="auto"/>
            <w:vAlign w:val="center"/>
          </w:tcPr>
          <w:p w14:paraId="38FC569E" w14:textId="77777777" w:rsidR="0098009B" w:rsidRPr="00D655A4" w:rsidRDefault="0098009B" w:rsidP="008C28C1">
            <w:pPr>
              <w:keepNext/>
              <w:keepLines/>
              <w:spacing w:after="0" w:line="240" w:lineRule="auto"/>
              <w:jc w:val="center"/>
              <w:rPr>
                <w:rFonts w:eastAsia="Times New Roman" w:cs="Calibri"/>
                <w:b/>
                <w:bCs/>
                <w:color w:val="62B5E5"/>
                <w:sz w:val="16"/>
                <w:szCs w:val="16"/>
                <w:lang w:val="en-US"/>
              </w:rPr>
            </w:pPr>
            <w:r w:rsidRPr="00D655A4">
              <w:rPr>
                <w:rFonts w:eastAsia="Times New Roman" w:cs="Calibri"/>
                <w:b/>
                <w:bCs/>
                <w:color w:val="62B5E5"/>
                <w:sz w:val="16"/>
                <w:szCs w:val="16"/>
                <w:lang w:val="en-US"/>
              </w:rPr>
              <w:t>75</w:t>
            </w:r>
            <w:r w:rsidRPr="00D655A4">
              <w:rPr>
                <w:rFonts w:eastAsia="Times New Roman" w:cs="Calibri"/>
                <w:b/>
                <w:bCs/>
                <w:color w:val="62B5E5"/>
                <w:sz w:val="16"/>
                <w:szCs w:val="16"/>
                <w:vertAlign w:val="superscript"/>
                <w:lang w:val="en-US"/>
              </w:rPr>
              <w:t>th</w:t>
            </w:r>
            <w:r w:rsidRPr="00D655A4">
              <w:rPr>
                <w:rFonts w:eastAsia="Times New Roman" w:cs="Calibri"/>
                <w:b/>
                <w:bCs/>
                <w:color w:val="62B5E5"/>
                <w:sz w:val="16"/>
                <w:szCs w:val="16"/>
                <w:lang w:val="en-US"/>
              </w:rPr>
              <w:t xml:space="preserve"> PC</w:t>
            </w:r>
          </w:p>
        </w:tc>
      </w:tr>
      <w:tr w:rsidR="00AE6A9C" w:rsidRPr="009C1642" w14:paraId="7B618EB2" w14:textId="77777777" w:rsidTr="00283637">
        <w:trPr>
          <w:trHeight w:val="390"/>
        </w:trPr>
        <w:tc>
          <w:tcPr>
            <w:tcW w:w="2504" w:type="dxa"/>
            <w:tcBorders>
              <w:top w:val="single" w:sz="4" w:space="0" w:color="auto"/>
              <w:left w:val="nil"/>
              <w:bottom w:val="single" w:sz="4" w:space="0" w:color="auto"/>
              <w:right w:val="nil"/>
            </w:tcBorders>
            <w:shd w:val="clear" w:color="auto" w:fill="auto"/>
            <w:vAlign w:val="center"/>
            <w:hideMark/>
          </w:tcPr>
          <w:p w14:paraId="1311943A" w14:textId="77777777" w:rsidR="00AE6A9C" w:rsidRPr="00D655A4" w:rsidRDefault="00AE6A9C" w:rsidP="008C28C1">
            <w:pPr>
              <w:keepNext/>
              <w:keepLines/>
              <w:spacing w:after="0" w:line="240" w:lineRule="auto"/>
              <w:rPr>
                <w:rFonts w:eastAsia="Times New Roman" w:cs="Calibri"/>
                <w:color w:val="000000"/>
                <w:sz w:val="16"/>
                <w:szCs w:val="16"/>
                <w:lang w:val="en-US"/>
              </w:rPr>
            </w:pPr>
            <w:r w:rsidRPr="00D655A4">
              <w:rPr>
                <w:rFonts w:eastAsia="Times New Roman" w:cs="Calibri"/>
                <w:color w:val="000000"/>
                <w:sz w:val="16"/>
                <w:szCs w:val="16"/>
              </w:rPr>
              <w:t>Overheads (excluding interest and depreciation) as a share of direct costs</w:t>
            </w:r>
          </w:p>
        </w:tc>
        <w:tc>
          <w:tcPr>
            <w:tcW w:w="1330" w:type="dxa"/>
            <w:tcBorders>
              <w:top w:val="single" w:sz="4" w:space="0" w:color="auto"/>
              <w:left w:val="nil"/>
              <w:bottom w:val="single" w:sz="4" w:space="0" w:color="auto"/>
              <w:right w:val="nil"/>
            </w:tcBorders>
            <w:shd w:val="clear" w:color="auto" w:fill="auto"/>
            <w:vAlign w:val="center"/>
          </w:tcPr>
          <w:p w14:paraId="24704326" w14:textId="4A149D11" w:rsidR="00AE6A9C" w:rsidRPr="00D655A4" w:rsidRDefault="00AE6A9C" w:rsidP="008C28C1">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29.1%</w:t>
            </w:r>
          </w:p>
        </w:tc>
        <w:tc>
          <w:tcPr>
            <w:tcW w:w="1331" w:type="dxa"/>
            <w:tcBorders>
              <w:top w:val="single" w:sz="4" w:space="0" w:color="auto"/>
              <w:left w:val="nil"/>
              <w:bottom w:val="single" w:sz="4" w:space="0" w:color="auto"/>
              <w:right w:val="nil"/>
            </w:tcBorders>
            <w:shd w:val="clear" w:color="auto" w:fill="auto"/>
            <w:vAlign w:val="center"/>
          </w:tcPr>
          <w:p w14:paraId="01CCC6A0" w14:textId="13DA7AA2" w:rsidR="00AE6A9C" w:rsidRPr="00D655A4" w:rsidRDefault="00AE6A9C" w:rsidP="008C28C1">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28.9%</w:t>
            </w:r>
          </w:p>
        </w:tc>
        <w:tc>
          <w:tcPr>
            <w:tcW w:w="1330" w:type="dxa"/>
            <w:tcBorders>
              <w:top w:val="single" w:sz="4" w:space="0" w:color="auto"/>
              <w:left w:val="nil"/>
              <w:bottom w:val="single" w:sz="4" w:space="0" w:color="auto"/>
              <w:right w:val="nil"/>
            </w:tcBorders>
            <w:shd w:val="clear" w:color="auto" w:fill="auto"/>
            <w:vAlign w:val="center"/>
          </w:tcPr>
          <w:p w14:paraId="27EC95FC" w14:textId="3F9F4A14" w:rsidR="00AE6A9C" w:rsidRPr="00D655A4" w:rsidRDefault="00AE6A9C" w:rsidP="008C28C1">
            <w:pPr>
              <w:keepNext/>
              <w:keepLines/>
              <w:spacing w:after="0" w:line="240" w:lineRule="auto"/>
              <w:jc w:val="center"/>
              <w:rPr>
                <w:rFonts w:eastAsia="Times New Roman" w:cs="Calibri"/>
                <w:color w:val="000000"/>
                <w:sz w:val="16"/>
                <w:szCs w:val="16"/>
                <w:lang w:val="en-US"/>
              </w:rPr>
            </w:pPr>
            <w:r w:rsidRPr="00D655A4">
              <w:rPr>
                <w:rFonts w:eastAsia="Times New Roman" w:cs="Calibri"/>
                <w:color w:val="000000"/>
                <w:sz w:val="16"/>
                <w:szCs w:val="16"/>
              </w:rPr>
              <w:t>30.2%</w:t>
            </w:r>
          </w:p>
        </w:tc>
        <w:tc>
          <w:tcPr>
            <w:tcW w:w="1331" w:type="dxa"/>
            <w:tcBorders>
              <w:top w:val="single" w:sz="4" w:space="0" w:color="auto"/>
              <w:left w:val="nil"/>
              <w:bottom w:val="single" w:sz="4" w:space="0" w:color="auto"/>
              <w:right w:val="nil"/>
            </w:tcBorders>
            <w:shd w:val="clear" w:color="auto" w:fill="auto"/>
            <w:vAlign w:val="center"/>
          </w:tcPr>
          <w:p w14:paraId="3A429E52" w14:textId="336C4C08" w:rsidR="00AE6A9C" w:rsidRPr="00D655A4" w:rsidRDefault="00AE6A9C"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21.8%</w:t>
            </w:r>
          </w:p>
        </w:tc>
        <w:tc>
          <w:tcPr>
            <w:tcW w:w="1331" w:type="dxa"/>
            <w:tcBorders>
              <w:top w:val="single" w:sz="4" w:space="0" w:color="auto"/>
              <w:left w:val="nil"/>
              <w:bottom w:val="single" w:sz="4" w:space="0" w:color="auto"/>
              <w:right w:val="nil"/>
            </w:tcBorders>
            <w:shd w:val="clear" w:color="auto" w:fill="auto"/>
            <w:vAlign w:val="center"/>
          </w:tcPr>
          <w:p w14:paraId="28C07BFE" w14:textId="5CAD9CFB" w:rsidR="00AE6A9C" w:rsidRPr="00D655A4" w:rsidRDefault="00AE6A9C" w:rsidP="008C28C1">
            <w:pPr>
              <w:keepNext/>
              <w:keepLines/>
              <w:spacing w:after="0" w:line="240" w:lineRule="auto"/>
              <w:jc w:val="center"/>
              <w:rPr>
                <w:rFonts w:eastAsia="Times New Roman" w:cs="Calibri"/>
                <w:color w:val="000000"/>
                <w:sz w:val="16"/>
                <w:szCs w:val="16"/>
                <w:lang w:val="en-US"/>
              </w:rPr>
            </w:pPr>
            <w:r w:rsidRPr="00D655A4">
              <w:rPr>
                <w:color w:val="000000"/>
                <w:sz w:val="16"/>
                <w:szCs w:val="16"/>
              </w:rPr>
              <w:t>36.5%</w:t>
            </w:r>
          </w:p>
        </w:tc>
      </w:tr>
      <w:tr w:rsidR="00AE6A9C" w:rsidRPr="009C1642" w14:paraId="51950E61" w14:textId="77777777" w:rsidTr="00283637">
        <w:trPr>
          <w:trHeight w:val="390"/>
        </w:trPr>
        <w:tc>
          <w:tcPr>
            <w:tcW w:w="2504" w:type="dxa"/>
            <w:tcBorders>
              <w:top w:val="single" w:sz="4" w:space="0" w:color="auto"/>
              <w:left w:val="nil"/>
              <w:bottom w:val="single" w:sz="4" w:space="0" w:color="auto"/>
              <w:right w:val="nil"/>
            </w:tcBorders>
            <w:shd w:val="clear" w:color="auto" w:fill="auto"/>
            <w:vAlign w:val="center"/>
          </w:tcPr>
          <w:p w14:paraId="68AC312E" w14:textId="77777777" w:rsidR="00AE6A9C" w:rsidRPr="00D655A4" w:rsidRDefault="00AE6A9C" w:rsidP="00AE6A9C">
            <w:pPr>
              <w:spacing w:after="0" w:line="240" w:lineRule="auto"/>
              <w:rPr>
                <w:rFonts w:eastAsia="Times New Roman" w:cs="Calibri"/>
                <w:color w:val="000000"/>
                <w:sz w:val="16"/>
                <w:szCs w:val="16"/>
              </w:rPr>
            </w:pPr>
            <w:r w:rsidRPr="00D655A4">
              <w:rPr>
                <w:rFonts w:eastAsia="Times New Roman" w:cs="Calibri"/>
                <w:color w:val="000000"/>
                <w:sz w:val="16"/>
                <w:szCs w:val="16"/>
              </w:rPr>
              <w:t>Implied margin as a share of other costs</w:t>
            </w:r>
          </w:p>
        </w:tc>
        <w:tc>
          <w:tcPr>
            <w:tcW w:w="1330" w:type="dxa"/>
            <w:tcBorders>
              <w:top w:val="single" w:sz="4" w:space="0" w:color="auto"/>
              <w:left w:val="nil"/>
              <w:bottom w:val="single" w:sz="4" w:space="0" w:color="auto"/>
              <w:right w:val="nil"/>
            </w:tcBorders>
            <w:shd w:val="clear" w:color="auto" w:fill="auto"/>
            <w:vAlign w:val="center"/>
          </w:tcPr>
          <w:p w14:paraId="30E7AEEB" w14:textId="5CE9C811" w:rsidR="00AE6A9C" w:rsidRPr="00D655A4" w:rsidRDefault="00AE6A9C" w:rsidP="00AE6A9C">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1.6%</w:t>
            </w:r>
          </w:p>
        </w:tc>
        <w:tc>
          <w:tcPr>
            <w:tcW w:w="1331" w:type="dxa"/>
            <w:tcBorders>
              <w:top w:val="single" w:sz="4" w:space="0" w:color="auto"/>
              <w:left w:val="nil"/>
              <w:bottom w:val="single" w:sz="4" w:space="0" w:color="auto"/>
              <w:right w:val="nil"/>
            </w:tcBorders>
            <w:shd w:val="clear" w:color="auto" w:fill="auto"/>
            <w:vAlign w:val="center"/>
          </w:tcPr>
          <w:p w14:paraId="432E34DA" w14:textId="0FAD161C" w:rsidR="00AE6A9C" w:rsidRPr="00D655A4" w:rsidRDefault="00AE6A9C" w:rsidP="00AE6A9C">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1.5%</w:t>
            </w:r>
          </w:p>
        </w:tc>
        <w:tc>
          <w:tcPr>
            <w:tcW w:w="1330" w:type="dxa"/>
            <w:tcBorders>
              <w:top w:val="single" w:sz="4" w:space="0" w:color="auto"/>
              <w:left w:val="nil"/>
              <w:bottom w:val="single" w:sz="4" w:space="0" w:color="auto"/>
              <w:right w:val="nil"/>
            </w:tcBorders>
            <w:shd w:val="clear" w:color="auto" w:fill="auto"/>
            <w:vAlign w:val="center"/>
          </w:tcPr>
          <w:p w14:paraId="5EAE73F9" w14:textId="7E35F328" w:rsidR="00AE6A9C" w:rsidRPr="00D655A4" w:rsidRDefault="00AE6A9C" w:rsidP="00AE6A9C">
            <w:pPr>
              <w:spacing w:after="0" w:line="240" w:lineRule="auto"/>
              <w:jc w:val="center"/>
              <w:rPr>
                <w:rFonts w:eastAsia="Times New Roman" w:cs="Calibri"/>
                <w:color w:val="000000"/>
                <w:sz w:val="16"/>
                <w:szCs w:val="16"/>
              </w:rPr>
            </w:pPr>
            <w:r w:rsidRPr="00D655A4">
              <w:rPr>
                <w:rFonts w:eastAsia="Times New Roman" w:cs="Calibri"/>
                <w:color w:val="000000"/>
                <w:sz w:val="16"/>
                <w:szCs w:val="16"/>
              </w:rPr>
              <w:t>1.1%</w:t>
            </w:r>
          </w:p>
        </w:tc>
        <w:tc>
          <w:tcPr>
            <w:tcW w:w="1331" w:type="dxa"/>
            <w:tcBorders>
              <w:top w:val="single" w:sz="4" w:space="0" w:color="auto"/>
              <w:left w:val="nil"/>
              <w:bottom w:val="single" w:sz="4" w:space="0" w:color="auto"/>
              <w:right w:val="nil"/>
            </w:tcBorders>
            <w:shd w:val="clear" w:color="auto" w:fill="auto"/>
            <w:vAlign w:val="center"/>
          </w:tcPr>
          <w:p w14:paraId="65A3FD0F" w14:textId="0B6C2D5E" w:rsidR="00AE6A9C" w:rsidRPr="00D655A4" w:rsidRDefault="00AE6A9C" w:rsidP="00AE6A9C">
            <w:pPr>
              <w:spacing w:after="0" w:line="240" w:lineRule="auto"/>
              <w:jc w:val="center"/>
              <w:rPr>
                <w:rFonts w:eastAsia="Times New Roman" w:cs="Calibri"/>
                <w:color w:val="000000"/>
                <w:sz w:val="16"/>
                <w:szCs w:val="16"/>
                <w:lang w:val="en-US"/>
              </w:rPr>
            </w:pPr>
            <w:r w:rsidRPr="00D655A4">
              <w:rPr>
                <w:color w:val="000000"/>
                <w:sz w:val="16"/>
                <w:szCs w:val="16"/>
              </w:rPr>
              <w:t>0.5%</w:t>
            </w:r>
          </w:p>
        </w:tc>
        <w:tc>
          <w:tcPr>
            <w:tcW w:w="1331" w:type="dxa"/>
            <w:tcBorders>
              <w:top w:val="single" w:sz="4" w:space="0" w:color="auto"/>
              <w:left w:val="nil"/>
              <w:bottom w:val="single" w:sz="4" w:space="0" w:color="auto"/>
              <w:right w:val="nil"/>
            </w:tcBorders>
            <w:shd w:val="clear" w:color="auto" w:fill="auto"/>
            <w:vAlign w:val="center"/>
          </w:tcPr>
          <w:p w14:paraId="5F300DFA" w14:textId="50151D01" w:rsidR="00AE6A9C" w:rsidRPr="00D655A4" w:rsidRDefault="00AE6A9C" w:rsidP="00AE6A9C">
            <w:pPr>
              <w:spacing w:after="0" w:line="240" w:lineRule="auto"/>
              <w:jc w:val="center"/>
              <w:rPr>
                <w:rFonts w:eastAsia="Times New Roman" w:cs="Calibri"/>
                <w:color w:val="000000"/>
                <w:sz w:val="16"/>
                <w:szCs w:val="16"/>
                <w:lang w:val="en-US"/>
              </w:rPr>
            </w:pPr>
            <w:r w:rsidRPr="00D655A4">
              <w:rPr>
                <w:color w:val="000000"/>
                <w:sz w:val="16"/>
                <w:szCs w:val="16"/>
              </w:rPr>
              <w:t>2.0%</w:t>
            </w:r>
          </w:p>
        </w:tc>
      </w:tr>
    </w:tbl>
    <w:p w14:paraId="686D786E" w14:textId="77777777" w:rsidR="002922F7" w:rsidRDefault="002922F7" w:rsidP="002922F7">
      <w:pPr>
        <w:pStyle w:val="Heading1"/>
      </w:pPr>
      <w:bookmarkStart w:id="250" w:name="_Toc39837208"/>
      <w:bookmarkStart w:id="251" w:name="_Ref38631558"/>
      <w:bookmarkStart w:id="252" w:name="_Toc40454655"/>
      <w:bookmarkEnd w:id="250"/>
      <w:bookmarkEnd w:id="243"/>
      <w:r>
        <w:lastRenderedPageBreak/>
        <w:t>Further analysis</w:t>
      </w:r>
      <w:bookmarkEnd w:id="251"/>
      <w:bookmarkEnd w:id="252"/>
    </w:p>
    <w:p w14:paraId="4AB205B4" w14:textId="77777777" w:rsidR="002922F7" w:rsidRDefault="002922F7" w:rsidP="002922F7">
      <w:r>
        <w:t>Further analysis of the survey results was conducted to establish whether there were statistically significant relationships between key variables, that were consistent across providers. The analysis tested whether providers who perform “well” in one area (for example, high utilisation) also perform “well” in other areas (for example, low spending on overheads), or whether performance in one area was unrelated to performance in other areas.</w:t>
      </w:r>
    </w:p>
    <w:p w14:paraId="2A9199E4" w14:textId="1B0EE1F5" w:rsidR="002922F7" w:rsidRDefault="002922F7" w:rsidP="002922F7">
      <w:r>
        <w:t xml:space="preserve">The analysis was conducted on the following key variables: </w:t>
      </w:r>
      <w:r w:rsidR="00A6707A">
        <w:t xml:space="preserve">implied </w:t>
      </w:r>
      <w:r>
        <w:t>margins, overheads, utilisation, permanent employment rate, staff remuneration, and span of control. The analysis included:</w:t>
      </w:r>
    </w:p>
    <w:p w14:paraId="2EC98EF4" w14:textId="77777777" w:rsidR="002922F7" w:rsidRDefault="002922F7" w:rsidP="00400621">
      <w:pPr>
        <w:pStyle w:val="ListBullet"/>
        <w:numPr>
          <w:ilvl w:val="0"/>
          <w:numId w:val="13"/>
        </w:numPr>
      </w:pPr>
      <w:r>
        <w:t>Correlation analysis of variable pairs, to identify whether any variables were linearly related.</w:t>
      </w:r>
    </w:p>
    <w:p w14:paraId="057DF94A" w14:textId="77777777" w:rsidR="002922F7" w:rsidRDefault="002922F7" w:rsidP="00400621">
      <w:pPr>
        <w:pStyle w:val="ListBullet"/>
        <w:numPr>
          <w:ilvl w:val="0"/>
          <w:numId w:val="13"/>
        </w:numPr>
      </w:pPr>
      <w:r>
        <w:t xml:space="preserve">Cross-tabulation and chi-squared analysis. The survey responses for each provider were ranked and assigned to a quartile, and then analysis was conducted on whether there were any relationships based on quartiles. </w:t>
      </w:r>
    </w:p>
    <w:p w14:paraId="4CD14CC5" w14:textId="77777777" w:rsidR="002922F7" w:rsidRDefault="002922F7" w:rsidP="00400621">
      <w:pPr>
        <w:pStyle w:val="ListBullet"/>
        <w:numPr>
          <w:ilvl w:val="0"/>
          <w:numId w:val="13"/>
        </w:numPr>
      </w:pPr>
      <w:r>
        <w:t>Regression analysis using the quartile rankings, which identified whether any variable had a statistically significant impact on any other variable, and the direction of the impact.</w:t>
      </w:r>
    </w:p>
    <w:p w14:paraId="147B06F3" w14:textId="0C441195" w:rsidR="002922F7" w:rsidRDefault="002922F7" w:rsidP="002922F7">
      <w:r>
        <w:t xml:space="preserve">This chapter sets out the approach taken to conduct this analysis, and summarises the key findings. </w:t>
      </w:r>
      <w:r>
        <w:fldChar w:fldCharType="begin"/>
      </w:r>
      <w:r>
        <w:instrText xml:space="preserve"> REF _Ref38547697 \r \h </w:instrText>
      </w:r>
      <w:r>
        <w:fldChar w:fldCharType="separate"/>
      </w:r>
      <w:r w:rsidR="00283637">
        <w:t>Appendix D</w:t>
      </w:r>
      <w:r>
        <w:fldChar w:fldCharType="end"/>
      </w:r>
      <w:r>
        <w:t xml:space="preserve"> provides the detailed output that underpins the results in this chapter.</w:t>
      </w:r>
    </w:p>
    <w:p w14:paraId="4EC64289" w14:textId="77777777" w:rsidR="002922F7" w:rsidRPr="0078029C" w:rsidRDefault="002922F7" w:rsidP="002922F7">
      <w:pPr>
        <w:pStyle w:val="Heading2"/>
      </w:pPr>
      <w:bookmarkStart w:id="253" w:name="_Toc40454656"/>
      <w:r>
        <w:t>Correlation analysis</w:t>
      </w:r>
      <w:bookmarkEnd w:id="253"/>
    </w:p>
    <w:p w14:paraId="26F36CB2" w14:textId="77777777" w:rsidR="002922F7" w:rsidRDefault="002922F7" w:rsidP="002922F7">
      <w:pPr>
        <w:rPr>
          <w:rFonts w:eastAsia="Times New Roman"/>
        </w:rPr>
      </w:pPr>
      <w:r>
        <w:rPr>
          <w:rFonts w:eastAsia="Times New Roman"/>
        </w:rPr>
        <w:t xml:space="preserve">Correlation analysis was conducted to establish the strength of the linear association between each of the variables. A correlation coefficient was calculated for each of the pairs of variables, which are a standardised measure of the correlation between variables ranging from -1 (perfect negative correlation) to 1 (perfect positive correlation). </w:t>
      </w:r>
    </w:p>
    <w:p w14:paraId="639DA3DB" w14:textId="525B6B9A" w:rsidR="002922F7" w:rsidRDefault="002922F7" w:rsidP="002922F7">
      <w:pPr>
        <w:rPr>
          <w:rFonts w:eastAsia="Times New Roman"/>
        </w:rPr>
      </w:pPr>
      <w:r>
        <w:rPr>
          <w:rFonts w:eastAsia="Times New Roman"/>
        </w:rPr>
        <w:t xml:space="preserve">A threshold of +/- 0.3 is typically used to assess whether there is a positive/negative relationship between two variables. Using this threshold, the analysis showed that no two variables demonstrated a relationship. The correlation coefficients are provided in </w:t>
      </w:r>
      <w:r>
        <w:rPr>
          <w:rFonts w:eastAsia="Times New Roman"/>
        </w:rPr>
        <w:fldChar w:fldCharType="begin"/>
      </w:r>
      <w:r>
        <w:rPr>
          <w:rFonts w:eastAsia="Times New Roman"/>
        </w:rPr>
        <w:instrText xml:space="preserve"> REF _Ref38627071 \r \h </w:instrText>
      </w:r>
      <w:r>
        <w:rPr>
          <w:rFonts w:eastAsia="Times New Roman"/>
        </w:rPr>
      </w:r>
      <w:r>
        <w:rPr>
          <w:rFonts w:eastAsia="Times New Roman"/>
        </w:rPr>
        <w:fldChar w:fldCharType="separate"/>
      </w:r>
      <w:r w:rsidR="00283637">
        <w:rPr>
          <w:rFonts w:eastAsia="Times New Roman"/>
        </w:rPr>
        <w:t>Table 4.1</w:t>
      </w:r>
      <w:r>
        <w:rPr>
          <w:rFonts w:eastAsia="Times New Roman"/>
        </w:rPr>
        <w:fldChar w:fldCharType="end"/>
      </w:r>
      <w:r>
        <w:rPr>
          <w:rFonts w:eastAsia="Times New Roman"/>
        </w:rPr>
        <w:t xml:space="preserve">, and the corresponding scatter plots are provided in Appendix </w:t>
      </w:r>
      <w:r>
        <w:rPr>
          <w:rFonts w:eastAsia="Times New Roman"/>
        </w:rPr>
        <w:fldChar w:fldCharType="begin"/>
      </w:r>
      <w:r>
        <w:rPr>
          <w:rFonts w:eastAsia="Times New Roman"/>
        </w:rPr>
        <w:instrText xml:space="preserve"> REF _Ref38627092 \r \h </w:instrText>
      </w:r>
      <w:r>
        <w:rPr>
          <w:rFonts w:eastAsia="Times New Roman"/>
        </w:rPr>
      </w:r>
      <w:r>
        <w:rPr>
          <w:rFonts w:eastAsia="Times New Roman"/>
        </w:rPr>
        <w:fldChar w:fldCharType="separate"/>
      </w:r>
      <w:r w:rsidR="00283637">
        <w:rPr>
          <w:rFonts w:eastAsia="Times New Roman"/>
        </w:rPr>
        <w:t>D.1</w:t>
      </w:r>
      <w:r>
        <w:rPr>
          <w:rFonts w:eastAsia="Times New Roman"/>
        </w:rPr>
        <w:fldChar w:fldCharType="end"/>
      </w:r>
      <w:r>
        <w:rPr>
          <w:rFonts w:eastAsia="Times New Roman"/>
        </w:rPr>
        <w:t xml:space="preserve">. </w:t>
      </w:r>
    </w:p>
    <w:p w14:paraId="31A3F56E" w14:textId="77777777" w:rsidR="002922F7" w:rsidRDefault="002922F7" w:rsidP="002922F7">
      <w:pPr>
        <w:pStyle w:val="CaptionTable"/>
        <w:ind w:left="0"/>
      </w:pPr>
      <w:bookmarkStart w:id="254" w:name="_Ref38627071"/>
      <w:bookmarkStart w:id="255" w:name="_Toc40454702"/>
      <w:r>
        <w:lastRenderedPageBreak/>
        <w:t>Correlation coefficient results</w:t>
      </w:r>
      <w:bookmarkEnd w:id="254"/>
      <w:bookmarkEnd w:id="255"/>
    </w:p>
    <w:tbl>
      <w:tblPr>
        <w:tblStyle w:val="Deloittetable"/>
        <w:tblW w:w="9054" w:type="dxa"/>
        <w:tblLayout w:type="fixed"/>
        <w:tblLook w:val="04A0" w:firstRow="1" w:lastRow="0" w:firstColumn="1" w:lastColumn="0" w:noHBand="0" w:noVBand="1"/>
      </w:tblPr>
      <w:tblGrid>
        <w:gridCol w:w="20"/>
        <w:gridCol w:w="20"/>
        <w:gridCol w:w="3079"/>
        <w:gridCol w:w="3685"/>
        <w:gridCol w:w="2250"/>
      </w:tblGrid>
      <w:tr w:rsidR="002922F7" w14:paraId="35ADBB62" w14:textId="77777777" w:rsidTr="002922F7">
        <w:trPr>
          <w:cnfStyle w:val="100000000000" w:firstRow="1" w:lastRow="0" w:firstColumn="0" w:lastColumn="0" w:oddVBand="0" w:evenVBand="0" w:oddHBand="0" w:evenHBand="0" w:firstRowFirstColumn="0" w:firstRowLastColumn="0" w:lastRowFirstColumn="0" w:lastRowLastColumn="0"/>
          <w:trHeight w:val="92"/>
        </w:trPr>
        <w:tc>
          <w:tcPr>
            <w:tcW w:w="20" w:type="dxa"/>
          </w:tcPr>
          <w:p w14:paraId="7A0B53E0" w14:textId="77777777" w:rsidR="002922F7" w:rsidRDefault="002922F7" w:rsidP="002922F7">
            <w:pPr>
              <w:pStyle w:val="TableHeadingCentre"/>
              <w:keepNext/>
              <w:keepLines/>
            </w:pPr>
          </w:p>
        </w:tc>
        <w:tc>
          <w:tcPr>
            <w:tcW w:w="20" w:type="dxa"/>
          </w:tcPr>
          <w:p w14:paraId="1F9DAD31" w14:textId="77777777" w:rsidR="002922F7" w:rsidRDefault="002922F7" w:rsidP="002922F7">
            <w:pPr>
              <w:pStyle w:val="TableHeadingCentre"/>
              <w:keepNext/>
              <w:keepLines/>
            </w:pPr>
          </w:p>
        </w:tc>
        <w:tc>
          <w:tcPr>
            <w:tcW w:w="3079" w:type="dxa"/>
          </w:tcPr>
          <w:p w14:paraId="7F09EB2B" w14:textId="77777777" w:rsidR="002922F7" w:rsidRPr="00D655A4" w:rsidRDefault="002922F7" w:rsidP="002922F7">
            <w:pPr>
              <w:pStyle w:val="TableHeadingCentre"/>
              <w:keepNext/>
              <w:keepLines/>
              <w:jc w:val="left"/>
              <w:rPr>
                <w:sz w:val="16"/>
                <w:szCs w:val="16"/>
              </w:rPr>
            </w:pPr>
            <w:r w:rsidRPr="00D655A4">
              <w:rPr>
                <w:rFonts w:eastAsia="Verdana" w:cs="Times New Roman"/>
                <w:color w:val="62B5E5"/>
                <w:sz w:val="16"/>
                <w:szCs w:val="16"/>
              </w:rPr>
              <w:t>X variable</w:t>
            </w:r>
          </w:p>
        </w:tc>
        <w:tc>
          <w:tcPr>
            <w:tcW w:w="3685" w:type="dxa"/>
          </w:tcPr>
          <w:p w14:paraId="3A8FBD91" w14:textId="77777777" w:rsidR="002922F7" w:rsidRPr="00D655A4" w:rsidRDefault="002922F7" w:rsidP="002922F7">
            <w:pPr>
              <w:pStyle w:val="TableHeadingCentre"/>
              <w:keepNext/>
              <w:keepLines/>
              <w:jc w:val="left"/>
              <w:rPr>
                <w:sz w:val="16"/>
                <w:szCs w:val="16"/>
              </w:rPr>
            </w:pPr>
            <w:r w:rsidRPr="00D655A4">
              <w:rPr>
                <w:rFonts w:eastAsia="Verdana" w:cs="Times New Roman"/>
                <w:color w:val="62B5E5"/>
                <w:sz w:val="16"/>
                <w:szCs w:val="16"/>
              </w:rPr>
              <w:t>Y variable</w:t>
            </w:r>
          </w:p>
        </w:tc>
        <w:tc>
          <w:tcPr>
            <w:tcW w:w="2250" w:type="dxa"/>
          </w:tcPr>
          <w:p w14:paraId="376841B6" w14:textId="77777777" w:rsidR="002922F7" w:rsidRPr="00D655A4" w:rsidRDefault="002922F7" w:rsidP="002922F7">
            <w:pPr>
              <w:pStyle w:val="TableHeadingCentre"/>
              <w:keepNext/>
              <w:keepLines/>
              <w:rPr>
                <w:sz w:val="16"/>
                <w:szCs w:val="16"/>
              </w:rPr>
            </w:pPr>
            <w:r w:rsidRPr="00D655A4">
              <w:rPr>
                <w:rFonts w:eastAsia="Verdana" w:cs="Times New Roman"/>
                <w:color w:val="62B5E5"/>
                <w:sz w:val="16"/>
                <w:szCs w:val="16"/>
              </w:rPr>
              <w:t>Correlation coefficient</w:t>
            </w:r>
          </w:p>
        </w:tc>
      </w:tr>
      <w:tr w:rsidR="002922F7" w14:paraId="502D32D1" w14:textId="77777777" w:rsidTr="002922F7">
        <w:trPr>
          <w:trHeight w:val="296"/>
        </w:trPr>
        <w:tc>
          <w:tcPr>
            <w:tcW w:w="20" w:type="dxa"/>
          </w:tcPr>
          <w:p w14:paraId="64FA7764" w14:textId="77777777" w:rsidR="002922F7" w:rsidRDefault="002922F7" w:rsidP="002922F7">
            <w:pPr>
              <w:pStyle w:val="TabletextLeft"/>
              <w:keepNext/>
              <w:keepLines/>
            </w:pPr>
          </w:p>
        </w:tc>
        <w:tc>
          <w:tcPr>
            <w:tcW w:w="20" w:type="dxa"/>
          </w:tcPr>
          <w:p w14:paraId="77C31A88" w14:textId="77777777" w:rsidR="002922F7" w:rsidRDefault="002922F7" w:rsidP="002922F7">
            <w:pPr>
              <w:pStyle w:val="TabletextLeft"/>
              <w:keepNext/>
              <w:keepLines/>
            </w:pPr>
          </w:p>
        </w:tc>
        <w:tc>
          <w:tcPr>
            <w:tcW w:w="3079" w:type="dxa"/>
          </w:tcPr>
          <w:p w14:paraId="12DDC021" w14:textId="77777777" w:rsidR="002922F7" w:rsidRPr="00D655A4" w:rsidRDefault="002922F7" w:rsidP="002922F7">
            <w:pPr>
              <w:pStyle w:val="TabletextLeft"/>
              <w:keepNext/>
              <w:keepLines/>
              <w:rPr>
                <w:sz w:val="16"/>
                <w:szCs w:val="16"/>
              </w:rPr>
            </w:pPr>
            <w:r w:rsidRPr="00D655A4">
              <w:rPr>
                <w:sz w:val="16"/>
                <w:szCs w:val="16"/>
              </w:rPr>
              <w:t>Utilisation</w:t>
            </w:r>
          </w:p>
        </w:tc>
        <w:tc>
          <w:tcPr>
            <w:tcW w:w="3685" w:type="dxa"/>
          </w:tcPr>
          <w:p w14:paraId="60207B0B" w14:textId="77777777" w:rsidR="002922F7" w:rsidRPr="00D655A4" w:rsidRDefault="002922F7" w:rsidP="002922F7">
            <w:pPr>
              <w:pStyle w:val="TabletextLeft"/>
              <w:keepNext/>
              <w:keepLines/>
              <w:rPr>
                <w:sz w:val="16"/>
                <w:szCs w:val="16"/>
              </w:rPr>
            </w:pPr>
            <w:r w:rsidRPr="00D655A4">
              <w:rPr>
                <w:sz w:val="16"/>
                <w:szCs w:val="16"/>
              </w:rPr>
              <w:t>Permanent employment rate</w:t>
            </w:r>
          </w:p>
        </w:tc>
        <w:tc>
          <w:tcPr>
            <w:tcW w:w="2250" w:type="dxa"/>
          </w:tcPr>
          <w:p w14:paraId="591D32A8" w14:textId="77777777" w:rsidR="002922F7" w:rsidRPr="00D655A4" w:rsidRDefault="002922F7" w:rsidP="002922F7">
            <w:pPr>
              <w:pStyle w:val="TabletextLeft"/>
              <w:keepNext/>
              <w:keepLines/>
              <w:jc w:val="center"/>
              <w:rPr>
                <w:sz w:val="16"/>
                <w:szCs w:val="16"/>
              </w:rPr>
            </w:pPr>
            <w:r w:rsidRPr="00D655A4">
              <w:rPr>
                <w:sz w:val="16"/>
                <w:szCs w:val="16"/>
              </w:rPr>
              <w:t>-0.039</w:t>
            </w:r>
          </w:p>
        </w:tc>
      </w:tr>
      <w:tr w:rsidR="002922F7" w14:paraId="5334D23E" w14:textId="77777777" w:rsidTr="002922F7">
        <w:trPr>
          <w:trHeight w:val="217"/>
        </w:trPr>
        <w:tc>
          <w:tcPr>
            <w:tcW w:w="20" w:type="dxa"/>
          </w:tcPr>
          <w:p w14:paraId="71036952" w14:textId="77777777" w:rsidR="002922F7" w:rsidRDefault="002922F7" w:rsidP="002922F7">
            <w:pPr>
              <w:pStyle w:val="TabletextLeft"/>
              <w:keepNext/>
              <w:keepLines/>
            </w:pPr>
          </w:p>
        </w:tc>
        <w:tc>
          <w:tcPr>
            <w:tcW w:w="20" w:type="dxa"/>
          </w:tcPr>
          <w:p w14:paraId="2AEC501F" w14:textId="77777777" w:rsidR="002922F7" w:rsidRDefault="002922F7" w:rsidP="002922F7">
            <w:pPr>
              <w:pStyle w:val="TabletextLeft"/>
              <w:keepNext/>
              <w:keepLines/>
            </w:pPr>
          </w:p>
        </w:tc>
        <w:tc>
          <w:tcPr>
            <w:tcW w:w="3079" w:type="dxa"/>
          </w:tcPr>
          <w:p w14:paraId="46CA8D4D" w14:textId="77777777" w:rsidR="002922F7" w:rsidRPr="00D655A4" w:rsidRDefault="002922F7" w:rsidP="002922F7">
            <w:pPr>
              <w:pStyle w:val="TabletextLeft"/>
              <w:keepNext/>
              <w:keepLines/>
              <w:rPr>
                <w:sz w:val="16"/>
                <w:szCs w:val="16"/>
              </w:rPr>
            </w:pPr>
            <w:r w:rsidRPr="00D655A4">
              <w:rPr>
                <w:sz w:val="16"/>
                <w:szCs w:val="16"/>
              </w:rPr>
              <w:t>Utilisation</w:t>
            </w:r>
          </w:p>
        </w:tc>
        <w:tc>
          <w:tcPr>
            <w:tcW w:w="3685" w:type="dxa"/>
          </w:tcPr>
          <w:p w14:paraId="639BAD38" w14:textId="77777777" w:rsidR="002922F7" w:rsidRPr="00D655A4" w:rsidRDefault="002922F7" w:rsidP="002922F7">
            <w:pPr>
              <w:pStyle w:val="TabletextLeft"/>
              <w:keepNext/>
              <w:keepLines/>
              <w:rPr>
                <w:sz w:val="16"/>
                <w:szCs w:val="16"/>
              </w:rPr>
            </w:pPr>
            <w:r w:rsidRPr="00D655A4">
              <w:rPr>
                <w:sz w:val="16"/>
                <w:szCs w:val="16"/>
              </w:rPr>
              <w:t>Span of control</w:t>
            </w:r>
          </w:p>
        </w:tc>
        <w:tc>
          <w:tcPr>
            <w:tcW w:w="2250" w:type="dxa"/>
          </w:tcPr>
          <w:p w14:paraId="66512CE9" w14:textId="77777777" w:rsidR="002922F7" w:rsidRPr="00D655A4" w:rsidRDefault="002922F7" w:rsidP="002922F7">
            <w:pPr>
              <w:pStyle w:val="TabletextLeft"/>
              <w:keepNext/>
              <w:keepLines/>
              <w:jc w:val="center"/>
              <w:rPr>
                <w:sz w:val="16"/>
                <w:szCs w:val="16"/>
              </w:rPr>
            </w:pPr>
            <w:r w:rsidRPr="00D655A4">
              <w:rPr>
                <w:sz w:val="16"/>
                <w:szCs w:val="16"/>
              </w:rPr>
              <w:t>0.189</w:t>
            </w:r>
          </w:p>
        </w:tc>
      </w:tr>
      <w:tr w:rsidR="002922F7" w14:paraId="6B0078F5" w14:textId="77777777" w:rsidTr="002922F7">
        <w:trPr>
          <w:trHeight w:val="98"/>
        </w:trPr>
        <w:tc>
          <w:tcPr>
            <w:tcW w:w="20" w:type="dxa"/>
          </w:tcPr>
          <w:p w14:paraId="2C726812" w14:textId="77777777" w:rsidR="002922F7" w:rsidRDefault="002922F7" w:rsidP="002922F7">
            <w:pPr>
              <w:pStyle w:val="TabletextLeft"/>
              <w:keepNext/>
              <w:keepLines/>
            </w:pPr>
          </w:p>
        </w:tc>
        <w:tc>
          <w:tcPr>
            <w:tcW w:w="20" w:type="dxa"/>
          </w:tcPr>
          <w:p w14:paraId="3C0F4252" w14:textId="77777777" w:rsidR="002922F7" w:rsidRDefault="002922F7" w:rsidP="002922F7">
            <w:pPr>
              <w:pStyle w:val="TabletextLeft"/>
              <w:keepNext/>
              <w:keepLines/>
            </w:pPr>
          </w:p>
        </w:tc>
        <w:tc>
          <w:tcPr>
            <w:tcW w:w="3079" w:type="dxa"/>
          </w:tcPr>
          <w:p w14:paraId="30701E14" w14:textId="77777777" w:rsidR="002922F7" w:rsidRPr="00D655A4" w:rsidRDefault="002922F7" w:rsidP="002922F7">
            <w:pPr>
              <w:pStyle w:val="TabletextLeft"/>
              <w:keepNext/>
              <w:keepLines/>
              <w:rPr>
                <w:sz w:val="16"/>
                <w:szCs w:val="16"/>
              </w:rPr>
            </w:pPr>
            <w:r w:rsidRPr="00D655A4">
              <w:rPr>
                <w:sz w:val="16"/>
                <w:szCs w:val="16"/>
              </w:rPr>
              <w:t>Utilisation</w:t>
            </w:r>
          </w:p>
        </w:tc>
        <w:tc>
          <w:tcPr>
            <w:tcW w:w="3685" w:type="dxa"/>
          </w:tcPr>
          <w:p w14:paraId="583EBA62" w14:textId="6A1517E1" w:rsidR="002922F7" w:rsidRPr="00D655A4" w:rsidRDefault="00A6707A" w:rsidP="002922F7">
            <w:pPr>
              <w:pStyle w:val="TabletextLeft"/>
              <w:keepNext/>
              <w:keepLines/>
              <w:rPr>
                <w:sz w:val="16"/>
                <w:szCs w:val="16"/>
              </w:rPr>
            </w:pPr>
            <w:r w:rsidRPr="00D655A4">
              <w:rPr>
                <w:sz w:val="16"/>
                <w:szCs w:val="16"/>
              </w:rPr>
              <w:t>Implied m</w:t>
            </w:r>
            <w:r w:rsidR="002922F7" w:rsidRPr="00D655A4">
              <w:rPr>
                <w:sz w:val="16"/>
                <w:szCs w:val="16"/>
              </w:rPr>
              <w:t>argin as a share of other costs</w:t>
            </w:r>
          </w:p>
        </w:tc>
        <w:tc>
          <w:tcPr>
            <w:tcW w:w="2250" w:type="dxa"/>
          </w:tcPr>
          <w:p w14:paraId="798128A0" w14:textId="77777777" w:rsidR="002922F7" w:rsidRPr="00D655A4" w:rsidRDefault="002922F7" w:rsidP="002922F7">
            <w:pPr>
              <w:pStyle w:val="TabletextLeft"/>
              <w:keepNext/>
              <w:keepLines/>
              <w:jc w:val="center"/>
              <w:rPr>
                <w:sz w:val="16"/>
                <w:szCs w:val="16"/>
              </w:rPr>
            </w:pPr>
            <w:r w:rsidRPr="00D655A4">
              <w:rPr>
                <w:sz w:val="16"/>
                <w:szCs w:val="16"/>
              </w:rPr>
              <w:t>-0.030</w:t>
            </w:r>
          </w:p>
        </w:tc>
      </w:tr>
      <w:tr w:rsidR="002922F7" w14:paraId="2CB66C32" w14:textId="77777777" w:rsidTr="002922F7">
        <w:trPr>
          <w:trHeight w:val="162"/>
        </w:trPr>
        <w:tc>
          <w:tcPr>
            <w:tcW w:w="20" w:type="dxa"/>
          </w:tcPr>
          <w:p w14:paraId="0C2D5282" w14:textId="77777777" w:rsidR="002922F7" w:rsidRDefault="002922F7" w:rsidP="002922F7">
            <w:pPr>
              <w:pStyle w:val="TabletextLeft"/>
              <w:keepNext/>
              <w:keepLines/>
            </w:pPr>
          </w:p>
        </w:tc>
        <w:tc>
          <w:tcPr>
            <w:tcW w:w="20" w:type="dxa"/>
          </w:tcPr>
          <w:p w14:paraId="41C2F050" w14:textId="77777777" w:rsidR="002922F7" w:rsidRDefault="002922F7" w:rsidP="002922F7">
            <w:pPr>
              <w:pStyle w:val="TabletextLeft"/>
              <w:keepNext/>
              <w:keepLines/>
            </w:pPr>
          </w:p>
        </w:tc>
        <w:tc>
          <w:tcPr>
            <w:tcW w:w="3079" w:type="dxa"/>
          </w:tcPr>
          <w:p w14:paraId="6E89F18B" w14:textId="77777777" w:rsidR="002922F7" w:rsidRPr="00D655A4" w:rsidRDefault="002922F7" w:rsidP="002922F7">
            <w:pPr>
              <w:pStyle w:val="TabletextLeft"/>
              <w:keepNext/>
              <w:keepLines/>
              <w:rPr>
                <w:sz w:val="16"/>
                <w:szCs w:val="16"/>
              </w:rPr>
            </w:pPr>
            <w:r w:rsidRPr="00D655A4">
              <w:rPr>
                <w:sz w:val="16"/>
                <w:szCs w:val="16"/>
              </w:rPr>
              <w:t>Utilisation</w:t>
            </w:r>
          </w:p>
        </w:tc>
        <w:tc>
          <w:tcPr>
            <w:tcW w:w="3685" w:type="dxa"/>
          </w:tcPr>
          <w:p w14:paraId="3D046273" w14:textId="77777777" w:rsidR="002922F7" w:rsidRPr="00D655A4" w:rsidRDefault="002922F7" w:rsidP="002922F7">
            <w:pPr>
              <w:pStyle w:val="TabletextLeft"/>
              <w:keepNext/>
              <w:keepLines/>
              <w:rPr>
                <w:sz w:val="16"/>
                <w:szCs w:val="16"/>
              </w:rPr>
            </w:pPr>
            <w:r w:rsidRPr="00D655A4">
              <w:rPr>
                <w:sz w:val="16"/>
                <w:szCs w:val="16"/>
              </w:rPr>
              <w:t>Overheads as a share of direct costs exc. interest and depreciation</w:t>
            </w:r>
          </w:p>
        </w:tc>
        <w:tc>
          <w:tcPr>
            <w:tcW w:w="2250" w:type="dxa"/>
          </w:tcPr>
          <w:p w14:paraId="6C41A07A" w14:textId="77777777" w:rsidR="002922F7" w:rsidRPr="00D655A4" w:rsidRDefault="002922F7" w:rsidP="002922F7">
            <w:pPr>
              <w:pStyle w:val="TabletextLeft"/>
              <w:keepNext/>
              <w:keepLines/>
              <w:jc w:val="center"/>
              <w:rPr>
                <w:sz w:val="16"/>
                <w:szCs w:val="16"/>
              </w:rPr>
            </w:pPr>
            <w:r w:rsidRPr="00D655A4">
              <w:rPr>
                <w:sz w:val="16"/>
                <w:szCs w:val="16"/>
              </w:rPr>
              <w:t>0.089</w:t>
            </w:r>
          </w:p>
        </w:tc>
      </w:tr>
      <w:tr w:rsidR="002922F7" w14:paraId="69BF854E" w14:textId="77777777" w:rsidTr="002922F7">
        <w:trPr>
          <w:trHeight w:val="202"/>
        </w:trPr>
        <w:tc>
          <w:tcPr>
            <w:tcW w:w="20" w:type="dxa"/>
          </w:tcPr>
          <w:p w14:paraId="6D618803" w14:textId="77777777" w:rsidR="002922F7" w:rsidRDefault="002922F7" w:rsidP="002922F7">
            <w:pPr>
              <w:pStyle w:val="TabletextLeft"/>
              <w:keepNext/>
              <w:keepLines/>
            </w:pPr>
          </w:p>
        </w:tc>
        <w:tc>
          <w:tcPr>
            <w:tcW w:w="20" w:type="dxa"/>
          </w:tcPr>
          <w:p w14:paraId="51ABD0BA" w14:textId="77777777" w:rsidR="002922F7" w:rsidRDefault="002922F7" w:rsidP="002922F7">
            <w:pPr>
              <w:pStyle w:val="TabletextLeft"/>
              <w:keepNext/>
              <w:keepLines/>
            </w:pPr>
          </w:p>
        </w:tc>
        <w:tc>
          <w:tcPr>
            <w:tcW w:w="3079" w:type="dxa"/>
          </w:tcPr>
          <w:p w14:paraId="4773504D" w14:textId="77777777" w:rsidR="002922F7" w:rsidRPr="00D655A4" w:rsidRDefault="002922F7" w:rsidP="002922F7">
            <w:pPr>
              <w:pStyle w:val="TabletextLeft"/>
              <w:keepNext/>
              <w:keepLines/>
              <w:rPr>
                <w:sz w:val="16"/>
                <w:szCs w:val="16"/>
              </w:rPr>
            </w:pPr>
            <w:r w:rsidRPr="00D655A4">
              <w:rPr>
                <w:sz w:val="16"/>
                <w:szCs w:val="16"/>
              </w:rPr>
              <w:t>Overheads as a share of direct costs exc. interest depreciation</w:t>
            </w:r>
          </w:p>
        </w:tc>
        <w:tc>
          <w:tcPr>
            <w:tcW w:w="3685" w:type="dxa"/>
          </w:tcPr>
          <w:p w14:paraId="2DDC86EB" w14:textId="46420A66" w:rsidR="002922F7" w:rsidRPr="00D655A4" w:rsidRDefault="00A6707A" w:rsidP="002922F7">
            <w:pPr>
              <w:pStyle w:val="TabletextLeft"/>
              <w:keepNext/>
              <w:keepLines/>
              <w:rPr>
                <w:sz w:val="16"/>
                <w:szCs w:val="16"/>
              </w:rPr>
            </w:pPr>
            <w:r w:rsidRPr="00D655A4">
              <w:rPr>
                <w:sz w:val="16"/>
                <w:szCs w:val="16"/>
              </w:rPr>
              <w:t>Implied m</w:t>
            </w:r>
            <w:r w:rsidR="002922F7" w:rsidRPr="00D655A4">
              <w:rPr>
                <w:sz w:val="16"/>
                <w:szCs w:val="16"/>
              </w:rPr>
              <w:t>argin as a share of other costs</w:t>
            </w:r>
          </w:p>
        </w:tc>
        <w:tc>
          <w:tcPr>
            <w:tcW w:w="2250" w:type="dxa"/>
          </w:tcPr>
          <w:p w14:paraId="0030C343" w14:textId="77777777" w:rsidR="002922F7" w:rsidRPr="00D655A4" w:rsidRDefault="002922F7" w:rsidP="002922F7">
            <w:pPr>
              <w:pStyle w:val="TabletextLeft"/>
              <w:keepNext/>
              <w:keepLines/>
              <w:jc w:val="center"/>
              <w:rPr>
                <w:sz w:val="16"/>
                <w:szCs w:val="16"/>
              </w:rPr>
            </w:pPr>
            <w:r w:rsidRPr="00D655A4">
              <w:rPr>
                <w:sz w:val="16"/>
                <w:szCs w:val="16"/>
              </w:rPr>
              <w:t>-0.001</w:t>
            </w:r>
          </w:p>
        </w:tc>
      </w:tr>
      <w:tr w:rsidR="002922F7" w14:paraId="7E7A2802" w14:textId="77777777" w:rsidTr="002922F7">
        <w:trPr>
          <w:trHeight w:val="425"/>
        </w:trPr>
        <w:tc>
          <w:tcPr>
            <w:tcW w:w="20" w:type="dxa"/>
          </w:tcPr>
          <w:p w14:paraId="7369E25E" w14:textId="77777777" w:rsidR="002922F7" w:rsidRDefault="002922F7" w:rsidP="002922F7">
            <w:pPr>
              <w:pStyle w:val="TabletextLeft"/>
              <w:keepNext/>
              <w:keepLines/>
            </w:pPr>
          </w:p>
        </w:tc>
        <w:tc>
          <w:tcPr>
            <w:tcW w:w="20" w:type="dxa"/>
          </w:tcPr>
          <w:p w14:paraId="401E20FE" w14:textId="77777777" w:rsidR="002922F7" w:rsidRDefault="002922F7" w:rsidP="002922F7">
            <w:pPr>
              <w:pStyle w:val="TabletextLeft"/>
              <w:keepNext/>
              <w:keepLines/>
            </w:pPr>
          </w:p>
        </w:tc>
        <w:tc>
          <w:tcPr>
            <w:tcW w:w="3079" w:type="dxa"/>
          </w:tcPr>
          <w:p w14:paraId="5EE47907" w14:textId="77777777" w:rsidR="002922F7" w:rsidRPr="00D655A4" w:rsidRDefault="002922F7" w:rsidP="002922F7">
            <w:pPr>
              <w:pStyle w:val="TabletextLeft"/>
              <w:keepNext/>
              <w:keepLines/>
              <w:rPr>
                <w:sz w:val="16"/>
                <w:szCs w:val="16"/>
              </w:rPr>
            </w:pPr>
            <w:r w:rsidRPr="00D655A4">
              <w:rPr>
                <w:sz w:val="16"/>
                <w:szCs w:val="16"/>
              </w:rPr>
              <w:t>Overheads as a share of direct costs exc. interest &amp; depreciation</w:t>
            </w:r>
          </w:p>
        </w:tc>
        <w:tc>
          <w:tcPr>
            <w:tcW w:w="3685" w:type="dxa"/>
          </w:tcPr>
          <w:p w14:paraId="7E03E9B1" w14:textId="77777777" w:rsidR="002922F7" w:rsidRPr="00D655A4" w:rsidRDefault="002922F7" w:rsidP="002922F7">
            <w:pPr>
              <w:pStyle w:val="TabletextLeft"/>
              <w:keepNext/>
              <w:keepLines/>
              <w:rPr>
                <w:sz w:val="16"/>
                <w:szCs w:val="16"/>
              </w:rPr>
            </w:pPr>
            <w:r w:rsidRPr="00D655A4">
              <w:rPr>
                <w:sz w:val="16"/>
                <w:szCs w:val="16"/>
              </w:rPr>
              <w:t>Span of control</w:t>
            </w:r>
          </w:p>
        </w:tc>
        <w:tc>
          <w:tcPr>
            <w:tcW w:w="2250" w:type="dxa"/>
          </w:tcPr>
          <w:p w14:paraId="77291792" w14:textId="77777777" w:rsidR="002922F7" w:rsidRPr="00D655A4" w:rsidRDefault="002922F7" w:rsidP="002922F7">
            <w:pPr>
              <w:pStyle w:val="TabletextLeft"/>
              <w:keepNext/>
              <w:keepLines/>
              <w:jc w:val="center"/>
              <w:rPr>
                <w:sz w:val="16"/>
                <w:szCs w:val="16"/>
              </w:rPr>
            </w:pPr>
            <w:r w:rsidRPr="00D655A4">
              <w:rPr>
                <w:sz w:val="16"/>
                <w:szCs w:val="16"/>
              </w:rPr>
              <w:t>0.078</w:t>
            </w:r>
          </w:p>
        </w:tc>
      </w:tr>
      <w:tr w:rsidR="002922F7" w14:paraId="0A0FBB07" w14:textId="77777777" w:rsidTr="002922F7">
        <w:trPr>
          <w:trHeight w:val="224"/>
        </w:trPr>
        <w:tc>
          <w:tcPr>
            <w:tcW w:w="20" w:type="dxa"/>
          </w:tcPr>
          <w:p w14:paraId="2F5DCB31" w14:textId="77777777" w:rsidR="002922F7" w:rsidRDefault="002922F7" w:rsidP="002922F7">
            <w:pPr>
              <w:pStyle w:val="TabletextLeft"/>
              <w:keepNext/>
              <w:keepLines/>
            </w:pPr>
          </w:p>
        </w:tc>
        <w:tc>
          <w:tcPr>
            <w:tcW w:w="20" w:type="dxa"/>
          </w:tcPr>
          <w:p w14:paraId="3C48D105" w14:textId="77777777" w:rsidR="002922F7" w:rsidRDefault="002922F7" w:rsidP="002922F7">
            <w:pPr>
              <w:pStyle w:val="TabletextLeft"/>
              <w:keepNext/>
              <w:keepLines/>
            </w:pPr>
          </w:p>
        </w:tc>
        <w:tc>
          <w:tcPr>
            <w:tcW w:w="3079" w:type="dxa"/>
          </w:tcPr>
          <w:p w14:paraId="50878BD3" w14:textId="77777777" w:rsidR="002922F7" w:rsidRPr="00D655A4" w:rsidRDefault="002922F7" w:rsidP="002922F7">
            <w:pPr>
              <w:pStyle w:val="TabletextLeft"/>
              <w:keepNext/>
              <w:keepLines/>
              <w:rPr>
                <w:sz w:val="16"/>
                <w:szCs w:val="16"/>
              </w:rPr>
            </w:pPr>
            <w:r w:rsidRPr="00D655A4">
              <w:rPr>
                <w:sz w:val="16"/>
                <w:szCs w:val="16"/>
              </w:rPr>
              <w:t xml:space="preserve">Overheads as a share of direct costs exc. interest &amp; depreciation </w:t>
            </w:r>
          </w:p>
        </w:tc>
        <w:tc>
          <w:tcPr>
            <w:tcW w:w="3685" w:type="dxa"/>
          </w:tcPr>
          <w:p w14:paraId="7B0C03C7" w14:textId="77777777" w:rsidR="002922F7" w:rsidRPr="00D655A4" w:rsidRDefault="002922F7" w:rsidP="002922F7">
            <w:pPr>
              <w:pStyle w:val="TabletextLeft"/>
              <w:keepNext/>
              <w:keepLines/>
              <w:rPr>
                <w:sz w:val="16"/>
                <w:szCs w:val="16"/>
              </w:rPr>
            </w:pPr>
            <w:r w:rsidRPr="00D655A4">
              <w:rPr>
                <w:sz w:val="16"/>
                <w:szCs w:val="16"/>
              </w:rPr>
              <w:t>Permanent employment rate</w:t>
            </w:r>
          </w:p>
        </w:tc>
        <w:tc>
          <w:tcPr>
            <w:tcW w:w="2250" w:type="dxa"/>
          </w:tcPr>
          <w:p w14:paraId="16F9D93D" w14:textId="77777777" w:rsidR="002922F7" w:rsidRPr="00D655A4" w:rsidRDefault="002922F7" w:rsidP="002922F7">
            <w:pPr>
              <w:pStyle w:val="TabletextLeft"/>
              <w:keepNext/>
              <w:keepLines/>
              <w:jc w:val="center"/>
              <w:rPr>
                <w:sz w:val="16"/>
                <w:szCs w:val="16"/>
              </w:rPr>
            </w:pPr>
            <w:r w:rsidRPr="00D655A4">
              <w:rPr>
                <w:sz w:val="16"/>
                <w:szCs w:val="16"/>
              </w:rPr>
              <w:t>0.080</w:t>
            </w:r>
          </w:p>
        </w:tc>
      </w:tr>
      <w:tr w:rsidR="002922F7" w14:paraId="49F0C9FF" w14:textId="77777777" w:rsidTr="002922F7">
        <w:trPr>
          <w:trHeight w:val="13"/>
        </w:trPr>
        <w:tc>
          <w:tcPr>
            <w:tcW w:w="20" w:type="dxa"/>
          </w:tcPr>
          <w:p w14:paraId="1886A20F" w14:textId="77777777" w:rsidR="002922F7" w:rsidRDefault="002922F7" w:rsidP="002922F7">
            <w:pPr>
              <w:pStyle w:val="TabletextLeft"/>
              <w:keepNext/>
              <w:keepLines/>
            </w:pPr>
          </w:p>
        </w:tc>
        <w:tc>
          <w:tcPr>
            <w:tcW w:w="20" w:type="dxa"/>
          </w:tcPr>
          <w:p w14:paraId="0003DADE" w14:textId="77777777" w:rsidR="002922F7" w:rsidRDefault="002922F7" w:rsidP="002922F7">
            <w:pPr>
              <w:pStyle w:val="TabletextLeft"/>
              <w:keepNext/>
              <w:keepLines/>
            </w:pPr>
          </w:p>
        </w:tc>
        <w:tc>
          <w:tcPr>
            <w:tcW w:w="3079" w:type="dxa"/>
          </w:tcPr>
          <w:p w14:paraId="2EF019B7" w14:textId="77777777" w:rsidR="002922F7" w:rsidRPr="00D655A4" w:rsidRDefault="002922F7" w:rsidP="002922F7">
            <w:pPr>
              <w:pStyle w:val="TabletextLeft"/>
              <w:keepNext/>
              <w:keepLines/>
              <w:rPr>
                <w:sz w:val="16"/>
                <w:szCs w:val="16"/>
              </w:rPr>
            </w:pPr>
            <w:r w:rsidRPr="00D655A4">
              <w:rPr>
                <w:sz w:val="16"/>
                <w:szCs w:val="16"/>
              </w:rPr>
              <w:t xml:space="preserve">Permanent employment rate </w:t>
            </w:r>
          </w:p>
        </w:tc>
        <w:tc>
          <w:tcPr>
            <w:tcW w:w="3685" w:type="dxa"/>
          </w:tcPr>
          <w:p w14:paraId="4C175B9F" w14:textId="77777777" w:rsidR="002922F7" w:rsidRPr="00D655A4" w:rsidRDefault="002922F7" w:rsidP="002922F7">
            <w:pPr>
              <w:pStyle w:val="TabletextLeft"/>
              <w:keepNext/>
              <w:keepLines/>
              <w:rPr>
                <w:sz w:val="16"/>
                <w:szCs w:val="16"/>
              </w:rPr>
            </w:pPr>
            <w:r w:rsidRPr="00D655A4">
              <w:rPr>
                <w:sz w:val="16"/>
                <w:szCs w:val="16"/>
              </w:rPr>
              <w:t>Span of control</w:t>
            </w:r>
          </w:p>
        </w:tc>
        <w:tc>
          <w:tcPr>
            <w:tcW w:w="2250" w:type="dxa"/>
          </w:tcPr>
          <w:p w14:paraId="3722B7C5" w14:textId="77777777" w:rsidR="002922F7" w:rsidRPr="00D655A4" w:rsidRDefault="002922F7" w:rsidP="002922F7">
            <w:pPr>
              <w:pStyle w:val="TabletextLeft"/>
              <w:keepNext/>
              <w:keepLines/>
              <w:jc w:val="center"/>
              <w:rPr>
                <w:sz w:val="16"/>
                <w:szCs w:val="16"/>
              </w:rPr>
            </w:pPr>
            <w:r w:rsidRPr="00D655A4">
              <w:rPr>
                <w:sz w:val="16"/>
                <w:szCs w:val="16"/>
              </w:rPr>
              <w:t>-0.093</w:t>
            </w:r>
          </w:p>
        </w:tc>
      </w:tr>
      <w:tr w:rsidR="002922F7" w14:paraId="23147AA7" w14:textId="77777777" w:rsidTr="002922F7">
        <w:trPr>
          <w:trHeight w:val="44"/>
        </w:trPr>
        <w:tc>
          <w:tcPr>
            <w:tcW w:w="20" w:type="dxa"/>
          </w:tcPr>
          <w:p w14:paraId="358215C7" w14:textId="77777777" w:rsidR="002922F7" w:rsidRDefault="002922F7" w:rsidP="002922F7">
            <w:pPr>
              <w:pStyle w:val="TabletextLeft"/>
              <w:keepNext/>
              <w:keepLines/>
            </w:pPr>
          </w:p>
        </w:tc>
        <w:tc>
          <w:tcPr>
            <w:tcW w:w="20" w:type="dxa"/>
          </w:tcPr>
          <w:p w14:paraId="5A8A3A79" w14:textId="77777777" w:rsidR="002922F7" w:rsidRDefault="002922F7" w:rsidP="002922F7">
            <w:pPr>
              <w:pStyle w:val="TabletextLeft"/>
              <w:keepNext/>
              <w:keepLines/>
            </w:pPr>
          </w:p>
        </w:tc>
        <w:tc>
          <w:tcPr>
            <w:tcW w:w="3079" w:type="dxa"/>
          </w:tcPr>
          <w:p w14:paraId="03F2233B" w14:textId="77777777" w:rsidR="002922F7" w:rsidRPr="00D655A4" w:rsidRDefault="002922F7" w:rsidP="002922F7">
            <w:pPr>
              <w:pStyle w:val="TabletextLeft"/>
              <w:keepNext/>
              <w:keepLines/>
              <w:rPr>
                <w:sz w:val="16"/>
                <w:szCs w:val="16"/>
              </w:rPr>
            </w:pPr>
            <w:r w:rsidRPr="00D655A4">
              <w:rPr>
                <w:sz w:val="16"/>
                <w:szCs w:val="16"/>
              </w:rPr>
              <w:t>Permanent employment rate</w:t>
            </w:r>
          </w:p>
        </w:tc>
        <w:tc>
          <w:tcPr>
            <w:tcW w:w="3685" w:type="dxa"/>
          </w:tcPr>
          <w:p w14:paraId="7B3E37CA" w14:textId="6E95C7F7" w:rsidR="002922F7" w:rsidRPr="00D655A4" w:rsidRDefault="00A6707A" w:rsidP="002922F7">
            <w:pPr>
              <w:pStyle w:val="TabletextLeft"/>
              <w:keepNext/>
              <w:keepLines/>
              <w:rPr>
                <w:sz w:val="16"/>
                <w:szCs w:val="16"/>
              </w:rPr>
            </w:pPr>
            <w:r w:rsidRPr="00D655A4">
              <w:rPr>
                <w:sz w:val="16"/>
                <w:szCs w:val="16"/>
              </w:rPr>
              <w:t>Implied m</w:t>
            </w:r>
            <w:r w:rsidR="002922F7" w:rsidRPr="00D655A4">
              <w:rPr>
                <w:sz w:val="16"/>
                <w:szCs w:val="16"/>
              </w:rPr>
              <w:t>argin as a share of other costs</w:t>
            </w:r>
          </w:p>
        </w:tc>
        <w:tc>
          <w:tcPr>
            <w:tcW w:w="2250" w:type="dxa"/>
          </w:tcPr>
          <w:p w14:paraId="1CEF4AC7" w14:textId="77777777" w:rsidR="002922F7" w:rsidRPr="00D655A4" w:rsidRDefault="002922F7" w:rsidP="002922F7">
            <w:pPr>
              <w:pStyle w:val="TabletextLeft"/>
              <w:keepNext/>
              <w:keepLines/>
              <w:jc w:val="center"/>
              <w:rPr>
                <w:sz w:val="16"/>
                <w:szCs w:val="16"/>
              </w:rPr>
            </w:pPr>
            <w:r w:rsidRPr="00D655A4">
              <w:rPr>
                <w:sz w:val="16"/>
                <w:szCs w:val="16"/>
              </w:rPr>
              <w:t>0.225</w:t>
            </w:r>
          </w:p>
        </w:tc>
      </w:tr>
      <w:tr w:rsidR="002922F7" w14:paraId="3AEA4147" w14:textId="77777777" w:rsidTr="002922F7">
        <w:trPr>
          <w:trHeight w:val="39"/>
        </w:trPr>
        <w:tc>
          <w:tcPr>
            <w:tcW w:w="20" w:type="dxa"/>
          </w:tcPr>
          <w:p w14:paraId="63B221A5" w14:textId="77777777" w:rsidR="002922F7" w:rsidRDefault="002922F7" w:rsidP="002922F7">
            <w:pPr>
              <w:pStyle w:val="TabletextLeft"/>
              <w:keepNext/>
              <w:keepLines/>
            </w:pPr>
          </w:p>
        </w:tc>
        <w:tc>
          <w:tcPr>
            <w:tcW w:w="20" w:type="dxa"/>
          </w:tcPr>
          <w:p w14:paraId="43C1B3FF" w14:textId="77777777" w:rsidR="002922F7" w:rsidRDefault="002922F7" w:rsidP="002922F7">
            <w:pPr>
              <w:pStyle w:val="TabletextLeft"/>
              <w:keepNext/>
              <w:keepLines/>
            </w:pPr>
          </w:p>
        </w:tc>
        <w:tc>
          <w:tcPr>
            <w:tcW w:w="3079" w:type="dxa"/>
          </w:tcPr>
          <w:p w14:paraId="79231D8B" w14:textId="03253191" w:rsidR="002922F7" w:rsidRPr="00D655A4" w:rsidRDefault="00A6707A" w:rsidP="002922F7">
            <w:pPr>
              <w:pStyle w:val="TabletextLeft"/>
              <w:keepNext/>
              <w:keepLines/>
              <w:rPr>
                <w:sz w:val="16"/>
                <w:szCs w:val="16"/>
              </w:rPr>
            </w:pPr>
            <w:r w:rsidRPr="00D655A4">
              <w:rPr>
                <w:sz w:val="16"/>
                <w:szCs w:val="16"/>
              </w:rPr>
              <w:t>Implied m</w:t>
            </w:r>
            <w:r w:rsidR="002922F7" w:rsidRPr="00D655A4">
              <w:rPr>
                <w:sz w:val="16"/>
                <w:szCs w:val="16"/>
              </w:rPr>
              <w:t xml:space="preserve">argins as a share of other costs </w:t>
            </w:r>
          </w:p>
        </w:tc>
        <w:tc>
          <w:tcPr>
            <w:tcW w:w="3685" w:type="dxa"/>
          </w:tcPr>
          <w:p w14:paraId="53314A84" w14:textId="77777777" w:rsidR="002922F7" w:rsidRPr="00D655A4" w:rsidRDefault="002922F7" w:rsidP="002922F7">
            <w:pPr>
              <w:pStyle w:val="TabletextLeft"/>
              <w:keepNext/>
              <w:keepLines/>
              <w:rPr>
                <w:sz w:val="16"/>
                <w:szCs w:val="16"/>
              </w:rPr>
            </w:pPr>
            <w:r w:rsidRPr="00D655A4">
              <w:rPr>
                <w:sz w:val="16"/>
                <w:szCs w:val="16"/>
              </w:rPr>
              <w:t>Span of control</w:t>
            </w:r>
          </w:p>
        </w:tc>
        <w:tc>
          <w:tcPr>
            <w:tcW w:w="2250" w:type="dxa"/>
          </w:tcPr>
          <w:p w14:paraId="25048EE2" w14:textId="77777777" w:rsidR="002922F7" w:rsidRPr="00D655A4" w:rsidRDefault="002922F7" w:rsidP="002922F7">
            <w:pPr>
              <w:pStyle w:val="TabletextLeft"/>
              <w:keepNext/>
              <w:keepLines/>
              <w:jc w:val="center"/>
              <w:rPr>
                <w:sz w:val="16"/>
                <w:szCs w:val="16"/>
              </w:rPr>
            </w:pPr>
            <w:r w:rsidRPr="00D655A4">
              <w:rPr>
                <w:sz w:val="16"/>
                <w:szCs w:val="16"/>
              </w:rPr>
              <w:t>-0.150</w:t>
            </w:r>
          </w:p>
        </w:tc>
      </w:tr>
      <w:tr w:rsidR="002922F7" w14:paraId="158A9AC1" w14:textId="77777777" w:rsidTr="002922F7">
        <w:trPr>
          <w:trHeight w:val="39"/>
        </w:trPr>
        <w:tc>
          <w:tcPr>
            <w:tcW w:w="20" w:type="dxa"/>
          </w:tcPr>
          <w:p w14:paraId="47D71E14" w14:textId="77777777" w:rsidR="002922F7" w:rsidRDefault="002922F7" w:rsidP="002922F7">
            <w:pPr>
              <w:pStyle w:val="TabletextLeft"/>
              <w:keepNext/>
              <w:keepLines/>
            </w:pPr>
          </w:p>
        </w:tc>
        <w:tc>
          <w:tcPr>
            <w:tcW w:w="20" w:type="dxa"/>
          </w:tcPr>
          <w:p w14:paraId="22A9C494" w14:textId="77777777" w:rsidR="002922F7" w:rsidRDefault="002922F7" w:rsidP="002922F7">
            <w:pPr>
              <w:pStyle w:val="TabletextLeft"/>
              <w:keepNext/>
              <w:keepLines/>
            </w:pPr>
          </w:p>
        </w:tc>
        <w:tc>
          <w:tcPr>
            <w:tcW w:w="3079" w:type="dxa"/>
          </w:tcPr>
          <w:p w14:paraId="65E7170A" w14:textId="77777777" w:rsidR="002922F7" w:rsidRPr="00D655A4" w:rsidRDefault="002922F7" w:rsidP="002922F7">
            <w:pPr>
              <w:pStyle w:val="TabletextLeft"/>
              <w:keepNext/>
              <w:keepLines/>
              <w:rPr>
                <w:sz w:val="16"/>
                <w:szCs w:val="16"/>
              </w:rPr>
            </w:pPr>
            <w:r w:rsidRPr="00D655A4">
              <w:rPr>
                <w:sz w:val="16"/>
                <w:szCs w:val="16"/>
              </w:rPr>
              <w:t>Staff remuneration</w:t>
            </w:r>
          </w:p>
        </w:tc>
        <w:tc>
          <w:tcPr>
            <w:tcW w:w="3685" w:type="dxa"/>
          </w:tcPr>
          <w:p w14:paraId="6D6BBA17" w14:textId="77777777" w:rsidR="002922F7" w:rsidRPr="00D655A4" w:rsidRDefault="002922F7" w:rsidP="002922F7">
            <w:pPr>
              <w:pStyle w:val="TabletextLeft"/>
              <w:keepNext/>
              <w:keepLines/>
              <w:rPr>
                <w:sz w:val="16"/>
                <w:szCs w:val="16"/>
              </w:rPr>
            </w:pPr>
            <w:r w:rsidRPr="00D655A4">
              <w:rPr>
                <w:sz w:val="16"/>
                <w:szCs w:val="16"/>
              </w:rPr>
              <w:t>Overheads as a share of direct costs exc. interest and depreciation</w:t>
            </w:r>
          </w:p>
        </w:tc>
        <w:tc>
          <w:tcPr>
            <w:tcW w:w="2250" w:type="dxa"/>
          </w:tcPr>
          <w:p w14:paraId="58CEEDEE" w14:textId="77777777" w:rsidR="002922F7" w:rsidRPr="00D655A4" w:rsidRDefault="002922F7" w:rsidP="002922F7">
            <w:pPr>
              <w:pStyle w:val="TabletextLeft"/>
              <w:keepNext/>
              <w:keepLines/>
              <w:jc w:val="center"/>
              <w:rPr>
                <w:sz w:val="16"/>
                <w:szCs w:val="16"/>
              </w:rPr>
            </w:pPr>
            <w:r w:rsidRPr="00D655A4">
              <w:rPr>
                <w:sz w:val="16"/>
                <w:szCs w:val="16"/>
              </w:rPr>
              <w:t>-0.222</w:t>
            </w:r>
          </w:p>
        </w:tc>
      </w:tr>
      <w:tr w:rsidR="002922F7" w14:paraId="0A7FB8CA" w14:textId="77777777" w:rsidTr="002922F7">
        <w:trPr>
          <w:trHeight w:val="39"/>
        </w:trPr>
        <w:tc>
          <w:tcPr>
            <w:tcW w:w="20" w:type="dxa"/>
          </w:tcPr>
          <w:p w14:paraId="015FA90C" w14:textId="77777777" w:rsidR="002922F7" w:rsidRDefault="002922F7" w:rsidP="002922F7">
            <w:pPr>
              <w:pStyle w:val="TabletextLeft"/>
              <w:keepNext/>
              <w:keepLines/>
            </w:pPr>
          </w:p>
        </w:tc>
        <w:tc>
          <w:tcPr>
            <w:tcW w:w="20" w:type="dxa"/>
          </w:tcPr>
          <w:p w14:paraId="4DE4D70C" w14:textId="77777777" w:rsidR="002922F7" w:rsidRDefault="002922F7" w:rsidP="002922F7">
            <w:pPr>
              <w:pStyle w:val="TabletextLeft"/>
              <w:keepNext/>
              <w:keepLines/>
            </w:pPr>
          </w:p>
        </w:tc>
        <w:tc>
          <w:tcPr>
            <w:tcW w:w="3079" w:type="dxa"/>
          </w:tcPr>
          <w:p w14:paraId="5F1ACF36" w14:textId="77777777" w:rsidR="002922F7" w:rsidRPr="00D655A4" w:rsidRDefault="002922F7" w:rsidP="002922F7">
            <w:pPr>
              <w:pStyle w:val="TabletextLeft"/>
              <w:keepNext/>
              <w:keepLines/>
              <w:rPr>
                <w:sz w:val="16"/>
                <w:szCs w:val="16"/>
              </w:rPr>
            </w:pPr>
            <w:r w:rsidRPr="00D655A4">
              <w:rPr>
                <w:sz w:val="16"/>
                <w:szCs w:val="16"/>
              </w:rPr>
              <w:t>Staff remuneration</w:t>
            </w:r>
          </w:p>
        </w:tc>
        <w:tc>
          <w:tcPr>
            <w:tcW w:w="3685" w:type="dxa"/>
          </w:tcPr>
          <w:p w14:paraId="228C267B" w14:textId="77777777" w:rsidR="002922F7" w:rsidRPr="00D655A4" w:rsidRDefault="002922F7" w:rsidP="002922F7">
            <w:pPr>
              <w:pStyle w:val="TabletextLeft"/>
              <w:keepNext/>
              <w:keepLines/>
              <w:rPr>
                <w:sz w:val="16"/>
                <w:szCs w:val="16"/>
              </w:rPr>
            </w:pPr>
            <w:r w:rsidRPr="00D655A4">
              <w:rPr>
                <w:sz w:val="16"/>
                <w:szCs w:val="16"/>
              </w:rPr>
              <w:t>Utilisation</w:t>
            </w:r>
          </w:p>
        </w:tc>
        <w:tc>
          <w:tcPr>
            <w:tcW w:w="2250" w:type="dxa"/>
          </w:tcPr>
          <w:p w14:paraId="75AD0AAE" w14:textId="77777777" w:rsidR="002922F7" w:rsidRPr="00D655A4" w:rsidRDefault="002922F7" w:rsidP="002922F7">
            <w:pPr>
              <w:pStyle w:val="TabletextLeft"/>
              <w:keepNext/>
              <w:keepLines/>
              <w:jc w:val="center"/>
              <w:rPr>
                <w:sz w:val="16"/>
                <w:szCs w:val="16"/>
              </w:rPr>
            </w:pPr>
            <w:r w:rsidRPr="00D655A4">
              <w:rPr>
                <w:sz w:val="16"/>
                <w:szCs w:val="16"/>
              </w:rPr>
              <w:t>-0.042</w:t>
            </w:r>
          </w:p>
        </w:tc>
      </w:tr>
      <w:tr w:rsidR="002922F7" w14:paraId="5069A68C" w14:textId="77777777" w:rsidTr="002922F7">
        <w:trPr>
          <w:trHeight w:val="39"/>
        </w:trPr>
        <w:tc>
          <w:tcPr>
            <w:tcW w:w="20" w:type="dxa"/>
          </w:tcPr>
          <w:p w14:paraId="60E0CF5C" w14:textId="77777777" w:rsidR="002922F7" w:rsidRDefault="002922F7" w:rsidP="002922F7">
            <w:pPr>
              <w:pStyle w:val="TabletextLeft"/>
              <w:keepNext/>
              <w:keepLines/>
            </w:pPr>
          </w:p>
        </w:tc>
        <w:tc>
          <w:tcPr>
            <w:tcW w:w="20" w:type="dxa"/>
          </w:tcPr>
          <w:p w14:paraId="2B7FDC2F" w14:textId="77777777" w:rsidR="002922F7" w:rsidRDefault="002922F7" w:rsidP="002922F7">
            <w:pPr>
              <w:pStyle w:val="TabletextLeft"/>
              <w:keepNext/>
              <w:keepLines/>
            </w:pPr>
          </w:p>
        </w:tc>
        <w:tc>
          <w:tcPr>
            <w:tcW w:w="3079" w:type="dxa"/>
          </w:tcPr>
          <w:p w14:paraId="632EAFCB" w14:textId="77777777" w:rsidR="002922F7" w:rsidRPr="00D655A4" w:rsidRDefault="002922F7" w:rsidP="002922F7">
            <w:pPr>
              <w:pStyle w:val="TabletextLeft"/>
              <w:keepNext/>
              <w:keepLines/>
              <w:rPr>
                <w:sz w:val="16"/>
                <w:szCs w:val="16"/>
              </w:rPr>
            </w:pPr>
            <w:r w:rsidRPr="00D655A4">
              <w:rPr>
                <w:sz w:val="16"/>
                <w:szCs w:val="16"/>
              </w:rPr>
              <w:t>Staff remuneration</w:t>
            </w:r>
          </w:p>
        </w:tc>
        <w:tc>
          <w:tcPr>
            <w:tcW w:w="3685" w:type="dxa"/>
          </w:tcPr>
          <w:p w14:paraId="111AEBD8" w14:textId="77777777" w:rsidR="002922F7" w:rsidRPr="00D655A4" w:rsidRDefault="002922F7" w:rsidP="002922F7">
            <w:pPr>
              <w:pStyle w:val="TabletextLeft"/>
              <w:keepNext/>
              <w:keepLines/>
              <w:rPr>
                <w:sz w:val="16"/>
                <w:szCs w:val="16"/>
              </w:rPr>
            </w:pPr>
            <w:r w:rsidRPr="00D655A4">
              <w:rPr>
                <w:sz w:val="16"/>
                <w:szCs w:val="16"/>
              </w:rPr>
              <w:t>Span of control</w:t>
            </w:r>
          </w:p>
        </w:tc>
        <w:tc>
          <w:tcPr>
            <w:tcW w:w="2250" w:type="dxa"/>
          </w:tcPr>
          <w:p w14:paraId="50D682ED" w14:textId="77777777" w:rsidR="002922F7" w:rsidRPr="00D655A4" w:rsidRDefault="002922F7" w:rsidP="002922F7">
            <w:pPr>
              <w:pStyle w:val="TabletextLeft"/>
              <w:keepNext/>
              <w:keepLines/>
              <w:jc w:val="center"/>
              <w:rPr>
                <w:sz w:val="16"/>
                <w:szCs w:val="16"/>
              </w:rPr>
            </w:pPr>
            <w:r w:rsidRPr="00D655A4">
              <w:rPr>
                <w:sz w:val="16"/>
                <w:szCs w:val="16"/>
              </w:rPr>
              <w:t>-0.249</w:t>
            </w:r>
          </w:p>
        </w:tc>
      </w:tr>
      <w:tr w:rsidR="002922F7" w14:paraId="652A11B3" w14:textId="77777777" w:rsidTr="002922F7">
        <w:trPr>
          <w:trHeight w:val="39"/>
        </w:trPr>
        <w:tc>
          <w:tcPr>
            <w:tcW w:w="20" w:type="dxa"/>
          </w:tcPr>
          <w:p w14:paraId="00272AA5" w14:textId="77777777" w:rsidR="002922F7" w:rsidRDefault="002922F7" w:rsidP="002922F7">
            <w:pPr>
              <w:pStyle w:val="TabletextLeft"/>
              <w:keepNext/>
              <w:keepLines/>
            </w:pPr>
          </w:p>
        </w:tc>
        <w:tc>
          <w:tcPr>
            <w:tcW w:w="20" w:type="dxa"/>
          </w:tcPr>
          <w:p w14:paraId="799BB0FD" w14:textId="77777777" w:rsidR="002922F7" w:rsidRDefault="002922F7" w:rsidP="002922F7">
            <w:pPr>
              <w:pStyle w:val="TabletextLeft"/>
              <w:keepNext/>
              <w:keepLines/>
            </w:pPr>
          </w:p>
        </w:tc>
        <w:tc>
          <w:tcPr>
            <w:tcW w:w="3079" w:type="dxa"/>
          </w:tcPr>
          <w:p w14:paraId="64E1CAD4" w14:textId="77777777" w:rsidR="002922F7" w:rsidRPr="00D655A4" w:rsidRDefault="002922F7" w:rsidP="002922F7">
            <w:pPr>
              <w:pStyle w:val="TabletextLeft"/>
              <w:keepNext/>
              <w:keepLines/>
              <w:rPr>
                <w:sz w:val="16"/>
                <w:szCs w:val="16"/>
              </w:rPr>
            </w:pPr>
            <w:r w:rsidRPr="00D655A4">
              <w:rPr>
                <w:sz w:val="16"/>
                <w:szCs w:val="16"/>
              </w:rPr>
              <w:t>Staff remuneration</w:t>
            </w:r>
          </w:p>
        </w:tc>
        <w:tc>
          <w:tcPr>
            <w:tcW w:w="3685" w:type="dxa"/>
          </w:tcPr>
          <w:p w14:paraId="452F050D" w14:textId="44EB2B44" w:rsidR="002922F7" w:rsidRPr="00D655A4" w:rsidRDefault="00A6707A" w:rsidP="002922F7">
            <w:pPr>
              <w:pStyle w:val="TabletextLeft"/>
              <w:keepNext/>
              <w:keepLines/>
              <w:rPr>
                <w:sz w:val="16"/>
                <w:szCs w:val="16"/>
              </w:rPr>
            </w:pPr>
            <w:r w:rsidRPr="00D655A4">
              <w:rPr>
                <w:sz w:val="16"/>
                <w:szCs w:val="16"/>
              </w:rPr>
              <w:t>Implied m</w:t>
            </w:r>
            <w:r w:rsidR="002922F7" w:rsidRPr="00D655A4">
              <w:rPr>
                <w:sz w:val="16"/>
                <w:szCs w:val="16"/>
              </w:rPr>
              <w:t>argin as a share of other costs</w:t>
            </w:r>
          </w:p>
        </w:tc>
        <w:tc>
          <w:tcPr>
            <w:tcW w:w="2250" w:type="dxa"/>
          </w:tcPr>
          <w:p w14:paraId="37E19BFD" w14:textId="77777777" w:rsidR="002922F7" w:rsidRPr="00D655A4" w:rsidRDefault="002922F7" w:rsidP="002922F7">
            <w:pPr>
              <w:pStyle w:val="TabletextLeft"/>
              <w:keepNext/>
              <w:keepLines/>
              <w:jc w:val="center"/>
              <w:rPr>
                <w:sz w:val="16"/>
                <w:szCs w:val="16"/>
              </w:rPr>
            </w:pPr>
            <w:r w:rsidRPr="00D655A4">
              <w:rPr>
                <w:sz w:val="16"/>
                <w:szCs w:val="16"/>
              </w:rPr>
              <w:t>0.075</w:t>
            </w:r>
          </w:p>
        </w:tc>
      </w:tr>
      <w:tr w:rsidR="002922F7" w14:paraId="3ECB3AB5" w14:textId="77777777" w:rsidTr="002922F7">
        <w:trPr>
          <w:trHeight w:val="39"/>
        </w:trPr>
        <w:tc>
          <w:tcPr>
            <w:tcW w:w="20" w:type="dxa"/>
          </w:tcPr>
          <w:p w14:paraId="19F5E33C" w14:textId="77777777" w:rsidR="002922F7" w:rsidRDefault="002922F7" w:rsidP="002922F7">
            <w:pPr>
              <w:pStyle w:val="TabletextLeft"/>
              <w:keepNext/>
              <w:keepLines/>
            </w:pPr>
          </w:p>
        </w:tc>
        <w:tc>
          <w:tcPr>
            <w:tcW w:w="20" w:type="dxa"/>
          </w:tcPr>
          <w:p w14:paraId="091B3B29" w14:textId="77777777" w:rsidR="002922F7" w:rsidRDefault="002922F7" w:rsidP="002922F7">
            <w:pPr>
              <w:pStyle w:val="TabletextLeft"/>
              <w:keepNext/>
              <w:keepLines/>
            </w:pPr>
          </w:p>
        </w:tc>
        <w:tc>
          <w:tcPr>
            <w:tcW w:w="3079" w:type="dxa"/>
          </w:tcPr>
          <w:p w14:paraId="74B93682" w14:textId="77777777" w:rsidR="002922F7" w:rsidRPr="00D655A4" w:rsidRDefault="002922F7" w:rsidP="002922F7">
            <w:pPr>
              <w:pStyle w:val="TabletextLeft"/>
              <w:keepNext/>
              <w:keepLines/>
              <w:rPr>
                <w:sz w:val="16"/>
                <w:szCs w:val="16"/>
              </w:rPr>
            </w:pPr>
            <w:r w:rsidRPr="00D655A4">
              <w:rPr>
                <w:sz w:val="16"/>
                <w:szCs w:val="16"/>
              </w:rPr>
              <w:t>Staff remuneration</w:t>
            </w:r>
          </w:p>
        </w:tc>
        <w:tc>
          <w:tcPr>
            <w:tcW w:w="3685" w:type="dxa"/>
          </w:tcPr>
          <w:p w14:paraId="006D1649" w14:textId="77777777" w:rsidR="002922F7" w:rsidRPr="00D655A4" w:rsidRDefault="002922F7" w:rsidP="002922F7">
            <w:pPr>
              <w:pStyle w:val="TabletextLeft"/>
              <w:keepNext/>
              <w:keepLines/>
              <w:rPr>
                <w:sz w:val="16"/>
                <w:szCs w:val="16"/>
              </w:rPr>
            </w:pPr>
            <w:r w:rsidRPr="00D655A4">
              <w:rPr>
                <w:sz w:val="16"/>
                <w:szCs w:val="16"/>
              </w:rPr>
              <w:t>Permanent employment rate</w:t>
            </w:r>
          </w:p>
        </w:tc>
        <w:tc>
          <w:tcPr>
            <w:tcW w:w="2250" w:type="dxa"/>
          </w:tcPr>
          <w:p w14:paraId="73FCA823" w14:textId="77777777" w:rsidR="002922F7" w:rsidRPr="00D655A4" w:rsidRDefault="002922F7" w:rsidP="002922F7">
            <w:pPr>
              <w:pStyle w:val="TabletextLeft"/>
              <w:keepNext/>
              <w:keepLines/>
              <w:jc w:val="center"/>
              <w:rPr>
                <w:sz w:val="16"/>
                <w:szCs w:val="16"/>
              </w:rPr>
            </w:pPr>
            <w:r w:rsidRPr="00D655A4">
              <w:rPr>
                <w:sz w:val="16"/>
                <w:szCs w:val="16"/>
              </w:rPr>
              <w:t>-0.021</w:t>
            </w:r>
          </w:p>
        </w:tc>
      </w:tr>
    </w:tbl>
    <w:p w14:paraId="1597F7AA" w14:textId="77777777" w:rsidR="002922F7" w:rsidRDefault="002922F7" w:rsidP="002922F7">
      <w:pPr>
        <w:pStyle w:val="Source"/>
      </w:pPr>
      <w:r>
        <w:t>Source: Deloitte Access Economics analysis.</w:t>
      </w:r>
    </w:p>
    <w:p w14:paraId="0204FA4C" w14:textId="77777777" w:rsidR="002922F7" w:rsidRDefault="002922F7" w:rsidP="002922F7">
      <w:pPr>
        <w:rPr>
          <w:rFonts w:eastAsia="Times New Roman"/>
        </w:rPr>
      </w:pPr>
      <w:r>
        <w:rPr>
          <w:rFonts w:eastAsia="Times New Roman"/>
        </w:rPr>
        <w:t>While no pairs satisfied the threshold for demonstrating a relationship, the largest coefficients were observed for:</w:t>
      </w:r>
    </w:p>
    <w:p w14:paraId="1402D84E" w14:textId="67268058" w:rsidR="002922F7" w:rsidRDefault="002922F7" w:rsidP="00400621">
      <w:pPr>
        <w:pStyle w:val="ListBullet"/>
        <w:numPr>
          <w:ilvl w:val="0"/>
          <w:numId w:val="13"/>
        </w:numPr>
      </w:pPr>
      <w:r w:rsidRPr="001F26A1">
        <w:rPr>
          <w:i/>
          <w:iCs/>
        </w:rPr>
        <w:t xml:space="preserve">Permanent </w:t>
      </w:r>
      <w:r>
        <w:rPr>
          <w:i/>
          <w:iCs/>
        </w:rPr>
        <w:t>employment rate</w:t>
      </w:r>
      <w:r>
        <w:t xml:space="preserve"> with </w:t>
      </w:r>
      <w:r w:rsidR="00A6707A">
        <w:rPr>
          <w:i/>
          <w:iCs/>
        </w:rPr>
        <w:t xml:space="preserve">implied </w:t>
      </w:r>
      <w:r w:rsidRPr="001F26A1">
        <w:rPr>
          <w:i/>
          <w:iCs/>
        </w:rPr>
        <w:t>margin</w:t>
      </w:r>
      <w:r>
        <w:t xml:space="preserve"> (0.225).</w:t>
      </w:r>
    </w:p>
    <w:p w14:paraId="4C30DFA3" w14:textId="77777777" w:rsidR="002922F7" w:rsidRPr="00B90343" w:rsidRDefault="002922F7" w:rsidP="00400621">
      <w:pPr>
        <w:pStyle w:val="ListBullet"/>
        <w:numPr>
          <w:ilvl w:val="0"/>
          <w:numId w:val="13"/>
        </w:numPr>
        <w:rPr>
          <w:rFonts w:eastAsia="Times New Roman"/>
        </w:rPr>
      </w:pPr>
      <w:r w:rsidRPr="001F26A1">
        <w:rPr>
          <w:i/>
          <w:iCs/>
        </w:rPr>
        <w:t>Utilisation</w:t>
      </w:r>
      <w:r>
        <w:t xml:space="preserve"> with </w:t>
      </w:r>
      <w:r w:rsidRPr="001F26A1">
        <w:rPr>
          <w:i/>
          <w:iCs/>
        </w:rPr>
        <w:t>span of control</w:t>
      </w:r>
      <w:r>
        <w:t xml:space="preserve"> (0.189).</w:t>
      </w:r>
    </w:p>
    <w:p w14:paraId="0A003CA5" w14:textId="77777777" w:rsidR="002922F7" w:rsidRDefault="002922F7" w:rsidP="00400621">
      <w:pPr>
        <w:pStyle w:val="ListBullet"/>
        <w:numPr>
          <w:ilvl w:val="0"/>
          <w:numId w:val="13"/>
        </w:numPr>
      </w:pPr>
      <w:r>
        <w:rPr>
          <w:i/>
          <w:iCs/>
        </w:rPr>
        <w:t>Staff remuneration</w:t>
      </w:r>
      <w:r>
        <w:t xml:space="preserve"> with </w:t>
      </w:r>
      <w:r>
        <w:rPr>
          <w:i/>
          <w:iCs/>
        </w:rPr>
        <w:t>overheads</w:t>
      </w:r>
      <w:r>
        <w:t xml:space="preserve"> (-0.222).</w:t>
      </w:r>
    </w:p>
    <w:p w14:paraId="462343E8" w14:textId="77777777" w:rsidR="002922F7" w:rsidRDefault="002922F7" w:rsidP="00400621">
      <w:pPr>
        <w:pStyle w:val="ListBullet"/>
        <w:numPr>
          <w:ilvl w:val="0"/>
          <w:numId w:val="13"/>
        </w:numPr>
      </w:pPr>
      <w:r>
        <w:rPr>
          <w:i/>
          <w:iCs/>
        </w:rPr>
        <w:t>Staff remuneration</w:t>
      </w:r>
      <w:r>
        <w:t xml:space="preserve"> with</w:t>
      </w:r>
      <w:r>
        <w:rPr>
          <w:i/>
          <w:iCs/>
        </w:rPr>
        <w:t xml:space="preserve"> span of control</w:t>
      </w:r>
      <w:r>
        <w:t xml:space="preserve"> (-0.249).</w:t>
      </w:r>
    </w:p>
    <w:p w14:paraId="51F0FD70" w14:textId="77777777" w:rsidR="002922F7" w:rsidRDefault="002922F7" w:rsidP="002922F7">
      <w:pPr>
        <w:pStyle w:val="Heading2"/>
      </w:pPr>
      <w:bookmarkStart w:id="256" w:name="_Ref38629851"/>
      <w:bookmarkStart w:id="257" w:name="_Toc40454657"/>
      <w:r>
        <w:t>Cross</w:t>
      </w:r>
      <w:r>
        <w:noBreakHyphen/>
        <w:t>tabulation and chi squared analysis</w:t>
      </w:r>
      <w:bookmarkEnd w:id="256"/>
      <w:bookmarkEnd w:id="257"/>
    </w:p>
    <w:p w14:paraId="25378995" w14:textId="77777777" w:rsidR="002922F7" w:rsidRDefault="002922F7" w:rsidP="002922F7">
      <w:r>
        <w:t>To further investigate relationships between the variables, the data for the key variables was transformed to categorical values ranging from 1-4. Where a data point was within the lowest quartile of responses for that variable, it was given a numerical value of 1, a value of 2 if the value fell within the second quartile, and so on</w:t>
      </w:r>
      <w:r>
        <w:rPr>
          <w:rStyle w:val="FootnoteReference"/>
        </w:rPr>
        <w:footnoteReference w:id="23"/>
      </w:r>
      <w:r>
        <w:t xml:space="preserve">. </w:t>
      </w:r>
    </w:p>
    <w:p w14:paraId="5EA5CF13" w14:textId="4064A303" w:rsidR="002922F7" w:rsidRDefault="002922F7" w:rsidP="002922F7">
      <w:r>
        <w:t xml:space="preserve">This transformed data </w:t>
      </w:r>
      <w:r w:rsidR="00AE50A9">
        <w:t>were</w:t>
      </w:r>
      <w:r>
        <w:t xml:space="preserve"> then used to conduct cross</w:t>
      </w:r>
      <w:r>
        <w:noBreakHyphen/>
        <w:t>tabulation analysis which recorded the frequency of responses for each combination and level of variables. These tables were used as a basis for chi</w:t>
      </w:r>
      <w:r>
        <w:noBreakHyphen/>
        <w:t xml:space="preserve">squared analysis, to test whether there was a statistical relationship between variables or whether variables were independent. </w:t>
      </w:r>
    </w:p>
    <w:p w14:paraId="1A0603B7" w14:textId="4D117FD1" w:rsidR="002922F7" w:rsidRDefault="002922F7" w:rsidP="002922F7">
      <w:r>
        <w:t>The p</w:t>
      </w:r>
      <w:r>
        <w:noBreakHyphen/>
        <w:t xml:space="preserve">values summarised in </w:t>
      </w:r>
      <w:r>
        <w:fldChar w:fldCharType="begin"/>
      </w:r>
      <w:r>
        <w:instrText xml:space="preserve"> REF _Ref38545837 \r \h </w:instrText>
      </w:r>
      <w:r>
        <w:fldChar w:fldCharType="separate"/>
      </w:r>
      <w:r w:rsidR="00283637">
        <w:t>Table 4.2</w:t>
      </w:r>
      <w:r>
        <w:fldChar w:fldCharType="end"/>
      </w:r>
      <w:r>
        <w:t xml:space="preserve"> provide a standardised measure of statistical significance. Using a 5% level of significant, where the p</w:t>
      </w:r>
      <w:r>
        <w:noBreakHyphen/>
        <w:t xml:space="preserve">value reported is less than 0.05 it was concluded that there was an overall statistically significant relationship between variables. It was found that </w:t>
      </w:r>
      <w:r>
        <w:lastRenderedPageBreak/>
        <w:t xml:space="preserve">statistically significant relationships existed between </w:t>
      </w:r>
      <w:r>
        <w:rPr>
          <w:i/>
          <w:iCs/>
        </w:rPr>
        <w:t xml:space="preserve">staff remuneration </w:t>
      </w:r>
      <w:r>
        <w:t xml:space="preserve">and </w:t>
      </w:r>
      <w:r>
        <w:rPr>
          <w:i/>
          <w:iCs/>
        </w:rPr>
        <w:t xml:space="preserve">span of </w:t>
      </w:r>
      <w:r w:rsidRPr="00AD3958">
        <w:rPr>
          <w:i/>
          <w:iCs/>
        </w:rPr>
        <w:t>control</w:t>
      </w:r>
      <w:r>
        <w:t xml:space="preserve">, </w:t>
      </w:r>
      <w:r>
        <w:rPr>
          <w:i/>
          <w:iCs/>
        </w:rPr>
        <w:t xml:space="preserve">staff </w:t>
      </w:r>
      <w:r w:rsidRPr="00AD3958">
        <w:rPr>
          <w:i/>
          <w:iCs/>
        </w:rPr>
        <w:t>remuneration</w:t>
      </w:r>
      <w:r>
        <w:t xml:space="preserve"> and </w:t>
      </w:r>
      <w:r w:rsidRPr="00392A06">
        <w:rPr>
          <w:i/>
          <w:iCs/>
        </w:rPr>
        <w:t>utilisation</w:t>
      </w:r>
      <w:r>
        <w:t xml:space="preserve">, </w:t>
      </w:r>
      <w:r w:rsidRPr="00392A06">
        <w:rPr>
          <w:i/>
          <w:iCs/>
        </w:rPr>
        <w:t>staff remuneration</w:t>
      </w:r>
      <w:r>
        <w:t xml:space="preserve"> and </w:t>
      </w:r>
      <w:r w:rsidRPr="00392A06">
        <w:rPr>
          <w:i/>
          <w:iCs/>
        </w:rPr>
        <w:t>permanent</w:t>
      </w:r>
      <w:r>
        <w:rPr>
          <w:i/>
          <w:iCs/>
        </w:rPr>
        <w:t xml:space="preserve"> employment rate</w:t>
      </w:r>
      <w:r>
        <w:t xml:space="preserve">, </w:t>
      </w:r>
      <w:r w:rsidRPr="00392A06">
        <w:rPr>
          <w:i/>
          <w:iCs/>
        </w:rPr>
        <w:t>staff remuneration</w:t>
      </w:r>
      <w:r>
        <w:t xml:space="preserve"> and </w:t>
      </w:r>
      <w:r w:rsidRPr="00392A06">
        <w:rPr>
          <w:i/>
          <w:iCs/>
        </w:rPr>
        <w:t>overheads</w:t>
      </w:r>
      <w:r>
        <w:t xml:space="preserve">, </w:t>
      </w:r>
      <w:r w:rsidR="009C3ACB">
        <w:rPr>
          <w:i/>
          <w:iCs/>
        </w:rPr>
        <w:t xml:space="preserve">overheads </w:t>
      </w:r>
      <w:r w:rsidR="009C3ACB">
        <w:t xml:space="preserve">and </w:t>
      </w:r>
      <w:r w:rsidR="009C3ACB">
        <w:rPr>
          <w:i/>
          <w:iCs/>
        </w:rPr>
        <w:t xml:space="preserve">utilisation, </w:t>
      </w:r>
      <w:r w:rsidRPr="00AD3958">
        <w:rPr>
          <w:i/>
          <w:iCs/>
        </w:rPr>
        <w:t>utilisation</w:t>
      </w:r>
      <w:r>
        <w:t xml:space="preserve"> and </w:t>
      </w:r>
      <w:r w:rsidRPr="001F26A1">
        <w:rPr>
          <w:i/>
          <w:iCs/>
        </w:rPr>
        <w:t>span of control</w:t>
      </w:r>
      <w:r>
        <w:t xml:space="preserve">, </w:t>
      </w:r>
      <w:r w:rsidRPr="001F26A1">
        <w:rPr>
          <w:i/>
          <w:iCs/>
        </w:rPr>
        <w:t>permanent</w:t>
      </w:r>
      <w:r>
        <w:t xml:space="preserve"> </w:t>
      </w:r>
      <w:r>
        <w:rPr>
          <w:i/>
          <w:iCs/>
        </w:rPr>
        <w:t>employment rate</w:t>
      </w:r>
      <w:r w:rsidRPr="001F26A1">
        <w:rPr>
          <w:i/>
          <w:iCs/>
        </w:rPr>
        <w:t xml:space="preserve"> </w:t>
      </w:r>
      <w:r>
        <w:t xml:space="preserve">and </w:t>
      </w:r>
      <w:r w:rsidR="00A6707A">
        <w:rPr>
          <w:i/>
          <w:iCs/>
        </w:rPr>
        <w:t xml:space="preserve">implied </w:t>
      </w:r>
      <w:r w:rsidRPr="001F26A1">
        <w:rPr>
          <w:i/>
          <w:iCs/>
        </w:rPr>
        <w:t>margins</w:t>
      </w:r>
      <w:r>
        <w:t xml:space="preserve">, and </w:t>
      </w:r>
      <w:r w:rsidRPr="001F26A1">
        <w:rPr>
          <w:i/>
          <w:iCs/>
        </w:rPr>
        <w:t xml:space="preserve">permanent </w:t>
      </w:r>
      <w:r>
        <w:rPr>
          <w:i/>
          <w:iCs/>
        </w:rPr>
        <w:t xml:space="preserve">employment rate </w:t>
      </w:r>
      <w:r>
        <w:t xml:space="preserve">and </w:t>
      </w:r>
      <w:r w:rsidRPr="001F26A1">
        <w:rPr>
          <w:i/>
          <w:iCs/>
        </w:rPr>
        <w:t>span of control</w:t>
      </w:r>
      <w:r>
        <w:t>.</w:t>
      </w:r>
    </w:p>
    <w:p w14:paraId="73C947F6" w14:textId="77777777" w:rsidR="002922F7" w:rsidRDefault="002922F7" w:rsidP="002922F7">
      <w:pPr>
        <w:pStyle w:val="CaptionTable"/>
        <w:ind w:left="0"/>
      </w:pPr>
      <w:bookmarkStart w:id="258" w:name="_Ref38545837"/>
      <w:bookmarkStart w:id="259" w:name="_Toc40454703"/>
      <w:r>
        <w:t>Results of chi square analysis</w:t>
      </w:r>
      <w:bookmarkEnd w:id="258"/>
      <w:bookmarkEnd w:id="259"/>
    </w:p>
    <w:tbl>
      <w:tblPr>
        <w:tblStyle w:val="Deloittetable"/>
        <w:tblW w:w="0" w:type="auto"/>
        <w:tblLook w:val="04A0" w:firstRow="1" w:lastRow="0" w:firstColumn="1" w:lastColumn="0" w:noHBand="0" w:noVBand="1"/>
      </w:tblPr>
      <w:tblGrid>
        <w:gridCol w:w="5245"/>
        <w:gridCol w:w="3781"/>
      </w:tblGrid>
      <w:tr w:rsidR="002922F7" w14:paraId="00A7B44A" w14:textId="77777777" w:rsidTr="002922F7">
        <w:trPr>
          <w:cnfStyle w:val="100000000000" w:firstRow="1" w:lastRow="0" w:firstColumn="0" w:lastColumn="0" w:oddVBand="0" w:evenVBand="0" w:oddHBand="0" w:evenHBand="0" w:firstRowFirstColumn="0" w:firstRowLastColumn="0" w:lastRowFirstColumn="0" w:lastRowLastColumn="0"/>
        </w:trPr>
        <w:tc>
          <w:tcPr>
            <w:tcW w:w="5245" w:type="dxa"/>
          </w:tcPr>
          <w:p w14:paraId="0BDAA953" w14:textId="77777777" w:rsidR="002922F7" w:rsidRDefault="002922F7" w:rsidP="002922F7">
            <w:pPr>
              <w:pStyle w:val="TableHeadingLeft"/>
              <w:keepNext/>
            </w:pPr>
            <w:r w:rsidRPr="00872F09">
              <w:t>Variable pairing</w:t>
            </w:r>
          </w:p>
        </w:tc>
        <w:tc>
          <w:tcPr>
            <w:tcW w:w="3781" w:type="dxa"/>
          </w:tcPr>
          <w:p w14:paraId="5E9E797E" w14:textId="77777777" w:rsidR="002922F7" w:rsidRDefault="002922F7" w:rsidP="002922F7">
            <w:pPr>
              <w:pStyle w:val="TableHeadingRight"/>
              <w:keepNext/>
            </w:pPr>
            <w:r w:rsidRPr="00872F09">
              <w:t>p-value</w:t>
            </w:r>
          </w:p>
        </w:tc>
      </w:tr>
      <w:tr w:rsidR="002922F7" w14:paraId="6A70BC10" w14:textId="77777777" w:rsidTr="002922F7">
        <w:tc>
          <w:tcPr>
            <w:tcW w:w="5245" w:type="dxa"/>
          </w:tcPr>
          <w:p w14:paraId="3CBC225F" w14:textId="32227858" w:rsidR="002922F7" w:rsidRPr="00872F09" w:rsidRDefault="002922F7" w:rsidP="002922F7">
            <w:pPr>
              <w:pStyle w:val="TabletextLeft"/>
              <w:keepNext/>
            </w:pPr>
            <w:r w:rsidRPr="000F0645">
              <w:t xml:space="preserve">Staff remuneration and </w:t>
            </w:r>
            <w:r w:rsidR="00A6707A">
              <w:t xml:space="preserve">implied </w:t>
            </w:r>
            <w:r w:rsidRPr="000F0645">
              <w:t>margins</w:t>
            </w:r>
          </w:p>
        </w:tc>
        <w:tc>
          <w:tcPr>
            <w:tcW w:w="3781" w:type="dxa"/>
          </w:tcPr>
          <w:p w14:paraId="187F65CA" w14:textId="77777777" w:rsidR="002922F7" w:rsidRPr="00872F09" w:rsidRDefault="002922F7" w:rsidP="002922F7">
            <w:pPr>
              <w:pStyle w:val="TabletextRight"/>
              <w:keepNext/>
            </w:pPr>
            <w:r w:rsidRPr="008C3133">
              <w:t>0.084634</w:t>
            </w:r>
          </w:p>
        </w:tc>
      </w:tr>
      <w:tr w:rsidR="002922F7" w14:paraId="60D88E2B" w14:textId="77777777" w:rsidTr="002922F7">
        <w:tc>
          <w:tcPr>
            <w:tcW w:w="5245" w:type="dxa"/>
          </w:tcPr>
          <w:p w14:paraId="01EBAF2C" w14:textId="77777777" w:rsidR="002922F7" w:rsidRPr="00392A06" w:rsidRDefault="002922F7" w:rsidP="002922F7">
            <w:pPr>
              <w:pStyle w:val="TabletextLeft"/>
              <w:keepNext/>
              <w:rPr>
                <w:b/>
                <w:bCs/>
              </w:rPr>
            </w:pPr>
            <w:r w:rsidRPr="00392A06">
              <w:rPr>
                <w:b/>
                <w:bCs/>
              </w:rPr>
              <w:t>Staff remuneration and span of control</w:t>
            </w:r>
          </w:p>
        </w:tc>
        <w:tc>
          <w:tcPr>
            <w:tcW w:w="3781" w:type="dxa"/>
          </w:tcPr>
          <w:p w14:paraId="49ABDA0A" w14:textId="77777777" w:rsidR="002922F7" w:rsidRPr="00392A06" w:rsidRDefault="002922F7" w:rsidP="002922F7">
            <w:pPr>
              <w:pStyle w:val="TabletextRight"/>
              <w:keepNext/>
              <w:rPr>
                <w:b/>
                <w:bCs/>
              </w:rPr>
            </w:pPr>
            <w:r w:rsidRPr="00392A06">
              <w:rPr>
                <w:b/>
                <w:bCs/>
              </w:rPr>
              <w:t>0.000000</w:t>
            </w:r>
          </w:p>
        </w:tc>
      </w:tr>
      <w:tr w:rsidR="002922F7" w14:paraId="3D45C0B2" w14:textId="77777777" w:rsidTr="002922F7">
        <w:tc>
          <w:tcPr>
            <w:tcW w:w="5245" w:type="dxa"/>
          </w:tcPr>
          <w:p w14:paraId="6ED304F9" w14:textId="77777777" w:rsidR="002922F7" w:rsidRPr="00392A06" w:rsidRDefault="002922F7" w:rsidP="002922F7">
            <w:pPr>
              <w:pStyle w:val="TabletextLeft"/>
              <w:keepNext/>
              <w:rPr>
                <w:b/>
                <w:bCs/>
              </w:rPr>
            </w:pPr>
            <w:r w:rsidRPr="00392A06">
              <w:rPr>
                <w:b/>
                <w:bCs/>
              </w:rPr>
              <w:t>Staff remuneration and utilisation</w:t>
            </w:r>
          </w:p>
        </w:tc>
        <w:tc>
          <w:tcPr>
            <w:tcW w:w="3781" w:type="dxa"/>
          </w:tcPr>
          <w:p w14:paraId="3072C03D" w14:textId="77777777" w:rsidR="002922F7" w:rsidRPr="00392A06" w:rsidRDefault="002922F7" w:rsidP="002922F7">
            <w:pPr>
              <w:pStyle w:val="TabletextRight"/>
              <w:keepNext/>
              <w:rPr>
                <w:b/>
                <w:bCs/>
              </w:rPr>
            </w:pPr>
            <w:r w:rsidRPr="00392A06">
              <w:rPr>
                <w:b/>
                <w:bCs/>
              </w:rPr>
              <w:t>0.035057</w:t>
            </w:r>
          </w:p>
        </w:tc>
      </w:tr>
      <w:tr w:rsidR="002922F7" w:rsidRPr="00392A06" w14:paraId="15B538E7" w14:textId="77777777" w:rsidTr="002922F7">
        <w:tc>
          <w:tcPr>
            <w:tcW w:w="5245" w:type="dxa"/>
          </w:tcPr>
          <w:p w14:paraId="37FE5304" w14:textId="77777777" w:rsidR="002922F7" w:rsidRPr="00392A06" w:rsidRDefault="002922F7" w:rsidP="002922F7">
            <w:pPr>
              <w:pStyle w:val="TabletextLeft"/>
              <w:keepNext/>
              <w:rPr>
                <w:b/>
                <w:bCs/>
              </w:rPr>
            </w:pPr>
            <w:r w:rsidRPr="00392A06">
              <w:rPr>
                <w:b/>
                <w:bCs/>
              </w:rPr>
              <w:t>Staff remuneration and permanent employment rate</w:t>
            </w:r>
          </w:p>
        </w:tc>
        <w:tc>
          <w:tcPr>
            <w:tcW w:w="3781" w:type="dxa"/>
          </w:tcPr>
          <w:p w14:paraId="32C39EF0" w14:textId="77777777" w:rsidR="002922F7" w:rsidRPr="00392A06" w:rsidRDefault="002922F7" w:rsidP="002922F7">
            <w:pPr>
              <w:pStyle w:val="TabletextRight"/>
              <w:keepNext/>
              <w:rPr>
                <w:b/>
                <w:bCs/>
              </w:rPr>
            </w:pPr>
            <w:r w:rsidRPr="00392A06">
              <w:rPr>
                <w:b/>
                <w:bCs/>
              </w:rPr>
              <w:t>0.028133</w:t>
            </w:r>
          </w:p>
        </w:tc>
      </w:tr>
      <w:tr w:rsidR="002922F7" w14:paraId="56ED9BCE" w14:textId="77777777" w:rsidTr="002922F7">
        <w:tc>
          <w:tcPr>
            <w:tcW w:w="5245" w:type="dxa"/>
          </w:tcPr>
          <w:p w14:paraId="6454B5FB" w14:textId="77777777" w:rsidR="002922F7" w:rsidRPr="00392A06" w:rsidRDefault="002922F7" w:rsidP="002922F7">
            <w:pPr>
              <w:pStyle w:val="TabletextLeft"/>
              <w:keepNext/>
              <w:rPr>
                <w:b/>
                <w:bCs/>
              </w:rPr>
            </w:pPr>
            <w:r w:rsidRPr="00392A06">
              <w:rPr>
                <w:b/>
                <w:bCs/>
              </w:rPr>
              <w:t>Staff remuneration and overheads</w:t>
            </w:r>
          </w:p>
        </w:tc>
        <w:tc>
          <w:tcPr>
            <w:tcW w:w="3781" w:type="dxa"/>
          </w:tcPr>
          <w:p w14:paraId="20D643A4" w14:textId="77777777" w:rsidR="002922F7" w:rsidRPr="00392A06" w:rsidRDefault="002922F7" w:rsidP="002922F7">
            <w:pPr>
              <w:pStyle w:val="TabletextRight"/>
              <w:keepNext/>
              <w:rPr>
                <w:b/>
                <w:bCs/>
              </w:rPr>
            </w:pPr>
            <w:r w:rsidRPr="00392A06">
              <w:rPr>
                <w:b/>
                <w:bCs/>
              </w:rPr>
              <w:t>0.001950</w:t>
            </w:r>
          </w:p>
        </w:tc>
      </w:tr>
      <w:tr w:rsidR="002922F7" w14:paraId="36E4DBDE" w14:textId="77777777" w:rsidTr="002922F7">
        <w:tc>
          <w:tcPr>
            <w:tcW w:w="5245" w:type="dxa"/>
          </w:tcPr>
          <w:p w14:paraId="747F14A2" w14:textId="77777777" w:rsidR="002922F7" w:rsidRPr="00872F09" w:rsidRDefault="002922F7" w:rsidP="002922F7">
            <w:pPr>
              <w:pStyle w:val="TabletextLeft"/>
              <w:keepNext/>
            </w:pPr>
            <w:r w:rsidRPr="00872F09">
              <w:t xml:space="preserve">Overheads and permanent </w:t>
            </w:r>
            <w:r>
              <w:t>employment rate</w:t>
            </w:r>
          </w:p>
        </w:tc>
        <w:tc>
          <w:tcPr>
            <w:tcW w:w="3781" w:type="dxa"/>
          </w:tcPr>
          <w:p w14:paraId="4A479325" w14:textId="77777777" w:rsidR="002922F7" w:rsidRPr="00872F09" w:rsidRDefault="002922F7" w:rsidP="002922F7">
            <w:pPr>
              <w:pStyle w:val="TabletextRight"/>
              <w:keepNext/>
            </w:pPr>
            <w:r w:rsidRPr="00872F09">
              <w:t>0.107493</w:t>
            </w:r>
          </w:p>
        </w:tc>
      </w:tr>
      <w:tr w:rsidR="002922F7" w14:paraId="1596A32F" w14:textId="77777777" w:rsidTr="002922F7">
        <w:tc>
          <w:tcPr>
            <w:tcW w:w="5245" w:type="dxa"/>
          </w:tcPr>
          <w:p w14:paraId="04D39CEF" w14:textId="77777777" w:rsidR="002922F7" w:rsidRPr="00872F09" w:rsidRDefault="002922F7" w:rsidP="002922F7">
            <w:pPr>
              <w:pStyle w:val="TabletextLeft"/>
              <w:keepNext/>
            </w:pPr>
            <w:r w:rsidRPr="00872F09">
              <w:t>Overheads and span of control</w:t>
            </w:r>
          </w:p>
        </w:tc>
        <w:tc>
          <w:tcPr>
            <w:tcW w:w="3781" w:type="dxa"/>
          </w:tcPr>
          <w:p w14:paraId="453822AA" w14:textId="77777777" w:rsidR="002922F7" w:rsidRPr="00872F09" w:rsidRDefault="002922F7" w:rsidP="002922F7">
            <w:pPr>
              <w:pStyle w:val="TabletextRight"/>
              <w:keepNext/>
            </w:pPr>
            <w:r w:rsidRPr="00872F09">
              <w:t>0.638572</w:t>
            </w:r>
          </w:p>
        </w:tc>
      </w:tr>
      <w:tr w:rsidR="002922F7" w14:paraId="70699B67" w14:textId="77777777" w:rsidTr="002922F7">
        <w:tc>
          <w:tcPr>
            <w:tcW w:w="5245" w:type="dxa"/>
          </w:tcPr>
          <w:p w14:paraId="4EFF0A3B" w14:textId="1494441D" w:rsidR="002922F7" w:rsidRPr="00872F09" w:rsidRDefault="002922F7" w:rsidP="002922F7">
            <w:pPr>
              <w:pStyle w:val="TabletextLeft"/>
              <w:keepNext/>
            </w:pPr>
            <w:r w:rsidRPr="00872F09">
              <w:t xml:space="preserve">Overheads and </w:t>
            </w:r>
            <w:r w:rsidR="00A6707A">
              <w:t xml:space="preserve">implied </w:t>
            </w:r>
            <w:r w:rsidRPr="00872F09">
              <w:t>margins</w:t>
            </w:r>
          </w:p>
        </w:tc>
        <w:tc>
          <w:tcPr>
            <w:tcW w:w="3781" w:type="dxa"/>
          </w:tcPr>
          <w:p w14:paraId="29385034" w14:textId="77777777" w:rsidR="002922F7" w:rsidRPr="00872F09" w:rsidRDefault="002922F7" w:rsidP="002922F7">
            <w:pPr>
              <w:pStyle w:val="TabletextRight"/>
              <w:keepNext/>
            </w:pPr>
            <w:r w:rsidRPr="00872F09">
              <w:t>0.473923</w:t>
            </w:r>
          </w:p>
        </w:tc>
      </w:tr>
      <w:tr w:rsidR="002922F7" w:rsidRPr="009C3ACB" w14:paraId="7CCEF6B7" w14:textId="77777777" w:rsidTr="002922F7">
        <w:tc>
          <w:tcPr>
            <w:tcW w:w="5245" w:type="dxa"/>
          </w:tcPr>
          <w:p w14:paraId="1E7BA752" w14:textId="77777777" w:rsidR="002922F7" w:rsidRPr="009C3ACB" w:rsidRDefault="002922F7" w:rsidP="002922F7">
            <w:pPr>
              <w:pStyle w:val="TabletextLeft"/>
              <w:keepNext/>
              <w:rPr>
                <w:b/>
                <w:bCs/>
              </w:rPr>
            </w:pPr>
            <w:r w:rsidRPr="009C3ACB">
              <w:rPr>
                <w:b/>
                <w:bCs/>
              </w:rPr>
              <w:t>Overheads and utilisation</w:t>
            </w:r>
          </w:p>
        </w:tc>
        <w:tc>
          <w:tcPr>
            <w:tcW w:w="3781" w:type="dxa"/>
          </w:tcPr>
          <w:p w14:paraId="08CEB3A8" w14:textId="77777777" w:rsidR="002922F7" w:rsidRPr="009C3ACB" w:rsidRDefault="002922F7" w:rsidP="002922F7">
            <w:pPr>
              <w:pStyle w:val="TabletextRight"/>
              <w:keepNext/>
              <w:rPr>
                <w:b/>
                <w:bCs/>
              </w:rPr>
            </w:pPr>
            <w:r w:rsidRPr="009C3ACB">
              <w:rPr>
                <w:b/>
                <w:bCs/>
              </w:rPr>
              <w:t>0.032702</w:t>
            </w:r>
          </w:p>
        </w:tc>
      </w:tr>
      <w:tr w:rsidR="002922F7" w14:paraId="70C1CA2B" w14:textId="77777777" w:rsidTr="002922F7">
        <w:tc>
          <w:tcPr>
            <w:tcW w:w="5245" w:type="dxa"/>
          </w:tcPr>
          <w:p w14:paraId="2ADBBDA6" w14:textId="77777777" w:rsidR="002922F7" w:rsidRPr="00872F09" w:rsidRDefault="002922F7" w:rsidP="002922F7">
            <w:pPr>
              <w:pStyle w:val="TabletextLeft"/>
              <w:keepNext/>
            </w:pPr>
            <w:r w:rsidRPr="00872F09">
              <w:t xml:space="preserve">Utilisation and permanent </w:t>
            </w:r>
            <w:r>
              <w:t>employment rate</w:t>
            </w:r>
          </w:p>
        </w:tc>
        <w:tc>
          <w:tcPr>
            <w:tcW w:w="3781" w:type="dxa"/>
          </w:tcPr>
          <w:p w14:paraId="4B0743D3" w14:textId="77777777" w:rsidR="002922F7" w:rsidRPr="00872F09" w:rsidRDefault="002922F7" w:rsidP="002922F7">
            <w:pPr>
              <w:pStyle w:val="TabletextRight"/>
              <w:keepNext/>
            </w:pPr>
            <w:r w:rsidRPr="00872F09">
              <w:t>0.859356</w:t>
            </w:r>
          </w:p>
        </w:tc>
      </w:tr>
      <w:tr w:rsidR="002922F7" w14:paraId="76C35A88" w14:textId="77777777" w:rsidTr="002922F7">
        <w:tc>
          <w:tcPr>
            <w:tcW w:w="5245" w:type="dxa"/>
          </w:tcPr>
          <w:p w14:paraId="5575CFA0" w14:textId="77777777" w:rsidR="002922F7" w:rsidRPr="00392A06" w:rsidRDefault="002922F7" w:rsidP="002922F7">
            <w:pPr>
              <w:pStyle w:val="TabletextLeft"/>
              <w:keepNext/>
              <w:rPr>
                <w:b/>
                <w:bCs/>
              </w:rPr>
            </w:pPr>
            <w:r w:rsidRPr="00392A06">
              <w:rPr>
                <w:b/>
                <w:bCs/>
              </w:rPr>
              <w:t>Utilisation and span of control</w:t>
            </w:r>
          </w:p>
        </w:tc>
        <w:tc>
          <w:tcPr>
            <w:tcW w:w="3781" w:type="dxa"/>
          </w:tcPr>
          <w:p w14:paraId="23AB1EA5" w14:textId="77777777" w:rsidR="002922F7" w:rsidRPr="00392A06" w:rsidRDefault="002922F7" w:rsidP="002922F7">
            <w:pPr>
              <w:pStyle w:val="TabletextRight"/>
              <w:keepNext/>
              <w:rPr>
                <w:b/>
                <w:bCs/>
              </w:rPr>
            </w:pPr>
            <w:r w:rsidRPr="00392A06">
              <w:rPr>
                <w:b/>
                <w:bCs/>
              </w:rPr>
              <w:t>0.000047</w:t>
            </w:r>
          </w:p>
        </w:tc>
      </w:tr>
      <w:tr w:rsidR="002922F7" w14:paraId="3FAF17D3" w14:textId="77777777" w:rsidTr="002922F7">
        <w:tc>
          <w:tcPr>
            <w:tcW w:w="5245" w:type="dxa"/>
          </w:tcPr>
          <w:p w14:paraId="3F751542" w14:textId="0937272A" w:rsidR="002922F7" w:rsidRPr="00872F09" w:rsidRDefault="002922F7" w:rsidP="002922F7">
            <w:pPr>
              <w:pStyle w:val="TabletextLeft"/>
              <w:keepNext/>
            </w:pPr>
            <w:r w:rsidRPr="00872F09">
              <w:t xml:space="preserve">Utilisation and </w:t>
            </w:r>
            <w:r w:rsidR="00A6707A">
              <w:t xml:space="preserve">implied </w:t>
            </w:r>
            <w:r w:rsidRPr="00872F09">
              <w:t>margins</w:t>
            </w:r>
          </w:p>
        </w:tc>
        <w:tc>
          <w:tcPr>
            <w:tcW w:w="3781" w:type="dxa"/>
          </w:tcPr>
          <w:p w14:paraId="09BD5694" w14:textId="77777777" w:rsidR="002922F7" w:rsidRPr="00872F09" w:rsidRDefault="002922F7" w:rsidP="002922F7">
            <w:pPr>
              <w:pStyle w:val="TabletextRight"/>
              <w:keepNext/>
            </w:pPr>
            <w:r w:rsidRPr="00872F09">
              <w:t>0.274334</w:t>
            </w:r>
          </w:p>
        </w:tc>
      </w:tr>
      <w:tr w:rsidR="002922F7" w:rsidRPr="00392A06" w14:paraId="469843BD" w14:textId="77777777" w:rsidTr="002922F7">
        <w:tc>
          <w:tcPr>
            <w:tcW w:w="5245" w:type="dxa"/>
          </w:tcPr>
          <w:p w14:paraId="3B31CC00" w14:textId="39F0AC11" w:rsidR="002922F7" w:rsidRPr="00392A06" w:rsidRDefault="002922F7" w:rsidP="002922F7">
            <w:pPr>
              <w:pStyle w:val="TabletextLeft"/>
              <w:keepNext/>
              <w:rPr>
                <w:b/>
                <w:bCs/>
              </w:rPr>
            </w:pPr>
            <w:r w:rsidRPr="00392A06">
              <w:rPr>
                <w:b/>
                <w:bCs/>
              </w:rPr>
              <w:t xml:space="preserve">Permanent employment rate and </w:t>
            </w:r>
            <w:r w:rsidR="00A6707A">
              <w:rPr>
                <w:b/>
                <w:bCs/>
              </w:rPr>
              <w:t xml:space="preserve">implied </w:t>
            </w:r>
            <w:r w:rsidRPr="00392A06">
              <w:rPr>
                <w:b/>
                <w:bCs/>
              </w:rPr>
              <w:t>margins</w:t>
            </w:r>
          </w:p>
        </w:tc>
        <w:tc>
          <w:tcPr>
            <w:tcW w:w="3781" w:type="dxa"/>
          </w:tcPr>
          <w:p w14:paraId="006BE762" w14:textId="77777777" w:rsidR="002922F7" w:rsidRPr="00392A06" w:rsidRDefault="002922F7" w:rsidP="002922F7">
            <w:pPr>
              <w:pStyle w:val="TabletextRight"/>
              <w:keepNext/>
              <w:rPr>
                <w:b/>
                <w:bCs/>
              </w:rPr>
            </w:pPr>
            <w:r w:rsidRPr="00392A06">
              <w:rPr>
                <w:b/>
                <w:bCs/>
              </w:rPr>
              <w:t>0.002341</w:t>
            </w:r>
          </w:p>
        </w:tc>
      </w:tr>
      <w:tr w:rsidR="002922F7" w:rsidRPr="00392A06" w14:paraId="3936F239" w14:textId="77777777" w:rsidTr="002922F7">
        <w:tc>
          <w:tcPr>
            <w:tcW w:w="5245" w:type="dxa"/>
          </w:tcPr>
          <w:p w14:paraId="5A6B78C9" w14:textId="77777777" w:rsidR="002922F7" w:rsidRPr="00392A06" w:rsidRDefault="002922F7" w:rsidP="002922F7">
            <w:pPr>
              <w:pStyle w:val="TabletextLeft"/>
              <w:keepNext/>
              <w:rPr>
                <w:b/>
                <w:bCs/>
              </w:rPr>
            </w:pPr>
            <w:r w:rsidRPr="00392A06">
              <w:rPr>
                <w:b/>
                <w:bCs/>
              </w:rPr>
              <w:t>Permanent employment rate and span of control</w:t>
            </w:r>
          </w:p>
        </w:tc>
        <w:tc>
          <w:tcPr>
            <w:tcW w:w="3781" w:type="dxa"/>
          </w:tcPr>
          <w:p w14:paraId="68059521" w14:textId="77777777" w:rsidR="002922F7" w:rsidRPr="00392A06" w:rsidRDefault="002922F7" w:rsidP="002922F7">
            <w:pPr>
              <w:pStyle w:val="TabletextRight"/>
              <w:keepNext/>
              <w:rPr>
                <w:b/>
                <w:bCs/>
              </w:rPr>
            </w:pPr>
            <w:r w:rsidRPr="00392A06">
              <w:rPr>
                <w:b/>
                <w:bCs/>
              </w:rPr>
              <w:t>0.000007</w:t>
            </w:r>
          </w:p>
        </w:tc>
      </w:tr>
      <w:tr w:rsidR="002922F7" w14:paraId="6D780A56" w14:textId="77777777" w:rsidTr="002922F7">
        <w:tc>
          <w:tcPr>
            <w:tcW w:w="5245" w:type="dxa"/>
          </w:tcPr>
          <w:p w14:paraId="0BF74961" w14:textId="0CE7B443" w:rsidR="002922F7" w:rsidRPr="00872F09" w:rsidRDefault="00A6707A" w:rsidP="002922F7">
            <w:pPr>
              <w:pStyle w:val="TabletextLeft"/>
              <w:keepNext/>
            </w:pPr>
            <w:r>
              <w:t>Implied m</w:t>
            </w:r>
            <w:r w:rsidR="002922F7" w:rsidRPr="00872F09">
              <w:t>argins and span of control</w:t>
            </w:r>
          </w:p>
        </w:tc>
        <w:tc>
          <w:tcPr>
            <w:tcW w:w="3781" w:type="dxa"/>
          </w:tcPr>
          <w:p w14:paraId="28C6CB75" w14:textId="77777777" w:rsidR="002922F7" w:rsidRPr="00872F09" w:rsidRDefault="002922F7" w:rsidP="002922F7">
            <w:pPr>
              <w:pStyle w:val="TabletextRight"/>
              <w:keepNext/>
            </w:pPr>
            <w:r w:rsidRPr="00872F09">
              <w:t>0.067148</w:t>
            </w:r>
          </w:p>
        </w:tc>
      </w:tr>
    </w:tbl>
    <w:p w14:paraId="31318658" w14:textId="77777777" w:rsidR="002922F7" w:rsidRDefault="002922F7" w:rsidP="002922F7">
      <w:pPr>
        <w:pStyle w:val="Source"/>
      </w:pPr>
      <w:r>
        <w:t>Source: Deloitte Access Economics analysis.</w:t>
      </w:r>
    </w:p>
    <w:p w14:paraId="53FBB69C" w14:textId="77777777" w:rsidR="002922F7" w:rsidRDefault="002922F7" w:rsidP="002922F7">
      <w:r>
        <w:t>The cross</w:t>
      </w:r>
      <w:r>
        <w:noBreakHyphen/>
        <w:t xml:space="preserve">tabulations also provide an estimated expected frequency distribution, which was calculated based on the assumption that cell distributions within row and column levels were independently distributed. The difference between these observed and expected frequencies was then used as a basis for conducting </w:t>
      </w:r>
      <w:r w:rsidRPr="001F26A1">
        <w:rPr>
          <w:b/>
          <w:bCs/>
        </w:rPr>
        <w:t>post</w:t>
      </w:r>
      <w:r w:rsidRPr="001F26A1">
        <w:rPr>
          <w:b/>
          <w:bCs/>
        </w:rPr>
        <w:noBreakHyphen/>
        <w:t>hoc chi squared analysis</w:t>
      </w:r>
      <w:r>
        <w:t xml:space="preserve">, which examined whether cells are independently distributed or whether there are significant statistical relationships between pairs of variables (for example, whether a provider who has </w:t>
      </w:r>
      <w:r w:rsidRPr="001F26A1">
        <w:rPr>
          <w:i/>
          <w:iCs/>
        </w:rPr>
        <w:t>utilisation</w:t>
      </w:r>
      <w:r>
        <w:t xml:space="preserve"> in the lowest quartile is also more likely to record </w:t>
      </w:r>
      <w:r w:rsidRPr="001F26A1">
        <w:rPr>
          <w:i/>
          <w:iCs/>
        </w:rPr>
        <w:t>span of control</w:t>
      </w:r>
      <w:r>
        <w:t xml:space="preserve"> within the lowest quartile). </w:t>
      </w:r>
    </w:p>
    <w:p w14:paraId="7A9953F0" w14:textId="3570F9E3" w:rsidR="002922F7" w:rsidRDefault="002922F7" w:rsidP="002922F7">
      <w:r>
        <w:t>Where p</w:t>
      </w:r>
      <w:r>
        <w:noBreakHyphen/>
        <w:t>values were lower than 0.003125</w:t>
      </w:r>
      <w:r>
        <w:rPr>
          <w:rStyle w:val="FootnoteReference"/>
        </w:rPr>
        <w:footnoteReference w:id="24"/>
      </w:r>
      <w:r>
        <w:t xml:space="preserve">, it was concluded that cell distributions were statistically related in a systematic manner. The results of these tests are provided in </w:t>
      </w:r>
      <w:r>
        <w:fldChar w:fldCharType="begin"/>
      </w:r>
      <w:r>
        <w:instrText xml:space="preserve"> REF _Ref38547697 \r \h </w:instrText>
      </w:r>
      <w:r>
        <w:fldChar w:fldCharType="separate"/>
      </w:r>
      <w:r w:rsidR="00283637">
        <w:t>Appendix D</w:t>
      </w:r>
      <w:r>
        <w:fldChar w:fldCharType="end"/>
      </w:r>
      <w:r>
        <w:t>. Based on this analysis, it was found that:</w:t>
      </w:r>
    </w:p>
    <w:p w14:paraId="67361326" w14:textId="2FFB2FAE" w:rsidR="002922F7" w:rsidRDefault="002922F7" w:rsidP="00400621">
      <w:pPr>
        <w:pStyle w:val="ListBullet"/>
        <w:numPr>
          <w:ilvl w:val="0"/>
          <w:numId w:val="13"/>
        </w:numPr>
      </w:pPr>
      <w:r>
        <w:t xml:space="preserve">Providers who reported </w:t>
      </w:r>
      <w:r>
        <w:rPr>
          <w:i/>
          <w:iCs/>
        </w:rPr>
        <w:t>utilisation</w:t>
      </w:r>
      <w:r>
        <w:t xml:space="preserve"> in the third quartile (above the median) were also statistically less likely to report </w:t>
      </w:r>
      <w:r>
        <w:rPr>
          <w:i/>
          <w:iCs/>
        </w:rPr>
        <w:t>overheads</w:t>
      </w:r>
      <w:r>
        <w:t xml:space="preserve"> in the second quartile (below the median). This suggests that providers with </w:t>
      </w:r>
      <w:r w:rsidRPr="00F27382">
        <w:rPr>
          <w:i/>
          <w:iCs/>
        </w:rPr>
        <w:t>utilisation</w:t>
      </w:r>
      <w:r>
        <w:t xml:space="preserve"> </w:t>
      </w:r>
      <w:r w:rsidR="0099509D">
        <w:t xml:space="preserve">above </w:t>
      </w:r>
      <w:r>
        <w:t xml:space="preserve">the median are also more likely to report </w:t>
      </w:r>
      <w:r w:rsidRPr="00F27382">
        <w:rPr>
          <w:i/>
          <w:iCs/>
        </w:rPr>
        <w:t>overheads</w:t>
      </w:r>
      <w:r>
        <w:t xml:space="preserve"> above the median.</w:t>
      </w:r>
    </w:p>
    <w:p w14:paraId="2089877A" w14:textId="77777777" w:rsidR="002922F7" w:rsidRDefault="002922F7" w:rsidP="00400621">
      <w:pPr>
        <w:pStyle w:val="ListBullet"/>
        <w:numPr>
          <w:ilvl w:val="0"/>
          <w:numId w:val="13"/>
        </w:numPr>
      </w:pPr>
      <w:r>
        <w:t xml:space="preserve">Providers who reported </w:t>
      </w:r>
      <w:r>
        <w:rPr>
          <w:i/>
          <w:iCs/>
        </w:rPr>
        <w:t>utilisation</w:t>
      </w:r>
      <w:r>
        <w:t xml:space="preserve"> in the first quartile (lowest) were also statistically more likely to report a </w:t>
      </w:r>
      <w:r>
        <w:rPr>
          <w:i/>
          <w:iCs/>
        </w:rPr>
        <w:t>span of control</w:t>
      </w:r>
      <w:r>
        <w:t xml:space="preserve"> in the first quartile (lowest), suggesting that utilisation decreases as the relative number of supervisors increases.</w:t>
      </w:r>
    </w:p>
    <w:p w14:paraId="571F11A9" w14:textId="77777777" w:rsidR="002922F7" w:rsidRDefault="002922F7" w:rsidP="00400621">
      <w:pPr>
        <w:pStyle w:val="ListBullet"/>
        <w:numPr>
          <w:ilvl w:val="0"/>
          <w:numId w:val="13"/>
        </w:numPr>
      </w:pPr>
      <w:r>
        <w:t xml:space="preserve">There was a statistically significant relationship found between </w:t>
      </w:r>
      <w:r>
        <w:rPr>
          <w:i/>
          <w:iCs/>
        </w:rPr>
        <w:t>span of control</w:t>
      </w:r>
      <w:r>
        <w:t xml:space="preserve"> and </w:t>
      </w:r>
      <w:r>
        <w:rPr>
          <w:i/>
          <w:iCs/>
        </w:rPr>
        <w:t>permanent employment rate</w:t>
      </w:r>
      <w:r>
        <w:t xml:space="preserve">, however the overall direction of this relationship was unclear. Providers who reported a </w:t>
      </w:r>
      <w:r>
        <w:rPr>
          <w:i/>
          <w:iCs/>
        </w:rPr>
        <w:t>permanent employment rate</w:t>
      </w:r>
      <w:r>
        <w:t xml:space="preserve"> in the first quartile were less likely to report a </w:t>
      </w:r>
      <w:r>
        <w:rPr>
          <w:i/>
          <w:iCs/>
        </w:rPr>
        <w:t>span of control</w:t>
      </w:r>
      <w:r>
        <w:t xml:space="preserve"> in the second quartile and more likely to report a </w:t>
      </w:r>
      <w:r>
        <w:rPr>
          <w:i/>
          <w:iCs/>
        </w:rPr>
        <w:t>span of control</w:t>
      </w:r>
      <w:r>
        <w:t xml:space="preserve"> in the fourth quartile. </w:t>
      </w:r>
      <w:r>
        <w:lastRenderedPageBreak/>
        <w:t xml:space="preserve">However, providers who reported a </w:t>
      </w:r>
      <w:r>
        <w:rPr>
          <w:i/>
          <w:iCs/>
        </w:rPr>
        <w:t>permanent employment rate</w:t>
      </w:r>
      <w:r>
        <w:t xml:space="preserve"> in the second quartile demonstrated the opposite association – more likely to </w:t>
      </w:r>
      <w:r>
        <w:rPr>
          <w:i/>
          <w:iCs/>
        </w:rPr>
        <w:t>report a span of control</w:t>
      </w:r>
      <w:r>
        <w:t xml:space="preserve"> in the second quartile, and less likely to report a </w:t>
      </w:r>
      <w:r>
        <w:rPr>
          <w:i/>
          <w:iCs/>
        </w:rPr>
        <w:t>span of control</w:t>
      </w:r>
      <w:r>
        <w:t xml:space="preserve"> in the fourth quartile.</w:t>
      </w:r>
    </w:p>
    <w:p w14:paraId="5DF55F07" w14:textId="77777777" w:rsidR="002922F7" w:rsidRDefault="002922F7" w:rsidP="00400621">
      <w:pPr>
        <w:pStyle w:val="ListBullet"/>
        <w:numPr>
          <w:ilvl w:val="0"/>
          <w:numId w:val="13"/>
        </w:numPr>
      </w:pPr>
      <w:r>
        <w:t xml:space="preserve">Providers who reported </w:t>
      </w:r>
      <w:r>
        <w:rPr>
          <w:i/>
          <w:iCs/>
        </w:rPr>
        <w:t>staff remuneration</w:t>
      </w:r>
      <w:r>
        <w:t xml:space="preserve"> in the fourth quartile (highest) were statistically more likely to report </w:t>
      </w:r>
      <w:r w:rsidRPr="00392A06">
        <w:rPr>
          <w:i/>
          <w:iCs/>
        </w:rPr>
        <w:t>overheads</w:t>
      </w:r>
      <w:r>
        <w:t xml:space="preserve"> in the first quartile (lowest). This suggests that providers with the highest paid staff are also more likely to have the lowest overheads. This may be because higher staff remuneration costs increase direct costs, and so overheads as a share of direct costs are therefore smaller.</w:t>
      </w:r>
    </w:p>
    <w:p w14:paraId="294B7932" w14:textId="77777777" w:rsidR="002922F7" w:rsidRDefault="002922F7" w:rsidP="00400621">
      <w:pPr>
        <w:pStyle w:val="ListBullet"/>
        <w:numPr>
          <w:ilvl w:val="0"/>
          <w:numId w:val="13"/>
        </w:numPr>
      </w:pPr>
      <w:r>
        <w:t xml:space="preserve">Providers who reported </w:t>
      </w:r>
      <w:r w:rsidRPr="00392A06">
        <w:rPr>
          <w:i/>
          <w:iCs/>
        </w:rPr>
        <w:t>staff remuneration</w:t>
      </w:r>
      <w:r>
        <w:t xml:space="preserve"> in the second quartile (below the median) were statistically less likely to report </w:t>
      </w:r>
      <w:r w:rsidRPr="00392A06">
        <w:rPr>
          <w:i/>
          <w:iCs/>
        </w:rPr>
        <w:t>utilisation</w:t>
      </w:r>
      <w:r>
        <w:t xml:space="preserve"> in the second quartile (also below the median). This may be due to the lower utilisation rates among supervisors (who are paid relatively more compared to front-line staff), when compared to front-line staff.</w:t>
      </w:r>
    </w:p>
    <w:p w14:paraId="4F752AFC" w14:textId="77777777" w:rsidR="002922F7" w:rsidRDefault="002922F7" w:rsidP="00400621">
      <w:pPr>
        <w:pStyle w:val="ListBullet"/>
        <w:numPr>
          <w:ilvl w:val="0"/>
          <w:numId w:val="13"/>
        </w:numPr>
      </w:pPr>
      <w:r>
        <w:t xml:space="preserve">Providers </w:t>
      </w:r>
      <w:r w:rsidRPr="00392A06">
        <w:t>who reported</w:t>
      </w:r>
      <w:r>
        <w:t xml:space="preserve"> </w:t>
      </w:r>
      <w:r>
        <w:rPr>
          <w:i/>
          <w:iCs/>
        </w:rPr>
        <w:t>staff remuneration</w:t>
      </w:r>
      <w:r>
        <w:t xml:space="preserve"> in the fourth quartile (highest) were statistically more likely to report a </w:t>
      </w:r>
      <w:r>
        <w:rPr>
          <w:i/>
          <w:iCs/>
        </w:rPr>
        <w:t>span of control</w:t>
      </w:r>
      <w:r>
        <w:t xml:space="preserve"> in the first quartile (lowest) and less likely to report a </w:t>
      </w:r>
      <w:r>
        <w:rPr>
          <w:i/>
          <w:iCs/>
        </w:rPr>
        <w:t>span of control</w:t>
      </w:r>
      <w:r>
        <w:t xml:space="preserve"> in the fourth quartile (highest). Further, providers who reported </w:t>
      </w:r>
      <w:r>
        <w:rPr>
          <w:i/>
          <w:iCs/>
        </w:rPr>
        <w:t xml:space="preserve">staff remuneration </w:t>
      </w:r>
      <w:r>
        <w:t xml:space="preserve">in the second quartile (below the median) were statistically less likely to report a </w:t>
      </w:r>
      <w:r>
        <w:rPr>
          <w:i/>
          <w:iCs/>
        </w:rPr>
        <w:t>span of control</w:t>
      </w:r>
      <w:r>
        <w:t xml:space="preserve"> in the first quartile (lowest); and providers who reported </w:t>
      </w:r>
      <w:r>
        <w:rPr>
          <w:i/>
          <w:iCs/>
        </w:rPr>
        <w:t>staff remuneration</w:t>
      </w:r>
      <w:r>
        <w:t xml:space="preserve"> in the first quartile (lowest) were statistically more likely to report a </w:t>
      </w:r>
      <w:r>
        <w:rPr>
          <w:i/>
          <w:iCs/>
        </w:rPr>
        <w:t>span of control</w:t>
      </w:r>
      <w:r>
        <w:t xml:space="preserve"> in the fourth quartile (highest). These results are all consistent, and simply reflect as the number of supervisors increase, staff costs increase as well.</w:t>
      </w:r>
    </w:p>
    <w:p w14:paraId="5CFEEBBF" w14:textId="77777777" w:rsidR="002922F7" w:rsidRPr="00F27382" w:rsidRDefault="002922F7" w:rsidP="00400621">
      <w:pPr>
        <w:pStyle w:val="ListBullet"/>
        <w:numPr>
          <w:ilvl w:val="0"/>
          <w:numId w:val="13"/>
        </w:numPr>
      </w:pPr>
      <w:r>
        <w:t xml:space="preserve">Providers who reported </w:t>
      </w:r>
      <w:r>
        <w:rPr>
          <w:i/>
          <w:iCs/>
        </w:rPr>
        <w:t>overheads</w:t>
      </w:r>
      <w:r>
        <w:t xml:space="preserve"> in the first quartile (lowest) were also statistically less likely (at the 10% significance level, although not at the 5% significance level) to report a </w:t>
      </w:r>
      <w:r>
        <w:rPr>
          <w:i/>
          <w:iCs/>
        </w:rPr>
        <w:t>permanent employment rate</w:t>
      </w:r>
      <w:r>
        <w:t xml:space="preserve"> in the third quartile (above the median). This finding suggests that the lowest </w:t>
      </w:r>
      <w:r>
        <w:rPr>
          <w:i/>
          <w:iCs/>
        </w:rPr>
        <w:t>overheads</w:t>
      </w:r>
      <w:r>
        <w:t xml:space="preserve"> are more likely to be reported for providers with a </w:t>
      </w:r>
      <w:r>
        <w:rPr>
          <w:i/>
          <w:iCs/>
        </w:rPr>
        <w:t>permanent employment rate</w:t>
      </w:r>
      <w:r>
        <w:t xml:space="preserve"> below the median.</w:t>
      </w:r>
    </w:p>
    <w:p w14:paraId="3AA6F54C" w14:textId="77777777" w:rsidR="002922F7" w:rsidRDefault="002922F7" w:rsidP="002922F7">
      <w:pPr>
        <w:pStyle w:val="Heading2"/>
      </w:pPr>
      <w:bookmarkStart w:id="260" w:name="_Toc40454658"/>
      <w:r>
        <w:t>Regression analysis</w:t>
      </w:r>
      <w:bookmarkEnd w:id="260"/>
    </w:p>
    <w:p w14:paraId="321D4891" w14:textId="1356D7A0" w:rsidR="002922F7" w:rsidRDefault="002922F7" w:rsidP="002922F7">
      <w:r>
        <w:t>Regression analysis was conducted to estimate how and whether variation in one variable can be explained as a function of other variables. The explanatory variables were transformed into quartiles using the approach set out in</w:t>
      </w:r>
      <w:r w:rsidRPr="00E62D7B">
        <w:t xml:space="preserve"> </w:t>
      </w:r>
      <w:r>
        <w:t xml:space="preserve">section </w:t>
      </w:r>
      <w:r>
        <w:fldChar w:fldCharType="begin"/>
      </w:r>
      <w:r>
        <w:instrText xml:space="preserve"> REF _Ref38629851 \r \h </w:instrText>
      </w:r>
      <w:r>
        <w:fldChar w:fldCharType="separate"/>
      </w:r>
      <w:r w:rsidR="00283637">
        <w:t>4.2</w:t>
      </w:r>
      <w:r>
        <w:fldChar w:fldCharType="end"/>
      </w:r>
      <w:r w:rsidR="00C23E36">
        <w:t>.</w:t>
      </w:r>
      <w:r>
        <w:t xml:space="preserve"> To conduct the regression analysis, dummy dependent variables were used for the following two specifications:</w:t>
      </w:r>
    </w:p>
    <w:p w14:paraId="2875A1FE" w14:textId="77777777" w:rsidR="002922F7" w:rsidRDefault="002922F7" w:rsidP="00400621">
      <w:pPr>
        <w:pStyle w:val="ListBullet"/>
        <w:numPr>
          <w:ilvl w:val="0"/>
          <w:numId w:val="13"/>
        </w:numPr>
      </w:pPr>
      <w:r>
        <w:t>In the first specification, a value of 1 was assigned to survey results in the lowest (first) quartile and a value of 0 was assigned if the survey results were not in the lowest quartile (quartiles 2, 3 and 4).</w:t>
      </w:r>
    </w:p>
    <w:p w14:paraId="43D45368" w14:textId="77777777" w:rsidR="002922F7" w:rsidRDefault="002922F7" w:rsidP="00400621">
      <w:pPr>
        <w:pStyle w:val="ListBullet"/>
        <w:numPr>
          <w:ilvl w:val="0"/>
          <w:numId w:val="13"/>
        </w:numPr>
      </w:pPr>
      <w:r>
        <w:t>In the second specification, a value of 1 was assigned to survey results in the highest (fourth) quartile and a value of 0 was assigned if the survey results were not in the highest quartile (quartiles 1, 2 and 3).</w:t>
      </w:r>
    </w:p>
    <w:p w14:paraId="43909738" w14:textId="77777777" w:rsidR="002922F7" w:rsidRDefault="002922F7" w:rsidP="002922F7">
      <w:r>
        <w:t>Additional explanatory variables were incorporated to this analysis, including the award type (given a value of 1 if the provider reported using SCHADS, or 2 otherwise), direct costs (specified as quartiles), and the number of staff (the sum of both permanent and casual employees, specified as quartiles)</w:t>
      </w:r>
      <w:r>
        <w:rPr>
          <w:rStyle w:val="FootnoteReference"/>
        </w:rPr>
        <w:footnoteReference w:id="25"/>
      </w:r>
      <w:r>
        <w:t>.</w:t>
      </w:r>
    </w:p>
    <w:p w14:paraId="1D062267" w14:textId="0F19F800" w:rsidR="002922F7" w:rsidRDefault="002922F7" w:rsidP="002922F7">
      <w:r>
        <w:t xml:space="preserve">An example of the baseline regression specification utilised is provided below, for the example of </w:t>
      </w:r>
      <w:r>
        <w:rPr>
          <w:i/>
          <w:iCs/>
        </w:rPr>
        <w:t>overheads</w:t>
      </w:r>
      <w:r>
        <w:t>:</w:t>
      </w:r>
    </w:p>
    <w:p w14:paraId="79495694" w14:textId="40CAC904" w:rsidR="0099509D" w:rsidRPr="0099509D" w:rsidRDefault="0099509D" w:rsidP="002922F7">
      <w:pPr>
        <w:rPr>
          <w:rFonts w:eastAsiaTheme="minorEastAsia"/>
        </w:rPr>
      </w:pPr>
      <m:oMathPara>
        <m:oMathParaPr>
          <m:jc m:val="left"/>
        </m:oMathParaPr>
        <m:oMath>
          <m:r>
            <w:rPr>
              <w:rFonts w:ascii="Cambria Math" w:hAnsi="Cambria Math"/>
            </w:rPr>
            <m:t>Overhead</m:t>
          </m:r>
          <m:sSub>
            <m:sSubPr>
              <m:ctrlPr>
                <w:rPr>
                  <w:rFonts w:ascii="Cambria Math" w:hAnsi="Cambria Math"/>
                  <w:i/>
                </w:rPr>
              </m:ctrlPr>
            </m:sSubPr>
            <m:e>
              <m:r>
                <w:rPr>
                  <w:rFonts w:ascii="Cambria Math" w:hAnsi="Cambria Math"/>
                </w:rPr>
                <m:t>s</m:t>
              </m:r>
            </m:e>
            <m:sub>
              <m:r>
                <w:rPr>
                  <w:rFonts w:ascii="Cambria Math" w:hAnsi="Cambria Math"/>
                </w:rPr>
                <m:t>Q1</m:t>
              </m:r>
            </m:sub>
          </m:sSub>
          <m:r>
            <w:rPr>
              <w:rFonts w:ascii="Cambria Math" w:hAnsi="Cambria Math"/>
            </w:rPr>
            <m:t>=c+</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Utilisation+</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Staff Remuneration+</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Implied margins+</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Award type+</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Permanent employment rate+</m:t>
          </m:r>
          <m:sSub>
            <m:sSubPr>
              <m:ctrlPr>
                <w:rPr>
                  <w:rFonts w:ascii="Cambria Math" w:hAnsi="Cambria Math"/>
                  <w:i/>
                </w:rPr>
              </m:ctrlPr>
            </m:sSubPr>
            <m:e>
              <m:r>
                <w:rPr>
                  <w:rFonts w:ascii="Cambria Math" w:hAnsi="Cambria Math"/>
                </w:rPr>
                <m:t>β</m:t>
              </m:r>
            </m:e>
            <m:sub>
              <m:r>
                <w:rPr>
                  <w:rFonts w:ascii="Cambria Math" w:hAnsi="Cambria Math"/>
                </w:rPr>
                <m:t>6</m:t>
              </m:r>
            </m:sub>
          </m:sSub>
          <m:r>
            <w:rPr>
              <w:rFonts w:ascii="Cambria Math" w:hAnsi="Cambria Math"/>
            </w:rPr>
            <m:t>Direct costs+</m:t>
          </m:r>
          <m:sSub>
            <m:sSubPr>
              <m:ctrlPr>
                <w:rPr>
                  <w:rFonts w:ascii="Cambria Math" w:hAnsi="Cambria Math"/>
                  <w:i/>
                </w:rPr>
              </m:ctrlPr>
            </m:sSubPr>
            <m:e>
              <m:r>
                <w:rPr>
                  <w:rFonts w:ascii="Cambria Math" w:hAnsi="Cambria Math"/>
                </w:rPr>
                <m:t>β</m:t>
              </m:r>
            </m:e>
            <m:sub>
              <m:r>
                <w:rPr>
                  <w:rFonts w:ascii="Cambria Math" w:hAnsi="Cambria Math"/>
                </w:rPr>
                <m:t>7</m:t>
              </m:r>
            </m:sub>
          </m:sSub>
          <m:r>
            <w:rPr>
              <w:rFonts w:ascii="Cambria Math" w:hAnsi="Cambria Math"/>
            </w:rPr>
            <m:t>Staff numbers+ϵ</m:t>
          </m:r>
        </m:oMath>
      </m:oMathPara>
    </w:p>
    <w:p w14:paraId="60E4410E" w14:textId="31A186B3" w:rsidR="0099509D" w:rsidRPr="00632F62" w:rsidRDefault="0099509D" w:rsidP="0099509D">
      <m:oMathPara>
        <m:oMathParaPr>
          <m:jc m:val="left"/>
        </m:oMathParaPr>
        <m:oMath>
          <m:r>
            <w:rPr>
              <w:rFonts w:ascii="Cambria Math" w:hAnsi="Cambria Math"/>
            </w:rPr>
            <m:t>Overhead</m:t>
          </m:r>
          <m:sSub>
            <m:sSubPr>
              <m:ctrlPr>
                <w:rPr>
                  <w:rFonts w:ascii="Cambria Math" w:hAnsi="Cambria Math"/>
                  <w:i/>
                </w:rPr>
              </m:ctrlPr>
            </m:sSubPr>
            <m:e>
              <m:r>
                <w:rPr>
                  <w:rFonts w:ascii="Cambria Math" w:hAnsi="Cambria Math"/>
                </w:rPr>
                <m:t>s</m:t>
              </m:r>
            </m:e>
            <m:sub>
              <m:r>
                <w:rPr>
                  <w:rFonts w:ascii="Cambria Math" w:hAnsi="Cambria Math"/>
                </w:rPr>
                <m:t>Q4</m:t>
              </m:r>
            </m:sub>
          </m:sSub>
          <m:r>
            <w:rPr>
              <w:rFonts w:ascii="Cambria Math" w:hAnsi="Cambria Math"/>
            </w:rPr>
            <m:t>=c+</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Utilisation+</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Staff Remuneration+</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Implied margins+</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Award type+</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Permanent employment rate+</m:t>
          </m:r>
          <m:sSub>
            <m:sSubPr>
              <m:ctrlPr>
                <w:rPr>
                  <w:rFonts w:ascii="Cambria Math" w:hAnsi="Cambria Math"/>
                  <w:i/>
                </w:rPr>
              </m:ctrlPr>
            </m:sSubPr>
            <m:e>
              <m:r>
                <w:rPr>
                  <w:rFonts w:ascii="Cambria Math" w:hAnsi="Cambria Math"/>
                </w:rPr>
                <m:t>β</m:t>
              </m:r>
            </m:e>
            <m:sub>
              <m:r>
                <w:rPr>
                  <w:rFonts w:ascii="Cambria Math" w:hAnsi="Cambria Math"/>
                </w:rPr>
                <m:t>6</m:t>
              </m:r>
            </m:sub>
          </m:sSub>
          <m:r>
            <w:rPr>
              <w:rFonts w:ascii="Cambria Math" w:hAnsi="Cambria Math"/>
            </w:rPr>
            <m:t>Direct costs+</m:t>
          </m:r>
          <m:sSub>
            <m:sSubPr>
              <m:ctrlPr>
                <w:rPr>
                  <w:rFonts w:ascii="Cambria Math" w:hAnsi="Cambria Math"/>
                  <w:i/>
                </w:rPr>
              </m:ctrlPr>
            </m:sSubPr>
            <m:e>
              <m:r>
                <w:rPr>
                  <w:rFonts w:ascii="Cambria Math" w:hAnsi="Cambria Math"/>
                </w:rPr>
                <m:t>β</m:t>
              </m:r>
            </m:e>
            <m:sub>
              <m:r>
                <w:rPr>
                  <w:rFonts w:ascii="Cambria Math" w:hAnsi="Cambria Math"/>
                </w:rPr>
                <m:t>7</m:t>
              </m:r>
            </m:sub>
          </m:sSub>
          <m:r>
            <w:rPr>
              <w:rFonts w:ascii="Cambria Math" w:hAnsi="Cambria Math"/>
            </w:rPr>
            <m:t>Staff numbers+ϵ</m:t>
          </m:r>
        </m:oMath>
      </m:oMathPara>
    </w:p>
    <w:p w14:paraId="365FFA76" w14:textId="77777777" w:rsidR="002922F7" w:rsidRDefault="002922F7" w:rsidP="002922F7">
      <w:r>
        <w:lastRenderedPageBreak/>
        <w:t>A logit model was used, which estimates a coefficient for each level of the explanatory variables</w:t>
      </w:r>
      <w:r>
        <w:rPr>
          <w:rStyle w:val="FootnoteReference"/>
        </w:rPr>
        <w:footnoteReference w:id="26"/>
      </w:r>
      <w:r>
        <w:t>. These coefficients can be interpreted as the log</w:t>
      </w:r>
      <w:r>
        <w:noBreakHyphen/>
        <w:t>odds ratio, or more generally as indicating whether there is increased (or reduced) probability of the dependent variable equalling one (for example, is a provider who reports utilisation in the highest quartile also more likely to report a span of control in the highest quartile). The regression results are interpreted relative to explanatory variables in the first quartile, and provide evidence of both the statistical strength and direction of relationships between variables.</w:t>
      </w:r>
    </w:p>
    <w:p w14:paraId="1B184175" w14:textId="1EC96537" w:rsidR="002922F7" w:rsidRDefault="002922F7" w:rsidP="002922F7">
      <w:r>
        <w:t xml:space="preserve">The results of this analysis are provided in Appendix </w:t>
      </w:r>
      <w:r>
        <w:fldChar w:fldCharType="begin"/>
      </w:r>
      <w:r>
        <w:instrText xml:space="preserve"> REF _Ref38551997 \r \h </w:instrText>
      </w:r>
      <w:r>
        <w:fldChar w:fldCharType="separate"/>
      </w:r>
      <w:r w:rsidR="00283637">
        <w:t>D.3</w:t>
      </w:r>
      <w:r>
        <w:fldChar w:fldCharType="end"/>
      </w:r>
      <w:r>
        <w:t>. Based on this analysis, at the 5% level of significance it was found that:</w:t>
      </w:r>
    </w:p>
    <w:p w14:paraId="0C93EF03" w14:textId="2A241A1C" w:rsidR="002922F7" w:rsidRDefault="002922F7" w:rsidP="00400621">
      <w:pPr>
        <w:pStyle w:val="ListBullet"/>
        <w:numPr>
          <w:ilvl w:val="0"/>
          <w:numId w:val="13"/>
        </w:numPr>
      </w:pPr>
      <w:r>
        <w:t xml:space="preserve">Providers with </w:t>
      </w:r>
      <w:r w:rsidRPr="006B01CF">
        <w:rPr>
          <w:i/>
          <w:iCs/>
        </w:rPr>
        <w:t>overheads</w:t>
      </w:r>
      <w:r>
        <w:t xml:space="preserve"> in the lowest quartile were </w:t>
      </w:r>
      <w:r w:rsidR="0099509D">
        <w:t xml:space="preserve">more </w:t>
      </w:r>
      <w:r>
        <w:t xml:space="preserve">likely to have </w:t>
      </w:r>
      <w:r w:rsidR="00A6707A">
        <w:rPr>
          <w:i/>
          <w:iCs/>
        </w:rPr>
        <w:t xml:space="preserve">implied </w:t>
      </w:r>
      <w:r w:rsidRPr="006B01CF">
        <w:rPr>
          <w:i/>
          <w:iCs/>
        </w:rPr>
        <w:t>margins</w:t>
      </w:r>
      <w:r>
        <w:t xml:space="preserve"> </w:t>
      </w:r>
      <w:r w:rsidR="0099509D">
        <w:t>in the lowest quartile</w:t>
      </w:r>
      <w:r>
        <w:t xml:space="preserve">, suggesting that higher overheads are experienced by providers with </w:t>
      </w:r>
      <w:r w:rsidR="0099509D">
        <w:t>higher implied margins</w:t>
      </w:r>
      <w:r>
        <w:t xml:space="preserve">. For providers with </w:t>
      </w:r>
      <w:r w:rsidRPr="006B01CF">
        <w:rPr>
          <w:i/>
          <w:iCs/>
        </w:rPr>
        <w:t>overheads</w:t>
      </w:r>
      <w:r>
        <w:t xml:space="preserve"> in the highest quartile, it was less likely that </w:t>
      </w:r>
      <w:r>
        <w:rPr>
          <w:i/>
          <w:iCs/>
        </w:rPr>
        <w:t>staff remuneration</w:t>
      </w:r>
      <w:r>
        <w:t xml:space="preserve"> would be in the lowest quartile. </w:t>
      </w:r>
    </w:p>
    <w:p w14:paraId="224500D6" w14:textId="77777777" w:rsidR="002922F7" w:rsidRDefault="002922F7" w:rsidP="00400621">
      <w:pPr>
        <w:pStyle w:val="ListBullet"/>
        <w:numPr>
          <w:ilvl w:val="0"/>
          <w:numId w:val="13"/>
        </w:numPr>
      </w:pPr>
      <w:r>
        <w:t xml:space="preserve">Providers with </w:t>
      </w:r>
      <w:r w:rsidRPr="00F27382">
        <w:rPr>
          <w:i/>
          <w:iCs/>
        </w:rPr>
        <w:t>utilisation</w:t>
      </w:r>
      <w:r>
        <w:t xml:space="preserve"> in the lowest quartile were more likely to experience higher </w:t>
      </w:r>
      <w:r>
        <w:rPr>
          <w:i/>
          <w:iCs/>
        </w:rPr>
        <w:t xml:space="preserve">direct costs </w:t>
      </w:r>
      <w:r>
        <w:t xml:space="preserve">(i.e. less likely to experience </w:t>
      </w:r>
      <w:r w:rsidRPr="00F27382">
        <w:rPr>
          <w:i/>
          <w:iCs/>
        </w:rPr>
        <w:t>direct costs</w:t>
      </w:r>
      <w:r>
        <w:t xml:space="preserve"> in the lowest quartile). For providers with </w:t>
      </w:r>
      <w:r>
        <w:rPr>
          <w:i/>
          <w:iCs/>
        </w:rPr>
        <w:t>utilisation</w:t>
      </w:r>
      <w:r>
        <w:t xml:space="preserve"> in the highest quartile, </w:t>
      </w:r>
      <w:r>
        <w:rPr>
          <w:i/>
          <w:iCs/>
        </w:rPr>
        <w:t>direct costs</w:t>
      </w:r>
      <w:r>
        <w:t xml:space="preserve"> were also likely to be higher. While it is clear that a statistically significant relationship exists between </w:t>
      </w:r>
      <w:r>
        <w:rPr>
          <w:i/>
          <w:iCs/>
        </w:rPr>
        <w:t>utilisation</w:t>
      </w:r>
      <w:r>
        <w:t xml:space="preserve"> and </w:t>
      </w:r>
      <w:r>
        <w:rPr>
          <w:i/>
          <w:iCs/>
        </w:rPr>
        <w:t>direct costs</w:t>
      </w:r>
      <w:r>
        <w:t>, the overall direction of this relationship is unclear.</w:t>
      </w:r>
    </w:p>
    <w:p w14:paraId="4C3DD4CD" w14:textId="77777777" w:rsidR="002922F7" w:rsidRDefault="002922F7" w:rsidP="00400621">
      <w:pPr>
        <w:pStyle w:val="ListBullet"/>
        <w:numPr>
          <w:ilvl w:val="0"/>
          <w:numId w:val="13"/>
        </w:numPr>
      </w:pPr>
      <w:r>
        <w:t xml:space="preserve">Providers with </w:t>
      </w:r>
      <w:r>
        <w:rPr>
          <w:i/>
          <w:iCs/>
        </w:rPr>
        <w:t>utilisation</w:t>
      </w:r>
      <w:r>
        <w:t xml:space="preserve"> in the lowest quartile were less likely to have </w:t>
      </w:r>
      <w:r w:rsidRPr="00D91B2F">
        <w:rPr>
          <w:i/>
          <w:iCs/>
        </w:rPr>
        <w:t>staff numbers</w:t>
      </w:r>
      <w:r>
        <w:t xml:space="preserve"> above the median. This is consistent with providers who experience higher </w:t>
      </w:r>
      <w:r>
        <w:rPr>
          <w:i/>
          <w:iCs/>
        </w:rPr>
        <w:t>utilisation</w:t>
      </w:r>
      <w:r>
        <w:t xml:space="preserve"> requiring greater numbers of </w:t>
      </w:r>
      <w:r>
        <w:rPr>
          <w:i/>
          <w:iCs/>
        </w:rPr>
        <w:t>staff</w:t>
      </w:r>
      <w:r>
        <w:t>, suggesting that the demand for staff is derived from the demand for disability services.</w:t>
      </w:r>
    </w:p>
    <w:p w14:paraId="7B19AC1D" w14:textId="561BEF64" w:rsidR="002922F7" w:rsidRDefault="002922F7" w:rsidP="00400621">
      <w:pPr>
        <w:pStyle w:val="ListBullet"/>
        <w:numPr>
          <w:ilvl w:val="0"/>
          <w:numId w:val="13"/>
        </w:numPr>
      </w:pPr>
      <w:r>
        <w:t xml:space="preserve">Providers with </w:t>
      </w:r>
      <w:r w:rsidR="00A6707A">
        <w:rPr>
          <w:i/>
          <w:iCs/>
        </w:rPr>
        <w:t xml:space="preserve">implied </w:t>
      </w:r>
      <w:r w:rsidRPr="00F27382">
        <w:rPr>
          <w:i/>
          <w:iCs/>
        </w:rPr>
        <w:t>margins</w:t>
      </w:r>
      <w:r>
        <w:t xml:space="preserve"> in the lowest quartile were less likely to have a </w:t>
      </w:r>
      <w:r>
        <w:rPr>
          <w:i/>
          <w:iCs/>
        </w:rPr>
        <w:t>permanent employee ratio</w:t>
      </w:r>
      <w:r>
        <w:t xml:space="preserve"> above the median. For providers with </w:t>
      </w:r>
      <w:r w:rsidR="00A6707A">
        <w:rPr>
          <w:i/>
          <w:iCs/>
        </w:rPr>
        <w:t xml:space="preserve">implied </w:t>
      </w:r>
      <w:r>
        <w:rPr>
          <w:i/>
          <w:iCs/>
        </w:rPr>
        <w:t>margins</w:t>
      </w:r>
      <w:r>
        <w:t xml:space="preserve"> in the highest quartile, </w:t>
      </w:r>
      <w:r>
        <w:rPr>
          <w:i/>
          <w:iCs/>
        </w:rPr>
        <w:t xml:space="preserve">staff remuneration, </w:t>
      </w:r>
      <w:r w:rsidRPr="00F27382">
        <w:t>the</w:t>
      </w:r>
      <w:r>
        <w:rPr>
          <w:i/>
          <w:iCs/>
        </w:rPr>
        <w:t xml:space="preserve"> permanent employee ratio, direct costs</w:t>
      </w:r>
      <w:r>
        <w:t xml:space="preserve"> and </w:t>
      </w:r>
      <w:r>
        <w:rPr>
          <w:i/>
          <w:iCs/>
        </w:rPr>
        <w:t>utilisation</w:t>
      </w:r>
      <w:r>
        <w:t xml:space="preserve"> were more likely to be higher. </w:t>
      </w:r>
    </w:p>
    <w:p w14:paraId="22ECC71A" w14:textId="6AE27C27" w:rsidR="002922F7" w:rsidRDefault="002922F7" w:rsidP="00400621">
      <w:pPr>
        <w:pStyle w:val="ListBullet"/>
        <w:numPr>
          <w:ilvl w:val="0"/>
          <w:numId w:val="13"/>
        </w:numPr>
      </w:pPr>
      <w:r>
        <w:t xml:space="preserve">Providers with a </w:t>
      </w:r>
      <w:r w:rsidRPr="0090508D">
        <w:rPr>
          <w:i/>
          <w:iCs/>
        </w:rPr>
        <w:t>span of control</w:t>
      </w:r>
      <w:r>
        <w:t xml:space="preserve"> in the lowest quartile were less likely to report </w:t>
      </w:r>
      <w:r w:rsidRPr="0090508D">
        <w:rPr>
          <w:i/>
          <w:iCs/>
        </w:rPr>
        <w:t>utilisation</w:t>
      </w:r>
      <w:r>
        <w:t xml:space="preserve"> above the median and more likely to have </w:t>
      </w:r>
      <w:r w:rsidRPr="0090508D">
        <w:rPr>
          <w:i/>
          <w:iCs/>
        </w:rPr>
        <w:t>staff numbers</w:t>
      </w:r>
      <w:r>
        <w:t xml:space="preserve"> in the lowest quartile, suggesting that a low span of control is associated with low utilisation and staff numbers. Consistent with this finding, providers with a </w:t>
      </w:r>
      <w:r w:rsidRPr="0090508D">
        <w:rPr>
          <w:i/>
          <w:iCs/>
        </w:rPr>
        <w:t xml:space="preserve">span of control </w:t>
      </w:r>
      <w:r>
        <w:t>in the highest quartile were more like</w:t>
      </w:r>
      <w:r w:rsidR="00847D29">
        <w:t>ly</w:t>
      </w:r>
      <w:r>
        <w:t xml:space="preserve"> to have </w:t>
      </w:r>
      <w:r w:rsidRPr="0090508D">
        <w:rPr>
          <w:i/>
          <w:iCs/>
        </w:rPr>
        <w:t>staff numbers</w:t>
      </w:r>
      <w:r>
        <w:t xml:space="preserve"> in the highest quartile. Providers with a </w:t>
      </w:r>
      <w:r w:rsidRPr="0090508D">
        <w:rPr>
          <w:i/>
          <w:iCs/>
        </w:rPr>
        <w:t>span of control</w:t>
      </w:r>
      <w:r>
        <w:t xml:space="preserve"> in the highest quartile were also more likely to report </w:t>
      </w:r>
      <w:r w:rsidRPr="0090508D">
        <w:rPr>
          <w:i/>
          <w:iCs/>
        </w:rPr>
        <w:t>staff remuneration</w:t>
      </w:r>
      <w:r>
        <w:t xml:space="preserve"> and </w:t>
      </w:r>
      <w:r w:rsidR="00A6707A">
        <w:rPr>
          <w:i/>
          <w:iCs/>
        </w:rPr>
        <w:t xml:space="preserve">implied </w:t>
      </w:r>
      <w:r w:rsidRPr="0090508D">
        <w:rPr>
          <w:i/>
          <w:iCs/>
        </w:rPr>
        <w:t>margins</w:t>
      </w:r>
      <w:r>
        <w:t xml:space="preserve"> in the lowest quartile. </w:t>
      </w:r>
    </w:p>
    <w:p w14:paraId="709EFFF1" w14:textId="7040510F" w:rsidR="002922F7" w:rsidRDefault="002922F7" w:rsidP="00400621">
      <w:pPr>
        <w:pStyle w:val="ListBullet"/>
        <w:numPr>
          <w:ilvl w:val="0"/>
          <w:numId w:val="13"/>
        </w:numPr>
      </w:pPr>
      <w:r>
        <w:t xml:space="preserve">Providers with a </w:t>
      </w:r>
      <w:r>
        <w:rPr>
          <w:i/>
          <w:iCs/>
        </w:rPr>
        <w:t>permanent employment rate</w:t>
      </w:r>
      <w:r>
        <w:t xml:space="preserve"> in the lowest quartile were more likely to have </w:t>
      </w:r>
      <w:r>
        <w:rPr>
          <w:i/>
          <w:iCs/>
        </w:rPr>
        <w:t>staff remuneration</w:t>
      </w:r>
      <w:r>
        <w:t xml:space="preserve">, </w:t>
      </w:r>
      <w:r w:rsidR="00A6707A">
        <w:rPr>
          <w:i/>
          <w:iCs/>
        </w:rPr>
        <w:t xml:space="preserve">implied </w:t>
      </w:r>
      <w:r>
        <w:rPr>
          <w:i/>
          <w:iCs/>
        </w:rPr>
        <w:t>margins</w:t>
      </w:r>
      <w:r>
        <w:t xml:space="preserve">, and </w:t>
      </w:r>
      <w:r>
        <w:rPr>
          <w:i/>
          <w:iCs/>
        </w:rPr>
        <w:t>direct costs</w:t>
      </w:r>
      <w:r>
        <w:t xml:space="preserve"> in the lowest quartile. The </w:t>
      </w:r>
      <w:r w:rsidRPr="00F27382">
        <w:rPr>
          <w:i/>
          <w:iCs/>
        </w:rPr>
        <w:t>permanent employment rate</w:t>
      </w:r>
      <w:r>
        <w:t xml:space="preserve"> was negatively correlated with </w:t>
      </w:r>
      <w:r w:rsidRPr="00F27382">
        <w:rPr>
          <w:i/>
          <w:iCs/>
        </w:rPr>
        <w:t>staff numbers</w:t>
      </w:r>
      <w:r>
        <w:t xml:space="preserve"> however, with providers who reported a low permanent employment rate more likely to employ higher numbers of staff. This suggests a strong casualisation of the labour force for disability workers.</w:t>
      </w:r>
    </w:p>
    <w:p w14:paraId="1ECDB60A" w14:textId="460A6788" w:rsidR="002922F7" w:rsidRDefault="002922F7" w:rsidP="00400621">
      <w:pPr>
        <w:pStyle w:val="ListBullet"/>
        <w:numPr>
          <w:ilvl w:val="0"/>
          <w:numId w:val="13"/>
        </w:numPr>
      </w:pPr>
      <w:r>
        <w:t xml:space="preserve">Providers with a </w:t>
      </w:r>
      <w:r>
        <w:rPr>
          <w:i/>
          <w:iCs/>
        </w:rPr>
        <w:t xml:space="preserve">permanent employment rate </w:t>
      </w:r>
      <w:r>
        <w:t xml:space="preserve">in the highest quartile were more likely to report </w:t>
      </w:r>
      <w:r w:rsidRPr="00F27382">
        <w:rPr>
          <w:i/>
          <w:iCs/>
        </w:rPr>
        <w:t>overheads</w:t>
      </w:r>
      <w:r>
        <w:t xml:space="preserve">, </w:t>
      </w:r>
      <w:r>
        <w:rPr>
          <w:i/>
          <w:iCs/>
        </w:rPr>
        <w:t>staff remuneration,</w:t>
      </w:r>
      <w:r>
        <w:t xml:space="preserve"> and </w:t>
      </w:r>
      <w:r>
        <w:rPr>
          <w:i/>
          <w:iCs/>
        </w:rPr>
        <w:t>staff numbers</w:t>
      </w:r>
      <w:r>
        <w:t xml:space="preserve"> in the lowest quartile. </w:t>
      </w:r>
      <w:r w:rsidR="00A6707A">
        <w:rPr>
          <w:i/>
          <w:iCs/>
        </w:rPr>
        <w:t>Implied m</w:t>
      </w:r>
      <w:r>
        <w:rPr>
          <w:i/>
          <w:iCs/>
        </w:rPr>
        <w:t>argins</w:t>
      </w:r>
      <w:r>
        <w:t xml:space="preserve"> and </w:t>
      </w:r>
      <w:r>
        <w:rPr>
          <w:i/>
          <w:iCs/>
        </w:rPr>
        <w:t>direct costs</w:t>
      </w:r>
      <w:r>
        <w:t xml:space="preserve"> were more likely to be higher for providers with the highest </w:t>
      </w:r>
      <w:r>
        <w:rPr>
          <w:i/>
          <w:iCs/>
        </w:rPr>
        <w:t>permanent employment rates</w:t>
      </w:r>
      <w:r>
        <w:t>.</w:t>
      </w:r>
    </w:p>
    <w:p w14:paraId="54CD7047" w14:textId="77777777" w:rsidR="002922F7" w:rsidRDefault="002922F7" w:rsidP="00400621">
      <w:pPr>
        <w:pStyle w:val="ListBullet"/>
        <w:numPr>
          <w:ilvl w:val="0"/>
          <w:numId w:val="13"/>
        </w:numPr>
      </w:pPr>
      <w:r>
        <w:t xml:space="preserve">Providers with </w:t>
      </w:r>
      <w:r w:rsidRPr="00F27382">
        <w:rPr>
          <w:i/>
          <w:iCs/>
        </w:rPr>
        <w:t>staff remuneration</w:t>
      </w:r>
      <w:r>
        <w:t xml:space="preserve"> in the lowest quartile were also more likely to report a </w:t>
      </w:r>
      <w:r>
        <w:rPr>
          <w:i/>
          <w:iCs/>
        </w:rPr>
        <w:t>permanent employment rate</w:t>
      </w:r>
      <w:r>
        <w:t xml:space="preserve"> lower than the median and staff numbers in the </w:t>
      </w:r>
      <w:r>
        <w:rPr>
          <w:i/>
          <w:iCs/>
        </w:rPr>
        <w:t>lowest quartile</w:t>
      </w:r>
      <w:r>
        <w:t>.</w:t>
      </w:r>
    </w:p>
    <w:p w14:paraId="68593B0B" w14:textId="77777777" w:rsidR="002922F7" w:rsidRDefault="002922F7" w:rsidP="002922F7"/>
    <w:p w14:paraId="07ABBD21" w14:textId="3A2E2B0A" w:rsidR="008B37F5" w:rsidRDefault="00945B7A" w:rsidP="000125F3">
      <w:pPr>
        <w:pStyle w:val="Heading1"/>
      </w:pPr>
      <w:bookmarkStart w:id="261" w:name="_Toc40454659"/>
      <w:r>
        <w:lastRenderedPageBreak/>
        <w:t>Review of survey process</w:t>
      </w:r>
      <w:bookmarkEnd w:id="261"/>
    </w:p>
    <w:p w14:paraId="089C3F34" w14:textId="77777777" w:rsidR="00515E88" w:rsidRPr="00841A92" w:rsidRDefault="00515E88" w:rsidP="00515E88">
      <w:bookmarkStart w:id="262" w:name="_Ref36124425"/>
      <w:bookmarkStart w:id="263" w:name="_Toc463002439"/>
      <w:bookmarkStart w:id="264" w:name="_Toc472586353"/>
      <w:bookmarkStart w:id="265" w:name="_Toc482168131"/>
      <w:bookmarkStart w:id="266" w:name="_Toc482174916"/>
      <w:r w:rsidRPr="00841A92">
        <w:t xml:space="preserve">The NDIA engaged Deloitte Access Economics to design and field the TTP Benchmarking Survey to collect information on staffing numbers, costs and profits of NDIS support providers. This chapter provides a </w:t>
      </w:r>
      <w:r>
        <w:t>review</w:t>
      </w:r>
      <w:r w:rsidRPr="00841A92">
        <w:t xml:space="preserve"> of the survey process, including any </w:t>
      </w:r>
      <w:r>
        <w:t>opportunities for improvements to future iterations of the survey</w:t>
      </w:r>
      <w:r w:rsidRPr="00841A92">
        <w:t>.</w:t>
      </w:r>
    </w:p>
    <w:p w14:paraId="6D316170" w14:textId="15CB15C0" w:rsidR="00515E88" w:rsidRDefault="00515E88" w:rsidP="00515E88">
      <w:r>
        <w:t xml:space="preserve">The </w:t>
      </w:r>
      <w:r w:rsidRPr="006C3C80">
        <w:rPr>
          <w:b/>
          <w:bCs/>
        </w:rPr>
        <w:t>primary objective</w:t>
      </w:r>
      <w:r>
        <w:t xml:space="preserve"> of the survey was to inform the parameters of the NDI</w:t>
      </w:r>
      <w:r w:rsidR="001B4EB7">
        <w:t>S</w:t>
      </w:r>
      <w:r>
        <w:t xml:space="preserve"> Cost Model, which underpins the price controls relating to the provision of supports delivered by DSWs. In addition to this, </w:t>
      </w:r>
      <w:r w:rsidR="00830F89">
        <w:t xml:space="preserve">and </w:t>
      </w:r>
      <w:r>
        <w:t xml:space="preserve">in conjunction with future iterations of the survey, the data collected can be used to monitor the disability services market over time. This can allow the NDIA </w:t>
      </w:r>
      <w:r w:rsidR="00C23E36">
        <w:t>to</w:t>
      </w:r>
      <w:r>
        <w:t xml:space="preserve"> identify changes in provider financial benchmarks and emerging market failures,</w:t>
      </w:r>
      <w:r w:rsidR="00552A88">
        <w:t xml:space="preserve"> </w:t>
      </w:r>
      <w:r>
        <w:t>and assist with navigating the path to a market-driven price for services. As evidenced by the analysis in the preceding chapters, the survey achieved its primary objective. Further, the survey provide</w:t>
      </w:r>
      <w:r w:rsidR="00C23E36">
        <w:t>d</w:t>
      </w:r>
      <w:r>
        <w:t xml:space="preserve"> a solid foundation for developing future iterations.</w:t>
      </w:r>
    </w:p>
    <w:p w14:paraId="1A7404B2" w14:textId="77777777" w:rsidR="00515E88" w:rsidRDefault="00515E88" w:rsidP="00515E88">
      <w:r>
        <w:t xml:space="preserve">From an initial list of 3,000 providers the NDIA provided Deloitte Access Economics, the survey returned 590 responses with a further 25 responses received from the Ability Roundtable. This yielded a total count of 615 complete responses, or a response rate of around 20%. While it was expected that a higher number of responses would be received, the number of responses was sufficient for a wide range of statistical and econometrical analyses to be conducted. </w:t>
      </w:r>
    </w:p>
    <w:p w14:paraId="6FE4CFA4" w14:textId="77777777" w:rsidR="00515E88" w:rsidRDefault="00515E88" w:rsidP="00515E88">
      <w:r>
        <w:t>The survey did not collect any information which would allow for the representativeness of the respondents to be assessed. This may be possible through analysis of linked data held by the NDIA.</w:t>
      </w:r>
    </w:p>
    <w:p w14:paraId="37FEC283" w14:textId="77777777" w:rsidR="00515E88" w:rsidRDefault="00515E88" w:rsidP="00515E88">
      <w:r>
        <w:t>As with any survey, a number of opportunities for improvement were identified. These can be broadly grouped into accessibility issues and data quality issues.</w:t>
      </w:r>
    </w:p>
    <w:p w14:paraId="4378DFDA" w14:textId="77777777" w:rsidR="00515E88" w:rsidRDefault="00515E88" w:rsidP="00515E88">
      <w:r>
        <w:t xml:space="preserve">There were a range of </w:t>
      </w:r>
      <w:r w:rsidRPr="006C3C80">
        <w:rPr>
          <w:b/>
          <w:bCs/>
        </w:rPr>
        <w:t>accessibility issues</w:t>
      </w:r>
      <w:r>
        <w:t xml:space="preserve"> reported by providers to the help desk during the survey period. Many providers reported they did not receive the original survey link or had deleted or misplaced the original email. This was consistent with the help desk receiving automatic replies from provider contacts who had left their organisation or were on annual leave. Additionally, some of the email contacts had since moved roles and were no longer the appropriate contact representatives within the organisations. In some, but not all cases, they onforwarded the survey email to the appropriate contacts.</w:t>
      </w:r>
    </w:p>
    <w:p w14:paraId="0F3073E2" w14:textId="77777777" w:rsidR="00515E88" w:rsidRDefault="00515E88" w:rsidP="00515E88">
      <w:r>
        <w:t>Furthermore, among providers who did receive the initial survey distribution, there was a degree of scepticism as to the authenticity and legitimacy of the survey. This was later solved via an official announcement posted on the NDIA website and in the NDIA newsletter, however it is likely some providers did not return to the survey following the initial scepticism.</w:t>
      </w:r>
    </w:p>
    <w:p w14:paraId="50DA55BB" w14:textId="77777777" w:rsidR="00515E88" w:rsidRDefault="00515E88" w:rsidP="00515E88">
      <w:r>
        <w:t xml:space="preserve">Another issue commonly encountered by providers completing the survey was the embedded skip logic, which meant that providers were unable to view all questions at the outset and instead could only see questions progressively as they completed their responses. Since many of the questions were found to be relatively complex and requiring a coordinated response across multiple areas of the provider’s organisation (for example, finance, HR), there was a large volume of requests for a PDF document with all survey questions listed. </w:t>
      </w:r>
    </w:p>
    <w:p w14:paraId="6317BC5A" w14:textId="77777777" w:rsidR="00515E88" w:rsidRDefault="00515E88" w:rsidP="00515E88">
      <w:r>
        <w:t>The lengthy survey completion time (mean of 3.8 hours) was noted as a challenge for some providers and a significant burden on their time, particularly among smaller organisations.</w:t>
      </w:r>
    </w:p>
    <w:p w14:paraId="20A1A53C" w14:textId="77777777" w:rsidR="00515E88" w:rsidRDefault="00515E88" w:rsidP="00515E88">
      <w:r>
        <w:t>Future iterations of the survey could address these issues by:</w:t>
      </w:r>
    </w:p>
    <w:p w14:paraId="744CAEC8" w14:textId="77777777" w:rsidR="00515E88" w:rsidRDefault="00515E88" w:rsidP="00400621">
      <w:pPr>
        <w:pStyle w:val="ListParagraph"/>
        <w:numPr>
          <w:ilvl w:val="0"/>
          <w:numId w:val="41"/>
        </w:numPr>
      </w:pPr>
      <w:r>
        <w:t>Ensuring that the survey release is timed with an official announcement by the NDIA on the NDIA website and/or in the newsletter.</w:t>
      </w:r>
    </w:p>
    <w:p w14:paraId="3CDA3381" w14:textId="77777777" w:rsidR="00515E88" w:rsidRDefault="00515E88" w:rsidP="00400621">
      <w:pPr>
        <w:pStyle w:val="ListParagraph"/>
        <w:numPr>
          <w:ilvl w:val="0"/>
          <w:numId w:val="41"/>
        </w:numPr>
      </w:pPr>
      <w:r>
        <w:t>Providing a PDF copy of the survey questions as part of the initial email to enable providers to collect the necessary data prior to entering results.</w:t>
      </w:r>
    </w:p>
    <w:p w14:paraId="19F6B7A7" w14:textId="77777777" w:rsidR="00515E88" w:rsidRDefault="00515E88" w:rsidP="00400621">
      <w:pPr>
        <w:pStyle w:val="ListParagraph"/>
        <w:numPr>
          <w:ilvl w:val="0"/>
          <w:numId w:val="41"/>
        </w:numPr>
      </w:pPr>
      <w:r>
        <w:lastRenderedPageBreak/>
        <w:t>Improving communication around the ‘save status’ of results entered into the survey platform.</w:t>
      </w:r>
    </w:p>
    <w:p w14:paraId="28F048B4" w14:textId="77777777" w:rsidR="00515E88" w:rsidRDefault="00515E88" w:rsidP="00400621">
      <w:pPr>
        <w:pStyle w:val="ListParagraph"/>
        <w:numPr>
          <w:ilvl w:val="0"/>
          <w:numId w:val="41"/>
        </w:numPr>
      </w:pPr>
      <w:r>
        <w:t>Increasing the survey field time to allow providers more time to provide responses – this may be particularly beneficial in cases where staff members are on leave or in the middle of a particularly busy business period. An increased survey fielding time could potentially also facilitate a survey with additional questions of use to the NDIA.</w:t>
      </w:r>
    </w:p>
    <w:p w14:paraId="2521DC5C" w14:textId="77777777" w:rsidR="00515E88" w:rsidRDefault="00515E88" w:rsidP="00515E88">
      <w:r w:rsidRPr="0092620F">
        <w:t>Provider</w:t>
      </w:r>
      <w:r>
        <w:t xml:space="preserve"> communications with the survey help desk indicated potential </w:t>
      </w:r>
      <w:r>
        <w:rPr>
          <w:b/>
          <w:bCs/>
        </w:rPr>
        <w:t xml:space="preserve">data quality issues, </w:t>
      </w:r>
      <w:r>
        <w:t>as evidenced by a number of financial and operational literacy challenges encountered by respondents. Many respondents encountered challenges with questions involving the use of ratios or proportions. It was also commonly noted among providers that there was difficulty in separating out TTP</w:t>
      </w:r>
      <w:r>
        <w:noBreakHyphen/>
        <w:t>eligible activities from other business activities, and in understanding which questions were specifically addressed to the TTP</w:t>
      </w:r>
      <w:r>
        <w:noBreakHyphen/>
        <w:t>eligible activities.</w:t>
      </w:r>
    </w:p>
    <w:p w14:paraId="1F0F8D64" w14:textId="77777777" w:rsidR="00515E88" w:rsidRDefault="00515E88" w:rsidP="00515E88">
      <w:r>
        <w:t>Many providers contacted the helpline because they considered that their business was too small or not well</w:t>
      </w:r>
      <w:r>
        <w:noBreakHyphen/>
        <w:t>structured enough to properly answer the questions asked. This may be indicative of additional support requirements in future surveys, and a longer fielding period.</w:t>
      </w:r>
    </w:p>
    <w:p w14:paraId="32AFF23F" w14:textId="77777777" w:rsidR="00515E88" w:rsidRDefault="00515E88" w:rsidP="00515E88">
      <w:r>
        <w:t>The skip logic embedded to the survey design also meant that providers had to submit a response to questions prior to progressing in the survey. This led to a high proportion of responses where providers did not know the correct answer, and so submitted a ‘zero’ response. In future surveys, this may be better addressed through incorporating an ‘N/A’ optional response, however this may lower the response rate for some questions. For example, an ‘N/A’ option could be used to address instances where questions did not relate to the provider’s organisation (such as for sole traders) or where the organisation was still in the process of formation but not yet operational.</w:t>
      </w:r>
    </w:p>
    <w:p w14:paraId="22ED2837" w14:textId="77777777" w:rsidR="00515E88" w:rsidRDefault="00515E88" w:rsidP="00515E88">
      <w:r>
        <w:t>Future iterations of the survey could address these issues by:</w:t>
      </w:r>
    </w:p>
    <w:p w14:paraId="7F2C8AD6" w14:textId="77777777" w:rsidR="00515E88" w:rsidRDefault="00515E88" w:rsidP="00400621">
      <w:pPr>
        <w:pStyle w:val="ListParagraph"/>
        <w:numPr>
          <w:ilvl w:val="0"/>
          <w:numId w:val="42"/>
        </w:numPr>
      </w:pPr>
      <w:r>
        <w:t>Continuing to weigh the complexity of requested data with the ability of providers to provide accurate information when forming questions, particularly in the case of smaller organisations.</w:t>
      </w:r>
    </w:p>
    <w:p w14:paraId="6AD7312B" w14:textId="77777777" w:rsidR="00515E88" w:rsidRDefault="00515E88" w:rsidP="00400621">
      <w:pPr>
        <w:pStyle w:val="ListParagraph"/>
        <w:numPr>
          <w:ilvl w:val="0"/>
          <w:numId w:val="42"/>
        </w:numPr>
      </w:pPr>
      <w:r>
        <w:t>Increasing the scope of help tips and instructions on the survey to assist providers with limited financial knowledge or capacity.</w:t>
      </w:r>
    </w:p>
    <w:p w14:paraId="5C864185" w14:textId="77777777" w:rsidR="00515E88" w:rsidRDefault="00515E88" w:rsidP="00400621">
      <w:pPr>
        <w:pStyle w:val="ListParagraph"/>
        <w:numPr>
          <w:ilvl w:val="0"/>
          <w:numId w:val="42"/>
        </w:numPr>
      </w:pPr>
      <w:r>
        <w:t xml:space="preserve">Mandating responses to core questions, but incorporating an ‘N/A’ option for non-core questions that would enable participants that are having difficulty entering data to pass through to the next question. </w:t>
      </w:r>
    </w:p>
    <w:p w14:paraId="258C71BF" w14:textId="77777777" w:rsidR="00515E88" w:rsidRDefault="00515E88" w:rsidP="00515E88">
      <w:r w:rsidRPr="006C3C80">
        <w:rPr>
          <w:b/>
          <w:bCs/>
        </w:rPr>
        <w:t>Future iterations of the survey</w:t>
      </w:r>
      <w:r>
        <w:t xml:space="preserve"> could also consider capturing data regarding:</w:t>
      </w:r>
    </w:p>
    <w:p w14:paraId="17F46B7B" w14:textId="77777777" w:rsidR="00515E88" w:rsidRDefault="00515E88" w:rsidP="00400621">
      <w:pPr>
        <w:pStyle w:val="ListBullet"/>
        <w:numPr>
          <w:ilvl w:val="0"/>
          <w:numId w:val="13"/>
        </w:numPr>
      </w:pPr>
      <w:r>
        <w:t>The length of time that providers have operated in the sector. This would enable analysis to be undertaken as to whether organisations that have operated for longer become more efficient (i.e. whether there is a learning curve effect). However, capturing this information may be difficult in the situation of a corporate restructure or merger, or if a provider has gone bankrupt and re-started their business with a different ABN.</w:t>
      </w:r>
    </w:p>
    <w:p w14:paraId="16CBFEEA" w14:textId="77777777" w:rsidR="00515E88" w:rsidRDefault="00515E88" w:rsidP="00400621">
      <w:pPr>
        <w:pStyle w:val="ListBullet"/>
        <w:numPr>
          <w:ilvl w:val="0"/>
          <w:numId w:val="13"/>
        </w:numPr>
      </w:pPr>
      <w:r>
        <w:t xml:space="preserve">How utilisation differs at each pay point, to identify whether increasing pay corresponds with increasing seniority, and thus a commensurate reduction in utilisation. However, it is likely that only larger providers with sophisticated systems could provide this information. </w:t>
      </w:r>
    </w:p>
    <w:p w14:paraId="2AFF1773" w14:textId="77777777" w:rsidR="00515E88" w:rsidRDefault="00515E88" w:rsidP="00400621">
      <w:pPr>
        <w:pStyle w:val="ListBullet"/>
        <w:numPr>
          <w:ilvl w:val="0"/>
          <w:numId w:val="13"/>
        </w:numPr>
      </w:pPr>
      <w:r>
        <w:t>How survey responses are influenced by the complexity of a provider’s clients. For example, providers who service more complex clients would be expected to have higher costs, however may not receive additional funding to offset these costs. This information could be captured by asking providers to provide the average client package value.</w:t>
      </w:r>
    </w:p>
    <w:p w14:paraId="3AD672C6" w14:textId="06B1A928" w:rsidR="00841A92" w:rsidRPr="00BF378A" w:rsidRDefault="00515E88" w:rsidP="00841A92">
      <w:r>
        <w:t>Additional analysis could be undertaken by linking the survey dataset with existing data held by the NDIA. For example, disaggregating responses by which state or territory the majority of NDIA revenue is generated in, or which remoteness level best describes the majority of the provider’s operations (for example, using the Modified Monash Model as a geographic basis). This would enable analysis to determine whether there are significant differences across jurisdictions, and also whether there are significant differences across urban and regional providers. Analysis could also identify whether responses differed between for-profit and not-for-profit providers.</w:t>
      </w:r>
    </w:p>
    <w:p w14:paraId="2C0FDBC1" w14:textId="125D0AD2" w:rsidR="001F1A78" w:rsidRDefault="001F1A78" w:rsidP="00822C69">
      <w:pPr>
        <w:pStyle w:val="Appendixhead1"/>
        <w:ind w:left="0" w:firstLine="0"/>
        <w:rPr>
          <w:lang w:eastAsia="en-AU"/>
        </w:rPr>
      </w:pPr>
      <w:bookmarkStart w:id="267" w:name="_Ref38979537"/>
      <w:bookmarkStart w:id="268" w:name="_Toc40454660"/>
      <w:r>
        <w:rPr>
          <w:lang w:eastAsia="en-AU"/>
        </w:rPr>
        <w:lastRenderedPageBreak/>
        <w:t>Declaration</w:t>
      </w:r>
      <w:bookmarkEnd w:id="262"/>
      <w:r w:rsidR="00822C69" w:rsidRPr="00822C69">
        <w:t xml:space="preserve"> </w:t>
      </w:r>
      <w:r w:rsidR="00822C69">
        <w:t>of adherence to data security, storage and management requirements</w:t>
      </w:r>
      <w:bookmarkEnd w:id="267"/>
      <w:bookmarkEnd w:id="268"/>
    </w:p>
    <w:p w14:paraId="19DB20AB" w14:textId="1910F122" w:rsidR="001F1A78" w:rsidRDefault="001F1A78" w:rsidP="001F1A78">
      <w:pPr>
        <w:rPr>
          <w:lang w:eastAsia="en-AU"/>
        </w:rPr>
      </w:pPr>
      <w:r>
        <w:rPr>
          <w:lang w:eastAsia="en-AU"/>
        </w:rPr>
        <w:t>I, Lynne Pezzullo as Partner of Deloitte Access Economics Pty Ltd (ABN</w:t>
      </w:r>
      <w:r w:rsidRPr="001F1A78">
        <w:rPr>
          <w:lang w:eastAsia="en-AU"/>
        </w:rPr>
        <w:t xml:space="preserve"> 19 954 628 041</w:t>
      </w:r>
      <w:r>
        <w:rPr>
          <w:lang w:eastAsia="en-AU"/>
        </w:rPr>
        <w:t xml:space="preserve">) (hereinafter referred to as ‘Deloitte Access Economics’), declare that Deloitte Access Economics has complied with the terms of the Contract for the for the Provision of Independent Benchmarking Survey Management Services dated </w:t>
      </w:r>
      <w:r w:rsidR="00822C69">
        <w:rPr>
          <w:lang w:eastAsia="en-AU"/>
        </w:rPr>
        <w:t>15 January 2020</w:t>
      </w:r>
      <w:r>
        <w:rPr>
          <w:lang w:eastAsia="en-AU"/>
        </w:rPr>
        <w:t>.</w:t>
      </w:r>
    </w:p>
    <w:p w14:paraId="71F93C50" w14:textId="1E11C7A0" w:rsidR="001F1A78" w:rsidRDefault="001F1A78" w:rsidP="001F1A78">
      <w:pPr>
        <w:rPr>
          <w:lang w:eastAsia="en-AU"/>
        </w:rPr>
      </w:pPr>
      <w:r>
        <w:rPr>
          <w:lang w:eastAsia="en-AU"/>
        </w:rPr>
        <w:t>The declaration is made for the Survey conducted from February to March 2020, in respect of data relating to disability services rendered over their last financial year. Specifically, we declare that we have complied with the terms outlined in the section 5 of the Contract “Survey Data collection and use”; and Section 6 of the Contract “Data Protection and Security”</w:t>
      </w:r>
      <w:r w:rsidR="00822C69">
        <w:rPr>
          <w:lang w:eastAsia="en-AU"/>
        </w:rPr>
        <w:t>.</w:t>
      </w:r>
    </w:p>
    <w:p w14:paraId="433A626E" w14:textId="77777777" w:rsidR="00822C69" w:rsidRDefault="00822C69" w:rsidP="001F1A78">
      <w:pPr>
        <w:widowControl w:val="0"/>
        <w:autoSpaceDE w:val="0"/>
        <w:autoSpaceDN w:val="0"/>
        <w:adjustRightInd w:val="0"/>
        <w:spacing w:before="182" w:after="0" w:line="323" w:lineRule="exact"/>
        <w:rPr>
          <w:rFonts w:ascii="CIDFont+F2" w:hAnsi="CIDFont+F2" w:cs="CIDFont+F2"/>
          <w:color w:val="000000"/>
          <w:spacing w:val="-7"/>
          <w:sz w:val="22"/>
          <w:szCs w:val="22"/>
        </w:rPr>
      </w:pPr>
    </w:p>
    <w:p w14:paraId="50B67C3D" w14:textId="653FBB4F" w:rsidR="00822C69" w:rsidRDefault="00822C69" w:rsidP="001F1A78">
      <w:pPr>
        <w:widowControl w:val="0"/>
        <w:autoSpaceDE w:val="0"/>
        <w:autoSpaceDN w:val="0"/>
        <w:adjustRightInd w:val="0"/>
        <w:spacing w:before="182" w:after="0" w:line="323" w:lineRule="exact"/>
        <w:rPr>
          <w:rFonts w:ascii="CIDFont+F2" w:hAnsi="CIDFont+F2" w:cs="CIDFont+F2"/>
          <w:color w:val="000000"/>
          <w:spacing w:val="-7"/>
          <w:sz w:val="22"/>
          <w:szCs w:val="22"/>
        </w:rPr>
      </w:pPr>
    </w:p>
    <w:p w14:paraId="53ED4406" w14:textId="5D0372C1" w:rsidR="00822C69" w:rsidRDefault="00822C69" w:rsidP="001F1A78">
      <w:pPr>
        <w:widowControl w:val="0"/>
        <w:autoSpaceDE w:val="0"/>
        <w:autoSpaceDN w:val="0"/>
        <w:adjustRightInd w:val="0"/>
        <w:spacing w:before="182" w:after="0" w:line="323" w:lineRule="exact"/>
        <w:rPr>
          <w:rFonts w:ascii="CIDFont+F2" w:hAnsi="CIDFont+F2" w:cs="CIDFont+F2"/>
          <w:color w:val="000000"/>
          <w:spacing w:val="-7"/>
          <w:sz w:val="22"/>
          <w:szCs w:val="22"/>
        </w:rPr>
      </w:pPr>
      <w:r w:rsidRPr="00CB1B43">
        <w:rPr>
          <w:noProof/>
          <w:lang w:eastAsia="en-AU"/>
        </w:rPr>
        <w:drawing>
          <wp:anchor distT="0" distB="0" distL="114300" distR="114300" simplePos="0" relativeHeight="251692032" behindDoc="0" locked="0" layoutInCell="1" allowOverlap="1" wp14:anchorId="68563CEA" wp14:editId="1B95078B">
            <wp:simplePos x="0" y="0"/>
            <wp:positionH relativeFrom="column">
              <wp:posOffset>0</wp:posOffset>
            </wp:positionH>
            <wp:positionV relativeFrom="paragraph">
              <wp:posOffset>-487045</wp:posOffset>
            </wp:positionV>
            <wp:extent cx="1152525" cy="768350"/>
            <wp:effectExtent l="0" t="0" r="9525" b="0"/>
            <wp:wrapSquare wrapText="bothSides"/>
            <wp:docPr id="50" name="Picture 50">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52525" cy="768350"/>
                    </a:xfrm>
                    <a:prstGeom prst="rect">
                      <a:avLst/>
                    </a:prstGeom>
                    <a:noFill/>
                  </pic:spPr>
                </pic:pic>
              </a:graphicData>
            </a:graphic>
            <wp14:sizeRelH relativeFrom="page">
              <wp14:pctWidth>0</wp14:pctWidth>
            </wp14:sizeRelH>
            <wp14:sizeRelV relativeFrom="page">
              <wp14:pctHeight>0</wp14:pctHeight>
            </wp14:sizeRelV>
          </wp:anchor>
        </w:drawing>
      </w:r>
    </w:p>
    <w:p w14:paraId="47B3BE0B" w14:textId="77777777" w:rsidR="00822C69" w:rsidRPr="00822C69" w:rsidRDefault="00822C69" w:rsidP="001F1A78">
      <w:pPr>
        <w:widowControl w:val="0"/>
        <w:autoSpaceDE w:val="0"/>
        <w:autoSpaceDN w:val="0"/>
        <w:adjustRightInd w:val="0"/>
        <w:spacing w:before="182" w:after="0" w:line="323" w:lineRule="exact"/>
        <w:rPr>
          <w:rFonts w:ascii="CIDFont+F2" w:hAnsi="CIDFont+F2" w:cs="CIDFont+F2"/>
          <w:b/>
          <w:bCs/>
          <w:color w:val="000000"/>
          <w:spacing w:val="-7"/>
          <w:sz w:val="22"/>
          <w:szCs w:val="22"/>
        </w:rPr>
      </w:pPr>
      <w:r w:rsidRPr="00822C69">
        <w:rPr>
          <w:rFonts w:ascii="CIDFont+F2" w:hAnsi="CIDFont+F2" w:cs="CIDFont+F2"/>
          <w:b/>
          <w:bCs/>
          <w:color w:val="000000"/>
          <w:spacing w:val="-7"/>
          <w:sz w:val="22"/>
          <w:szCs w:val="22"/>
        </w:rPr>
        <w:t>Lynne Pezzullo</w:t>
      </w:r>
    </w:p>
    <w:p w14:paraId="5450FC2B" w14:textId="0C51FCF1" w:rsidR="001F1A78" w:rsidRDefault="00822C69" w:rsidP="001F1A78">
      <w:pPr>
        <w:widowControl w:val="0"/>
        <w:autoSpaceDE w:val="0"/>
        <w:autoSpaceDN w:val="0"/>
        <w:adjustRightInd w:val="0"/>
        <w:spacing w:before="182" w:after="0" w:line="323" w:lineRule="exact"/>
        <w:rPr>
          <w:rFonts w:ascii="CIDFont+F2" w:hAnsi="CIDFont+F2" w:cs="CIDFont+F2"/>
          <w:color w:val="000000"/>
          <w:spacing w:val="-7"/>
          <w:sz w:val="22"/>
          <w:szCs w:val="22"/>
        </w:rPr>
      </w:pPr>
      <w:r>
        <w:rPr>
          <w:rFonts w:ascii="CIDFont+F2" w:hAnsi="CIDFont+F2" w:cs="CIDFont+F2"/>
          <w:color w:val="000000"/>
          <w:spacing w:val="-7"/>
          <w:sz w:val="22"/>
          <w:szCs w:val="22"/>
        </w:rPr>
        <w:t>Partner, Deloitte Access Economics</w:t>
      </w:r>
      <w:r w:rsidR="001F1A78">
        <w:rPr>
          <w:rFonts w:ascii="CIDFont+F2" w:hAnsi="CIDFont+F2" w:cs="CIDFont+F2"/>
          <w:color w:val="000000"/>
          <w:spacing w:val="-7"/>
          <w:sz w:val="22"/>
          <w:szCs w:val="22"/>
        </w:rPr>
        <w:t xml:space="preserve"> </w:t>
      </w:r>
    </w:p>
    <w:p w14:paraId="64D88ACA" w14:textId="7E4DB143" w:rsidR="00822C69" w:rsidRDefault="00822C69" w:rsidP="00AA0FE1">
      <w:pPr>
        <w:pStyle w:val="Appendixhead1"/>
        <w:ind w:left="0" w:firstLine="0"/>
        <w:rPr>
          <w:lang w:eastAsia="en-AU"/>
        </w:rPr>
      </w:pPr>
      <w:bookmarkStart w:id="269" w:name="_Ref36148428"/>
      <w:bookmarkStart w:id="270" w:name="_Toc40454661"/>
      <w:bookmarkStart w:id="271" w:name="_Ref36124662"/>
      <w:r>
        <w:rPr>
          <w:lang w:eastAsia="en-AU"/>
        </w:rPr>
        <w:lastRenderedPageBreak/>
        <w:t>Survey questions</w:t>
      </w:r>
      <w:bookmarkEnd w:id="269"/>
      <w:bookmarkEnd w:id="270"/>
    </w:p>
    <w:p w14:paraId="6B2A0E1E" w14:textId="77777777" w:rsidR="008A3A79" w:rsidRDefault="008A3A79" w:rsidP="00F173BE">
      <w:pPr>
        <w:pStyle w:val="HeadingA"/>
      </w:pPr>
      <w:r>
        <w:t>Screening questions</w:t>
      </w:r>
    </w:p>
    <w:p w14:paraId="476C73E8" w14:textId="77777777" w:rsidR="008A3A79" w:rsidRPr="003F110A" w:rsidRDefault="008A3A79" w:rsidP="003F110A">
      <w:pPr>
        <w:contextualSpacing/>
        <w:rPr>
          <w:i/>
          <w:iCs/>
        </w:rPr>
      </w:pPr>
      <w:r w:rsidRPr="003F110A">
        <w:rPr>
          <w:i/>
          <w:iCs/>
        </w:rPr>
        <w:t>These questions assess your organisation's eligibility for receiving the TTP.</w:t>
      </w:r>
    </w:p>
    <w:p w14:paraId="26A77169" w14:textId="77777777" w:rsidR="008A3A79" w:rsidRDefault="008A3A79" w:rsidP="003F110A">
      <w:pPr>
        <w:pStyle w:val="ListNumber"/>
        <w:spacing w:after="170"/>
      </w:pPr>
      <w:r w:rsidRPr="00144A30">
        <w:t>Please confirm whether your organisation has published its service prices.</w:t>
      </w:r>
    </w:p>
    <w:p w14:paraId="00B692BA" w14:textId="77777777" w:rsidR="008A3A79" w:rsidRDefault="008A3A79" w:rsidP="003F110A">
      <w:pPr>
        <w:pStyle w:val="AlphabeticList2"/>
        <w:spacing w:after="170"/>
      </w:pPr>
      <w:r>
        <w:t>Yes</w:t>
      </w:r>
    </w:p>
    <w:p w14:paraId="7727AB48" w14:textId="77777777" w:rsidR="008A3A79" w:rsidRDefault="008A3A79" w:rsidP="003F110A">
      <w:pPr>
        <w:pStyle w:val="AlphabeticList2"/>
        <w:spacing w:after="170"/>
      </w:pPr>
      <w:r>
        <w:t>No</w:t>
      </w:r>
    </w:p>
    <w:p w14:paraId="47E2CE76" w14:textId="77777777" w:rsidR="008A3A79" w:rsidRDefault="008A3A79" w:rsidP="003F110A">
      <w:pPr>
        <w:pStyle w:val="ListNumber"/>
        <w:spacing w:after="170"/>
      </w:pPr>
      <w:bookmarkStart w:id="272" w:name="_Ref37943541"/>
      <w:r w:rsidRPr="00144A30">
        <w:t>Please confirm whether your organisation lists and keeps up-to-date business contact details in the Provider Finder</w:t>
      </w:r>
      <w:r>
        <w:t>.</w:t>
      </w:r>
      <w:bookmarkEnd w:id="272"/>
    </w:p>
    <w:p w14:paraId="63175A0F" w14:textId="77777777" w:rsidR="008A3A79" w:rsidRDefault="008A3A79" w:rsidP="00400621">
      <w:pPr>
        <w:pStyle w:val="AlphabeticList2"/>
        <w:numPr>
          <w:ilvl w:val="1"/>
          <w:numId w:val="38"/>
        </w:numPr>
        <w:spacing w:after="170"/>
      </w:pPr>
      <w:r>
        <w:t>Yes</w:t>
      </w:r>
    </w:p>
    <w:p w14:paraId="11E6DF72" w14:textId="77777777" w:rsidR="008A3A79" w:rsidRDefault="008A3A79" w:rsidP="003F110A">
      <w:pPr>
        <w:pStyle w:val="AlphabeticList2"/>
        <w:spacing w:after="170"/>
      </w:pPr>
      <w:r>
        <w:t>No</w:t>
      </w:r>
    </w:p>
    <w:p w14:paraId="6116E4C4" w14:textId="77777777" w:rsidR="008A3A79" w:rsidRDefault="008A3A79" w:rsidP="003F110A">
      <w:pPr>
        <w:pStyle w:val="ListNumber"/>
        <w:spacing w:after="170"/>
      </w:pPr>
      <w:r>
        <w:t>Please confirm that the answers provided in this benchmarking survey are true and honest statements consistent with your organisation’s financial accounts.</w:t>
      </w:r>
    </w:p>
    <w:p w14:paraId="46531090" w14:textId="77777777" w:rsidR="008A3A79" w:rsidRDefault="008A3A79" w:rsidP="00400621">
      <w:pPr>
        <w:pStyle w:val="AlphabeticList2"/>
        <w:numPr>
          <w:ilvl w:val="1"/>
          <w:numId w:val="37"/>
        </w:numPr>
        <w:spacing w:after="170"/>
      </w:pPr>
      <w:r>
        <w:t>I confirm</w:t>
      </w:r>
    </w:p>
    <w:p w14:paraId="7BAF4A96" w14:textId="77777777" w:rsidR="008A3A79" w:rsidRDefault="008A3A79" w:rsidP="003F110A">
      <w:pPr>
        <w:pStyle w:val="ListNumber"/>
        <w:spacing w:after="170"/>
      </w:pPr>
      <w:r>
        <w:t>P</w:t>
      </w:r>
      <w:r w:rsidRPr="00144A30">
        <w:t>lease provide the following details for the appropriate contact person in your organisation, should a follow up question be required by Deloitte</w:t>
      </w:r>
      <w:r>
        <w:t>.</w:t>
      </w:r>
    </w:p>
    <w:p w14:paraId="0ECD5A60" w14:textId="77777777" w:rsidR="008A3A79" w:rsidRDefault="008A3A79" w:rsidP="00400621">
      <w:pPr>
        <w:pStyle w:val="AlphabeticList2"/>
        <w:numPr>
          <w:ilvl w:val="1"/>
          <w:numId w:val="36"/>
        </w:numPr>
        <w:spacing w:after="170"/>
      </w:pPr>
      <w:r w:rsidRPr="00144A30">
        <w:t>What is the contact person</w:t>
      </w:r>
      <w:r>
        <w:t>’</w:t>
      </w:r>
      <w:r w:rsidRPr="00144A30">
        <w:t>s First Name?</w:t>
      </w:r>
    </w:p>
    <w:p w14:paraId="7710CE58" w14:textId="77777777" w:rsidR="008A3A79" w:rsidRDefault="008A3A79" w:rsidP="003F110A">
      <w:pPr>
        <w:pStyle w:val="AlphabeticList2"/>
        <w:spacing w:after="170"/>
      </w:pPr>
      <w:r w:rsidRPr="00144A30">
        <w:t>What is the contact person</w:t>
      </w:r>
      <w:r>
        <w:t>’</w:t>
      </w:r>
      <w:r w:rsidRPr="00144A30">
        <w:t>s Last Name?</w:t>
      </w:r>
    </w:p>
    <w:p w14:paraId="5AC8EC05" w14:textId="77777777" w:rsidR="008A3A79" w:rsidRDefault="008A3A79" w:rsidP="003F110A">
      <w:pPr>
        <w:pStyle w:val="AlphabeticList2"/>
        <w:spacing w:after="170"/>
      </w:pPr>
      <w:r w:rsidRPr="00144A30">
        <w:t>What is the contact person</w:t>
      </w:r>
      <w:r>
        <w:t>’</w:t>
      </w:r>
      <w:r w:rsidRPr="00144A30">
        <w:t>s role in your organisation?</w:t>
      </w:r>
    </w:p>
    <w:p w14:paraId="691364F0" w14:textId="77777777" w:rsidR="008A3A79" w:rsidRDefault="008A3A79" w:rsidP="003F110A">
      <w:pPr>
        <w:pStyle w:val="AlphabeticList2"/>
        <w:spacing w:after="170"/>
      </w:pPr>
      <w:r w:rsidRPr="00144A30">
        <w:t>What is the contact person</w:t>
      </w:r>
      <w:r>
        <w:t>’</w:t>
      </w:r>
      <w:r w:rsidRPr="00144A30">
        <w:t>s email address?</w:t>
      </w:r>
    </w:p>
    <w:p w14:paraId="28144553" w14:textId="77777777" w:rsidR="008A3A79" w:rsidRDefault="008A3A79" w:rsidP="00F173BE">
      <w:pPr>
        <w:pStyle w:val="HeadingA"/>
      </w:pPr>
      <w:r>
        <w:t>Introductory questions</w:t>
      </w:r>
    </w:p>
    <w:p w14:paraId="2CB4377A" w14:textId="77777777" w:rsidR="008A3A79" w:rsidRDefault="008A3A79" w:rsidP="003F110A">
      <w:pPr>
        <w:pStyle w:val="ListNumber"/>
        <w:spacing w:after="170"/>
        <w:contextualSpacing w:val="0"/>
      </w:pPr>
      <w:r w:rsidRPr="00144A30">
        <w:t>What is your organisation's NDIS registered provider number? Please enter a numerical value only (no symbols or texts) in the free-text box.</w:t>
      </w:r>
    </w:p>
    <w:p w14:paraId="18C11140" w14:textId="77777777" w:rsidR="008A3A79" w:rsidRDefault="008A3A79" w:rsidP="003F110A">
      <w:pPr>
        <w:pStyle w:val="ListNumber"/>
        <w:spacing w:after="170"/>
        <w:contextualSpacing w:val="0"/>
      </w:pPr>
      <w:r>
        <w:t>What percentage of your revenue comes from the NDIS?</w:t>
      </w:r>
    </w:p>
    <w:p w14:paraId="41BF7421" w14:textId="77777777" w:rsidR="008A3A79" w:rsidRDefault="008A3A79" w:rsidP="003F110A">
      <w:pPr>
        <w:pStyle w:val="ListNumber"/>
        <w:spacing w:after="170"/>
      </w:pPr>
      <w:r>
        <w:t>For your organisation's financial year which ended in 2019, how many NDIS participants did your organisation supply services to?</w:t>
      </w:r>
    </w:p>
    <w:p w14:paraId="68D6F273" w14:textId="77777777" w:rsidR="008A3A79" w:rsidRDefault="008A3A79" w:rsidP="00400621">
      <w:pPr>
        <w:pStyle w:val="AlphabeticList2"/>
        <w:numPr>
          <w:ilvl w:val="1"/>
          <w:numId w:val="35"/>
        </w:numPr>
        <w:spacing w:after="170"/>
      </w:pPr>
      <w:r>
        <w:t>NDIS participants</w:t>
      </w:r>
    </w:p>
    <w:p w14:paraId="1920052A" w14:textId="77777777" w:rsidR="008A3A79" w:rsidRDefault="008A3A79" w:rsidP="00F173BE">
      <w:pPr>
        <w:pStyle w:val="HeadingA"/>
      </w:pPr>
      <w:r>
        <w:t>Workforce profile</w:t>
      </w:r>
    </w:p>
    <w:p w14:paraId="7C72D87F" w14:textId="77777777" w:rsidR="008A3A79" w:rsidRDefault="008A3A79" w:rsidP="003F110A">
      <w:pPr>
        <w:pStyle w:val="ListNumber"/>
        <w:spacing w:after="170"/>
      </w:pPr>
      <w:r>
        <w:t xml:space="preserve">As of 31 January 2020 (or if this date is not representative, a recent representative date), how many of your organisation's disability support and front-line supervisor staff are permanent and casual in terms of headcount? </w:t>
      </w:r>
      <w:r w:rsidRPr="003F110A">
        <w:rPr>
          <w:i/>
          <w:iCs/>
        </w:rPr>
        <w:t>Please do not include relief hires in your staff count.</w:t>
      </w:r>
    </w:p>
    <w:p w14:paraId="5CE881D6" w14:textId="77777777" w:rsidR="008A3A79" w:rsidRDefault="008A3A79" w:rsidP="00400621">
      <w:pPr>
        <w:pStyle w:val="AlphabeticList2"/>
        <w:numPr>
          <w:ilvl w:val="1"/>
          <w:numId w:val="34"/>
        </w:numPr>
        <w:spacing w:after="170"/>
      </w:pPr>
      <w:r>
        <w:t>Headcount - Direct Service Staff</w:t>
      </w:r>
    </w:p>
    <w:p w14:paraId="5EC9D8C4" w14:textId="77777777" w:rsidR="008A3A79" w:rsidRDefault="008A3A79" w:rsidP="003F110A">
      <w:pPr>
        <w:pStyle w:val="AlphabeticList2"/>
        <w:spacing w:after="170"/>
      </w:pPr>
      <w:r>
        <w:t>Headcount - Supervisors</w:t>
      </w:r>
    </w:p>
    <w:p w14:paraId="008DB1DF" w14:textId="77777777" w:rsidR="008A3A79" w:rsidRDefault="008A3A79" w:rsidP="003F110A">
      <w:pPr>
        <w:pStyle w:val="ListNumber"/>
        <w:spacing w:after="170"/>
      </w:pPr>
      <w:r>
        <w:t>W</w:t>
      </w:r>
      <w:r w:rsidRPr="009C62C2">
        <w:t xml:space="preserve">hat are the standard working hours per day for full time staff? </w:t>
      </w:r>
    </w:p>
    <w:p w14:paraId="56ED633F" w14:textId="77777777" w:rsidR="008A3A79" w:rsidRDefault="008A3A79" w:rsidP="00400621">
      <w:pPr>
        <w:pStyle w:val="AlphabeticList2"/>
        <w:numPr>
          <w:ilvl w:val="1"/>
          <w:numId w:val="33"/>
        </w:numPr>
        <w:spacing w:after="170"/>
      </w:pPr>
      <w:r>
        <w:t>Number of hours</w:t>
      </w:r>
    </w:p>
    <w:p w14:paraId="6C053A4F" w14:textId="77777777" w:rsidR="008A3A79" w:rsidRDefault="008A3A79" w:rsidP="003F110A">
      <w:pPr>
        <w:pStyle w:val="AlphabeticList2"/>
        <w:spacing w:after="170"/>
      </w:pPr>
      <w:r>
        <w:t>Number of minutes</w:t>
      </w:r>
    </w:p>
    <w:p w14:paraId="1F9AC683" w14:textId="77777777" w:rsidR="008A3A79" w:rsidRDefault="008A3A79" w:rsidP="003F110A">
      <w:pPr>
        <w:pStyle w:val="ListNumber"/>
        <w:spacing w:after="170"/>
      </w:pPr>
      <w:r>
        <w:t>As of 31 January 2020 (or if this date is not representative, a recent representative date), how many of your organisation’s staff (headcount) are direct client workers and supervisors?</w:t>
      </w:r>
    </w:p>
    <w:p w14:paraId="0FBE52F4" w14:textId="77777777" w:rsidR="008A3A79" w:rsidRDefault="008A3A79" w:rsidP="00400621">
      <w:pPr>
        <w:pStyle w:val="AlphabeticList2"/>
        <w:numPr>
          <w:ilvl w:val="1"/>
          <w:numId w:val="32"/>
        </w:numPr>
        <w:spacing w:after="170"/>
      </w:pPr>
      <w:r>
        <w:t>Headcount - Direct Service Staff</w:t>
      </w:r>
    </w:p>
    <w:p w14:paraId="1381196F" w14:textId="77777777" w:rsidR="008A3A79" w:rsidRDefault="008A3A79" w:rsidP="003F110A">
      <w:pPr>
        <w:pStyle w:val="AlphabeticList2"/>
        <w:spacing w:after="170"/>
      </w:pPr>
      <w:r>
        <w:t>Headcount – Supervisors</w:t>
      </w:r>
    </w:p>
    <w:p w14:paraId="5AB9730A" w14:textId="77777777" w:rsidR="008A3A79" w:rsidRDefault="008A3A79" w:rsidP="003F110A">
      <w:pPr>
        <w:pStyle w:val="ListNumber"/>
        <w:spacing w:after="170"/>
      </w:pPr>
      <w:r>
        <w:lastRenderedPageBreak/>
        <w:t>For your organisation’s financial year which ended in 2019, what were the total hours worked across the following roles?</w:t>
      </w:r>
    </w:p>
    <w:p w14:paraId="177F3DEC" w14:textId="77777777" w:rsidR="008A3A79" w:rsidRDefault="008A3A79" w:rsidP="00400621">
      <w:pPr>
        <w:pStyle w:val="AlphabeticList2"/>
        <w:numPr>
          <w:ilvl w:val="1"/>
          <w:numId w:val="31"/>
        </w:numPr>
        <w:spacing w:after="170"/>
      </w:pPr>
      <w:r>
        <w:t>Direct Service Staff</w:t>
      </w:r>
    </w:p>
    <w:p w14:paraId="077740CF" w14:textId="77777777" w:rsidR="008A3A79" w:rsidRDefault="008A3A79" w:rsidP="003F110A">
      <w:pPr>
        <w:pStyle w:val="AlphabeticList2"/>
        <w:spacing w:after="170"/>
      </w:pPr>
      <w:r>
        <w:t>Supervisors</w:t>
      </w:r>
      <w:r w:rsidRPr="00843E5D">
        <w:t xml:space="preserve"> </w:t>
      </w:r>
    </w:p>
    <w:p w14:paraId="04FDEFEA" w14:textId="77777777" w:rsidR="008A3A79" w:rsidRDefault="008A3A79" w:rsidP="003F110A">
      <w:pPr>
        <w:pStyle w:val="ListNumber"/>
        <w:spacing w:after="170"/>
      </w:pPr>
      <w:r>
        <w:t xml:space="preserve">Please describe your organisation’s ratio of casual work to permanent work on weekdays and weekends on average over financial year which ended in 2019 (headcount). </w:t>
      </w:r>
    </w:p>
    <w:p w14:paraId="1CE985A7" w14:textId="77777777" w:rsidR="008A3A79" w:rsidRDefault="008A3A79" w:rsidP="00400621">
      <w:pPr>
        <w:pStyle w:val="AlphabeticList2"/>
        <w:numPr>
          <w:ilvl w:val="1"/>
          <w:numId w:val="30"/>
        </w:numPr>
        <w:spacing w:after="170"/>
      </w:pPr>
      <w:r>
        <w:t>Weekdays</w:t>
      </w:r>
    </w:p>
    <w:p w14:paraId="45B92080" w14:textId="77777777" w:rsidR="008A3A79" w:rsidRDefault="008A3A79" w:rsidP="003F110A">
      <w:pPr>
        <w:pStyle w:val="AlphabeticList2"/>
        <w:spacing w:after="170"/>
      </w:pPr>
      <w:r>
        <w:t>Weekends</w:t>
      </w:r>
    </w:p>
    <w:p w14:paraId="6A209741" w14:textId="77777777" w:rsidR="008A3A79" w:rsidRDefault="008A3A79" w:rsidP="00F173BE">
      <w:pPr>
        <w:pStyle w:val="HeadingA"/>
      </w:pPr>
      <w:r>
        <w:t>Wage and salary questions</w:t>
      </w:r>
    </w:p>
    <w:p w14:paraId="7F5780C3" w14:textId="77777777" w:rsidR="008A3A79" w:rsidRPr="00253AF7" w:rsidRDefault="008A3A79" w:rsidP="003F110A">
      <w:pPr>
        <w:contextualSpacing/>
        <w:rPr>
          <w:i/>
          <w:iCs/>
        </w:rPr>
      </w:pPr>
      <w:r w:rsidRPr="00253AF7">
        <w:rPr>
          <w:i/>
          <w:iCs/>
        </w:rPr>
        <w:t>This section asks questions about your payment arrangements for your disability support staff and front-line supervisors only.</w:t>
      </w:r>
    </w:p>
    <w:p w14:paraId="5AF3A51C" w14:textId="77777777" w:rsidR="008A3A79" w:rsidRDefault="008A3A79" w:rsidP="003F110A">
      <w:pPr>
        <w:pStyle w:val="ListNumber"/>
        <w:spacing w:after="170"/>
      </w:pPr>
      <w:r w:rsidRPr="00144A30">
        <w:t>Does your organisation pay the majority of its disability support staff and frontline supervisors delivering NDIS services in line with a recognised Award?</w:t>
      </w:r>
    </w:p>
    <w:p w14:paraId="50120F25" w14:textId="77777777" w:rsidR="008A3A79" w:rsidRDefault="008A3A79" w:rsidP="00400621">
      <w:pPr>
        <w:pStyle w:val="AlphabeticList2"/>
        <w:numPr>
          <w:ilvl w:val="1"/>
          <w:numId w:val="29"/>
        </w:numPr>
        <w:spacing w:after="170"/>
      </w:pPr>
      <w:r>
        <w:t xml:space="preserve">Social, Community, Home Care and Disability Services Industry Award 2010 (SCHADS Award [MA000100]) </w:t>
      </w:r>
    </w:p>
    <w:p w14:paraId="5FDBCE77" w14:textId="77777777" w:rsidR="008A3A79" w:rsidRDefault="008A3A79" w:rsidP="003F110A">
      <w:pPr>
        <w:pStyle w:val="AlphabeticList2"/>
        <w:spacing w:after="170"/>
      </w:pPr>
      <w:r w:rsidRPr="00144A30">
        <w:t xml:space="preserve">Other Award (please specify) </w:t>
      </w:r>
      <w:r>
        <w:t>–</w:t>
      </w:r>
      <w:r w:rsidRPr="00144A30">
        <w:t xml:space="preserve"> Text</w:t>
      </w:r>
    </w:p>
    <w:p w14:paraId="0E8C84C6" w14:textId="77777777" w:rsidR="008A3A79" w:rsidRDefault="008A3A79" w:rsidP="003F110A">
      <w:pPr>
        <w:pStyle w:val="AlphabeticList2"/>
        <w:spacing w:after="170"/>
      </w:pPr>
      <w:r w:rsidRPr="00144A30">
        <w:t xml:space="preserve">Not Award (e.g. Enterprise Bargaining Agreement, please specify) </w:t>
      </w:r>
      <w:r>
        <w:t>–</w:t>
      </w:r>
      <w:r w:rsidRPr="00144A30">
        <w:t xml:space="preserve"> Text</w:t>
      </w:r>
    </w:p>
    <w:p w14:paraId="3FCE55BB" w14:textId="77777777" w:rsidR="008A3A79" w:rsidRDefault="008A3A79" w:rsidP="003F110A">
      <w:pPr>
        <w:pStyle w:val="ListNumber"/>
        <w:spacing w:after="170"/>
      </w:pPr>
      <w:r>
        <w:t xml:space="preserve">Please enter the percentage distribution of front-line disability support staff and front-line supervisors (based on headcount) against the following pay levels as at 31 January 2020. </w:t>
      </w:r>
      <w:r w:rsidRPr="009C62C2">
        <w:rPr>
          <w:i/>
          <w:iCs/>
        </w:rPr>
        <w:t>Distribution -</w:t>
      </w:r>
      <w:r>
        <w:t xml:space="preserve"> </w:t>
      </w:r>
      <w:r w:rsidRPr="009C62C2">
        <w:rPr>
          <w:i/>
          <w:iCs/>
        </w:rPr>
        <w:t>Disability Support Staff</w:t>
      </w:r>
    </w:p>
    <w:p w14:paraId="69BBAA71" w14:textId="77777777" w:rsidR="008A3A79" w:rsidRDefault="008A3A79" w:rsidP="00400621">
      <w:pPr>
        <w:pStyle w:val="AlphabeticList2"/>
        <w:numPr>
          <w:ilvl w:val="1"/>
          <w:numId w:val="28"/>
        </w:numPr>
        <w:spacing w:after="170"/>
      </w:pPr>
      <w:r>
        <w:t>≤$25.00</w:t>
      </w:r>
    </w:p>
    <w:p w14:paraId="5F86A424" w14:textId="77777777" w:rsidR="008A3A79" w:rsidRDefault="008A3A79" w:rsidP="003F110A">
      <w:pPr>
        <w:pStyle w:val="AlphabeticList2"/>
        <w:spacing w:after="170"/>
      </w:pPr>
      <w:r>
        <w:t>$25.01-$27.49</w:t>
      </w:r>
    </w:p>
    <w:p w14:paraId="4B53D2EB" w14:textId="77777777" w:rsidR="008A3A79" w:rsidRDefault="008A3A79" w:rsidP="003F110A">
      <w:pPr>
        <w:pStyle w:val="AlphabeticList2"/>
        <w:spacing w:after="170"/>
      </w:pPr>
      <w:r>
        <w:t>$27.50-$29.99</w:t>
      </w:r>
    </w:p>
    <w:p w14:paraId="69CF530A" w14:textId="77777777" w:rsidR="008A3A79" w:rsidRDefault="008A3A79" w:rsidP="003F110A">
      <w:pPr>
        <w:pStyle w:val="AlphabeticList2"/>
        <w:spacing w:after="170"/>
      </w:pPr>
      <w:r>
        <w:t>$30.00-$32.49</w:t>
      </w:r>
    </w:p>
    <w:p w14:paraId="51B1A663" w14:textId="77777777" w:rsidR="008A3A79" w:rsidRDefault="008A3A79" w:rsidP="003F110A">
      <w:pPr>
        <w:pStyle w:val="AlphabeticList2"/>
        <w:spacing w:after="170"/>
      </w:pPr>
      <w:r>
        <w:t>$32.50-$34.99</w:t>
      </w:r>
    </w:p>
    <w:p w14:paraId="2748F231" w14:textId="77777777" w:rsidR="008A3A79" w:rsidRDefault="008A3A79" w:rsidP="003F110A">
      <w:pPr>
        <w:pStyle w:val="AlphabeticList2"/>
        <w:spacing w:after="170"/>
      </w:pPr>
      <w:r>
        <w:t>$35.00-$37.49</w:t>
      </w:r>
    </w:p>
    <w:p w14:paraId="34800D8E" w14:textId="77777777" w:rsidR="008A3A79" w:rsidRDefault="008A3A79" w:rsidP="003F110A">
      <w:pPr>
        <w:pStyle w:val="AlphabeticList2"/>
        <w:spacing w:after="170"/>
      </w:pPr>
      <w:r>
        <w:t>$37.50-$39.99</w:t>
      </w:r>
    </w:p>
    <w:p w14:paraId="2F94CC91" w14:textId="77777777" w:rsidR="008A3A79" w:rsidRDefault="008A3A79" w:rsidP="003F110A">
      <w:pPr>
        <w:pStyle w:val="AlphabeticList2"/>
        <w:spacing w:after="170"/>
      </w:pPr>
      <w:r>
        <w:t>$40.00-$44.99</w:t>
      </w:r>
    </w:p>
    <w:p w14:paraId="7A789131" w14:textId="77777777" w:rsidR="008A3A79" w:rsidRDefault="008A3A79" w:rsidP="003F110A">
      <w:pPr>
        <w:pStyle w:val="AlphabeticList2"/>
        <w:spacing w:after="170"/>
      </w:pPr>
      <w:r>
        <w:t>$45.00-$49.99</w:t>
      </w:r>
    </w:p>
    <w:p w14:paraId="7E66FFAE" w14:textId="77777777" w:rsidR="008A3A79" w:rsidRDefault="008A3A79" w:rsidP="003F110A">
      <w:pPr>
        <w:pStyle w:val="AlphabeticList2"/>
        <w:spacing w:after="170"/>
      </w:pPr>
      <w:r>
        <w:t>≥$50.00</w:t>
      </w:r>
    </w:p>
    <w:p w14:paraId="506BB237" w14:textId="474CC207" w:rsidR="008A3A79" w:rsidRDefault="008A3A79" w:rsidP="00400621">
      <w:pPr>
        <w:pStyle w:val="ListNumber"/>
        <w:numPr>
          <w:ilvl w:val="0"/>
          <w:numId w:val="39"/>
        </w:numPr>
        <w:spacing w:after="170"/>
      </w:pPr>
      <w:r>
        <w:t>Please enter the percentage distribution of front-line disability support staff and front-line supervisors (based on headcount) against the following pay levels as at 31 January 2020</w:t>
      </w:r>
      <w:r w:rsidR="00FE7EE0">
        <w:t>.</w:t>
      </w:r>
      <w:r>
        <w:t xml:space="preserve"> </w:t>
      </w:r>
      <w:r w:rsidRPr="009C62C2">
        <w:rPr>
          <w:i/>
          <w:iCs/>
        </w:rPr>
        <w:t>Distribution -</w:t>
      </w:r>
      <w:r>
        <w:t xml:space="preserve"> </w:t>
      </w:r>
      <w:r w:rsidRPr="009C62C2">
        <w:rPr>
          <w:i/>
          <w:iCs/>
        </w:rPr>
        <w:t>Front Line Supervisors</w:t>
      </w:r>
    </w:p>
    <w:p w14:paraId="4EA0D97F" w14:textId="77777777" w:rsidR="008A3A79" w:rsidRDefault="008A3A79" w:rsidP="00400621">
      <w:pPr>
        <w:pStyle w:val="AlphabeticList2"/>
        <w:numPr>
          <w:ilvl w:val="1"/>
          <w:numId w:val="27"/>
        </w:numPr>
        <w:spacing w:after="170"/>
      </w:pPr>
      <w:r>
        <w:t>≤$25.00</w:t>
      </w:r>
    </w:p>
    <w:p w14:paraId="0BC4BE19" w14:textId="77777777" w:rsidR="008A3A79" w:rsidRDefault="008A3A79" w:rsidP="003F110A">
      <w:pPr>
        <w:pStyle w:val="AlphabeticList2"/>
        <w:spacing w:after="170"/>
      </w:pPr>
      <w:r>
        <w:t>$25.01-$27.49</w:t>
      </w:r>
    </w:p>
    <w:p w14:paraId="15BD7A36" w14:textId="77777777" w:rsidR="008A3A79" w:rsidRDefault="008A3A79" w:rsidP="003F110A">
      <w:pPr>
        <w:pStyle w:val="AlphabeticList2"/>
        <w:spacing w:after="170"/>
      </w:pPr>
      <w:r>
        <w:t>$27.50-$29.99</w:t>
      </w:r>
    </w:p>
    <w:p w14:paraId="210614C7" w14:textId="77777777" w:rsidR="008A3A79" w:rsidRDefault="008A3A79" w:rsidP="003F110A">
      <w:pPr>
        <w:pStyle w:val="AlphabeticList2"/>
        <w:spacing w:after="170"/>
      </w:pPr>
      <w:r>
        <w:t>$30.00-$32.49</w:t>
      </w:r>
    </w:p>
    <w:p w14:paraId="0157E1C0" w14:textId="77777777" w:rsidR="008A3A79" w:rsidRDefault="008A3A79" w:rsidP="003F110A">
      <w:pPr>
        <w:pStyle w:val="AlphabeticList2"/>
        <w:spacing w:after="170"/>
      </w:pPr>
      <w:r>
        <w:t>$32.50-$34.99</w:t>
      </w:r>
    </w:p>
    <w:p w14:paraId="237C32DB" w14:textId="77777777" w:rsidR="008A3A79" w:rsidRDefault="008A3A79" w:rsidP="003F110A">
      <w:pPr>
        <w:pStyle w:val="AlphabeticList2"/>
        <w:spacing w:after="170"/>
      </w:pPr>
      <w:r>
        <w:t>$35.00-$37.49</w:t>
      </w:r>
    </w:p>
    <w:p w14:paraId="6EB7C68F" w14:textId="77777777" w:rsidR="008A3A79" w:rsidRDefault="008A3A79" w:rsidP="003F110A">
      <w:pPr>
        <w:pStyle w:val="AlphabeticList2"/>
        <w:spacing w:after="170"/>
      </w:pPr>
      <w:r>
        <w:t>$37.50-$39.99</w:t>
      </w:r>
    </w:p>
    <w:p w14:paraId="1B4960D6" w14:textId="77777777" w:rsidR="008A3A79" w:rsidRDefault="008A3A79" w:rsidP="003F110A">
      <w:pPr>
        <w:pStyle w:val="AlphabeticList2"/>
        <w:spacing w:after="170"/>
      </w:pPr>
      <w:r>
        <w:t>$40.00-$44.99</w:t>
      </w:r>
    </w:p>
    <w:p w14:paraId="6914BDCB" w14:textId="77777777" w:rsidR="008A3A79" w:rsidRDefault="008A3A79" w:rsidP="003F110A">
      <w:pPr>
        <w:pStyle w:val="AlphabeticList2"/>
        <w:spacing w:after="170"/>
      </w:pPr>
      <w:r>
        <w:t>$45.00-$49.99</w:t>
      </w:r>
    </w:p>
    <w:p w14:paraId="5BC1FC98" w14:textId="77777777" w:rsidR="008A3A79" w:rsidRPr="005457EA" w:rsidRDefault="008A3A79" w:rsidP="003F110A">
      <w:pPr>
        <w:pStyle w:val="AlphabeticList2"/>
        <w:spacing w:after="170"/>
      </w:pPr>
      <w:r>
        <w:t>≥$50.00</w:t>
      </w:r>
    </w:p>
    <w:p w14:paraId="3C0449FB" w14:textId="77777777" w:rsidR="008A3A79" w:rsidRPr="004F0746" w:rsidRDefault="008A3A79" w:rsidP="003F110A">
      <w:pPr>
        <w:contextualSpacing/>
        <w:rPr>
          <w:i/>
          <w:iCs/>
        </w:rPr>
      </w:pPr>
      <w:r w:rsidRPr="004F0746">
        <w:rPr>
          <w:i/>
          <w:iCs/>
        </w:rPr>
        <w:t xml:space="preserve">Note following questions only apply to organisations that do not pay a SCHADS Award: </w:t>
      </w:r>
    </w:p>
    <w:p w14:paraId="0B96F834" w14:textId="77777777" w:rsidR="008A3A79" w:rsidRDefault="008A3A79" w:rsidP="003F110A">
      <w:pPr>
        <w:pStyle w:val="ListNumber"/>
        <w:spacing w:after="170"/>
        <w:contextualSpacing w:val="0"/>
      </w:pPr>
      <w:r>
        <w:t>For permanent staff, how many hours of annual leave are entitled per year?</w:t>
      </w:r>
    </w:p>
    <w:p w14:paraId="39BCAA73" w14:textId="77777777" w:rsidR="008A3A79" w:rsidRDefault="008A3A79" w:rsidP="003F110A">
      <w:pPr>
        <w:pStyle w:val="ListNumber"/>
        <w:spacing w:after="170"/>
        <w:contextualSpacing w:val="0"/>
      </w:pPr>
      <w:r>
        <w:t xml:space="preserve">For permanent staff, how many hours of long service leave are entitled per year? </w:t>
      </w:r>
    </w:p>
    <w:p w14:paraId="15E3C32A" w14:textId="77777777" w:rsidR="008A3A79" w:rsidRDefault="008A3A79" w:rsidP="003F110A">
      <w:pPr>
        <w:pStyle w:val="ListNumber"/>
        <w:spacing w:after="170"/>
        <w:contextualSpacing w:val="0"/>
      </w:pPr>
      <w:r>
        <w:t xml:space="preserve">For permanent staff, how many hours of personal/sick leave are entitled per year? </w:t>
      </w:r>
    </w:p>
    <w:p w14:paraId="5DC2DD60" w14:textId="77777777" w:rsidR="008A3A79" w:rsidRDefault="008A3A79" w:rsidP="003F110A">
      <w:pPr>
        <w:pStyle w:val="ListNumber"/>
        <w:spacing w:after="170"/>
        <w:contextualSpacing w:val="0"/>
      </w:pPr>
      <w:r>
        <w:lastRenderedPageBreak/>
        <w:t>What permanent and casual percentage loadings above the standard hourly base rate does your organisation apply on weekdays and weekends?</w:t>
      </w:r>
    </w:p>
    <w:p w14:paraId="17B391C8" w14:textId="77777777" w:rsidR="008A3A79" w:rsidRDefault="008A3A79" w:rsidP="00400621">
      <w:pPr>
        <w:pStyle w:val="AlphabeticList2"/>
        <w:numPr>
          <w:ilvl w:val="1"/>
          <w:numId w:val="26"/>
        </w:numPr>
        <w:spacing w:after="170"/>
      </w:pPr>
      <w:r>
        <w:t>Saturdays - Permanent loading</w:t>
      </w:r>
    </w:p>
    <w:p w14:paraId="5EEC5A54" w14:textId="77777777" w:rsidR="008A3A79" w:rsidRDefault="008A3A79" w:rsidP="003F110A">
      <w:pPr>
        <w:pStyle w:val="AlphabeticList2"/>
        <w:spacing w:after="170"/>
      </w:pPr>
      <w:r>
        <w:t>Sundays - Permanent loading</w:t>
      </w:r>
    </w:p>
    <w:p w14:paraId="2C523CF5" w14:textId="77777777" w:rsidR="008A3A79" w:rsidRDefault="008A3A79" w:rsidP="003F110A">
      <w:pPr>
        <w:pStyle w:val="AlphabeticList2"/>
        <w:spacing w:after="170"/>
      </w:pPr>
      <w:r>
        <w:t>Weekdays - Casual loading</w:t>
      </w:r>
    </w:p>
    <w:p w14:paraId="69F940D1" w14:textId="77777777" w:rsidR="008A3A79" w:rsidRDefault="008A3A79" w:rsidP="003F110A">
      <w:pPr>
        <w:pStyle w:val="AlphabeticList2"/>
        <w:spacing w:after="170"/>
      </w:pPr>
      <w:r>
        <w:t>Saturdays - Casual loading</w:t>
      </w:r>
    </w:p>
    <w:p w14:paraId="1A388C83" w14:textId="77777777" w:rsidR="008A3A79" w:rsidRDefault="008A3A79" w:rsidP="003F110A">
      <w:pPr>
        <w:pStyle w:val="AlphabeticList2"/>
        <w:spacing w:after="170"/>
      </w:pPr>
      <w:r>
        <w:t>Sundays - Casual loading</w:t>
      </w:r>
    </w:p>
    <w:p w14:paraId="0673375D" w14:textId="77777777" w:rsidR="008A3A79" w:rsidRPr="004F0746" w:rsidRDefault="008A3A79" w:rsidP="003F110A">
      <w:pPr>
        <w:contextualSpacing/>
        <w:rPr>
          <w:i/>
          <w:iCs/>
        </w:rPr>
      </w:pPr>
      <w:r w:rsidRPr="004F0746">
        <w:rPr>
          <w:i/>
          <w:iCs/>
        </w:rPr>
        <w:t>Note following questions apply to all organisations</w:t>
      </w:r>
    </w:p>
    <w:p w14:paraId="0D1F9FFD" w14:textId="77777777" w:rsidR="008A3A79" w:rsidRDefault="008A3A79" w:rsidP="003F110A">
      <w:pPr>
        <w:pStyle w:val="ListNumber"/>
        <w:spacing w:after="170"/>
        <w:contextualSpacing w:val="0"/>
      </w:pPr>
      <w:r>
        <w:t xml:space="preserve">What percentage of superannuation does your organisation pay? </w:t>
      </w:r>
    </w:p>
    <w:p w14:paraId="11495F0A" w14:textId="77777777" w:rsidR="008A3A79" w:rsidRDefault="008A3A79" w:rsidP="003F110A">
      <w:pPr>
        <w:pStyle w:val="ListNumber"/>
        <w:spacing w:after="170"/>
        <w:contextualSpacing w:val="0"/>
      </w:pPr>
      <w:r>
        <w:t xml:space="preserve">Does your organisation pay its workers an allowance? </w:t>
      </w:r>
      <w:r w:rsidRPr="009C62C2">
        <w:rPr>
          <w:i/>
          <w:iCs/>
        </w:rPr>
        <w:t>Examples of allowances include costs for travel</w:t>
      </w:r>
      <w:r w:rsidRPr="003F110A">
        <w:rPr>
          <w:i/>
          <w:iCs/>
        </w:rPr>
        <w:t>, meals, phone bills or parking.</w:t>
      </w:r>
    </w:p>
    <w:p w14:paraId="46CFC9F7" w14:textId="77777777" w:rsidR="008A3A79" w:rsidRDefault="008A3A79" w:rsidP="00400621">
      <w:pPr>
        <w:pStyle w:val="AlphabeticList2"/>
        <w:numPr>
          <w:ilvl w:val="1"/>
          <w:numId w:val="25"/>
        </w:numPr>
        <w:spacing w:after="170"/>
      </w:pPr>
      <w:r>
        <w:t>Yes - The proportion of workers in our organisation who are paid an allowance is:</w:t>
      </w:r>
    </w:p>
    <w:p w14:paraId="2C83DF93" w14:textId="77777777" w:rsidR="008A3A79" w:rsidRDefault="008A3A79" w:rsidP="003F110A">
      <w:pPr>
        <w:pStyle w:val="AlphabeticList2"/>
        <w:spacing w:after="170"/>
      </w:pPr>
      <w:r>
        <w:t>No - our organisation does not pay any of its workers an allowance.</w:t>
      </w:r>
    </w:p>
    <w:p w14:paraId="5A24D1E2" w14:textId="77777777" w:rsidR="008A3A79" w:rsidRDefault="008A3A79" w:rsidP="003F110A">
      <w:pPr>
        <w:pStyle w:val="ListNumber"/>
        <w:spacing w:after="170"/>
      </w:pPr>
      <w:r>
        <w:t>You have indicated that some or all workers in your organisation are paid an allowance. Please tick all types of allowances that your organisation pays its workers:</w:t>
      </w:r>
    </w:p>
    <w:p w14:paraId="5194AFE1" w14:textId="77777777" w:rsidR="008A3A79" w:rsidRDefault="008A3A79" w:rsidP="00400621">
      <w:pPr>
        <w:pStyle w:val="AlphabeticList2"/>
        <w:numPr>
          <w:ilvl w:val="1"/>
          <w:numId w:val="24"/>
        </w:numPr>
        <w:spacing w:after="170"/>
      </w:pPr>
      <w:r w:rsidRPr="00382D54">
        <w:t>Using their own vehicles</w:t>
      </w:r>
    </w:p>
    <w:p w14:paraId="502C3057" w14:textId="77777777" w:rsidR="008A3A79" w:rsidRDefault="008A3A79" w:rsidP="003F110A">
      <w:pPr>
        <w:pStyle w:val="AlphabeticList2"/>
        <w:spacing w:after="170"/>
      </w:pPr>
      <w:r w:rsidRPr="00382D54">
        <w:t>Other allowances</w:t>
      </w:r>
    </w:p>
    <w:p w14:paraId="4A475F22" w14:textId="77777777" w:rsidR="008A3A79" w:rsidRPr="000410FD" w:rsidRDefault="008A3A79" w:rsidP="003F110A">
      <w:pPr>
        <w:pStyle w:val="ListNumber"/>
        <w:spacing w:after="170"/>
        <w:contextualSpacing w:val="0"/>
      </w:pPr>
      <w:r>
        <w:t>What is the average dollar amount per worker (direct support and frontline supervisor) per year, for travel allowances?</w:t>
      </w:r>
      <w:r w:rsidRPr="000410FD">
        <w:t xml:space="preserve"> </w:t>
      </w:r>
      <w:r w:rsidRPr="009C62C2">
        <w:rPr>
          <w:i/>
          <w:iCs/>
        </w:rPr>
        <w:t>Th</w:t>
      </w:r>
      <w:r w:rsidRPr="003F110A">
        <w:rPr>
          <w:i/>
          <w:iCs/>
        </w:rPr>
        <w:t>is is calculated as total allowances divided by total workers – not just workers who get an allowance.</w:t>
      </w:r>
    </w:p>
    <w:p w14:paraId="2F1979EA" w14:textId="77777777" w:rsidR="008A3A79" w:rsidRPr="00BD076F" w:rsidRDefault="008A3A79" w:rsidP="003F110A">
      <w:pPr>
        <w:pStyle w:val="ListNumber"/>
        <w:spacing w:after="170"/>
        <w:contextualSpacing w:val="0"/>
      </w:pPr>
      <w:r>
        <w:t xml:space="preserve">What is the average dollar amount per worker (direct support and frontline supervisor) per year, for other allowances? </w:t>
      </w:r>
      <w:r w:rsidRPr="009C62C2">
        <w:rPr>
          <w:i/>
          <w:iCs/>
        </w:rPr>
        <w:t>This is calculated as total allowa</w:t>
      </w:r>
      <w:r w:rsidRPr="003F110A">
        <w:rPr>
          <w:i/>
          <w:iCs/>
        </w:rPr>
        <w:t>nces divided by total workers – not just workers who get an allowance. 'Other allowances' could include, but are not limited to examples such as meals, phone bills and parking.</w:t>
      </w:r>
    </w:p>
    <w:p w14:paraId="7F66C252" w14:textId="77777777" w:rsidR="008A3A79" w:rsidRDefault="008A3A79" w:rsidP="003F110A">
      <w:pPr>
        <w:pStyle w:val="ListNumber"/>
        <w:spacing w:after="170"/>
        <w:contextualSpacing w:val="0"/>
      </w:pPr>
      <w:r>
        <w:t xml:space="preserve">For the jurisdiction where your organisation generates the largest source of its NDIS revenue, what was the workers compensation premium that your organisation paid, as a proportion of wages and salaries? </w:t>
      </w:r>
      <w:r w:rsidRPr="003F110A">
        <w:rPr>
          <w:i/>
          <w:iCs/>
        </w:rPr>
        <w:t>This will be shown on your latest workers compensation premium notice.</w:t>
      </w:r>
    </w:p>
    <w:p w14:paraId="2439CC76" w14:textId="77777777" w:rsidR="008A3A79" w:rsidRDefault="008A3A79" w:rsidP="00F173BE">
      <w:pPr>
        <w:pStyle w:val="HeadingA"/>
      </w:pPr>
      <w:r>
        <w:t>Utilisation and business costs</w:t>
      </w:r>
    </w:p>
    <w:p w14:paraId="58658A55" w14:textId="77777777" w:rsidR="008A3A79" w:rsidRPr="00EE3E01" w:rsidRDefault="008A3A79" w:rsidP="003F110A">
      <w:pPr>
        <w:contextualSpacing/>
        <w:rPr>
          <w:i/>
          <w:iCs/>
        </w:rPr>
      </w:pPr>
      <w:r w:rsidRPr="00EE3E01">
        <w:rPr>
          <w:i/>
          <w:iCs/>
        </w:rPr>
        <w:t>This section will ask you questions about how your organisation's business costs and staff utilisation.</w:t>
      </w:r>
    </w:p>
    <w:p w14:paraId="4A78B2F3" w14:textId="05A6ACA3" w:rsidR="008A3A79" w:rsidRDefault="008A3A79" w:rsidP="003F110A">
      <w:pPr>
        <w:pStyle w:val="ListNumber"/>
        <w:spacing w:after="170"/>
      </w:pPr>
      <w:r>
        <w:t>On average over the financial year which ended in 2019, what proportion of time did an average disability support worker spend on the following activities?</w:t>
      </w:r>
      <w:r w:rsidRPr="00557784">
        <w:t xml:space="preserve"> </w:t>
      </w:r>
      <w:r w:rsidRPr="009C62C2">
        <w:rPr>
          <w:i/>
          <w:iCs/>
        </w:rPr>
        <w:t>'General administration'</w:t>
      </w:r>
      <w:r w:rsidRPr="003F110A">
        <w:rPr>
          <w:i/>
          <w:iCs/>
        </w:rPr>
        <w:t xml:space="preserve"> for the purposes of this question refers to all administration activities which are not directly related to a particular client</w:t>
      </w:r>
      <w:r w:rsidRPr="003F110A">
        <w:t>.</w:t>
      </w:r>
    </w:p>
    <w:p w14:paraId="1375E67A" w14:textId="77777777" w:rsidR="008A3A79" w:rsidRDefault="008A3A79" w:rsidP="00400621">
      <w:pPr>
        <w:pStyle w:val="AlphabeticList2"/>
        <w:numPr>
          <w:ilvl w:val="1"/>
          <w:numId w:val="23"/>
        </w:numPr>
        <w:spacing w:after="170"/>
      </w:pPr>
      <w:r>
        <w:t>Billable Time (including billable travel)</w:t>
      </w:r>
    </w:p>
    <w:p w14:paraId="2D1793C3" w14:textId="791F72E8" w:rsidR="008A3A79" w:rsidRDefault="00BA74A6" w:rsidP="003F110A">
      <w:pPr>
        <w:pStyle w:val="AlphabeticList2"/>
        <w:spacing w:after="170"/>
      </w:pPr>
      <w:r>
        <w:t>Non-Billable</w:t>
      </w:r>
      <w:r w:rsidR="008A3A79">
        <w:t xml:space="preserve"> Travel </w:t>
      </w:r>
    </w:p>
    <w:p w14:paraId="7C8C7794" w14:textId="77777777" w:rsidR="008A3A79" w:rsidRDefault="008A3A79" w:rsidP="003F110A">
      <w:pPr>
        <w:pStyle w:val="AlphabeticList2"/>
        <w:spacing w:after="170"/>
      </w:pPr>
      <w:r>
        <w:t>Training</w:t>
      </w:r>
    </w:p>
    <w:p w14:paraId="33D45D81" w14:textId="77777777" w:rsidR="008A3A79" w:rsidRDefault="008A3A79" w:rsidP="003F110A">
      <w:pPr>
        <w:pStyle w:val="AlphabeticList2"/>
        <w:spacing w:after="170"/>
      </w:pPr>
      <w:r>
        <w:t>Breaks</w:t>
      </w:r>
    </w:p>
    <w:p w14:paraId="7513F7B3" w14:textId="77777777" w:rsidR="008A3A79" w:rsidRDefault="008A3A79" w:rsidP="003F110A">
      <w:pPr>
        <w:pStyle w:val="AlphabeticList2"/>
        <w:spacing w:after="170"/>
      </w:pPr>
      <w:r>
        <w:t>Client-Related Admin</w:t>
      </w:r>
    </w:p>
    <w:p w14:paraId="1A128611" w14:textId="77777777" w:rsidR="008A3A79" w:rsidRDefault="008A3A79" w:rsidP="003F110A">
      <w:pPr>
        <w:pStyle w:val="AlphabeticList2"/>
        <w:spacing w:after="170"/>
      </w:pPr>
      <w:r>
        <w:t>Gen admin and other tasks</w:t>
      </w:r>
    </w:p>
    <w:p w14:paraId="53ADED5A" w14:textId="77777777" w:rsidR="008A3A79" w:rsidRDefault="008A3A79" w:rsidP="003F110A">
      <w:pPr>
        <w:pStyle w:val="AlphabeticList2"/>
        <w:spacing w:after="170"/>
      </w:pPr>
      <w:r>
        <w:t>Total</w:t>
      </w:r>
    </w:p>
    <w:p w14:paraId="527771DB" w14:textId="48ADA175" w:rsidR="008A3A79" w:rsidRPr="004D07AF" w:rsidRDefault="008A3A79" w:rsidP="003F110A">
      <w:pPr>
        <w:pStyle w:val="ListNumber"/>
        <w:spacing w:after="170"/>
      </w:pPr>
      <w:bookmarkStart w:id="273" w:name="_Hlk36374727"/>
      <w:r>
        <w:t xml:space="preserve">For your organisation's financial year which ended in 2019, what was your organisation's total ongoing revenue? </w:t>
      </w:r>
      <w:r w:rsidRPr="009C62C2">
        <w:rPr>
          <w:i/>
          <w:iCs/>
        </w:rPr>
        <w:t>Total ongoing revenue includes all revenue from ongoing operations, but</w:t>
      </w:r>
      <w:r w:rsidRPr="003F110A">
        <w:rPr>
          <w:i/>
          <w:iCs/>
        </w:rPr>
        <w:t xml:space="preserve"> excludes any large one-off items (such as proceeds from sales of fixed assets such as land and buildings)</w:t>
      </w:r>
      <w:r w:rsidRPr="003F110A">
        <w:t>.</w:t>
      </w:r>
    </w:p>
    <w:p w14:paraId="4B57C86F" w14:textId="77777777" w:rsidR="008A3A79" w:rsidRDefault="008A3A79" w:rsidP="00400621">
      <w:pPr>
        <w:pStyle w:val="AlphabeticList2"/>
        <w:numPr>
          <w:ilvl w:val="1"/>
          <w:numId w:val="22"/>
        </w:numPr>
        <w:spacing w:after="170"/>
      </w:pPr>
      <w:r>
        <w:t>Total revenue</w:t>
      </w:r>
    </w:p>
    <w:p w14:paraId="01B1170E" w14:textId="77777777" w:rsidR="008A3A79" w:rsidRDefault="008A3A79" w:rsidP="003F110A">
      <w:pPr>
        <w:pStyle w:val="ListNumber"/>
        <w:spacing w:after="170"/>
      </w:pPr>
      <w:r>
        <w:lastRenderedPageBreak/>
        <w:t xml:space="preserve">For your organisation’s financial year which ended in 2019, what was your organisation’s total current assets and total current liabilities as at the beginning of period and end of period? </w:t>
      </w:r>
    </w:p>
    <w:p w14:paraId="01CE2791" w14:textId="77777777" w:rsidR="008A3A79" w:rsidRDefault="008A3A79" w:rsidP="00400621">
      <w:pPr>
        <w:pStyle w:val="AlphabeticList2"/>
        <w:numPr>
          <w:ilvl w:val="1"/>
          <w:numId w:val="21"/>
        </w:numPr>
        <w:spacing w:after="170"/>
      </w:pPr>
      <w:r w:rsidRPr="00006B17">
        <w:t>Total current assets - Beginning of financial year value ($)</w:t>
      </w:r>
    </w:p>
    <w:p w14:paraId="5CD090FC" w14:textId="77777777" w:rsidR="008A3A79" w:rsidRDefault="008A3A79" w:rsidP="003F110A">
      <w:pPr>
        <w:pStyle w:val="AlphabeticList2"/>
        <w:spacing w:after="170"/>
      </w:pPr>
      <w:r w:rsidRPr="00006B17">
        <w:t>Total current assets - End of financial year value ($)</w:t>
      </w:r>
    </w:p>
    <w:p w14:paraId="485703EF" w14:textId="77777777" w:rsidR="008A3A79" w:rsidRDefault="008A3A79" w:rsidP="003F110A">
      <w:pPr>
        <w:pStyle w:val="AlphabeticList2"/>
        <w:spacing w:after="170"/>
      </w:pPr>
      <w:r w:rsidRPr="007C281E">
        <w:t>Total current liabilities - Beginning of financial year value ($)</w:t>
      </w:r>
    </w:p>
    <w:p w14:paraId="4D3ECBB4" w14:textId="77777777" w:rsidR="008A3A79" w:rsidRDefault="008A3A79" w:rsidP="003F110A">
      <w:pPr>
        <w:pStyle w:val="AlphabeticList2"/>
        <w:spacing w:after="170"/>
      </w:pPr>
      <w:r w:rsidRPr="007C281E">
        <w:t>Total current liabilities - End of financial year value ($)</w:t>
      </w:r>
    </w:p>
    <w:p w14:paraId="7D199719" w14:textId="59A324D3" w:rsidR="008A3A79" w:rsidRDefault="008A3A79" w:rsidP="003F110A">
      <w:pPr>
        <w:pStyle w:val="ListNumber"/>
        <w:spacing w:after="170"/>
      </w:pPr>
      <w:r>
        <w:t xml:space="preserve">For your organisation’s financial year which ended in 2019, what were the total direct costs incurred by your organisation? </w:t>
      </w:r>
      <w:r w:rsidRPr="009C62C2">
        <w:rPr>
          <w:i/>
          <w:iCs/>
        </w:rPr>
        <w:t>Direct costs include labour costs for front-line staff and supervisors, as well as for con</w:t>
      </w:r>
      <w:r w:rsidRPr="003F110A">
        <w:rPr>
          <w:i/>
          <w:iCs/>
        </w:rPr>
        <w:t>sumables (these are costs such as travel mileage, fuel, cleaning and showering products, continence products/and/or bin bags).</w:t>
      </w:r>
    </w:p>
    <w:p w14:paraId="59C68AB3" w14:textId="77777777" w:rsidR="008A3A79" w:rsidRDefault="008A3A79" w:rsidP="00400621">
      <w:pPr>
        <w:pStyle w:val="AlphabeticList2"/>
        <w:numPr>
          <w:ilvl w:val="1"/>
          <w:numId w:val="20"/>
        </w:numPr>
        <w:spacing w:after="170"/>
      </w:pPr>
      <w:r>
        <w:t xml:space="preserve">Front-line staff costs </w:t>
      </w:r>
    </w:p>
    <w:p w14:paraId="30C3CF2B" w14:textId="77777777" w:rsidR="008A3A79" w:rsidRDefault="008A3A79" w:rsidP="003F110A">
      <w:pPr>
        <w:pStyle w:val="AlphabeticList2"/>
        <w:spacing w:after="170"/>
      </w:pPr>
      <w:r>
        <w:t xml:space="preserve">Supervisor staff costs </w:t>
      </w:r>
    </w:p>
    <w:p w14:paraId="62EF6BCD" w14:textId="77777777" w:rsidR="008A3A79" w:rsidRDefault="008A3A79" w:rsidP="003F110A">
      <w:pPr>
        <w:pStyle w:val="AlphabeticList2"/>
        <w:spacing w:after="170"/>
      </w:pPr>
      <w:r>
        <w:t xml:space="preserve">Direct consumables </w:t>
      </w:r>
    </w:p>
    <w:p w14:paraId="160786BE" w14:textId="5B8EA475" w:rsidR="008A3A79" w:rsidRDefault="008A3A79" w:rsidP="003F110A">
      <w:pPr>
        <w:pStyle w:val="ListNumber"/>
        <w:spacing w:after="170"/>
      </w:pPr>
      <w:r>
        <w:t>For your organisation’s financial year which ended in 2019, what were the total Overhead or indirect costs incurred by your organisation for each of the following categories?</w:t>
      </w:r>
      <w:r w:rsidR="009B62E7">
        <w:t xml:space="preserve"> </w:t>
      </w:r>
      <w:r w:rsidRPr="009C62C2">
        <w:rPr>
          <w:i/>
          <w:iCs/>
        </w:rPr>
        <w:t>The sum of the numbers included in the boxes should be equal to your organisation’s total expenses for financial year 2019, less the costs pro</w:t>
      </w:r>
      <w:r w:rsidRPr="003F110A">
        <w:rPr>
          <w:i/>
          <w:iCs/>
        </w:rPr>
        <w:t xml:space="preserve">vided in Q28. Please exclude Cost of Goods Sold from your overheads. </w:t>
      </w:r>
      <w:r w:rsidRPr="009C62C2">
        <w:rPr>
          <w:i/>
          <w:iCs/>
        </w:rPr>
        <w:t>If unsure of your organisation’s depreciation, please enter ‘0’ into the depreciation box</w:t>
      </w:r>
      <w:r w:rsidR="00FE7EE0" w:rsidRPr="003F110A">
        <w:rPr>
          <w:i/>
          <w:iCs/>
        </w:rPr>
        <w:t>.</w:t>
      </w:r>
    </w:p>
    <w:p w14:paraId="39C8F6BF" w14:textId="77777777" w:rsidR="008A3A79" w:rsidRDefault="008A3A79" w:rsidP="00400621">
      <w:pPr>
        <w:pStyle w:val="AlphabeticList2"/>
        <w:numPr>
          <w:ilvl w:val="1"/>
          <w:numId w:val="19"/>
        </w:numPr>
        <w:spacing w:after="170"/>
      </w:pPr>
      <w:r>
        <w:t xml:space="preserve">Nonservice level staff (i.e. admin staff and all staff that are not disability support workers or frontline supervisors) </w:t>
      </w:r>
    </w:p>
    <w:p w14:paraId="6DAEE16A" w14:textId="77777777" w:rsidR="008A3A79" w:rsidRDefault="008A3A79" w:rsidP="003F110A">
      <w:pPr>
        <w:pStyle w:val="AlphabeticList2"/>
        <w:spacing w:after="170"/>
      </w:pPr>
      <w:r>
        <w:t>Insurance premiums</w:t>
      </w:r>
    </w:p>
    <w:p w14:paraId="690A8C27" w14:textId="77777777" w:rsidR="008A3A79" w:rsidRDefault="008A3A79" w:rsidP="003F110A">
      <w:pPr>
        <w:pStyle w:val="AlphabeticList2"/>
        <w:spacing w:after="170"/>
      </w:pPr>
      <w:r>
        <w:t>Rent and fittings</w:t>
      </w:r>
    </w:p>
    <w:p w14:paraId="54AF9CB1" w14:textId="77777777" w:rsidR="008A3A79" w:rsidRDefault="008A3A79" w:rsidP="003F110A">
      <w:pPr>
        <w:pStyle w:val="AlphabeticList2"/>
        <w:spacing w:after="170"/>
      </w:pPr>
      <w:r>
        <w:t xml:space="preserve">Fleet </w:t>
      </w:r>
    </w:p>
    <w:p w14:paraId="701B1B0C" w14:textId="77777777" w:rsidR="008A3A79" w:rsidRDefault="008A3A79" w:rsidP="003F110A">
      <w:pPr>
        <w:pStyle w:val="AlphabeticList2"/>
        <w:spacing w:after="170"/>
      </w:pPr>
      <w:r>
        <w:t>Marketing</w:t>
      </w:r>
    </w:p>
    <w:p w14:paraId="5AE99903" w14:textId="77777777" w:rsidR="008A3A79" w:rsidRDefault="008A3A79" w:rsidP="003F110A">
      <w:pPr>
        <w:pStyle w:val="AlphabeticList2"/>
        <w:spacing w:after="170"/>
      </w:pPr>
      <w:r>
        <w:t xml:space="preserve">Accounting and audit </w:t>
      </w:r>
    </w:p>
    <w:p w14:paraId="4E9FF975" w14:textId="77777777" w:rsidR="008A3A79" w:rsidRDefault="008A3A79" w:rsidP="003F110A">
      <w:pPr>
        <w:pStyle w:val="AlphabeticList2"/>
        <w:spacing w:after="170"/>
      </w:pPr>
      <w:r>
        <w:t xml:space="preserve">IT and other costs </w:t>
      </w:r>
    </w:p>
    <w:p w14:paraId="6A31D086" w14:textId="77777777" w:rsidR="008A3A79" w:rsidRDefault="008A3A79" w:rsidP="003F110A">
      <w:pPr>
        <w:pStyle w:val="AlphabeticList2"/>
        <w:spacing w:after="170"/>
      </w:pPr>
      <w:r>
        <w:t xml:space="preserve">Depreciation </w:t>
      </w:r>
    </w:p>
    <w:p w14:paraId="1419886A" w14:textId="77777777" w:rsidR="008A3A79" w:rsidRDefault="008A3A79" w:rsidP="003F110A">
      <w:pPr>
        <w:pStyle w:val="AlphabeticList2"/>
        <w:spacing w:after="170"/>
      </w:pPr>
      <w:r>
        <w:t xml:space="preserve">Interest </w:t>
      </w:r>
    </w:p>
    <w:p w14:paraId="3292F4EB" w14:textId="77777777" w:rsidR="008A3A79" w:rsidRDefault="008A3A79" w:rsidP="003F110A">
      <w:pPr>
        <w:pStyle w:val="AlphabeticList2"/>
        <w:spacing w:after="170"/>
      </w:pPr>
      <w:r>
        <w:t>Other (excludes cost of goods sold)</w:t>
      </w:r>
    </w:p>
    <w:p w14:paraId="4ACAADDE" w14:textId="77777777" w:rsidR="008A3A79" w:rsidRDefault="008A3A79" w:rsidP="003F110A">
      <w:pPr>
        <w:pStyle w:val="AlphabeticList2"/>
        <w:spacing w:after="170"/>
      </w:pPr>
      <w:r>
        <w:t>Total</w:t>
      </w:r>
    </w:p>
    <w:bookmarkEnd w:id="273"/>
    <w:p w14:paraId="5C7CF6F6" w14:textId="77777777" w:rsidR="008A3A79" w:rsidRDefault="008A3A79" w:rsidP="003F110A">
      <w:pPr>
        <w:pStyle w:val="ListNumber"/>
        <w:spacing w:after="170"/>
      </w:pPr>
      <w:r>
        <w:t xml:space="preserve">How long did this survey take you to complete? </w:t>
      </w:r>
    </w:p>
    <w:p w14:paraId="411B28FD" w14:textId="77777777" w:rsidR="008A3A79" w:rsidRDefault="008A3A79" w:rsidP="00400621">
      <w:pPr>
        <w:pStyle w:val="AlphabeticList2"/>
        <w:numPr>
          <w:ilvl w:val="1"/>
          <w:numId w:val="18"/>
        </w:numPr>
        <w:spacing w:after="170"/>
      </w:pPr>
      <w:r>
        <w:t>Number of hours</w:t>
      </w:r>
    </w:p>
    <w:p w14:paraId="3C5729DC" w14:textId="77777777" w:rsidR="00F173BE" w:rsidRDefault="008A3A79" w:rsidP="003F110A">
      <w:pPr>
        <w:pStyle w:val="AlphabeticList2"/>
        <w:spacing w:after="170"/>
        <w:sectPr w:rsidR="00F173BE" w:rsidSect="008C5282">
          <w:footerReference w:type="default" r:id="rId45"/>
          <w:pgSz w:w="11906" w:h="16838" w:code="9"/>
          <w:pgMar w:top="1440" w:right="1440" w:bottom="1440" w:left="1440" w:header="680" w:footer="425" w:gutter="0"/>
          <w:pgNumType w:start="1"/>
          <w:cols w:space="284"/>
          <w:docGrid w:linePitch="360"/>
        </w:sectPr>
      </w:pPr>
      <w:r>
        <w:t>Number of minutes</w:t>
      </w:r>
    </w:p>
    <w:p w14:paraId="075D4E65" w14:textId="7007586F" w:rsidR="00CE2232" w:rsidRDefault="00822C69" w:rsidP="00AA0FE1">
      <w:pPr>
        <w:pStyle w:val="Appendixhead1"/>
        <w:ind w:left="0" w:firstLine="0"/>
        <w:rPr>
          <w:lang w:eastAsia="en-AU"/>
        </w:rPr>
      </w:pPr>
      <w:bookmarkStart w:id="274" w:name="_Ref36445015"/>
      <w:bookmarkStart w:id="275" w:name="_Toc40454662"/>
      <w:r>
        <w:rPr>
          <w:lang w:eastAsia="en-AU"/>
        </w:rPr>
        <w:lastRenderedPageBreak/>
        <w:t>Additional data output</w:t>
      </w:r>
      <w:bookmarkEnd w:id="271"/>
      <w:bookmarkEnd w:id="274"/>
      <w:bookmarkEnd w:id="275"/>
    </w:p>
    <w:p w14:paraId="56050273" w14:textId="4439D3CA" w:rsidR="00822C69" w:rsidRDefault="00AE50A9" w:rsidP="00822C69">
      <w:r>
        <w:fldChar w:fldCharType="begin"/>
      </w:r>
      <w:r>
        <w:instrText xml:space="preserve"> REF _Ref38985998 \r \h </w:instrText>
      </w:r>
      <w:r>
        <w:fldChar w:fldCharType="separate"/>
      </w:r>
      <w:r w:rsidR="00283637">
        <w:t>Table C.1</w:t>
      </w:r>
      <w:r>
        <w:fldChar w:fldCharType="end"/>
      </w:r>
      <w:r w:rsidR="00F173BE">
        <w:t xml:space="preserve"> aggregates key data points for selected variables</w:t>
      </w:r>
      <w:r w:rsidR="00AA0FE1">
        <w:t>.</w:t>
      </w:r>
    </w:p>
    <w:p w14:paraId="7182B4C0" w14:textId="0B6EEBDD" w:rsidR="00822C69" w:rsidRDefault="00325054" w:rsidP="00400621">
      <w:pPr>
        <w:pStyle w:val="AppendixTableCaption"/>
        <w:numPr>
          <w:ilvl w:val="6"/>
          <w:numId w:val="11"/>
        </w:numPr>
      </w:pPr>
      <w:bookmarkStart w:id="276" w:name="_Ref38985998"/>
      <w:bookmarkStart w:id="277" w:name="_Toc40454704"/>
      <w:r>
        <w:t>Percentiles</w:t>
      </w:r>
      <w:r w:rsidR="00AB5162">
        <w:t xml:space="preserve"> (PC)</w:t>
      </w:r>
      <w:r w:rsidR="000125F3">
        <w:t>, standard deviation, skew and kurtosis</w:t>
      </w:r>
      <w:bookmarkEnd w:id="276"/>
      <w:bookmarkEnd w:id="277"/>
    </w:p>
    <w:tbl>
      <w:tblPr>
        <w:tblW w:w="5000" w:type="pct"/>
        <w:tblLook w:val="04A0" w:firstRow="1" w:lastRow="0" w:firstColumn="1" w:lastColumn="0" w:noHBand="0" w:noVBand="1"/>
      </w:tblPr>
      <w:tblGrid>
        <w:gridCol w:w="1592"/>
        <w:gridCol w:w="1143"/>
        <w:gridCol w:w="852"/>
        <w:gridCol w:w="1000"/>
        <w:gridCol w:w="994"/>
        <w:gridCol w:w="1002"/>
        <w:gridCol w:w="994"/>
        <w:gridCol w:w="994"/>
        <w:gridCol w:w="1189"/>
        <w:gridCol w:w="1041"/>
        <w:gridCol w:w="1041"/>
        <w:gridCol w:w="1041"/>
        <w:gridCol w:w="1075"/>
      </w:tblGrid>
      <w:tr w:rsidR="00D247D3" w:rsidRPr="00AE50A9" w14:paraId="7006DFD8" w14:textId="4AC78B70" w:rsidTr="000A0826">
        <w:trPr>
          <w:trHeight w:val="240"/>
        </w:trPr>
        <w:tc>
          <w:tcPr>
            <w:tcW w:w="570" w:type="pct"/>
            <w:tcBorders>
              <w:top w:val="single" w:sz="24" w:space="0" w:color="62B5E5" w:themeColor="accent3"/>
              <w:left w:val="nil"/>
              <w:bottom w:val="single" w:sz="8" w:space="0" w:color="000000"/>
              <w:right w:val="nil"/>
            </w:tcBorders>
            <w:shd w:val="clear" w:color="auto" w:fill="auto"/>
            <w:vAlign w:val="center"/>
            <w:hideMark/>
          </w:tcPr>
          <w:p w14:paraId="73A2CBF9" w14:textId="2BD9FECE" w:rsidR="00D247D3" w:rsidRPr="00AE50A9" w:rsidRDefault="00D247D3" w:rsidP="000A0826">
            <w:pPr>
              <w:pStyle w:val="TableHeadingCentre"/>
              <w:rPr>
                <w:rFonts w:asciiTheme="minorHAnsi" w:hAnsiTheme="minorHAnsi"/>
                <w:sz w:val="16"/>
                <w:szCs w:val="16"/>
                <w:lang w:eastAsia="en-AU"/>
              </w:rPr>
            </w:pPr>
          </w:p>
        </w:tc>
        <w:tc>
          <w:tcPr>
            <w:tcW w:w="409" w:type="pct"/>
            <w:tcBorders>
              <w:top w:val="single" w:sz="24" w:space="0" w:color="62B5E5" w:themeColor="accent3"/>
              <w:left w:val="nil"/>
              <w:bottom w:val="single" w:sz="8" w:space="0" w:color="000000"/>
              <w:right w:val="nil"/>
            </w:tcBorders>
            <w:shd w:val="clear" w:color="auto" w:fill="auto"/>
            <w:vAlign w:val="center"/>
            <w:hideMark/>
          </w:tcPr>
          <w:p w14:paraId="47781761" w14:textId="7777777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Min</w:t>
            </w:r>
          </w:p>
        </w:tc>
        <w:tc>
          <w:tcPr>
            <w:tcW w:w="305" w:type="pct"/>
            <w:tcBorders>
              <w:top w:val="single" w:sz="24" w:space="0" w:color="62B5E5" w:themeColor="accent3"/>
              <w:left w:val="nil"/>
              <w:bottom w:val="single" w:sz="8" w:space="0" w:color="000000"/>
              <w:right w:val="nil"/>
            </w:tcBorders>
            <w:shd w:val="clear" w:color="auto" w:fill="auto"/>
            <w:vAlign w:val="center"/>
            <w:hideMark/>
          </w:tcPr>
          <w:p w14:paraId="6525C1D2" w14:textId="7777777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5</w:t>
            </w:r>
            <w:r w:rsidRPr="00AE50A9">
              <w:rPr>
                <w:rFonts w:asciiTheme="minorHAnsi" w:hAnsiTheme="minorHAnsi"/>
                <w:sz w:val="16"/>
                <w:szCs w:val="16"/>
                <w:vertAlign w:val="superscript"/>
                <w:lang w:eastAsia="en-AU"/>
              </w:rPr>
              <w:t>th</w:t>
            </w:r>
            <w:r w:rsidRPr="00AE50A9">
              <w:rPr>
                <w:rFonts w:asciiTheme="minorHAnsi" w:hAnsiTheme="minorHAnsi"/>
                <w:sz w:val="16"/>
                <w:szCs w:val="16"/>
                <w:lang w:eastAsia="en-AU"/>
              </w:rPr>
              <w:t xml:space="preserve"> PC</w:t>
            </w:r>
          </w:p>
        </w:tc>
        <w:tc>
          <w:tcPr>
            <w:tcW w:w="358" w:type="pct"/>
            <w:tcBorders>
              <w:top w:val="single" w:sz="24" w:space="0" w:color="62B5E5" w:themeColor="accent3"/>
              <w:left w:val="nil"/>
              <w:bottom w:val="single" w:sz="8" w:space="0" w:color="000000"/>
              <w:right w:val="nil"/>
            </w:tcBorders>
            <w:shd w:val="clear" w:color="auto" w:fill="auto"/>
            <w:vAlign w:val="center"/>
            <w:hideMark/>
          </w:tcPr>
          <w:p w14:paraId="74899078" w14:textId="7777777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10</w:t>
            </w:r>
            <w:r w:rsidRPr="00AE50A9">
              <w:rPr>
                <w:rFonts w:asciiTheme="minorHAnsi" w:hAnsiTheme="minorHAnsi"/>
                <w:sz w:val="16"/>
                <w:szCs w:val="16"/>
                <w:vertAlign w:val="superscript"/>
                <w:lang w:eastAsia="en-AU"/>
              </w:rPr>
              <w:t>th</w:t>
            </w:r>
            <w:r w:rsidRPr="00AE50A9">
              <w:rPr>
                <w:rFonts w:asciiTheme="minorHAnsi" w:hAnsiTheme="minorHAnsi"/>
                <w:sz w:val="16"/>
                <w:szCs w:val="16"/>
                <w:lang w:eastAsia="en-AU"/>
              </w:rPr>
              <w:t xml:space="preserve"> PC</w:t>
            </w:r>
          </w:p>
        </w:tc>
        <w:tc>
          <w:tcPr>
            <w:tcW w:w="356" w:type="pct"/>
            <w:tcBorders>
              <w:top w:val="single" w:sz="24" w:space="0" w:color="62B5E5" w:themeColor="accent3"/>
              <w:left w:val="nil"/>
              <w:bottom w:val="single" w:sz="8" w:space="0" w:color="000000"/>
              <w:right w:val="nil"/>
            </w:tcBorders>
            <w:vAlign w:val="center"/>
          </w:tcPr>
          <w:p w14:paraId="5C783D1C" w14:textId="7777777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25</w:t>
            </w:r>
            <w:r w:rsidRPr="00AE50A9">
              <w:rPr>
                <w:rFonts w:asciiTheme="minorHAnsi" w:hAnsiTheme="minorHAnsi"/>
                <w:sz w:val="16"/>
                <w:szCs w:val="16"/>
                <w:vertAlign w:val="superscript"/>
                <w:lang w:eastAsia="en-AU"/>
              </w:rPr>
              <w:t>th</w:t>
            </w:r>
            <w:r w:rsidRPr="00AE50A9">
              <w:rPr>
                <w:rFonts w:asciiTheme="minorHAnsi" w:hAnsiTheme="minorHAnsi"/>
                <w:sz w:val="16"/>
                <w:szCs w:val="16"/>
                <w:lang w:eastAsia="en-AU"/>
              </w:rPr>
              <w:t xml:space="preserve"> PC</w:t>
            </w:r>
          </w:p>
        </w:tc>
        <w:tc>
          <w:tcPr>
            <w:tcW w:w="359" w:type="pct"/>
            <w:tcBorders>
              <w:top w:val="single" w:sz="24" w:space="0" w:color="62B5E5" w:themeColor="accent3"/>
              <w:left w:val="nil"/>
              <w:bottom w:val="single" w:sz="8" w:space="0" w:color="000000"/>
              <w:right w:val="nil"/>
            </w:tcBorders>
            <w:vAlign w:val="center"/>
          </w:tcPr>
          <w:p w14:paraId="0BCD3C35" w14:textId="7777777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50</w:t>
            </w:r>
            <w:r w:rsidRPr="00AE50A9">
              <w:rPr>
                <w:rFonts w:asciiTheme="minorHAnsi" w:hAnsiTheme="minorHAnsi"/>
                <w:sz w:val="16"/>
                <w:szCs w:val="16"/>
                <w:vertAlign w:val="superscript"/>
                <w:lang w:eastAsia="en-AU"/>
              </w:rPr>
              <w:t>th</w:t>
            </w:r>
            <w:r w:rsidRPr="00AE50A9">
              <w:rPr>
                <w:rFonts w:asciiTheme="minorHAnsi" w:hAnsiTheme="minorHAnsi"/>
                <w:sz w:val="16"/>
                <w:szCs w:val="16"/>
                <w:lang w:eastAsia="en-AU"/>
              </w:rPr>
              <w:t xml:space="preserve"> PC</w:t>
            </w:r>
          </w:p>
        </w:tc>
        <w:tc>
          <w:tcPr>
            <w:tcW w:w="356" w:type="pct"/>
            <w:tcBorders>
              <w:top w:val="single" w:sz="24" w:space="0" w:color="62B5E5" w:themeColor="accent3"/>
              <w:left w:val="nil"/>
              <w:bottom w:val="single" w:sz="8" w:space="0" w:color="000000"/>
              <w:right w:val="nil"/>
            </w:tcBorders>
            <w:shd w:val="clear" w:color="auto" w:fill="auto"/>
            <w:vAlign w:val="center"/>
            <w:hideMark/>
          </w:tcPr>
          <w:p w14:paraId="5B8B7958" w14:textId="7777777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75</w:t>
            </w:r>
            <w:r w:rsidRPr="00AE50A9">
              <w:rPr>
                <w:rFonts w:asciiTheme="minorHAnsi" w:hAnsiTheme="minorHAnsi"/>
                <w:sz w:val="16"/>
                <w:szCs w:val="16"/>
                <w:vertAlign w:val="superscript"/>
                <w:lang w:eastAsia="en-AU"/>
              </w:rPr>
              <w:t>th</w:t>
            </w:r>
            <w:r w:rsidRPr="00AE50A9">
              <w:rPr>
                <w:rFonts w:asciiTheme="minorHAnsi" w:hAnsiTheme="minorHAnsi"/>
                <w:sz w:val="16"/>
                <w:szCs w:val="16"/>
                <w:lang w:eastAsia="en-AU"/>
              </w:rPr>
              <w:t xml:space="preserve"> PC</w:t>
            </w:r>
          </w:p>
        </w:tc>
        <w:tc>
          <w:tcPr>
            <w:tcW w:w="356" w:type="pct"/>
            <w:tcBorders>
              <w:top w:val="single" w:sz="24" w:space="0" w:color="62B5E5" w:themeColor="accent3"/>
              <w:left w:val="nil"/>
              <w:bottom w:val="single" w:sz="8" w:space="0" w:color="000000"/>
              <w:right w:val="nil"/>
            </w:tcBorders>
            <w:shd w:val="clear" w:color="auto" w:fill="auto"/>
            <w:vAlign w:val="center"/>
            <w:hideMark/>
          </w:tcPr>
          <w:p w14:paraId="10BB18BC" w14:textId="7777777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90</w:t>
            </w:r>
            <w:r w:rsidRPr="00AE50A9">
              <w:rPr>
                <w:rFonts w:asciiTheme="minorHAnsi" w:hAnsiTheme="minorHAnsi"/>
                <w:sz w:val="16"/>
                <w:szCs w:val="16"/>
                <w:vertAlign w:val="superscript"/>
                <w:lang w:eastAsia="en-AU"/>
              </w:rPr>
              <w:t>th</w:t>
            </w:r>
            <w:r w:rsidRPr="00AE50A9">
              <w:rPr>
                <w:rFonts w:asciiTheme="minorHAnsi" w:hAnsiTheme="minorHAnsi"/>
                <w:sz w:val="16"/>
                <w:szCs w:val="16"/>
                <w:lang w:eastAsia="en-AU"/>
              </w:rPr>
              <w:t xml:space="preserve"> PC</w:t>
            </w:r>
          </w:p>
        </w:tc>
        <w:tc>
          <w:tcPr>
            <w:tcW w:w="426" w:type="pct"/>
            <w:tcBorders>
              <w:top w:val="single" w:sz="24" w:space="0" w:color="62B5E5" w:themeColor="accent3"/>
              <w:left w:val="nil"/>
              <w:bottom w:val="single" w:sz="8" w:space="0" w:color="000000"/>
              <w:right w:val="nil"/>
            </w:tcBorders>
            <w:shd w:val="clear" w:color="auto" w:fill="auto"/>
            <w:vAlign w:val="center"/>
            <w:hideMark/>
          </w:tcPr>
          <w:p w14:paraId="74B0B01F" w14:textId="7777777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95</w:t>
            </w:r>
            <w:r w:rsidRPr="00AE50A9">
              <w:rPr>
                <w:rFonts w:asciiTheme="minorHAnsi" w:hAnsiTheme="minorHAnsi"/>
                <w:sz w:val="16"/>
                <w:szCs w:val="16"/>
                <w:vertAlign w:val="superscript"/>
                <w:lang w:eastAsia="en-AU"/>
              </w:rPr>
              <w:t>th</w:t>
            </w:r>
            <w:r w:rsidRPr="00AE50A9">
              <w:rPr>
                <w:rFonts w:asciiTheme="minorHAnsi" w:hAnsiTheme="minorHAnsi"/>
                <w:sz w:val="16"/>
                <w:szCs w:val="16"/>
                <w:lang w:eastAsia="en-AU"/>
              </w:rPr>
              <w:t xml:space="preserve"> PC</w:t>
            </w:r>
          </w:p>
        </w:tc>
        <w:tc>
          <w:tcPr>
            <w:tcW w:w="373" w:type="pct"/>
            <w:tcBorders>
              <w:top w:val="single" w:sz="24" w:space="0" w:color="62B5E5" w:themeColor="accent3"/>
              <w:left w:val="nil"/>
              <w:bottom w:val="single" w:sz="8" w:space="0" w:color="000000"/>
              <w:right w:val="nil"/>
            </w:tcBorders>
            <w:shd w:val="clear" w:color="auto" w:fill="auto"/>
            <w:vAlign w:val="center"/>
            <w:hideMark/>
          </w:tcPr>
          <w:p w14:paraId="39618E92" w14:textId="7777777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Max</w:t>
            </w:r>
          </w:p>
        </w:tc>
        <w:tc>
          <w:tcPr>
            <w:tcW w:w="373" w:type="pct"/>
            <w:tcBorders>
              <w:top w:val="single" w:sz="24" w:space="0" w:color="62B5E5" w:themeColor="accent3"/>
              <w:left w:val="nil"/>
              <w:bottom w:val="single" w:sz="8" w:space="0" w:color="000000"/>
              <w:right w:val="nil"/>
            </w:tcBorders>
            <w:vAlign w:val="center"/>
          </w:tcPr>
          <w:p w14:paraId="36B9A631" w14:textId="7BED12FF"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STD</w:t>
            </w:r>
          </w:p>
        </w:tc>
        <w:tc>
          <w:tcPr>
            <w:tcW w:w="373" w:type="pct"/>
            <w:tcBorders>
              <w:top w:val="single" w:sz="24" w:space="0" w:color="62B5E5" w:themeColor="accent3"/>
              <w:left w:val="nil"/>
              <w:bottom w:val="single" w:sz="8" w:space="0" w:color="000000"/>
              <w:right w:val="nil"/>
            </w:tcBorders>
            <w:vAlign w:val="center"/>
          </w:tcPr>
          <w:p w14:paraId="5CBB886E" w14:textId="50FEB3A7"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Skew</w:t>
            </w:r>
          </w:p>
        </w:tc>
        <w:tc>
          <w:tcPr>
            <w:tcW w:w="385" w:type="pct"/>
            <w:tcBorders>
              <w:top w:val="single" w:sz="24" w:space="0" w:color="62B5E5" w:themeColor="accent3"/>
              <w:left w:val="nil"/>
              <w:bottom w:val="single" w:sz="8" w:space="0" w:color="000000"/>
              <w:right w:val="nil"/>
            </w:tcBorders>
            <w:vAlign w:val="center"/>
          </w:tcPr>
          <w:p w14:paraId="643D20ED" w14:textId="563EE09D" w:rsidR="00D247D3" w:rsidRPr="00AE50A9" w:rsidRDefault="00D247D3" w:rsidP="000A0826">
            <w:pPr>
              <w:pStyle w:val="TableHeadingCentre"/>
              <w:rPr>
                <w:rFonts w:asciiTheme="minorHAnsi" w:hAnsiTheme="minorHAnsi"/>
                <w:sz w:val="16"/>
                <w:szCs w:val="16"/>
                <w:lang w:eastAsia="en-AU"/>
              </w:rPr>
            </w:pPr>
            <w:r w:rsidRPr="00AE50A9">
              <w:rPr>
                <w:rFonts w:asciiTheme="minorHAnsi" w:hAnsiTheme="minorHAnsi"/>
                <w:sz w:val="16"/>
                <w:szCs w:val="16"/>
                <w:lang w:eastAsia="en-AU"/>
              </w:rPr>
              <w:t>Kurtosis</w:t>
            </w:r>
          </w:p>
        </w:tc>
      </w:tr>
      <w:tr w:rsidR="00D247D3" w:rsidRPr="00AE50A9" w14:paraId="0AD6B0C8" w14:textId="18250AC1" w:rsidTr="000A0826">
        <w:trPr>
          <w:trHeight w:val="60"/>
        </w:trPr>
        <w:tc>
          <w:tcPr>
            <w:tcW w:w="570" w:type="pct"/>
            <w:tcBorders>
              <w:top w:val="nil"/>
              <w:left w:val="nil"/>
              <w:bottom w:val="single" w:sz="8" w:space="0" w:color="000000"/>
              <w:right w:val="nil"/>
            </w:tcBorders>
            <w:shd w:val="clear" w:color="auto" w:fill="auto"/>
            <w:vAlign w:val="center"/>
            <w:hideMark/>
          </w:tcPr>
          <w:p w14:paraId="52C657EE" w14:textId="77777777" w:rsidR="00D247D3" w:rsidRPr="00AE50A9" w:rsidRDefault="00D247D3" w:rsidP="00D247D3">
            <w:pPr>
              <w:spacing w:after="0" w:line="240" w:lineRule="auto"/>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Permanent employment rate</w:t>
            </w:r>
          </w:p>
        </w:tc>
        <w:tc>
          <w:tcPr>
            <w:tcW w:w="409" w:type="pct"/>
            <w:tcBorders>
              <w:top w:val="nil"/>
              <w:left w:val="nil"/>
              <w:bottom w:val="single" w:sz="8" w:space="0" w:color="000000"/>
              <w:right w:val="nil"/>
            </w:tcBorders>
            <w:shd w:val="clear" w:color="auto" w:fill="auto"/>
            <w:vAlign w:val="center"/>
            <w:hideMark/>
          </w:tcPr>
          <w:p w14:paraId="1E28260C"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05" w:type="pct"/>
            <w:tcBorders>
              <w:top w:val="nil"/>
              <w:left w:val="nil"/>
              <w:bottom w:val="single" w:sz="8" w:space="0" w:color="000000"/>
              <w:right w:val="nil"/>
            </w:tcBorders>
            <w:shd w:val="clear" w:color="auto" w:fill="auto"/>
            <w:vAlign w:val="center"/>
            <w:hideMark/>
          </w:tcPr>
          <w:p w14:paraId="05485302"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58" w:type="pct"/>
            <w:tcBorders>
              <w:top w:val="nil"/>
              <w:left w:val="nil"/>
              <w:bottom w:val="single" w:sz="8" w:space="0" w:color="000000"/>
              <w:right w:val="nil"/>
            </w:tcBorders>
            <w:shd w:val="clear" w:color="auto" w:fill="auto"/>
            <w:vAlign w:val="center"/>
            <w:hideMark/>
          </w:tcPr>
          <w:p w14:paraId="42A5337E"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5.2%</w:t>
            </w:r>
          </w:p>
        </w:tc>
        <w:tc>
          <w:tcPr>
            <w:tcW w:w="356" w:type="pct"/>
            <w:tcBorders>
              <w:top w:val="nil"/>
              <w:left w:val="nil"/>
              <w:bottom w:val="single" w:sz="8" w:space="0" w:color="000000"/>
              <w:right w:val="nil"/>
            </w:tcBorders>
            <w:vAlign w:val="center"/>
          </w:tcPr>
          <w:p w14:paraId="56B5325A"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12.5%</w:t>
            </w:r>
          </w:p>
        </w:tc>
        <w:tc>
          <w:tcPr>
            <w:tcW w:w="359" w:type="pct"/>
            <w:tcBorders>
              <w:top w:val="nil"/>
              <w:left w:val="nil"/>
              <w:bottom w:val="single" w:sz="8" w:space="0" w:color="000000"/>
              <w:right w:val="nil"/>
            </w:tcBorders>
            <w:vAlign w:val="center"/>
          </w:tcPr>
          <w:p w14:paraId="00598EC6"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40.0%</w:t>
            </w:r>
          </w:p>
        </w:tc>
        <w:tc>
          <w:tcPr>
            <w:tcW w:w="356" w:type="pct"/>
            <w:tcBorders>
              <w:top w:val="nil"/>
              <w:left w:val="nil"/>
              <w:bottom w:val="single" w:sz="8" w:space="0" w:color="000000"/>
              <w:right w:val="nil"/>
            </w:tcBorders>
            <w:shd w:val="clear" w:color="auto" w:fill="auto"/>
            <w:vAlign w:val="center"/>
            <w:hideMark/>
          </w:tcPr>
          <w:p w14:paraId="06C700E0"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71.7%</w:t>
            </w:r>
          </w:p>
        </w:tc>
        <w:tc>
          <w:tcPr>
            <w:tcW w:w="356" w:type="pct"/>
            <w:tcBorders>
              <w:top w:val="nil"/>
              <w:left w:val="nil"/>
              <w:bottom w:val="single" w:sz="8" w:space="0" w:color="000000"/>
              <w:right w:val="nil"/>
            </w:tcBorders>
            <w:shd w:val="clear" w:color="auto" w:fill="auto"/>
            <w:vAlign w:val="center"/>
            <w:hideMark/>
          </w:tcPr>
          <w:p w14:paraId="1B7934AC"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94.8%</w:t>
            </w:r>
          </w:p>
        </w:tc>
        <w:tc>
          <w:tcPr>
            <w:tcW w:w="426" w:type="pct"/>
            <w:tcBorders>
              <w:top w:val="nil"/>
              <w:left w:val="nil"/>
              <w:bottom w:val="single" w:sz="8" w:space="0" w:color="000000"/>
              <w:right w:val="nil"/>
            </w:tcBorders>
            <w:shd w:val="clear" w:color="auto" w:fill="auto"/>
            <w:vAlign w:val="center"/>
            <w:hideMark/>
          </w:tcPr>
          <w:p w14:paraId="13E65B2E"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100.0%</w:t>
            </w:r>
          </w:p>
        </w:tc>
        <w:tc>
          <w:tcPr>
            <w:tcW w:w="373" w:type="pct"/>
            <w:tcBorders>
              <w:top w:val="nil"/>
              <w:left w:val="nil"/>
              <w:bottom w:val="single" w:sz="8" w:space="0" w:color="000000"/>
              <w:right w:val="nil"/>
            </w:tcBorders>
            <w:shd w:val="clear" w:color="auto" w:fill="auto"/>
            <w:vAlign w:val="center"/>
            <w:hideMark/>
          </w:tcPr>
          <w:p w14:paraId="0744C0DA"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100.0%</w:t>
            </w:r>
          </w:p>
        </w:tc>
        <w:tc>
          <w:tcPr>
            <w:tcW w:w="373" w:type="pct"/>
            <w:tcBorders>
              <w:top w:val="nil"/>
              <w:left w:val="nil"/>
              <w:bottom w:val="single" w:sz="8" w:space="0" w:color="000000"/>
              <w:right w:val="nil"/>
            </w:tcBorders>
            <w:vAlign w:val="center"/>
          </w:tcPr>
          <w:p w14:paraId="4E74F1E4" w14:textId="453BC3CC"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32.9%</w:t>
            </w:r>
          </w:p>
        </w:tc>
        <w:tc>
          <w:tcPr>
            <w:tcW w:w="373" w:type="pct"/>
            <w:tcBorders>
              <w:top w:val="nil"/>
              <w:left w:val="nil"/>
              <w:bottom w:val="single" w:sz="8" w:space="0" w:color="000000"/>
              <w:right w:val="nil"/>
            </w:tcBorders>
            <w:vAlign w:val="center"/>
          </w:tcPr>
          <w:p w14:paraId="0B4225B3" w14:textId="20D33E01"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0.3</w:t>
            </w:r>
          </w:p>
        </w:tc>
        <w:tc>
          <w:tcPr>
            <w:tcW w:w="385" w:type="pct"/>
            <w:tcBorders>
              <w:top w:val="nil"/>
              <w:left w:val="nil"/>
              <w:bottom w:val="single" w:sz="8" w:space="0" w:color="000000"/>
              <w:right w:val="nil"/>
            </w:tcBorders>
            <w:vAlign w:val="center"/>
          </w:tcPr>
          <w:p w14:paraId="601A3BBE" w14:textId="62FE7E7C"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-1.3</w:t>
            </w:r>
          </w:p>
        </w:tc>
      </w:tr>
      <w:tr w:rsidR="00D247D3" w:rsidRPr="00AE50A9" w14:paraId="0E4F8568" w14:textId="6972D99D" w:rsidTr="000A0826">
        <w:trPr>
          <w:trHeight w:val="261"/>
        </w:trPr>
        <w:tc>
          <w:tcPr>
            <w:tcW w:w="570" w:type="pct"/>
            <w:tcBorders>
              <w:top w:val="nil"/>
              <w:left w:val="nil"/>
              <w:bottom w:val="single" w:sz="8" w:space="0" w:color="000000"/>
              <w:right w:val="nil"/>
            </w:tcBorders>
            <w:shd w:val="clear" w:color="auto" w:fill="auto"/>
            <w:vAlign w:val="center"/>
            <w:hideMark/>
          </w:tcPr>
          <w:p w14:paraId="694894B6" w14:textId="77777777" w:rsidR="00D247D3" w:rsidRPr="00AE50A9" w:rsidRDefault="00D247D3" w:rsidP="00D247D3">
            <w:pPr>
              <w:spacing w:after="0" w:line="240" w:lineRule="auto"/>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Utilisation rates – Breaks</w:t>
            </w:r>
          </w:p>
        </w:tc>
        <w:tc>
          <w:tcPr>
            <w:tcW w:w="409" w:type="pct"/>
            <w:tcBorders>
              <w:top w:val="nil"/>
              <w:left w:val="nil"/>
              <w:bottom w:val="single" w:sz="8" w:space="0" w:color="000000"/>
              <w:right w:val="nil"/>
            </w:tcBorders>
            <w:shd w:val="clear" w:color="auto" w:fill="auto"/>
            <w:vAlign w:val="center"/>
            <w:hideMark/>
          </w:tcPr>
          <w:p w14:paraId="207E02D4"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05" w:type="pct"/>
            <w:tcBorders>
              <w:top w:val="nil"/>
              <w:left w:val="nil"/>
              <w:bottom w:val="single" w:sz="8" w:space="0" w:color="000000"/>
              <w:right w:val="nil"/>
            </w:tcBorders>
            <w:shd w:val="clear" w:color="auto" w:fill="auto"/>
            <w:vAlign w:val="center"/>
            <w:hideMark/>
          </w:tcPr>
          <w:p w14:paraId="1D3F4A65"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58" w:type="pct"/>
            <w:tcBorders>
              <w:top w:val="nil"/>
              <w:left w:val="nil"/>
              <w:bottom w:val="single" w:sz="8" w:space="0" w:color="000000"/>
              <w:right w:val="nil"/>
            </w:tcBorders>
            <w:shd w:val="clear" w:color="auto" w:fill="auto"/>
            <w:vAlign w:val="center"/>
            <w:hideMark/>
          </w:tcPr>
          <w:p w14:paraId="2015D431"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56" w:type="pct"/>
            <w:tcBorders>
              <w:top w:val="nil"/>
              <w:left w:val="nil"/>
              <w:bottom w:val="single" w:sz="8" w:space="0" w:color="000000"/>
              <w:right w:val="nil"/>
            </w:tcBorders>
            <w:vAlign w:val="center"/>
          </w:tcPr>
          <w:p w14:paraId="007A2AEE"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59" w:type="pct"/>
            <w:tcBorders>
              <w:top w:val="nil"/>
              <w:left w:val="nil"/>
              <w:bottom w:val="single" w:sz="8" w:space="0" w:color="000000"/>
              <w:right w:val="nil"/>
            </w:tcBorders>
            <w:vAlign w:val="center"/>
          </w:tcPr>
          <w:p w14:paraId="69CD98BE"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1.0%</w:t>
            </w:r>
          </w:p>
        </w:tc>
        <w:tc>
          <w:tcPr>
            <w:tcW w:w="356" w:type="pct"/>
            <w:tcBorders>
              <w:top w:val="nil"/>
              <w:left w:val="nil"/>
              <w:bottom w:val="single" w:sz="8" w:space="0" w:color="000000"/>
              <w:right w:val="nil"/>
            </w:tcBorders>
            <w:shd w:val="clear" w:color="auto" w:fill="auto"/>
            <w:vAlign w:val="center"/>
            <w:hideMark/>
          </w:tcPr>
          <w:p w14:paraId="0F699847"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5.0%</w:t>
            </w:r>
          </w:p>
        </w:tc>
        <w:tc>
          <w:tcPr>
            <w:tcW w:w="356" w:type="pct"/>
            <w:tcBorders>
              <w:top w:val="nil"/>
              <w:left w:val="nil"/>
              <w:bottom w:val="single" w:sz="8" w:space="0" w:color="000000"/>
              <w:right w:val="nil"/>
            </w:tcBorders>
            <w:shd w:val="clear" w:color="auto" w:fill="auto"/>
            <w:vAlign w:val="center"/>
            <w:hideMark/>
          </w:tcPr>
          <w:p w14:paraId="6103A645"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7.0%</w:t>
            </w:r>
          </w:p>
        </w:tc>
        <w:tc>
          <w:tcPr>
            <w:tcW w:w="426" w:type="pct"/>
            <w:tcBorders>
              <w:top w:val="nil"/>
              <w:left w:val="nil"/>
              <w:bottom w:val="single" w:sz="8" w:space="0" w:color="000000"/>
              <w:right w:val="nil"/>
            </w:tcBorders>
            <w:shd w:val="clear" w:color="auto" w:fill="auto"/>
            <w:vAlign w:val="center"/>
            <w:hideMark/>
          </w:tcPr>
          <w:p w14:paraId="640E9409"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10.0%</w:t>
            </w:r>
          </w:p>
        </w:tc>
        <w:tc>
          <w:tcPr>
            <w:tcW w:w="373" w:type="pct"/>
            <w:tcBorders>
              <w:top w:val="nil"/>
              <w:left w:val="nil"/>
              <w:bottom w:val="single" w:sz="8" w:space="0" w:color="000000"/>
              <w:right w:val="nil"/>
            </w:tcBorders>
            <w:shd w:val="clear" w:color="auto" w:fill="auto"/>
            <w:vAlign w:val="center"/>
            <w:hideMark/>
          </w:tcPr>
          <w:p w14:paraId="1E51F77C"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16.0%</w:t>
            </w:r>
          </w:p>
        </w:tc>
        <w:tc>
          <w:tcPr>
            <w:tcW w:w="373" w:type="pct"/>
            <w:tcBorders>
              <w:top w:val="nil"/>
              <w:left w:val="nil"/>
              <w:bottom w:val="single" w:sz="8" w:space="0" w:color="000000"/>
              <w:right w:val="nil"/>
            </w:tcBorders>
            <w:vAlign w:val="center"/>
          </w:tcPr>
          <w:p w14:paraId="37E3F883" w14:textId="584737E2"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3.2%</w:t>
            </w:r>
          </w:p>
        </w:tc>
        <w:tc>
          <w:tcPr>
            <w:tcW w:w="373" w:type="pct"/>
            <w:tcBorders>
              <w:top w:val="nil"/>
              <w:left w:val="nil"/>
              <w:bottom w:val="single" w:sz="8" w:space="0" w:color="000000"/>
              <w:right w:val="nil"/>
            </w:tcBorders>
            <w:vAlign w:val="center"/>
          </w:tcPr>
          <w:p w14:paraId="1C91ADB2" w14:textId="3F37B4F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1.3</w:t>
            </w:r>
          </w:p>
        </w:tc>
        <w:tc>
          <w:tcPr>
            <w:tcW w:w="385" w:type="pct"/>
            <w:tcBorders>
              <w:top w:val="nil"/>
              <w:left w:val="nil"/>
              <w:bottom w:val="single" w:sz="8" w:space="0" w:color="000000"/>
              <w:right w:val="nil"/>
            </w:tcBorders>
            <w:vAlign w:val="center"/>
          </w:tcPr>
          <w:p w14:paraId="761343F5" w14:textId="572635BB"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0.9</w:t>
            </w:r>
          </w:p>
        </w:tc>
      </w:tr>
      <w:tr w:rsidR="00D247D3" w:rsidRPr="00AE50A9" w14:paraId="6FD10AC2" w14:textId="5C230BBB" w:rsidTr="000A0826">
        <w:trPr>
          <w:trHeight w:val="253"/>
        </w:trPr>
        <w:tc>
          <w:tcPr>
            <w:tcW w:w="570" w:type="pct"/>
            <w:tcBorders>
              <w:top w:val="nil"/>
              <w:left w:val="nil"/>
              <w:bottom w:val="single" w:sz="8" w:space="0" w:color="000000"/>
              <w:right w:val="nil"/>
            </w:tcBorders>
            <w:shd w:val="clear" w:color="auto" w:fill="auto"/>
            <w:vAlign w:val="center"/>
            <w:hideMark/>
          </w:tcPr>
          <w:p w14:paraId="1BBD9876" w14:textId="77777777" w:rsidR="00D247D3" w:rsidRPr="00AE50A9" w:rsidRDefault="00D247D3" w:rsidP="00D247D3">
            <w:pPr>
              <w:spacing w:after="0" w:line="240" w:lineRule="auto"/>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Utilisation rates - Training</w:t>
            </w:r>
          </w:p>
        </w:tc>
        <w:tc>
          <w:tcPr>
            <w:tcW w:w="409" w:type="pct"/>
            <w:tcBorders>
              <w:top w:val="nil"/>
              <w:left w:val="nil"/>
              <w:bottom w:val="single" w:sz="8" w:space="0" w:color="000000"/>
              <w:right w:val="nil"/>
            </w:tcBorders>
            <w:shd w:val="clear" w:color="auto" w:fill="auto"/>
            <w:vAlign w:val="center"/>
            <w:hideMark/>
          </w:tcPr>
          <w:p w14:paraId="538EAAC0"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05" w:type="pct"/>
            <w:tcBorders>
              <w:top w:val="nil"/>
              <w:left w:val="nil"/>
              <w:bottom w:val="single" w:sz="8" w:space="0" w:color="000000"/>
              <w:right w:val="nil"/>
            </w:tcBorders>
            <w:shd w:val="clear" w:color="auto" w:fill="auto"/>
            <w:vAlign w:val="center"/>
            <w:hideMark/>
          </w:tcPr>
          <w:p w14:paraId="23397752"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58" w:type="pct"/>
            <w:tcBorders>
              <w:top w:val="nil"/>
              <w:left w:val="nil"/>
              <w:bottom w:val="single" w:sz="8" w:space="0" w:color="000000"/>
              <w:right w:val="nil"/>
            </w:tcBorders>
            <w:shd w:val="clear" w:color="auto" w:fill="auto"/>
            <w:vAlign w:val="center"/>
            <w:hideMark/>
          </w:tcPr>
          <w:p w14:paraId="6EA34A05"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0.5%</w:t>
            </w:r>
          </w:p>
        </w:tc>
        <w:tc>
          <w:tcPr>
            <w:tcW w:w="356" w:type="pct"/>
            <w:tcBorders>
              <w:top w:val="nil"/>
              <w:left w:val="nil"/>
              <w:bottom w:val="single" w:sz="8" w:space="0" w:color="000000"/>
              <w:right w:val="nil"/>
            </w:tcBorders>
            <w:vAlign w:val="center"/>
          </w:tcPr>
          <w:p w14:paraId="095B9BBA"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1.5%</w:t>
            </w:r>
          </w:p>
        </w:tc>
        <w:tc>
          <w:tcPr>
            <w:tcW w:w="359" w:type="pct"/>
            <w:tcBorders>
              <w:top w:val="nil"/>
              <w:left w:val="nil"/>
              <w:bottom w:val="single" w:sz="8" w:space="0" w:color="000000"/>
              <w:right w:val="nil"/>
            </w:tcBorders>
            <w:vAlign w:val="center"/>
          </w:tcPr>
          <w:p w14:paraId="1A71F66E"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3.0%</w:t>
            </w:r>
          </w:p>
        </w:tc>
        <w:tc>
          <w:tcPr>
            <w:tcW w:w="356" w:type="pct"/>
            <w:tcBorders>
              <w:top w:val="nil"/>
              <w:left w:val="nil"/>
              <w:bottom w:val="single" w:sz="8" w:space="0" w:color="000000"/>
              <w:right w:val="nil"/>
            </w:tcBorders>
            <w:shd w:val="clear" w:color="auto" w:fill="auto"/>
            <w:vAlign w:val="center"/>
            <w:hideMark/>
          </w:tcPr>
          <w:p w14:paraId="210794DB"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5.0%</w:t>
            </w:r>
          </w:p>
        </w:tc>
        <w:tc>
          <w:tcPr>
            <w:tcW w:w="356" w:type="pct"/>
            <w:tcBorders>
              <w:top w:val="nil"/>
              <w:left w:val="nil"/>
              <w:bottom w:val="single" w:sz="8" w:space="0" w:color="000000"/>
              <w:right w:val="nil"/>
            </w:tcBorders>
            <w:shd w:val="clear" w:color="auto" w:fill="auto"/>
            <w:vAlign w:val="center"/>
            <w:hideMark/>
          </w:tcPr>
          <w:p w14:paraId="3AE6668F"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10.0%</w:t>
            </w:r>
          </w:p>
        </w:tc>
        <w:tc>
          <w:tcPr>
            <w:tcW w:w="426" w:type="pct"/>
            <w:tcBorders>
              <w:top w:val="nil"/>
              <w:left w:val="nil"/>
              <w:bottom w:val="single" w:sz="8" w:space="0" w:color="000000"/>
              <w:right w:val="nil"/>
            </w:tcBorders>
            <w:shd w:val="clear" w:color="auto" w:fill="auto"/>
            <w:vAlign w:val="center"/>
            <w:hideMark/>
          </w:tcPr>
          <w:p w14:paraId="33F93CFD"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10.0%</w:t>
            </w:r>
          </w:p>
        </w:tc>
        <w:tc>
          <w:tcPr>
            <w:tcW w:w="373" w:type="pct"/>
            <w:tcBorders>
              <w:top w:val="nil"/>
              <w:left w:val="nil"/>
              <w:bottom w:val="single" w:sz="8" w:space="0" w:color="000000"/>
              <w:right w:val="nil"/>
            </w:tcBorders>
            <w:shd w:val="clear" w:color="auto" w:fill="auto"/>
            <w:vAlign w:val="center"/>
            <w:hideMark/>
          </w:tcPr>
          <w:p w14:paraId="7BA582DC"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50.0%</w:t>
            </w:r>
          </w:p>
        </w:tc>
        <w:tc>
          <w:tcPr>
            <w:tcW w:w="373" w:type="pct"/>
            <w:tcBorders>
              <w:top w:val="nil"/>
              <w:left w:val="nil"/>
              <w:bottom w:val="single" w:sz="8" w:space="0" w:color="000000"/>
              <w:right w:val="nil"/>
            </w:tcBorders>
            <w:vAlign w:val="center"/>
          </w:tcPr>
          <w:p w14:paraId="016127B4" w14:textId="6FE82424"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4.0%</w:t>
            </w:r>
          </w:p>
        </w:tc>
        <w:tc>
          <w:tcPr>
            <w:tcW w:w="373" w:type="pct"/>
            <w:tcBorders>
              <w:top w:val="nil"/>
              <w:left w:val="nil"/>
              <w:bottom w:val="single" w:sz="8" w:space="0" w:color="000000"/>
              <w:right w:val="nil"/>
            </w:tcBorders>
            <w:vAlign w:val="center"/>
          </w:tcPr>
          <w:p w14:paraId="5F38660F" w14:textId="37BF77C8"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4.1</w:t>
            </w:r>
          </w:p>
        </w:tc>
        <w:tc>
          <w:tcPr>
            <w:tcW w:w="385" w:type="pct"/>
            <w:tcBorders>
              <w:top w:val="nil"/>
              <w:left w:val="nil"/>
              <w:bottom w:val="single" w:sz="8" w:space="0" w:color="000000"/>
              <w:right w:val="nil"/>
            </w:tcBorders>
            <w:vAlign w:val="center"/>
          </w:tcPr>
          <w:p w14:paraId="4785FD58" w14:textId="4763137D"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35.9</w:t>
            </w:r>
          </w:p>
        </w:tc>
      </w:tr>
      <w:tr w:rsidR="00D247D3" w:rsidRPr="00AE50A9" w14:paraId="332F9EF1" w14:textId="7A54EED5" w:rsidTr="000A0826">
        <w:trPr>
          <w:trHeight w:val="103"/>
        </w:trPr>
        <w:tc>
          <w:tcPr>
            <w:tcW w:w="570" w:type="pct"/>
            <w:tcBorders>
              <w:top w:val="nil"/>
              <w:left w:val="nil"/>
              <w:bottom w:val="single" w:sz="8" w:space="0" w:color="000000"/>
              <w:right w:val="nil"/>
            </w:tcBorders>
            <w:shd w:val="clear" w:color="auto" w:fill="auto"/>
            <w:vAlign w:val="center"/>
            <w:hideMark/>
          </w:tcPr>
          <w:p w14:paraId="4196B641" w14:textId="77777777" w:rsidR="00D247D3" w:rsidRPr="00AE50A9" w:rsidRDefault="00D247D3" w:rsidP="00D247D3">
            <w:pPr>
              <w:spacing w:after="0" w:line="240" w:lineRule="auto"/>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Utilisation rates -Other</w:t>
            </w:r>
          </w:p>
        </w:tc>
        <w:tc>
          <w:tcPr>
            <w:tcW w:w="409" w:type="pct"/>
            <w:tcBorders>
              <w:top w:val="nil"/>
              <w:left w:val="nil"/>
              <w:bottom w:val="single" w:sz="8" w:space="0" w:color="000000"/>
              <w:right w:val="nil"/>
            </w:tcBorders>
            <w:shd w:val="clear" w:color="auto" w:fill="auto"/>
            <w:vAlign w:val="center"/>
            <w:hideMark/>
          </w:tcPr>
          <w:p w14:paraId="4DDAA62B"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05" w:type="pct"/>
            <w:tcBorders>
              <w:top w:val="nil"/>
              <w:left w:val="nil"/>
              <w:bottom w:val="single" w:sz="8" w:space="0" w:color="000000"/>
              <w:right w:val="nil"/>
            </w:tcBorders>
            <w:shd w:val="clear" w:color="auto" w:fill="auto"/>
            <w:vAlign w:val="center"/>
            <w:hideMark/>
          </w:tcPr>
          <w:p w14:paraId="58258F32"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58" w:type="pct"/>
            <w:tcBorders>
              <w:top w:val="nil"/>
              <w:left w:val="nil"/>
              <w:bottom w:val="single" w:sz="8" w:space="0" w:color="000000"/>
              <w:right w:val="nil"/>
            </w:tcBorders>
            <w:shd w:val="clear" w:color="auto" w:fill="auto"/>
            <w:vAlign w:val="center"/>
            <w:hideMark/>
          </w:tcPr>
          <w:p w14:paraId="33F34742"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2.0%</w:t>
            </w:r>
          </w:p>
        </w:tc>
        <w:tc>
          <w:tcPr>
            <w:tcW w:w="356" w:type="pct"/>
            <w:tcBorders>
              <w:top w:val="nil"/>
              <w:left w:val="nil"/>
              <w:bottom w:val="single" w:sz="8" w:space="0" w:color="000000"/>
              <w:right w:val="nil"/>
            </w:tcBorders>
            <w:vAlign w:val="center"/>
          </w:tcPr>
          <w:p w14:paraId="17017D81"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6.0%</w:t>
            </w:r>
          </w:p>
        </w:tc>
        <w:tc>
          <w:tcPr>
            <w:tcW w:w="359" w:type="pct"/>
            <w:tcBorders>
              <w:top w:val="nil"/>
              <w:left w:val="nil"/>
              <w:bottom w:val="single" w:sz="8" w:space="0" w:color="000000"/>
              <w:right w:val="nil"/>
            </w:tcBorders>
            <w:vAlign w:val="center"/>
          </w:tcPr>
          <w:p w14:paraId="2F387F21"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13.0%</w:t>
            </w:r>
          </w:p>
        </w:tc>
        <w:tc>
          <w:tcPr>
            <w:tcW w:w="356" w:type="pct"/>
            <w:tcBorders>
              <w:top w:val="nil"/>
              <w:left w:val="nil"/>
              <w:bottom w:val="single" w:sz="8" w:space="0" w:color="000000"/>
              <w:right w:val="nil"/>
            </w:tcBorders>
            <w:shd w:val="clear" w:color="auto" w:fill="auto"/>
            <w:vAlign w:val="center"/>
            <w:hideMark/>
          </w:tcPr>
          <w:p w14:paraId="2571D07C"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20.0%</w:t>
            </w:r>
          </w:p>
        </w:tc>
        <w:tc>
          <w:tcPr>
            <w:tcW w:w="356" w:type="pct"/>
            <w:tcBorders>
              <w:top w:val="nil"/>
              <w:left w:val="nil"/>
              <w:bottom w:val="single" w:sz="8" w:space="0" w:color="000000"/>
              <w:right w:val="nil"/>
            </w:tcBorders>
            <w:shd w:val="clear" w:color="auto" w:fill="auto"/>
            <w:vAlign w:val="center"/>
            <w:hideMark/>
          </w:tcPr>
          <w:p w14:paraId="1A57E111" w14:textId="2256A760"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2</w:t>
            </w:r>
            <w:r w:rsidR="00293514">
              <w:rPr>
                <w:rFonts w:asciiTheme="minorHAnsi" w:eastAsia="Times New Roman" w:hAnsiTheme="minorHAnsi" w:cs="Times New Roman"/>
                <w:color w:val="000000"/>
                <w:sz w:val="16"/>
                <w:szCs w:val="16"/>
                <w:lang w:eastAsia="en-AU"/>
              </w:rPr>
              <w:t>6</w:t>
            </w:r>
            <w:r w:rsidRPr="00AE50A9">
              <w:rPr>
                <w:rFonts w:asciiTheme="minorHAnsi" w:eastAsia="Times New Roman" w:hAnsiTheme="minorHAnsi" w:cs="Times New Roman"/>
                <w:color w:val="000000"/>
                <w:sz w:val="16"/>
                <w:szCs w:val="16"/>
                <w:lang w:eastAsia="en-AU"/>
              </w:rPr>
              <w:t>.</w:t>
            </w:r>
            <w:r w:rsidR="00293514">
              <w:rPr>
                <w:rFonts w:asciiTheme="minorHAnsi" w:eastAsia="Times New Roman" w:hAnsiTheme="minorHAnsi" w:cs="Times New Roman"/>
                <w:color w:val="000000"/>
                <w:sz w:val="16"/>
                <w:szCs w:val="16"/>
                <w:lang w:eastAsia="en-AU"/>
              </w:rPr>
              <w:t>8</w:t>
            </w:r>
            <w:r w:rsidRPr="00AE50A9">
              <w:rPr>
                <w:rFonts w:asciiTheme="minorHAnsi" w:eastAsia="Times New Roman" w:hAnsiTheme="minorHAnsi" w:cs="Times New Roman"/>
                <w:color w:val="000000"/>
                <w:sz w:val="16"/>
                <w:szCs w:val="16"/>
                <w:lang w:eastAsia="en-AU"/>
              </w:rPr>
              <w:t>%</w:t>
            </w:r>
          </w:p>
        </w:tc>
        <w:tc>
          <w:tcPr>
            <w:tcW w:w="426" w:type="pct"/>
            <w:tcBorders>
              <w:top w:val="nil"/>
              <w:left w:val="nil"/>
              <w:bottom w:val="single" w:sz="8" w:space="0" w:color="000000"/>
              <w:right w:val="nil"/>
            </w:tcBorders>
            <w:shd w:val="clear" w:color="auto" w:fill="auto"/>
            <w:vAlign w:val="center"/>
            <w:hideMark/>
          </w:tcPr>
          <w:p w14:paraId="38620F9C"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33.0%</w:t>
            </w:r>
          </w:p>
        </w:tc>
        <w:tc>
          <w:tcPr>
            <w:tcW w:w="373" w:type="pct"/>
            <w:tcBorders>
              <w:top w:val="nil"/>
              <w:left w:val="nil"/>
              <w:bottom w:val="single" w:sz="8" w:space="0" w:color="000000"/>
              <w:right w:val="nil"/>
            </w:tcBorders>
            <w:shd w:val="clear" w:color="auto" w:fill="auto"/>
            <w:vAlign w:val="center"/>
            <w:hideMark/>
          </w:tcPr>
          <w:p w14:paraId="24FDA39F" w14:textId="77777777"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50.0%</w:t>
            </w:r>
          </w:p>
        </w:tc>
        <w:tc>
          <w:tcPr>
            <w:tcW w:w="373" w:type="pct"/>
            <w:tcBorders>
              <w:top w:val="nil"/>
              <w:left w:val="nil"/>
              <w:bottom w:val="single" w:sz="8" w:space="0" w:color="000000"/>
              <w:right w:val="nil"/>
            </w:tcBorders>
            <w:vAlign w:val="center"/>
          </w:tcPr>
          <w:p w14:paraId="459C6107" w14:textId="3C2948AC" w:rsidR="00D247D3" w:rsidRPr="00AE50A9" w:rsidRDefault="00293514" w:rsidP="00D247D3">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9.8</w:t>
            </w:r>
            <w:r w:rsidR="00D247D3" w:rsidRPr="00AE50A9">
              <w:rPr>
                <w:rFonts w:asciiTheme="minorHAnsi" w:eastAsia="Times New Roman" w:hAnsiTheme="minorHAnsi" w:cs="Times New Roman"/>
                <w:color w:val="000000"/>
                <w:sz w:val="16"/>
                <w:szCs w:val="16"/>
                <w:lang w:eastAsia="en-AU"/>
              </w:rPr>
              <w:t>%</w:t>
            </w:r>
          </w:p>
        </w:tc>
        <w:tc>
          <w:tcPr>
            <w:tcW w:w="373" w:type="pct"/>
            <w:tcBorders>
              <w:top w:val="nil"/>
              <w:left w:val="nil"/>
              <w:bottom w:val="single" w:sz="8" w:space="0" w:color="000000"/>
              <w:right w:val="nil"/>
            </w:tcBorders>
            <w:vAlign w:val="center"/>
          </w:tcPr>
          <w:p w14:paraId="2F61423A" w14:textId="0652FFD8"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0.8</w:t>
            </w:r>
          </w:p>
        </w:tc>
        <w:tc>
          <w:tcPr>
            <w:tcW w:w="385" w:type="pct"/>
            <w:tcBorders>
              <w:top w:val="nil"/>
              <w:left w:val="nil"/>
              <w:bottom w:val="single" w:sz="8" w:space="0" w:color="000000"/>
              <w:right w:val="nil"/>
            </w:tcBorders>
            <w:vAlign w:val="center"/>
          </w:tcPr>
          <w:p w14:paraId="275B67BA" w14:textId="392DC74D" w:rsidR="00D247D3" w:rsidRPr="00AE50A9" w:rsidRDefault="00D247D3" w:rsidP="00D247D3">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0.6</w:t>
            </w:r>
          </w:p>
        </w:tc>
      </w:tr>
      <w:tr w:rsidR="000A0826" w:rsidRPr="00AE50A9" w14:paraId="6C7D86CE" w14:textId="77777777" w:rsidTr="000A0826">
        <w:trPr>
          <w:trHeight w:val="103"/>
        </w:trPr>
        <w:tc>
          <w:tcPr>
            <w:tcW w:w="570" w:type="pct"/>
            <w:tcBorders>
              <w:top w:val="nil"/>
              <w:left w:val="nil"/>
              <w:bottom w:val="single" w:sz="8" w:space="0" w:color="000000"/>
              <w:right w:val="nil"/>
            </w:tcBorders>
            <w:shd w:val="clear" w:color="auto" w:fill="auto"/>
            <w:vAlign w:val="center"/>
          </w:tcPr>
          <w:p w14:paraId="27286AE0" w14:textId="4CFA2BD5" w:rsidR="000A0826" w:rsidRPr="00AE50A9" w:rsidRDefault="000A0826" w:rsidP="000A0826">
            <w:pPr>
              <w:spacing w:after="0" w:line="240" w:lineRule="auto"/>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Total utilisation*</w:t>
            </w:r>
          </w:p>
        </w:tc>
        <w:tc>
          <w:tcPr>
            <w:tcW w:w="409" w:type="pct"/>
            <w:tcBorders>
              <w:top w:val="nil"/>
              <w:left w:val="nil"/>
              <w:bottom w:val="single" w:sz="8" w:space="0" w:color="000000"/>
              <w:right w:val="nil"/>
            </w:tcBorders>
            <w:shd w:val="clear" w:color="auto" w:fill="auto"/>
            <w:vAlign w:val="center"/>
          </w:tcPr>
          <w:p w14:paraId="5498EA84" w14:textId="75B498E0"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100.0%</w:t>
            </w:r>
          </w:p>
        </w:tc>
        <w:tc>
          <w:tcPr>
            <w:tcW w:w="305" w:type="pct"/>
            <w:tcBorders>
              <w:top w:val="nil"/>
              <w:left w:val="nil"/>
              <w:bottom w:val="single" w:sz="8" w:space="0" w:color="000000"/>
              <w:right w:val="nil"/>
            </w:tcBorders>
            <w:shd w:val="clear" w:color="auto" w:fill="auto"/>
            <w:vAlign w:val="center"/>
          </w:tcPr>
          <w:p w14:paraId="0969AD50" w14:textId="2C59D1BF"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97.9%</w:t>
            </w:r>
          </w:p>
        </w:tc>
        <w:tc>
          <w:tcPr>
            <w:tcW w:w="358" w:type="pct"/>
            <w:tcBorders>
              <w:top w:val="nil"/>
              <w:left w:val="nil"/>
              <w:bottom w:val="single" w:sz="8" w:space="0" w:color="000000"/>
              <w:right w:val="nil"/>
            </w:tcBorders>
            <w:shd w:val="clear" w:color="auto" w:fill="auto"/>
            <w:vAlign w:val="center"/>
          </w:tcPr>
          <w:p w14:paraId="362A83FF" w14:textId="0CD05658"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95.0%</w:t>
            </w:r>
          </w:p>
        </w:tc>
        <w:tc>
          <w:tcPr>
            <w:tcW w:w="356" w:type="pct"/>
            <w:tcBorders>
              <w:top w:val="nil"/>
              <w:left w:val="nil"/>
              <w:bottom w:val="single" w:sz="8" w:space="0" w:color="000000"/>
              <w:right w:val="nil"/>
            </w:tcBorders>
            <w:vAlign w:val="center"/>
          </w:tcPr>
          <w:p w14:paraId="18168E61" w14:textId="2F8D2C29"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90.0%</w:t>
            </w:r>
          </w:p>
        </w:tc>
        <w:tc>
          <w:tcPr>
            <w:tcW w:w="359" w:type="pct"/>
            <w:tcBorders>
              <w:top w:val="nil"/>
              <w:left w:val="nil"/>
              <w:bottom w:val="single" w:sz="8" w:space="0" w:color="000000"/>
              <w:right w:val="nil"/>
            </w:tcBorders>
            <w:vAlign w:val="center"/>
          </w:tcPr>
          <w:p w14:paraId="3460D051" w14:textId="55E3F19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80.0%</w:t>
            </w:r>
          </w:p>
        </w:tc>
        <w:tc>
          <w:tcPr>
            <w:tcW w:w="356" w:type="pct"/>
            <w:tcBorders>
              <w:top w:val="nil"/>
              <w:left w:val="nil"/>
              <w:bottom w:val="single" w:sz="8" w:space="0" w:color="000000"/>
              <w:right w:val="nil"/>
            </w:tcBorders>
            <w:shd w:val="clear" w:color="auto" w:fill="auto"/>
            <w:vAlign w:val="center"/>
          </w:tcPr>
          <w:p w14:paraId="01248C4B" w14:textId="24B81FC0"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71.0%</w:t>
            </w:r>
          </w:p>
        </w:tc>
        <w:tc>
          <w:tcPr>
            <w:tcW w:w="356" w:type="pct"/>
            <w:tcBorders>
              <w:top w:val="nil"/>
              <w:left w:val="nil"/>
              <w:bottom w:val="single" w:sz="8" w:space="0" w:color="000000"/>
              <w:right w:val="nil"/>
            </w:tcBorders>
            <w:shd w:val="clear" w:color="auto" w:fill="auto"/>
            <w:vAlign w:val="center"/>
          </w:tcPr>
          <w:p w14:paraId="7226DD0E" w14:textId="46A6BFD2"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64.4%</w:t>
            </w:r>
          </w:p>
        </w:tc>
        <w:tc>
          <w:tcPr>
            <w:tcW w:w="426" w:type="pct"/>
            <w:tcBorders>
              <w:top w:val="nil"/>
              <w:left w:val="nil"/>
              <w:bottom w:val="single" w:sz="8" w:space="0" w:color="000000"/>
              <w:right w:val="nil"/>
            </w:tcBorders>
            <w:shd w:val="clear" w:color="auto" w:fill="auto"/>
            <w:vAlign w:val="center"/>
          </w:tcPr>
          <w:p w14:paraId="57FB4AB0" w14:textId="0619C88A"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59.0%</w:t>
            </w:r>
          </w:p>
        </w:tc>
        <w:tc>
          <w:tcPr>
            <w:tcW w:w="373" w:type="pct"/>
            <w:tcBorders>
              <w:top w:val="nil"/>
              <w:left w:val="nil"/>
              <w:bottom w:val="single" w:sz="8" w:space="0" w:color="000000"/>
              <w:right w:val="nil"/>
            </w:tcBorders>
            <w:shd w:val="clear" w:color="auto" w:fill="auto"/>
            <w:vAlign w:val="center"/>
          </w:tcPr>
          <w:p w14:paraId="5E6D16D4" w14:textId="262F032B"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50.0%</w:t>
            </w:r>
          </w:p>
        </w:tc>
        <w:tc>
          <w:tcPr>
            <w:tcW w:w="373" w:type="pct"/>
            <w:tcBorders>
              <w:top w:val="nil"/>
              <w:left w:val="nil"/>
              <w:bottom w:val="single" w:sz="8" w:space="0" w:color="000000"/>
              <w:right w:val="nil"/>
            </w:tcBorders>
            <w:vAlign w:val="center"/>
          </w:tcPr>
          <w:p w14:paraId="1A11BB81" w14:textId="2FF106E4" w:rsidR="000A0826"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12.0%</w:t>
            </w:r>
          </w:p>
        </w:tc>
        <w:tc>
          <w:tcPr>
            <w:tcW w:w="373" w:type="pct"/>
            <w:tcBorders>
              <w:top w:val="nil"/>
              <w:left w:val="nil"/>
              <w:bottom w:val="single" w:sz="8" w:space="0" w:color="000000"/>
              <w:right w:val="nil"/>
            </w:tcBorders>
            <w:vAlign w:val="center"/>
          </w:tcPr>
          <w:p w14:paraId="3552FA56" w14:textId="4AF08991"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-0.5</w:t>
            </w:r>
          </w:p>
        </w:tc>
        <w:tc>
          <w:tcPr>
            <w:tcW w:w="385" w:type="pct"/>
            <w:tcBorders>
              <w:top w:val="nil"/>
              <w:left w:val="nil"/>
              <w:bottom w:val="single" w:sz="8" w:space="0" w:color="000000"/>
              <w:right w:val="nil"/>
            </w:tcBorders>
            <w:vAlign w:val="center"/>
          </w:tcPr>
          <w:p w14:paraId="4B5A911B" w14:textId="2C6F448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-0.2</w:t>
            </w:r>
          </w:p>
        </w:tc>
      </w:tr>
      <w:tr w:rsidR="000A0826" w:rsidRPr="00AE50A9" w14:paraId="4CC4FC8E" w14:textId="78A71845" w:rsidTr="000A0826">
        <w:trPr>
          <w:trHeight w:val="95"/>
        </w:trPr>
        <w:tc>
          <w:tcPr>
            <w:tcW w:w="570" w:type="pct"/>
            <w:tcBorders>
              <w:top w:val="nil"/>
              <w:left w:val="nil"/>
              <w:bottom w:val="single" w:sz="8" w:space="0" w:color="000000"/>
              <w:right w:val="nil"/>
            </w:tcBorders>
            <w:shd w:val="clear" w:color="auto" w:fill="auto"/>
            <w:vAlign w:val="center"/>
            <w:hideMark/>
          </w:tcPr>
          <w:p w14:paraId="44F14BA2" w14:textId="77777777" w:rsidR="000A0826" w:rsidRPr="00AE50A9" w:rsidRDefault="000A0826" w:rsidP="000A0826">
            <w:pPr>
              <w:spacing w:after="0" w:line="240" w:lineRule="auto"/>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Overheads as a share of direct costs</w:t>
            </w:r>
          </w:p>
        </w:tc>
        <w:tc>
          <w:tcPr>
            <w:tcW w:w="409" w:type="pct"/>
            <w:tcBorders>
              <w:top w:val="nil"/>
              <w:left w:val="nil"/>
              <w:bottom w:val="single" w:sz="8" w:space="0" w:color="000000"/>
              <w:right w:val="nil"/>
            </w:tcBorders>
            <w:shd w:val="clear" w:color="auto" w:fill="auto"/>
            <w:vAlign w:val="center"/>
            <w:hideMark/>
          </w:tcPr>
          <w:p w14:paraId="77EF55A6"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1.1%</w:t>
            </w:r>
          </w:p>
        </w:tc>
        <w:tc>
          <w:tcPr>
            <w:tcW w:w="305" w:type="pct"/>
            <w:tcBorders>
              <w:top w:val="nil"/>
              <w:left w:val="nil"/>
              <w:bottom w:val="single" w:sz="8" w:space="0" w:color="000000"/>
              <w:right w:val="nil"/>
            </w:tcBorders>
            <w:shd w:val="clear" w:color="auto" w:fill="auto"/>
            <w:vAlign w:val="center"/>
            <w:hideMark/>
          </w:tcPr>
          <w:p w14:paraId="33B5AC4E"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7.7%</w:t>
            </w:r>
          </w:p>
        </w:tc>
        <w:tc>
          <w:tcPr>
            <w:tcW w:w="358" w:type="pct"/>
            <w:tcBorders>
              <w:top w:val="nil"/>
              <w:left w:val="nil"/>
              <w:bottom w:val="single" w:sz="8" w:space="0" w:color="000000"/>
              <w:right w:val="nil"/>
            </w:tcBorders>
            <w:shd w:val="clear" w:color="auto" w:fill="auto"/>
            <w:vAlign w:val="center"/>
            <w:hideMark/>
          </w:tcPr>
          <w:p w14:paraId="5B9FEE7F"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10.7%</w:t>
            </w:r>
          </w:p>
        </w:tc>
        <w:tc>
          <w:tcPr>
            <w:tcW w:w="356" w:type="pct"/>
            <w:tcBorders>
              <w:top w:val="nil"/>
              <w:left w:val="nil"/>
              <w:bottom w:val="single" w:sz="8" w:space="0" w:color="000000"/>
              <w:right w:val="nil"/>
            </w:tcBorders>
            <w:vAlign w:val="center"/>
          </w:tcPr>
          <w:p w14:paraId="218D66E3"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19.8%</w:t>
            </w:r>
          </w:p>
        </w:tc>
        <w:tc>
          <w:tcPr>
            <w:tcW w:w="359" w:type="pct"/>
            <w:tcBorders>
              <w:top w:val="nil"/>
              <w:left w:val="nil"/>
              <w:bottom w:val="single" w:sz="8" w:space="0" w:color="000000"/>
              <w:right w:val="nil"/>
            </w:tcBorders>
            <w:vAlign w:val="center"/>
          </w:tcPr>
          <w:p w14:paraId="48B0E9C2"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28.1%</w:t>
            </w:r>
          </w:p>
        </w:tc>
        <w:tc>
          <w:tcPr>
            <w:tcW w:w="356" w:type="pct"/>
            <w:tcBorders>
              <w:top w:val="nil"/>
              <w:left w:val="nil"/>
              <w:bottom w:val="single" w:sz="8" w:space="0" w:color="000000"/>
              <w:right w:val="nil"/>
            </w:tcBorders>
            <w:shd w:val="clear" w:color="auto" w:fill="auto"/>
            <w:vAlign w:val="center"/>
            <w:hideMark/>
          </w:tcPr>
          <w:p w14:paraId="46048268"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36.4%</w:t>
            </w:r>
          </w:p>
        </w:tc>
        <w:tc>
          <w:tcPr>
            <w:tcW w:w="356" w:type="pct"/>
            <w:tcBorders>
              <w:top w:val="nil"/>
              <w:left w:val="nil"/>
              <w:bottom w:val="single" w:sz="8" w:space="0" w:color="000000"/>
              <w:right w:val="nil"/>
            </w:tcBorders>
            <w:shd w:val="clear" w:color="auto" w:fill="auto"/>
            <w:vAlign w:val="center"/>
            <w:hideMark/>
          </w:tcPr>
          <w:p w14:paraId="360B9BD6"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44.2%</w:t>
            </w:r>
          </w:p>
        </w:tc>
        <w:tc>
          <w:tcPr>
            <w:tcW w:w="426" w:type="pct"/>
            <w:tcBorders>
              <w:top w:val="nil"/>
              <w:left w:val="nil"/>
              <w:bottom w:val="single" w:sz="8" w:space="0" w:color="000000"/>
              <w:right w:val="nil"/>
            </w:tcBorders>
            <w:shd w:val="clear" w:color="auto" w:fill="auto"/>
            <w:vAlign w:val="center"/>
            <w:hideMark/>
          </w:tcPr>
          <w:p w14:paraId="7666223A"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46.5%</w:t>
            </w:r>
          </w:p>
        </w:tc>
        <w:tc>
          <w:tcPr>
            <w:tcW w:w="373" w:type="pct"/>
            <w:tcBorders>
              <w:top w:val="nil"/>
              <w:left w:val="nil"/>
              <w:bottom w:val="single" w:sz="8" w:space="0" w:color="000000"/>
              <w:right w:val="nil"/>
            </w:tcBorders>
            <w:shd w:val="clear" w:color="auto" w:fill="auto"/>
            <w:vAlign w:val="center"/>
            <w:hideMark/>
          </w:tcPr>
          <w:p w14:paraId="473C01D5"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49.2%</w:t>
            </w:r>
          </w:p>
        </w:tc>
        <w:tc>
          <w:tcPr>
            <w:tcW w:w="373" w:type="pct"/>
            <w:tcBorders>
              <w:top w:val="nil"/>
              <w:left w:val="nil"/>
              <w:bottom w:val="single" w:sz="8" w:space="0" w:color="000000"/>
              <w:right w:val="nil"/>
            </w:tcBorders>
            <w:vAlign w:val="center"/>
          </w:tcPr>
          <w:p w14:paraId="784598AB" w14:textId="2C43B9E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11.8%</w:t>
            </w:r>
          </w:p>
        </w:tc>
        <w:tc>
          <w:tcPr>
            <w:tcW w:w="373" w:type="pct"/>
            <w:tcBorders>
              <w:top w:val="nil"/>
              <w:left w:val="nil"/>
              <w:bottom w:val="single" w:sz="8" w:space="0" w:color="000000"/>
              <w:right w:val="nil"/>
            </w:tcBorders>
            <w:vAlign w:val="center"/>
          </w:tcPr>
          <w:p w14:paraId="613FCB37" w14:textId="21E8F009"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w:t>
            </w:r>
            <w:r>
              <w:rPr>
                <w:rFonts w:asciiTheme="minorHAnsi" w:eastAsia="Times New Roman" w:hAnsiTheme="minorHAnsi" w:cs="Times New Roman"/>
                <w:color w:val="000000"/>
                <w:sz w:val="16"/>
                <w:szCs w:val="16"/>
                <w:lang w:eastAsia="en-AU"/>
              </w:rPr>
              <w:t>1</w:t>
            </w:r>
          </w:p>
        </w:tc>
        <w:tc>
          <w:tcPr>
            <w:tcW w:w="385" w:type="pct"/>
            <w:tcBorders>
              <w:top w:val="nil"/>
              <w:left w:val="nil"/>
              <w:bottom w:val="single" w:sz="8" w:space="0" w:color="000000"/>
              <w:right w:val="nil"/>
            </w:tcBorders>
            <w:vAlign w:val="center"/>
          </w:tcPr>
          <w:p w14:paraId="3D5AF6C5" w14:textId="2EF4F37D"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w:t>
            </w:r>
            <w:r>
              <w:rPr>
                <w:rFonts w:asciiTheme="minorHAnsi" w:eastAsia="Times New Roman" w:hAnsiTheme="minorHAnsi" w:cs="Times New Roman"/>
                <w:color w:val="000000"/>
                <w:sz w:val="16"/>
                <w:szCs w:val="16"/>
                <w:lang w:eastAsia="en-AU"/>
              </w:rPr>
              <w:t>8</w:t>
            </w:r>
          </w:p>
        </w:tc>
      </w:tr>
      <w:tr w:rsidR="000A0826" w:rsidRPr="00AE50A9" w14:paraId="59BCB122" w14:textId="65B9A607" w:rsidTr="000A0826">
        <w:trPr>
          <w:trHeight w:val="60"/>
        </w:trPr>
        <w:tc>
          <w:tcPr>
            <w:tcW w:w="570" w:type="pct"/>
            <w:tcBorders>
              <w:top w:val="nil"/>
              <w:left w:val="nil"/>
              <w:bottom w:val="single" w:sz="8" w:space="0" w:color="000000"/>
              <w:right w:val="nil"/>
            </w:tcBorders>
            <w:shd w:val="clear" w:color="auto" w:fill="auto"/>
            <w:vAlign w:val="center"/>
            <w:hideMark/>
          </w:tcPr>
          <w:p w14:paraId="3C19B5F8" w14:textId="09DF0CD5" w:rsidR="000A0826" w:rsidRPr="00AE50A9" w:rsidRDefault="000A0826" w:rsidP="000A0826">
            <w:pPr>
              <w:spacing w:after="0" w:line="240" w:lineRule="auto"/>
              <w:rPr>
                <w:rFonts w:asciiTheme="minorHAnsi" w:eastAsia="Times New Roman" w:hAnsiTheme="minorHAnsi" w:cs="Times New Roman"/>
                <w:color w:val="000000"/>
                <w:sz w:val="16"/>
                <w:szCs w:val="16"/>
                <w:lang w:eastAsia="en-AU"/>
              </w:rPr>
            </w:pPr>
            <w:r>
              <w:rPr>
                <w:rFonts w:asciiTheme="minorHAnsi" w:eastAsia="Times New Roman" w:hAnsiTheme="minorHAnsi" w:cs="Times New Roman"/>
                <w:color w:val="000000"/>
                <w:sz w:val="16"/>
                <w:szCs w:val="16"/>
                <w:lang w:eastAsia="en-AU"/>
              </w:rPr>
              <w:t>Implied m</w:t>
            </w:r>
            <w:r w:rsidRPr="00AE50A9">
              <w:rPr>
                <w:rFonts w:asciiTheme="minorHAnsi" w:eastAsia="Times New Roman" w:hAnsiTheme="minorHAnsi" w:cs="Times New Roman"/>
                <w:color w:val="000000"/>
                <w:sz w:val="16"/>
                <w:szCs w:val="16"/>
                <w:lang w:eastAsia="en-AU"/>
              </w:rPr>
              <w:t>argin as a share of other costs</w:t>
            </w:r>
          </w:p>
        </w:tc>
        <w:tc>
          <w:tcPr>
            <w:tcW w:w="409" w:type="pct"/>
            <w:tcBorders>
              <w:top w:val="nil"/>
              <w:left w:val="nil"/>
              <w:bottom w:val="single" w:sz="8" w:space="0" w:color="000000"/>
              <w:right w:val="nil"/>
            </w:tcBorders>
            <w:shd w:val="clear" w:color="auto" w:fill="auto"/>
            <w:vAlign w:val="center"/>
            <w:hideMark/>
          </w:tcPr>
          <w:p w14:paraId="4166B187"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05" w:type="pct"/>
            <w:tcBorders>
              <w:top w:val="nil"/>
              <w:left w:val="nil"/>
              <w:bottom w:val="single" w:sz="8" w:space="0" w:color="000000"/>
              <w:right w:val="nil"/>
            </w:tcBorders>
            <w:shd w:val="clear" w:color="auto" w:fill="auto"/>
            <w:vAlign w:val="center"/>
            <w:hideMark/>
          </w:tcPr>
          <w:p w14:paraId="1BB557FE"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0.1%</w:t>
            </w:r>
          </w:p>
        </w:tc>
        <w:tc>
          <w:tcPr>
            <w:tcW w:w="358" w:type="pct"/>
            <w:tcBorders>
              <w:top w:val="nil"/>
              <w:left w:val="nil"/>
              <w:bottom w:val="single" w:sz="8" w:space="0" w:color="000000"/>
              <w:right w:val="nil"/>
            </w:tcBorders>
            <w:shd w:val="clear" w:color="auto" w:fill="auto"/>
            <w:vAlign w:val="center"/>
            <w:hideMark/>
          </w:tcPr>
          <w:p w14:paraId="16FD7DD9"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0.2%</w:t>
            </w:r>
          </w:p>
        </w:tc>
        <w:tc>
          <w:tcPr>
            <w:tcW w:w="356" w:type="pct"/>
            <w:tcBorders>
              <w:top w:val="nil"/>
              <w:left w:val="nil"/>
              <w:bottom w:val="single" w:sz="8" w:space="0" w:color="000000"/>
              <w:right w:val="nil"/>
            </w:tcBorders>
            <w:shd w:val="clear" w:color="auto" w:fill="auto"/>
            <w:vAlign w:val="center"/>
          </w:tcPr>
          <w:p w14:paraId="15D1A7C1"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0.5%</w:t>
            </w:r>
          </w:p>
        </w:tc>
        <w:tc>
          <w:tcPr>
            <w:tcW w:w="359" w:type="pct"/>
            <w:tcBorders>
              <w:top w:val="nil"/>
              <w:left w:val="nil"/>
              <w:bottom w:val="single" w:sz="8" w:space="0" w:color="000000"/>
              <w:right w:val="nil"/>
            </w:tcBorders>
            <w:shd w:val="clear" w:color="auto" w:fill="auto"/>
            <w:vAlign w:val="center"/>
          </w:tcPr>
          <w:p w14:paraId="271D5A40"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1.2%</w:t>
            </w:r>
          </w:p>
        </w:tc>
        <w:tc>
          <w:tcPr>
            <w:tcW w:w="356" w:type="pct"/>
            <w:tcBorders>
              <w:top w:val="nil"/>
              <w:left w:val="nil"/>
              <w:bottom w:val="single" w:sz="8" w:space="0" w:color="000000"/>
              <w:right w:val="nil"/>
            </w:tcBorders>
            <w:shd w:val="clear" w:color="auto" w:fill="auto"/>
            <w:vAlign w:val="center"/>
          </w:tcPr>
          <w:p w14:paraId="2C1C1980"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2.3%</w:t>
            </w:r>
          </w:p>
        </w:tc>
        <w:tc>
          <w:tcPr>
            <w:tcW w:w="356" w:type="pct"/>
            <w:tcBorders>
              <w:top w:val="nil"/>
              <w:left w:val="nil"/>
              <w:bottom w:val="single" w:sz="8" w:space="0" w:color="000000"/>
              <w:right w:val="nil"/>
            </w:tcBorders>
            <w:shd w:val="clear" w:color="auto" w:fill="auto"/>
            <w:vAlign w:val="center"/>
          </w:tcPr>
          <w:p w14:paraId="4D0B0B95"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4.4%</w:t>
            </w:r>
          </w:p>
        </w:tc>
        <w:tc>
          <w:tcPr>
            <w:tcW w:w="426" w:type="pct"/>
            <w:tcBorders>
              <w:top w:val="nil"/>
              <w:left w:val="nil"/>
              <w:bottom w:val="single" w:sz="8" w:space="0" w:color="000000"/>
              <w:right w:val="nil"/>
            </w:tcBorders>
            <w:shd w:val="clear" w:color="auto" w:fill="auto"/>
            <w:vAlign w:val="center"/>
          </w:tcPr>
          <w:p w14:paraId="3BC822EE"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5.1%</w:t>
            </w:r>
          </w:p>
        </w:tc>
        <w:tc>
          <w:tcPr>
            <w:tcW w:w="373" w:type="pct"/>
            <w:tcBorders>
              <w:top w:val="nil"/>
              <w:left w:val="nil"/>
              <w:bottom w:val="single" w:sz="8" w:space="0" w:color="000000"/>
              <w:right w:val="nil"/>
            </w:tcBorders>
            <w:shd w:val="clear" w:color="auto" w:fill="auto"/>
            <w:vAlign w:val="center"/>
          </w:tcPr>
          <w:p w14:paraId="07F0C919"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7.9%</w:t>
            </w:r>
          </w:p>
        </w:tc>
        <w:tc>
          <w:tcPr>
            <w:tcW w:w="373" w:type="pct"/>
            <w:tcBorders>
              <w:top w:val="nil"/>
              <w:left w:val="nil"/>
              <w:bottom w:val="single" w:sz="8" w:space="0" w:color="000000"/>
              <w:right w:val="nil"/>
            </w:tcBorders>
            <w:vAlign w:val="center"/>
          </w:tcPr>
          <w:p w14:paraId="69D50FE2" w14:textId="51A083AC"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1.6%</w:t>
            </w:r>
          </w:p>
        </w:tc>
        <w:tc>
          <w:tcPr>
            <w:tcW w:w="373" w:type="pct"/>
            <w:tcBorders>
              <w:top w:val="nil"/>
              <w:left w:val="nil"/>
              <w:bottom w:val="single" w:sz="8" w:space="0" w:color="000000"/>
              <w:right w:val="nil"/>
            </w:tcBorders>
            <w:vAlign w:val="center"/>
          </w:tcPr>
          <w:p w14:paraId="7E1DB1F9" w14:textId="15E83920"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1.5</w:t>
            </w:r>
          </w:p>
        </w:tc>
        <w:tc>
          <w:tcPr>
            <w:tcW w:w="385" w:type="pct"/>
            <w:tcBorders>
              <w:top w:val="nil"/>
              <w:left w:val="nil"/>
              <w:bottom w:val="single" w:sz="8" w:space="0" w:color="000000"/>
              <w:right w:val="nil"/>
            </w:tcBorders>
            <w:vAlign w:val="center"/>
          </w:tcPr>
          <w:p w14:paraId="1E2338CE" w14:textId="08E439B9"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1.7</w:t>
            </w:r>
          </w:p>
        </w:tc>
      </w:tr>
      <w:tr w:rsidR="000A0826" w:rsidRPr="00AE50A9" w14:paraId="357E05BB" w14:textId="4846FDA5" w:rsidTr="000A0826">
        <w:trPr>
          <w:trHeight w:val="60"/>
        </w:trPr>
        <w:tc>
          <w:tcPr>
            <w:tcW w:w="570" w:type="pct"/>
            <w:tcBorders>
              <w:top w:val="nil"/>
              <w:left w:val="nil"/>
              <w:bottom w:val="single" w:sz="8" w:space="0" w:color="000000"/>
              <w:right w:val="nil"/>
            </w:tcBorders>
            <w:shd w:val="clear" w:color="auto" w:fill="auto"/>
            <w:vAlign w:val="center"/>
            <w:hideMark/>
          </w:tcPr>
          <w:p w14:paraId="36E457C5" w14:textId="77777777" w:rsidR="000A0826" w:rsidRPr="00AE50A9" w:rsidRDefault="000A0826" w:rsidP="000A0826">
            <w:pPr>
              <w:spacing w:after="0" w:line="240" w:lineRule="auto"/>
              <w:rPr>
                <w:rFonts w:asciiTheme="minorHAnsi" w:eastAsia="Times New Roman" w:hAnsiTheme="minorHAnsi" w:cs="Times New Roman"/>
                <w:sz w:val="16"/>
                <w:szCs w:val="16"/>
                <w:lang w:eastAsia="en-AU"/>
              </w:rPr>
            </w:pPr>
            <w:r w:rsidRPr="00AE50A9">
              <w:rPr>
                <w:rFonts w:asciiTheme="minorHAnsi" w:eastAsia="Times New Roman" w:hAnsiTheme="minorHAnsi" w:cs="Times New Roman"/>
                <w:sz w:val="16"/>
                <w:szCs w:val="16"/>
                <w:lang w:eastAsia="en-AU"/>
              </w:rPr>
              <w:t>Span of control</w:t>
            </w:r>
          </w:p>
        </w:tc>
        <w:tc>
          <w:tcPr>
            <w:tcW w:w="409" w:type="pct"/>
            <w:tcBorders>
              <w:top w:val="nil"/>
              <w:left w:val="nil"/>
              <w:bottom w:val="single" w:sz="8" w:space="0" w:color="000000"/>
              <w:right w:val="nil"/>
            </w:tcBorders>
            <w:shd w:val="clear" w:color="auto" w:fill="auto"/>
            <w:vAlign w:val="center"/>
            <w:hideMark/>
          </w:tcPr>
          <w:p w14:paraId="7107E20D"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0.0</w:t>
            </w:r>
          </w:p>
        </w:tc>
        <w:tc>
          <w:tcPr>
            <w:tcW w:w="305" w:type="pct"/>
            <w:tcBorders>
              <w:top w:val="nil"/>
              <w:left w:val="nil"/>
              <w:bottom w:val="single" w:sz="8" w:space="0" w:color="000000"/>
              <w:right w:val="nil"/>
            </w:tcBorders>
            <w:shd w:val="clear" w:color="auto" w:fill="auto"/>
            <w:vAlign w:val="center"/>
            <w:hideMark/>
          </w:tcPr>
          <w:p w14:paraId="5678037C"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1.0</w:t>
            </w:r>
          </w:p>
        </w:tc>
        <w:tc>
          <w:tcPr>
            <w:tcW w:w="358" w:type="pct"/>
            <w:tcBorders>
              <w:top w:val="nil"/>
              <w:left w:val="nil"/>
              <w:bottom w:val="single" w:sz="8" w:space="0" w:color="000000"/>
              <w:right w:val="nil"/>
            </w:tcBorders>
            <w:shd w:val="clear" w:color="auto" w:fill="auto"/>
            <w:vAlign w:val="center"/>
            <w:hideMark/>
          </w:tcPr>
          <w:p w14:paraId="552A8223"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2.1</w:t>
            </w:r>
          </w:p>
        </w:tc>
        <w:tc>
          <w:tcPr>
            <w:tcW w:w="356" w:type="pct"/>
            <w:tcBorders>
              <w:top w:val="nil"/>
              <w:left w:val="nil"/>
              <w:bottom w:val="single" w:sz="8" w:space="0" w:color="000000"/>
              <w:right w:val="nil"/>
            </w:tcBorders>
            <w:vAlign w:val="center"/>
          </w:tcPr>
          <w:p w14:paraId="5ACF6D9A"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5.0</w:t>
            </w:r>
          </w:p>
        </w:tc>
        <w:tc>
          <w:tcPr>
            <w:tcW w:w="359" w:type="pct"/>
            <w:tcBorders>
              <w:top w:val="nil"/>
              <w:left w:val="nil"/>
              <w:bottom w:val="single" w:sz="8" w:space="0" w:color="000000"/>
              <w:right w:val="nil"/>
            </w:tcBorders>
            <w:vAlign w:val="center"/>
          </w:tcPr>
          <w:p w14:paraId="62AC9492"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9.0</w:t>
            </w:r>
          </w:p>
        </w:tc>
        <w:tc>
          <w:tcPr>
            <w:tcW w:w="356" w:type="pct"/>
            <w:tcBorders>
              <w:top w:val="nil"/>
              <w:left w:val="nil"/>
              <w:bottom w:val="single" w:sz="8" w:space="0" w:color="000000"/>
              <w:right w:val="nil"/>
            </w:tcBorders>
            <w:shd w:val="clear" w:color="auto" w:fill="auto"/>
            <w:vAlign w:val="center"/>
            <w:hideMark/>
          </w:tcPr>
          <w:p w14:paraId="11CC86E6"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15.0</w:t>
            </w:r>
          </w:p>
        </w:tc>
        <w:tc>
          <w:tcPr>
            <w:tcW w:w="356" w:type="pct"/>
            <w:tcBorders>
              <w:top w:val="nil"/>
              <w:left w:val="nil"/>
              <w:bottom w:val="single" w:sz="8" w:space="0" w:color="000000"/>
              <w:right w:val="nil"/>
            </w:tcBorders>
            <w:shd w:val="clear" w:color="auto" w:fill="auto"/>
            <w:vAlign w:val="center"/>
            <w:hideMark/>
          </w:tcPr>
          <w:p w14:paraId="6E5FE192"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22.7</w:t>
            </w:r>
          </w:p>
        </w:tc>
        <w:tc>
          <w:tcPr>
            <w:tcW w:w="426" w:type="pct"/>
            <w:tcBorders>
              <w:top w:val="nil"/>
              <w:left w:val="nil"/>
              <w:bottom w:val="single" w:sz="8" w:space="0" w:color="000000"/>
              <w:right w:val="nil"/>
            </w:tcBorders>
            <w:shd w:val="clear" w:color="auto" w:fill="auto"/>
            <w:vAlign w:val="center"/>
            <w:hideMark/>
          </w:tcPr>
          <w:p w14:paraId="6F5D8AD5"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30.7</w:t>
            </w:r>
          </w:p>
        </w:tc>
        <w:tc>
          <w:tcPr>
            <w:tcW w:w="373" w:type="pct"/>
            <w:tcBorders>
              <w:top w:val="nil"/>
              <w:left w:val="nil"/>
              <w:bottom w:val="single" w:sz="8" w:space="0" w:color="000000"/>
              <w:right w:val="nil"/>
            </w:tcBorders>
            <w:shd w:val="clear" w:color="auto" w:fill="auto"/>
            <w:vAlign w:val="center"/>
            <w:hideMark/>
          </w:tcPr>
          <w:p w14:paraId="72A403B0" w14:textId="77777777"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116.0</w:t>
            </w:r>
          </w:p>
        </w:tc>
        <w:tc>
          <w:tcPr>
            <w:tcW w:w="373" w:type="pct"/>
            <w:tcBorders>
              <w:top w:val="nil"/>
              <w:left w:val="nil"/>
              <w:bottom w:val="single" w:sz="8" w:space="0" w:color="000000"/>
              <w:right w:val="nil"/>
            </w:tcBorders>
            <w:vAlign w:val="center"/>
          </w:tcPr>
          <w:p w14:paraId="022A74A5" w14:textId="3687316B"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11.3</w:t>
            </w:r>
          </w:p>
        </w:tc>
        <w:tc>
          <w:tcPr>
            <w:tcW w:w="373" w:type="pct"/>
            <w:tcBorders>
              <w:top w:val="nil"/>
              <w:left w:val="nil"/>
              <w:bottom w:val="single" w:sz="8" w:space="0" w:color="000000"/>
              <w:right w:val="nil"/>
            </w:tcBorders>
            <w:vAlign w:val="center"/>
          </w:tcPr>
          <w:p w14:paraId="72B7C03F" w14:textId="7B7FAD16"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3.4</w:t>
            </w:r>
          </w:p>
        </w:tc>
        <w:tc>
          <w:tcPr>
            <w:tcW w:w="385" w:type="pct"/>
            <w:tcBorders>
              <w:top w:val="nil"/>
              <w:left w:val="nil"/>
              <w:bottom w:val="single" w:sz="8" w:space="0" w:color="000000"/>
              <w:right w:val="nil"/>
            </w:tcBorders>
            <w:vAlign w:val="center"/>
          </w:tcPr>
          <w:p w14:paraId="667D6F5E" w14:textId="6C200F50" w:rsidR="000A0826" w:rsidRPr="00AE50A9" w:rsidRDefault="000A0826" w:rsidP="000A0826">
            <w:pPr>
              <w:spacing w:after="0" w:line="240" w:lineRule="auto"/>
              <w:jc w:val="center"/>
              <w:rPr>
                <w:rFonts w:asciiTheme="minorHAnsi" w:eastAsia="Times New Roman" w:hAnsiTheme="minorHAnsi" w:cs="Times New Roman"/>
                <w:color w:val="000000"/>
                <w:sz w:val="16"/>
                <w:szCs w:val="16"/>
                <w:lang w:eastAsia="en-AU"/>
              </w:rPr>
            </w:pPr>
            <w:r w:rsidRPr="00AE50A9">
              <w:rPr>
                <w:rFonts w:asciiTheme="minorHAnsi" w:eastAsia="Times New Roman" w:hAnsiTheme="minorHAnsi" w:cs="Times New Roman"/>
                <w:color w:val="000000"/>
                <w:sz w:val="16"/>
                <w:szCs w:val="16"/>
                <w:lang w:eastAsia="en-AU"/>
              </w:rPr>
              <w:t>19.8</w:t>
            </w:r>
          </w:p>
        </w:tc>
      </w:tr>
    </w:tbl>
    <w:p w14:paraId="755BFAF1" w14:textId="0D9BC07F" w:rsidR="000A0826" w:rsidRDefault="000A0826" w:rsidP="000A0826">
      <w:pPr>
        <w:pStyle w:val="Source"/>
        <w:rPr>
          <w:lang w:eastAsia="en-AU"/>
        </w:rPr>
      </w:pPr>
      <w:r>
        <w:rPr>
          <w:lang w:eastAsia="en-AU"/>
        </w:rPr>
        <w:t xml:space="preserve">Note: * the data for the total utilisation row are presented consistently with the ranking used in </w:t>
      </w:r>
      <w:r>
        <w:rPr>
          <w:lang w:eastAsia="en-AU"/>
        </w:rPr>
        <w:fldChar w:fldCharType="begin"/>
      </w:r>
      <w:r>
        <w:rPr>
          <w:lang w:eastAsia="en-AU"/>
        </w:rPr>
        <w:instrText xml:space="preserve"> REF _Ref39763175 \r \h </w:instrText>
      </w:r>
      <w:r>
        <w:rPr>
          <w:lang w:eastAsia="en-AU"/>
        </w:rPr>
      </w:r>
      <w:r>
        <w:rPr>
          <w:lang w:eastAsia="en-AU"/>
        </w:rPr>
        <w:fldChar w:fldCharType="separate"/>
      </w:r>
      <w:r w:rsidR="00283637">
        <w:rPr>
          <w:lang w:eastAsia="en-AU"/>
        </w:rPr>
        <w:t>Table 3.12</w:t>
      </w:r>
      <w:r>
        <w:rPr>
          <w:lang w:eastAsia="en-AU"/>
        </w:rPr>
        <w:fldChar w:fldCharType="end"/>
      </w:r>
      <w:r>
        <w:rPr>
          <w:lang w:eastAsia="en-AU"/>
        </w:rPr>
        <w:t>, with the “minimum” value representing the highest value in the survey.</w:t>
      </w:r>
    </w:p>
    <w:p w14:paraId="6E8C4F22" w14:textId="77777777" w:rsidR="000A0826" w:rsidRPr="000A0826" w:rsidRDefault="000A0826">
      <w:pPr>
        <w:rPr>
          <w:lang w:eastAsia="en-AU"/>
        </w:rPr>
      </w:pPr>
    </w:p>
    <w:p w14:paraId="1D1E96D0" w14:textId="294C761D" w:rsidR="000A0826" w:rsidRDefault="000A0826" w:rsidP="00E0634F">
      <w:pPr>
        <w:rPr>
          <w:lang w:eastAsia="en-AU"/>
        </w:rPr>
        <w:sectPr w:rsidR="000A0826" w:rsidSect="00D247D3">
          <w:pgSz w:w="16838" w:h="11906" w:orient="landscape" w:code="9"/>
          <w:pgMar w:top="1440" w:right="1440" w:bottom="1440" w:left="1440" w:header="680" w:footer="425" w:gutter="0"/>
          <w:cols w:space="284"/>
          <w:docGrid w:linePitch="360"/>
        </w:sectPr>
      </w:pPr>
    </w:p>
    <w:p w14:paraId="487D89F3" w14:textId="77777777" w:rsidR="002922F7" w:rsidRDefault="002922F7" w:rsidP="002922F7">
      <w:pPr>
        <w:pStyle w:val="Appendixhead1"/>
        <w:rPr>
          <w:lang w:eastAsia="en-AU"/>
        </w:rPr>
      </w:pPr>
      <w:bookmarkStart w:id="278" w:name="_Ref38547697"/>
      <w:bookmarkStart w:id="279" w:name="_Toc40454663"/>
      <w:r>
        <w:rPr>
          <w:lang w:eastAsia="en-AU"/>
        </w:rPr>
        <w:lastRenderedPageBreak/>
        <w:t>Further analysis</w:t>
      </w:r>
      <w:bookmarkEnd w:id="278"/>
      <w:bookmarkEnd w:id="279"/>
    </w:p>
    <w:p w14:paraId="132214CF" w14:textId="1987EFEA" w:rsidR="002922F7" w:rsidRPr="00062432" w:rsidRDefault="002922F7" w:rsidP="002922F7">
      <w:pPr>
        <w:rPr>
          <w:lang w:eastAsia="en-AU"/>
        </w:rPr>
      </w:pPr>
      <w:r>
        <w:rPr>
          <w:lang w:eastAsia="en-AU"/>
        </w:rPr>
        <w:t xml:space="preserve">This appendix presents the output which underpins the analysis in Chapter </w:t>
      </w:r>
      <w:r>
        <w:rPr>
          <w:lang w:eastAsia="en-AU"/>
        </w:rPr>
        <w:fldChar w:fldCharType="begin"/>
      </w:r>
      <w:r>
        <w:rPr>
          <w:lang w:eastAsia="en-AU"/>
        </w:rPr>
        <w:instrText xml:space="preserve"> REF _Ref38631558 \r \h </w:instrText>
      </w:r>
      <w:r>
        <w:rPr>
          <w:lang w:eastAsia="en-AU"/>
        </w:rPr>
      </w:r>
      <w:r>
        <w:rPr>
          <w:lang w:eastAsia="en-AU"/>
        </w:rPr>
        <w:fldChar w:fldCharType="separate"/>
      </w:r>
      <w:r w:rsidR="00283637">
        <w:rPr>
          <w:lang w:eastAsia="en-AU"/>
        </w:rPr>
        <w:t>4</w:t>
      </w:r>
      <w:r>
        <w:rPr>
          <w:lang w:eastAsia="en-AU"/>
        </w:rPr>
        <w:fldChar w:fldCharType="end"/>
      </w:r>
    </w:p>
    <w:p w14:paraId="1D850166" w14:textId="77777777" w:rsidR="002922F7" w:rsidRDefault="002922F7" w:rsidP="00400621">
      <w:pPr>
        <w:pStyle w:val="Appendixhead2"/>
        <w:numPr>
          <w:ilvl w:val="1"/>
          <w:numId w:val="11"/>
        </w:numPr>
      </w:pPr>
      <w:bookmarkStart w:id="280" w:name="_Ref38627092"/>
      <w:bookmarkStart w:id="281" w:name="_Toc40454664"/>
      <w:r>
        <w:t>Correlation analysis – scatter plots</w:t>
      </w:r>
      <w:bookmarkEnd w:id="280"/>
      <w:bookmarkEnd w:id="281"/>
    </w:p>
    <w:p w14:paraId="12936260" w14:textId="2F25398F" w:rsidR="002922F7" w:rsidRDefault="002922F7" w:rsidP="00400621">
      <w:pPr>
        <w:pStyle w:val="AppendixChartCaption"/>
        <w:numPr>
          <w:ilvl w:val="7"/>
          <w:numId w:val="11"/>
        </w:numPr>
      </w:pPr>
      <w:bookmarkStart w:id="282" w:name="_Toc40454732"/>
      <w:r>
        <w:t>Scatter plot between utilisation (x), and permanent employment rate (y)</w:t>
      </w:r>
      <w:bookmarkEnd w:id="282"/>
    </w:p>
    <w:p w14:paraId="3B31B8D1" w14:textId="420E5326" w:rsidR="002922F7" w:rsidRDefault="002922F7" w:rsidP="002922F7">
      <w:pPr>
        <w:rPr>
          <w:lang w:eastAsia="en-AU"/>
        </w:rPr>
      </w:pPr>
      <w:r w:rsidRPr="00470185">
        <w:rPr>
          <w:lang w:eastAsia="en-AU"/>
        </w:rPr>
        <w:t xml:space="preserve"> </w:t>
      </w:r>
      <w:r w:rsidR="00715509" w:rsidRPr="00715509">
        <w:rPr>
          <w:noProof/>
          <w:lang w:eastAsia="en-AU"/>
        </w:rPr>
        <w:drawing>
          <wp:inline distT="0" distB="0" distL="0" distR="0" wp14:anchorId="18855676" wp14:editId="652F3BDD">
            <wp:extent cx="5415280" cy="3277870"/>
            <wp:effectExtent l="0" t="0" r="0" b="0"/>
            <wp:docPr id="1489793636" name="Picture 1489793636" descr="Chart D.1 Scatter plot between utilisation (x), and permanent employment rat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15280" cy="3277870"/>
                    </a:xfrm>
                    <a:prstGeom prst="rect">
                      <a:avLst/>
                    </a:prstGeom>
                    <a:noFill/>
                    <a:ln>
                      <a:noFill/>
                    </a:ln>
                  </pic:spPr>
                </pic:pic>
              </a:graphicData>
            </a:graphic>
          </wp:inline>
        </w:drawing>
      </w:r>
    </w:p>
    <w:p w14:paraId="7D8C0FC0" w14:textId="1346C542" w:rsidR="002922F7" w:rsidRDefault="002922F7" w:rsidP="00400621">
      <w:pPr>
        <w:pStyle w:val="AppendixChartCaption"/>
        <w:numPr>
          <w:ilvl w:val="7"/>
          <w:numId w:val="11"/>
        </w:numPr>
      </w:pPr>
      <w:bookmarkStart w:id="283" w:name="_Toc40454733"/>
      <w:r>
        <w:t>Scatter plot between utilisation (x), and span of control (y)</w:t>
      </w:r>
      <w:bookmarkEnd w:id="283"/>
    </w:p>
    <w:p w14:paraId="01453330" w14:textId="46FA6A35" w:rsidR="002922F7" w:rsidRDefault="002922F7" w:rsidP="002922F7">
      <w:pPr>
        <w:rPr>
          <w:lang w:eastAsia="en-AU"/>
        </w:rPr>
      </w:pPr>
      <w:r w:rsidRPr="00470185">
        <w:rPr>
          <w:lang w:eastAsia="en-AU"/>
        </w:rPr>
        <w:t xml:space="preserve"> </w:t>
      </w:r>
      <w:r w:rsidRPr="00470185">
        <w:rPr>
          <w:noProof/>
          <w:lang w:eastAsia="en-AU"/>
        </w:rPr>
        <w:drawing>
          <wp:inline distT="0" distB="0" distL="0" distR="0" wp14:anchorId="24DF4AEA" wp14:editId="5E732839">
            <wp:extent cx="5334000" cy="3276600"/>
            <wp:effectExtent l="0" t="0" r="0" b="0"/>
            <wp:docPr id="8" name="Picture 8" descr="Chart D.2 Scatter plot between utilisation (x), and span of control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34000" cy="3276600"/>
                    </a:xfrm>
                    <a:prstGeom prst="rect">
                      <a:avLst/>
                    </a:prstGeom>
                    <a:noFill/>
                    <a:ln>
                      <a:noFill/>
                    </a:ln>
                  </pic:spPr>
                </pic:pic>
              </a:graphicData>
            </a:graphic>
          </wp:inline>
        </w:drawing>
      </w:r>
    </w:p>
    <w:p w14:paraId="56C9646B" w14:textId="2DAE4978" w:rsidR="002922F7" w:rsidRDefault="002922F7" w:rsidP="00400621">
      <w:pPr>
        <w:pStyle w:val="AppendixChartCaption"/>
        <w:numPr>
          <w:ilvl w:val="7"/>
          <w:numId w:val="11"/>
        </w:numPr>
      </w:pPr>
      <w:bookmarkStart w:id="284" w:name="_Toc40454734"/>
      <w:r>
        <w:lastRenderedPageBreak/>
        <w:t xml:space="preserve">Scatter plot between utilisation (x), and </w:t>
      </w:r>
      <w:r w:rsidR="00A6707A">
        <w:t xml:space="preserve">implied </w:t>
      </w:r>
      <w:r w:rsidRPr="008C4080">
        <w:t>margin as a share of other costs</w:t>
      </w:r>
      <w:r>
        <w:t xml:space="preserve"> (y)</w:t>
      </w:r>
      <w:bookmarkEnd w:id="284"/>
    </w:p>
    <w:p w14:paraId="071E4E9E" w14:textId="4CFC0173" w:rsidR="002922F7" w:rsidRPr="0078029C" w:rsidRDefault="002922F7" w:rsidP="002922F7">
      <w:r w:rsidRPr="00470185">
        <w:t xml:space="preserve"> </w:t>
      </w:r>
      <w:r w:rsidR="00474865" w:rsidRPr="00474865">
        <w:rPr>
          <w:noProof/>
          <w:lang w:eastAsia="en-AU"/>
        </w:rPr>
        <w:drawing>
          <wp:inline distT="0" distB="0" distL="0" distR="0" wp14:anchorId="7661FA67" wp14:editId="0BD034B4">
            <wp:extent cx="5324475" cy="3276600"/>
            <wp:effectExtent l="0" t="0" r="0" b="0"/>
            <wp:docPr id="18" name="Picture 18" descr="Chart D.3 Scatter plot between utilisation (x), and implied margin as a share of other cost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24475" cy="3276600"/>
                    </a:xfrm>
                    <a:prstGeom prst="rect">
                      <a:avLst/>
                    </a:prstGeom>
                    <a:noFill/>
                    <a:ln>
                      <a:noFill/>
                    </a:ln>
                  </pic:spPr>
                </pic:pic>
              </a:graphicData>
            </a:graphic>
          </wp:inline>
        </w:drawing>
      </w:r>
    </w:p>
    <w:p w14:paraId="30BAB800" w14:textId="6544E29A" w:rsidR="002922F7" w:rsidRDefault="002922F7" w:rsidP="00400621">
      <w:pPr>
        <w:pStyle w:val="AppendixChartCaption"/>
        <w:numPr>
          <w:ilvl w:val="7"/>
          <w:numId w:val="11"/>
        </w:numPr>
      </w:pPr>
      <w:bookmarkStart w:id="285" w:name="_Toc40454735"/>
      <w:r>
        <w:t xml:space="preserve">Scatter plot between utilisation (x), and </w:t>
      </w:r>
      <w:r w:rsidRPr="008C4080">
        <w:t xml:space="preserve">overheads as a share of direct costs exc. interest and depreciation </w:t>
      </w:r>
      <w:r>
        <w:t>(y)</w:t>
      </w:r>
      <w:bookmarkEnd w:id="285"/>
    </w:p>
    <w:p w14:paraId="06319F1C" w14:textId="74B62A3C" w:rsidR="002922F7" w:rsidRPr="0078029C" w:rsidRDefault="002922F7" w:rsidP="002922F7">
      <w:r w:rsidRPr="00470185">
        <w:t xml:space="preserve"> </w:t>
      </w:r>
      <w:r w:rsidRPr="00470185">
        <w:rPr>
          <w:noProof/>
          <w:lang w:eastAsia="en-AU"/>
        </w:rPr>
        <w:drawing>
          <wp:inline distT="0" distB="0" distL="0" distR="0" wp14:anchorId="36AC3D3D" wp14:editId="2AFA365D">
            <wp:extent cx="5324475" cy="3276600"/>
            <wp:effectExtent l="0" t="0" r="0" b="0"/>
            <wp:docPr id="17" name="Picture 17" descr="Chart D.4 Scatter plot between utilisation (x), and overheads as a share of direct costs exc. interest and depreciation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24475" cy="3276600"/>
                    </a:xfrm>
                    <a:prstGeom prst="rect">
                      <a:avLst/>
                    </a:prstGeom>
                    <a:noFill/>
                    <a:ln>
                      <a:noFill/>
                    </a:ln>
                  </pic:spPr>
                </pic:pic>
              </a:graphicData>
            </a:graphic>
          </wp:inline>
        </w:drawing>
      </w:r>
    </w:p>
    <w:p w14:paraId="38B1B71C" w14:textId="0951EFBE" w:rsidR="002922F7" w:rsidRDefault="002922F7" w:rsidP="00400621">
      <w:pPr>
        <w:pStyle w:val="AppendixChartCaption"/>
        <w:numPr>
          <w:ilvl w:val="7"/>
          <w:numId w:val="11"/>
        </w:numPr>
      </w:pPr>
      <w:bookmarkStart w:id="286" w:name="_Toc40454736"/>
      <w:r>
        <w:lastRenderedPageBreak/>
        <w:t>Scatter plot between o</w:t>
      </w:r>
      <w:r w:rsidRPr="008C4080">
        <w:t>verheads</w:t>
      </w:r>
      <w:r>
        <w:t xml:space="preserve"> (</w:t>
      </w:r>
      <w:r w:rsidRPr="008C4080">
        <w:t>exc. interest depreciation</w:t>
      </w:r>
      <w:r>
        <w:t>)</w:t>
      </w:r>
      <w:r w:rsidRPr="008C4080">
        <w:t xml:space="preserve"> as a share of direct costs </w:t>
      </w:r>
      <w:r>
        <w:t xml:space="preserve">(x), and </w:t>
      </w:r>
      <w:r w:rsidR="00A6707A">
        <w:t xml:space="preserve">implied </w:t>
      </w:r>
      <w:r w:rsidRPr="008C4080">
        <w:t xml:space="preserve">margin as a share of other costs </w:t>
      </w:r>
      <w:r>
        <w:t>(y)</w:t>
      </w:r>
      <w:bookmarkEnd w:id="286"/>
    </w:p>
    <w:p w14:paraId="14CA8105" w14:textId="7AD069D9" w:rsidR="002922F7" w:rsidRPr="0078029C" w:rsidRDefault="002922F7" w:rsidP="002922F7">
      <w:r w:rsidRPr="00470185">
        <w:t xml:space="preserve"> </w:t>
      </w:r>
      <w:r w:rsidR="00E818FE" w:rsidRPr="00E818FE">
        <w:rPr>
          <w:noProof/>
          <w:lang w:eastAsia="en-AU"/>
        </w:rPr>
        <w:drawing>
          <wp:inline distT="0" distB="0" distL="0" distR="0" wp14:anchorId="141D89F3" wp14:editId="2B3526B3">
            <wp:extent cx="5324475" cy="3276600"/>
            <wp:effectExtent l="0" t="0" r="0" b="0"/>
            <wp:docPr id="19" name="Picture 19" descr="Chart D.5 Scatter plot between overheads (exc. interest depreciation) as a share of direct costs (x), and implied margin as a share of other cost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24475" cy="3276600"/>
                    </a:xfrm>
                    <a:prstGeom prst="rect">
                      <a:avLst/>
                    </a:prstGeom>
                    <a:noFill/>
                    <a:ln>
                      <a:noFill/>
                    </a:ln>
                  </pic:spPr>
                </pic:pic>
              </a:graphicData>
            </a:graphic>
          </wp:inline>
        </w:drawing>
      </w:r>
    </w:p>
    <w:p w14:paraId="37C45A1C" w14:textId="51701F3A" w:rsidR="002922F7" w:rsidRDefault="002922F7" w:rsidP="00400621">
      <w:pPr>
        <w:pStyle w:val="AppendixChartCaption"/>
        <w:numPr>
          <w:ilvl w:val="7"/>
          <w:numId w:val="11"/>
        </w:numPr>
      </w:pPr>
      <w:bookmarkStart w:id="287" w:name="_Toc40454737"/>
      <w:r>
        <w:t>Scatter plot between o</w:t>
      </w:r>
      <w:r w:rsidRPr="008C4080">
        <w:t>verheads</w:t>
      </w:r>
      <w:r>
        <w:t xml:space="preserve"> (</w:t>
      </w:r>
      <w:r w:rsidRPr="008C4080">
        <w:t>exc. interest depreciation</w:t>
      </w:r>
      <w:r>
        <w:t>)</w:t>
      </w:r>
      <w:r w:rsidRPr="008C4080">
        <w:t xml:space="preserve"> as a share of direct costs </w:t>
      </w:r>
      <w:r>
        <w:t>(x), and span of control (y)</w:t>
      </w:r>
      <w:bookmarkEnd w:id="287"/>
    </w:p>
    <w:p w14:paraId="02C1ADFB" w14:textId="0BD7D5CA" w:rsidR="002922F7" w:rsidRPr="0078029C" w:rsidRDefault="002922F7" w:rsidP="002922F7">
      <w:r w:rsidRPr="00470185">
        <w:t xml:space="preserve"> </w:t>
      </w:r>
      <w:r w:rsidR="001D419E" w:rsidRPr="001D419E">
        <w:rPr>
          <w:noProof/>
          <w:lang w:eastAsia="en-AU"/>
        </w:rPr>
        <w:drawing>
          <wp:inline distT="0" distB="0" distL="0" distR="0" wp14:anchorId="73047D4A" wp14:editId="29A0392D">
            <wp:extent cx="5332095" cy="3277870"/>
            <wp:effectExtent l="0" t="0" r="0" b="0"/>
            <wp:docPr id="1489793634" name="Picture 1489793634" descr="Chart D.6 Scatter plot between overheads (exc. interest depreciation) as a share of direct costs (x), and span of control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32095" cy="3277870"/>
                    </a:xfrm>
                    <a:prstGeom prst="rect">
                      <a:avLst/>
                    </a:prstGeom>
                    <a:noFill/>
                    <a:ln>
                      <a:noFill/>
                    </a:ln>
                  </pic:spPr>
                </pic:pic>
              </a:graphicData>
            </a:graphic>
          </wp:inline>
        </w:drawing>
      </w:r>
    </w:p>
    <w:p w14:paraId="5B3C2670" w14:textId="7D841426" w:rsidR="002922F7" w:rsidRDefault="002922F7" w:rsidP="00400621">
      <w:pPr>
        <w:pStyle w:val="AppendixChartCaption"/>
        <w:numPr>
          <w:ilvl w:val="7"/>
          <w:numId w:val="11"/>
        </w:numPr>
      </w:pPr>
      <w:bookmarkStart w:id="288" w:name="_Toc40454738"/>
      <w:r>
        <w:lastRenderedPageBreak/>
        <w:t>Scatter plot between o</w:t>
      </w:r>
      <w:r w:rsidRPr="008C4080">
        <w:t>verheads</w:t>
      </w:r>
      <w:r>
        <w:t xml:space="preserve"> (</w:t>
      </w:r>
      <w:r w:rsidRPr="008C4080">
        <w:t>exc. interest depreciation</w:t>
      </w:r>
      <w:r>
        <w:t>)</w:t>
      </w:r>
      <w:r w:rsidRPr="008C4080">
        <w:t xml:space="preserve"> as a share of direct costs </w:t>
      </w:r>
      <w:r>
        <w:t xml:space="preserve">(x), and </w:t>
      </w:r>
      <w:r w:rsidRPr="008C4080">
        <w:t xml:space="preserve">permanent </w:t>
      </w:r>
      <w:r>
        <w:t>employment rate</w:t>
      </w:r>
      <w:r w:rsidRPr="008C4080">
        <w:t xml:space="preserve"> </w:t>
      </w:r>
      <w:r>
        <w:t>(y)</w:t>
      </w:r>
      <w:bookmarkEnd w:id="288"/>
    </w:p>
    <w:p w14:paraId="2D9B6FA2" w14:textId="723153DD" w:rsidR="002922F7" w:rsidRPr="0078029C" w:rsidRDefault="002922F7" w:rsidP="002922F7">
      <w:r w:rsidRPr="00470185">
        <w:t xml:space="preserve"> </w:t>
      </w:r>
      <w:r w:rsidR="009E4A89" w:rsidRPr="009E4A89">
        <w:rPr>
          <w:noProof/>
          <w:lang w:eastAsia="en-AU"/>
        </w:rPr>
        <w:drawing>
          <wp:inline distT="0" distB="0" distL="0" distR="0" wp14:anchorId="59F9CB79" wp14:editId="759C3E02">
            <wp:extent cx="5320030" cy="3277870"/>
            <wp:effectExtent l="0" t="0" r="0" b="0"/>
            <wp:docPr id="1489793637" name="Picture 1489793637" descr="Chart D.7 Scatter plot between overheads (exc. interest depreciation) as a share of direct costs (x), and permanent employment rat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20030" cy="3277870"/>
                    </a:xfrm>
                    <a:prstGeom prst="rect">
                      <a:avLst/>
                    </a:prstGeom>
                    <a:noFill/>
                    <a:ln>
                      <a:noFill/>
                    </a:ln>
                  </pic:spPr>
                </pic:pic>
              </a:graphicData>
            </a:graphic>
          </wp:inline>
        </w:drawing>
      </w:r>
    </w:p>
    <w:p w14:paraId="3F165545" w14:textId="32DB1B20" w:rsidR="002922F7" w:rsidRDefault="002922F7" w:rsidP="00400621">
      <w:pPr>
        <w:pStyle w:val="AppendixChartCaption"/>
        <w:numPr>
          <w:ilvl w:val="7"/>
          <w:numId w:val="11"/>
        </w:numPr>
      </w:pPr>
      <w:bookmarkStart w:id="289" w:name="_Toc40454739"/>
      <w:r w:rsidRPr="008C4080">
        <w:t xml:space="preserve">Permanent </w:t>
      </w:r>
      <w:r>
        <w:t>employment rate</w:t>
      </w:r>
      <w:r w:rsidRPr="008C4080">
        <w:t xml:space="preserve"> </w:t>
      </w:r>
      <w:r>
        <w:t>(x), and span of control (y)</w:t>
      </w:r>
      <w:bookmarkEnd w:id="289"/>
    </w:p>
    <w:p w14:paraId="56D2137A" w14:textId="696B28F0" w:rsidR="002922F7" w:rsidRDefault="002922F7" w:rsidP="002922F7">
      <w:pPr>
        <w:rPr>
          <w:lang w:eastAsia="en-AU"/>
        </w:rPr>
      </w:pPr>
      <w:r w:rsidRPr="00470185">
        <w:rPr>
          <w:lang w:eastAsia="en-AU"/>
        </w:rPr>
        <w:t xml:space="preserve"> </w:t>
      </w:r>
      <w:r w:rsidR="00D11465" w:rsidRPr="00D11465">
        <w:rPr>
          <w:noProof/>
          <w:lang w:eastAsia="en-AU"/>
        </w:rPr>
        <w:drawing>
          <wp:inline distT="0" distB="0" distL="0" distR="0" wp14:anchorId="32C7A02E" wp14:editId="2A96C75F">
            <wp:extent cx="5332095" cy="3277870"/>
            <wp:effectExtent l="0" t="0" r="0" b="0"/>
            <wp:docPr id="1489793638" name="Picture 1489793638" descr="Chart D.8 Permanent employment rate (x), and span of control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32095" cy="3277870"/>
                    </a:xfrm>
                    <a:prstGeom prst="rect">
                      <a:avLst/>
                    </a:prstGeom>
                    <a:noFill/>
                    <a:ln>
                      <a:noFill/>
                    </a:ln>
                  </pic:spPr>
                </pic:pic>
              </a:graphicData>
            </a:graphic>
          </wp:inline>
        </w:drawing>
      </w:r>
    </w:p>
    <w:p w14:paraId="5442203D" w14:textId="3B34C756" w:rsidR="002922F7" w:rsidRDefault="002922F7" w:rsidP="00400621">
      <w:pPr>
        <w:pStyle w:val="AppendixChartCaption"/>
        <w:numPr>
          <w:ilvl w:val="7"/>
          <w:numId w:val="11"/>
        </w:numPr>
      </w:pPr>
      <w:bookmarkStart w:id="290" w:name="_Toc40454740"/>
      <w:r w:rsidRPr="008C4080">
        <w:lastRenderedPageBreak/>
        <w:t>Permanent</w:t>
      </w:r>
      <w:r>
        <w:t xml:space="preserve"> employment rate</w:t>
      </w:r>
      <w:r w:rsidRPr="008C4080">
        <w:t xml:space="preserve"> </w:t>
      </w:r>
      <w:r>
        <w:t xml:space="preserve">(x), and </w:t>
      </w:r>
      <w:r w:rsidR="00A6707A">
        <w:t xml:space="preserve">implied </w:t>
      </w:r>
      <w:r w:rsidRPr="008C4080">
        <w:t xml:space="preserve">margin as a share of other costs </w:t>
      </w:r>
      <w:r>
        <w:t>(y)</w:t>
      </w:r>
      <w:bookmarkEnd w:id="290"/>
    </w:p>
    <w:p w14:paraId="07DB93BD" w14:textId="28799834" w:rsidR="002922F7" w:rsidRPr="0078029C" w:rsidRDefault="002922F7" w:rsidP="002922F7">
      <w:r w:rsidRPr="00470185">
        <w:t xml:space="preserve"> </w:t>
      </w:r>
      <w:r w:rsidR="009C27CC" w:rsidRPr="009C27CC">
        <w:rPr>
          <w:noProof/>
          <w:lang w:eastAsia="en-AU"/>
        </w:rPr>
        <w:drawing>
          <wp:inline distT="0" distB="0" distL="0" distR="0" wp14:anchorId="6523B581" wp14:editId="6EE3D1B1">
            <wp:extent cx="5324475" cy="3276600"/>
            <wp:effectExtent l="0" t="0" r="0" b="0"/>
            <wp:docPr id="20" name="Picture 20" descr="Chart D.9 Permanent employment rate (x), and implied margin as a share of other cost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24475" cy="3276600"/>
                    </a:xfrm>
                    <a:prstGeom prst="rect">
                      <a:avLst/>
                    </a:prstGeom>
                    <a:noFill/>
                    <a:ln>
                      <a:noFill/>
                    </a:ln>
                  </pic:spPr>
                </pic:pic>
              </a:graphicData>
            </a:graphic>
          </wp:inline>
        </w:drawing>
      </w:r>
    </w:p>
    <w:p w14:paraId="0DBF6965" w14:textId="18F0308E" w:rsidR="002922F7" w:rsidRDefault="002922F7" w:rsidP="00400621">
      <w:pPr>
        <w:pStyle w:val="AppendixChartCaption"/>
        <w:numPr>
          <w:ilvl w:val="7"/>
          <w:numId w:val="11"/>
        </w:numPr>
      </w:pPr>
      <w:bookmarkStart w:id="291" w:name="_Toc40454741"/>
      <w:r>
        <w:t xml:space="preserve">Scatter plot between </w:t>
      </w:r>
      <w:r w:rsidR="00A6707A">
        <w:t xml:space="preserve">implied </w:t>
      </w:r>
      <w:r>
        <w:t>ma</w:t>
      </w:r>
      <w:r w:rsidRPr="008C4080">
        <w:t xml:space="preserve">rgins as a share of other costs </w:t>
      </w:r>
      <w:r>
        <w:t>(x), and span of control (y)</w:t>
      </w:r>
      <w:bookmarkEnd w:id="291"/>
    </w:p>
    <w:p w14:paraId="1B1F0B26" w14:textId="5BD0CBCB" w:rsidR="002922F7" w:rsidRDefault="002922F7" w:rsidP="002922F7">
      <w:pPr>
        <w:rPr>
          <w:lang w:eastAsia="en-AU"/>
        </w:rPr>
      </w:pPr>
      <w:r w:rsidRPr="00470185">
        <w:rPr>
          <w:lang w:eastAsia="en-AU"/>
        </w:rPr>
        <w:t xml:space="preserve"> </w:t>
      </w:r>
      <w:r w:rsidR="009C27CC" w:rsidRPr="009C27CC">
        <w:rPr>
          <w:noProof/>
          <w:lang w:eastAsia="en-AU"/>
        </w:rPr>
        <w:drawing>
          <wp:inline distT="0" distB="0" distL="0" distR="0" wp14:anchorId="124D5A37" wp14:editId="7D77BD7E">
            <wp:extent cx="5334000" cy="3276600"/>
            <wp:effectExtent l="0" t="0" r="0" b="0"/>
            <wp:docPr id="21" name="Picture 21" descr="Chart D.10 Scatter plot between implied margins as a share of other costs (x), and span of control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34000" cy="3276600"/>
                    </a:xfrm>
                    <a:prstGeom prst="rect">
                      <a:avLst/>
                    </a:prstGeom>
                    <a:noFill/>
                    <a:ln>
                      <a:noFill/>
                    </a:ln>
                  </pic:spPr>
                </pic:pic>
              </a:graphicData>
            </a:graphic>
          </wp:inline>
        </w:drawing>
      </w:r>
      <w:r w:rsidRPr="00470185">
        <w:rPr>
          <w:lang w:eastAsia="en-AU"/>
        </w:rPr>
        <w:t xml:space="preserve"> </w:t>
      </w:r>
    </w:p>
    <w:p w14:paraId="10FB83D2" w14:textId="478CBB91" w:rsidR="002922F7" w:rsidRDefault="002922F7" w:rsidP="00400621">
      <w:pPr>
        <w:pStyle w:val="AppendixChartCaption"/>
        <w:numPr>
          <w:ilvl w:val="7"/>
          <w:numId w:val="11"/>
        </w:numPr>
      </w:pPr>
      <w:bookmarkStart w:id="292" w:name="_Toc40454742"/>
      <w:r>
        <w:lastRenderedPageBreak/>
        <w:t>Scatter plot between staff remuneration</w:t>
      </w:r>
      <w:r w:rsidRPr="008C4080">
        <w:t xml:space="preserve"> </w:t>
      </w:r>
      <w:r>
        <w:t>(x), and overheads as a share of direct costs (y)</w:t>
      </w:r>
      <w:bookmarkEnd w:id="292"/>
    </w:p>
    <w:p w14:paraId="1BFCBD69" w14:textId="69919F8E" w:rsidR="002922F7" w:rsidRPr="008F05B2" w:rsidRDefault="00843AA1" w:rsidP="002922F7">
      <w:pPr>
        <w:rPr>
          <w:lang w:eastAsia="en-AU"/>
        </w:rPr>
      </w:pPr>
      <w:r w:rsidRPr="00843AA1">
        <w:rPr>
          <w:noProof/>
          <w:lang w:eastAsia="en-AU"/>
        </w:rPr>
        <w:drawing>
          <wp:inline distT="0" distB="0" distL="0" distR="0" wp14:anchorId="113C85B6" wp14:editId="187044C6">
            <wp:extent cx="5320030" cy="3277870"/>
            <wp:effectExtent l="0" t="0" r="0" b="0"/>
            <wp:docPr id="1489793642" name="Picture 1489793642" descr="Chart D.11 Scatter plot between staff remuneration (x), and overheads as a share of direct cost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20030" cy="3277870"/>
                    </a:xfrm>
                    <a:prstGeom prst="rect">
                      <a:avLst/>
                    </a:prstGeom>
                    <a:noFill/>
                    <a:ln>
                      <a:noFill/>
                    </a:ln>
                  </pic:spPr>
                </pic:pic>
              </a:graphicData>
            </a:graphic>
          </wp:inline>
        </w:drawing>
      </w:r>
    </w:p>
    <w:p w14:paraId="49FB241F" w14:textId="2F2DE809" w:rsidR="002922F7" w:rsidRDefault="002922F7" w:rsidP="00400621">
      <w:pPr>
        <w:pStyle w:val="AppendixChartCaption"/>
        <w:numPr>
          <w:ilvl w:val="7"/>
          <w:numId w:val="11"/>
        </w:numPr>
      </w:pPr>
      <w:bookmarkStart w:id="293" w:name="_Toc40454743"/>
      <w:r>
        <w:t>Scatter plot between staff remuneration</w:t>
      </w:r>
      <w:r w:rsidRPr="008C4080">
        <w:t xml:space="preserve"> </w:t>
      </w:r>
      <w:r>
        <w:t>(x), and utilisation costs (y)</w:t>
      </w:r>
      <w:bookmarkEnd w:id="293"/>
    </w:p>
    <w:p w14:paraId="42A59995" w14:textId="12A30BD7" w:rsidR="002922F7" w:rsidRDefault="002C15DB" w:rsidP="002922F7">
      <w:pPr>
        <w:rPr>
          <w:lang w:eastAsia="en-AU"/>
        </w:rPr>
      </w:pPr>
      <w:r w:rsidRPr="002C15DB">
        <w:rPr>
          <w:noProof/>
          <w:lang w:eastAsia="en-AU"/>
        </w:rPr>
        <w:drawing>
          <wp:inline distT="0" distB="0" distL="0" distR="0" wp14:anchorId="40B58FE6" wp14:editId="3538B59C">
            <wp:extent cx="5332095" cy="3277870"/>
            <wp:effectExtent l="0" t="0" r="0" b="0"/>
            <wp:docPr id="1489793643" name="Picture 1489793643" descr="Chart D.12 Scatter plot between staff remuneration (x), and utilisation cost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32095" cy="3277870"/>
                    </a:xfrm>
                    <a:prstGeom prst="rect">
                      <a:avLst/>
                    </a:prstGeom>
                    <a:noFill/>
                    <a:ln>
                      <a:noFill/>
                    </a:ln>
                  </pic:spPr>
                </pic:pic>
              </a:graphicData>
            </a:graphic>
          </wp:inline>
        </w:drawing>
      </w:r>
    </w:p>
    <w:p w14:paraId="6601C2E4" w14:textId="0EDD185A" w:rsidR="002922F7" w:rsidRDefault="002922F7" w:rsidP="00400621">
      <w:pPr>
        <w:pStyle w:val="AppendixChartCaption"/>
        <w:numPr>
          <w:ilvl w:val="7"/>
          <w:numId w:val="11"/>
        </w:numPr>
      </w:pPr>
      <w:bookmarkStart w:id="294" w:name="_Toc40454744"/>
      <w:r>
        <w:lastRenderedPageBreak/>
        <w:t>Scatter plot between staff remuneration</w:t>
      </w:r>
      <w:r w:rsidRPr="008C4080">
        <w:t xml:space="preserve"> </w:t>
      </w:r>
      <w:r>
        <w:t>(x), and span of control (y)</w:t>
      </w:r>
      <w:bookmarkEnd w:id="294"/>
    </w:p>
    <w:p w14:paraId="6C9E95E4" w14:textId="1409F73F" w:rsidR="002922F7" w:rsidRDefault="00EB309D" w:rsidP="00FB71C3">
      <w:pPr>
        <w:rPr>
          <w:lang w:eastAsia="en-AU"/>
        </w:rPr>
      </w:pPr>
      <w:r w:rsidRPr="00EB309D">
        <w:rPr>
          <w:noProof/>
          <w:lang w:eastAsia="en-AU"/>
        </w:rPr>
        <w:drawing>
          <wp:inline distT="0" distB="0" distL="0" distR="0" wp14:anchorId="6B3D9658" wp14:editId="70F65510">
            <wp:extent cx="5320030" cy="3277870"/>
            <wp:effectExtent l="0" t="0" r="0" b="0"/>
            <wp:docPr id="1489793644" name="Picture 1489793644" descr="Chart D.13 Scatter plot between staff remuneration (x), and span of control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20030" cy="3277870"/>
                    </a:xfrm>
                    <a:prstGeom prst="rect">
                      <a:avLst/>
                    </a:prstGeom>
                    <a:noFill/>
                    <a:ln>
                      <a:noFill/>
                    </a:ln>
                  </pic:spPr>
                </pic:pic>
              </a:graphicData>
            </a:graphic>
          </wp:inline>
        </w:drawing>
      </w:r>
    </w:p>
    <w:p w14:paraId="1AE94FB4" w14:textId="4041E433" w:rsidR="002922F7" w:rsidRDefault="002922F7" w:rsidP="00400621">
      <w:pPr>
        <w:pStyle w:val="AppendixChartCaption"/>
        <w:numPr>
          <w:ilvl w:val="7"/>
          <w:numId w:val="11"/>
        </w:numPr>
      </w:pPr>
      <w:bookmarkStart w:id="295" w:name="_Toc40454745"/>
      <w:r>
        <w:t>Scatter plot between staff remuneration</w:t>
      </w:r>
      <w:r w:rsidRPr="008C4080">
        <w:t xml:space="preserve"> </w:t>
      </w:r>
      <w:r>
        <w:t xml:space="preserve">(x), and </w:t>
      </w:r>
      <w:r w:rsidR="00A6707A">
        <w:t xml:space="preserve">implied </w:t>
      </w:r>
      <w:r>
        <w:t>margins as a share of other costs (y)</w:t>
      </w:r>
      <w:bookmarkEnd w:id="295"/>
    </w:p>
    <w:p w14:paraId="03A37A3F" w14:textId="742720D5" w:rsidR="002922F7" w:rsidRDefault="0049782B" w:rsidP="002922F7">
      <w:pPr>
        <w:rPr>
          <w:lang w:eastAsia="en-AU"/>
        </w:rPr>
      </w:pPr>
      <w:r w:rsidRPr="0049782B">
        <w:rPr>
          <w:noProof/>
          <w:lang w:eastAsia="en-AU"/>
        </w:rPr>
        <w:drawing>
          <wp:inline distT="0" distB="0" distL="0" distR="0" wp14:anchorId="28332349" wp14:editId="5998CA8E">
            <wp:extent cx="5337810" cy="3274695"/>
            <wp:effectExtent l="0" t="0" r="0" b="0"/>
            <wp:docPr id="22" name="Picture 22" descr="Chart D.14 Scatter plot between staff remuneration (x), and implied margins as a share of other cost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7810" cy="3274695"/>
                    </a:xfrm>
                    <a:prstGeom prst="rect">
                      <a:avLst/>
                    </a:prstGeom>
                    <a:noFill/>
                    <a:ln>
                      <a:noFill/>
                    </a:ln>
                  </pic:spPr>
                </pic:pic>
              </a:graphicData>
            </a:graphic>
          </wp:inline>
        </w:drawing>
      </w:r>
    </w:p>
    <w:p w14:paraId="04441AA0" w14:textId="1C35B310" w:rsidR="00BA55B8" w:rsidRDefault="00BA55B8" w:rsidP="00400621">
      <w:pPr>
        <w:pStyle w:val="AppendixChartCaption"/>
        <w:numPr>
          <w:ilvl w:val="7"/>
          <w:numId w:val="11"/>
        </w:numPr>
      </w:pPr>
      <w:bookmarkStart w:id="296" w:name="_Toc40454746"/>
      <w:r>
        <w:lastRenderedPageBreak/>
        <w:t>Scatter plot between staff remuneration</w:t>
      </w:r>
      <w:r w:rsidRPr="008C4080">
        <w:t xml:space="preserve"> </w:t>
      </w:r>
      <w:r>
        <w:t xml:space="preserve">(x), and </w:t>
      </w:r>
      <w:r w:rsidR="000C4452">
        <w:t>permanent employment rate</w:t>
      </w:r>
      <w:r>
        <w:t xml:space="preserve"> (y)</w:t>
      </w:r>
      <w:bookmarkEnd w:id="296"/>
    </w:p>
    <w:p w14:paraId="5FB68F91" w14:textId="5FCDC8A2" w:rsidR="00BA55B8" w:rsidRPr="00062432" w:rsidRDefault="0049560C" w:rsidP="002922F7">
      <w:pPr>
        <w:rPr>
          <w:lang w:eastAsia="en-AU"/>
        </w:rPr>
      </w:pPr>
      <w:r w:rsidRPr="0049560C">
        <w:rPr>
          <w:noProof/>
          <w:lang w:eastAsia="en-AU"/>
        </w:rPr>
        <w:drawing>
          <wp:inline distT="0" distB="0" distL="0" distR="0" wp14:anchorId="3AB1C7D4" wp14:editId="376EBF18">
            <wp:extent cx="5320030" cy="3277870"/>
            <wp:effectExtent l="0" t="0" r="0" b="0"/>
            <wp:docPr id="1489793648" name="Picture 1489793648" descr="Chart D.15 Scatter plot between staff remuneration (x), and permanent employment rat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20030" cy="3277870"/>
                    </a:xfrm>
                    <a:prstGeom prst="rect">
                      <a:avLst/>
                    </a:prstGeom>
                    <a:noFill/>
                    <a:ln>
                      <a:noFill/>
                    </a:ln>
                  </pic:spPr>
                </pic:pic>
              </a:graphicData>
            </a:graphic>
          </wp:inline>
        </w:drawing>
      </w:r>
    </w:p>
    <w:p w14:paraId="31956BCC" w14:textId="77777777" w:rsidR="002922F7" w:rsidRDefault="002922F7" w:rsidP="00400621">
      <w:pPr>
        <w:pStyle w:val="Appendixhead2"/>
        <w:numPr>
          <w:ilvl w:val="1"/>
          <w:numId w:val="11"/>
        </w:numPr>
      </w:pPr>
      <w:bookmarkStart w:id="297" w:name="_Toc40454665"/>
      <w:r>
        <w:lastRenderedPageBreak/>
        <w:t>Cross-tabulations and chi squared results</w:t>
      </w:r>
      <w:bookmarkEnd w:id="297"/>
    </w:p>
    <w:p w14:paraId="4C5551B1" w14:textId="72C4895F" w:rsidR="002922F7" w:rsidRPr="001F26A1" w:rsidRDefault="002922F7" w:rsidP="002922F7">
      <w:pPr>
        <w:keepNext/>
        <w:keepLines/>
        <w:rPr>
          <w:lang w:eastAsia="en-AU"/>
        </w:rPr>
      </w:pPr>
      <w:r>
        <w:rPr>
          <w:lang w:eastAsia="en-AU"/>
        </w:rPr>
        <w:t>Note: Statistically significant relationships have been highlighted in each table</w:t>
      </w:r>
      <w:r w:rsidR="00131D7D">
        <w:rPr>
          <w:lang w:eastAsia="en-AU"/>
        </w:rPr>
        <w:t xml:space="preserve"> where they occur</w:t>
      </w:r>
      <w:r>
        <w:rPr>
          <w:lang w:eastAsia="en-AU"/>
        </w:rPr>
        <w:t>.</w:t>
      </w:r>
    </w:p>
    <w:p w14:paraId="002BD250" w14:textId="5D204213" w:rsidR="002922F7" w:rsidRDefault="002922F7" w:rsidP="00400621">
      <w:pPr>
        <w:pStyle w:val="AppendixTableCaption"/>
        <w:numPr>
          <w:ilvl w:val="6"/>
          <w:numId w:val="11"/>
        </w:numPr>
      </w:pPr>
      <w:bookmarkStart w:id="298" w:name="_Toc40454705"/>
      <w:r>
        <w:t>Overheads and utilisation, cross</w:t>
      </w:r>
      <w:r>
        <w:noBreakHyphen/>
        <w:t>tabulated distribution</w:t>
      </w:r>
      <w:bookmarkEnd w:id="298"/>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7B66C2E2"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2C3006D4" w14:textId="77777777" w:rsidR="002922F7" w:rsidRDefault="002922F7" w:rsidP="002922F7">
            <w:pPr>
              <w:keepNext/>
            </w:pPr>
          </w:p>
        </w:tc>
        <w:tc>
          <w:tcPr>
            <w:tcW w:w="1355" w:type="dxa"/>
          </w:tcPr>
          <w:p w14:paraId="4982BC99" w14:textId="77777777" w:rsidR="002922F7" w:rsidRDefault="002922F7" w:rsidP="002922F7">
            <w:pPr>
              <w:keepNext/>
            </w:pPr>
          </w:p>
        </w:tc>
        <w:tc>
          <w:tcPr>
            <w:tcW w:w="1366" w:type="dxa"/>
          </w:tcPr>
          <w:p w14:paraId="378A09AE" w14:textId="77777777" w:rsidR="002922F7" w:rsidRDefault="002922F7" w:rsidP="002922F7">
            <w:pPr>
              <w:keepNext/>
            </w:pPr>
          </w:p>
        </w:tc>
        <w:tc>
          <w:tcPr>
            <w:tcW w:w="5213" w:type="dxa"/>
            <w:gridSpan w:val="4"/>
          </w:tcPr>
          <w:p w14:paraId="45A238B8" w14:textId="77777777" w:rsidR="002922F7" w:rsidRDefault="002922F7" w:rsidP="002922F7">
            <w:pPr>
              <w:pStyle w:val="TableHeadingCentre"/>
              <w:keepNext/>
            </w:pPr>
            <w:r>
              <w:t>Overheads</w:t>
            </w:r>
          </w:p>
        </w:tc>
      </w:tr>
      <w:tr w:rsidR="002922F7" w14:paraId="0C2FA242" w14:textId="77777777" w:rsidTr="002922F7">
        <w:tc>
          <w:tcPr>
            <w:tcW w:w="1092" w:type="dxa"/>
          </w:tcPr>
          <w:p w14:paraId="304F425A" w14:textId="77777777" w:rsidR="002922F7" w:rsidRDefault="002922F7" w:rsidP="002922F7">
            <w:pPr>
              <w:keepNext/>
            </w:pPr>
          </w:p>
        </w:tc>
        <w:tc>
          <w:tcPr>
            <w:tcW w:w="1355" w:type="dxa"/>
          </w:tcPr>
          <w:p w14:paraId="6BB1400C" w14:textId="77777777" w:rsidR="002922F7" w:rsidRDefault="002922F7" w:rsidP="002922F7">
            <w:pPr>
              <w:keepNext/>
            </w:pPr>
          </w:p>
        </w:tc>
        <w:tc>
          <w:tcPr>
            <w:tcW w:w="1366" w:type="dxa"/>
          </w:tcPr>
          <w:p w14:paraId="09F305E6" w14:textId="77777777" w:rsidR="002922F7" w:rsidRDefault="002922F7" w:rsidP="002922F7">
            <w:pPr>
              <w:keepNext/>
            </w:pPr>
          </w:p>
        </w:tc>
        <w:tc>
          <w:tcPr>
            <w:tcW w:w="1301" w:type="dxa"/>
          </w:tcPr>
          <w:p w14:paraId="4B35EDA5" w14:textId="77777777" w:rsidR="002922F7" w:rsidRDefault="002922F7" w:rsidP="002922F7">
            <w:pPr>
              <w:pStyle w:val="TabletextCentreTotal"/>
              <w:keepNext/>
              <w:jc w:val="left"/>
            </w:pPr>
            <w:r w:rsidRPr="00EE0E71">
              <w:t>1st quartile</w:t>
            </w:r>
          </w:p>
        </w:tc>
        <w:tc>
          <w:tcPr>
            <w:tcW w:w="1301" w:type="dxa"/>
          </w:tcPr>
          <w:p w14:paraId="6EEAA968" w14:textId="77777777" w:rsidR="002922F7" w:rsidRDefault="002922F7" w:rsidP="002922F7">
            <w:pPr>
              <w:pStyle w:val="TabletextCentreTotal"/>
              <w:keepNext/>
            </w:pPr>
            <w:r w:rsidRPr="00EE0E71">
              <w:t>2nd quartile</w:t>
            </w:r>
          </w:p>
        </w:tc>
        <w:tc>
          <w:tcPr>
            <w:tcW w:w="1309" w:type="dxa"/>
          </w:tcPr>
          <w:p w14:paraId="3B71EC26" w14:textId="77777777" w:rsidR="002922F7" w:rsidRDefault="002922F7" w:rsidP="002922F7">
            <w:pPr>
              <w:pStyle w:val="TabletextCentreTotal"/>
              <w:keepNext/>
            </w:pPr>
            <w:r w:rsidRPr="00EE0E71">
              <w:t>3rd quartile</w:t>
            </w:r>
          </w:p>
        </w:tc>
        <w:tc>
          <w:tcPr>
            <w:tcW w:w="1302" w:type="dxa"/>
          </w:tcPr>
          <w:p w14:paraId="1C7D40E7" w14:textId="77777777" w:rsidR="002922F7" w:rsidRDefault="002922F7" w:rsidP="002922F7">
            <w:pPr>
              <w:pStyle w:val="TabletextCentreTotal"/>
              <w:keepNext/>
              <w:jc w:val="right"/>
            </w:pPr>
            <w:r w:rsidRPr="00EE0E71">
              <w:t>4th quartile</w:t>
            </w:r>
          </w:p>
        </w:tc>
      </w:tr>
      <w:tr w:rsidR="002922F7" w14:paraId="6B656574" w14:textId="77777777" w:rsidTr="002922F7">
        <w:tc>
          <w:tcPr>
            <w:tcW w:w="1092" w:type="dxa"/>
            <w:vMerge w:val="restart"/>
            <w:textDirection w:val="btLr"/>
          </w:tcPr>
          <w:p w14:paraId="1A706444" w14:textId="77777777" w:rsidR="002922F7" w:rsidRPr="00EE0E71" w:rsidRDefault="002922F7" w:rsidP="002922F7">
            <w:pPr>
              <w:pStyle w:val="TableHeadingCentre"/>
              <w:keepNext/>
            </w:pPr>
            <w:r>
              <w:t>Utilisation</w:t>
            </w:r>
          </w:p>
        </w:tc>
        <w:tc>
          <w:tcPr>
            <w:tcW w:w="1355" w:type="dxa"/>
            <w:vMerge w:val="restart"/>
            <w:vAlign w:val="center"/>
          </w:tcPr>
          <w:p w14:paraId="64C35792" w14:textId="77777777" w:rsidR="002922F7" w:rsidRDefault="002922F7" w:rsidP="002922F7">
            <w:pPr>
              <w:pStyle w:val="TabletextCentreTotal"/>
              <w:keepNext/>
            </w:pPr>
            <w:r w:rsidRPr="00EE0E71">
              <w:t>1st quartile</w:t>
            </w:r>
          </w:p>
        </w:tc>
        <w:tc>
          <w:tcPr>
            <w:tcW w:w="1366" w:type="dxa"/>
          </w:tcPr>
          <w:p w14:paraId="35037832" w14:textId="77777777" w:rsidR="002922F7" w:rsidRDefault="002922F7" w:rsidP="002922F7">
            <w:pPr>
              <w:pStyle w:val="TabletextLeftTotal"/>
              <w:keepNext/>
            </w:pPr>
            <w:r w:rsidRPr="00EE0E71">
              <w:t>observed proportion</w:t>
            </w:r>
          </w:p>
        </w:tc>
        <w:tc>
          <w:tcPr>
            <w:tcW w:w="1301" w:type="dxa"/>
          </w:tcPr>
          <w:p w14:paraId="6126EF2D" w14:textId="77777777" w:rsidR="002922F7" w:rsidRDefault="002922F7" w:rsidP="002922F7">
            <w:pPr>
              <w:pStyle w:val="TabletextCentre"/>
              <w:keepNext/>
            </w:pPr>
            <w:r w:rsidRPr="00EE0E71">
              <w:t>5.07%</w:t>
            </w:r>
          </w:p>
        </w:tc>
        <w:tc>
          <w:tcPr>
            <w:tcW w:w="1301" w:type="dxa"/>
          </w:tcPr>
          <w:p w14:paraId="2DB28976" w14:textId="77777777" w:rsidR="002922F7" w:rsidRDefault="002922F7" w:rsidP="002922F7">
            <w:pPr>
              <w:pStyle w:val="TabletextCentre"/>
              <w:keepNext/>
            </w:pPr>
            <w:r w:rsidRPr="00EE0E71">
              <w:t>8.11%</w:t>
            </w:r>
          </w:p>
        </w:tc>
        <w:tc>
          <w:tcPr>
            <w:tcW w:w="1309" w:type="dxa"/>
          </w:tcPr>
          <w:p w14:paraId="35502DDD" w14:textId="77777777" w:rsidR="002922F7" w:rsidRDefault="002922F7" w:rsidP="002922F7">
            <w:pPr>
              <w:pStyle w:val="TabletextCentre"/>
              <w:keepNext/>
            </w:pPr>
            <w:r w:rsidRPr="00EE0E71">
              <w:t>5.07%</w:t>
            </w:r>
          </w:p>
        </w:tc>
        <w:tc>
          <w:tcPr>
            <w:tcW w:w="1302" w:type="dxa"/>
          </w:tcPr>
          <w:p w14:paraId="5FFC4163" w14:textId="77777777" w:rsidR="002922F7" w:rsidRDefault="002922F7" w:rsidP="002922F7">
            <w:pPr>
              <w:pStyle w:val="TabletextCentre"/>
              <w:keepNext/>
            </w:pPr>
            <w:r w:rsidRPr="00EE0E71">
              <w:t>4.39%</w:t>
            </w:r>
          </w:p>
        </w:tc>
      </w:tr>
      <w:tr w:rsidR="002922F7" w14:paraId="6EE5A45B" w14:textId="77777777" w:rsidTr="002922F7">
        <w:tc>
          <w:tcPr>
            <w:tcW w:w="1092" w:type="dxa"/>
            <w:vMerge/>
          </w:tcPr>
          <w:p w14:paraId="2BF201F6" w14:textId="77777777" w:rsidR="002922F7" w:rsidRDefault="002922F7" w:rsidP="002922F7">
            <w:pPr>
              <w:keepNext/>
            </w:pPr>
          </w:p>
        </w:tc>
        <w:tc>
          <w:tcPr>
            <w:tcW w:w="1355" w:type="dxa"/>
            <w:vMerge/>
            <w:vAlign w:val="center"/>
          </w:tcPr>
          <w:p w14:paraId="7E4206B7" w14:textId="77777777" w:rsidR="002922F7" w:rsidRDefault="002922F7" w:rsidP="002922F7">
            <w:pPr>
              <w:pStyle w:val="TabletextCentreTotal"/>
              <w:keepNext/>
            </w:pPr>
          </w:p>
        </w:tc>
        <w:tc>
          <w:tcPr>
            <w:tcW w:w="1366" w:type="dxa"/>
          </w:tcPr>
          <w:p w14:paraId="46089E34" w14:textId="77777777" w:rsidR="002922F7" w:rsidRDefault="002922F7" w:rsidP="002922F7">
            <w:pPr>
              <w:pStyle w:val="TabletextLeftTotal"/>
              <w:keepNext/>
            </w:pPr>
            <w:r w:rsidRPr="00EE0E71">
              <w:t>expected proportion</w:t>
            </w:r>
          </w:p>
        </w:tc>
        <w:tc>
          <w:tcPr>
            <w:tcW w:w="1301" w:type="dxa"/>
          </w:tcPr>
          <w:p w14:paraId="53AA1751" w14:textId="77777777" w:rsidR="002922F7" w:rsidRDefault="002922F7" w:rsidP="002922F7">
            <w:pPr>
              <w:pStyle w:val="TabletextCentre"/>
              <w:keepNext/>
            </w:pPr>
            <w:r w:rsidRPr="00EE0E71">
              <w:t>4.97%</w:t>
            </w:r>
          </w:p>
        </w:tc>
        <w:tc>
          <w:tcPr>
            <w:tcW w:w="1301" w:type="dxa"/>
          </w:tcPr>
          <w:p w14:paraId="3F4D63E1" w14:textId="77777777" w:rsidR="002922F7" w:rsidRDefault="002922F7" w:rsidP="002922F7">
            <w:pPr>
              <w:pStyle w:val="TabletextCentre"/>
              <w:keepNext/>
            </w:pPr>
            <w:r w:rsidRPr="00EE0E71">
              <w:t>5.81%</w:t>
            </w:r>
          </w:p>
        </w:tc>
        <w:tc>
          <w:tcPr>
            <w:tcW w:w="1309" w:type="dxa"/>
          </w:tcPr>
          <w:p w14:paraId="16FD8655" w14:textId="77777777" w:rsidR="002922F7" w:rsidRDefault="002922F7" w:rsidP="002922F7">
            <w:pPr>
              <w:pStyle w:val="TabletextCentre"/>
              <w:keepNext/>
            </w:pPr>
            <w:r w:rsidRPr="00EE0E71">
              <w:t>5.81%</w:t>
            </w:r>
          </w:p>
        </w:tc>
        <w:tc>
          <w:tcPr>
            <w:tcW w:w="1302" w:type="dxa"/>
          </w:tcPr>
          <w:p w14:paraId="17172B52" w14:textId="77777777" w:rsidR="002922F7" w:rsidRDefault="002922F7" w:rsidP="002922F7">
            <w:pPr>
              <w:pStyle w:val="TabletextCentre"/>
              <w:keepNext/>
            </w:pPr>
            <w:r w:rsidRPr="00EE0E71">
              <w:t>6.04%</w:t>
            </w:r>
          </w:p>
        </w:tc>
      </w:tr>
      <w:tr w:rsidR="002922F7" w14:paraId="7DB020A4" w14:textId="77777777" w:rsidTr="002922F7">
        <w:tc>
          <w:tcPr>
            <w:tcW w:w="1092" w:type="dxa"/>
            <w:vMerge/>
          </w:tcPr>
          <w:p w14:paraId="7ADF2068" w14:textId="77777777" w:rsidR="002922F7" w:rsidRDefault="002922F7" w:rsidP="002922F7">
            <w:pPr>
              <w:keepNext/>
            </w:pPr>
          </w:p>
        </w:tc>
        <w:tc>
          <w:tcPr>
            <w:tcW w:w="1355" w:type="dxa"/>
            <w:vMerge/>
            <w:vAlign w:val="center"/>
          </w:tcPr>
          <w:p w14:paraId="5CEB1E9B" w14:textId="77777777" w:rsidR="002922F7" w:rsidRDefault="002922F7" w:rsidP="002922F7">
            <w:pPr>
              <w:pStyle w:val="TabletextCentreTotal"/>
              <w:keepNext/>
            </w:pPr>
          </w:p>
        </w:tc>
        <w:tc>
          <w:tcPr>
            <w:tcW w:w="1366" w:type="dxa"/>
          </w:tcPr>
          <w:p w14:paraId="4301FEA5" w14:textId="77777777" w:rsidR="002922F7" w:rsidRDefault="002922F7" w:rsidP="002922F7">
            <w:pPr>
              <w:pStyle w:val="TabletextLeftTotal"/>
              <w:keepNext/>
            </w:pPr>
            <w:r w:rsidRPr="00EE0E71">
              <w:t>p-value</w:t>
            </w:r>
          </w:p>
        </w:tc>
        <w:tc>
          <w:tcPr>
            <w:tcW w:w="1301" w:type="dxa"/>
          </w:tcPr>
          <w:p w14:paraId="3E92CDB8" w14:textId="77777777" w:rsidR="002922F7" w:rsidRDefault="002922F7" w:rsidP="002922F7">
            <w:pPr>
              <w:pStyle w:val="TabletextCentre"/>
              <w:keepNext/>
            </w:pPr>
            <w:r w:rsidRPr="00EE0E71">
              <w:t>0.9232</w:t>
            </w:r>
          </w:p>
        </w:tc>
        <w:tc>
          <w:tcPr>
            <w:tcW w:w="1301" w:type="dxa"/>
          </w:tcPr>
          <w:p w14:paraId="20EAD427" w14:textId="77777777" w:rsidR="002922F7" w:rsidRDefault="002922F7" w:rsidP="002922F7">
            <w:pPr>
              <w:pStyle w:val="TabletextCentre"/>
              <w:keepNext/>
            </w:pPr>
            <w:r w:rsidRPr="00EE0E71">
              <w:t>0.0307</w:t>
            </w:r>
          </w:p>
        </w:tc>
        <w:tc>
          <w:tcPr>
            <w:tcW w:w="1309" w:type="dxa"/>
          </w:tcPr>
          <w:p w14:paraId="6BD99A82" w14:textId="77777777" w:rsidR="002922F7" w:rsidRDefault="002922F7" w:rsidP="002922F7">
            <w:pPr>
              <w:pStyle w:val="TabletextCentre"/>
              <w:keepNext/>
            </w:pPr>
            <w:r w:rsidRPr="00EE0E71">
              <w:t>0.4837</w:t>
            </w:r>
          </w:p>
        </w:tc>
        <w:tc>
          <w:tcPr>
            <w:tcW w:w="1302" w:type="dxa"/>
          </w:tcPr>
          <w:p w14:paraId="16094BDD" w14:textId="77777777" w:rsidR="002922F7" w:rsidRDefault="002922F7" w:rsidP="002922F7">
            <w:pPr>
              <w:pStyle w:val="TabletextCentre"/>
              <w:keepNext/>
            </w:pPr>
            <w:r w:rsidRPr="00EE0E71">
              <w:t>0.1253</w:t>
            </w:r>
          </w:p>
        </w:tc>
      </w:tr>
      <w:tr w:rsidR="002922F7" w14:paraId="1BCCA483" w14:textId="77777777" w:rsidTr="002922F7">
        <w:tc>
          <w:tcPr>
            <w:tcW w:w="1092" w:type="dxa"/>
            <w:vMerge/>
          </w:tcPr>
          <w:p w14:paraId="68E13F18" w14:textId="77777777" w:rsidR="002922F7" w:rsidRPr="00EE0E71" w:rsidRDefault="002922F7" w:rsidP="002922F7">
            <w:pPr>
              <w:keepNext/>
            </w:pPr>
          </w:p>
        </w:tc>
        <w:tc>
          <w:tcPr>
            <w:tcW w:w="1355" w:type="dxa"/>
            <w:vMerge w:val="restart"/>
            <w:vAlign w:val="center"/>
          </w:tcPr>
          <w:p w14:paraId="243E5DF4" w14:textId="77777777" w:rsidR="002922F7" w:rsidRDefault="002922F7" w:rsidP="002922F7">
            <w:pPr>
              <w:pStyle w:val="TabletextCentreTotal"/>
              <w:keepNext/>
            </w:pPr>
            <w:r w:rsidRPr="00EE0E71">
              <w:t>2nd quartile</w:t>
            </w:r>
          </w:p>
        </w:tc>
        <w:tc>
          <w:tcPr>
            <w:tcW w:w="1366" w:type="dxa"/>
          </w:tcPr>
          <w:p w14:paraId="07A71224" w14:textId="77777777" w:rsidR="002922F7" w:rsidRDefault="002922F7" w:rsidP="002922F7">
            <w:pPr>
              <w:pStyle w:val="TabletextLeftTotal"/>
              <w:keepNext/>
            </w:pPr>
            <w:r w:rsidRPr="00EE0E71">
              <w:t>observed proportion</w:t>
            </w:r>
          </w:p>
        </w:tc>
        <w:tc>
          <w:tcPr>
            <w:tcW w:w="1301" w:type="dxa"/>
          </w:tcPr>
          <w:p w14:paraId="2F6FA0E8" w14:textId="77777777" w:rsidR="002922F7" w:rsidRDefault="002922F7" w:rsidP="002922F7">
            <w:pPr>
              <w:pStyle w:val="TabletextCentre"/>
              <w:keepNext/>
            </w:pPr>
            <w:r w:rsidRPr="00EE0E71">
              <w:t>3.38%</w:t>
            </w:r>
          </w:p>
        </w:tc>
        <w:tc>
          <w:tcPr>
            <w:tcW w:w="1301" w:type="dxa"/>
          </w:tcPr>
          <w:p w14:paraId="687CB61A" w14:textId="77777777" w:rsidR="002922F7" w:rsidRDefault="002922F7" w:rsidP="002922F7">
            <w:pPr>
              <w:pStyle w:val="TabletextCentre"/>
              <w:keepNext/>
            </w:pPr>
            <w:r w:rsidRPr="00EE0E71">
              <w:t>3.72%</w:t>
            </w:r>
          </w:p>
        </w:tc>
        <w:tc>
          <w:tcPr>
            <w:tcW w:w="1309" w:type="dxa"/>
          </w:tcPr>
          <w:p w14:paraId="1362EAC6" w14:textId="77777777" w:rsidR="002922F7" w:rsidRDefault="002922F7" w:rsidP="002922F7">
            <w:pPr>
              <w:pStyle w:val="TabletextCentre"/>
              <w:keepNext/>
            </w:pPr>
            <w:r w:rsidRPr="00EE0E71">
              <w:t>3.04%</w:t>
            </w:r>
          </w:p>
        </w:tc>
        <w:tc>
          <w:tcPr>
            <w:tcW w:w="1302" w:type="dxa"/>
          </w:tcPr>
          <w:p w14:paraId="54D573E9" w14:textId="77777777" w:rsidR="002922F7" w:rsidRDefault="002922F7" w:rsidP="002922F7">
            <w:pPr>
              <w:pStyle w:val="TabletextCentre"/>
              <w:keepNext/>
            </w:pPr>
            <w:r w:rsidRPr="00EE0E71">
              <w:t>5.74%</w:t>
            </w:r>
          </w:p>
        </w:tc>
      </w:tr>
      <w:tr w:rsidR="002922F7" w14:paraId="4AAEEE08" w14:textId="77777777" w:rsidTr="002922F7">
        <w:tc>
          <w:tcPr>
            <w:tcW w:w="1092" w:type="dxa"/>
            <w:vMerge/>
          </w:tcPr>
          <w:p w14:paraId="14CFFA87" w14:textId="77777777" w:rsidR="002922F7" w:rsidRDefault="002922F7" w:rsidP="002922F7">
            <w:pPr>
              <w:keepNext/>
            </w:pPr>
          </w:p>
        </w:tc>
        <w:tc>
          <w:tcPr>
            <w:tcW w:w="1355" w:type="dxa"/>
            <w:vMerge/>
            <w:vAlign w:val="center"/>
          </w:tcPr>
          <w:p w14:paraId="09CAC4B8" w14:textId="77777777" w:rsidR="002922F7" w:rsidRDefault="002922F7" w:rsidP="002922F7">
            <w:pPr>
              <w:pStyle w:val="TabletextCentreTotal"/>
              <w:keepNext/>
            </w:pPr>
          </w:p>
        </w:tc>
        <w:tc>
          <w:tcPr>
            <w:tcW w:w="1366" w:type="dxa"/>
          </w:tcPr>
          <w:p w14:paraId="42E978BF" w14:textId="77777777" w:rsidR="002922F7" w:rsidRDefault="002922F7" w:rsidP="002922F7">
            <w:pPr>
              <w:pStyle w:val="TabletextLeftTotal"/>
              <w:keepNext/>
            </w:pPr>
            <w:r w:rsidRPr="00EE0E71">
              <w:t>expected proportion</w:t>
            </w:r>
          </w:p>
        </w:tc>
        <w:tc>
          <w:tcPr>
            <w:tcW w:w="1301" w:type="dxa"/>
          </w:tcPr>
          <w:p w14:paraId="11CA102E" w14:textId="77777777" w:rsidR="002922F7" w:rsidRDefault="002922F7" w:rsidP="002922F7">
            <w:pPr>
              <w:pStyle w:val="TabletextCentre"/>
              <w:keepNext/>
            </w:pPr>
            <w:r w:rsidRPr="00EE0E71">
              <w:t>3.49%</w:t>
            </w:r>
          </w:p>
        </w:tc>
        <w:tc>
          <w:tcPr>
            <w:tcW w:w="1301" w:type="dxa"/>
          </w:tcPr>
          <w:p w14:paraId="0FDB718E" w14:textId="77777777" w:rsidR="002922F7" w:rsidRDefault="002922F7" w:rsidP="002922F7">
            <w:pPr>
              <w:pStyle w:val="TabletextCentre"/>
              <w:keepNext/>
            </w:pPr>
            <w:r w:rsidRPr="00EE0E71">
              <w:t>4.08%</w:t>
            </w:r>
          </w:p>
        </w:tc>
        <w:tc>
          <w:tcPr>
            <w:tcW w:w="1309" w:type="dxa"/>
          </w:tcPr>
          <w:p w14:paraId="70A01AF1" w14:textId="77777777" w:rsidR="002922F7" w:rsidRDefault="002922F7" w:rsidP="002922F7">
            <w:pPr>
              <w:pStyle w:val="TabletextCentre"/>
              <w:keepNext/>
            </w:pPr>
            <w:r w:rsidRPr="00EE0E71">
              <w:t>4.08%</w:t>
            </w:r>
          </w:p>
        </w:tc>
        <w:tc>
          <w:tcPr>
            <w:tcW w:w="1302" w:type="dxa"/>
          </w:tcPr>
          <w:p w14:paraId="49367EE5" w14:textId="77777777" w:rsidR="002922F7" w:rsidRDefault="002922F7" w:rsidP="002922F7">
            <w:pPr>
              <w:pStyle w:val="TabletextCentre"/>
              <w:keepNext/>
            </w:pPr>
            <w:r w:rsidRPr="00EE0E71">
              <w:t>4.24%</w:t>
            </w:r>
          </w:p>
        </w:tc>
      </w:tr>
      <w:tr w:rsidR="002922F7" w14:paraId="79FF82D1" w14:textId="77777777" w:rsidTr="002922F7">
        <w:tc>
          <w:tcPr>
            <w:tcW w:w="1092" w:type="dxa"/>
            <w:vMerge/>
          </w:tcPr>
          <w:p w14:paraId="33EE96C1" w14:textId="77777777" w:rsidR="002922F7" w:rsidRDefault="002922F7" w:rsidP="002922F7">
            <w:pPr>
              <w:keepNext/>
            </w:pPr>
          </w:p>
        </w:tc>
        <w:tc>
          <w:tcPr>
            <w:tcW w:w="1355" w:type="dxa"/>
            <w:vMerge/>
            <w:vAlign w:val="center"/>
          </w:tcPr>
          <w:p w14:paraId="631A2887" w14:textId="77777777" w:rsidR="002922F7" w:rsidRDefault="002922F7" w:rsidP="002922F7">
            <w:pPr>
              <w:pStyle w:val="TabletextCentreTotal"/>
              <w:keepNext/>
            </w:pPr>
          </w:p>
        </w:tc>
        <w:tc>
          <w:tcPr>
            <w:tcW w:w="1366" w:type="dxa"/>
          </w:tcPr>
          <w:p w14:paraId="7D91A8A4" w14:textId="77777777" w:rsidR="002922F7" w:rsidRDefault="002922F7" w:rsidP="002922F7">
            <w:pPr>
              <w:pStyle w:val="TabletextLeftTotal"/>
              <w:keepNext/>
            </w:pPr>
            <w:r w:rsidRPr="00EE0E71">
              <w:t>p-value</w:t>
            </w:r>
          </w:p>
        </w:tc>
        <w:tc>
          <w:tcPr>
            <w:tcW w:w="1301" w:type="dxa"/>
          </w:tcPr>
          <w:p w14:paraId="57FFA778" w14:textId="77777777" w:rsidR="002922F7" w:rsidRDefault="002922F7" w:rsidP="002922F7">
            <w:pPr>
              <w:pStyle w:val="TabletextCentre"/>
              <w:keepNext/>
            </w:pPr>
            <w:r w:rsidRPr="00EE0E71">
              <w:t>0.9019</w:t>
            </w:r>
          </w:p>
        </w:tc>
        <w:tc>
          <w:tcPr>
            <w:tcW w:w="1301" w:type="dxa"/>
          </w:tcPr>
          <w:p w14:paraId="05C8853B" w14:textId="77777777" w:rsidR="002922F7" w:rsidRDefault="002922F7" w:rsidP="002922F7">
            <w:pPr>
              <w:pStyle w:val="TabletextCentre"/>
              <w:keepNext/>
            </w:pPr>
            <w:r w:rsidRPr="00EE0E71">
              <w:t>0.6975</w:t>
            </w:r>
          </w:p>
        </w:tc>
        <w:tc>
          <w:tcPr>
            <w:tcW w:w="1309" w:type="dxa"/>
          </w:tcPr>
          <w:p w14:paraId="78ABEBB7" w14:textId="77777777" w:rsidR="002922F7" w:rsidRDefault="002922F7" w:rsidP="002922F7">
            <w:pPr>
              <w:pStyle w:val="TabletextCentre"/>
              <w:keepNext/>
            </w:pPr>
            <w:r w:rsidRPr="00EE0E71">
              <w:t>0.2641</w:t>
            </w:r>
          </w:p>
        </w:tc>
        <w:tc>
          <w:tcPr>
            <w:tcW w:w="1302" w:type="dxa"/>
          </w:tcPr>
          <w:p w14:paraId="767ED007" w14:textId="77777777" w:rsidR="002922F7" w:rsidRDefault="002922F7" w:rsidP="002922F7">
            <w:pPr>
              <w:pStyle w:val="TabletextCentre"/>
              <w:keepNext/>
            </w:pPr>
            <w:r w:rsidRPr="00EE0E71">
              <w:t>0.1091</w:t>
            </w:r>
          </w:p>
        </w:tc>
      </w:tr>
      <w:tr w:rsidR="002922F7" w14:paraId="28972B5B" w14:textId="77777777" w:rsidTr="002922F7">
        <w:tc>
          <w:tcPr>
            <w:tcW w:w="1092" w:type="dxa"/>
            <w:vMerge/>
          </w:tcPr>
          <w:p w14:paraId="5A4A89E1" w14:textId="77777777" w:rsidR="002922F7" w:rsidRPr="00EE0E71" w:rsidRDefault="002922F7" w:rsidP="002922F7">
            <w:pPr>
              <w:keepNext/>
            </w:pPr>
          </w:p>
        </w:tc>
        <w:tc>
          <w:tcPr>
            <w:tcW w:w="1355" w:type="dxa"/>
            <w:vMerge w:val="restart"/>
            <w:vAlign w:val="center"/>
          </w:tcPr>
          <w:p w14:paraId="7898639D" w14:textId="77777777" w:rsidR="002922F7" w:rsidRDefault="002922F7" w:rsidP="002922F7">
            <w:pPr>
              <w:pStyle w:val="TabletextCentreTotal"/>
              <w:keepNext/>
            </w:pPr>
            <w:r w:rsidRPr="00EE0E71">
              <w:t>3rd quartile</w:t>
            </w:r>
          </w:p>
        </w:tc>
        <w:tc>
          <w:tcPr>
            <w:tcW w:w="1366" w:type="dxa"/>
          </w:tcPr>
          <w:p w14:paraId="093266F0" w14:textId="77777777" w:rsidR="002922F7" w:rsidRDefault="002922F7" w:rsidP="002922F7">
            <w:pPr>
              <w:pStyle w:val="TabletextLeftTotal"/>
              <w:keepNext/>
            </w:pPr>
            <w:r w:rsidRPr="00EE0E71">
              <w:t>observed proportion</w:t>
            </w:r>
          </w:p>
        </w:tc>
        <w:tc>
          <w:tcPr>
            <w:tcW w:w="1301" w:type="dxa"/>
          </w:tcPr>
          <w:p w14:paraId="6DA3C40D" w14:textId="77777777" w:rsidR="002922F7" w:rsidRDefault="002922F7" w:rsidP="002922F7">
            <w:pPr>
              <w:pStyle w:val="TabletextCentre"/>
              <w:keepNext/>
            </w:pPr>
            <w:r w:rsidRPr="00EE0E71">
              <w:t>8.45%</w:t>
            </w:r>
          </w:p>
        </w:tc>
        <w:tc>
          <w:tcPr>
            <w:tcW w:w="1301" w:type="dxa"/>
          </w:tcPr>
          <w:p w14:paraId="3EA50FC6" w14:textId="77777777" w:rsidR="002922F7" w:rsidRDefault="002922F7" w:rsidP="002922F7">
            <w:pPr>
              <w:pStyle w:val="TabletextCentre"/>
              <w:keepNext/>
            </w:pPr>
            <w:r w:rsidRPr="00EE0E71">
              <w:t>5.07%</w:t>
            </w:r>
          </w:p>
        </w:tc>
        <w:tc>
          <w:tcPr>
            <w:tcW w:w="1309" w:type="dxa"/>
          </w:tcPr>
          <w:p w14:paraId="5D5AEBE1" w14:textId="77777777" w:rsidR="002922F7" w:rsidRDefault="002922F7" w:rsidP="002922F7">
            <w:pPr>
              <w:pStyle w:val="TabletextCentre"/>
              <w:keepNext/>
            </w:pPr>
            <w:r w:rsidRPr="00EE0E71">
              <w:t>12.16%</w:t>
            </w:r>
          </w:p>
        </w:tc>
        <w:tc>
          <w:tcPr>
            <w:tcW w:w="1302" w:type="dxa"/>
          </w:tcPr>
          <w:p w14:paraId="0418057C" w14:textId="77777777" w:rsidR="002922F7" w:rsidRDefault="002922F7" w:rsidP="002922F7">
            <w:pPr>
              <w:pStyle w:val="TabletextCentre"/>
              <w:keepNext/>
            </w:pPr>
            <w:r w:rsidRPr="00EE0E71">
              <w:t>9.80%</w:t>
            </w:r>
          </w:p>
        </w:tc>
      </w:tr>
      <w:tr w:rsidR="002922F7" w14:paraId="3FD03452" w14:textId="77777777" w:rsidTr="002922F7">
        <w:tc>
          <w:tcPr>
            <w:tcW w:w="1092" w:type="dxa"/>
            <w:vMerge/>
          </w:tcPr>
          <w:p w14:paraId="4A671C92" w14:textId="77777777" w:rsidR="002922F7" w:rsidRDefault="002922F7" w:rsidP="002922F7">
            <w:pPr>
              <w:keepNext/>
            </w:pPr>
          </w:p>
        </w:tc>
        <w:tc>
          <w:tcPr>
            <w:tcW w:w="1355" w:type="dxa"/>
            <w:vMerge/>
            <w:vAlign w:val="center"/>
          </w:tcPr>
          <w:p w14:paraId="70BFF70F" w14:textId="77777777" w:rsidR="002922F7" w:rsidRDefault="002922F7" w:rsidP="002922F7">
            <w:pPr>
              <w:pStyle w:val="TabletextCentreTotal"/>
              <w:keepNext/>
            </w:pPr>
          </w:p>
        </w:tc>
        <w:tc>
          <w:tcPr>
            <w:tcW w:w="1366" w:type="dxa"/>
          </w:tcPr>
          <w:p w14:paraId="0F75FB7B" w14:textId="77777777" w:rsidR="002922F7" w:rsidRDefault="002922F7" w:rsidP="002922F7">
            <w:pPr>
              <w:pStyle w:val="TabletextLeftTotal"/>
              <w:keepNext/>
            </w:pPr>
            <w:r w:rsidRPr="00EE0E71">
              <w:t>expected proportion</w:t>
            </w:r>
          </w:p>
        </w:tc>
        <w:tc>
          <w:tcPr>
            <w:tcW w:w="1301" w:type="dxa"/>
          </w:tcPr>
          <w:p w14:paraId="3C3D4911" w14:textId="77777777" w:rsidR="002922F7" w:rsidRDefault="002922F7" w:rsidP="002922F7">
            <w:pPr>
              <w:pStyle w:val="TabletextCentre"/>
              <w:keepNext/>
            </w:pPr>
            <w:r w:rsidRPr="00EE0E71">
              <w:t>7.79%</w:t>
            </w:r>
          </w:p>
        </w:tc>
        <w:tc>
          <w:tcPr>
            <w:tcW w:w="1301" w:type="dxa"/>
          </w:tcPr>
          <w:p w14:paraId="1628F189" w14:textId="77777777" w:rsidR="002922F7" w:rsidRDefault="002922F7" w:rsidP="002922F7">
            <w:pPr>
              <w:pStyle w:val="TabletextCentre"/>
              <w:keepNext/>
            </w:pPr>
            <w:r w:rsidRPr="00EE0E71">
              <w:t>9.11%</w:t>
            </w:r>
          </w:p>
        </w:tc>
        <w:tc>
          <w:tcPr>
            <w:tcW w:w="1309" w:type="dxa"/>
          </w:tcPr>
          <w:p w14:paraId="3BC6DEE0" w14:textId="77777777" w:rsidR="002922F7" w:rsidRDefault="002922F7" w:rsidP="002922F7">
            <w:pPr>
              <w:pStyle w:val="TabletextCentre"/>
              <w:keepNext/>
            </w:pPr>
            <w:r w:rsidRPr="00EE0E71">
              <w:t>9.11%</w:t>
            </w:r>
          </w:p>
        </w:tc>
        <w:tc>
          <w:tcPr>
            <w:tcW w:w="1302" w:type="dxa"/>
          </w:tcPr>
          <w:p w14:paraId="57610380" w14:textId="77777777" w:rsidR="002922F7" w:rsidRDefault="002922F7" w:rsidP="002922F7">
            <w:pPr>
              <w:pStyle w:val="TabletextCentre"/>
              <w:keepNext/>
            </w:pPr>
            <w:r w:rsidRPr="00EE0E71">
              <w:t>9.47%</w:t>
            </w:r>
          </w:p>
        </w:tc>
      </w:tr>
      <w:tr w:rsidR="002922F7" w14:paraId="1AC70D51" w14:textId="77777777" w:rsidTr="002922F7">
        <w:tc>
          <w:tcPr>
            <w:tcW w:w="1092" w:type="dxa"/>
            <w:vMerge/>
          </w:tcPr>
          <w:p w14:paraId="3173FA11" w14:textId="77777777" w:rsidR="002922F7" w:rsidRDefault="002922F7" w:rsidP="002922F7">
            <w:pPr>
              <w:keepNext/>
            </w:pPr>
          </w:p>
        </w:tc>
        <w:tc>
          <w:tcPr>
            <w:tcW w:w="1355" w:type="dxa"/>
            <w:vMerge/>
            <w:vAlign w:val="center"/>
          </w:tcPr>
          <w:p w14:paraId="494D3491" w14:textId="77777777" w:rsidR="002922F7" w:rsidRDefault="002922F7" w:rsidP="002922F7">
            <w:pPr>
              <w:pStyle w:val="TabletextCentreTotal"/>
              <w:keepNext/>
            </w:pPr>
          </w:p>
        </w:tc>
        <w:tc>
          <w:tcPr>
            <w:tcW w:w="1366" w:type="dxa"/>
          </w:tcPr>
          <w:p w14:paraId="31E68913" w14:textId="77777777" w:rsidR="002922F7" w:rsidRDefault="002922F7" w:rsidP="002922F7">
            <w:pPr>
              <w:pStyle w:val="TabletextLeftTotal"/>
              <w:keepNext/>
            </w:pPr>
            <w:r w:rsidRPr="00EE0E71">
              <w:t>p-value</w:t>
            </w:r>
          </w:p>
        </w:tc>
        <w:tc>
          <w:tcPr>
            <w:tcW w:w="1301" w:type="dxa"/>
          </w:tcPr>
          <w:p w14:paraId="7425750B" w14:textId="77777777" w:rsidR="002922F7" w:rsidRDefault="002922F7" w:rsidP="002922F7">
            <w:pPr>
              <w:pStyle w:val="TabletextCentre"/>
              <w:keepNext/>
            </w:pPr>
            <w:r w:rsidRPr="00EE0E71">
              <w:t>0.5686</w:t>
            </w:r>
          </w:p>
        </w:tc>
        <w:tc>
          <w:tcPr>
            <w:tcW w:w="1301" w:type="dxa"/>
            <w:shd w:val="clear" w:color="auto" w:fill="000000" w:themeFill="text1"/>
          </w:tcPr>
          <w:p w14:paraId="5C080A5A" w14:textId="77777777" w:rsidR="002922F7" w:rsidRPr="001F26A1" w:rsidRDefault="002922F7" w:rsidP="002922F7">
            <w:pPr>
              <w:pStyle w:val="TabletextCentre"/>
              <w:keepNext/>
              <w:rPr>
                <w:color w:val="FFFFFF" w:themeColor="background1"/>
              </w:rPr>
            </w:pPr>
            <w:r w:rsidRPr="001F26A1">
              <w:rPr>
                <w:color w:val="FFFFFF" w:themeColor="background1"/>
              </w:rPr>
              <w:t>0.0009</w:t>
            </w:r>
          </w:p>
        </w:tc>
        <w:tc>
          <w:tcPr>
            <w:tcW w:w="1309" w:type="dxa"/>
          </w:tcPr>
          <w:p w14:paraId="3B81F324" w14:textId="77777777" w:rsidR="002922F7" w:rsidRDefault="002922F7" w:rsidP="002922F7">
            <w:pPr>
              <w:pStyle w:val="TabletextCentre"/>
              <w:keepNext/>
            </w:pPr>
            <w:r w:rsidRPr="00EE0E71">
              <w:t>0.0119</w:t>
            </w:r>
          </w:p>
        </w:tc>
        <w:tc>
          <w:tcPr>
            <w:tcW w:w="1302" w:type="dxa"/>
          </w:tcPr>
          <w:p w14:paraId="03597AC2" w14:textId="77777777" w:rsidR="002922F7" w:rsidRDefault="002922F7" w:rsidP="002922F7">
            <w:pPr>
              <w:pStyle w:val="TabletextCentre"/>
              <w:keepNext/>
            </w:pPr>
            <w:r w:rsidRPr="00EE0E71">
              <w:t>0.7886</w:t>
            </w:r>
          </w:p>
        </w:tc>
      </w:tr>
      <w:tr w:rsidR="002922F7" w14:paraId="1DC61D75" w14:textId="77777777" w:rsidTr="002922F7">
        <w:tc>
          <w:tcPr>
            <w:tcW w:w="1092" w:type="dxa"/>
            <w:vMerge/>
          </w:tcPr>
          <w:p w14:paraId="61568FAD" w14:textId="77777777" w:rsidR="002922F7" w:rsidRPr="00EE0E71" w:rsidRDefault="002922F7" w:rsidP="002922F7">
            <w:pPr>
              <w:keepNext/>
            </w:pPr>
          </w:p>
        </w:tc>
        <w:tc>
          <w:tcPr>
            <w:tcW w:w="1355" w:type="dxa"/>
            <w:vMerge w:val="restart"/>
            <w:vAlign w:val="center"/>
          </w:tcPr>
          <w:p w14:paraId="50D2C2FA" w14:textId="77777777" w:rsidR="002922F7" w:rsidRDefault="002922F7" w:rsidP="002922F7">
            <w:pPr>
              <w:pStyle w:val="TabletextCentreTotal"/>
              <w:keepNext/>
            </w:pPr>
            <w:r w:rsidRPr="00EE0E71">
              <w:t>4th quartile</w:t>
            </w:r>
          </w:p>
        </w:tc>
        <w:tc>
          <w:tcPr>
            <w:tcW w:w="1366" w:type="dxa"/>
          </w:tcPr>
          <w:p w14:paraId="408ED693" w14:textId="77777777" w:rsidR="002922F7" w:rsidRDefault="002922F7" w:rsidP="002922F7">
            <w:pPr>
              <w:pStyle w:val="TabletextLeftTotal"/>
              <w:keepNext/>
            </w:pPr>
            <w:r w:rsidRPr="00EE0E71">
              <w:t>observed proportion</w:t>
            </w:r>
          </w:p>
        </w:tc>
        <w:tc>
          <w:tcPr>
            <w:tcW w:w="1301" w:type="dxa"/>
          </w:tcPr>
          <w:p w14:paraId="42CA9281" w14:textId="77777777" w:rsidR="002922F7" w:rsidRDefault="002922F7" w:rsidP="002922F7">
            <w:pPr>
              <w:pStyle w:val="TabletextCentre"/>
              <w:keepNext/>
            </w:pPr>
            <w:r w:rsidRPr="00EE0E71">
              <w:t>5.07%</w:t>
            </w:r>
          </w:p>
        </w:tc>
        <w:tc>
          <w:tcPr>
            <w:tcW w:w="1301" w:type="dxa"/>
          </w:tcPr>
          <w:p w14:paraId="7063352E" w14:textId="77777777" w:rsidR="002922F7" w:rsidRDefault="002922F7" w:rsidP="002922F7">
            <w:pPr>
              <w:pStyle w:val="TabletextCentre"/>
              <w:keepNext/>
            </w:pPr>
            <w:r w:rsidRPr="00EE0E71">
              <w:t>8.78%</w:t>
            </w:r>
          </w:p>
        </w:tc>
        <w:tc>
          <w:tcPr>
            <w:tcW w:w="1309" w:type="dxa"/>
          </w:tcPr>
          <w:p w14:paraId="28FC0924" w14:textId="77777777" w:rsidR="002922F7" w:rsidRDefault="002922F7" w:rsidP="002922F7">
            <w:pPr>
              <w:pStyle w:val="TabletextCentre"/>
              <w:keepNext/>
            </w:pPr>
            <w:r w:rsidRPr="00EE0E71">
              <w:t>5.41%</w:t>
            </w:r>
          </w:p>
        </w:tc>
        <w:tc>
          <w:tcPr>
            <w:tcW w:w="1302" w:type="dxa"/>
          </w:tcPr>
          <w:p w14:paraId="67F7856A" w14:textId="77777777" w:rsidR="002922F7" w:rsidRDefault="002922F7" w:rsidP="002922F7">
            <w:pPr>
              <w:pStyle w:val="TabletextCentre"/>
              <w:keepNext/>
            </w:pPr>
            <w:r w:rsidRPr="00EE0E71">
              <w:t>6.76%</w:t>
            </w:r>
          </w:p>
        </w:tc>
      </w:tr>
      <w:tr w:rsidR="002922F7" w14:paraId="23D23FEF" w14:textId="77777777" w:rsidTr="002922F7">
        <w:tc>
          <w:tcPr>
            <w:tcW w:w="1092" w:type="dxa"/>
            <w:vMerge/>
          </w:tcPr>
          <w:p w14:paraId="5464E533" w14:textId="77777777" w:rsidR="002922F7" w:rsidRDefault="002922F7" w:rsidP="002922F7">
            <w:pPr>
              <w:keepNext/>
            </w:pPr>
          </w:p>
        </w:tc>
        <w:tc>
          <w:tcPr>
            <w:tcW w:w="1355" w:type="dxa"/>
            <w:vMerge/>
          </w:tcPr>
          <w:p w14:paraId="3DB9AB3F" w14:textId="77777777" w:rsidR="002922F7" w:rsidRDefault="002922F7" w:rsidP="002922F7">
            <w:pPr>
              <w:pStyle w:val="TabletextCentreTotal"/>
              <w:keepNext/>
            </w:pPr>
          </w:p>
        </w:tc>
        <w:tc>
          <w:tcPr>
            <w:tcW w:w="1366" w:type="dxa"/>
          </w:tcPr>
          <w:p w14:paraId="16EB61F0" w14:textId="77777777" w:rsidR="002922F7" w:rsidRDefault="002922F7" w:rsidP="002922F7">
            <w:pPr>
              <w:pStyle w:val="TabletextLeftTotal"/>
              <w:keepNext/>
            </w:pPr>
            <w:r w:rsidRPr="00EE0E71">
              <w:t>expected proportion</w:t>
            </w:r>
          </w:p>
        </w:tc>
        <w:tc>
          <w:tcPr>
            <w:tcW w:w="1301" w:type="dxa"/>
          </w:tcPr>
          <w:p w14:paraId="5F18E3B1" w14:textId="77777777" w:rsidR="002922F7" w:rsidRDefault="002922F7" w:rsidP="002922F7">
            <w:pPr>
              <w:pStyle w:val="TabletextCentre"/>
              <w:keepNext/>
            </w:pPr>
            <w:r w:rsidRPr="00EE0E71">
              <w:t>5.71%</w:t>
            </w:r>
          </w:p>
        </w:tc>
        <w:tc>
          <w:tcPr>
            <w:tcW w:w="1301" w:type="dxa"/>
          </w:tcPr>
          <w:p w14:paraId="58E3DD48" w14:textId="77777777" w:rsidR="002922F7" w:rsidRDefault="002922F7" w:rsidP="002922F7">
            <w:pPr>
              <w:pStyle w:val="TabletextCentre"/>
              <w:keepNext/>
            </w:pPr>
            <w:r w:rsidRPr="00EE0E71">
              <w:t>6.68%</w:t>
            </w:r>
          </w:p>
        </w:tc>
        <w:tc>
          <w:tcPr>
            <w:tcW w:w="1309" w:type="dxa"/>
          </w:tcPr>
          <w:p w14:paraId="38AD0725" w14:textId="77777777" w:rsidR="002922F7" w:rsidRDefault="002922F7" w:rsidP="002922F7">
            <w:pPr>
              <w:pStyle w:val="TabletextCentre"/>
              <w:keepNext/>
            </w:pPr>
            <w:r w:rsidRPr="00EE0E71">
              <w:t>6.68%</w:t>
            </w:r>
          </w:p>
        </w:tc>
        <w:tc>
          <w:tcPr>
            <w:tcW w:w="1302" w:type="dxa"/>
          </w:tcPr>
          <w:p w14:paraId="60F7F72C" w14:textId="77777777" w:rsidR="002922F7" w:rsidRDefault="002922F7" w:rsidP="002922F7">
            <w:pPr>
              <w:pStyle w:val="TabletextCentre"/>
              <w:keepNext/>
            </w:pPr>
            <w:r w:rsidRPr="00EE0E71">
              <w:t>6.94%</w:t>
            </w:r>
          </w:p>
        </w:tc>
      </w:tr>
      <w:tr w:rsidR="002922F7" w14:paraId="31EEE3A5" w14:textId="77777777" w:rsidTr="002922F7">
        <w:tc>
          <w:tcPr>
            <w:tcW w:w="1092" w:type="dxa"/>
            <w:vMerge/>
          </w:tcPr>
          <w:p w14:paraId="53EB6B58" w14:textId="77777777" w:rsidR="002922F7" w:rsidRDefault="002922F7" w:rsidP="002922F7">
            <w:pPr>
              <w:keepNext/>
            </w:pPr>
          </w:p>
        </w:tc>
        <w:tc>
          <w:tcPr>
            <w:tcW w:w="1355" w:type="dxa"/>
            <w:vMerge/>
          </w:tcPr>
          <w:p w14:paraId="0981FFAA" w14:textId="77777777" w:rsidR="002922F7" w:rsidRDefault="002922F7" w:rsidP="002922F7">
            <w:pPr>
              <w:pStyle w:val="TabletextCentreTotal"/>
              <w:keepNext/>
            </w:pPr>
          </w:p>
        </w:tc>
        <w:tc>
          <w:tcPr>
            <w:tcW w:w="1366" w:type="dxa"/>
          </w:tcPr>
          <w:p w14:paraId="5B39D76D" w14:textId="77777777" w:rsidR="002922F7" w:rsidRDefault="002922F7" w:rsidP="002922F7">
            <w:pPr>
              <w:pStyle w:val="TabletextLeftTotal"/>
              <w:keepNext/>
            </w:pPr>
            <w:r w:rsidRPr="00EE0E71">
              <w:t>p-value</w:t>
            </w:r>
          </w:p>
        </w:tc>
        <w:tc>
          <w:tcPr>
            <w:tcW w:w="1301" w:type="dxa"/>
          </w:tcPr>
          <w:p w14:paraId="550A530D" w14:textId="77777777" w:rsidR="002922F7" w:rsidRDefault="002922F7" w:rsidP="002922F7">
            <w:pPr>
              <w:pStyle w:val="TabletextCentre"/>
              <w:keepNext/>
            </w:pPr>
            <w:r w:rsidRPr="00EE0E71">
              <w:t>0.5413</w:t>
            </w:r>
          </w:p>
        </w:tc>
        <w:tc>
          <w:tcPr>
            <w:tcW w:w="1301" w:type="dxa"/>
          </w:tcPr>
          <w:p w14:paraId="08210D7E" w14:textId="77777777" w:rsidR="002922F7" w:rsidRDefault="002922F7" w:rsidP="002922F7">
            <w:pPr>
              <w:pStyle w:val="TabletextCentre"/>
              <w:keepNext/>
            </w:pPr>
            <w:r w:rsidRPr="00EE0E71">
              <w:t>0.0588</w:t>
            </w:r>
          </w:p>
        </w:tc>
        <w:tc>
          <w:tcPr>
            <w:tcW w:w="1309" w:type="dxa"/>
          </w:tcPr>
          <w:p w14:paraId="770F403C" w14:textId="77777777" w:rsidR="002922F7" w:rsidRDefault="002922F7" w:rsidP="002922F7">
            <w:pPr>
              <w:pStyle w:val="TabletextCentre"/>
              <w:keepNext/>
            </w:pPr>
            <w:r w:rsidRPr="00EE0E71">
              <w:t>0.2528</w:t>
            </w:r>
          </w:p>
        </w:tc>
        <w:tc>
          <w:tcPr>
            <w:tcW w:w="1302" w:type="dxa"/>
          </w:tcPr>
          <w:p w14:paraId="1F20371C" w14:textId="77777777" w:rsidR="002922F7" w:rsidRDefault="002922F7" w:rsidP="002922F7">
            <w:pPr>
              <w:pStyle w:val="TabletextCentre"/>
              <w:keepNext/>
            </w:pPr>
            <w:r w:rsidRPr="00EE0E71">
              <w:t>0.8690</w:t>
            </w:r>
          </w:p>
        </w:tc>
      </w:tr>
    </w:tbl>
    <w:p w14:paraId="34A00CCE" w14:textId="77777777" w:rsidR="002922F7" w:rsidRDefault="002922F7" w:rsidP="002922F7"/>
    <w:p w14:paraId="7B1808D5" w14:textId="77777777" w:rsidR="002922F7" w:rsidRDefault="002922F7" w:rsidP="00400621">
      <w:pPr>
        <w:pStyle w:val="AppendixTableCaption"/>
        <w:numPr>
          <w:ilvl w:val="6"/>
          <w:numId w:val="11"/>
        </w:numPr>
      </w:pPr>
      <w:bookmarkStart w:id="299" w:name="_Toc40454706"/>
      <w:r>
        <w:lastRenderedPageBreak/>
        <w:t>Utilisation and permanent employment rate, cross</w:t>
      </w:r>
      <w:r>
        <w:noBreakHyphen/>
        <w:t>tabulated distribution</w:t>
      </w:r>
      <w:bookmarkEnd w:id="299"/>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4D4EE573"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6417D6F3" w14:textId="77777777" w:rsidR="002922F7" w:rsidRDefault="002922F7" w:rsidP="002922F7">
            <w:pPr>
              <w:keepNext/>
            </w:pPr>
          </w:p>
        </w:tc>
        <w:tc>
          <w:tcPr>
            <w:tcW w:w="1355" w:type="dxa"/>
          </w:tcPr>
          <w:p w14:paraId="019E26FC" w14:textId="77777777" w:rsidR="002922F7" w:rsidRDefault="002922F7" w:rsidP="002922F7">
            <w:pPr>
              <w:keepNext/>
            </w:pPr>
          </w:p>
        </w:tc>
        <w:tc>
          <w:tcPr>
            <w:tcW w:w="1366" w:type="dxa"/>
          </w:tcPr>
          <w:p w14:paraId="2B4A4AF2" w14:textId="77777777" w:rsidR="002922F7" w:rsidRDefault="002922F7" w:rsidP="002922F7">
            <w:pPr>
              <w:keepNext/>
            </w:pPr>
          </w:p>
        </w:tc>
        <w:tc>
          <w:tcPr>
            <w:tcW w:w="5213" w:type="dxa"/>
            <w:gridSpan w:val="4"/>
          </w:tcPr>
          <w:p w14:paraId="5C29DEA2" w14:textId="77777777" w:rsidR="002922F7" w:rsidRDefault="002922F7" w:rsidP="002922F7">
            <w:pPr>
              <w:pStyle w:val="TableHeadingCentre"/>
              <w:keepNext/>
            </w:pPr>
            <w:r>
              <w:t>Permanent employment rate</w:t>
            </w:r>
          </w:p>
        </w:tc>
      </w:tr>
      <w:tr w:rsidR="002922F7" w14:paraId="3232B74A" w14:textId="77777777" w:rsidTr="002922F7">
        <w:tc>
          <w:tcPr>
            <w:tcW w:w="1092" w:type="dxa"/>
          </w:tcPr>
          <w:p w14:paraId="66C540D8" w14:textId="77777777" w:rsidR="002922F7" w:rsidRDefault="002922F7" w:rsidP="002922F7">
            <w:pPr>
              <w:keepNext/>
            </w:pPr>
          </w:p>
        </w:tc>
        <w:tc>
          <w:tcPr>
            <w:tcW w:w="1355" w:type="dxa"/>
          </w:tcPr>
          <w:p w14:paraId="38559707" w14:textId="77777777" w:rsidR="002922F7" w:rsidRDefault="002922F7" w:rsidP="002922F7">
            <w:pPr>
              <w:keepNext/>
            </w:pPr>
          </w:p>
        </w:tc>
        <w:tc>
          <w:tcPr>
            <w:tcW w:w="1366" w:type="dxa"/>
          </w:tcPr>
          <w:p w14:paraId="468FCB59" w14:textId="77777777" w:rsidR="002922F7" w:rsidRDefault="002922F7" w:rsidP="002922F7">
            <w:pPr>
              <w:keepNext/>
            </w:pPr>
          </w:p>
        </w:tc>
        <w:tc>
          <w:tcPr>
            <w:tcW w:w="1301" w:type="dxa"/>
          </w:tcPr>
          <w:p w14:paraId="1578ED13" w14:textId="77777777" w:rsidR="002922F7" w:rsidRDefault="002922F7" w:rsidP="002922F7">
            <w:pPr>
              <w:pStyle w:val="TabletextCentreTotal"/>
              <w:keepNext/>
              <w:jc w:val="left"/>
            </w:pPr>
            <w:r w:rsidRPr="00EE0E71">
              <w:t>1st quartile</w:t>
            </w:r>
          </w:p>
        </w:tc>
        <w:tc>
          <w:tcPr>
            <w:tcW w:w="1301" w:type="dxa"/>
          </w:tcPr>
          <w:p w14:paraId="5B2BC047" w14:textId="77777777" w:rsidR="002922F7" w:rsidRDefault="002922F7" w:rsidP="002922F7">
            <w:pPr>
              <w:pStyle w:val="TabletextCentreTotal"/>
              <w:keepNext/>
            </w:pPr>
            <w:r w:rsidRPr="00EE0E71">
              <w:t>2nd quartile</w:t>
            </w:r>
          </w:p>
        </w:tc>
        <w:tc>
          <w:tcPr>
            <w:tcW w:w="1309" w:type="dxa"/>
          </w:tcPr>
          <w:p w14:paraId="387C3D7C" w14:textId="77777777" w:rsidR="002922F7" w:rsidRDefault="002922F7" w:rsidP="002922F7">
            <w:pPr>
              <w:pStyle w:val="TabletextCentreTotal"/>
              <w:keepNext/>
            </w:pPr>
            <w:r w:rsidRPr="00EE0E71">
              <w:t>3rd quartile</w:t>
            </w:r>
          </w:p>
        </w:tc>
        <w:tc>
          <w:tcPr>
            <w:tcW w:w="1302" w:type="dxa"/>
          </w:tcPr>
          <w:p w14:paraId="114F81C9" w14:textId="77777777" w:rsidR="002922F7" w:rsidRDefault="002922F7" w:rsidP="002922F7">
            <w:pPr>
              <w:pStyle w:val="TabletextCentreTotal"/>
              <w:keepNext/>
              <w:jc w:val="right"/>
            </w:pPr>
            <w:r w:rsidRPr="00EE0E71">
              <w:t>4th quartile</w:t>
            </w:r>
          </w:p>
        </w:tc>
      </w:tr>
      <w:tr w:rsidR="002922F7" w14:paraId="0DE2B3E9" w14:textId="77777777" w:rsidTr="002922F7">
        <w:tc>
          <w:tcPr>
            <w:tcW w:w="1092" w:type="dxa"/>
            <w:vMerge w:val="restart"/>
            <w:textDirection w:val="btLr"/>
          </w:tcPr>
          <w:p w14:paraId="5EAE5F5B" w14:textId="77777777" w:rsidR="002922F7" w:rsidRPr="00EE0E71" w:rsidRDefault="002922F7" w:rsidP="002922F7">
            <w:pPr>
              <w:pStyle w:val="TableHeadingCentre"/>
              <w:keepNext/>
            </w:pPr>
            <w:r>
              <w:t>Utilisation</w:t>
            </w:r>
          </w:p>
        </w:tc>
        <w:tc>
          <w:tcPr>
            <w:tcW w:w="1355" w:type="dxa"/>
            <w:vMerge w:val="restart"/>
            <w:vAlign w:val="center"/>
          </w:tcPr>
          <w:p w14:paraId="628D1F37" w14:textId="77777777" w:rsidR="002922F7" w:rsidRDefault="002922F7" w:rsidP="002922F7">
            <w:pPr>
              <w:pStyle w:val="TabletextCentreTotal"/>
              <w:keepNext/>
            </w:pPr>
            <w:r w:rsidRPr="00EE0E71">
              <w:t>1st quartile</w:t>
            </w:r>
          </w:p>
        </w:tc>
        <w:tc>
          <w:tcPr>
            <w:tcW w:w="1366" w:type="dxa"/>
          </w:tcPr>
          <w:p w14:paraId="5AF3762B" w14:textId="77777777" w:rsidR="002922F7" w:rsidRDefault="002922F7" w:rsidP="002922F7">
            <w:pPr>
              <w:pStyle w:val="TabletextLeftTotal"/>
              <w:keepNext/>
            </w:pPr>
            <w:r w:rsidRPr="00EE0E71">
              <w:t>observed proportion</w:t>
            </w:r>
          </w:p>
        </w:tc>
        <w:tc>
          <w:tcPr>
            <w:tcW w:w="1301" w:type="dxa"/>
          </w:tcPr>
          <w:p w14:paraId="49092CC2" w14:textId="77777777" w:rsidR="002922F7" w:rsidRDefault="002922F7" w:rsidP="002922F7">
            <w:pPr>
              <w:pStyle w:val="TabletextCentre"/>
              <w:keepNext/>
            </w:pPr>
            <w:r w:rsidRPr="007826AF">
              <w:t>5.51%</w:t>
            </w:r>
          </w:p>
        </w:tc>
        <w:tc>
          <w:tcPr>
            <w:tcW w:w="1301" w:type="dxa"/>
          </w:tcPr>
          <w:p w14:paraId="0006DFDA" w14:textId="77777777" w:rsidR="002922F7" w:rsidRDefault="002922F7" w:rsidP="002922F7">
            <w:pPr>
              <w:pStyle w:val="TabletextCentre"/>
              <w:keepNext/>
            </w:pPr>
            <w:r w:rsidRPr="007826AF">
              <w:t>7.09%</w:t>
            </w:r>
          </w:p>
        </w:tc>
        <w:tc>
          <w:tcPr>
            <w:tcW w:w="1309" w:type="dxa"/>
          </w:tcPr>
          <w:p w14:paraId="22C66BB7" w14:textId="77777777" w:rsidR="002922F7" w:rsidRDefault="002922F7" w:rsidP="002922F7">
            <w:pPr>
              <w:pStyle w:val="TabletextCentre"/>
              <w:keepNext/>
            </w:pPr>
            <w:r w:rsidRPr="007826AF">
              <w:t>5.91%</w:t>
            </w:r>
          </w:p>
        </w:tc>
        <w:tc>
          <w:tcPr>
            <w:tcW w:w="1302" w:type="dxa"/>
          </w:tcPr>
          <w:p w14:paraId="311F03D4" w14:textId="77777777" w:rsidR="002922F7" w:rsidRDefault="002922F7" w:rsidP="002922F7">
            <w:pPr>
              <w:pStyle w:val="TabletextCentre"/>
              <w:keepNext/>
            </w:pPr>
            <w:r w:rsidRPr="007826AF">
              <w:t>6.50%</w:t>
            </w:r>
          </w:p>
        </w:tc>
      </w:tr>
      <w:tr w:rsidR="002922F7" w14:paraId="37C39469" w14:textId="77777777" w:rsidTr="002922F7">
        <w:tc>
          <w:tcPr>
            <w:tcW w:w="1092" w:type="dxa"/>
            <w:vMerge/>
          </w:tcPr>
          <w:p w14:paraId="4D1CA798" w14:textId="77777777" w:rsidR="002922F7" w:rsidRDefault="002922F7" w:rsidP="002922F7">
            <w:pPr>
              <w:keepNext/>
            </w:pPr>
          </w:p>
        </w:tc>
        <w:tc>
          <w:tcPr>
            <w:tcW w:w="1355" w:type="dxa"/>
            <w:vMerge/>
            <w:vAlign w:val="center"/>
          </w:tcPr>
          <w:p w14:paraId="5F5643AA" w14:textId="77777777" w:rsidR="002922F7" w:rsidRDefault="002922F7" w:rsidP="002922F7">
            <w:pPr>
              <w:pStyle w:val="TabletextCentreTotal"/>
              <w:keepNext/>
            </w:pPr>
          </w:p>
        </w:tc>
        <w:tc>
          <w:tcPr>
            <w:tcW w:w="1366" w:type="dxa"/>
          </w:tcPr>
          <w:p w14:paraId="0B6EBB9C" w14:textId="77777777" w:rsidR="002922F7" w:rsidRDefault="002922F7" w:rsidP="002922F7">
            <w:pPr>
              <w:pStyle w:val="TabletextLeftTotal"/>
              <w:keepNext/>
            </w:pPr>
            <w:r w:rsidRPr="00EE0E71">
              <w:t>expected proportion</w:t>
            </w:r>
          </w:p>
        </w:tc>
        <w:tc>
          <w:tcPr>
            <w:tcW w:w="1301" w:type="dxa"/>
          </w:tcPr>
          <w:p w14:paraId="322003E6" w14:textId="77777777" w:rsidR="002922F7" w:rsidRDefault="002922F7" w:rsidP="002922F7">
            <w:pPr>
              <w:pStyle w:val="TabletextCentre"/>
              <w:keepNext/>
            </w:pPr>
            <w:r w:rsidRPr="007826AF">
              <w:t>5.51%</w:t>
            </w:r>
          </w:p>
        </w:tc>
        <w:tc>
          <w:tcPr>
            <w:tcW w:w="1301" w:type="dxa"/>
          </w:tcPr>
          <w:p w14:paraId="11425930" w14:textId="77777777" w:rsidR="002922F7" w:rsidRDefault="002922F7" w:rsidP="002922F7">
            <w:pPr>
              <w:pStyle w:val="TabletextCentre"/>
              <w:keepNext/>
            </w:pPr>
            <w:r w:rsidRPr="007826AF">
              <w:t>6.79%</w:t>
            </w:r>
          </w:p>
        </w:tc>
        <w:tc>
          <w:tcPr>
            <w:tcW w:w="1309" w:type="dxa"/>
          </w:tcPr>
          <w:p w14:paraId="3964369E" w14:textId="77777777" w:rsidR="002922F7" w:rsidRDefault="002922F7" w:rsidP="002922F7">
            <w:pPr>
              <w:pStyle w:val="TabletextCentre"/>
              <w:keepNext/>
            </w:pPr>
            <w:r w:rsidRPr="007826AF">
              <w:t>6.74%</w:t>
            </w:r>
          </w:p>
        </w:tc>
        <w:tc>
          <w:tcPr>
            <w:tcW w:w="1302" w:type="dxa"/>
          </w:tcPr>
          <w:p w14:paraId="54901D5E" w14:textId="77777777" w:rsidR="002922F7" w:rsidRDefault="002922F7" w:rsidP="002922F7">
            <w:pPr>
              <w:pStyle w:val="TabletextCentre"/>
              <w:keepNext/>
            </w:pPr>
            <w:r w:rsidRPr="007826AF">
              <w:t>5.95%</w:t>
            </w:r>
          </w:p>
        </w:tc>
      </w:tr>
      <w:tr w:rsidR="002922F7" w14:paraId="79212DBE" w14:textId="77777777" w:rsidTr="002922F7">
        <w:tc>
          <w:tcPr>
            <w:tcW w:w="1092" w:type="dxa"/>
            <w:vMerge/>
          </w:tcPr>
          <w:p w14:paraId="6521643F" w14:textId="77777777" w:rsidR="002922F7" w:rsidRDefault="002922F7" w:rsidP="002922F7">
            <w:pPr>
              <w:keepNext/>
            </w:pPr>
          </w:p>
        </w:tc>
        <w:tc>
          <w:tcPr>
            <w:tcW w:w="1355" w:type="dxa"/>
            <w:vMerge/>
            <w:vAlign w:val="center"/>
          </w:tcPr>
          <w:p w14:paraId="4D0FB880" w14:textId="77777777" w:rsidR="002922F7" w:rsidRDefault="002922F7" w:rsidP="002922F7">
            <w:pPr>
              <w:pStyle w:val="TabletextCentreTotal"/>
              <w:keepNext/>
            </w:pPr>
          </w:p>
        </w:tc>
        <w:tc>
          <w:tcPr>
            <w:tcW w:w="1366" w:type="dxa"/>
          </w:tcPr>
          <w:p w14:paraId="6F25EAC0" w14:textId="77777777" w:rsidR="002922F7" w:rsidRDefault="002922F7" w:rsidP="002922F7">
            <w:pPr>
              <w:pStyle w:val="TabletextLeftTotal"/>
              <w:keepNext/>
            </w:pPr>
            <w:r w:rsidRPr="00EE0E71">
              <w:t>p-value</w:t>
            </w:r>
          </w:p>
        </w:tc>
        <w:tc>
          <w:tcPr>
            <w:tcW w:w="1301" w:type="dxa"/>
          </w:tcPr>
          <w:p w14:paraId="1CABC94E" w14:textId="77777777" w:rsidR="002922F7" w:rsidRDefault="002922F7" w:rsidP="002922F7">
            <w:pPr>
              <w:pStyle w:val="TabletextCentre"/>
              <w:keepNext/>
            </w:pPr>
            <w:r w:rsidRPr="007826AF">
              <w:t>1.0000</w:t>
            </w:r>
          </w:p>
        </w:tc>
        <w:tc>
          <w:tcPr>
            <w:tcW w:w="1301" w:type="dxa"/>
          </w:tcPr>
          <w:p w14:paraId="05566B10" w14:textId="77777777" w:rsidR="002922F7" w:rsidRDefault="002922F7" w:rsidP="002922F7">
            <w:pPr>
              <w:pStyle w:val="TabletextCentre"/>
              <w:keepNext/>
            </w:pPr>
            <w:r w:rsidRPr="007826AF">
              <w:t>0.7297</w:t>
            </w:r>
          </w:p>
        </w:tc>
        <w:tc>
          <w:tcPr>
            <w:tcW w:w="1309" w:type="dxa"/>
          </w:tcPr>
          <w:p w14:paraId="5F56015A" w14:textId="77777777" w:rsidR="002922F7" w:rsidRDefault="002922F7" w:rsidP="002922F7">
            <w:pPr>
              <w:pStyle w:val="TabletextCentre"/>
              <w:keepNext/>
            </w:pPr>
            <w:r w:rsidRPr="007826AF">
              <w:t>0.3265</w:t>
            </w:r>
          </w:p>
        </w:tc>
        <w:tc>
          <w:tcPr>
            <w:tcW w:w="1302" w:type="dxa"/>
          </w:tcPr>
          <w:p w14:paraId="017ED0E9" w14:textId="77777777" w:rsidR="002922F7" w:rsidRDefault="002922F7" w:rsidP="002922F7">
            <w:pPr>
              <w:pStyle w:val="TabletextCentre"/>
              <w:keepNext/>
            </w:pPr>
            <w:r w:rsidRPr="007826AF">
              <w:t>0.5083</w:t>
            </w:r>
          </w:p>
        </w:tc>
      </w:tr>
      <w:tr w:rsidR="002922F7" w14:paraId="7059C8DF" w14:textId="77777777" w:rsidTr="002922F7">
        <w:tc>
          <w:tcPr>
            <w:tcW w:w="1092" w:type="dxa"/>
            <w:vMerge/>
          </w:tcPr>
          <w:p w14:paraId="08E4CD96" w14:textId="77777777" w:rsidR="002922F7" w:rsidRPr="00EE0E71" w:rsidRDefault="002922F7" w:rsidP="002922F7">
            <w:pPr>
              <w:keepNext/>
            </w:pPr>
          </w:p>
        </w:tc>
        <w:tc>
          <w:tcPr>
            <w:tcW w:w="1355" w:type="dxa"/>
            <w:vMerge w:val="restart"/>
            <w:vAlign w:val="center"/>
          </w:tcPr>
          <w:p w14:paraId="4CAFA060" w14:textId="77777777" w:rsidR="002922F7" w:rsidRDefault="002922F7" w:rsidP="002922F7">
            <w:pPr>
              <w:pStyle w:val="TabletextCentreTotal"/>
              <w:keepNext/>
            </w:pPr>
            <w:r w:rsidRPr="00EE0E71">
              <w:t>2nd quartile</w:t>
            </w:r>
          </w:p>
        </w:tc>
        <w:tc>
          <w:tcPr>
            <w:tcW w:w="1366" w:type="dxa"/>
          </w:tcPr>
          <w:p w14:paraId="08A85526" w14:textId="77777777" w:rsidR="002922F7" w:rsidRDefault="002922F7" w:rsidP="002922F7">
            <w:pPr>
              <w:pStyle w:val="TabletextLeftTotal"/>
              <w:keepNext/>
            </w:pPr>
            <w:r w:rsidRPr="00EE0E71">
              <w:t>observed proportion</w:t>
            </w:r>
          </w:p>
        </w:tc>
        <w:tc>
          <w:tcPr>
            <w:tcW w:w="1301" w:type="dxa"/>
          </w:tcPr>
          <w:p w14:paraId="3CD75737" w14:textId="77777777" w:rsidR="002922F7" w:rsidRDefault="002922F7" w:rsidP="002922F7">
            <w:pPr>
              <w:pStyle w:val="TabletextCentre"/>
              <w:keepNext/>
            </w:pPr>
            <w:r w:rsidRPr="007826AF">
              <w:t>2.95%</w:t>
            </w:r>
          </w:p>
        </w:tc>
        <w:tc>
          <w:tcPr>
            <w:tcW w:w="1301" w:type="dxa"/>
          </w:tcPr>
          <w:p w14:paraId="2C39AC9A" w14:textId="77777777" w:rsidR="002922F7" w:rsidRDefault="002922F7" w:rsidP="002922F7">
            <w:pPr>
              <w:pStyle w:val="TabletextCentre"/>
              <w:keepNext/>
            </w:pPr>
            <w:r w:rsidRPr="007826AF">
              <w:t>4.33%</w:t>
            </w:r>
          </w:p>
        </w:tc>
        <w:tc>
          <w:tcPr>
            <w:tcW w:w="1309" w:type="dxa"/>
          </w:tcPr>
          <w:p w14:paraId="3B9F5EB2" w14:textId="77777777" w:rsidR="002922F7" w:rsidRDefault="002922F7" w:rsidP="002922F7">
            <w:pPr>
              <w:pStyle w:val="TabletextCentre"/>
              <w:keepNext/>
            </w:pPr>
            <w:r w:rsidRPr="007826AF">
              <w:t>4.13%</w:t>
            </w:r>
          </w:p>
        </w:tc>
        <w:tc>
          <w:tcPr>
            <w:tcW w:w="1302" w:type="dxa"/>
          </w:tcPr>
          <w:p w14:paraId="6C00A8D4" w14:textId="77777777" w:rsidR="002922F7" w:rsidRDefault="002922F7" w:rsidP="002922F7">
            <w:pPr>
              <w:pStyle w:val="TabletextCentre"/>
              <w:keepNext/>
            </w:pPr>
            <w:r w:rsidRPr="007826AF">
              <w:t>4.13%</w:t>
            </w:r>
          </w:p>
        </w:tc>
      </w:tr>
      <w:tr w:rsidR="002922F7" w14:paraId="19C9453B" w14:textId="77777777" w:rsidTr="002922F7">
        <w:tc>
          <w:tcPr>
            <w:tcW w:w="1092" w:type="dxa"/>
            <w:vMerge/>
          </w:tcPr>
          <w:p w14:paraId="3F7BF697" w14:textId="77777777" w:rsidR="002922F7" w:rsidRDefault="002922F7" w:rsidP="002922F7">
            <w:pPr>
              <w:keepNext/>
            </w:pPr>
          </w:p>
        </w:tc>
        <w:tc>
          <w:tcPr>
            <w:tcW w:w="1355" w:type="dxa"/>
            <w:vMerge/>
            <w:vAlign w:val="center"/>
          </w:tcPr>
          <w:p w14:paraId="11AFE822" w14:textId="77777777" w:rsidR="002922F7" w:rsidRDefault="002922F7" w:rsidP="002922F7">
            <w:pPr>
              <w:pStyle w:val="TabletextCentreTotal"/>
              <w:keepNext/>
            </w:pPr>
          </w:p>
        </w:tc>
        <w:tc>
          <w:tcPr>
            <w:tcW w:w="1366" w:type="dxa"/>
          </w:tcPr>
          <w:p w14:paraId="24691BB2" w14:textId="77777777" w:rsidR="002922F7" w:rsidRDefault="002922F7" w:rsidP="002922F7">
            <w:pPr>
              <w:pStyle w:val="TabletextLeftTotal"/>
              <w:keepNext/>
            </w:pPr>
            <w:r w:rsidRPr="00EE0E71">
              <w:t>expected proportion</w:t>
            </w:r>
          </w:p>
        </w:tc>
        <w:tc>
          <w:tcPr>
            <w:tcW w:w="1301" w:type="dxa"/>
          </w:tcPr>
          <w:p w14:paraId="6F58501B" w14:textId="77777777" w:rsidR="002922F7" w:rsidRDefault="002922F7" w:rsidP="002922F7">
            <w:pPr>
              <w:pStyle w:val="TabletextCentre"/>
              <w:keepNext/>
            </w:pPr>
            <w:r w:rsidRPr="007826AF">
              <w:t>3.43%</w:t>
            </w:r>
          </w:p>
        </w:tc>
        <w:tc>
          <w:tcPr>
            <w:tcW w:w="1301" w:type="dxa"/>
          </w:tcPr>
          <w:p w14:paraId="2A0610D9" w14:textId="77777777" w:rsidR="002922F7" w:rsidRDefault="002922F7" w:rsidP="002922F7">
            <w:pPr>
              <w:pStyle w:val="TabletextCentre"/>
              <w:keepNext/>
            </w:pPr>
            <w:r w:rsidRPr="007826AF">
              <w:t>4.22%</w:t>
            </w:r>
          </w:p>
        </w:tc>
        <w:tc>
          <w:tcPr>
            <w:tcW w:w="1309" w:type="dxa"/>
          </w:tcPr>
          <w:p w14:paraId="45C1242E" w14:textId="77777777" w:rsidR="002922F7" w:rsidRDefault="002922F7" w:rsidP="002922F7">
            <w:pPr>
              <w:pStyle w:val="TabletextCentre"/>
              <w:keepNext/>
            </w:pPr>
            <w:r w:rsidRPr="007826AF">
              <w:t>4.19%</w:t>
            </w:r>
          </w:p>
        </w:tc>
        <w:tc>
          <w:tcPr>
            <w:tcW w:w="1302" w:type="dxa"/>
          </w:tcPr>
          <w:p w14:paraId="1D95E044" w14:textId="77777777" w:rsidR="002922F7" w:rsidRDefault="002922F7" w:rsidP="002922F7">
            <w:pPr>
              <w:pStyle w:val="TabletextCentre"/>
              <w:keepNext/>
            </w:pPr>
            <w:r w:rsidRPr="007826AF">
              <w:t>3.70%</w:t>
            </w:r>
          </w:p>
        </w:tc>
      </w:tr>
      <w:tr w:rsidR="002922F7" w14:paraId="7C06890A" w14:textId="77777777" w:rsidTr="002922F7">
        <w:tc>
          <w:tcPr>
            <w:tcW w:w="1092" w:type="dxa"/>
            <w:vMerge/>
          </w:tcPr>
          <w:p w14:paraId="5971A892" w14:textId="77777777" w:rsidR="002922F7" w:rsidRDefault="002922F7" w:rsidP="002922F7">
            <w:pPr>
              <w:keepNext/>
            </w:pPr>
          </w:p>
        </w:tc>
        <w:tc>
          <w:tcPr>
            <w:tcW w:w="1355" w:type="dxa"/>
            <w:vMerge/>
            <w:vAlign w:val="center"/>
          </w:tcPr>
          <w:p w14:paraId="785CD575" w14:textId="77777777" w:rsidR="002922F7" w:rsidRDefault="002922F7" w:rsidP="002922F7">
            <w:pPr>
              <w:pStyle w:val="TabletextCentreTotal"/>
              <w:keepNext/>
            </w:pPr>
          </w:p>
        </w:tc>
        <w:tc>
          <w:tcPr>
            <w:tcW w:w="1366" w:type="dxa"/>
          </w:tcPr>
          <w:p w14:paraId="1C75E357" w14:textId="77777777" w:rsidR="002922F7" w:rsidRDefault="002922F7" w:rsidP="002922F7">
            <w:pPr>
              <w:pStyle w:val="TabletextLeftTotal"/>
              <w:keepNext/>
            </w:pPr>
            <w:r w:rsidRPr="00EE0E71">
              <w:t>p-value</w:t>
            </w:r>
          </w:p>
        </w:tc>
        <w:tc>
          <w:tcPr>
            <w:tcW w:w="1301" w:type="dxa"/>
          </w:tcPr>
          <w:p w14:paraId="719F4191" w14:textId="77777777" w:rsidR="002922F7" w:rsidRDefault="002922F7" w:rsidP="002922F7">
            <w:pPr>
              <w:pStyle w:val="TabletextCentre"/>
              <w:keepNext/>
            </w:pPr>
            <w:r w:rsidRPr="007826AF">
              <w:t>0.4753</w:t>
            </w:r>
          </w:p>
        </w:tc>
        <w:tc>
          <w:tcPr>
            <w:tcW w:w="1301" w:type="dxa"/>
          </w:tcPr>
          <w:p w14:paraId="05A34407" w14:textId="77777777" w:rsidR="002922F7" w:rsidRDefault="002922F7" w:rsidP="002922F7">
            <w:pPr>
              <w:pStyle w:val="TabletextCentre"/>
              <w:keepNext/>
            </w:pPr>
            <w:r w:rsidRPr="007826AF">
              <w:t>0.8820</w:t>
            </w:r>
          </w:p>
        </w:tc>
        <w:tc>
          <w:tcPr>
            <w:tcW w:w="1309" w:type="dxa"/>
          </w:tcPr>
          <w:p w14:paraId="637566D4" w14:textId="77777777" w:rsidR="002922F7" w:rsidRDefault="002922F7" w:rsidP="002922F7">
            <w:pPr>
              <w:pStyle w:val="TabletextCentre"/>
              <w:keepNext/>
            </w:pPr>
            <w:r w:rsidRPr="007826AF">
              <w:t>0.9329</w:t>
            </w:r>
          </w:p>
        </w:tc>
        <w:tc>
          <w:tcPr>
            <w:tcW w:w="1302" w:type="dxa"/>
          </w:tcPr>
          <w:p w14:paraId="29F6CC40" w14:textId="77777777" w:rsidR="002922F7" w:rsidRDefault="002922F7" w:rsidP="002922F7">
            <w:pPr>
              <w:pStyle w:val="TabletextCentre"/>
              <w:keepNext/>
            </w:pPr>
            <w:r w:rsidRPr="007826AF">
              <w:t>0.5304</w:t>
            </w:r>
          </w:p>
        </w:tc>
      </w:tr>
      <w:tr w:rsidR="002922F7" w14:paraId="19039AC0" w14:textId="77777777" w:rsidTr="002922F7">
        <w:tc>
          <w:tcPr>
            <w:tcW w:w="1092" w:type="dxa"/>
            <w:vMerge/>
          </w:tcPr>
          <w:p w14:paraId="21C44403" w14:textId="77777777" w:rsidR="002922F7" w:rsidRPr="00EE0E71" w:rsidRDefault="002922F7" w:rsidP="002922F7">
            <w:pPr>
              <w:keepNext/>
            </w:pPr>
          </w:p>
        </w:tc>
        <w:tc>
          <w:tcPr>
            <w:tcW w:w="1355" w:type="dxa"/>
            <w:vMerge w:val="restart"/>
            <w:vAlign w:val="center"/>
          </w:tcPr>
          <w:p w14:paraId="0171F8D7" w14:textId="77777777" w:rsidR="002922F7" w:rsidRDefault="002922F7" w:rsidP="002922F7">
            <w:pPr>
              <w:pStyle w:val="TabletextCentreTotal"/>
              <w:keepNext/>
            </w:pPr>
            <w:r w:rsidRPr="00EE0E71">
              <w:t>3rd quartile</w:t>
            </w:r>
          </w:p>
        </w:tc>
        <w:tc>
          <w:tcPr>
            <w:tcW w:w="1366" w:type="dxa"/>
          </w:tcPr>
          <w:p w14:paraId="0C640A1A" w14:textId="77777777" w:rsidR="002922F7" w:rsidRDefault="002922F7" w:rsidP="002922F7">
            <w:pPr>
              <w:pStyle w:val="TabletextLeftTotal"/>
              <w:keepNext/>
            </w:pPr>
            <w:r w:rsidRPr="00EE0E71">
              <w:t>observed proportion</w:t>
            </w:r>
          </w:p>
        </w:tc>
        <w:tc>
          <w:tcPr>
            <w:tcW w:w="1301" w:type="dxa"/>
          </w:tcPr>
          <w:p w14:paraId="74E4518C" w14:textId="77777777" w:rsidR="002922F7" w:rsidRDefault="002922F7" w:rsidP="002922F7">
            <w:pPr>
              <w:pStyle w:val="TabletextCentre"/>
              <w:keepNext/>
            </w:pPr>
            <w:r w:rsidRPr="007826AF">
              <w:t>6.69%</w:t>
            </w:r>
          </w:p>
        </w:tc>
        <w:tc>
          <w:tcPr>
            <w:tcW w:w="1301" w:type="dxa"/>
          </w:tcPr>
          <w:p w14:paraId="761965D9" w14:textId="77777777" w:rsidR="002922F7" w:rsidRDefault="002922F7" w:rsidP="002922F7">
            <w:pPr>
              <w:pStyle w:val="TabletextCentre"/>
              <w:keepNext/>
            </w:pPr>
            <w:r w:rsidRPr="007826AF">
              <w:t>9.06%</w:t>
            </w:r>
          </w:p>
        </w:tc>
        <w:tc>
          <w:tcPr>
            <w:tcW w:w="1309" w:type="dxa"/>
          </w:tcPr>
          <w:p w14:paraId="47653356" w14:textId="77777777" w:rsidR="002922F7" w:rsidRDefault="002922F7" w:rsidP="002922F7">
            <w:pPr>
              <w:pStyle w:val="TabletextCentre"/>
              <w:keepNext/>
            </w:pPr>
            <w:r w:rsidRPr="007826AF">
              <w:t>9.45%</w:t>
            </w:r>
          </w:p>
        </w:tc>
        <w:tc>
          <w:tcPr>
            <w:tcW w:w="1302" w:type="dxa"/>
          </w:tcPr>
          <w:p w14:paraId="106F4DAD" w14:textId="77777777" w:rsidR="002922F7" w:rsidRDefault="002922F7" w:rsidP="002922F7">
            <w:pPr>
              <w:pStyle w:val="TabletextCentre"/>
              <w:keepNext/>
            </w:pPr>
            <w:r w:rsidRPr="007826AF">
              <w:t>8.27%</w:t>
            </w:r>
          </w:p>
        </w:tc>
      </w:tr>
      <w:tr w:rsidR="002922F7" w14:paraId="5C6C47DB" w14:textId="77777777" w:rsidTr="002922F7">
        <w:tc>
          <w:tcPr>
            <w:tcW w:w="1092" w:type="dxa"/>
            <w:vMerge/>
          </w:tcPr>
          <w:p w14:paraId="3A54745E" w14:textId="77777777" w:rsidR="002922F7" w:rsidRDefault="002922F7" w:rsidP="002922F7">
            <w:pPr>
              <w:keepNext/>
            </w:pPr>
          </w:p>
        </w:tc>
        <w:tc>
          <w:tcPr>
            <w:tcW w:w="1355" w:type="dxa"/>
            <w:vMerge/>
            <w:vAlign w:val="center"/>
          </w:tcPr>
          <w:p w14:paraId="550111F7" w14:textId="77777777" w:rsidR="002922F7" w:rsidRDefault="002922F7" w:rsidP="002922F7">
            <w:pPr>
              <w:pStyle w:val="TabletextCentreTotal"/>
              <w:keepNext/>
            </w:pPr>
          </w:p>
        </w:tc>
        <w:tc>
          <w:tcPr>
            <w:tcW w:w="1366" w:type="dxa"/>
          </w:tcPr>
          <w:p w14:paraId="251B0613" w14:textId="77777777" w:rsidR="002922F7" w:rsidRDefault="002922F7" w:rsidP="002922F7">
            <w:pPr>
              <w:pStyle w:val="TabletextLeftTotal"/>
              <w:keepNext/>
            </w:pPr>
            <w:r w:rsidRPr="00EE0E71">
              <w:t>expected proportion</w:t>
            </w:r>
          </w:p>
        </w:tc>
        <w:tc>
          <w:tcPr>
            <w:tcW w:w="1301" w:type="dxa"/>
          </w:tcPr>
          <w:p w14:paraId="18C4DC79" w14:textId="77777777" w:rsidR="002922F7" w:rsidRDefault="002922F7" w:rsidP="002922F7">
            <w:pPr>
              <w:pStyle w:val="TabletextCentre"/>
              <w:keepNext/>
            </w:pPr>
            <w:r w:rsidRPr="007826AF">
              <w:t>7.38%</w:t>
            </w:r>
          </w:p>
        </w:tc>
        <w:tc>
          <w:tcPr>
            <w:tcW w:w="1301" w:type="dxa"/>
          </w:tcPr>
          <w:p w14:paraId="534AD211" w14:textId="77777777" w:rsidR="002922F7" w:rsidRDefault="002922F7" w:rsidP="002922F7">
            <w:pPr>
              <w:pStyle w:val="TabletextCentre"/>
              <w:keepNext/>
            </w:pPr>
            <w:r w:rsidRPr="007826AF">
              <w:t>9.09%</w:t>
            </w:r>
          </w:p>
        </w:tc>
        <w:tc>
          <w:tcPr>
            <w:tcW w:w="1309" w:type="dxa"/>
          </w:tcPr>
          <w:p w14:paraId="7869B448" w14:textId="77777777" w:rsidR="002922F7" w:rsidRDefault="002922F7" w:rsidP="002922F7">
            <w:pPr>
              <w:pStyle w:val="TabletextCentre"/>
              <w:keepNext/>
            </w:pPr>
            <w:r w:rsidRPr="007826AF">
              <w:t>9.02%</w:t>
            </w:r>
          </w:p>
        </w:tc>
        <w:tc>
          <w:tcPr>
            <w:tcW w:w="1302" w:type="dxa"/>
          </w:tcPr>
          <w:p w14:paraId="0A3633C2" w14:textId="77777777" w:rsidR="002922F7" w:rsidRDefault="002922F7" w:rsidP="002922F7">
            <w:pPr>
              <w:pStyle w:val="TabletextCentre"/>
              <w:keepNext/>
            </w:pPr>
            <w:r w:rsidRPr="007826AF">
              <w:t>7.97%</w:t>
            </w:r>
          </w:p>
        </w:tc>
      </w:tr>
      <w:tr w:rsidR="002922F7" w14:paraId="433EDF7F" w14:textId="77777777" w:rsidTr="002922F7">
        <w:tc>
          <w:tcPr>
            <w:tcW w:w="1092" w:type="dxa"/>
            <w:vMerge/>
          </w:tcPr>
          <w:p w14:paraId="410D871B" w14:textId="77777777" w:rsidR="002922F7" w:rsidRDefault="002922F7" w:rsidP="002922F7">
            <w:pPr>
              <w:keepNext/>
            </w:pPr>
          </w:p>
        </w:tc>
        <w:tc>
          <w:tcPr>
            <w:tcW w:w="1355" w:type="dxa"/>
            <w:vMerge/>
            <w:vAlign w:val="center"/>
          </w:tcPr>
          <w:p w14:paraId="3F04FBE3" w14:textId="77777777" w:rsidR="002922F7" w:rsidRDefault="002922F7" w:rsidP="002922F7">
            <w:pPr>
              <w:pStyle w:val="TabletextCentreTotal"/>
              <w:keepNext/>
            </w:pPr>
          </w:p>
        </w:tc>
        <w:tc>
          <w:tcPr>
            <w:tcW w:w="1366" w:type="dxa"/>
          </w:tcPr>
          <w:p w14:paraId="3D400E94" w14:textId="77777777" w:rsidR="002922F7" w:rsidRDefault="002922F7" w:rsidP="002922F7">
            <w:pPr>
              <w:pStyle w:val="TabletextLeftTotal"/>
              <w:keepNext/>
            </w:pPr>
            <w:r w:rsidRPr="00EE0E71">
              <w:t>p-value</w:t>
            </w:r>
          </w:p>
        </w:tc>
        <w:tc>
          <w:tcPr>
            <w:tcW w:w="1301" w:type="dxa"/>
          </w:tcPr>
          <w:p w14:paraId="5D7C18CF" w14:textId="77777777" w:rsidR="002922F7" w:rsidRDefault="002922F7" w:rsidP="002922F7">
            <w:pPr>
              <w:pStyle w:val="TabletextCentre"/>
              <w:keepNext/>
            </w:pPr>
            <w:r w:rsidRPr="007826AF">
              <w:t>0.4299</w:t>
            </w:r>
          </w:p>
        </w:tc>
        <w:tc>
          <w:tcPr>
            <w:tcW w:w="1301" w:type="dxa"/>
          </w:tcPr>
          <w:p w14:paraId="7CD09D41" w14:textId="77777777" w:rsidR="002922F7" w:rsidRDefault="002922F7" w:rsidP="002922F7">
            <w:pPr>
              <w:pStyle w:val="TabletextCentre"/>
              <w:keepNext/>
            </w:pPr>
            <w:r w:rsidRPr="007826AF">
              <w:t>0.9695</w:t>
            </w:r>
          </w:p>
        </w:tc>
        <w:tc>
          <w:tcPr>
            <w:tcW w:w="1309" w:type="dxa"/>
          </w:tcPr>
          <w:p w14:paraId="6A2DC192" w14:textId="77777777" w:rsidR="002922F7" w:rsidRDefault="002922F7" w:rsidP="002922F7">
            <w:pPr>
              <w:pStyle w:val="TabletextCentre"/>
              <w:keepNext/>
            </w:pPr>
            <w:r w:rsidRPr="007826AF">
              <w:t>0.6482</w:t>
            </w:r>
          </w:p>
        </w:tc>
        <w:tc>
          <w:tcPr>
            <w:tcW w:w="1302" w:type="dxa"/>
          </w:tcPr>
          <w:p w14:paraId="7867DAB9" w14:textId="77777777" w:rsidR="002922F7" w:rsidRDefault="002922F7" w:rsidP="002922F7">
            <w:pPr>
              <w:pStyle w:val="TabletextCentre"/>
              <w:keepNext/>
            </w:pPr>
            <w:r w:rsidRPr="007826AF">
              <w:t>0.7393</w:t>
            </w:r>
          </w:p>
        </w:tc>
      </w:tr>
      <w:tr w:rsidR="002922F7" w14:paraId="3C0BAF9B" w14:textId="77777777" w:rsidTr="002922F7">
        <w:tc>
          <w:tcPr>
            <w:tcW w:w="1092" w:type="dxa"/>
            <w:vMerge/>
          </w:tcPr>
          <w:p w14:paraId="5E10E161" w14:textId="77777777" w:rsidR="002922F7" w:rsidRPr="00EE0E71" w:rsidRDefault="002922F7" w:rsidP="002922F7">
            <w:pPr>
              <w:keepNext/>
            </w:pPr>
          </w:p>
        </w:tc>
        <w:tc>
          <w:tcPr>
            <w:tcW w:w="1355" w:type="dxa"/>
            <w:vMerge w:val="restart"/>
            <w:vAlign w:val="center"/>
          </w:tcPr>
          <w:p w14:paraId="48A322B3" w14:textId="77777777" w:rsidR="002922F7" w:rsidRDefault="002922F7" w:rsidP="002922F7">
            <w:pPr>
              <w:pStyle w:val="TabletextCentreTotal"/>
              <w:keepNext/>
            </w:pPr>
            <w:r w:rsidRPr="00EE0E71">
              <w:t>4th quartile</w:t>
            </w:r>
          </w:p>
        </w:tc>
        <w:tc>
          <w:tcPr>
            <w:tcW w:w="1366" w:type="dxa"/>
          </w:tcPr>
          <w:p w14:paraId="35770C69" w14:textId="77777777" w:rsidR="002922F7" w:rsidRDefault="002922F7" w:rsidP="002922F7">
            <w:pPr>
              <w:pStyle w:val="TabletextLeftTotal"/>
              <w:keepNext/>
            </w:pPr>
            <w:r w:rsidRPr="00EE0E71">
              <w:t>observed proportion</w:t>
            </w:r>
          </w:p>
        </w:tc>
        <w:tc>
          <w:tcPr>
            <w:tcW w:w="1301" w:type="dxa"/>
          </w:tcPr>
          <w:p w14:paraId="3323FAC0" w14:textId="77777777" w:rsidR="002922F7" w:rsidRDefault="002922F7" w:rsidP="002922F7">
            <w:pPr>
              <w:pStyle w:val="TabletextCentre"/>
              <w:keepNext/>
            </w:pPr>
            <w:r w:rsidRPr="007826AF">
              <w:t>6.89%</w:t>
            </w:r>
          </w:p>
        </w:tc>
        <w:tc>
          <w:tcPr>
            <w:tcW w:w="1301" w:type="dxa"/>
          </w:tcPr>
          <w:p w14:paraId="06577317" w14:textId="77777777" w:rsidR="002922F7" w:rsidRDefault="002922F7" w:rsidP="002922F7">
            <w:pPr>
              <w:pStyle w:val="TabletextCentre"/>
              <w:keepNext/>
            </w:pPr>
            <w:r w:rsidRPr="007826AF">
              <w:t>6.69%</w:t>
            </w:r>
          </w:p>
        </w:tc>
        <w:tc>
          <w:tcPr>
            <w:tcW w:w="1309" w:type="dxa"/>
          </w:tcPr>
          <w:p w14:paraId="63E6FCF0" w14:textId="77777777" w:rsidR="002922F7" w:rsidRDefault="002922F7" w:rsidP="002922F7">
            <w:pPr>
              <w:pStyle w:val="TabletextCentre"/>
              <w:keepNext/>
            </w:pPr>
            <w:r w:rsidRPr="007826AF">
              <w:t>7.48%</w:t>
            </w:r>
          </w:p>
        </w:tc>
        <w:tc>
          <w:tcPr>
            <w:tcW w:w="1302" w:type="dxa"/>
          </w:tcPr>
          <w:p w14:paraId="2F827D3F" w14:textId="77777777" w:rsidR="002922F7" w:rsidRDefault="002922F7" w:rsidP="002922F7">
            <w:pPr>
              <w:pStyle w:val="TabletextCentre"/>
              <w:keepNext/>
            </w:pPr>
            <w:r w:rsidRPr="007826AF">
              <w:t>4.92%</w:t>
            </w:r>
          </w:p>
        </w:tc>
      </w:tr>
      <w:tr w:rsidR="002922F7" w14:paraId="56C05D85" w14:textId="77777777" w:rsidTr="002922F7">
        <w:tc>
          <w:tcPr>
            <w:tcW w:w="1092" w:type="dxa"/>
            <w:vMerge/>
          </w:tcPr>
          <w:p w14:paraId="275C9F5B" w14:textId="77777777" w:rsidR="002922F7" w:rsidRDefault="002922F7" w:rsidP="002922F7">
            <w:pPr>
              <w:keepNext/>
            </w:pPr>
          </w:p>
        </w:tc>
        <w:tc>
          <w:tcPr>
            <w:tcW w:w="1355" w:type="dxa"/>
            <w:vMerge/>
          </w:tcPr>
          <w:p w14:paraId="275A3BEE" w14:textId="77777777" w:rsidR="002922F7" w:rsidRDefault="002922F7" w:rsidP="002922F7">
            <w:pPr>
              <w:pStyle w:val="TabletextCentreTotal"/>
              <w:keepNext/>
            </w:pPr>
          </w:p>
        </w:tc>
        <w:tc>
          <w:tcPr>
            <w:tcW w:w="1366" w:type="dxa"/>
          </w:tcPr>
          <w:p w14:paraId="4BB9D315" w14:textId="77777777" w:rsidR="002922F7" w:rsidRDefault="002922F7" w:rsidP="002922F7">
            <w:pPr>
              <w:pStyle w:val="TabletextLeftTotal"/>
              <w:keepNext/>
            </w:pPr>
            <w:r w:rsidRPr="00EE0E71">
              <w:t>expected proportion</w:t>
            </w:r>
          </w:p>
        </w:tc>
        <w:tc>
          <w:tcPr>
            <w:tcW w:w="1301" w:type="dxa"/>
          </w:tcPr>
          <w:p w14:paraId="32E39A41" w14:textId="77777777" w:rsidR="002922F7" w:rsidRDefault="002922F7" w:rsidP="002922F7">
            <w:pPr>
              <w:pStyle w:val="TabletextCentre"/>
              <w:keepNext/>
            </w:pPr>
            <w:r w:rsidRPr="007826AF">
              <w:t>5.73%</w:t>
            </w:r>
          </w:p>
        </w:tc>
        <w:tc>
          <w:tcPr>
            <w:tcW w:w="1301" w:type="dxa"/>
          </w:tcPr>
          <w:p w14:paraId="60A19058" w14:textId="77777777" w:rsidR="002922F7" w:rsidRDefault="002922F7" w:rsidP="002922F7">
            <w:pPr>
              <w:pStyle w:val="TabletextCentre"/>
              <w:keepNext/>
            </w:pPr>
            <w:r w:rsidRPr="007826AF">
              <w:t>7.06%</w:t>
            </w:r>
          </w:p>
        </w:tc>
        <w:tc>
          <w:tcPr>
            <w:tcW w:w="1309" w:type="dxa"/>
          </w:tcPr>
          <w:p w14:paraId="312B6CEA" w14:textId="77777777" w:rsidR="002922F7" w:rsidRDefault="002922F7" w:rsidP="002922F7">
            <w:pPr>
              <w:pStyle w:val="TabletextCentre"/>
              <w:keepNext/>
            </w:pPr>
            <w:r w:rsidRPr="007826AF">
              <w:t>7.01%</w:t>
            </w:r>
          </w:p>
        </w:tc>
        <w:tc>
          <w:tcPr>
            <w:tcW w:w="1302" w:type="dxa"/>
          </w:tcPr>
          <w:p w14:paraId="69FE2AE4" w14:textId="77777777" w:rsidR="002922F7" w:rsidRDefault="002922F7" w:rsidP="002922F7">
            <w:pPr>
              <w:pStyle w:val="TabletextCentre"/>
              <w:keepNext/>
            </w:pPr>
            <w:r w:rsidRPr="007826AF">
              <w:t>6.19%</w:t>
            </w:r>
          </w:p>
        </w:tc>
      </w:tr>
      <w:tr w:rsidR="002922F7" w14:paraId="05B84662" w14:textId="77777777" w:rsidTr="002922F7">
        <w:tc>
          <w:tcPr>
            <w:tcW w:w="1092" w:type="dxa"/>
            <w:vMerge/>
          </w:tcPr>
          <w:p w14:paraId="2CD0985A" w14:textId="77777777" w:rsidR="002922F7" w:rsidRDefault="002922F7" w:rsidP="002922F7">
            <w:pPr>
              <w:keepNext/>
            </w:pPr>
          </w:p>
        </w:tc>
        <w:tc>
          <w:tcPr>
            <w:tcW w:w="1355" w:type="dxa"/>
            <w:vMerge/>
          </w:tcPr>
          <w:p w14:paraId="597170C9" w14:textId="77777777" w:rsidR="002922F7" w:rsidRDefault="002922F7" w:rsidP="002922F7">
            <w:pPr>
              <w:pStyle w:val="TabletextCentreTotal"/>
              <w:keepNext/>
            </w:pPr>
          </w:p>
        </w:tc>
        <w:tc>
          <w:tcPr>
            <w:tcW w:w="1366" w:type="dxa"/>
          </w:tcPr>
          <w:p w14:paraId="7000C2C8" w14:textId="77777777" w:rsidR="002922F7" w:rsidRDefault="002922F7" w:rsidP="002922F7">
            <w:pPr>
              <w:pStyle w:val="TabletextLeftTotal"/>
              <w:keepNext/>
            </w:pPr>
            <w:r w:rsidRPr="00EE0E71">
              <w:t>p-value</w:t>
            </w:r>
          </w:p>
        </w:tc>
        <w:tc>
          <w:tcPr>
            <w:tcW w:w="1301" w:type="dxa"/>
          </w:tcPr>
          <w:p w14:paraId="683D64D8" w14:textId="77777777" w:rsidR="002922F7" w:rsidRDefault="002922F7" w:rsidP="002922F7">
            <w:pPr>
              <w:pStyle w:val="TabletextCentre"/>
              <w:keepNext/>
            </w:pPr>
            <w:r w:rsidRPr="007826AF">
              <w:t>0.1501</w:t>
            </w:r>
          </w:p>
        </w:tc>
        <w:tc>
          <w:tcPr>
            <w:tcW w:w="1301" w:type="dxa"/>
          </w:tcPr>
          <w:p w14:paraId="1652ABC8" w14:textId="77777777" w:rsidR="002922F7" w:rsidRDefault="002922F7" w:rsidP="002922F7">
            <w:pPr>
              <w:pStyle w:val="TabletextCentre"/>
              <w:keepNext/>
            </w:pPr>
            <w:r w:rsidRPr="007826AF">
              <w:t>0.6725</w:t>
            </w:r>
          </w:p>
        </w:tc>
        <w:tc>
          <w:tcPr>
            <w:tcW w:w="1309" w:type="dxa"/>
          </w:tcPr>
          <w:p w14:paraId="7C94CE0D" w14:textId="77777777" w:rsidR="002922F7" w:rsidRDefault="002922F7" w:rsidP="002922F7">
            <w:pPr>
              <w:pStyle w:val="TabletextCentre"/>
              <w:keepNext/>
            </w:pPr>
            <w:r w:rsidRPr="007826AF">
              <w:t>0.5841</w:t>
            </w:r>
          </w:p>
        </w:tc>
        <w:tc>
          <w:tcPr>
            <w:tcW w:w="1302" w:type="dxa"/>
          </w:tcPr>
          <w:p w14:paraId="73B1C3FA" w14:textId="77777777" w:rsidR="002922F7" w:rsidRDefault="002922F7" w:rsidP="002922F7">
            <w:pPr>
              <w:pStyle w:val="TabletextCentre"/>
              <w:keepNext/>
            </w:pPr>
            <w:r w:rsidRPr="007826AF">
              <w:t>0.1261</w:t>
            </w:r>
          </w:p>
        </w:tc>
      </w:tr>
    </w:tbl>
    <w:p w14:paraId="0970DB1F" w14:textId="77777777" w:rsidR="002922F7" w:rsidRDefault="002922F7" w:rsidP="002922F7"/>
    <w:p w14:paraId="4992EC9C" w14:textId="77777777" w:rsidR="002922F7" w:rsidRDefault="002922F7" w:rsidP="00400621">
      <w:pPr>
        <w:pStyle w:val="AppendixTableCaption"/>
        <w:numPr>
          <w:ilvl w:val="6"/>
          <w:numId w:val="11"/>
        </w:numPr>
      </w:pPr>
      <w:bookmarkStart w:id="300" w:name="_Toc40454707"/>
      <w:r>
        <w:lastRenderedPageBreak/>
        <w:t>Utilisation and span of control, cross</w:t>
      </w:r>
      <w:r>
        <w:noBreakHyphen/>
        <w:t>tabulated distribution</w:t>
      </w:r>
      <w:bookmarkEnd w:id="300"/>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3DF847E5"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248BE6EE" w14:textId="77777777" w:rsidR="002922F7" w:rsidRDefault="002922F7" w:rsidP="002922F7">
            <w:pPr>
              <w:keepNext/>
            </w:pPr>
          </w:p>
        </w:tc>
        <w:tc>
          <w:tcPr>
            <w:tcW w:w="1355" w:type="dxa"/>
          </w:tcPr>
          <w:p w14:paraId="2626EC2A" w14:textId="77777777" w:rsidR="002922F7" w:rsidRDefault="002922F7" w:rsidP="002922F7">
            <w:pPr>
              <w:keepNext/>
            </w:pPr>
          </w:p>
        </w:tc>
        <w:tc>
          <w:tcPr>
            <w:tcW w:w="1366" w:type="dxa"/>
          </w:tcPr>
          <w:p w14:paraId="3E3EC779" w14:textId="77777777" w:rsidR="002922F7" w:rsidRDefault="002922F7" w:rsidP="002922F7">
            <w:pPr>
              <w:keepNext/>
            </w:pPr>
          </w:p>
        </w:tc>
        <w:tc>
          <w:tcPr>
            <w:tcW w:w="5213" w:type="dxa"/>
            <w:gridSpan w:val="4"/>
          </w:tcPr>
          <w:p w14:paraId="097739FD" w14:textId="77777777" w:rsidR="002922F7" w:rsidRDefault="002922F7" w:rsidP="002922F7">
            <w:pPr>
              <w:pStyle w:val="TableHeadingCentre"/>
              <w:keepNext/>
            </w:pPr>
            <w:r>
              <w:t>Span of control</w:t>
            </w:r>
          </w:p>
        </w:tc>
      </w:tr>
      <w:tr w:rsidR="002922F7" w14:paraId="0A5E8B45" w14:textId="77777777" w:rsidTr="002922F7">
        <w:tc>
          <w:tcPr>
            <w:tcW w:w="1092" w:type="dxa"/>
          </w:tcPr>
          <w:p w14:paraId="78EB03BD" w14:textId="77777777" w:rsidR="002922F7" w:rsidRDefault="002922F7" w:rsidP="002922F7">
            <w:pPr>
              <w:keepNext/>
            </w:pPr>
          </w:p>
        </w:tc>
        <w:tc>
          <w:tcPr>
            <w:tcW w:w="1355" w:type="dxa"/>
          </w:tcPr>
          <w:p w14:paraId="6AFB6AE9" w14:textId="77777777" w:rsidR="002922F7" w:rsidRDefault="002922F7" w:rsidP="002922F7">
            <w:pPr>
              <w:keepNext/>
            </w:pPr>
          </w:p>
        </w:tc>
        <w:tc>
          <w:tcPr>
            <w:tcW w:w="1366" w:type="dxa"/>
          </w:tcPr>
          <w:p w14:paraId="4A415339" w14:textId="77777777" w:rsidR="002922F7" w:rsidRDefault="002922F7" w:rsidP="002922F7">
            <w:pPr>
              <w:keepNext/>
            </w:pPr>
          </w:p>
        </w:tc>
        <w:tc>
          <w:tcPr>
            <w:tcW w:w="1301" w:type="dxa"/>
          </w:tcPr>
          <w:p w14:paraId="47227ECF" w14:textId="77777777" w:rsidR="002922F7" w:rsidRDefault="002922F7" w:rsidP="002922F7">
            <w:pPr>
              <w:pStyle w:val="TabletextCentreTotal"/>
              <w:keepNext/>
              <w:jc w:val="left"/>
            </w:pPr>
            <w:r w:rsidRPr="00EE0E71">
              <w:t>1st quartile</w:t>
            </w:r>
          </w:p>
        </w:tc>
        <w:tc>
          <w:tcPr>
            <w:tcW w:w="1301" w:type="dxa"/>
          </w:tcPr>
          <w:p w14:paraId="1167A185" w14:textId="77777777" w:rsidR="002922F7" w:rsidRDefault="002922F7" w:rsidP="002922F7">
            <w:pPr>
              <w:pStyle w:val="TabletextCentreTotal"/>
              <w:keepNext/>
            </w:pPr>
            <w:r w:rsidRPr="00EE0E71">
              <w:t>2nd quartile</w:t>
            </w:r>
          </w:p>
        </w:tc>
        <w:tc>
          <w:tcPr>
            <w:tcW w:w="1309" w:type="dxa"/>
          </w:tcPr>
          <w:p w14:paraId="4FAC2862" w14:textId="77777777" w:rsidR="002922F7" w:rsidRDefault="002922F7" w:rsidP="002922F7">
            <w:pPr>
              <w:pStyle w:val="TabletextCentreTotal"/>
              <w:keepNext/>
            </w:pPr>
            <w:r w:rsidRPr="00EE0E71">
              <w:t>3rd quartile</w:t>
            </w:r>
          </w:p>
        </w:tc>
        <w:tc>
          <w:tcPr>
            <w:tcW w:w="1302" w:type="dxa"/>
          </w:tcPr>
          <w:p w14:paraId="1A9612DE" w14:textId="77777777" w:rsidR="002922F7" w:rsidRDefault="002922F7" w:rsidP="002922F7">
            <w:pPr>
              <w:pStyle w:val="TabletextCentreTotal"/>
              <w:keepNext/>
              <w:jc w:val="right"/>
            </w:pPr>
            <w:r w:rsidRPr="00EE0E71">
              <w:t>4th quartile</w:t>
            </w:r>
          </w:p>
        </w:tc>
      </w:tr>
      <w:tr w:rsidR="002922F7" w14:paraId="6AADFDC1" w14:textId="77777777" w:rsidTr="002922F7">
        <w:tc>
          <w:tcPr>
            <w:tcW w:w="1092" w:type="dxa"/>
            <w:vMerge w:val="restart"/>
            <w:textDirection w:val="btLr"/>
          </w:tcPr>
          <w:p w14:paraId="68118784" w14:textId="77777777" w:rsidR="002922F7" w:rsidRPr="00EE0E71" w:rsidRDefault="002922F7" w:rsidP="002922F7">
            <w:pPr>
              <w:pStyle w:val="TableHeadingCentre"/>
              <w:keepNext/>
            </w:pPr>
            <w:r>
              <w:t>Utilisation</w:t>
            </w:r>
          </w:p>
        </w:tc>
        <w:tc>
          <w:tcPr>
            <w:tcW w:w="1355" w:type="dxa"/>
            <w:vMerge w:val="restart"/>
            <w:vAlign w:val="center"/>
          </w:tcPr>
          <w:p w14:paraId="0388CEAA" w14:textId="77777777" w:rsidR="002922F7" w:rsidRDefault="002922F7" w:rsidP="002922F7">
            <w:pPr>
              <w:pStyle w:val="TabletextCentreTotal"/>
              <w:keepNext/>
            </w:pPr>
            <w:r w:rsidRPr="00EE0E71">
              <w:t>1st quartile</w:t>
            </w:r>
          </w:p>
        </w:tc>
        <w:tc>
          <w:tcPr>
            <w:tcW w:w="1366" w:type="dxa"/>
          </w:tcPr>
          <w:p w14:paraId="326CFEF7" w14:textId="77777777" w:rsidR="002922F7" w:rsidRDefault="002922F7" w:rsidP="002922F7">
            <w:pPr>
              <w:pStyle w:val="TabletextLeftTotal"/>
              <w:keepNext/>
            </w:pPr>
            <w:r w:rsidRPr="00EE0E71">
              <w:t>observed proportion</w:t>
            </w:r>
          </w:p>
        </w:tc>
        <w:tc>
          <w:tcPr>
            <w:tcW w:w="1301" w:type="dxa"/>
          </w:tcPr>
          <w:p w14:paraId="1A7E0DD8" w14:textId="77777777" w:rsidR="002922F7" w:rsidRDefault="002922F7" w:rsidP="002922F7">
            <w:pPr>
              <w:pStyle w:val="TabletextCentre"/>
              <w:keepNext/>
            </w:pPr>
            <w:r w:rsidRPr="009A6F3C">
              <w:t>7.46%</w:t>
            </w:r>
          </w:p>
        </w:tc>
        <w:tc>
          <w:tcPr>
            <w:tcW w:w="1301" w:type="dxa"/>
          </w:tcPr>
          <w:p w14:paraId="70E5CF36" w14:textId="77777777" w:rsidR="002922F7" w:rsidRDefault="002922F7" w:rsidP="002922F7">
            <w:pPr>
              <w:pStyle w:val="TabletextCentre"/>
              <w:keepNext/>
            </w:pPr>
            <w:r w:rsidRPr="009A6F3C">
              <w:t>7.06%</w:t>
            </w:r>
          </w:p>
        </w:tc>
        <w:tc>
          <w:tcPr>
            <w:tcW w:w="1309" w:type="dxa"/>
          </w:tcPr>
          <w:p w14:paraId="3B4B5037" w14:textId="77777777" w:rsidR="002922F7" w:rsidRDefault="002922F7" w:rsidP="002922F7">
            <w:pPr>
              <w:pStyle w:val="TabletextCentre"/>
              <w:keepNext/>
            </w:pPr>
            <w:r w:rsidRPr="009A6F3C">
              <w:t>4.64%</w:t>
            </w:r>
          </w:p>
        </w:tc>
        <w:tc>
          <w:tcPr>
            <w:tcW w:w="1302" w:type="dxa"/>
          </w:tcPr>
          <w:p w14:paraId="535122B9" w14:textId="77777777" w:rsidR="002922F7" w:rsidRDefault="002922F7" w:rsidP="002922F7">
            <w:pPr>
              <w:pStyle w:val="TabletextCentre"/>
              <w:keepNext/>
            </w:pPr>
            <w:r w:rsidRPr="009A6F3C">
              <w:t>5.04%</w:t>
            </w:r>
          </w:p>
        </w:tc>
      </w:tr>
      <w:tr w:rsidR="002922F7" w14:paraId="5B8725E3" w14:textId="77777777" w:rsidTr="002922F7">
        <w:tc>
          <w:tcPr>
            <w:tcW w:w="1092" w:type="dxa"/>
            <w:vMerge/>
          </w:tcPr>
          <w:p w14:paraId="2FECBA31" w14:textId="77777777" w:rsidR="002922F7" w:rsidRDefault="002922F7" w:rsidP="002922F7">
            <w:pPr>
              <w:keepNext/>
            </w:pPr>
          </w:p>
        </w:tc>
        <w:tc>
          <w:tcPr>
            <w:tcW w:w="1355" w:type="dxa"/>
            <w:vMerge/>
            <w:vAlign w:val="center"/>
          </w:tcPr>
          <w:p w14:paraId="27AFC4EA" w14:textId="77777777" w:rsidR="002922F7" w:rsidRDefault="002922F7" w:rsidP="002922F7">
            <w:pPr>
              <w:pStyle w:val="TabletextCentreTotal"/>
              <w:keepNext/>
            </w:pPr>
          </w:p>
        </w:tc>
        <w:tc>
          <w:tcPr>
            <w:tcW w:w="1366" w:type="dxa"/>
          </w:tcPr>
          <w:p w14:paraId="1D221A0E" w14:textId="77777777" w:rsidR="002922F7" w:rsidRDefault="002922F7" w:rsidP="002922F7">
            <w:pPr>
              <w:pStyle w:val="TabletextLeftTotal"/>
              <w:keepNext/>
            </w:pPr>
            <w:r w:rsidRPr="00EE0E71">
              <w:t>expected proportion</w:t>
            </w:r>
          </w:p>
        </w:tc>
        <w:tc>
          <w:tcPr>
            <w:tcW w:w="1301" w:type="dxa"/>
          </w:tcPr>
          <w:p w14:paraId="404E44C8" w14:textId="77777777" w:rsidR="002922F7" w:rsidRDefault="002922F7" w:rsidP="002922F7">
            <w:pPr>
              <w:pStyle w:val="TabletextCentre"/>
              <w:keepNext/>
            </w:pPr>
            <w:r w:rsidRPr="009A6F3C">
              <w:t>4.54%</w:t>
            </w:r>
          </w:p>
        </w:tc>
        <w:tc>
          <w:tcPr>
            <w:tcW w:w="1301" w:type="dxa"/>
          </w:tcPr>
          <w:p w14:paraId="15B18141" w14:textId="77777777" w:rsidR="002922F7" w:rsidRDefault="002922F7" w:rsidP="002922F7">
            <w:pPr>
              <w:pStyle w:val="TabletextCentre"/>
              <w:keepNext/>
            </w:pPr>
            <w:r w:rsidRPr="009A6F3C">
              <w:t>6.63%</w:t>
            </w:r>
          </w:p>
        </w:tc>
        <w:tc>
          <w:tcPr>
            <w:tcW w:w="1309" w:type="dxa"/>
          </w:tcPr>
          <w:p w14:paraId="55B850DC" w14:textId="77777777" w:rsidR="002922F7" w:rsidRDefault="002922F7" w:rsidP="002922F7">
            <w:pPr>
              <w:pStyle w:val="TabletextCentre"/>
              <w:keepNext/>
            </w:pPr>
            <w:r w:rsidRPr="009A6F3C">
              <w:t>6.15%</w:t>
            </w:r>
          </w:p>
        </w:tc>
        <w:tc>
          <w:tcPr>
            <w:tcW w:w="1302" w:type="dxa"/>
          </w:tcPr>
          <w:p w14:paraId="1B02F53F" w14:textId="77777777" w:rsidR="002922F7" w:rsidRDefault="002922F7" w:rsidP="002922F7">
            <w:pPr>
              <w:pStyle w:val="TabletextCentre"/>
              <w:keepNext/>
            </w:pPr>
            <w:r w:rsidRPr="009A6F3C">
              <w:t>6.88%</w:t>
            </w:r>
          </w:p>
        </w:tc>
      </w:tr>
      <w:tr w:rsidR="002922F7" w14:paraId="654E0ECB" w14:textId="77777777" w:rsidTr="002922F7">
        <w:tc>
          <w:tcPr>
            <w:tcW w:w="1092" w:type="dxa"/>
            <w:vMerge/>
          </w:tcPr>
          <w:p w14:paraId="6AC5518D" w14:textId="77777777" w:rsidR="002922F7" w:rsidRDefault="002922F7" w:rsidP="002922F7">
            <w:pPr>
              <w:keepNext/>
            </w:pPr>
          </w:p>
        </w:tc>
        <w:tc>
          <w:tcPr>
            <w:tcW w:w="1355" w:type="dxa"/>
            <w:vMerge/>
            <w:vAlign w:val="center"/>
          </w:tcPr>
          <w:p w14:paraId="2ED67121" w14:textId="77777777" w:rsidR="002922F7" w:rsidRDefault="002922F7" w:rsidP="002922F7">
            <w:pPr>
              <w:pStyle w:val="TabletextCentreTotal"/>
              <w:keepNext/>
            </w:pPr>
          </w:p>
        </w:tc>
        <w:tc>
          <w:tcPr>
            <w:tcW w:w="1366" w:type="dxa"/>
          </w:tcPr>
          <w:p w14:paraId="73BECFD5" w14:textId="77777777" w:rsidR="002922F7" w:rsidRDefault="002922F7" w:rsidP="002922F7">
            <w:pPr>
              <w:pStyle w:val="TabletextLeftTotal"/>
              <w:keepNext/>
            </w:pPr>
            <w:r w:rsidRPr="00EE0E71">
              <w:t>p-value</w:t>
            </w:r>
          </w:p>
        </w:tc>
        <w:tc>
          <w:tcPr>
            <w:tcW w:w="1301" w:type="dxa"/>
            <w:shd w:val="clear" w:color="auto" w:fill="000000" w:themeFill="text1"/>
          </w:tcPr>
          <w:p w14:paraId="7A381E34" w14:textId="77777777" w:rsidR="002922F7" w:rsidRPr="001F26A1" w:rsidRDefault="002922F7" w:rsidP="002922F7">
            <w:pPr>
              <w:pStyle w:val="TabletextCentre"/>
              <w:keepNext/>
              <w:rPr>
                <w:color w:val="FFFFFF" w:themeColor="background1"/>
              </w:rPr>
            </w:pPr>
            <w:r w:rsidRPr="001F26A1">
              <w:rPr>
                <w:color w:val="FFFFFF" w:themeColor="background1"/>
              </w:rPr>
              <w:t>0.0001</w:t>
            </w:r>
          </w:p>
        </w:tc>
        <w:tc>
          <w:tcPr>
            <w:tcW w:w="1301" w:type="dxa"/>
          </w:tcPr>
          <w:p w14:paraId="55EBAC99" w14:textId="77777777" w:rsidR="002922F7" w:rsidRDefault="002922F7" w:rsidP="002922F7">
            <w:pPr>
              <w:pStyle w:val="TabletextCentre"/>
              <w:keepNext/>
            </w:pPr>
            <w:r w:rsidRPr="009A6F3C">
              <w:t>0.6222</w:t>
            </w:r>
          </w:p>
        </w:tc>
        <w:tc>
          <w:tcPr>
            <w:tcW w:w="1309" w:type="dxa"/>
          </w:tcPr>
          <w:p w14:paraId="4D493F39" w14:textId="77777777" w:rsidR="002922F7" w:rsidRDefault="002922F7" w:rsidP="002922F7">
            <w:pPr>
              <w:pStyle w:val="TabletextCentre"/>
              <w:keepNext/>
            </w:pPr>
            <w:r w:rsidRPr="009A6F3C">
              <w:t>0.0715</w:t>
            </w:r>
          </w:p>
        </w:tc>
        <w:tc>
          <w:tcPr>
            <w:tcW w:w="1302" w:type="dxa"/>
          </w:tcPr>
          <w:p w14:paraId="0E0B5F27" w14:textId="77777777" w:rsidR="002922F7" w:rsidRDefault="002922F7" w:rsidP="002922F7">
            <w:pPr>
              <w:pStyle w:val="TabletextCentre"/>
              <w:keepNext/>
            </w:pPr>
            <w:r w:rsidRPr="009A6F3C">
              <w:t>0.0342</w:t>
            </w:r>
          </w:p>
        </w:tc>
      </w:tr>
      <w:tr w:rsidR="002922F7" w14:paraId="0BFA40B3" w14:textId="77777777" w:rsidTr="002922F7">
        <w:tc>
          <w:tcPr>
            <w:tcW w:w="1092" w:type="dxa"/>
            <w:vMerge/>
          </w:tcPr>
          <w:p w14:paraId="7E9A615A" w14:textId="77777777" w:rsidR="002922F7" w:rsidRPr="00EE0E71" w:rsidRDefault="002922F7" w:rsidP="002922F7">
            <w:pPr>
              <w:keepNext/>
            </w:pPr>
          </w:p>
        </w:tc>
        <w:tc>
          <w:tcPr>
            <w:tcW w:w="1355" w:type="dxa"/>
            <w:vMerge w:val="restart"/>
            <w:vAlign w:val="center"/>
          </w:tcPr>
          <w:p w14:paraId="0395B136" w14:textId="77777777" w:rsidR="002922F7" w:rsidRDefault="002922F7" w:rsidP="002922F7">
            <w:pPr>
              <w:pStyle w:val="TabletextCentreTotal"/>
              <w:keepNext/>
            </w:pPr>
            <w:r w:rsidRPr="00EE0E71">
              <w:t>2nd quartile</w:t>
            </w:r>
          </w:p>
        </w:tc>
        <w:tc>
          <w:tcPr>
            <w:tcW w:w="1366" w:type="dxa"/>
          </w:tcPr>
          <w:p w14:paraId="20BC0D4E" w14:textId="77777777" w:rsidR="002922F7" w:rsidRDefault="002922F7" w:rsidP="002922F7">
            <w:pPr>
              <w:pStyle w:val="TabletextLeftTotal"/>
              <w:keepNext/>
            </w:pPr>
            <w:r w:rsidRPr="00EE0E71">
              <w:t>observed proportion</w:t>
            </w:r>
          </w:p>
        </w:tc>
        <w:tc>
          <w:tcPr>
            <w:tcW w:w="1301" w:type="dxa"/>
          </w:tcPr>
          <w:p w14:paraId="69573503" w14:textId="77777777" w:rsidR="002922F7" w:rsidRDefault="002922F7" w:rsidP="002922F7">
            <w:pPr>
              <w:pStyle w:val="TabletextCentre"/>
              <w:keepNext/>
            </w:pPr>
            <w:r w:rsidRPr="009A6F3C">
              <w:t>4.23%</w:t>
            </w:r>
          </w:p>
        </w:tc>
        <w:tc>
          <w:tcPr>
            <w:tcW w:w="1301" w:type="dxa"/>
          </w:tcPr>
          <w:p w14:paraId="51999F76" w14:textId="77777777" w:rsidR="002922F7" w:rsidRDefault="002922F7" w:rsidP="002922F7">
            <w:pPr>
              <w:pStyle w:val="TabletextCentre"/>
              <w:keepNext/>
            </w:pPr>
            <w:r w:rsidRPr="009A6F3C">
              <w:t>4.84%</w:t>
            </w:r>
          </w:p>
        </w:tc>
        <w:tc>
          <w:tcPr>
            <w:tcW w:w="1309" w:type="dxa"/>
          </w:tcPr>
          <w:p w14:paraId="0D8756E0" w14:textId="77777777" w:rsidR="002922F7" w:rsidRDefault="002922F7" w:rsidP="002922F7">
            <w:pPr>
              <w:pStyle w:val="TabletextCentre"/>
              <w:keepNext/>
            </w:pPr>
            <w:r w:rsidRPr="009A6F3C">
              <w:t>3.63%</w:t>
            </w:r>
          </w:p>
        </w:tc>
        <w:tc>
          <w:tcPr>
            <w:tcW w:w="1302" w:type="dxa"/>
          </w:tcPr>
          <w:p w14:paraId="1C1C7D29" w14:textId="77777777" w:rsidR="002922F7" w:rsidRDefault="002922F7" w:rsidP="002922F7">
            <w:pPr>
              <w:pStyle w:val="TabletextCentre"/>
              <w:keepNext/>
            </w:pPr>
            <w:r w:rsidRPr="009A6F3C">
              <w:t>3.02%</w:t>
            </w:r>
          </w:p>
        </w:tc>
      </w:tr>
      <w:tr w:rsidR="002922F7" w14:paraId="7D58F4FD" w14:textId="77777777" w:rsidTr="002922F7">
        <w:tc>
          <w:tcPr>
            <w:tcW w:w="1092" w:type="dxa"/>
            <w:vMerge/>
          </w:tcPr>
          <w:p w14:paraId="1A90CC5A" w14:textId="77777777" w:rsidR="002922F7" w:rsidRDefault="002922F7" w:rsidP="002922F7">
            <w:pPr>
              <w:keepNext/>
            </w:pPr>
          </w:p>
        </w:tc>
        <w:tc>
          <w:tcPr>
            <w:tcW w:w="1355" w:type="dxa"/>
            <w:vMerge/>
            <w:vAlign w:val="center"/>
          </w:tcPr>
          <w:p w14:paraId="3FFC4A73" w14:textId="77777777" w:rsidR="002922F7" w:rsidRDefault="002922F7" w:rsidP="002922F7">
            <w:pPr>
              <w:pStyle w:val="TabletextCentreTotal"/>
              <w:keepNext/>
            </w:pPr>
          </w:p>
        </w:tc>
        <w:tc>
          <w:tcPr>
            <w:tcW w:w="1366" w:type="dxa"/>
          </w:tcPr>
          <w:p w14:paraId="4CC0E8A1" w14:textId="77777777" w:rsidR="002922F7" w:rsidRDefault="002922F7" w:rsidP="002922F7">
            <w:pPr>
              <w:pStyle w:val="TabletextLeftTotal"/>
              <w:keepNext/>
            </w:pPr>
            <w:r w:rsidRPr="00EE0E71">
              <w:t>expected proportion</w:t>
            </w:r>
          </w:p>
        </w:tc>
        <w:tc>
          <w:tcPr>
            <w:tcW w:w="1301" w:type="dxa"/>
          </w:tcPr>
          <w:p w14:paraId="1FA953F0" w14:textId="77777777" w:rsidR="002922F7" w:rsidRDefault="002922F7" w:rsidP="002922F7">
            <w:pPr>
              <w:pStyle w:val="TabletextCentre"/>
              <w:keepNext/>
            </w:pPr>
            <w:r w:rsidRPr="009A6F3C">
              <w:t>2.95%</w:t>
            </w:r>
          </w:p>
        </w:tc>
        <w:tc>
          <w:tcPr>
            <w:tcW w:w="1301" w:type="dxa"/>
          </w:tcPr>
          <w:p w14:paraId="3E05E3CC" w14:textId="77777777" w:rsidR="002922F7" w:rsidRDefault="002922F7" w:rsidP="002922F7">
            <w:pPr>
              <w:pStyle w:val="TabletextCentre"/>
              <w:keepNext/>
            </w:pPr>
            <w:r w:rsidRPr="009A6F3C">
              <w:t>4.31%</w:t>
            </w:r>
          </w:p>
        </w:tc>
        <w:tc>
          <w:tcPr>
            <w:tcW w:w="1309" w:type="dxa"/>
          </w:tcPr>
          <w:p w14:paraId="0300D923" w14:textId="77777777" w:rsidR="002922F7" w:rsidRDefault="002922F7" w:rsidP="002922F7">
            <w:pPr>
              <w:pStyle w:val="TabletextCentre"/>
              <w:keepNext/>
            </w:pPr>
            <w:r w:rsidRPr="009A6F3C">
              <w:t>3.99%</w:t>
            </w:r>
          </w:p>
        </w:tc>
        <w:tc>
          <w:tcPr>
            <w:tcW w:w="1302" w:type="dxa"/>
          </w:tcPr>
          <w:p w14:paraId="5296C6E4" w14:textId="77777777" w:rsidR="002922F7" w:rsidRDefault="002922F7" w:rsidP="002922F7">
            <w:pPr>
              <w:pStyle w:val="TabletextCentre"/>
              <w:keepNext/>
            </w:pPr>
            <w:r w:rsidRPr="009A6F3C">
              <w:t>4.47%</w:t>
            </w:r>
          </w:p>
        </w:tc>
      </w:tr>
      <w:tr w:rsidR="002922F7" w14:paraId="5C872D4B" w14:textId="77777777" w:rsidTr="002922F7">
        <w:tc>
          <w:tcPr>
            <w:tcW w:w="1092" w:type="dxa"/>
            <w:vMerge/>
          </w:tcPr>
          <w:p w14:paraId="58BB8EC9" w14:textId="77777777" w:rsidR="002922F7" w:rsidRDefault="002922F7" w:rsidP="002922F7">
            <w:pPr>
              <w:keepNext/>
            </w:pPr>
          </w:p>
        </w:tc>
        <w:tc>
          <w:tcPr>
            <w:tcW w:w="1355" w:type="dxa"/>
            <w:vMerge/>
            <w:vAlign w:val="center"/>
          </w:tcPr>
          <w:p w14:paraId="2E619F0B" w14:textId="77777777" w:rsidR="002922F7" w:rsidRDefault="002922F7" w:rsidP="002922F7">
            <w:pPr>
              <w:pStyle w:val="TabletextCentreTotal"/>
              <w:keepNext/>
            </w:pPr>
          </w:p>
        </w:tc>
        <w:tc>
          <w:tcPr>
            <w:tcW w:w="1366" w:type="dxa"/>
          </w:tcPr>
          <w:p w14:paraId="721F43A8" w14:textId="77777777" w:rsidR="002922F7" w:rsidRDefault="002922F7" w:rsidP="002922F7">
            <w:pPr>
              <w:pStyle w:val="TabletextLeftTotal"/>
              <w:keepNext/>
            </w:pPr>
            <w:r w:rsidRPr="00EE0E71">
              <w:t>p-value</w:t>
            </w:r>
          </w:p>
        </w:tc>
        <w:tc>
          <w:tcPr>
            <w:tcW w:w="1301" w:type="dxa"/>
          </w:tcPr>
          <w:p w14:paraId="34737BFE" w14:textId="77777777" w:rsidR="002922F7" w:rsidRDefault="002922F7" w:rsidP="002922F7">
            <w:pPr>
              <w:pStyle w:val="TabletextCentre"/>
              <w:keepNext/>
            </w:pPr>
            <w:r w:rsidRPr="009A6F3C">
              <w:t>0.0440</w:t>
            </w:r>
          </w:p>
        </w:tc>
        <w:tc>
          <w:tcPr>
            <w:tcW w:w="1301" w:type="dxa"/>
          </w:tcPr>
          <w:p w14:paraId="4D6891C5" w14:textId="77777777" w:rsidR="002922F7" w:rsidRDefault="002922F7" w:rsidP="002922F7">
            <w:pPr>
              <w:pStyle w:val="TabletextCentre"/>
              <w:keepNext/>
            </w:pPr>
            <w:r w:rsidRPr="009A6F3C">
              <w:t>0.4700</w:t>
            </w:r>
          </w:p>
        </w:tc>
        <w:tc>
          <w:tcPr>
            <w:tcW w:w="1309" w:type="dxa"/>
          </w:tcPr>
          <w:p w14:paraId="3FAD0BE2" w14:textId="77777777" w:rsidR="002922F7" w:rsidRDefault="002922F7" w:rsidP="002922F7">
            <w:pPr>
              <w:pStyle w:val="TabletextCentre"/>
              <w:keepNext/>
            </w:pPr>
            <w:r w:rsidRPr="009A6F3C">
              <w:t>0.6072</w:t>
            </w:r>
          </w:p>
        </w:tc>
        <w:tc>
          <w:tcPr>
            <w:tcW w:w="1302" w:type="dxa"/>
          </w:tcPr>
          <w:p w14:paraId="6CADA45B" w14:textId="77777777" w:rsidR="002922F7" w:rsidRDefault="002922F7" w:rsidP="002922F7">
            <w:pPr>
              <w:pStyle w:val="TabletextCentre"/>
              <w:keepNext/>
            </w:pPr>
            <w:r w:rsidRPr="009A6F3C">
              <w:t>0.0498</w:t>
            </w:r>
          </w:p>
        </w:tc>
      </w:tr>
      <w:tr w:rsidR="002922F7" w14:paraId="65226E2F" w14:textId="77777777" w:rsidTr="002922F7">
        <w:tc>
          <w:tcPr>
            <w:tcW w:w="1092" w:type="dxa"/>
            <w:vMerge/>
          </w:tcPr>
          <w:p w14:paraId="48E1885D" w14:textId="77777777" w:rsidR="002922F7" w:rsidRPr="00EE0E71" w:rsidRDefault="002922F7" w:rsidP="002922F7">
            <w:pPr>
              <w:keepNext/>
            </w:pPr>
          </w:p>
        </w:tc>
        <w:tc>
          <w:tcPr>
            <w:tcW w:w="1355" w:type="dxa"/>
            <w:vMerge w:val="restart"/>
            <w:vAlign w:val="center"/>
          </w:tcPr>
          <w:p w14:paraId="0F3923C4" w14:textId="77777777" w:rsidR="002922F7" w:rsidRDefault="002922F7" w:rsidP="002922F7">
            <w:pPr>
              <w:pStyle w:val="TabletextCentreTotal"/>
              <w:keepNext/>
            </w:pPr>
            <w:r w:rsidRPr="00EE0E71">
              <w:t>3rd quartile</w:t>
            </w:r>
          </w:p>
        </w:tc>
        <w:tc>
          <w:tcPr>
            <w:tcW w:w="1366" w:type="dxa"/>
          </w:tcPr>
          <w:p w14:paraId="1E1DD0B9" w14:textId="77777777" w:rsidR="002922F7" w:rsidRDefault="002922F7" w:rsidP="002922F7">
            <w:pPr>
              <w:pStyle w:val="TabletextLeftTotal"/>
              <w:keepNext/>
            </w:pPr>
            <w:r w:rsidRPr="00EE0E71">
              <w:t>observed proportion</w:t>
            </w:r>
          </w:p>
        </w:tc>
        <w:tc>
          <w:tcPr>
            <w:tcW w:w="1301" w:type="dxa"/>
          </w:tcPr>
          <w:p w14:paraId="78DD1DB9" w14:textId="77777777" w:rsidR="002922F7" w:rsidRDefault="002922F7" w:rsidP="002922F7">
            <w:pPr>
              <w:pStyle w:val="TabletextCentre"/>
              <w:keepNext/>
            </w:pPr>
            <w:r w:rsidRPr="009A6F3C">
              <w:t>4.84%</w:t>
            </w:r>
          </w:p>
        </w:tc>
        <w:tc>
          <w:tcPr>
            <w:tcW w:w="1301" w:type="dxa"/>
          </w:tcPr>
          <w:p w14:paraId="55CA3E36" w14:textId="77777777" w:rsidR="002922F7" w:rsidRDefault="002922F7" w:rsidP="002922F7">
            <w:pPr>
              <w:pStyle w:val="TabletextCentre"/>
              <w:keepNext/>
            </w:pPr>
            <w:r w:rsidRPr="009A6F3C">
              <w:t>8.27%</w:t>
            </w:r>
          </w:p>
        </w:tc>
        <w:tc>
          <w:tcPr>
            <w:tcW w:w="1309" w:type="dxa"/>
          </w:tcPr>
          <w:p w14:paraId="4AC18F22" w14:textId="77777777" w:rsidR="002922F7" w:rsidRDefault="002922F7" w:rsidP="002922F7">
            <w:pPr>
              <w:pStyle w:val="TabletextCentre"/>
              <w:keepNext/>
            </w:pPr>
            <w:r w:rsidRPr="009A6F3C">
              <w:t>8.47%</w:t>
            </w:r>
          </w:p>
        </w:tc>
        <w:tc>
          <w:tcPr>
            <w:tcW w:w="1302" w:type="dxa"/>
          </w:tcPr>
          <w:p w14:paraId="7E9CEC4E" w14:textId="77777777" w:rsidR="002922F7" w:rsidRDefault="002922F7" w:rsidP="002922F7">
            <w:pPr>
              <w:pStyle w:val="TabletextCentre"/>
              <w:keepNext/>
            </w:pPr>
            <w:r w:rsidRPr="009A6F3C">
              <w:t>12.10%</w:t>
            </w:r>
          </w:p>
        </w:tc>
      </w:tr>
      <w:tr w:rsidR="002922F7" w14:paraId="694AE3B0" w14:textId="77777777" w:rsidTr="002922F7">
        <w:tc>
          <w:tcPr>
            <w:tcW w:w="1092" w:type="dxa"/>
            <w:vMerge/>
          </w:tcPr>
          <w:p w14:paraId="74E9F908" w14:textId="77777777" w:rsidR="002922F7" w:rsidRDefault="002922F7" w:rsidP="002922F7">
            <w:pPr>
              <w:keepNext/>
            </w:pPr>
          </w:p>
        </w:tc>
        <w:tc>
          <w:tcPr>
            <w:tcW w:w="1355" w:type="dxa"/>
            <w:vMerge/>
            <w:vAlign w:val="center"/>
          </w:tcPr>
          <w:p w14:paraId="4F03A0B1" w14:textId="77777777" w:rsidR="002922F7" w:rsidRDefault="002922F7" w:rsidP="002922F7">
            <w:pPr>
              <w:pStyle w:val="TabletextCentreTotal"/>
              <w:keepNext/>
            </w:pPr>
          </w:p>
        </w:tc>
        <w:tc>
          <w:tcPr>
            <w:tcW w:w="1366" w:type="dxa"/>
          </w:tcPr>
          <w:p w14:paraId="593878A5" w14:textId="77777777" w:rsidR="002922F7" w:rsidRDefault="002922F7" w:rsidP="002922F7">
            <w:pPr>
              <w:pStyle w:val="TabletextLeftTotal"/>
              <w:keepNext/>
            </w:pPr>
            <w:r w:rsidRPr="00EE0E71">
              <w:t>expected proportion</w:t>
            </w:r>
          </w:p>
        </w:tc>
        <w:tc>
          <w:tcPr>
            <w:tcW w:w="1301" w:type="dxa"/>
          </w:tcPr>
          <w:p w14:paraId="667943AE" w14:textId="77777777" w:rsidR="002922F7" w:rsidRDefault="002922F7" w:rsidP="002922F7">
            <w:pPr>
              <w:pStyle w:val="TabletextCentre"/>
              <w:keepNext/>
            </w:pPr>
            <w:r w:rsidRPr="009A6F3C">
              <w:t>6.31%</w:t>
            </w:r>
          </w:p>
        </w:tc>
        <w:tc>
          <w:tcPr>
            <w:tcW w:w="1301" w:type="dxa"/>
          </w:tcPr>
          <w:p w14:paraId="55266012" w14:textId="77777777" w:rsidR="002922F7" w:rsidRDefault="002922F7" w:rsidP="002922F7">
            <w:pPr>
              <w:pStyle w:val="TabletextCentre"/>
              <w:keepNext/>
            </w:pPr>
            <w:r w:rsidRPr="009A6F3C">
              <w:t>9.23%</w:t>
            </w:r>
          </w:p>
        </w:tc>
        <w:tc>
          <w:tcPr>
            <w:tcW w:w="1309" w:type="dxa"/>
          </w:tcPr>
          <w:p w14:paraId="3C408807" w14:textId="77777777" w:rsidR="002922F7" w:rsidRDefault="002922F7" w:rsidP="002922F7">
            <w:pPr>
              <w:pStyle w:val="TabletextCentre"/>
              <w:keepNext/>
            </w:pPr>
            <w:r w:rsidRPr="009A6F3C">
              <w:t>8.55%</w:t>
            </w:r>
          </w:p>
        </w:tc>
        <w:tc>
          <w:tcPr>
            <w:tcW w:w="1302" w:type="dxa"/>
          </w:tcPr>
          <w:p w14:paraId="12AF4731" w14:textId="77777777" w:rsidR="002922F7" w:rsidRDefault="002922F7" w:rsidP="002922F7">
            <w:pPr>
              <w:pStyle w:val="TabletextCentre"/>
              <w:keepNext/>
            </w:pPr>
            <w:r w:rsidRPr="009A6F3C">
              <w:t>9.57%</w:t>
            </w:r>
          </w:p>
        </w:tc>
      </w:tr>
      <w:tr w:rsidR="002922F7" w14:paraId="6B8B1CE3" w14:textId="77777777" w:rsidTr="002922F7">
        <w:tc>
          <w:tcPr>
            <w:tcW w:w="1092" w:type="dxa"/>
            <w:vMerge/>
          </w:tcPr>
          <w:p w14:paraId="790DBC50" w14:textId="77777777" w:rsidR="002922F7" w:rsidRDefault="002922F7" w:rsidP="002922F7">
            <w:pPr>
              <w:keepNext/>
            </w:pPr>
          </w:p>
        </w:tc>
        <w:tc>
          <w:tcPr>
            <w:tcW w:w="1355" w:type="dxa"/>
            <w:vMerge/>
            <w:vAlign w:val="center"/>
          </w:tcPr>
          <w:p w14:paraId="1EFE400D" w14:textId="77777777" w:rsidR="002922F7" w:rsidRDefault="002922F7" w:rsidP="002922F7">
            <w:pPr>
              <w:pStyle w:val="TabletextCentreTotal"/>
              <w:keepNext/>
            </w:pPr>
          </w:p>
        </w:tc>
        <w:tc>
          <w:tcPr>
            <w:tcW w:w="1366" w:type="dxa"/>
          </w:tcPr>
          <w:p w14:paraId="1AEBF749" w14:textId="77777777" w:rsidR="002922F7" w:rsidRDefault="002922F7" w:rsidP="002922F7">
            <w:pPr>
              <w:pStyle w:val="TabletextLeftTotal"/>
              <w:keepNext/>
            </w:pPr>
            <w:r w:rsidRPr="00EE0E71">
              <w:t>p-value</w:t>
            </w:r>
          </w:p>
        </w:tc>
        <w:tc>
          <w:tcPr>
            <w:tcW w:w="1301" w:type="dxa"/>
          </w:tcPr>
          <w:p w14:paraId="697A66B6" w14:textId="77777777" w:rsidR="002922F7" w:rsidRDefault="002922F7" w:rsidP="002922F7">
            <w:pPr>
              <w:pStyle w:val="TabletextCentre"/>
              <w:keepNext/>
            </w:pPr>
            <w:r w:rsidRPr="009A6F3C">
              <w:t>0.0751</w:t>
            </w:r>
          </w:p>
        </w:tc>
        <w:tc>
          <w:tcPr>
            <w:tcW w:w="1301" w:type="dxa"/>
          </w:tcPr>
          <w:p w14:paraId="17C340FE" w14:textId="77777777" w:rsidR="002922F7" w:rsidRDefault="002922F7" w:rsidP="002922F7">
            <w:pPr>
              <w:pStyle w:val="TabletextCentre"/>
              <w:keepNext/>
            </w:pPr>
            <w:r w:rsidRPr="009A6F3C">
              <w:t>0.3076</w:t>
            </w:r>
          </w:p>
        </w:tc>
        <w:tc>
          <w:tcPr>
            <w:tcW w:w="1309" w:type="dxa"/>
          </w:tcPr>
          <w:p w14:paraId="38A100D4" w14:textId="77777777" w:rsidR="002922F7" w:rsidRDefault="002922F7" w:rsidP="002922F7">
            <w:pPr>
              <w:pStyle w:val="TabletextCentre"/>
              <w:keepNext/>
            </w:pPr>
            <w:r w:rsidRPr="009A6F3C">
              <w:t>0.9264</w:t>
            </w:r>
          </w:p>
        </w:tc>
        <w:tc>
          <w:tcPr>
            <w:tcW w:w="1302" w:type="dxa"/>
          </w:tcPr>
          <w:p w14:paraId="13A99378" w14:textId="77777777" w:rsidR="002922F7" w:rsidRDefault="002922F7" w:rsidP="002922F7">
            <w:pPr>
              <w:pStyle w:val="TabletextCentre"/>
              <w:keepNext/>
            </w:pPr>
            <w:r w:rsidRPr="009A6F3C">
              <w:t>0.0083</w:t>
            </w:r>
          </w:p>
        </w:tc>
      </w:tr>
      <w:tr w:rsidR="002922F7" w14:paraId="697F4580" w14:textId="77777777" w:rsidTr="002922F7">
        <w:tc>
          <w:tcPr>
            <w:tcW w:w="1092" w:type="dxa"/>
            <w:vMerge/>
          </w:tcPr>
          <w:p w14:paraId="52E01671" w14:textId="77777777" w:rsidR="002922F7" w:rsidRPr="00EE0E71" w:rsidRDefault="002922F7" w:rsidP="002922F7">
            <w:pPr>
              <w:keepNext/>
            </w:pPr>
          </w:p>
        </w:tc>
        <w:tc>
          <w:tcPr>
            <w:tcW w:w="1355" w:type="dxa"/>
            <w:vMerge w:val="restart"/>
            <w:vAlign w:val="center"/>
          </w:tcPr>
          <w:p w14:paraId="79C9CF21" w14:textId="77777777" w:rsidR="002922F7" w:rsidRDefault="002922F7" w:rsidP="002922F7">
            <w:pPr>
              <w:pStyle w:val="TabletextCentreTotal"/>
              <w:keepNext/>
            </w:pPr>
            <w:r w:rsidRPr="00EE0E71">
              <w:t>4th quartile</w:t>
            </w:r>
          </w:p>
        </w:tc>
        <w:tc>
          <w:tcPr>
            <w:tcW w:w="1366" w:type="dxa"/>
          </w:tcPr>
          <w:p w14:paraId="4E1C1C46" w14:textId="77777777" w:rsidR="002922F7" w:rsidRDefault="002922F7" w:rsidP="002922F7">
            <w:pPr>
              <w:pStyle w:val="TabletextLeftTotal"/>
              <w:keepNext/>
            </w:pPr>
            <w:r w:rsidRPr="00EE0E71">
              <w:t>observed proportion</w:t>
            </w:r>
          </w:p>
        </w:tc>
        <w:tc>
          <w:tcPr>
            <w:tcW w:w="1301" w:type="dxa"/>
          </w:tcPr>
          <w:p w14:paraId="277589DD" w14:textId="77777777" w:rsidR="002922F7" w:rsidRDefault="002922F7" w:rsidP="002922F7">
            <w:pPr>
              <w:pStyle w:val="TabletextCentre"/>
              <w:keepNext/>
            </w:pPr>
            <w:r w:rsidRPr="009A6F3C">
              <w:t>2.22%</w:t>
            </w:r>
          </w:p>
        </w:tc>
        <w:tc>
          <w:tcPr>
            <w:tcW w:w="1301" w:type="dxa"/>
          </w:tcPr>
          <w:p w14:paraId="6336B45B" w14:textId="77777777" w:rsidR="002922F7" w:rsidRDefault="002922F7" w:rsidP="002922F7">
            <w:pPr>
              <w:pStyle w:val="TabletextCentre"/>
              <w:keepNext/>
            </w:pPr>
            <w:r w:rsidRPr="009A6F3C">
              <w:t>7.26%</w:t>
            </w:r>
          </w:p>
        </w:tc>
        <w:tc>
          <w:tcPr>
            <w:tcW w:w="1309" w:type="dxa"/>
          </w:tcPr>
          <w:p w14:paraId="44B1F56E" w14:textId="77777777" w:rsidR="002922F7" w:rsidRDefault="002922F7" w:rsidP="002922F7">
            <w:pPr>
              <w:pStyle w:val="TabletextCentre"/>
              <w:keepNext/>
            </w:pPr>
            <w:r w:rsidRPr="009A6F3C">
              <w:t>8.67%</w:t>
            </w:r>
          </w:p>
        </w:tc>
        <w:tc>
          <w:tcPr>
            <w:tcW w:w="1302" w:type="dxa"/>
          </w:tcPr>
          <w:p w14:paraId="7A2145CA" w14:textId="77777777" w:rsidR="002922F7" w:rsidRDefault="002922F7" w:rsidP="002922F7">
            <w:pPr>
              <w:pStyle w:val="TabletextCentre"/>
              <w:keepNext/>
            </w:pPr>
            <w:r w:rsidRPr="009A6F3C">
              <w:t>8.27%</w:t>
            </w:r>
          </w:p>
        </w:tc>
      </w:tr>
      <w:tr w:rsidR="002922F7" w14:paraId="1B48A326" w14:textId="77777777" w:rsidTr="002922F7">
        <w:tc>
          <w:tcPr>
            <w:tcW w:w="1092" w:type="dxa"/>
            <w:vMerge/>
          </w:tcPr>
          <w:p w14:paraId="529A27B9" w14:textId="77777777" w:rsidR="002922F7" w:rsidRDefault="002922F7" w:rsidP="002922F7">
            <w:pPr>
              <w:keepNext/>
            </w:pPr>
          </w:p>
        </w:tc>
        <w:tc>
          <w:tcPr>
            <w:tcW w:w="1355" w:type="dxa"/>
            <w:vMerge/>
          </w:tcPr>
          <w:p w14:paraId="7EF2D771" w14:textId="77777777" w:rsidR="002922F7" w:rsidRDefault="002922F7" w:rsidP="002922F7">
            <w:pPr>
              <w:pStyle w:val="TabletextCentreTotal"/>
              <w:keepNext/>
            </w:pPr>
          </w:p>
        </w:tc>
        <w:tc>
          <w:tcPr>
            <w:tcW w:w="1366" w:type="dxa"/>
          </w:tcPr>
          <w:p w14:paraId="45401831" w14:textId="77777777" w:rsidR="002922F7" w:rsidRDefault="002922F7" w:rsidP="002922F7">
            <w:pPr>
              <w:pStyle w:val="TabletextLeftTotal"/>
              <w:keepNext/>
            </w:pPr>
            <w:r w:rsidRPr="00EE0E71">
              <w:t>expected proportion</w:t>
            </w:r>
          </w:p>
        </w:tc>
        <w:tc>
          <w:tcPr>
            <w:tcW w:w="1301" w:type="dxa"/>
          </w:tcPr>
          <w:p w14:paraId="46ECD94E" w14:textId="77777777" w:rsidR="002922F7" w:rsidRDefault="002922F7" w:rsidP="002922F7">
            <w:pPr>
              <w:pStyle w:val="TabletextCentre"/>
              <w:keepNext/>
            </w:pPr>
            <w:r w:rsidRPr="009A6F3C">
              <w:t>4.95%</w:t>
            </w:r>
          </w:p>
        </w:tc>
        <w:tc>
          <w:tcPr>
            <w:tcW w:w="1301" w:type="dxa"/>
          </w:tcPr>
          <w:p w14:paraId="07596672" w14:textId="77777777" w:rsidR="002922F7" w:rsidRDefault="002922F7" w:rsidP="002922F7">
            <w:pPr>
              <w:pStyle w:val="TabletextCentre"/>
              <w:keepNext/>
            </w:pPr>
            <w:r w:rsidRPr="009A6F3C">
              <w:t>7.24%</w:t>
            </w:r>
          </w:p>
        </w:tc>
        <w:tc>
          <w:tcPr>
            <w:tcW w:w="1309" w:type="dxa"/>
          </w:tcPr>
          <w:p w14:paraId="0BBBE67A" w14:textId="77777777" w:rsidR="002922F7" w:rsidRDefault="002922F7" w:rsidP="002922F7">
            <w:pPr>
              <w:pStyle w:val="TabletextCentre"/>
              <w:keepNext/>
            </w:pPr>
            <w:r w:rsidRPr="009A6F3C">
              <w:t>6.71%</w:t>
            </w:r>
          </w:p>
        </w:tc>
        <w:tc>
          <w:tcPr>
            <w:tcW w:w="1302" w:type="dxa"/>
          </w:tcPr>
          <w:p w14:paraId="42859F9A" w14:textId="77777777" w:rsidR="002922F7" w:rsidRDefault="002922F7" w:rsidP="002922F7">
            <w:pPr>
              <w:pStyle w:val="TabletextCentre"/>
              <w:keepNext/>
            </w:pPr>
            <w:r w:rsidRPr="009A6F3C">
              <w:t>7.51%</w:t>
            </w:r>
          </w:p>
        </w:tc>
      </w:tr>
      <w:tr w:rsidR="002922F7" w14:paraId="6A0D7BD5" w14:textId="77777777" w:rsidTr="002922F7">
        <w:tc>
          <w:tcPr>
            <w:tcW w:w="1092" w:type="dxa"/>
            <w:vMerge/>
          </w:tcPr>
          <w:p w14:paraId="4CA7B83A" w14:textId="77777777" w:rsidR="002922F7" w:rsidRDefault="002922F7" w:rsidP="002922F7">
            <w:pPr>
              <w:keepNext/>
            </w:pPr>
          </w:p>
        </w:tc>
        <w:tc>
          <w:tcPr>
            <w:tcW w:w="1355" w:type="dxa"/>
            <w:vMerge/>
          </w:tcPr>
          <w:p w14:paraId="59537797" w14:textId="77777777" w:rsidR="002922F7" w:rsidRDefault="002922F7" w:rsidP="002922F7">
            <w:pPr>
              <w:pStyle w:val="TabletextCentreTotal"/>
              <w:keepNext/>
            </w:pPr>
          </w:p>
        </w:tc>
        <w:tc>
          <w:tcPr>
            <w:tcW w:w="1366" w:type="dxa"/>
          </w:tcPr>
          <w:p w14:paraId="721FB29F" w14:textId="77777777" w:rsidR="002922F7" w:rsidRDefault="002922F7" w:rsidP="002922F7">
            <w:pPr>
              <w:pStyle w:val="TabletextLeftTotal"/>
              <w:keepNext/>
            </w:pPr>
            <w:r w:rsidRPr="00EE0E71">
              <w:t>p-value</w:t>
            </w:r>
          </w:p>
        </w:tc>
        <w:tc>
          <w:tcPr>
            <w:tcW w:w="1301" w:type="dxa"/>
            <w:shd w:val="clear" w:color="auto" w:fill="000000" w:themeFill="text1"/>
          </w:tcPr>
          <w:p w14:paraId="451464A3" w14:textId="77777777" w:rsidR="002922F7" w:rsidRPr="001F26A1" w:rsidRDefault="002922F7" w:rsidP="002922F7">
            <w:pPr>
              <w:pStyle w:val="TabletextCentre"/>
              <w:keepNext/>
              <w:rPr>
                <w:color w:val="FFFFFF" w:themeColor="background1"/>
              </w:rPr>
            </w:pPr>
            <w:r w:rsidRPr="001F26A1">
              <w:rPr>
                <w:color w:val="FFFFFF" w:themeColor="background1"/>
              </w:rPr>
              <w:t>0.0004</w:t>
            </w:r>
          </w:p>
        </w:tc>
        <w:tc>
          <w:tcPr>
            <w:tcW w:w="1301" w:type="dxa"/>
          </w:tcPr>
          <w:p w14:paraId="3A65AA31" w14:textId="77777777" w:rsidR="002922F7" w:rsidRDefault="002922F7" w:rsidP="002922F7">
            <w:pPr>
              <w:pStyle w:val="TabletextCentre"/>
              <w:keepNext/>
            </w:pPr>
            <w:r w:rsidRPr="009A6F3C">
              <w:t>0.9853</w:t>
            </w:r>
          </w:p>
        </w:tc>
        <w:tc>
          <w:tcPr>
            <w:tcW w:w="1309" w:type="dxa"/>
          </w:tcPr>
          <w:p w14:paraId="693EDFA2" w14:textId="77777777" w:rsidR="002922F7" w:rsidRDefault="002922F7" w:rsidP="002922F7">
            <w:pPr>
              <w:pStyle w:val="TabletextCentre"/>
              <w:keepNext/>
            </w:pPr>
            <w:r w:rsidRPr="009A6F3C">
              <w:t>0.0229</w:t>
            </w:r>
          </w:p>
        </w:tc>
        <w:tc>
          <w:tcPr>
            <w:tcW w:w="1302" w:type="dxa"/>
          </w:tcPr>
          <w:p w14:paraId="2C162EC8" w14:textId="77777777" w:rsidR="002922F7" w:rsidRDefault="002922F7" w:rsidP="002922F7">
            <w:pPr>
              <w:pStyle w:val="TabletextCentre"/>
              <w:keepNext/>
            </w:pPr>
            <w:r w:rsidRPr="009A6F3C">
              <w:t>0.3959</w:t>
            </w:r>
          </w:p>
        </w:tc>
      </w:tr>
    </w:tbl>
    <w:p w14:paraId="225477AB" w14:textId="77777777" w:rsidR="002922F7" w:rsidRDefault="002922F7" w:rsidP="002922F7"/>
    <w:p w14:paraId="1D7F9412" w14:textId="57A049EB" w:rsidR="002922F7" w:rsidRDefault="002922F7" w:rsidP="00400621">
      <w:pPr>
        <w:pStyle w:val="AppendixTableCaption"/>
        <w:numPr>
          <w:ilvl w:val="6"/>
          <w:numId w:val="11"/>
        </w:numPr>
      </w:pPr>
      <w:bookmarkStart w:id="301" w:name="_Toc40454708"/>
      <w:r>
        <w:lastRenderedPageBreak/>
        <w:t xml:space="preserve">Utilisation and </w:t>
      </w:r>
      <w:r w:rsidR="00A6707A">
        <w:t xml:space="preserve">implied </w:t>
      </w:r>
      <w:r>
        <w:t>margins, cross</w:t>
      </w:r>
      <w:r>
        <w:noBreakHyphen/>
        <w:t>tabulated distribution</w:t>
      </w:r>
      <w:bookmarkEnd w:id="301"/>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435548B1"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42602BD0" w14:textId="77777777" w:rsidR="002922F7" w:rsidRDefault="002922F7" w:rsidP="002922F7">
            <w:pPr>
              <w:keepNext/>
            </w:pPr>
          </w:p>
        </w:tc>
        <w:tc>
          <w:tcPr>
            <w:tcW w:w="1355" w:type="dxa"/>
          </w:tcPr>
          <w:p w14:paraId="7E7DAA05" w14:textId="77777777" w:rsidR="002922F7" w:rsidRDefault="002922F7" w:rsidP="002922F7">
            <w:pPr>
              <w:keepNext/>
            </w:pPr>
          </w:p>
        </w:tc>
        <w:tc>
          <w:tcPr>
            <w:tcW w:w="1366" w:type="dxa"/>
          </w:tcPr>
          <w:p w14:paraId="35F06B64" w14:textId="77777777" w:rsidR="002922F7" w:rsidRDefault="002922F7" w:rsidP="002922F7">
            <w:pPr>
              <w:keepNext/>
            </w:pPr>
          </w:p>
        </w:tc>
        <w:tc>
          <w:tcPr>
            <w:tcW w:w="5213" w:type="dxa"/>
            <w:gridSpan w:val="4"/>
          </w:tcPr>
          <w:p w14:paraId="6354B29E" w14:textId="1C236F69" w:rsidR="002922F7" w:rsidRDefault="00A6707A" w:rsidP="002922F7">
            <w:pPr>
              <w:pStyle w:val="TableHeadingCentre"/>
              <w:keepNext/>
            </w:pPr>
            <w:r>
              <w:t>Implied m</w:t>
            </w:r>
            <w:r w:rsidR="002922F7">
              <w:t>argins</w:t>
            </w:r>
          </w:p>
        </w:tc>
      </w:tr>
      <w:tr w:rsidR="002922F7" w14:paraId="613A9466" w14:textId="77777777" w:rsidTr="002922F7">
        <w:tc>
          <w:tcPr>
            <w:tcW w:w="1092" w:type="dxa"/>
          </w:tcPr>
          <w:p w14:paraId="39D27A5B" w14:textId="77777777" w:rsidR="002922F7" w:rsidRDefault="002922F7" w:rsidP="002922F7">
            <w:pPr>
              <w:keepNext/>
            </w:pPr>
          </w:p>
        </w:tc>
        <w:tc>
          <w:tcPr>
            <w:tcW w:w="1355" w:type="dxa"/>
          </w:tcPr>
          <w:p w14:paraId="5AACB68B" w14:textId="77777777" w:rsidR="002922F7" w:rsidRDefault="002922F7" w:rsidP="002922F7">
            <w:pPr>
              <w:keepNext/>
            </w:pPr>
          </w:p>
        </w:tc>
        <w:tc>
          <w:tcPr>
            <w:tcW w:w="1366" w:type="dxa"/>
          </w:tcPr>
          <w:p w14:paraId="2EE3E942" w14:textId="77777777" w:rsidR="002922F7" w:rsidRDefault="002922F7" w:rsidP="002922F7">
            <w:pPr>
              <w:keepNext/>
            </w:pPr>
          </w:p>
        </w:tc>
        <w:tc>
          <w:tcPr>
            <w:tcW w:w="1301" w:type="dxa"/>
          </w:tcPr>
          <w:p w14:paraId="78785EFE" w14:textId="77777777" w:rsidR="002922F7" w:rsidRDefault="002922F7" w:rsidP="002922F7">
            <w:pPr>
              <w:pStyle w:val="TabletextCentreTotal"/>
              <w:keepNext/>
              <w:jc w:val="left"/>
            </w:pPr>
            <w:r w:rsidRPr="00EE0E71">
              <w:t>1st quartile</w:t>
            </w:r>
          </w:p>
        </w:tc>
        <w:tc>
          <w:tcPr>
            <w:tcW w:w="1301" w:type="dxa"/>
          </w:tcPr>
          <w:p w14:paraId="3CE12432" w14:textId="77777777" w:rsidR="002922F7" w:rsidRDefault="002922F7" w:rsidP="002922F7">
            <w:pPr>
              <w:pStyle w:val="TabletextCentreTotal"/>
              <w:keepNext/>
            </w:pPr>
            <w:r w:rsidRPr="00EE0E71">
              <w:t>2nd quartile</w:t>
            </w:r>
          </w:p>
        </w:tc>
        <w:tc>
          <w:tcPr>
            <w:tcW w:w="1309" w:type="dxa"/>
          </w:tcPr>
          <w:p w14:paraId="243657A0" w14:textId="77777777" w:rsidR="002922F7" w:rsidRDefault="002922F7" w:rsidP="002922F7">
            <w:pPr>
              <w:pStyle w:val="TabletextCentreTotal"/>
              <w:keepNext/>
            </w:pPr>
            <w:r w:rsidRPr="00EE0E71">
              <w:t>3rd quartile</w:t>
            </w:r>
          </w:p>
        </w:tc>
        <w:tc>
          <w:tcPr>
            <w:tcW w:w="1302" w:type="dxa"/>
          </w:tcPr>
          <w:p w14:paraId="53CC5736" w14:textId="77777777" w:rsidR="002922F7" w:rsidRDefault="002922F7" w:rsidP="002922F7">
            <w:pPr>
              <w:pStyle w:val="TabletextCentreTotal"/>
              <w:keepNext/>
              <w:jc w:val="right"/>
            </w:pPr>
            <w:r w:rsidRPr="00EE0E71">
              <w:t>4th quartile</w:t>
            </w:r>
          </w:p>
        </w:tc>
      </w:tr>
      <w:tr w:rsidR="002922F7" w14:paraId="1083F894" w14:textId="77777777" w:rsidTr="002922F7">
        <w:tc>
          <w:tcPr>
            <w:tcW w:w="1092" w:type="dxa"/>
            <w:vMerge w:val="restart"/>
            <w:textDirection w:val="btLr"/>
          </w:tcPr>
          <w:p w14:paraId="1F5BE878" w14:textId="77777777" w:rsidR="002922F7" w:rsidRPr="00EE0E71" w:rsidRDefault="002922F7" w:rsidP="002922F7">
            <w:pPr>
              <w:pStyle w:val="TableHeadingCentre"/>
              <w:keepNext/>
            </w:pPr>
            <w:r>
              <w:t>Utilisation</w:t>
            </w:r>
          </w:p>
        </w:tc>
        <w:tc>
          <w:tcPr>
            <w:tcW w:w="1355" w:type="dxa"/>
            <w:vMerge w:val="restart"/>
            <w:vAlign w:val="center"/>
          </w:tcPr>
          <w:p w14:paraId="23F20E26" w14:textId="77777777" w:rsidR="002922F7" w:rsidRDefault="002922F7" w:rsidP="002922F7">
            <w:pPr>
              <w:pStyle w:val="TabletextCentreTotal"/>
              <w:keepNext/>
            </w:pPr>
            <w:r w:rsidRPr="00EE0E71">
              <w:t>1st quartile</w:t>
            </w:r>
          </w:p>
        </w:tc>
        <w:tc>
          <w:tcPr>
            <w:tcW w:w="1366" w:type="dxa"/>
          </w:tcPr>
          <w:p w14:paraId="18159762" w14:textId="77777777" w:rsidR="002922F7" w:rsidRDefault="002922F7" w:rsidP="002922F7">
            <w:pPr>
              <w:pStyle w:val="TabletextLeftTotal"/>
              <w:keepNext/>
            </w:pPr>
            <w:r w:rsidRPr="00EE0E71">
              <w:t>observed proportion</w:t>
            </w:r>
          </w:p>
        </w:tc>
        <w:tc>
          <w:tcPr>
            <w:tcW w:w="1301" w:type="dxa"/>
          </w:tcPr>
          <w:p w14:paraId="0F5D3A56" w14:textId="77777777" w:rsidR="002922F7" w:rsidRDefault="002922F7" w:rsidP="002922F7">
            <w:pPr>
              <w:pStyle w:val="TabletextCentre"/>
              <w:keepNext/>
            </w:pPr>
            <w:r w:rsidRPr="00AA00B6">
              <w:t>2.82%</w:t>
            </w:r>
          </w:p>
        </w:tc>
        <w:tc>
          <w:tcPr>
            <w:tcW w:w="1301" w:type="dxa"/>
          </w:tcPr>
          <w:p w14:paraId="06939D68" w14:textId="77777777" w:rsidR="002922F7" w:rsidRDefault="002922F7" w:rsidP="002922F7">
            <w:pPr>
              <w:pStyle w:val="TabletextCentre"/>
              <w:keepNext/>
            </w:pPr>
            <w:r w:rsidRPr="00AA00B6">
              <w:t>5.37%</w:t>
            </w:r>
          </w:p>
        </w:tc>
        <w:tc>
          <w:tcPr>
            <w:tcW w:w="1309" w:type="dxa"/>
          </w:tcPr>
          <w:p w14:paraId="680A600B" w14:textId="77777777" w:rsidR="002922F7" w:rsidRDefault="002922F7" w:rsidP="002922F7">
            <w:pPr>
              <w:pStyle w:val="TabletextCentre"/>
              <w:keepNext/>
            </w:pPr>
            <w:r w:rsidRPr="00AA00B6">
              <w:t>5.65%</w:t>
            </w:r>
          </w:p>
        </w:tc>
        <w:tc>
          <w:tcPr>
            <w:tcW w:w="1302" w:type="dxa"/>
          </w:tcPr>
          <w:p w14:paraId="711367DA" w14:textId="77777777" w:rsidR="002922F7" w:rsidRDefault="002922F7" w:rsidP="002922F7">
            <w:pPr>
              <w:pStyle w:val="TabletextCentre"/>
              <w:keepNext/>
            </w:pPr>
            <w:r w:rsidRPr="00AA00B6">
              <w:t>5.37%</w:t>
            </w:r>
          </w:p>
        </w:tc>
      </w:tr>
      <w:tr w:rsidR="002922F7" w14:paraId="521B5409" w14:textId="77777777" w:rsidTr="002922F7">
        <w:tc>
          <w:tcPr>
            <w:tcW w:w="1092" w:type="dxa"/>
            <w:vMerge/>
          </w:tcPr>
          <w:p w14:paraId="31E40C46" w14:textId="77777777" w:rsidR="002922F7" w:rsidRDefault="002922F7" w:rsidP="002922F7">
            <w:pPr>
              <w:keepNext/>
            </w:pPr>
          </w:p>
        </w:tc>
        <w:tc>
          <w:tcPr>
            <w:tcW w:w="1355" w:type="dxa"/>
            <w:vMerge/>
            <w:vAlign w:val="center"/>
          </w:tcPr>
          <w:p w14:paraId="14B7B059" w14:textId="77777777" w:rsidR="002922F7" w:rsidRDefault="002922F7" w:rsidP="002922F7">
            <w:pPr>
              <w:pStyle w:val="TabletextCentreTotal"/>
              <w:keepNext/>
            </w:pPr>
          </w:p>
        </w:tc>
        <w:tc>
          <w:tcPr>
            <w:tcW w:w="1366" w:type="dxa"/>
          </w:tcPr>
          <w:p w14:paraId="65F514C8" w14:textId="77777777" w:rsidR="002922F7" w:rsidRDefault="002922F7" w:rsidP="002922F7">
            <w:pPr>
              <w:pStyle w:val="TabletextLeftTotal"/>
              <w:keepNext/>
            </w:pPr>
            <w:r w:rsidRPr="00EE0E71">
              <w:t>expected proportion</w:t>
            </w:r>
          </w:p>
        </w:tc>
        <w:tc>
          <w:tcPr>
            <w:tcW w:w="1301" w:type="dxa"/>
          </w:tcPr>
          <w:p w14:paraId="062B1D51" w14:textId="77777777" w:rsidR="002922F7" w:rsidRDefault="002922F7" w:rsidP="002922F7">
            <w:pPr>
              <w:pStyle w:val="TabletextCentre"/>
              <w:keepNext/>
            </w:pPr>
            <w:r w:rsidRPr="00AA00B6">
              <w:t>4.72%</w:t>
            </w:r>
          </w:p>
        </w:tc>
        <w:tc>
          <w:tcPr>
            <w:tcW w:w="1301" w:type="dxa"/>
          </w:tcPr>
          <w:p w14:paraId="3F106C0A" w14:textId="77777777" w:rsidR="002922F7" w:rsidRDefault="002922F7" w:rsidP="002922F7">
            <w:pPr>
              <w:pStyle w:val="TabletextCentre"/>
              <w:keepNext/>
            </w:pPr>
            <w:r w:rsidRPr="00AA00B6">
              <w:t>4.50%</w:t>
            </w:r>
          </w:p>
        </w:tc>
        <w:tc>
          <w:tcPr>
            <w:tcW w:w="1309" w:type="dxa"/>
          </w:tcPr>
          <w:p w14:paraId="740D9DA3" w14:textId="77777777" w:rsidR="002922F7" w:rsidRDefault="002922F7" w:rsidP="002922F7">
            <w:pPr>
              <w:pStyle w:val="TabletextCentre"/>
              <w:keepNext/>
            </w:pPr>
            <w:r w:rsidRPr="00AA00B6">
              <w:t>5.05%</w:t>
            </w:r>
          </w:p>
        </w:tc>
        <w:tc>
          <w:tcPr>
            <w:tcW w:w="1302" w:type="dxa"/>
          </w:tcPr>
          <w:p w14:paraId="49656688" w14:textId="77777777" w:rsidR="002922F7" w:rsidRDefault="002922F7" w:rsidP="002922F7">
            <w:pPr>
              <w:pStyle w:val="TabletextCentre"/>
              <w:keepNext/>
            </w:pPr>
            <w:r w:rsidRPr="00AA00B6">
              <w:t>4.94%</w:t>
            </w:r>
          </w:p>
        </w:tc>
      </w:tr>
      <w:tr w:rsidR="002922F7" w14:paraId="2B8F82D7" w14:textId="77777777" w:rsidTr="002922F7">
        <w:tc>
          <w:tcPr>
            <w:tcW w:w="1092" w:type="dxa"/>
            <w:vMerge/>
          </w:tcPr>
          <w:p w14:paraId="7D73B4EF" w14:textId="77777777" w:rsidR="002922F7" w:rsidRDefault="002922F7" w:rsidP="002922F7">
            <w:pPr>
              <w:keepNext/>
            </w:pPr>
          </w:p>
        </w:tc>
        <w:tc>
          <w:tcPr>
            <w:tcW w:w="1355" w:type="dxa"/>
            <w:vMerge/>
            <w:vAlign w:val="center"/>
          </w:tcPr>
          <w:p w14:paraId="5AF12298" w14:textId="77777777" w:rsidR="002922F7" w:rsidRDefault="002922F7" w:rsidP="002922F7">
            <w:pPr>
              <w:pStyle w:val="TabletextCentreTotal"/>
              <w:keepNext/>
            </w:pPr>
          </w:p>
        </w:tc>
        <w:tc>
          <w:tcPr>
            <w:tcW w:w="1366" w:type="dxa"/>
          </w:tcPr>
          <w:p w14:paraId="6FC8FF1A" w14:textId="77777777" w:rsidR="002922F7" w:rsidRDefault="002922F7" w:rsidP="002922F7">
            <w:pPr>
              <w:pStyle w:val="TabletextLeftTotal"/>
              <w:keepNext/>
            </w:pPr>
            <w:r w:rsidRPr="00EE0E71">
              <w:t>p-value</w:t>
            </w:r>
          </w:p>
        </w:tc>
        <w:tc>
          <w:tcPr>
            <w:tcW w:w="1301" w:type="dxa"/>
          </w:tcPr>
          <w:p w14:paraId="0CEF7924" w14:textId="77777777" w:rsidR="002922F7" w:rsidRDefault="002922F7" w:rsidP="002922F7">
            <w:pPr>
              <w:pStyle w:val="TabletextCentre"/>
              <w:keepNext/>
            </w:pPr>
            <w:r w:rsidRPr="00AA00B6">
              <w:t>0.0354</w:t>
            </w:r>
          </w:p>
        </w:tc>
        <w:tc>
          <w:tcPr>
            <w:tcW w:w="1301" w:type="dxa"/>
          </w:tcPr>
          <w:p w14:paraId="5A0714BF" w14:textId="77777777" w:rsidR="002922F7" w:rsidRDefault="002922F7" w:rsidP="002922F7">
            <w:pPr>
              <w:pStyle w:val="TabletextCentre"/>
              <w:keepNext/>
            </w:pPr>
            <w:r w:rsidRPr="00AA00B6">
              <w:t>0.3304</w:t>
            </w:r>
          </w:p>
        </w:tc>
        <w:tc>
          <w:tcPr>
            <w:tcW w:w="1309" w:type="dxa"/>
          </w:tcPr>
          <w:p w14:paraId="5CB3C5D7" w14:textId="77777777" w:rsidR="002922F7" w:rsidRDefault="002922F7" w:rsidP="002922F7">
            <w:pPr>
              <w:pStyle w:val="TabletextCentre"/>
              <w:keepNext/>
            </w:pPr>
            <w:r w:rsidRPr="00AA00B6">
              <w:t>0.5127</w:t>
            </w:r>
          </w:p>
        </w:tc>
        <w:tc>
          <w:tcPr>
            <w:tcW w:w="1302" w:type="dxa"/>
          </w:tcPr>
          <w:p w14:paraId="77B9BCDE" w14:textId="77777777" w:rsidR="002922F7" w:rsidRDefault="002922F7" w:rsidP="002922F7">
            <w:pPr>
              <w:pStyle w:val="TabletextCentre"/>
              <w:keepNext/>
            </w:pPr>
            <w:r w:rsidRPr="00AA00B6">
              <w:t>0.6389</w:t>
            </w:r>
          </w:p>
        </w:tc>
      </w:tr>
      <w:tr w:rsidR="002922F7" w14:paraId="6B7AF154" w14:textId="77777777" w:rsidTr="002922F7">
        <w:tc>
          <w:tcPr>
            <w:tcW w:w="1092" w:type="dxa"/>
            <w:vMerge/>
          </w:tcPr>
          <w:p w14:paraId="3B9B450D" w14:textId="77777777" w:rsidR="002922F7" w:rsidRPr="00EE0E71" w:rsidRDefault="002922F7" w:rsidP="002922F7">
            <w:pPr>
              <w:keepNext/>
            </w:pPr>
          </w:p>
        </w:tc>
        <w:tc>
          <w:tcPr>
            <w:tcW w:w="1355" w:type="dxa"/>
            <w:vMerge w:val="restart"/>
            <w:vAlign w:val="center"/>
          </w:tcPr>
          <w:p w14:paraId="4EB4E07C" w14:textId="77777777" w:rsidR="002922F7" w:rsidRDefault="002922F7" w:rsidP="002922F7">
            <w:pPr>
              <w:pStyle w:val="TabletextCentreTotal"/>
              <w:keepNext/>
            </w:pPr>
            <w:r w:rsidRPr="00EE0E71">
              <w:t>2nd quartile</w:t>
            </w:r>
          </w:p>
        </w:tc>
        <w:tc>
          <w:tcPr>
            <w:tcW w:w="1366" w:type="dxa"/>
          </w:tcPr>
          <w:p w14:paraId="0C14C9F2" w14:textId="77777777" w:rsidR="002922F7" w:rsidRDefault="002922F7" w:rsidP="002922F7">
            <w:pPr>
              <w:pStyle w:val="TabletextLeftTotal"/>
              <w:keepNext/>
            </w:pPr>
            <w:r w:rsidRPr="00EE0E71">
              <w:t>observed proportion</w:t>
            </w:r>
          </w:p>
        </w:tc>
        <w:tc>
          <w:tcPr>
            <w:tcW w:w="1301" w:type="dxa"/>
          </w:tcPr>
          <w:p w14:paraId="1493F4AD" w14:textId="77777777" w:rsidR="002922F7" w:rsidRDefault="002922F7" w:rsidP="002922F7">
            <w:pPr>
              <w:pStyle w:val="TabletextCentre"/>
              <w:keepNext/>
            </w:pPr>
            <w:r w:rsidRPr="00AA00B6">
              <w:t>3.39%</w:t>
            </w:r>
          </w:p>
        </w:tc>
        <w:tc>
          <w:tcPr>
            <w:tcW w:w="1301" w:type="dxa"/>
          </w:tcPr>
          <w:p w14:paraId="0B1E4753" w14:textId="77777777" w:rsidR="002922F7" w:rsidRDefault="002922F7" w:rsidP="002922F7">
            <w:pPr>
              <w:pStyle w:val="TabletextCentre"/>
              <w:keepNext/>
            </w:pPr>
            <w:r w:rsidRPr="00AA00B6">
              <w:t>3.39%</w:t>
            </w:r>
          </w:p>
        </w:tc>
        <w:tc>
          <w:tcPr>
            <w:tcW w:w="1309" w:type="dxa"/>
          </w:tcPr>
          <w:p w14:paraId="23A2F0A7" w14:textId="77777777" w:rsidR="002922F7" w:rsidRDefault="002922F7" w:rsidP="002922F7">
            <w:pPr>
              <w:pStyle w:val="TabletextCentre"/>
              <w:keepNext/>
            </w:pPr>
            <w:r w:rsidRPr="00AA00B6">
              <w:t>4.80%</w:t>
            </w:r>
          </w:p>
        </w:tc>
        <w:tc>
          <w:tcPr>
            <w:tcW w:w="1302" w:type="dxa"/>
          </w:tcPr>
          <w:p w14:paraId="3CF704AB" w14:textId="77777777" w:rsidR="002922F7" w:rsidRDefault="002922F7" w:rsidP="002922F7">
            <w:pPr>
              <w:pStyle w:val="TabletextCentre"/>
              <w:keepNext/>
            </w:pPr>
            <w:r w:rsidRPr="00AA00B6">
              <w:t>5.65%</w:t>
            </w:r>
          </w:p>
        </w:tc>
      </w:tr>
      <w:tr w:rsidR="002922F7" w14:paraId="07112132" w14:textId="77777777" w:rsidTr="002922F7">
        <w:tc>
          <w:tcPr>
            <w:tcW w:w="1092" w:type="dxa"/>
            <w:vMerge/>
          </w:tcPr>
          <w:p w14:paraId="66892238" w14:textId="77777777" w:rsidR="002922F7" w:rsidRDefault="002922F7" w:rsidP="002922F7">
            <w:pPr>
              <w:keepNext/>
            </w:pPr>
          </w:p>
        </w:tc>
        <w:tc>
          <w:tcPr>
            <w:tcW w:w="1355" w:type="dxa"/>
            <w:vMerge/>
            <w:vAlign w:val="center"/>
          </w:tcPr>
          <w:p w14:paraId="35F29E2E" w14:textId="77777777" w:rsidR="002922F7" w:rsidRDefault="002922F7" w:rsidP="002922F7">
            <w:pPr>
              <w:pStyle w:val="TabletextCentreTotal"/>
              <w:keepNext/>
            </w:pPr>
          </w:p>
        </w:tc>
        <w:tc>
          <w:tcPr>
            <w:tcW w:w="1366" w:type="dxa"/>
          </w:tcPr>
          <w:p w14:paraId="37AB0A67" w14:textId="77777777" w:rsidR="002922F7" w:rsidRDefault="002922F7" w:rsidP="002922F7">
            <w:pPr>
              <w:pStyle w:val="TabletextLeftTotal"/>
              <w:keepNext/>
            </w:pPr>
            <w:r w:rsidRPr="00EE0E71">
              <w:t>expected proportion</w:t>
            </w:r>
          </w:p>
        </w:tc>
        <w:tc>
          <w:tcPr>
            <w:tcW w:w="1301" w:type="dxa"/>
          </w:tcPr>
          <w:p w14:paraId="37BAD408" w14:textId="77777777" w:rsidR="002922F7" w:rsidRDefault="002922F7" w:rsidP="002922F7">
            <w:pPr>
              <w:pStyle w:val="TabletextCentre"/>
              <w:keepNext/>
            </w:pPr>
            <w:r w:rsidRPr="00AA00B6">
              <w:t>4.23%</w:t>
            </w:r>
          </w:p>
        </w:tc>
        <w:tc>
          <w:tcPr>
            <w:tcW w:w="1301" w:type="dxa"/>
          </w:tcPr>
          <w:p w14:paraId="1564FCBE" w14:textId="77777777" w:rsidR="002922F7" w:rsidRDefault="002922F7" w:rsidP="002922F7">
            <w:pPr>
              <w:pStyle w:val="TabletextCentre"/>
              <w:keepNext/>
            </w:pPr>
            <w:r w:rsidRPr="00AA00B6">
              <w:t>4.04%</w:t>
            </w:r>
          </w:p>
        </w:tc>
        <w:tc>
          <w:tcPr>
            <w:tcW w:w="1309" w:type="dxa"/>
          </w:tcPr>
          <w:p w14:paraId="5E40C396" w14:textId="77777777" w:rsidR="002922F7" w:rsidRDefault="002922F7" w:rsidP="002922F7">
            <w:pPr>
              <w:pStyle w:val="TabletextCentre"/>
              <w:keepNext/>
            </w:pPr>
            <w:r w:rsidRPr="00AA00B6">
              <w:t>4.53%</w:t>
            </w:r>
          </w:p>
        </w:tc>
        <w:tc>
          <w:tcPr>
            <w:tcW w:w="1302" w:type="dxa"/>
          </w:tcPr>
          <w:p w14:paraId="759C4507" w14:textId="77777777" w:rsidR="002922F7" w:rsidRDefault="002922F7" w:rsidP="002922F7">
            <w:pPr>
              <w:pStyle w:val="TabletextCentre"/>
              <w:keepNext/>
            </w:pPr>
            <w:r w:rsidRPr="00AA00B6">
              <w:t>4.43%</w:t>
            </w:r>
          </w:p>
        </w:tc>
      </w:tr>
      <w:tr w:rsidR="002922F7" w14:paraId="6356030F" w14:textId="77777777" w:rsidTr="002922F7">
        <w:tc>
          <w:tcPr>
            <w:tcW w:w="1092" w:type="dxa"/>
            <w:vMerge/>
          </w:tcPr>
          <w:p w14:paraId="3733342F" w14:textId="77777777" w:rsidR="002922F7" w:rsidRDefault="002922F7" w:rsidP="002922F7">
            <w:pPr>
              <w:keepNext/>
            </w:pPr>
          </w:p>
        </w:tc>
        <w:tc>
          <w:tcPr>
            <w:tcW w:w="1355" w:type="dxa"/>
            <w:vMerge/>
            <w:vAlign w:val="center"/>
          </w:tcPr>
          <w:p w14:paraId="4265D1AE" w14:textId="77777777" w:rsidR="002922F7" w:rsidRDefault="002922F7" w:rsidP="002922F7">
            <w:pPr>
              <w:pStyle w:val="TabletextCentreTotal"/>
              <w:keepNext/>
            </w:pPr>
          </w:p>
        </w:tc>
        <w:tc>
          <w:tcPr>
            <w:tcW w:w="1366" w:type="dxa"/>
          </w:tcPr>
          <w:p w14:paraId="5729DB8C" w14:textId="77777777" w:rsidR="002922F7" w:rsidRDefault="002922F7" w:rsidP="002922F7">
            <w:pPr>
              <w:pStyle w:val="TabletextLeftTotal"/>
              <w:keepNext/>
            </w:pPr>
            <w:r w:rsidRPr="00EE0E71">
              <w:t>p-value</w:t>
            </w:r>
          </w:p>
        </w:tc>
        <w:tc>
          <w:tcPr>
            <w:tcW w:w="1301" w:type="dxa"/>
          </w:tcPr>
          <w:p w14:paraId="7BD873CE" w14:textId="77777777" w:rsidR="002922F7" w:rsidRDefault="002922F7" w:rsidP="002922F7">
            <w:pPr>
              <w:pStyle w:val="TabletextCentre"/>
              <w:keepNext/>
            </w:pPr>
            <w:r w:rsidRPr="00AA00B6">
              <w:t>0.3281</w:t>
            </w:r>
          </w:p>
        </w:tc>
        <w:tc>
          <w:tcPr>
            <w:tcW w:w="1301" w:type="dxa"/>
          </w:tcPr>
          <w:p w14:paraId="39DF9FE5" w14:textId="77777777" w:rsidR="002922F7" w:rsidRDefault="002922F7" w:rsidP="002922F7">
            <w:pPr>
              <w:pStyle w:val="TabletextCentre"/>
              <w:keepNext/>
            </w:pPr>
            <w:r w:rsidRPr="00AA00B6">
              <w:t>0.4444</w:t>
            </w:r>
          </w:p>
        </w:tc>
        <w:tc>
          <w:tcPr>
            <w:tcW w:w="1309" w:type="dxa"/>
          </w:tcPr>
          <w:p w14:paraId="5305E9FC" w14:textId="77777777" w:rsidR="002922F7" w:rsidRDefault="002922F7" w:rsidP="002922F7">
            <w:pPr>
              <w:pStyle w:val="TabletextCentre"/>
              <w:keepNext/>
            </w:pPr>
            <w:r w:rsidRPr="00AA00B6">
              <w:t>0.7553</w:t>
            </w:r>
          </w:p>
        </w:tc>
        <w:tc>
          <w:tcPr>
            <w:tcW w:w="1302" w:type="dxa"/>
          </w:tcPr>
          <w:p w14:paraId="24EE4190" w14:textId="77777777" w:rsidR="002922F7" w:rsidRDefault="002922F7" w:rsidP="002922F7">
            <w:pPr>
              <w:pStyle w:val="TabletextCentre"/>
              <w:keepNext/>
            </w:pPr>
            <w:r w:rsidRPr="00AA00B6">
              <w:t>0.1642</w:t>
            </w:r>
          </w:p>
        </w:tc>
      </w:tr>
      <w:tr w:rsidR="002922F7" w14:paraId="1B5500B2" w14:textId="77777777" w:rsidTr="002922F7">
        <w:tc>
          <w:tcPr>
            <w:tcW w:w="1092" w:type="dxa"/>
            <w:vMerge/>
          </w:tcPr>
          <w:p w14:paraId="75C036CE" w14:textId="77777777" w:rsidR="002922F7" w:rsidRPr="00EE0E71" w:rsidRDefault="002922F7" w:rsidP="002922F7">
            <w:pPr>
              <w:keepNext/>
            </w:pPr>
          </w:p>
        </w:tc>
        <w:tc>
          <w:tcPr>
            <w:tcW w:w="1355" w:type="dxa"/>
            <w:vMerge w:val="restart"/>
            <w:vAlign w:val="center"/>
          </w:tcPr>
          <w:p w14:paraId="6A036D4D" w14:textId="77777777" w:rsidR="002922F7" w:rsidRDefault="002922F7" w:rsidP="002922F7">
            <w:pPr>
              <w:pStyle w:val="TabletextCentreTotal"/>
              <w:keepNext/>
            </w:pPr>
            <w:r w:rsidRPr="00EE0E71">
              <w:t>3rd quartile</w:t>
            </w:r>
          </w:p>
        </w:tc>
        <w:tc>
          <w:tcPr>
            <w:tcW w:w="1366" w:type="dxa"/>
          </w:tcPr>
          <w:p w14:paraId="2085158A" w14:textId="77777777" w:rsidR="002922F7" w:rsidRDefault="002922F7" w:rsidP="002922F7">
            <w:pPr>
              <w:pStyle w:val="TabletextLeftTotal"/>
              <w:keepNext/>
            </w:pPr>
            <w:r w:rsidRPr="00EE0E71">
              <w:t>observed proportion</w:t>
            </w:r>
          </w:p>
        </w:tc>
        <w:tc>
          <w:tcPr>
            <w:tcW w:w="1301" w:type="dxa"/>
          </w:tcPr>
          <w:p w14:paraId="2C981E8F" w14:textId="77777777" w:rsidR="002922F7" w:rsidRDefault="002922F7" w:rsidP="002922F7">
            <w:pPr>
              <w:pStyle w:val="TabletextCentre"/>
              <w:keepNext/>
            </w:pPr>
            <w:r w:rsidRPr="00AA00B6">
              <w:t>9.60%</w:t>
            </w:r>
          </w:p>
        </w:tc>
        <w:tc>
          <w:tcPr>
            <w:tcW w:w="1301" w:type="dxa"/>
          </w:tcPr>
          <w:p w14:paraId="62D91C1A" w14:textId="77777777" w:rsidR="002922F7" w:rsidRDefault="002922F7" w:rsidP="002922F7">
            <w:pPr>
              <w:pStyle w:val="TabletextCentre"/>
              <w:keepNext/>
            </w:pPr>
            <w:r w:rsidRPr="00AA00B6">
              <w:t>8.47%</w:t>
            </w:r>
          </w:p>
        </w:tc>
        <w:tc>
          <w:tcPr>
            <w:tcW w:w="1309" w:type="dxa"/>
          </w:tcPr>
          <w:p w14:paraId="3E180E93" w14:textId="77777777" w:rsidR="002922F7" w:rsidRDefault="002922F7" w:rsidP="002922F7">
            <w:pPr>
              <w:pStyle w:val="TabletextCentre"/>
              <w:keepNext/>
            </w:pPr>
            <w:r w:rsidRPr="00AA00B6">
              <w:t>7.34%</w:t>
            </w:r>
          </w:p>
        </w:tc>
        <w:tc>
          <w:tcPr>
            <w:tcW w:w="1302" w:type="dxa"/>
          </w:tcPr>
          <w:p w14:paraId="3BF40448" w14:textId="77777777" w:rsidR="002922F7" w:rsidRDefault="002922F7" w:rsidP="002922F7">
            <w:pPr>
              <w:pStyle w:val="TabletextCentre"/>
              <w:keepNext/>
            </w:pPr>
            <w:r w:rsidRPr="00AA00B6">
              <w:t>9.04%</w:t>
            </w:r>
          </w:p>
        </w:tc>
      </w:tr>
      <w:tr w:rsidR="002922F7" w14:paraId="0A99D8AD" w14:textId="77777777" w:rsidTr="002922F7">
        <w:tc>
          <w:tcPr>
            <w:tcW w:w="1092" w:type="dxa"/>
            <w:vMerge/>
          </w:tcPr>
          <w:p w14:paraId="27086B88" w14:textId="77777777" w:rsidR="002922F7" w:rsidRDefault="002922F7" w:rsidP="002922F7">
            <w:pPr>
              <w:keepNext/>
            </w:pPr>
          </w:p>
        </w:tc>
        <w:tc>
          <w:tcPr>
            <w:tcW w:w="1355" w:type="dxa"/>
            <w:vMerge/>
            <w:vAlign w:val="center"/>
          </w:tcPr>
          <w:p w14:paraId="09120319" w14:textId="77777777" w:rsidR="002922F7" w:rsidRDefault="002922F7" w:rsidP="002922F7">
            <w:pPr>
              <w:pStyle w:val="TabletextCentreTotal"/>
              <w:keepNext/>
            </w:pPr>
          </w:p>
        </w:tc>
        <w:tc>
          <w:tcPr>
            <w:tcW w:w="1366" w:type="dxa"/>
          </w:tcPr>
          <w:p w14:paraId="130D7C86" w14:textId="77777777" w:rsidR="002922F7" w:rsidRDefault="002922F7" w:rsidP="002922F7">
            <w:pPr>
              <w:pStyle w:val="TabletextLeftTotal"/>
              <w:keepNext/>
            </w:pPr>
            <w:r w:rsidRPr="00EE0E71">
              <w:t>expected proportion</w:t>
            </w:r>
          </w:p>
        </w:tc>
        <w:tc>
          <w:tcPr>
            <w:tcW w:w="1301" w:type="dxa"/>
          </w:tcPr>
          <w:p w14:paraId="076EDB21" w14:textId="77777777" w:rsidR="002922F7" w:rsidRDefault="002922F7" w:rsidP="002922F7">
            <w:pPr>
              <w:pStyle w:val="TabletextCentre"/>
              <w:keepNext/>
            </w:pPr>
            <w:r w:rsidRPr="00AA00B6">
              <w:t>8.47%</w:t>
            </w:r>
          </w:p>
        </w:tc>
        <w:tc>
          <w:tcPr>
            <w:tcW w:w="1301" w:type="dxa"/>
          </w:tcPr>
          <w:p w14:paraId="42D9282D" w14:textId="77777777" w:rsidR="002922F7" w:rsidRDefault="002922F7" w:rsidP="002922F7">
            <w:pPr>
              <w:pStyle w:val="TabletextCentre"/>
              <w:keepNext/>
            </w:pPr>
            <w:r w:rsidRPr="00AA00B6">
              <w:t>8.08%</w:t>
            </w:r>
          </w:p>
        </w:tc>
        <w:tc>
          <w:tcPr>
            <w:tcW w:w="1309" w:type="dxa"/>
          </w:tcPr>
          <w:p w14:paraId="1FE7201D" w14:textId="77777777" w:rsidR="002922F7" w:rsidRDefault="002922F7" w:rsidP="002922F7">
            <w:pPr>
              <w:pStyle w:val="TabletextCentre"/>
              <w:keepNext/>
            </w:pPr>
            <w:r w:rsidRPr="00AA00B6">
              <w:t>9.05%</w:t>
            </w:r>
          </w:p>
        </w:tc>
        <w:tc>
          <w:tcPr>
            <w:tcW w:w="1302" w:type="dxa"/>
          </w:tcPr>
          <w:p w14:paraId="00C7C33E" w14:textId="77777777" w:rsidR="002922F7" w:rsidRDefault="002922F7" w:rsidP="002922F7">
            <w:pPr>
              <w:pStyle w:val="TabletextCentre"/>
              <w:keepNext/>
            </w:pPr>
            <w:r w:rsidRPr="00AA00B6">
              <w:t>8.86%</w:t>
            </w:r>
          </w:p>
        </w:tc>
      </w:tr>
      <w:tr w:rsidR="002922F7" w14:paraId="47541BFA" w14:textId="77777777" w:rsidTr="002922F7">
        <w:tc>
          <w:tcPr>
            <w:tcW w:w="1092" w:type="dxa"/>
            <w:vMerge/>
          </w:tcPr>
          <w:p w14:paraId="4B1A0C56" w14:textId="77777777" w:rsidR="002922F7" w:rsidRDefault="002922F7" w:rsidP="002922F7">
            <w:pPr>
              <w:keepNext/>
            </w:pPr>
          </w:p>
        </w:tc>
        <w:tc>
          <w:tcPr>
            <w:tcW w:w="1355" w:type="dxa"/>
            <w:vMerge/>
            <w:vAlign w:val="center"/>
          </w:tcPr>
          <w:p w14:paraId="41581A05" w14:textId="77777777" w:rsidR="002922F7" w:rsidRDefault="002922F7" w:rsidP="002922F7">
            <w:pPr>
              <w:pStyle w:val="TabletextCentreTotal"/>
              <w:keepNext/>
            </w:pPr>
          </w:p>
        </w:tc>
        <w:tc>
          <w:tcPr>
            <w:tcW w:w="1366" w:type="dxa"/>
          </w:tcPr>
          <w:p w14:paraId="6BEAFAA5" w14:textId="77777777" w:rsidR="002922F7" w:rsidRDefault="002922F7" w:rsidP="002922F7">
            <w:pPr>
              <w:pStyle w:val="TabletextLeftTotal"/>
              <w:keepNext/>
            </w:pPr>
            <w:r w:rsidRPr="00EE0E71">
              <w:t>p-value</w:t>
            </w:r>
          </w:p>
        </w:tc>
        <w:tc>
          <w:tcPr>
            <w:tcW w:w="1301" w:type="dxa"/>
          </w:tcPr>
          <w:p w14:paraId="309E7B10" w14:textId="77777777" w:rsidR="002922F7" w:rsidRDefault="002922F7" w:rsidP="002922F7">
            <w:pPr>
              <w:pStyle w:val="TabletextCentre"/>
              <w:keepNext/>
            </w:pPr>
            <w:r w:rsidRPr="00AA00B6">
              <w:t>0.2968</w:t>
            </w:r>
          </w:p>
        </w:tc>
        <w:tc>
          <w:tcPr>
            <w:tcW w:w="1301" w:type="dxa"/>
          </w:tcPr>
          <w:p w14:paraId="4AE3D6AD" w14:textId="77777777" w:rsidR="002922F7" w:rsidRDefault="002922F7" w:rsidP="002922F7">
            <w:pPr>
              <w:pStyle w:val="TabletextCentre"/>
              <w:keepNext/>
            </w:pPr>
            <w:r w:rsidRPr="00AA00B6">
              <w:t>0.7126</w:t>
            </w:r>
          </w:p>
        </w:tc>
        <w:tc>
          <w:tcPr>
            <w:tcW w:w="1309" w:type="dxa"/>
          </w:tcPr>
          <w:p w14:paraId="21AF77BA" w14:textId="77777777" w:rsidR="002922F7" w:rsidRDefault="002922F7" w:rsidP="002922F7">
            <w:pPr>
              <w:pStyle w:val="TabletextCentre"/>
              <w:keepNext/>
            </w:pPr>
            <w:r w:rsidRPr="00AA00B6">
              <w:t>0.1242</w:t>
            </w:r>
          </w:p>
        </w:tc>
        <w:tc>
          <w:tcPr>
            <w:tcW w:w="1302" w:type="dxa"/>
          </w:tcPr>
          <w:p w14:paraId="6390DBFB" w14:textId="77777777" w:rsidR="002922F7" w:rsidRDefault="002922F7" w:rsidP="002922F7">
            <w:pPr>
              <w:pStyle w:val="TabletextCentre"/>
              <w:keepNext/>
            </w:pPr>
            <w:r w:rsidRPr="00AA00B6">
              <w:t>0.8702</w:t>
            </w:r>
          </w:p>
        </w:tc>
      </w:tr>
      <w:tr w:rsidR="002922F7" w14:paraId="1B2B9C01" w14:textId="77777777" w:rsidTr="002922F7">
        <w:tc>
          <w:tcPr>
            <w:tcW w:w="1092" w:type="dxa"/>
            <w:vMerge/>
          </w:tcPr>
          <w:p w14:paraId="00C21FF7" w14:textId="77777777" w:rsidR="002922F7" w:rsidRPr="00EE0E71" w:rsidRDefault="002922F7" w:rsidP="002922F7">
            <w:pPr>
              <w:keepNext/>
            </w:pPr>
          </w:p>
        </w:tc>
        <w:tc>
          <w:tcPr>
            <w:tcW w:w="1355" w:type="dxa"/>
            <w:vMerge w:val="restart"/>
            <w:vAlign w:val="center"/>
          </w:tcPr>
          <w:p w14:paraId="3250E78D" w14:textId="77777777" w:rsidR="002922F7" w:rsidRDefault="002922F7" w:rsidP="002922F7">
            <w:pPr>
              <w:pStyle w:val="TabletextCentreTotal"/>
              <w:keepNext/>
            </w:pPr>
            <w:r w:rsidRPr="00EE0E71">
              <w:t>4th quartile</w:t>
            </w:r>
          </w:p>
        </w:tc>
        <w:tc>
          <w:tcPr>
            <w:tcW w:w="1366" w:type="dxa"/>
          </w:tcPr>
          <w:p w14:paraId="64CFD521" w14:textId="77777777" w:rsidR="002922F7" w:rsidRDefault="002922F7" w:rsidP="002922F7">
            <w:pPr>
              <w:pStyle w:val="TabletextLeftTotal"/>
              <w:keepNext/>
            </w:pPr>
            <w:r w:rsidRPr="00EE0E71">
              <w:t>observed proportion</w:t>
            </w:r>
          </w:p>
        </w:tc>
        <w:tc>
          <w:tcPr>
            <w:tcW w:w="1301" w:type="dxa"/>
          </w:tcPr>
          <w:p w14:paraId="14302E37" w14:textId="77777777" w:rsidR="002922F7" w:rsidRDefault="002922F7" w:rsidP="002922F7">
            <w:pPr>
              <w:pStyle w:val="TabletextCentre"/>
              <w:keepNext/>
            </w:pPr>
            <w:r w:rsidRPr="00AA00B6">
              <w:t>8.76%</w:t>
            </w:r>
          </w:p>
        </w:tc>
        <w:tc>
          <w:tcPr>
            <w:tcW w:w="1301" w:type="dxa"/>
          </w:tcPr>
          <w:p w14:paraId="1769C043" w14:textId="77777777" w:rsidR="002922F7" w:rsidRDefault="002922F7" w:rsidP="002922F7">
            <w:pPr>
              <w:pStyle w:val="TabletextCentre"/>
              <w:keepNext/>
            </w:pPr>
            <w:r w:rsidRPr="00AA00B6">
              <w:t>6.21%</w:t>
            </w:r>
          </w:p>
        </w:tc>
        <w:tc>
          <w:tcPr>
            <w:tcW w:w="1309" w:type="dxa"/>
          </w:tcPr>
          <w:p w14:paraId="4F017A5E" w14:textId="77777777" w:rsidR="002922F7" w:rsidRDefault="002922F7" w:rsidP="002922F7">
            <w:pPr>
              <w:pStyle w:val="TabletextCentre"/>
              <w:keepNext/>
            </w:pPr>
            <w:r w:rsidRPr="00AA00B6">
              <w:t>8.47%</w:t>
            </w:r>
          </w:p>
        </w:tc>
        <w:tc>
          <w:tcPr>
            <w:tcW w:w="1302" w:type="dxa"/>
          </w:tcPr>
          <w:p w14:paraId="06C0528D" w14:textId="77777777" w:rsidR="002922F7" w:rsidRDefault="002922F7" w:rsidP="002922F7">
            <w:pPr>
              <w:pStyle w:val="TabletextCentre"/>
              <w:keepNext/>
            </w:pPr>
            <w:r w:rsidRPr="00AA00B6">
              <w:t>5.65%</w:t>
            </w:r>
          </w:p>
        </w:tc>
      </w:tr>
      <w:tr w:rsidR="002922F7" w14:paraId="06F18D30" w14:textId="77777777" w:rsidTr="002922F7">
        <w:tc>
          <w:tcPr>
            <w:tcW w:w="1092" w:type="dxa"/>
            <w:vMerge/>
          </w:tcPr>
          <w:p w14:paraId="730C8F5A" w14:textId="77777777" w:rsidR="002922F7" w:rsidRDefault="002922F7" w:rsidP="002922F7">
            <w:pPr>
              <w:keepNext/>
            </w:pPr>
          </w:p>
        </w:tc>
        <w:tc>
          <w:tcPr>
            <w:tcW w:w="1355" w:type="dxa"/>
            <w:vMerge/>
          </w:tcPr>
          <w:p w14:paraId="43E46A5A" w14:textId="77777777" w:rsidR="002922F7" w:rsidRDefault="002922F7" w:rsidP="002922F7">
            <w:pPr>
              <w:pStyle w:val="TabletextCentreTotal"/>
              <w:keepNext/>
            </w:pPr>
          </w:p>
        </w:tc>
        <w:tc>
          <w:tcPr>
            <w:tcW w:w="1366" w:type="dxa"/>
          </w:tcPr>
          <w:p w14:paraId="2CD0E5E0" w14:textId="77777777" w:rsidR="002922F7" w:rsidRDefault="002922F7" w:rsidP="002922F7">
            <w:pPr>
              <w:pStyle w:val="TabletextLeftTotal"/>
              <w:keepNext/>
            </w:pPr>
            <w:r w:rsidRPr="00EE0E71">
              <w:t>expected proportion</w:t>
            </w:r>
          </w:p>
        </w:tc>
        <w:tc>
          <w:tcPr>
            <w:tcW w:w="1301" w:type="dxa"/>
          </w:tcPr>
          <w:p w14:paraId="650F7A6B" w14:textId="77777777" w:rsidR="002922F7" w:rsidRDefault="002922F7" w:rsidP="002922F7">
            <w:pPr>
              <w:pStyle w:val="TabletextCentre"/>
              <w:keepNext/>
            </w:pPr>
            <w:r w:rsidRPr="00AA00B6">
              <w:t>7.15%</w:t>
            </w:r>
          </w:p>
        </w:tc>
        <w:tc>
          <w:tcPr>
            <w:tcW w:w="1301" w:type="dxa"/>
          </w:tcPr>
          <w:p w14:paraId="1DD855FB" w14:textId="77777777" w:rsidR="002922F7" w:rsidRDefault="002922F7" w:rsidP="002922F7">
            <w:pPr>
              <w:pStyle w:val="TabletextCentre"/>
              <w:keepNext/>
            </w:pPr>
            <w:r w:rsidRPr="00AA00B6">
              <w:t>6.82%</w:t>
            </w:r>
          </w:p>
        </w:tc>
        <w:tc>
          <w:tcPr>
            <w:tcW w:w="1309" w:type="dxa"/>
          </w:tcPr>
          <w:p w14:paraId="0F67425F" w14:textId="77777777" w:rsidR="002922F7" w:rsidRDefault="002922F7" w:rsidP="002922F7">
            <w:pPr>
              <w:pStyle w:val="TabletextCentre"/>
              <w:keepNext/>
            </w:pPr>
            <w:r w:rsidRPr="00AA00B6">
              <w:t>7.64%</w:t>
            </w:r>
          </w:p>
        </w:tc>
        <w:tc>
          <w:tcPr>
            <w:tcW w:w="1302" w:type="dxa"/>
          </w:tcPr>
          <w:p w14:paraId="0769F53B" w14:textId="77777777" w:rsidR="002922F7" w:rsidRDefault="002922F7" w:rsidP="002922F7">
            <w:pPr>
              <w:pStyle w:val="TabletextCentre"/>
              <w:keepNext/>
            </w:pPr>
            <w:r w:rsidRPr="00AA00B6">
              <w:t>7.48%</w:t>
            </w:r>
          </w:p>
        </w:tc>
      </w:tr>
      <w:tr w:rsidR="002922F7" w14:paraId="23F92256" w14:textId="77777777" w:rsidTr="002922F7">
        <w:tc>
          <w:tcPr>
            <w:tcW w:w="1092" w:type="dxa"/>
            <w:vMerge/>
          </w:tcPr>
          <w:p w14:paraId="7BC2191D" w14:textId="77777777" w:rsidR="002922F7" w:rsidRDefault="002922F7" w:rsidP="002922F7">
            <w:pPr>
              <w:keepNext/>
            </w:pPr>
          </w:p>
        </w:tc>
        <w:tc>
          <w:tcPr>
            <w:tcW w:w="1355" w:type="dxa"/>
            <w:vMerge/>
          </w:tcPr>
          <w:p w14:paraId="604A73F4" w14:textId="77777777" w:rsidR="002922F7" w:rsidRDefault="002922F7" w:rsidP="002922F7">
            <w:pPr>
              <w:pStyle w:val="TabletextCentreTotal"/>
              <w:keepNext/>
            </w:pPr>
          </w:p>
        </w:tc>
        <w:tc>
          <w:tcPr>
            <w:tcW w:w="1366" w:type="dxa"/>
          </w:tcPr>
          <w:p w14:paraId="234F52C0" w14:textId="77777777" w:rsidR="002922F7" w:rsidRDefault="002922F7" w:rsidP="002922F7">
            <w:pPr>
              <w:pStyle w:val="TabletextLeftTotal"/>
              <w:keepNext/>
            </w:pPr>
            <w:r w:rsidRPr="00EE0E71">
              <w:t>p-value</w:t>
            </w:r>
          </w:p>
        </w:tc>
        <w:tc>
          <w:tcPr>
            <w:tcW w:w="1301" w:type="dxa"/>
          </w:tcPr>
          <w:p w14:paraId="352653F0" w14:textId="77777777" w:rsidR="002922F7" w:rsidRDefault="002922F7" w:rsidP="002922F7">
            <w:pPr>
              <w:pStyle w:val="TabletextCentre"/>
              <w:keepNext/>
            </w:pPr>
            <w:r w:rsidRPr="00AA00B6">
              <w:t>0.1222</w:t>
            </w:r>
          </w:p>
        </w:tc>
        <w:tc>
          <w:tcPr>
            <w:tcW w:w="1301" w:type="dxa"/>
          </w:tcPr>
          <w:p w14:paraId="1A6EDCE8" w14:textId="77777777" w:rsidR="002922F7" w:rsidRDefault="002922F7" w:rsidP="002922F7">
            <w:pPr>
              <w:pStyle w:val="TabletextCentre"/>
              <w:keepNext/>
            </w:pPr>
            <w:r w:rsidRPr="00AA00B6">
              <w:t>0.5527</w:t>
            </w:r>
          </w:p>
        </w:tc>
        <w:tc>
          <w:tcPr>
            <w:tcW w:w="1309" w:type="dxa"/>
          </w:tcPr>
          <w:p w14:paraId="2A1D6508" w14:textId="77777777" w:rsidR="002922F7" w:rsidRDefault="002922F7" w:rsidP="002922F7">
            <w:pPr>
              <w:pStyle w:val="TabletextCentre"/>
              <w:keepNext/>
            </w:pPr>
            <w:r w:rsidRPr="00AA00B6">
              <w:t>0.4343</w:t>
            </w:r>
          </w:p>
        </w:tc>
        <w:tc>
          <w:tcPr>
            <w:tcW w:w="1302" w:type="dxa"/>
          </w:tcPr>
          <w:p w14:paraId="44B9B8F3" w14:textId="77777777" w:rsidR="002922F7" w:rsidRDefault="002922F7" w:rsidP="002922F7">
            <w:pPr>
              <w:pStyle w:val="TabletextCentre"/>
              <w:keepNext/>
            </w:pPr>
            <w:r w:rsidRPr="00AA00B6">
              <w:t>0.0828</w:t>
            </w:r>
          </w:p>
        </w:tc>
      </w:tr>
    </w:tbl>
    <w:p w14:paraId="27A711D7" w14:textId="77777777" w:rsidR="002922F7" w:rsidRDefault="002922F7" w:rsidP="002922F7">
      <w:pPr>
        <w:rPr>
          <w:lang w:eastAsia="en-AU"/>
        </w:rPr>
      </w:pPr>
    </w:p>
    <w:p w14:paraId="4F641B5A" w14:textId="14614FB4" w:rsidR="002922F7" w:rsidRDefault="002922F7" w:rsidP="00400621">
      <w:pPr>
        <w:pStyle w:val="AppendixTableCaption"/>
        <w:numPr>
          <w:ilvl w:val="6"/>
          <w:numId w:val="11"/>
        </w:numPr>
      </w:pPr>
      <w:bookmarkStart w:id="302" w:name="_Toc40454709"/>
      <w:r>
        <w:lastRenderedPageBreak/>
        <w:t xml:space="preserve">Overheads and </w:t>
      </w:r>
      <w:r w:rsidR="00A6707A">
        <w:t xml:space="preserve">implied </w:t>
      </w:r>
      <w:r>
        <w:t>margins, cross</w:t>
      </w:r>
      <w:r>
        <w:noBreakHyphen/>
        <w:t>tabulated distribution</w:t>
      </w:r>
      <w:bookmarkEnd w:id="302"/>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6021CE7C"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4E7A3904" w14:textId="77777777" w:rsidR="002922F7" w:rsidRDefault="002922F7" w:rsidP="002922F7">
            <w:pPr>
              <w:keepNext/>
            </w:pPr>
          </w:p>
        </w:tc>
        <w:tc>
          <w:tcPr>
            <w:tcW w:w="1355" w:type="dxa"/>
          </w:tcPr>
          <w:p w14:paraId="41EA28D1" w14:textId="77777777" w:rsidR="002922F7" w:rsidRDefault="002922F7" w:rsidP="002922F7">
            <w:pPr>
              <w:keepNext/>
            </w:pPr>
          </w:p>
        </w:tc>
        <w:tc>
          <w:tcPr>
            <w:tcW w:w="1366" w:type="dxa"/>
          </w:tcPr>
          <w:p w14:paraId="4F2CB603" w14:textId="77777777" w:rsidR="002922F7" w:rsidRDefault="002922F7" w:rsidP="002922F7">
            <w:pPr>
              <w:keepNext/>
            </w:pPr>
          </w:p>
        </w:tc>
        <w:tc>
          <w:tcPr>
            <w:tcW w:w="5213" w:type="dxa"/>
            <w:gridSpan w:val="4"/>
          </w:tcPr>
          <w:p w14:paraId="014F7400" w14:textId="1675D581" w:rsidR="002922F7" w:rsidRDefault="00A6707A" w:rsidP="002922F7">
            <w:pPr>
              <w:pStyle w:val="TableHeadingCentre"/>
              <w:keepNext/>
            </w:pPr>
            <w:r>
              <w:t>Implied m</w:t>
            </w:r>
            <w:r w:rsidR="002922F7">
              <w:t>argins</w:t>
            </w:r>
          </w:p>
        </w:tc>
      </w:tr>
      <w:tr w:rsidR="002922F7" w14:paraId="4467581E" w14:textId="77777777" w:rsidTr="002922F7">
        <w:tc>
          <w:tcPr>
            <w:tcW w:w="1092" w:type="dxa"/>
          </w:tcPr>
          <w:p w14:paraId="0BFB4484" w14:textId="77777777" w:rsidR="002922F7" w:rsidRDefault="002922F7" w:rsidP="002922F7">
            <w:pPr>
              <w:keepNext/>
            </w:pPr>
          </w:p>
        </w:tc>
        <w:tc>
          <w:tcPr>
            <w:tcW w:w="1355" w:type="dxa"/>
          </w:tcPr>
          <w:p w14:paraId="4180363F" w14:textId="77777777" w:rsidR="002922F7" w:rsidRDefault="002922F7" w:rsidP="002922F7">
            <w:pPr>
              <w:keepNext/>
            </w:pPr>
          </w:p>
        </w:tc>
        <w:tc>
          <w:tcPr>
            <w:tcW w:w="1366" w:type="dxa"/>
          </w:tcPr>
          <w:p w14:paraId="6EADF4DD" w14:textId="77777777" w:rsidR="002922F7" w:rsidRDefault="002922F7" w:rsidP="002922F7">
            <w:pPr>
              <w:keepNext/>
            </w:pPr>
          </w:p>
        </w:tc>
        <w:tc>
          <w:tcPr>
            <w:tcW w:w="1301" w:type="dxa"/>
          </w:tcPr>
          <w:p w14:paraId="2297A44B" w14:textId="77777777" w:rsidR="002922F7" w:rsidRDefault="002922F7" w:rsidP="002922F7">
            <w:pPr>
              <w:pStyle w:val="TabletextCentreTotal"/>
              <w:keepNext/>
              <w:jc w:val="left"/>
            </w:pPr>
            <w:r w:rsidRPr="00EE0E71">
              <w:t>1st quartile</w:t>
            </w:r>
          </w:p>
        </w:tc>
        <w:tc>
          <w:tcPr>
            <w:tcW w:w="1301" w:type="dxa"/>
          </w:tcPr>
          <w:p w14:paraId="2E869B34" w14:textId="77777777" w:rsidR="002922F7" w:rsidRDefault="002922F7" w:rsidP="002922F7">
            <w:pPr>
              <w:pStyle w:val="TabletextCentreTotal"/>
              <w:keepNext/>
            </w:pPr>
            <w:r w:rsidRPr="00EE0E71">
              <w:t>2nd quartile</w:t>
            </w:r>
          </w:p>
        </w:tc>
        <w:tc>
          <w:tcPr>
            <w:tcW w:w="1309" w:type="dxa"/>
          </w:tcPr>
          <w:p w14:paraId="7CFCD814" w14:textId="77777777" w:rsidR="002922F7" w:rsidRDefault="002922F7" w:rsidP="002922F7">
            <w:pPr>
              <w:pStyle w:val="TabletextCentreTotal"/>
              <w:keepNext/>
            </w:pPr>
            <w:r w:rsidRPr="00EE0E71">
              <w:t>3rd quartile</w:t>
            </w:r>
          </w:p>
        </w:tc>
        <w:tc>
          <w:tcPr>
            <w:tcW w:w="1302" w:type="dxa"/>
          </w:tcPr>
          <w:p w14:paraId="0AFA6E55" w14:textId="77777777" w:rsidR="002922F7" w:rsidRDefault="002922F7" w:rsidP="002922F7">
            <w:pPr>
              <w:pStyle w:val="TabletextCentreTotal"/>
              <w:keepNext/>
              <w:jc w:val="right"/>
            </w:pPr>
            <w:r w:rsidRPr="00EE0E71">
              <w:t>4th quartile</w:t>
            </w:r>
          </w:p>
        </w:tc>
      </w:tr>
      <w:tr w:rsidR="002922F7" w14:paraId="371F5E11" w14:textId="77777777" w:rsidTr="002922F7">
        <w:tc>
          <w:tcPr>
            <w:tcW w:w="1092" w:type="dxa"/>
            <w:vMerge w:val="restart"/>
            <w:textDirection w:val="btLr"/>
          </w:tcPr>
          <w:p w14:paraId="4BAC5B4D" w14:textId="77777777" w:rsidR="002922F7" w:rsidRPr="00EE0E71" w:rsidRDefault="002922F7" w:rsidP="002922F7">
            <w:pPr>
              <w:pStyle w:val="TableHeadingCentre"/>
              <w:keepNext/>
            </w:pPr>
            <w:r>
              <w:t>Overheads</w:t>
            </w:r>
          </w:p>
        </w:tc>
        <w:tc>
          <w:tcPr>
            <w:tcW w:w="1355" w:type="dxa"/>
            <w:vMerge w:val="restart"/>
            <w:vAlign w:val="center"/>
          </w:tcPr>
          <w:p w14:paraId="2E378219" w14:textId="77777777" w:rsidR="002922F7" w:rsidRDefault="002922F7" w:rsidP="002922F7">
            <w:pPr>
              <w:pStyle w:val="TabletextCentreTotal"/>
              <w:keepNext/>
            </w:pPr>
            <w:r w:rsidRPr="00EE0E71">
              <w:t>1st quartile</w:t>
            </w:r>
          </w:p>
        </w:tc>
        <w:tc>
          <w:tcPr>
            <w:tcW w:w="1366" w:type="dxa"/>
          </w:tcPr>
          <w:p w14:paraId="2286CCDB" w14:textId="77777777" w:rsidR="002922F7" w:rsidRDefault="002922F7" w:rsidP="002922F7">
            <w:pPr>
              <w:pStyle w:val="TabletextLeftTotal"/>
              <w:keepNext/>
            </w:pPr>
            <w:r w:rsidRPr="00EE0E71">
              <w:t>observed proportion</w:t>
            </w:r>
          </w:p>
        </w:tc>
        <w:tc>
          <w:tcPr>
            <w:tcW w:w="1301" w:type="dxa"/>
          </w:tcPr>
          <w:p w14:paraId="286DA3E2" w14:textId="77777777" w:rsidR="002922F7" w:rsidRDefault="002922F7" w:rsidP="002922F7">
            <w:pPr>
              <w:pStyle w:val="TabletextCentre"/>
              <w:keepNext/>
            </w:pPr>
            <w:r w:rsidRPr="00107444">
              <w:t>7.76%</w:t>
            </w:r>
          </w:p>
        </w:tc>
        <w:tc>
          <w:tcPr>
            <w:tcW w:w="1301" w:type="dxa"/>
          </w:tcPr>
          <w:p w14:paraId="1134E308" w14:textId="77777777" w:rsidR="002922F7" w:rsidRDefault="002922F7" w:rsidP="002922F7">
            <w:pPr>
              <w:pStyle w:val="TabletextCentre"/>
              <w:keepNext/>
            </w:pPr>
            <w:r w:rsidRPr="00107444">
              <w:t>4.31%</w:t>
            </w:r>
          </w:p>
        </w:tc>
        <w:tc>
          <w:tcPr>
            <w:tcW w:w="1309" w:type="dxa"/>
          </w:tcPr>
          <w:p w14:paraId="34F659C9" w14:textId="77777777" w:rsidR="002922F7" w:rsidRDefault="002922F7" w:rsidP="002922F7">
            <w:pPr>
              <w:pStyle w:val="TabletextCentre"/>
              <w:keepNext/>
            </w:pPr>
            <w:r w:rsidRPr="00107444">
              <w:t>3.88%</w:t>
            </w:r>
          </w:p>
        </w:tc>
        <w:tc>
          <w:tcPr>
            <w:tcW w:w="1302" w:type="dxa"/>
          </w:tcPr>
          <w:p w14:paraId="69DF507B" w14:textId="77777777" w:rsidR="002922F7" w:rsidRDefault="002922F7" w:rsidP="002922F7">
            <w:pPr>
              <w:pStyle w:val="TabletextCentre"/>
              <w:keepNext/>
            </w:pPr>
            <w:r w:rsidRPr="00107444">
              <w:t>6.03%</w:t>
            </w:r>
          </w:p>
        </w:tc>
      </w:tr>
      <w:tr w:rsidR="002922F7" w14:paraId="16E2EDBD" w14:textId="77777777" w:rsidTr="002922F7">
        <w:tc>
          <w:tcPr>
            <w:tcW w:w="1092" w:type="dxa"/>
            <w:vMerge/>
          </w:tcPr>
          <w:p w14:paraId="496894C8" w14:textId="77777777" w:rsidR="002922F7" w:rsidRDefault="002922F7" w:rsidP="002922F7">
            <w:pPr>
              <w:keepNext/>
            </w:pPr>
          </w:p>
        </w:tc>
        <w:tc>
          <w:tcPr>
            <w:tcW w:w="1355" w:type="dxa"/>
            <w:vMerge/>
            <w:vAlign w:val="center"/>
          </w:tcPr>
          <w:p w14:paraId="4C2097FE" w14:textId="77777777" w:rsidR="002922F7" w:rsidRDefault="002922F7" w:rsidP="002922F7">
            <w:pPr>
              <w:pStyle w:val="TabletextCentreTotal"/>
              <w:keepNext/>
            </w:pPr>
          </w:p>
        </w:tc>
        <w:tc>
          <w:tcPr>
            <w:tcW w:w="1366" w:type="dxa"/>
          </w:tcPr>
          <w:p w14:paraId="1973D53A" w14:textId="77777777" w:rsidR="002922F7" w:rsidRDefault="002922F7" w:rsidP="002922F7">
            <w:pPr>
              <w:pStyle w:val="TabletextLeftTotal"/>
              <w:keepNext/>
            </w:pPr>
            <w:r w:rsidRPr="00EE0E71">
              <w:t>expected proportion</w:t>
            </w:r>
          </w:p>
        </w:tc>
        <w:tc>
          <w:tcPr>
            <w:tcW w:w="1301" w:type="dxa"/>
          </w:tcPr>
          <w:p w14:paraId="0BC7BF68" w14:textId="77777777" w:rsidR="002922F7" w:rsidRDefault="002922F7" w:rsidP="002922F7">
            <w:pPr>
              <w:pStyle w:val="TabletextCentre"/>
              <w:keepNext/>
            </w:pPr>
            <w:r w:rsidRPr="00107444">
              <w:t>5.87%</w:t>
            </w:r>
          </w:p>
        </w:tc>
        <w:tc>
          <w:tcPr>
            <w:tcW w:w="1301" w:type="dxa"/>
          </w:tcPr>
          <w:p w14:paraId="0906A824" w14:textId="77777777" w:rsidR="002922F7" w:rsidRDefault="002922F7" w:rsidP="002922F7">
            <w:pPr>
              <w:pStyle w:val="TabletextCentre"/>
              <w:keepNext/>
            </w:pPr>
            <w:r w:rsidRPr="00107444">
              <w:t>5.69%</w:t>
            </w:r>
          </w:p>
        </w:tc>
        <w:tc>
          <w:tcPr>
            <w:tcW w:w="1309" w:type="dxa"/>
          </w:tcPr>
          <w:p w14:paraId="5F6D18C2" w14:textId="77777777" w:rsidR="002922F7" w:rsidRDefault="002922F7" w:rsidP="002922F7">
            <w:pPr>
              <w:pStyle w:val="TabletextCentre"/>
              <w:keepNext/>
            </w:pPr>
            <w:r w:rsidRPr="00107444">
              <w:t>5.12%</w:t>
            </w:r>
          </w:p>
        </w:tc>
        <w:tc>
          <w:tcPr>
            <w:tcW w:w="1302" w:type="dxa"/>
          </w:tcPr>
          <w:p w14:paraId="775BC6B4" w14:textId="77777777" w:rsidR="002922F7" w:rsidRDefault="002922F7" w:rsidP="002922F7">
            <w:pPr>
              <w:pStyle w:val="TabletextCentre"/>
              <w:keepNext/>
            </w:pPr>
            <w:r w:rsidRPr="00107444">
              <w:t>5.31%</w:t>
            </w:r>
          </w:p>
        </w:tc>
      </w:tr>
      <w:tr w:rsidR="002922F7" w14:paraId="4ACFF370" w14:textId="77777777" w:rsidTr="002922F7">
        <w:tc>
          <w:tcPr>
            <w:tcW w:w="1092" w:type="dxa"/>
            <w:vMerge/>
          </w:tcPr>
          <w:p w14:paraId="1AC7395D" w14:textId="77777777" w:rsidR="002922F7" w:rsidRDefault="002922F7" w:rsidP="002922F7">
            <w:pPr>
              <w:keepNext/>
            </w:pPr>
          </w:p>
        </w:tc>
        <w:tc>
          <w:tcPr>
            <w:tcW w:w="1355" w:type="dxa"/>
            <w:vMerge/>
            <w:vAlign w:val="center"/>
          </w:tcPr>
          <w:p w14:paraId="67F0661F" w14:textId="77777777" w:rsidR="002922F7" w:rsidRDefault="002922F7" w:rsidP="002922F7">
            <w:pPr>
              <w:pStyle w:val="TabletextCentreTotal"/>
              <w:keepNext/>
            </w:pPr>
          </w:p>
        </w:tc>
        <w:tc>
          <w:tcPr>
            <w:tcW w:w="1366" w:type="dxa"/>
          </w:tcPr>
          <w:p w14:paraId="0C8A9C17" w14:textId="77777777" w:rsidR="002922F7" w:rsidRDefault="002922F7" w:rsidP="002922F7">
            <w:pPr>
              <w:pStyle w:val="TabletextLeftTotal"/>
              <w:keepNext/>
            </w:pPr>
            <w:r w:rsidRPr="00EE0E71">
              <w:t>p-value</w:t>
            </w:r>
          </w:p>
        </w:tc>
        <w:tc>
          <w:tcPr>
            <w:tcW w:w="1301" w:type="dxa"/>
          </w:tcPr>
          <w:p w14:paraId="3C92D641" w14:textId="77777777" w:rsidR="002922F7" w:rsidRDefault="002922F7" w:rsidP="002922F7">
            <w:pPr>
              <w:pStyle w:val="TabletextCentre"/>
              <w:keepNext/>
            </w:pPr>
            <w:r w:rsidRPr="00107444">
              <w:t>0.1174</w:t>
            </w:r>
          </w:p>
        </w:tc>
        <w:tc>
          <w:tcPr>
            <w:tcW w:w="1301" w:type="dxa"/>
          </w:tcPr>
          <w:p w14:paraId="6832426B" w14:textId="77777777" w:rsidR="002922F7" w:rsidRDefault="002922F7" w:rsidP="002922F7">
            <w:pPr>
              <w:pStyle w:val="TabletextCentre"/>
              <w:keepNext/>
            </w:pPr>
            <w:r w:rsidRPr="00107444">
              <w:t>0.2482</w:t>
            </w:r>
          </w:p>
        </w:tc>
        <w:tc>
          <w:tcPr>
            <w:tcW w:w="1309" w:type="dxa"/>
          </w:tcPr>
          <w:p w14:paraId="6B2AF5A9" w14:textId="77777777" w:rsidR="002922F7" w:rsidRDefault="002922F7" w:rsidP="002922F7">
            <w:pPr>
              <w:pStyle w:val="TabletextCentre"/>
              <w:keepNext/>
            </w:pPr>
            <w:r w:rsidRPr="00107444">
              <w:t>0.2815</w:t>
            </w:r>
          </w:p>
        </w:tc>
        <w:tc>
          <w:tcPr>
            <w:tcW w:w="1302" w:type="dxa"/>
          </w:tcPr>
          <w:p w14:paraId="6A1F38B9" w14:textId="77777777" w:rsidR="002922F7" w:rsidRDefault="002922F7" w:rsidP="002922F7">
            <w:pPr>
              <w:pStyle w:val="TabletextCentre"/>
              <w:keepNext/>
            </w:pPr>
            <w:r w:rsidRPr="00107444">
              <w:t>0.5313</w:t>
            </w:r>
          </w:p>
        </w:tc>
      </w:tr>
      <w:tr w:rsidR="002922F7" w14:paraId="403C909B" w14:textId="77777777" w:rsidTr="002922F7">
        <w:tc>
          <w:tcPr>
            <w:tcW w:w="1092" w:type="dxa"/>
            <w:vMerge/>
          </w:tcPr>
          <w:p w14:paraId="26BAEE8C" w14:textId="77777777" w:rsidR="002922F7" w:rsidRPr="00EE0E71" w:rsidRDefault="002922F7" w:rsidP="002922F7">
            <w:pPr>
              <w:keepNext/>
            </w:pPr>
          </w:p>
        </w:tc>
        <w:tc>
          <w:tcPr>
            <w:tcW w:w="1355" w:type="dxa"/>
            <w:vMerge w:val="restart"/>
            <w:vAlign w:val="center"/>
          </w:tcPr>
          <w:p w14:paraId="6C5E490C" w14:textId="77777777" w:rsidR="002922F7" w:rsidRDefault="002922F7" w:rsidP="002922F7">
            <w:pPr>
              <w:pStyle w:val="TabletextCentreTotal"/>
              <w:keepNext/>
            </w:pPr>
            <w:r w:rsidRPr="00EE0E71">
              <w:t>2nd quartile</w:t>
            </w:r>
          </w:p>
        </w:tc>
        <w:tc>
          <w:tcPr>
            <w:tcW w:w="1366" w:type="dxa"/>
          </w:tcPr>
          <w:p w14:paraId="7825498B" w14:textId="77777777" w:rsidR="002922F7" w:rsidRDefault="002922F7" w:rsidP="002922F7">
            <w:pPr>
              <w:pStyle w:val="TabletextLeftTotal"/>
              <w:keepNext/>
            </w:pPr>
            <w:r w:rsidRPr="00EE0E71">
              <w:t>observed proportion</w:t>
            </w:r>
          </w:p>
        </w:tc>
        <w:tc>
          <w:tcPr>
            <w:tcW w:w="1301" w:type="dxa"/>
          </w:tcPr>
          <w:p w14:paraId="498340D2" w14:textId="77777777" w:rsidR="002922F7" w:rsidRDefault="002922F7" w:rsidP="002922F7">
            <w:pPr>
              <w:pStyle w:val="TabletextCentre"/>
              <w:keepNext/>
            </w:pPr>
            <w:r w:rsidRPr="00107444">
              <w:t>6.90%</w:t>
            </w:r>
          </w:p>
        </w:tc>
        <w:tc>
          <w:tcPr>
            <w:tcW w:w="1301" w:type="dxa"/>
          </w:tcPr>
          <w:p w14:paraId="4B5AA4B6" w14:textId="77777777" w:rsidR="002922F7" w:rsidRDefault="002922F7" w:rsidP="002922F7">
            <w:pPr>
              <w:pStyle w:val="TabletextCentre"/>
              <w:keepNext/>
            </w:pPr>
            <w:r w:rsidRPr="00107444">
              <w:t>8.19%</w:t>
            </w:r>
          </w:p>
        </w:tc>
        <w:tc>
          <w:tcPr>
            <w:tcW w:w="1309" w:type="dxa"/>
          </w:tcPr>
          <w:p w14:paraId="6F6DAD96" w14:textId="77777777" w:rsidR="002922F7" w:rsidRDefault="002922F7" w:rsidP="002922F7">
            <w:pPr>
              <w:pStyle w:val="TabletextCentre"/>
              <w:keepNext/>
            </w:pPr>
            <w:r w:rsidRPr="00107444">
              <w:t>5.60%</w:t>
            </w:r>
          </w:p>
        </w:tc>
        <w:tc>
          <w:tcPr>
            <w:tcW w:w="1302" w:type="dxa"/>
          </w:tcPr>
          <w:p w14:paraId="5DA93AAB" w14:textId="77777777" w:rsidR="002922F7" w:rsidRDefault="002922F7" w:rsidP="002922F7">
            <w:pPr>
              <w:pStyle w:val="TabletextCentre"/>
              <w:keepNext/>
            </w:pPr>
            <w:r w:rsidRPr="00107444">
              <w:t>4.74%</w:t>
            </w:r>
          </w:p>
        </w:tc>
      </w:tr>
      <w:tr w:rsidR="002922F7" w14:paraId="0BA24483" w14:textId="77777777" w:rsidTr="002922F7">
        <w:tc>
          <w:tcPr>
            <w:tcW w:w="1092" w:type="dxa"/>
            <w:vMerge/>
          </w:tcPr>
          <w:p w14:paraId="6E846605" w14:textId="77777777" w:rsidR="002922F7" w:rsidRDefault="002922F7" w:rsidP="002922F7">
            <w:pPr>
              <w:keepNext/>
            </w:pPr>
          </w:p>
        </w:tc>
        <w:tc>
          <w:tcPr>
            <w:tcW w:w="1355" w:type="dxa"/>
            <w:vMerge/>
            <w:vAlign w:val="center"/>
          </w:tcPr>
          <w:p w14:paraId="684AB43E" w14:textId="77777777" w:rsidR="002922F7" w:rsidRDefault="002922F7" w:rsidP="002922F7">
            <w:pPr>
              <w:pStyle w:val="TabletextCentreTotal"/>
              <w:keepNext/>
            </w:pPr>
          </w:p>
        </w:tc>
        <w:tc>
          <w:tcPr>
            <w:tcW w:w="1366" w:type="dxa"/>
          </w:tcPr>
          <w:p w14:paraId="14F1940E" w14:textId="77777777" w:rsidR="002922F7" w:rsidRDefault="002922F7" w:rsidP="002922F7">
            <w:pPr>
              <w:pStyle w:val="TabletextLeftTotal"/>
              <w:keepNext/>
            </w:pPr>
            <w:r w:rsidRPr="00EE0E71">
              <w:t>expected proportion</w:t>
            </w:r>
          </w:p>
        </w:tc>
        <w:tc>
          <w:tcPr>
            <w:tcW w:w="1301" w:type="dxa"/>
          </w:tcPr>
          <w:p w14:paraId="12C99549" w14:textId="77777777" w:rsidR="002922F7" w:rsidRDefault="002922F7" w:rsidP="002922F7">
            <w:pPr>
              <w:pStyle w:val="TabletextCentre"/>
              <w:keepNext/>
            </w:pPr>
            <w:r w:rsidRPr="00107444">
              <w:t>6.80%</w:t>
            </w:r>
          </w:p>
        </w:tc>
        <w:tc>
          <w:tcPr>
            <w:tcW w:w="1301" w:type="dxa"/>
          </w:tcPr>
          <w:p w14:paraId="5A70CDD6" w14:textId="77777777" w:rsidR="002922F7" w:rsidRDefault="002922F7" w:rsidP="002922F7">
            <w:pPr>
              <w:pStyle w:val="TabletextCentre"/>
              <w:keepNext/>
            </w:pPr>
            <w:r w:rsidRPr="00107444">
              <w:t>6.58%</w:t>
            </w:r>
          </w:p>
        </w:tc>
        <w:tc>
          <w:tcPr>
            <w:tcW w:w="1309" w:type="dxa"/>
          </w:tcPr>
          <w:p w14:paraId="34956D0D" w14:textId="77777777" w:rsidR="002922F7" w:rsidRDefault="002922F7" w:rsidP="002922F7">
            <w:pPr>
              <w:pStyle w:val="TabletextCentre"/>
              <w:keepNext/>
            </w:pPr>
            <w:r w:rsidRPr="00107444">
              <w:t>5.92%</w:t>
            </w:r>
          </w:p>
        </w:tc>
        <w:tc>
          <w:tcPr>
            <w:tcW w:w="1302" w:type="dxa"/>
          </w:tcPr>
          <w:p w14:paraId="63854B2F" w14:textId="77777777" w:rsidR="002922F7" w:rsidRDefault="002922F7" w:rsidP="002922F7">
            <w:pPr>
              <w:pStyle w:val="TabletextCentre"/>
              <w:keepNext/>
            </w:pPr>
            <w:r w:rsidRPr="00107444">
              <w:t>6.14%</w:t>
            </w:r>
          </w:p>
        </w:tc>
      </w:tr>
      <w:tr w:rsidR="002922F7" w14:paraId="4F98944F" w14:textId="77777777" w:rsidTr="002922F7">
        <w:tc>
          <w:tcPr>
            <w:tcW w:w="1092" w:type="dxa"/>
            <w:vMerge/>
          </w:tcPr>
          <w:p w14:paraId="6B2B016C" w14:textId="77777777" w:rsidR="002922F7" w:rsidRDefault="002922F7" w:rsidP="002922F7">
            <w:pPr>
              <w:keepNext/>
            </w:pPr>
          </w:p>
        </w:tc>
        <w:tc>
          <w:tcPr>
            <w:tcW w:w="1355" w:type="dxa"/>
            <w:vMerge/>
            <w:vAlign w:val="center"/>
          </w:tcPr>
          <w:p w14:paraId="6BE27009" w14:textId="77777777" w:rsidR="002922F7" w:rsidRDefault="002922F7" w:rsidP="002922F7">
            <w:pPr>
              <w:pStyle w:val="TabletextCentreTotal"/>
              <w:keepNext/>
            </w:pPr>
          </w:p>
        </w:tc>
        <w:tc>
          <w:tcPr>
            <w:tcW w:w="1366" w:type="dxa"/>
          </w:tcPr>
          <w:p w14:paraId="68F1075F" w14:textId="77777777" w:rsidR="002922F7" w:rsidRDefault="002922F7" w:rsidP="002922F7">
            <w:pPr>
              <w:pStyle w:val="TabletextLeftTotal"/>
              <w:keepNext/>
            </w:pPr>
            <w:r w:rsidRPr="00EE0E71">
              <w:t>p-value</w:t>
            </w:r>
          </w:p>
        </w:tc>
        <w:tc>
          <w:tcPr>
            <w:tcW w:w="1301" w:type="dxa"/>
          </w:tcPr>
          <w:p w14:paraId="01B4BC54" w14:textId="77777777" w:rsidR="002922F7" w:rsidRDefault="002922F7" w:rsidP="002922F7">
            <w:pPr>
              <w:pStyle w:val="TabletextCentre"/>
              <w:keepNext/>
            </w:pPr>
            <w:r w:rsidRPr="00107444">
              <w:t>0.9368</w:t>
            </w:r>
          </w:p>
        </w:tc>
        <w:tc>
          <w:tcPr>
            <w:tcW w:w="1301" w:type="dxa"/>
          </w:tcPr>
          <w:p w14:paraId="0DA99CD0" w14:textId="77777777" w:rsidR="002922F7" w:rsidRDefault="002922F7" w:rsidP="002922F7">
            <w:pPr>
              <w:pStyle w:val="TabletextCentre"/>
              <w:keepNext/>
            </w:pPr>
            <w:r w:rsidRPr="00107444">
              <w:t>0.1977</w:t>
            </w:r>
          </w:p>
        </w:tc>
        <w:tc>
          <w:tcPr>
            <w:tcW w:w="1309" w:type="dxa"/>
          </w:tcPr>
          <w:p w14:paraId="3EF1972E" w14:textId="77777777" w:rsidR="002922F7" w:rsidRDefault="002922F7" w:rsidP="002922F7">
            <w:pPr>
              <w:pStyle w:val="TabletextCentre"/>
              <w:keepNext/>
            </w:pPr>
            <w:r w:rsidRPr="00107444">
              <w:t>0.7938</w:t>
            </w:r>
          </w:p>
        </w:tc>
        <w:tc>
          <w:tcPr>
            <w:tcW w:w="1302" w:type="dxa"/>
          </w:tcPr>
          <w:p w14:paraId="5541925B" w14:textId="77777777" w:rsidR="002922F7" w:rsidRDefault="002922F7" w:rsidP="002922F7">
            <w:pPr>
              <w:pStyle w:val="TabletextCentre"/>
              <w:keepNext/>
            </w:pPr>
            <w:r w:rsidRPr="00107444">
              <w:t>0.2535</w:t>
            </w:r>
          </w:p>
        </w:tc>
      </w:tr>
      <w:tr w:rsidR="002922F7" w14:paraId="65FAC2C6" w14:textId="77777777" w:rsidTr="002922F7">
        <w:tc>
          <w:tcPr>
            <w:tcW w:w="1092" w:type="dxa"/>
            <w:vMerge/>
          </w:tcPr>
          <w:p w14:paraId="2B7E8014" w14:textId="77777777" w:rsidR="002922F7" w:rsidRPr="00EE0E71" w:rsidRDefault="002922F7" w:rsidP="002922F7">
            <w:pPr>
              <w:keepNext/>
            </w:pPr>
          </w:p>
        </w:tc>
        <w:tc>
          <w:tcPr>
            <w:tcW w:w="1355" w:type="dxa"/>
            <w:vMerge w:val="restart"/>
            <w:vAlign w:val="center"/>
          </w:tcPr>
          <w:p w14:paraId="2F044FE4" w14:textId="77777777" w:rsidR="002922F7" w:rsidRDefault="002922F7" w:rsidP="002922F7">
            <w:pPr>
              <w:pStyle w:val="TabletextCentreTotal"/>
              <w:keepNext/>
            </w:pPr>
            <w:r w:rsidRPr="00EE0E71">
              <w:t>3rd quartile</w:t>
            </w:r>
          </w:p>
        </w:tc>
        <w:tc>
          <w:tcPr>
            <w:tcW w:w="1366" w:type="dxa"/>
          </w:tcPr>
          <w:p w14:paraId="5379A263" w14:textId="77777777" w:rsidR="002922F7" w:rsidRDefault="002922F7" w:rsidP="002922F7">
            <w:pPr>
              <w:pStyle w:val="TabletextLeftTotal"/>
              <w:keepNext/>
            </w:pPr>
            <w:r w:rsidRPr="00EE0E71">
              <w:t>observed proportion</w:t>
            </w:r>
          </w:p>
        </w:tc>
        <w:tc>
          <w:tcPr>
            <w:tcW w:w="1301" w:type="dxa"/>
          </w:tcPr>
          <w:p w14:paraId="7C579185" w14:textId="77777777" w:rsidR="002922F7" w:rsidRDefault="002922F7" w:rsidP="002922F7">
            <w:pPr>
              <w:pStyle w:val="TabletextCentre"/>
              <w:keepNext/>
            </w:pPr>
            <w:r w:rsidRPr="00107444">
              <w:t>6.47%</w:t>
            </w:r>
          </w:p>
        </w:tc>
        <w:tc>
          <w:tcPr>
            <w:tcW w:w="1301" w:type="dxa"/>
          </w:tcPr>
          <w:p w14:paraId="46768830" w14:textId="77777777" w:rsidR="002922F7" w:rsidRDefault="002922F7" w:rsidP="002922F7">
            <w:pPr>
              <w:pStyle w:val="TabletextCentre"/>
              <w:keepNext/>
            </w:pPr>
            <w:r w:rsidRPr="00107444">
              <w:t>6.03%</w:t>
            </w:r>
          </w:p>
        </w:tc>
        <w:tc>
          <w:tcPr>
            <w:tcW w:w="1309" w:type="dxa"/>
          </w:tcPr>
          <w:p w14:paraId="4C53706E" w14:textId="77777777" w:rsidR="002922F7" w:rsidRDefault="002922F7" w:rsidP="002922F7">
            <w:pPr>
              <w:pStyle w:val="TabletextCentre"/>
              <w:keepNext/>
            </w:pPr>
            <w:r w:rsidRPr="00107444">
              <w:t>6.03%</w:t>
            </w:r>
          </w:p>
        </w:tc>
        <w:tc>
          <w:tcPr>
            <w:tcW w:w="1302" w:type="dxa"/>
          </w:tcPr>
          <w:p w14:paraId="380D0161" w14:textId="77777777" w:rsidR="002922F7" w:rsidRDefault="002922F7" w:rsidP="002922F7">
            <w:pPr>
              <w:pStyle w:val="TabletextCentre"/>
              <w:keepNext/>
            </w:pPr>
            <w:r w:rsidRPr="00107444">
              <w:t>8.19%</w:t>
            </w:r>
          </w:p>
        </w:tc>
      </w:tr>
      <w:tr w:rsidR="002922F7" w14:paraId="461F11ED" w14:textId="77777777" w:rsidTr="002922F7">
        <w:tc>
          <w:tcPr>
            <w:tcW w:w="1092" w:type="dxa"/>
            <w:vMerge/>
          </w:tcPr>
          <w:p w14:paraId="600F0C48" w14:textId="77777777" w:rsidR="002922F7" w:rsidRDefault="002922F7" w:rsidP="002922F7">
            <w:pPr>
              <w:keepNext/>
            </w:pPr>
          </w:p>
        </w:tc>
        <w:tc>
          <w:tcPr>
            <w:tcW w:w="1355" w:type="dxa"/>
            <w:vMerge/>
            <w:vAlign w:val="center"/>
          </w:tcPr>
          <w:p w14:paraId="3C5704A4" w14:textId="77777777" w:rsidR="002922F7" w:rsidRDefault="002922F7" w:rsidP="002922F7">
            <w:pPr>
              <w:pStyle w:val="TabletextCentreTotal"/>
              <w:keepNext/>
            </w:pPr>
          </w:p>
        </w:tc>
        <w:tc>
          <w:tcPr>
            <w:tcW w:w="1366" w:type="dxa"/>
          </w:tcPr>
          <w:p w14:paraId="7159E34A" w14:textId="77777777" w:rsidR="002922F7" w:rsidRDefault="002922F7" w:rsidP="002922F7">
            <w:pPr>
              <w:pStyle w:val="TabletextLeftTotal"/>
              <w:keepNext/>
            </w:pPr>
            <w:r w:rsidRPr="00EE0E71">
              <w:t>expected proportion</w:t>
            </w:r>
          </w:p>
        </w:tc>
        <w:tc>
          <w:tcPr>
            <w:tcW w:w="1301" w:type="dxa"/>
          </w:tcPr>
          <w:p w14:paraId="20717450" w14:textId="77777777" w:rsidR="002922F7" w:rsidRDefault="002922F7" w:rsidP="002922F7">
            <w:pPr>
              <w:pStyle w:val="TabletextCentre"/>
              <w:keepNext/>
            </w:pPr>
            <w:r w:rsidRPr="00107444">
              <w:t>7.14%</w:t>
            </w:r>
          </w:p>
        </w:tc>
        <w:tc>
          <w:tcPr>
            <w:tcW w:w="1301" w:type="dxa"/>
          </w:tcPr>
          <w:p w14:paraId="3B87E03A" w14:textId="77777777" w:rsidR="002922F7" w:rsidRDefault="002922F7" w:rsidP="002922F7">
            <w:pPr>
              <w:pStyle w:val="TabletextCentre"/>
              <w:keepNext/>
            </w:pPr>
            <w:r w:rsidRPr="00107444">
              <w:t>6.91%</w:t>
            </w:r>
          </w:p>
        </w:tc>
        <w:tc>
          <w:tcPr>
            <w:tcW w:w="1309" w:type="dxa"/>
          </w:tcPr>
          <w:p w14:paraId="66B1EFA1" w14:textId="77777777" w:rsidR="002922F7" w:rsidRDefault="002922F7" w:rsidP="002922F7">
            <w:pPr>
              <w:pStyle w:val="TabletextCentre"/>
              <w:keepNext/>
            </w:pPr>
            <w:r w:rsidRPr="00107444">
              <w:t>6.22%</w:t>
            </w:r>
          </w:p>
        </w:tc>
        <w:tc>
          <w:tcPr>
            <w:tcW w:w="1302" w:type="dxa"/>
          </w:tcPr>
          <w:p w14:paraId="5342D62B" w14:textId="77777777" w:rsidR="002922F7" w:rsidRDefault="002922F7" w:rsidP="002922F7">
            <w:pPr>
              <w:pStyle w:val="TabletextCentre"/>
              <w:keepNext/>
            </w:pPr>
            <w:r w:rsidRPr="00107444">
              <w:t>6.45%</w:t>
            </w:r>
          </w:p>
        </w:tc>
      </w:tr>
      <w:tr w:rsidR="002922F7" w14:paraId="0C987689" w14:textId="77777777" w:rsidTr="002922F7">
        <w:tc>
          <w:tcPr>
            <w:tcW w:w="1092" w:type="dxa"/>
            <w:vMerge/>
          </w:tcPr>
          <w:p w14:paraId="30FF96ED" w14:textId="77777777" w:rsidR="002922F7" w:rsidRDefault="002922F7" w:rsidP="002922F7">
            <w:pPr>
              <w:keepNext/>
            </w:pPr>
          </w:p>
        </w:tc>
        <w:tc>
          <w:tcPr>
            <w:tcW w:w="1355" w:type="dxa"/>
            <w:vMerge/>
            <w:vAlign w:val="center"/>
          </w:tcPr>
          <w:p w14:paraId="584DD62B" w14:textId="77777777" w:rsidR="002922F7" w:rsidRDefault="002922F7" w:rsidP="002922F7">
            <w:pPr>
              <w:pStyle w:val="TabletextCentreTotal"/>
              <w:keepNext/>
            </w:pPr>
          </w:p>
        </w:tc>
        <w:tc>
          <w:tcPr>
            <w:tcW w:w="1366" w:type="dxa"/>
          </w:tcPr>
          <w:p w14:paraId="3D1E01D1" w14:textId="77777777" w:rsidR="002922F7" w:rsidRDefault="002922F7" w:rsidP="002922F7">
            <w:pPr>
              <w:pStyle w:val="TabletextLeftTotal"/>
              <w:keepNext/>
            </w:pPr>
            <w:r w:rsidRPr="00EE0E71">
              <w:t>p-value</w:t>
            </w:r>
          </w:p>
        </w:tc>
        <w:tc>
          <w:tcPr>
            <w:tcW w:w="1301" w:type="dxa"/>
          </w:tcPr>
          <w:p w14:paraId="433892BB" w14:textId="77777777" w:rsidR="002922F7" w:rsidRDefault="002922F7" w:rsidP="002922F7">
            <w:pPr>
              <w:pStyle w:val="TabletextCentre"/>
              <w:keepNext/>
            </w:pPr>
            <w:r w:rsidRPr="00107444">
              <w:t>0.5989</w:t>
            </w:r>
          </w:p>
        </w:tc>
        <w:tc>
          <w:tcPr>
            <w:tcW w:w="1301" w:type="dxa"/>
          </w:tcPr>
          <w:p w14:paraId="6C61E7AC" w14:textId="77777777" w:rsidR="002922F7" w:rsidRDefault="002922F7" w:rsidP="002922F7">
            <w:pPr>
              <w:pStyle w:val="TabletextCentre"/>
              <w:keepNext/>
            </w:pPr>
            <w:r w:rsidRPr="00107444">
              <w:t>0.4906</w:t>
            </w:r>
          </w:p>
        </w:tc>
        <w:tc>
          <w:tcPr>
            <w:tcW w:w="1309" w:type="dxa"/>
          </w:tcPr>
          <w:p w14:paraId="0301A63A" w14:textId="77777777" w:rsidR="002922F7" w:rsidRDefault="002922F7" w:rsidP="002922F7">
            <w:pPr>
              <w:pStyle w:val="TabletextCentre"/>
              <w:keepNext/>
            </w:pPr>
            <w:r w:rsidRPr="00107444">
              <w:t>0.8797</w:t>
            </w:r>
          </w:p>
        </w:tc>
        <w:tc>
          <w:tcPr>
            <w:tcW w:w="1302" w:type="dxa"/>
          </w:tcPr>
          <w:p w14:paraId="7152B28B" w14:textId="77777777" w:rsidR="002922F7" w:rsidRDefault="002922F7" w:rsidP="002922F7">
            <w:pPr>
              <w:pStyle w:val="TabletextCentre"/>
              <w:keepNext/>
            </w:pPr>
            <w:r w:rsidRPr="00107444">
              <w:t>0.1619</w:t>
            </w:r>
          </w:p>
        </w:tc>
      </w:tr>
      <w:tr w:rsidR="002922F7" w14:paraId="2D62AF6D" w14:textId="77777777" w:rsidTr="002922F7">
        <w:tc>
          <w:tcPr>
            <w:tcW w:w="1092" w:type="dxa"/>
            <w:vMerge/>
          </w:tcPr>
          <w:p w14:paraId="50082FDF" w14:textId="77777777" w:rsidR="002922F7" w:rsidRPr="00EE0E71" w:rsidRDefault="002922F7" w:rsidP="002922F7">
            <w:pPr>
              <w:keepNext/>
            </w:pPr>
          </w:p>
        </w:tc>
        <w:tc>
          <w:tcPr>
            <w:tcW w:w="1355" w:type="dxa"/>
            <w:vMerge w:val="restart"/>
            <w:vAlign w:val="center"/>
          </w:tcPr>
          <w:p w14:paraId="65217080" w14:textId="77777777" w:rsidR="002922F7" w:rsidRDefault="002922F7" w:rsidP="002922F7">
            <w:pPr>
              <w:pStyle w:val="TabletextCentreTotal"/>
              <w:keepNext/>
            </w:pPr>
            <w:r w:rsidRPr="00EE0E71">
              <w:t>4th quartile</w:t>
            </w:r>
          </w:p>
        </w:tc>
        <w:tc>
          <w:tcPr>
            <w:tcW w:w="1366" w:type="dxa"/>
          </w:tcPr>
          <w:p w14:paraId="4EE5CD51" w14:textId="77777777" w:rsidR="002922F7" w:rsidRDefault="002922F7" w:rsidP="002922F7">
            <w:pPr>
              <w:pStyle w:val="TabletextLeftTotal"/>
              <w:keepNext/>
            </w:pPr>
            <w:r w:rsidRPr="00EE0E71">
              <w:t>observed proportion</w:t>
            </w:r>
          </w:p>
        </w:tc>
        <w:tc>
          <w:tcPr>
            <w:tcW w:w="1301" w:type="dxa"/>
          </w:tcPr>
          <w:p w14:paraId="61028F10" w14:textId="77777777" w:rsidR="002922F7" w:rsidRDefault="002922F7" w:rsidP="002922F7">
            <w:pPr>
              <w:pStyle w:val="TabletextCentre"/>
              <w:keepNext/>
            </w:pPr>
            <w:r w:rsidRPr="00107444">
              <w:t>5.60%</w:t>
            </w:r>
          </w:p>
        </w:tc>
        <w:tc>
          <w:tcPr>
            <w:tcW w:w="1301" w:type="dxa"/>
          </w:tcPr>
          <w:p w14:paraId="3A375592" w14:textId="77777777" w:rsidR="002922F7" w:rsidRDefault="002922F7" w:rsidP="002922F7">
            <w:pPr>
              <w:pStyle w:val="TabletextCentre"/>
              <w:keepNext/>
            </w:pPr>
            <w:r w:rsidRPr="00107444">
              <w:t>7.33%</w:t>
            </w:r>
          </w:p>
        </w:tc>
        <w:tc>
          <w:tcPr>
            <w:tcW w:w="1309" w:type="dxa"/>
          </w:tcPr>
          <w:p w14:paraId="77DA8612" w14:textId="77777777" w:rsidR="002922F7" w:rsidRDefault="002922F7" w:rsidP="002922F7">
            <w:pPr>
              <w:pStyle w:val="TabletextCentre"/>
              <w:keepNext/>
            </w:pPr>
            <w:r w:rsidRPr="00107444">
              <w:t>7.76%</w:t>
            </w:r>
          </w:p>
        </w:tc>
        <w:tc>
          <w:tcPr>
            <w:tcW w:w="1302" w:type="dxa"/>
          </w:tcPr>
          <w:p w14:paraId="15565E0C" w14:textId="77777777" w:rsidR="002922F7" w:rsidRDefault="002922F7" w:rsidP="002922F7">
            <w:pPr>
              <w:pStyle w:val="TabletextCentre"/>
              <w:keepNext/>
            </w:pPr>
            <w:r w:rsidRPr="00107444">
              <w:t>5.17%</w:t>
            </w:r>
          </w:p>
        </w:tc>
      </w:tr>
      <w:tr w:rsidR="002922F7" w14:paraId="74DA8621" w14:textId="77777777" w:rsidTr="002922F7">
        <w:tc>
          <w:tcPr>
            <w:tcW w:w="1092" w:type="dxa"/>
            <w:vMerge/>
          </w:tcPr>
          <w:p w14:paraId="3DF0C3DC" w14:textId="77777777" w:rsidR="002922F7" w:rsidRDefault="002922F7" w:rsidP="002922F7">
            <w:pPr>
              <w:keepNext/>
            </w:pPr>
          </w:p>
        </w:tc>
        <w:tc>
          <w:tcPr>
            <w:tcW w:w="1355" w:type="dxa"/>
            <w:vMerge/>
          </w:tcPr>
          <w:p w14:paraId="5896B1E7" w14:textId="77777777" w:rsidR="002922F7" w:rsidRDefault="002922F7" w:rsidP="002922F7">
            <w:pPr>
              <w:pStyle w:val="TabletextCentreTotal"/>
              <w:keepNext/>
            </w:pPr>
          </w:p>
        </w:tc>
        <w:tc>
          <w:tcPr>
            <w:tcW w:w="1366" w:type="dxa"/>
          </w:tcPr>
          <w:p w14:paraId="2833C2BC" w14:textId="77777777" w:rsidR="002922F7" w:rsidRDefault="002922F7" w:rsidP="002922F7">
            <w:pPr>
              <w:pStyle w:val="TabletextLeftTotal"/>
              <w:keepNext/>
            </w:pPr>
            <w:r w:rsidRPr="00EE0E71">
              <w:t>expected proportion</w:t>
            </w:r>
          </w:p>
        </w:tc>
        <w:tc>
          <w:tcPr>
            <w:tcW w:w="1301" w:type="dxa"/>
          </w:tcPr>
          <w:p w14:paraId="64C27BA3" w14:textId="77777777" w:rsidR="002922F7" w:rsidRDefault="002922F7" w:rsidP="002922F7">
            <w:pPr>
              <w:pStyle w:val="TabletextCentre"/>
              <w:keepNext/>
            </w:pPr>
            <w:r w:rsidRPr="00107444">
              <w:t>6.91%</w:t>
            </w:r>
          </w:p>
        </w:tc>
        <w:tc>
          <w:tcPr>
            <w:tcW w:w="1301" w:type="dxa"/>
          </w:tcPr>
          <w:p w14:paraId="140E1826" w14:textId="77777777" w:rsidR="002922F7" w:rsidRDefault="002922F7" w:rsidP="002922F7">
            <w:pPr>
              <w:pStyle w:val="TabletextCentre"/>
              <w:keepNext/>
            </w:pPr>
            <w:r w:rsidRPr="00107444">
              <w:t>6.69%</w:t>
            </w:r>
          </w:p>
        </w:tc>
        <w:tc>
          <w:tcPr>
            <w:tcW w:w="1309" w:type="dxa"/>
          </w:tcPr>
          <w:p w14:paraId="7BC12DE9" w14:textId="77777777" w:rsidR="002922F7" w:rsidRDefault="002922F7" w:rsidP="002922F7">
            <w:pPr>
              <w:pStyle w:val="TabletextCentre"/>
              <w:keepNext/>
            </w:pPr>
            <w:r w:rsidRPr="00107444">
              <w:t>6.02%</w:t>
            </w:r>
          </w:p>
        </w:tc>
        <w:tc>
          <w:tcPr>
            <w:tcW w:w="1302" w:type="dxa"/>
          </w:tcPr>
          <w:p w14:paraId="3D0B481E" w14:textId="77777777" w:rsidR="002922F7" w:rsidRDefault="002922F7" w:rsidP="002922F7">
            <w:pPr>
              <w:pStyle w:val="TabletextCentre"/>
              <w:keepNext/>
            </w:pPr>
            <w:r w:rsidRPr="00107444">
              <w:t>6.24%</w:t>
            </w:r>
          </w:p>
        </w:tc>
      </w:tr>
      <w:tr w:rsidR="002922F7" w14:paraId="057A97F3" w14:textId="77777777" w:rsidTr="002922F7">
        <w:tc>
          <w:tcPr>
            <w:tcW w:w="1092" w:type="dxa"/>
            <w:vMerge/>
          </w:tcPr>
          <w:p w14:paraId="7E589B04" w14:textId="77777777" w:rsidR="002922F7" w:rsidRDefault="002922F7" w:rsidP="002922F7">
            <w:pPr>
              <w:keepNext/>
            </w:pPr>
          </w:p>
        </w:tc>
        <w:tc>
          <w:tcPr>
            <w:tcW w:w="1355" w:type="dxa"/>
            <w:vMerge/>
          </w:tcPr>
          <w:p w14:paraId="283FF28C" w14:textId="77777777" w:rsidR="002922F7" w:rsidRDefault="002922F7" w:rsidP="002922F7">
            <w:pPr>
              <w:pStyle w:val="TabletextCentreTotal"/>
              <w:keepNext/>
            </w:pPr>
          </w:p>
        </w:tc>
        <w:tc>
          <w:tcPr>
            <w:tcW w:w="1366" w:type="dxa"/>
          </w:tcPr>
          <w:p w14:paraId="3848B5B5" w14:textId="77777777" w:rsidR="002922F7" w:rsidRDefault="002922F7" w:rsidP="002922F7">
            <w:pPr>
              <w:pStyle w:val="TabletextLeftTotal"/>
              <w:keepNext/>
            </w:pPr>
            <w:r w:rsidRPr="00EE0E71">
              <w:t>p-value</w:t>
            </w:r>
          </w:p>
        </w:tc>
        <w:tc>
          <w:tcPr>
            <w:tcW w:w="1301" w:type="dxa"/>
          </w:tcPr>
          <w:p w14:paraId="586FBA38" w14:textId="77777777" w:rsidR="002922F7" w:rsidRDefault="002922F7" w:rsidP="002922F7">
            <w:pPr>
              <w:pStyle w:val="TabletextCentre"/>
              <w:keepNext/>
            </w:pPr>
            <w:r w:rsidRPr="00107444">
              <w:t>0.3039</w:t>
            </w:r>
          </w:p>
        </w:tc>
        <w:tc>
          <w:tcPr>
            <w:tcW w:w="1301" w:type="dxa"/>
          </w:tcPr>
          <w:p w14:paraId="5147CB89" w14:textId="77777777" w:rsidR="002922F7" w:rsidRDefault="002922F7" w:rsidP="002922F7">
            <w:pPr>
              <w:pStyle w:val="TabletextCentre"/>
              <w:keepNext/>
            </w:pPr>
            <w:r w:rsidRPr="00107444">
              <w:t>0.6117</w:t>
            </w:r>
          </w:p>
        </w:tc>
        <w:tc>
          <w:tcPr>
            <w:tcW w:w="1309" w:type="dxa"/>
          </w:tcPr>
          <w:p w14:paraId="4A5834C4" w14:textId="77777777" w:rsidR="002922F7" w:rsidRDefault="002922F7" w:rsidP="002922F7">
            <w:pPr>
              <w:pStyle w:val="TabletextCentre"/>
              <w:keepNext/>
            </w:pPr>
            <w:r w:rsidRPr="00107444">
              <w:t>0.1523</w:t>
            </w:r>
          </w:p>
        </w:tc>
        <w:tc>
          <w:tcPr>
            <w:tcW w:w="1302" w:type="dxa"/>
          </w:tcPr>
          <w:p w14:paraId="34ED0F8E" w14:textId="77777777" w:rsidR="002922F7" w:rsidRDefault="002922F7" w:rsidP="002922F7">
            <w:pPr>
              <w:pStyle w:val="TabletextCentre"/>
              <w:keepNext/>
            </w:pPr>
            <w:r w:rsidRPr="00107444">
              <w:t>0.3843</w:t>
            </w:r>
          </w:p>
        </w:tc>
      </w:tr>
    </w:tbl>
    <w:p w14:paraId="4B240531" w14:textId="77777777" w:rsidR="002922F7" w:rsidRDefault="002922F7" w:rsidP="002922F7">
      <w:pPr>
        <w:rPr>
          <w:lang w:eastAsia="en-AU"/>
        </w:rPr>
      </w:pPr>
    </w:p>
    <w:p w14:paraId="3FE80051" w14:textId="77777777" w:rsidR="002922F7" w:rsidRDefault="002922F7" w:rsidP="00400621">
      <w:pPr>
        <w:pStyle w:val="AppendixTableCaption"/>
        <w:numPr>
          <w:ilvl w:val="6"/>
          <w:numId w:val="11"/>
        </w:numPr>
      </w:pPr>
      <w:bookmarkStart w:id="303" w:name="_Toc40454710"/>
      <w:r>
        <w:lastRenderedPageBreak/>
        <w:t>Overheads and span of control, cross</w:t>
      </w:r>
      <w:r>
        <w:noBreakHyphen/>
        <w:t>tabulated distribution</w:t>
      </w:r>
      <w:bookmarkEnd w:id="303"/>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142CBCBC"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42610342" w14:textId="77777777" w:rsidR="002922F7" w:rsidRDefault="002922F7" w:rsidP="002922F7">
            <w:pPr>
              <w:keepNext/>
            </w:pPr>
          </w:p>
        </w:tc>
        <w:tc>
          <w:tcPr>
            <w:tcW w:w="1355" w:type="dxa"/>
          </w:tcPr>
          <w:p w14:paraId="1EC6E108" w14:textId="77777777" w:rsidR="002922F7" w:rsidRDefault="002922F7" w:rsidP="002922F7">
            <w:pPr>
              <w:keepNext/>
            </w:pPr>
          </w:p>
        </w:tc>
        <w:tc>
          <w:tcPr>
            <w:tcW w:w="1366" w:type="dxa"/>
          </w:tcPr>
          <w:p w14:paraId="4EB3B284" w14:textId="77777777" w:rsidR="002922F7" w:rsidRDefault="002922F7" w:rsidP="002922F7">
            <w:pPr>
              <w:keepNext/>
            </w:pPr>
          </w:p>
        </w:tc>
        <w:tc>
          <w:tcPr>
            <w:tcW w:w="5213" w:type="dxa"/>
            <w:gridSpan w:val="4"/>
          </w:tcPr>
          <w:p w14:paraId="5ED45E26" w14:textId="77777777" w:rsidR="002922F7" w:rsidRDefault="002922F7" w:rsidP="002922F7">
            <w:pPr>
              <w:pStyle w:val="TableHeadingCentre"/>
              <w:keepNext/>
            </w:pPr>
            <w:r>
              <w:t>Span of control</w:t>
            </w:r>
          </w:p>
        </w:tc>
      </w:tr>
      <w:tr w:rsidR="002922F7" w14:paraId="271B8F46" w14:textId="77777777" w:rsidTr="002922F7">
        <w:tc>
          <w:tcPr>
            <w:tcW w:w="1092" w:type="dxa"/>
          </w:tcPr>
          <w:p w14:paraId="1351457A" w14:textId="77777777" w:rsidR="002922F7" w:rsidRDefault="002922F7" w:rsidP="002922F7">
            <w:pPr>
              <w:keepNext/>
            </w:pPr>
          </w:p>
        </w:tc>
        <w:tc>
          <w:tcPr>
            <w:tcW w:w="1355" w:type="dxa"/>
          </w:tcPr>
          <w:p w14:paraId="2FE3103E" w14:textId="77777777" w:rsidR="002922F7" w:rsidRDefault="002922F7" w:rsidP="002922F7">
            <w:pPr>
              <w:keepNext/>
            </w:pPr>
          </w:p>
        </w:tc>
        <w:tc>
          <w:tcPr>
            <w:tcW w:w="1366" w:type="dxa"/>
          </w:tcPr>
          <w:p w14:paraId="34F2F9D5" w14:textId="77777777" w:rsidR="002922F7" w:rsidRDefault="002922F7" w:rsidP="002922F7">
            <w:pPr>
              <w:keepNext/>
            </w:pPr>
          </w:p>
        </w:tc>
        <w:tc>
          <w:tcPr>
            <w:tcW w:w="1301" w:type="dxa"/>
          </w:tcPr>
          <w:p w14:paraId="68673C04" w14:textId="77777777" w:rsidR="002922F7" w:rsidRDefault="002922F7" w:rsidP="002922F7">
            <w:pPr>
              <w:pStyle w:val="TabletextCentreTotal"/>
              <w:keepNext/>
              <w:jc w:val="left"/>
            </w:pPr>
            <w:r w:rsidRPr="00EE0E71">
              <w:t>1st quartile</w:t>
            </w:r>
          </w:p>
        </w:tc>
        <w:tc>
          <w:tcPr>
            <w:tcW w:w="1301" w:type="dxa"/>
          </w:tcPr>
          <w:p w14:paraId="5B7644E9" w14:textId="77777777" w:rsidR="002922F7" w:rsidRDefault="002922F7" w:rsidP="002922F7">
            <w:pPr>
              <w:pStyle w:val="TabletextCentreTotal"/>
              <w:keepNext/>
            </w:pPr>
            <w:r w:rsidRPr="00EE0E71">
              <w:t>2nd quartile</w:t>
            </w:r>
          </w:p>
        </w:tc>
        <w:tc>
          <w:tcPr>
            <w:tcW w:w="1309" w:type="dxa"/>
          </w:tcPr>
          <w:p w14:paraId="633E8837" w14:textId="77777777" w:rsidR="002922F7" w:rsidRDefault="002922F7" w:rsidP="002922F7">
            <w:pPr>
              <w:pStyle w:val="TabletextCentreTotal"/>
              <w:keepNext/>
            </w:pPr>
            <w:r w:rsidRPr="00EE0E71">
              <w:t>3rd quartile</w:t>
            </w:r>
          </w:p>
        </w:tc>
        <w:tc>
          <w:tcPr>
            <w:tcW w:w="1302" w:type="dxa"/>
          </w:tcPr>
          <w:p w14:paraId="70FCA38F" w14:textId="77777777" w:rsidR="002922F7" w:rsidRDefault="002922F7" w:rsidP="002922F7">
            <w:pPr>
              <w:pStyle w:val="TabletextCentreTotal"/>
              <w:keepNext/>
              <w:jc w:val="right"/>
            </w:pPr>
            <w:r w:rsidRPr="00EE0E71">
              <w:t>4th quartile</w:t>
            </w:r>
          </w:p>
        </w:tc>
      </w:tr>
      <w:tr w:rsidR="002922F7" w14:paraId="0029C5FF" w14:textId="77777777" w:rsidTr="002922F7">
        <w:tc>
          <w:tcPr>
            <w:tcW w:w="1092" w:type="dxa"/>
            <w:vMerge w:val="restart"/>
            <w:textDirection w:val="btLr"/>
          </w:tcPr>
          <w:p w14:paraId="675440AD" w14:textId="77777777" w:rsidR="002922F7" w:rsidRPr="00EE0E71" w:rsidRDefault="002922F7" w:rsidP="002922F7">
            <w:pPr>
              <w:pStyle w:val="TableHeadingCentre"/>
              <w:keepNext/>
            </w:pPr>
            <w:r>
              <w:t>Overheads</w:t>
            </w:r>
          </w:p>
        </w:tc>
        <w:tc>
          <w:tcPr>
            <w:tcW w:w="1355" w:type="dxa"/>
            <w:vMerge w:val="restart"/>
            <w:vAlign w:val="center"/>
          </w:tcPr>
          <w:p w14:paraId="26421B4B" w14:textId="77777777" w:rsidR="002922F7" w:rsidRDefault="002922F7" w:rsidP="002922F7">
            <w:pPr>
              <w:pStyle w:val="TabletextCentreTotal"/>
              <w:keepNext/>
            </w:pPr>
            <w:r w:rsidRPr="00EE0E71">
              <w:t>1st quartile</w:t>
            </w:r>
          </w:p>
        </w:tc>
        <w:tc>
          <w:tcPr>
            <w:tcW w:w="1366" w:type="dxa"/>
          </w:tcPr>
          <w:p w14:paraId="511DDC0B" w14:textId="77777777" w:rsidR="002922F7" w:rsidRDefault="002922F7" w:rsidP="002922F7">
            <w:pPr>
              <w:pStyle w:val="TabletextLeftTotal"/>
              <w:keepNext/>
            </w:pPr>
            <w:r w:rsidRPr="00EE0E71">
              <w:t>observed proportion</w:t>
            </w:r>
          </w:p>
        </w:tc>
        <w:tc>
          <w:tcPr>
            <w:tcW w:w="1301" w:type="dxa"/>
          </w:tcPr>
          <w:p w14:paraId="018F7CFF" w14:textId="77777777" w:rsidR="002922F7" w:rsidRDefault="002922F7" w:rsidP="002922F7">
            <w:pPr>
              <w:pStyle w:val="TabletextCentre"/>
              <w:keepNext/>
            </w:pPr>
            <w:r w:rsidRPr="00B76F9C">
              <w:t>4.75%</w:t>
            </w:r>
          </w:p>
        </w:tc>
        <w:tc>
          <w:tcPr>
            <w:tcW w:w="1301" w:type="dxa"/>
          </w:tcPr>
          <w:p w14:paraId="78BB04CC" w14:textId="77777777" w:rsidR="002922F7" w:rsidRDefault="002922F7" w:rsidP="002922F7">
            <w:pPr>
              <w:pStyle w:val="TabletextCentre"/>
              <w:keepNext/>
            </w:pPr>
            <w:r w:rsidRPr="00B76F9C">
              <w:t>7.28%</w:t>
            </w:r>
          </w:p>
        </w:tc>
        <w:tc>
          <w:tcPr>
            <w:tcW w:w="1309" w:type="dxa"/>
          </w:tcPr>
          <w:p w14:paraId="39B3EEDC" w14:textId="77777777" w:rsidR="002922F7" w:rsidRDefault="002922F7" w:rsidP="002922F7">
            <w:pPr>
              <w:pStyle w:val="TabletextCentre"/>
              <w:keepNext/>
            </w:pPr>
            <w:r w:rsidRPr="00B76F9C">
              <w:t>7.59%</w:t>
            </w:r>
          </w:p>
        </w:tc>
        <w:tc>
          <w:tcPr>
            <w:tcW w:w="1302" w:type="dxa"/>
          </w:tcPr>
          <w:p w14:paraId="46DF50C1" w14:textId="77777777" w:rsidR="002922F7" w:rsidRDefault="002922F7" w:rsidP="002922F7">
            <w:pPr>
              <w:pStyle w:val="TabletextCentre"/>
              <w:keepNext/>
            </w:pPr>
            <w:r w:rsidRPr="00B76F9C">
              <w:t>5.70%</w:t>
            </w:r>
          </w:p>
        </w:tc>
      </w:tr>
      <w:tr w:rsidR="002922F7" w14:paraId="50BC0558" w14:textId="77777777" w:rsidTr="002922F7">
        <w:tc>
          <w:tcPr>
            <w:tcW w:w="1092" w:type="dxa"/>
            <w:vMerge/>
          </w:tcPr>
          <w:p w14:paraId="5D9D7EDB" w14:textId="77777777" w:rsidR="002922F7" w:rsidRDefault="002922F7" w:rsidP="002922F7">
            <w:pPr>
              <w:keepNext/>
            </w:pPr>
          </w:p>
        </w:tc>
        <w:tc>
          <w:tcPr>
            <w:tcW w:w="1355" w:type="dxa"/>
            <w:vMerge/>
            <w:vAlign w:val="center"/>
          </w:tcPr>
          <w:p w14:paraId="7E1892BD" w14:textId="77777777" w:rsidR="002922F7" w:rsidRDefault="002922F7" w:rsidP="002922F7">
            <w:pPr>
              <w:pStyle w:val="TabletextCentreTotal"/>
              <w:keepNext/>
            </w:pPr>
          </w:p>
        </w:tc>
        <w:tc>
          <w:tcPr>
            <w:tcW w:w="1366" w:type="dxa"/>
          </w:tcPr>
          <w:p w14:paraId="0FC25C91" w14:textId="77777777" w:rsidR="002922F7" w:rsidRDefault="002922F7" w:rsidP="002922F7">
            <w:pPr>
              <w:pStyle w:val="TabletextLeftTotal"/>
              <w:keepNext/>
            </w:pPr>
            <w:r w:rsidRPr="00EE0E71">
              <w:t>expected proportion</w:t>
            </w:r>
          </w:p>
        </w:tc>
        <w:tc>
          <w:tcPr>
            <w:tcW w:w="1301" w:type="dxa"/>
          </w:tcPr>
          <w:p w14:paraId="2E65DC8D" w14:textId="77777777" w:rsidR="002922F7" w:rsidRDefault="002922F7" w:rsidP="002922F7">
            <w:pPr>
              <w:pStyle w:val="TabletextCentre"/>
              <w:keepNext/>
            </w:pPr>
            <w:r w:rsidRPr="00B76F9C">
              <w:t>4.41%</w:t>
            </w:r>
          </w:p>
        </w:tc>
        <w:tc>
          <w:tcPr>
            <w:tcW w:w="1301" w:type="dxa"/>
          </w:tcPr>
          <w:p w14:paraId="14CAD7B4" w14:textId="77777777" w:rsidR="002922F7" w:rsidRDefault="002922F7" w:rsidP="002922F7">
            <w:pPr>
              <w:pStyle w:val="TabletextCentre"/>
              <w:keepNext/>
            </w:pPr>
            <w:r w:rsidRPr="00B76F9C">
              <w:t>7.05%</w:t>
            </w:r>
          </w:p>
        </w:tc>
        <w:tc>
          <w:tcPr>
            <w:tcW w:w="1309" w:type="dxa"/>
          </w:tcPr>
          <w:p w14:paraId="44C1DCFF" w14:textId="77777777" w:rsidR="002922F7" w:rsidRDefault="002922F7" w:rsidP="002922F7">
            <w:pPr>
              <w:pStyle w:val="TabletextCentre"/>
              <w:keepNext/>
            </w:pPr>
            <w:r w:rsidRPr="00B76F9C">
              <w:t>6.73%</w:t>
            </w:r>
          </w:p>
        </w:tc>
        <w:tc>
          <w:tcPr>
            <w:tcW w:w="1302" w:type="dxa"/>
          </w:tcPr>
          <w:p w14:paraId="5C47FCD9" w14:textId="77777777" w:rsidR="002922F7" w:rsidRDefault="002922F7" w:rsidP="002922F7">
            <w:pPr>
              <w:pStyle w:val="TabletextCentre"/>
              <w:keepNext/>
            </w:pPr>
            <w:r w:rsidRPr="00B76F9C">
              <w:t>7.13%</w:t>
            </w:r>
          </w:p>
        </w:tc>
      </w:tr>
      <w:tr w:rsidR="002922F7" w14:paraId="0D38EA7F" w14:textId="77777777" w:rsidTr="002922F7">
        <w:tc>
          <w:tcPr>
            <w:tcW w:w="1092" w:type="dxa"/>
            <w:vMerge/>
          </w:tcPr>
          <w:p w14:paraId="5825EC1D" w14:textId="77777777" w:rsidR="002922F7" w:rsidRDefault="002922F7" w:rsidP="002922F7">
            <w:pPr>
              <w:keepNext/>
            </w:pPr>
          </w:p>
        </w:tc>
        <w:tc>
          <w:tcPr>
            <w:tcW w:w="1355" w:type="dxa"/>
            <w:vMerge/>
            <w:vAlign w:val="center"/>
          </w:tcPr>
          <w:p w14:paraId="41E00AFF" w14:textId="77777777" w:rsidR="002922F7" w:rsidRDefault="002922F7" w:rsidP="002922F7">
            <w:pPr>
              <w:pStyle w:val="TabletextCentreTotal"/>
              <w:keepNext/>
            </w:pPr>
          </w:p>
        </w:tc>
        <w:tc>
          <w:tcPr>
            <w:tcW w:w="1366" w:type="dxa"/>
          </w:tcPr>
          <w:p w14:paraId="4B12B925" w14:textId="77777777" w:rsidR="002922F7" w:rsidRDefault="002922F7" w:rsidP="002922F7">
            <w:pPr>
              <w:pStyle w:val="TabletextLeftTotal"/>
              <w:keepNext/>
            </w:pPr>
            <w:r w:rsidRPr="00EE0E71">
              <w:t>p-value</w:t>
            </w:r>
          </w:p>
        </w:tc>
        <w:tc>
          <w:tcPr>
            <w:tcW w:w="1301" w:type="dxa"/>
          </w:tcPr>
          <w:p w14:paraId="2855987C" w14:textId="77777777" w:rsidR="002922F7" w:rsidRDefault="002922F7" w:rsidP="002922F7">
            <w:pPr>
              <w:pStyle w:val="TabletextCentre"/>
              <w:keepNext/>
            </w:pPr>
            <w:r w:rsidRPr="00B76F9C">
              <w:t>0.7135</w:t>
            </w:r>
          </w:p>
        </w:tc>
        <w:tc>
          <w:tcPr>
            <w:tcW w:w="1301" w:type="dxa"/>
          </w:tcPr>
          <w:p w14:paraId="76C790EE" w14:textId="77777777" w:rsidR="002922F7" w:rsidRDefault="002922F7" w:rsidP="002922F7">
            <w:pPr>
              <w:pStyle w:val="TabletextCentre"/>
              <w:keepNext/>
            </w:pPr>
            <w:r w:rsidRPr="00B76F9C">
              <w:t>0.8350</w:t>
            </w:r>
          </w:p>
        </w:tc>
        <w:tc>
          <w:tcPr>
            <w:tcW w:w="1309" w:type="dxa"/>
          </w:tcPr>
          <w:p w14:paraId="610FEA07" w14:textId="77777777" w:rsidR="002922F7" w:rsidRDefault="002922F7" w:rsidP="002922F7">
            <w:pPr>
              <w:pStyle w:val="TabletextCentre"/>
              <w:keepNext/>
            </w:pPr>
            <w:r w:rsidRPr="00B76F9C">
              <w:t>0.4233</w:t>
            </w:r>
          </w:p>
        </w:tc>
        <w:tc>
          <w:tcPr>
            <w:tcW w:w="1302" w:type="dxa"/>
          </w:tcPr>
          <w:p w14:paraId="3A91FA37" w14:textId="77777777" w:rsidR="002922F7" w:rsidRDefault="002922F7" w:rsidP="002922F7">
            <w:pPr>
              <w:pStyle w:val="TabletextCentre"/>
              <w:keepNext/>
            </w:pPr>
            <w:r w:rsidRPr="00B76F9C">
              <w:t>0.1924</w:t>
            </w:r>
          </w:p>
        </w:tc>
      </w:tr>
      <w:tr w:rsidR="002922F7" w14:paraId="576515AD" w14:textId="77777777" w:rsidTr="002922F7">
        <w:tc>
          <w:tcPr>
            <w:tcW w:w="1092" w:type="dxa"/>
            <w:vMerge/>
          </w:tcPr>
          <w:p w14:paraId="5B88CDCC" w14:textId="77777777" w:rsidR="002922F7" w:rsidRPr="00EE0E71" w:rsidRDefault="002922F7" w:rsidP="002922F7">
            <w:pPr>
              <w:keepNext/>
            </w:pPr>
          </w:p>
        </w:tc>
        <w:tc>
          <w:tcPr>
            <w:tcW w:w="1355" w:type="dxa"/>
            <w:vMerge w:val="restart"/>
            <w:vAlign w:val="center"/>
          </w:tcPr>
          <w:p w14:paraId="2A4BE5C6" w14:textId="77777777" w:rsidR="002922F7" w:rsidRDefault="002922F7" w:rsidP="002922F7">
            <w:pPr>
              <w:pStyle w:val="TabletextCentreTotal"/>
              <w:keepNext/>
            </w:pPr>
            <w:r w:rsidRPr="00EE0E71">
              <w:t>2nd quartile</w:t>
            </w:r>
          </w:p>
        </w:tc>
        <w:tc>
          <w:tcPr>
            <w:tcW w:w="1366" w:type="dxa"/>
          </w:tcPr>
          <w:p w14:paraId="3CBAAE87" w14:textId="77777777" w:rsidR="002922F7" w:rsidRDefault="002922F7" w:rsidP="002922F7">
            <w:pPr>
              <w:pStyle w:val="TabletextLeftTotal"/>
              <w:keepNext/>
            </w:pPr>
            <w:r w:rsidRPr="00EE0E71">
              <w:t>observed proportion</w:t>
            </w:r>
          </w:p>
        </w:tc>
        <w:tc>
          <w:tcPr>
            <w:tcW w:w="1301" w:type="dxa"/>
          </w:tcPr>
          <w:p w14:paraId="60C64376" w14:textId="77777777" w:rsidR="002922F7" w:rsidRDefault="002922F7" w:rsidP="002922F7">
            <w:pPr>
              <w:pStyle w:val="TabletextCentre"/>
              <w:keepNext/>
            </w:pPr>
            <w:r w:rsidRPr="00B76F9C">
              <w:t>5.70%</w:t>
            </w:r>
          </w:p>
        </w:tc>
        <w:tc>
          <w:tcPr>
            <w:tcW w:w="1301" w:type="dxa"/>
          </w:tcPr>
          <w:p w14:paraId="3116FE94" w14:textId="77777777" w:rsidR="002922F7" w:rsidRDefault="002922F7" w:rsidP="002922F7">
            <w:pPr>
              <w:pStyle w:val="TabletextCentre"/>
              <w:keepNext/>
            </w:pPr>
            <w:r w:rsidRPr="00B76F9C">
              <w:t>7.28%</w:t>
            </w:r>
          </w:p>
        </w:tc>
        <w:tc>
          <w:tcPr>
            <w:tcW w:w="1309" w:type="dxa"/>
          </w:tcPr>
          <w:p w14:paraId="5A313F24" w14:textId="77777777" w:rsidR="002922F7" w:rsidRDefault="002922F7" w:rsidP="002922F7">
            <w:pPr>
              <w:pStyle w:val="TabletextCentre"/>
              <w:keepNext/>
            </w:pPr>
            <w:r w:rsidRPr="00B76F9C">
              <w:t>5.38%</w:t>
            </w:r>
          </w:p>
        </w:tc>
        <w:tc>
          <w:tcPr>
            <w:tcW w:w="1302" w:type="dxa"/>
          </w:tcPr>
          <w:p w14:paraId="2E503DF1" w14:textId="77777777" w:rsidR="002922F7" w:rsidRDefault="002922F7" w:rsidP="002922F7">
            <w:pPr>
              <w:pStyle w:val="TabletextCentre"/>
              <w:keepNext/>
            </w:pPr>
            <w:r w:rsidRPr="00B76F9C">
              <w:t>6.65%</w:t>
            </w:r>
          </w:p>
        </w:tc>
      </w:tr>
      <w:tr w:rsidR="002922F7" w14:paraId="7AD831B9" w14:textId="77777777" w:rsidTr="002922F7">
        <w:tc>
          <w:tcPr>
            <w:tcW w:w="1092" w:type="dxa"/>
            <w:vMerge/>
          </w:tcPr>
          <w:p w14:paraId="5BFD607E" w14:textId="77777777" w:rsidR="002922F7" w:rsidRDefault="002922F7" w:rsidP="002922F7">
            <w:pPr>
              <w:keepNext/>
            </w:pPr>
          </w:p>
        </w:tc>
        <w:tc>
          <w:tcPr>
            <w:tcW w:w="1355" w:type="dxa"/>
            <w:vMerge/>
            <w:vAlign w:val="center"/>
          </w:tcPr>
          <w:p w14:paraId="226BA907" w14:textId="77777777" w:rsidR="002922F7" w:rsidRDefault="002922F7" w:rsidP="002922F7">
            <w:pPr>
              <w:pStyle w:val="TabletextCentreTotal"/>
              <w:keepNext/>
            </w:pPr>
          </w:p>
        </w:tc>
        <w:tc>
          <w:tcPr>
            <w:tcW w:w="1366" w:type="dxa"/>
          </w:tcPr>
          <w:p w14:paraId="1740308F" w14:textId="77777777" w:rsidR="002922F7" w:rsidRDefault="002922F7" w:rsidP="002922F7">
            <w:pPr>
              <w:pStyle w:val="TabletextLeftTotal"/>
              <w:keepNext/>
            </w:pPr>
            <w:r w:rsidRPr="00EE0E71">
              <w:t>expected proportion</w:t>
            </w:r>
          </w:p>
        </w:tc>
        <w:tc>
          <w:tcPr>
            <w:tcW w:w="1301" w:type="dxa"/>
          </w:tcPr>
          <w:p w14:paraId="1493AE93" w14:textId="77777777" w:rsidR="002922F7" w:rsidRDefault="002922F7" w:rsidP="002922F7">
            <w:pPr>
              <w:pStyle w:val="TabletextCentre"/>
              <w:keepNext/>
            </w:pPr>
            <w:r w:rsidRPr="00B76F9C">
              <w:t>4.35%</w:t>
            </w:r>
          </w:p>
        </w:tc>
        <w:tc>
          <w:tcPr>
            <w:tcW w:w="1301" w:type="dxa"/>
          </w:tcPr>
          <w:p w14:paraId="009D01F7" w14:textId="77777777" w:rsidR="002922F7" w:rsidRDefault="002922F7" w:rsidP="002922F7">
            <w:pPr>
              <w:pStyle w:val="TabletextCentre"/>
              <w:keepNext/>
            </w:pPr>
            <w:r w:rsidRPr="00B76F9C">
              <w:t>6.96%</w:t>
            </w:r>
          </w:p>
        </w:tc>
        <w:tc>
          <w:tcPr>
            <w:tcW w:w="1309" w:type="dxa"/>
          </w:tcPr>
          <w:p w14:paraId="22611BED" w14:textId="77777777" w:rsidR="002922F7" w:rsidRDefault="002922F7" w:rsidP="002922F7">
            <w:pPr>
              <w:pStyle w:val="TabletextCentre"/>
              <w:keepNext/>
            </w:pPr>
            <w:r w:rsidRPr="00B76F9C">
              <w:t>6.65%</w:t>
            </w:r>
          </w:p>
        </w:tc>
        <w:tc>
          <w:tcPr>
            <w:tcW w:w="1302" w:type="dxa"/>
          </w:tcPr>
          <w:p w14:paraId="0279199C" w14:textId="77777777" w:rsidR="002922F7" w:rsidRDefault="002922F7" w:rsidP="002922F7">
            <w:pPr>
              <w:pStyle w:val="TabletextCentre"/>
              <w:keepNext/>
            </w:pPr>
            <w:r w:rsidRPr="00B76F9C">
              <w:t>7.04%</w:t>
            </w:r>
          </w:p>
        </w:tc>
      </w:tr>
      <w:tr w:rsidR="002922F7" w14:paraId="37E44CD2" w14:textId="77777777" w:rsidTr="002922F7">
        <w:tc>
          <w:tcPr>
            <w:tcW w:w="1092" w:type="dxa"/>
            <w:vMerge/>
          </w:tcPr>
          <w:p w14:paraId="52F889AC" w14:textId="77777777" w:rsidR="002922F7" w:rsidRDefault="002922F7" w:rsidP="002922F7">
            <w:pPr>
              <w:keepNext/>
            </w:pPr>
          </w:p>
        </w:tc>
        <w:tc>
          <w:tcPr>
            <w:tcW w:w="1355" w:type="dxa"/>
            <w:vMerge/>
            <w:vAlign w:val="center"/>
          </w:tcPr>
          <w:p w14:paraId="23C65D3C" w14:textId="77777777" w:rsidR="002922F7" w:rsidRDefault="002922F7" w:rsidP="002922F7">
            <w:pPr>
              <w:pStyle w:val="TabletextCentreTotal"/>
              <w:keepNext/>
            </w:pPr>
          </w:p>
        </w:tc>
        <w:tc>
          <w:tcPr>
            <w:tcW w:w="1366" w:type="dxa"/>
          </w:tcPr>
          <w:p w14:paraId="0BF380CB" w14:textId="77777777" w:rsidR="002922F7" w:rsidRDefault="002922F7" w:rsidP="002922F7">
            <w:pPr>
              <w:pStyle w:val="TabletextLeftTotal"/>
              <w:keepNext/>
            </w:pPr>
            <w:r w:rsidRPr="00EE0E71">
              <w:t>p-value</w:t>
            </w:r>
          </w:p>
        </w:tc>
        <w:tc>
          <w:tcPr>
            <w:tcW w:w="1301" w:type="dxa"/>
          </w:tcPr>
          <w:p w14:paraId="17A0B5DA" w14:textId="77777777" w:rsidR="002922F7" w:rsidRDefault="002922F7" w:rsidP="002922F7">
            <w:pPr>
              <w:pStyle w:val="TabletextCentre"/>
              <w:keepNext/>
            </w:pPr>
            <w:r w:rsidRPr="00B76F9C">
              <w:t>0.1453</w:t>
            </w:r>
          </w:p>
        </w:tc>
        <w:tc>
          <w:tcPr>
            <w:tcW w:w="1301" w:type="dxa"/>
          </w:tcPr>
          <w:p w14:paraId="0B6D3853" w14:textId="77777777" w:rsidR="002922F7" w:rsidRDefault="002922F7" w:rsidP="002922F7">
            <w:pPr>
              <w:pStyle w:val="TabletextCentre"/>
              <w:keepNext/>
            </w:pPr>
            <w:r w:rsidRPr="00B76F9C">
              <w:t>0.7720</w:t>
            </w:r>
          </w:p>
        </w:tc>
        <w:tc>
          <w:tcPr>
            <w:tcW w:w="1309" w:type="dxa"/>
          </w:tcPr>
          <w:p w14:paraId="7816909B" w14:textId="77777777" w:rsidR="002922F7" w:rsidRDefault="002922F7" w:rsidP="002922F7">
            <w:pPr>
              <w:pStyle w:val="TabletextCentre"/>
              <w:keepNext/>
            </w:pPr>
            <w:r w:rsidRPr="00B76F9C">
              <w:t>0.2395</w:t>
            </w:r>
          </w:p>
        </w:tc>
        <w:tc>
          <w:tcPr>
            <w:tcW w:w="1302" w:type="dxa"/>
          </w:tcPr>
          <w:p w14:paraId="14B67CF4" w14:textId="77777777" w:rsidR="002922F7" w:rsidRDefault="002922F7" w:rsidP="002922F7">
            <w:pPr>
              <w:pStyle w:val="TabletextCentre"/>
              <w:keepNext/>
            </w:pPr>
            <w:r w:rsidRPr="00B76F9C">
              <w:t>0.7181</w:t>
            </w:r>
          </w:p>
        </w:tc>
      </w:tr>
      <w:tr w:rsidR="002922F7" w14:paraId="04B0F831" w14:textId="77777777" w:rsidTr="002922F7">
        <w:tc>
          <w:tcPr>
            <w:tcW w:w="1092" w:type="dxa"/>
            <w:vMerge/>
          </w:tcPr>
          <w:p w14:paraId="4C63E643" w14:textId="77777777" w:rsidR="002922F7" w:rsidRPr="00EE0E71" w:rsidRDefault="002922F7" w:rsidP="002922F7">
            <w:pPr>
              <w:keepNext/>
            </w:pPr>
          </w:p>
        </w:tc>
        <w:tc>
          <w:tcPr>
            <w:tcW w:w="1355" w:type="dxa"/>
            <w:vMerge w:val="restart"/>
            <w:vAlign w:val="center"/>
          </w:tcPr>
          <w:p w14:paraId="2F85673E" w14:textId="77777777" w:rsidR="002922F7" w:rsidRDefault="002922F7" w:rsidP="002922F7">
            <w:pPr>
              <w:pStyle w:val="TabletextCentreTotal"/>
              <w:keepNext/>
            </w:pPr>
            <w:r w:rsidRPr="00EE0E71">
              <w:t>3rd quartile</w:t>
            </w:r>
          </w:p>
        </w:tc>
        <w:tc>
          <w:tcPr>
            <w:tcW w:w="1366" w:type="dxa"/>
          </w:tcPr>
          <w:p w14:paraId="2BD67344" w14:textId="77777777" w:rsidR="002922F7" w:rsidRDefault="002922F7" w:rsidP="002922F7">
            <w:pPr>
              <w:pStyle w:val="TabletextLeftTotal"/>
              <w:keepNext/>
            </w:pPr>
            <w:r w:rsidRPr="00EE0E71">
              <w:t>observed proportion</w:t>
            </w:r>
          </w:p>
        </w:tc>
        <w:tc>
          <w:tcPr>
            <w:tcW w:w="1301" w:type="dxa"/>
          </w:tcPr>
          <w:p w14:paraId="5D10C4F4" w14:textId="77777777" w:rsidR="002922F7" w:rsidRDefault="002922F7" w:rsidP="002922F7">
            <w:pPr>
              <w:pStyle w:val="TabletextCentre"/>
              <w:keepNext/>
            </w:pPr>
            <w:r w:rsidRPr="00B76F9C">
              <w:t>2.53%</w:t>
            </w:r>
          </w:p>
        </w:tc>
        <w:tc>
          <w:tcPr>
            <w:tcW w:w="1301" w:type="dxa"/>
          </w:tcPr>
          <w:p w14:paraId="6760A8E5" w14:textId="77777777" w:rsidR="002922F7" w:rsidRDefault="002922F7" w:rsidP="002922F7">
            <w:pPr>
              <w:pStyle w:val="TabletextCentre"/>
              <w:keepNext/>
            </w:pPr>
            <w:r w:rsidRPr="00B76F9C">
              <w:t>6.65%</w:t>
            </w:r>
          </w:p>
        </w:tc>
        <w:tc>
          <w:tcPr>
            <w:tcW w:w="1309" w:type="dxa"/>
          </w:tcPr>
          <w:p w14:paraId="023C3462" w14:textId="77777777" w:rsidR="002922F7" w:rsidRDefault="002922F7" w:rsidP="002922F7">
            <w:pPr>
              <w:pStyle w:val="TabletextCentre"/>
              <w:keepNext/>
            </w:pPr>
            <w:r w:rsidRPr="00B76F9C">
              <w:t>7.28%</w:t>
            </w:r>
          </w:p>
        </w:tc>
        <w:tc>
          <w:tcPr>
            <w:tcW w:w="1302" w:type="dxa"/>
          </w:tcPr>
          <w:p w14:paraId="5AB24940" w14:textId="77777777" w:rsidR="002922F7" w:rsidRDefault="002922F7" w:rsidP="002922F7">
            <w:pPr>
              <w:pStyle w:val="TabletextCentre"/>
              <w:keepNext/>
            </w:pPr>
            <w:r w:rsidRPr="00B76F9C">
              <w:t>7.91%</w:t>
            </w:r>
          </w:p>
        </w:tc>
      </w:tr>
      <w:tr w:rsidR="002922F7" w14:paraId="35ED729F" w14:textId="77777777" w:rsidTr="002922F7">
        <w:tc>
          <w:tcPr>
            <w:tcW w:w="1092" w:type="dxa"/>
            <w:vMerge/>
          </w:tcPr>
          <w:p w14:paraId="142E356A" w14:textId="77777777" w:rsidR="002922F7" w:rsidRDefault="002922F7" w:rsidP="002922F7">
            <w:pPr>
              <w:keepNext/>
            </w:pPr>
          </w:p>
        </w:tc>
        <w:tc>
          <w:tcPr>
            <w:tcW w:w="1355" w:type="dxa"/>
            <w:vMerge/>
            <w:vAlign w:val="center"/>
          </w:tcPr>
          <w:p w14:paraId="4BC3CD2B" w14:textId="77777777" w:rsidR="002922F7" w:rsidRDefault="002922F7" w:rsidP="002922F7">
            <w:pPr>
              <w:pStyle w:val="TabletextCentreTotal"/>
              <w:keepNext/>
            </w:pPr>
          </w:p>
        </w:tc>
        <w:tc>
          <w:tcPr>
            <w:tcW w:w="1366" w:type="dxa"/>
          </w:tcPr>
          <w:p w14:paraId="31A2C429" w14:textId="77777777" w:rsidR="002922F7" w:rsidRDefault="002922F7" w:rsidP="002922F7">
            <w:pPr>
              <w:pStyle w:val="TabletextLeftTotal"/>
              <w:keepNext/>
            </w:pPr>
            <w:r w:rsidRPr="00EE0E71">
              <w:t>expected proportion</w:t>
            </w:r>
          </w:p>
        </w:tc>
        <w:tc>
          <w:tcPr>
            <w:tcW w:w="1301" w:type="dxa"/>
          </w:tcPr>
          <w:p w14:paraId="4C4C350E" w14:textId="77777777" w:rsidR="002922F7" w:rsidRDefault="002922F7" w:rsidP="002922F7">
            <w:pPr>
              <w:pStyle w:val="TabletextCentre"/>
              <w:keepNext/>
            </w:pPr>
            <w:r w:rsidRPr="00B76F9C">
              <w:t>4.24%</w:t>
            </w:r>
          </w:p>
        </w:tc>
        <w:tc>
          <w:tcPr>
            <w:tcW w:w="1301" w:type="dxa"/>
          </w:tcPr>
          <w:p w14:paraId="229C43F6" w14:textId="77777777" w:rsidR="002922F7" w:rsidRDefault="002922F7" w:rsidP="002922F7">
            <w:pPr>
              <w:pStyle w:val="TabletextCentre"/>
              <w:keepNext/>
            </w:pPr>
            <w:r w:rsidRPr="00B76F9C">
              <w:t>6.79%</w:t>
            </w:r>
          </w:p>
        </w:tc>
        <w:tc>
          <w:tcPr>
            <w:tcW w:w="1309" w:type="dxa"/>
          </w:tcPr>
          <w:p w14:paraId="5FE80118" w14:textId="77777777" w:rsidR="002922F7" w:rsidRDefault="002922F7" w:rsidP="002922F7">
            <w:pPr>
              <w:pStyle w:val="TabletextCentre"/>
              <w:keepNext/>
            </w:pPr>
            <w:r w:rsidRPr="00B76F9C">
              <w:t>6.48%</w:t>
            </w:r>
          </w:p>
        </w:tc>
        <w:tc>
          <w:tcPr>
            <w:tcW w:w="1302" w:type="dxa"/>
          </w:tcPr>
          <w:p w14:paraId="627ECF8E" w14:textId="77777777" w:rsidR="002922F7" w:rsidRDefault="002922F7" w:rsidP="002922F7">
            <w:pPr>
              <w:pStyle w:val="TabletextCentre"/>
              <w:keepNext/>
            </w:pPr>
            <w:r w:rsidRPr="00B76F9C">
              <w:t>6.86%</w:t>
            </w:r>
          </w:p>
        </w:tc>
      </w:tr>
      <w:tr w:rsidR="002922F7" w14:paraId="7EAB957F" w14:textId="77777777" w:rsidTr="002922F7">
        <w:tc>
          <w:tcPr>
            <w:tcW w:w="1092" w:type="dxa"/>
            <w:vMerge/>
          </w:tcPr>
          <w:p w14:paraId="71531726" w14:textId="77777777" w:rsidR="002922F7" w:rsidRDefault="002922F7" w:rsidP="002922F7">
            <w:pPr>
              <w:keepNext/>
            </w:pPr>
          </w:p>
        </w:tc>
        <w:tc>
          <w:tcPr>
            <w:tcW w:w="1355" w:type="dxa"/>
            <w:vMerge/>
            <w:vAlign w:val="center"/>
          </w:tcPr>
          <w:p w14:paraId="1BAC0165" w14:textId="77777777" w:rsidR="002922F7" w:rsidRDefault="002922F7" w:rsidP="002922F7">
            <w:pPr>
              <w:pStyle w:val="TabletextCentreTotal"/>
              <w:keepNext/>
            </w:pPr>
          </w:p>
        </w:tc>
        <w:tc>
          <w:tcPr>
            <w:tcW w:w="1366" w:type="dxa"/>
          </w:tcPr>
          <w:p w14:paraId="30BE4B72" w14:textId="77777777" w:rsidR="002922F7" w:rsidRDefault="002922F7" w:rsidP="002922F7">
            <w:pPr>
              <w:pStyle w:val="TabletextLeftTotal"/>
              <w:keepNext/>
            </w:pPr>
            <w:r w:rsidRPr="00EE0E71">
              <w:t>p-value</w:t>
            </w:r>
          </w:p>
        </w:tc>
        <w:tc>
          <w:tcPr>
            <w:tcW w:w="1301" w:type="dxa"/>
          </w:tcPr>
          <w:p w14:paraId="0F612065" w14:textId="77777777" w:rsidR="002922F7" w:rsidRDefault="002922F7" w:rsidP="002922F7">
            <w:pPr>
              <w:pStyle w:val="TabletextCentre"/>
              <w:keepNext/>
            </w:pPr>
            <w:r w:rsidRPr="00B76F9C">
              <w:t>0.0619</w:t>
            </w:r>
          </w:p>
        </w:tc>
        <w:tc>
          <w:tcPr>
            <w:tcW w:w="1301" w:type="dxa"/>
          </w:tcPr>
          <w:p w14:paraId="1C247D37" w14:textId="77777777" w:rsidR="002922F7" w:rsidRDefault="002922F7" w:rsidP="002922F7">
            <w:pPr>
              <w:pStyle w:val="TabletextCentre"/>
              <w:keepNext/>
            </w:pPr>
            <w:r w:rsidRPr="00B76F9C">
              <w:t>0.8970</w:t>
            </w:r>
          </w:p>
        </w:tc>
        <w:tc>
          <w:tcPr>
            <w:tcW w:w="1309" w:type="dxa"/>
          </w:tcPr>
          <w:p w14:paraId="3EE45523" w14:textId="77777777" w:rsidR="002922F7" w:rsidRDefault="002922F7" w:rsidP="002922F7">
            <w:pPr>
              <w:pStyle w:val="TabletextCentre"/>
              <w:keepNext/>
            </w:pPr>
            <w:r w:rsidRPr="00B76F9C">
              <w:t>0.4527</w:t>
            </w:r>
          </w:p>
        </w:tc>
        <w:tc>
          <w:tcPr>
            <w:tcW w:w="1302" w:type="dxa"/>
          </w:tcPr>
          <w:p w14:paraId="58A2F55B" w14:textId="77777777" w:rsidR="002922F7" w:rsidRDefault="002922F7" w:rsidP="002922F7">
            <w:pPr>
              <w:pStyle w:val="TabletextCentre"/>
              <w:keepNext/>
            </w:pPr>
            <w:r w:rsidRPr="00B76F9C">
              <w:t>0.3344</w:t>
            </w:r>
          </w:p>
        </w:tc>
      </w:tr>
      <w:tr w:rsidR="002922F7" w14:paraId="5E78848B" w14:textId="77777777" w:rsidTr="002922F7">
        <w:tc>
          <w:tcPr>
            <w:tcW w:w="1092" w:type="dxa"/>
            <w:vMerge/>
          </w:tcPr>
          <w:p w14:paraId="1793297E" w14:textId="77777777" w:rsidR="002922F7" w:rsidRPr="00EE0E71" w:rsidRDefault="002922F7" w:rsidP="002922F7">
            <w:pPr>
              <w:keepNext/>
            </w:pPr>
          </w:p>
        </w:tc>
        <w:tc>
          <w:tcPr>
            <w:tcW w:w="1355" w:type="dxa"/>
            <w:vMerge w:val="restart"/>
            <w:vAlign w:val="center"/>
          </w:tcPr>
          <w:p w14:paraId="03AB8019" w14:textId="77777777" w:rsidR="002922F7" w:rsidRDefault="002922F7" w:rsidP="002922F7">
            <w:pPr>
              <w:pStyle w:val="TabletextCentreTotal"/>
              <w:keepNext/>
            </w:pPr>
            <w:r w:rsidRPr="00EE0E71">
              <w:t>4th quartile</w:t>
            </w:r>
          </w:p>
        </w:tc>
        <w:tc>
          <w:tcPr>
            <w:tcW w:w="1366" w:type="dxa"/>
          </w:tcPr>
          <w:p w14:paraId="655DF0D5" w14:textId="77777777" w:rsidR="002922F7" w:rsidRDefault="002922F7" w:rsidP="002922F7">
            <w:pPr>
              <w:pStyle w:val="TabletextLeftTotal"/>
              <w:keepNext/>
            </w:pPr>
            <w:r w:rsidRPr="00EE0E71">
              <w:t>observed proportion</w:t>
            </w:r>
          </w:p>
        </w:tc>
        <w:tc>
          <w:tcPr>
            <w:tcW w:w="1301" w:type="dxa"/>
          </w:tcPr>
          <w:p w14:paraId="5FED0C98" w14:textId="77777777" w:rsidR="002922F7" w:rsidRDefault="002922F7" w:rsidP="002922F7">
            <w:pPr>
              <w:pStyle w:val="TabletextCentre"/>
              <w:keepNext/>
            </w:pPr>
            <w:r w:rsidRPr="00B76F9C">
              <w:t>4.43%</w:t>
            </w:r>
          </w:p>
        </w:tc>
        <w:tc>
          <w:tcPr>
            <w:tcW w:w="1301" w:type="dxa"/>
          </w:tcPr>
          <w:p w14:paraId="24090EAB" w14:textId="77777777" w:rsidR="002922F7" w:rsidRDefault="002922F7" w:rsidP="002922F7">
            <w:pPr>
              <w:pStyle w:val="TabletextCentre"/>
              <w:keepNext/>
            </w:pPr>
            <w:r w:rsidRPr="00B76F9C">
              <w:t>6.65%</w:t>
            </w:r>
          </w:p>
        </w:tc>
        <w:tc>
          <w:tcPr>
            <w:tcW w:w="1309" w:type="dxa"/>
          </w:tcPr>
          <w:p w14:paraId="0A847BBC" w14:textId="77777777" w:rsidR="002922F7" w:rsidRDefault="002922F7" w:rsidP="002922F7">
            <w:pPr>
              <w:pStyle w:val="TabletextCentre"/>
              <w:keepNext/>
            </w:pPr>
            <w:r w:rsidRPr="00B76F9C">
              <w:t>6.33%</w:t>
            </w:r>
          </w:p>
        </w:tc>
        <w:tc>
          <w:tcPr>
            <w:tcW w:w="1302" w:type="dxa"/>
          </w:tcPr>
          <w:p w14:paraId="178B84F6" w14:textId="77777777" w:rsidR="002922F7" w:rsidRDefault="002922F7" w:rsidP="002922F7">
            <w:pPr>
              <w:pStyle w:val="TabletextCentre"/>
              <w:keepNext/>
            </w:pPr>
            <w:r w:rsidRPr="00B76F9C">
              <w:t>7.91%</w:t>
            </w:r>
          </w:p>
        </w:tc>
      </w:tr>
      <w:tr w:rsidR="002922F7" w14:paraId="7D90F913" w14:textId="77777777" w:rsidTr="002922F7">
        <w:tc>
          <w:tcPr>
            <w:tcW w:w="1092" w:type="dxa"/>
            <w:vMerge/>
          </w:tcPr>
          <w:p w14:paraId="5081A4A8" w14:textId="77777777" w:rsidR="002922F7" w:rsidRDefault="002922F7" w:rsidP="002922F7">
            <w:pPr>
              <w:keepNext/>
            </w:pPr>
          </w:p>
        </w:tc>
        <w:tc>
          <w:tcPr>
            <w:tcW w:w="1355" w:type="dxa"/>
            <w:vMerge/>
          </w:tcPr>
          <w:p w14:paraId="1896AAE8" w14:textId="77777777" w:rsidR="002922F7" w:rsidRDefault="002922F7" w:rsidP="002922F7">
            <w:pPr>
              <w:pStyle w:val="TabletextCentreTotal"/>
              <w:keepNext/>
            </w:pPr>
          </w:p>
        </w:tc>
        <w:tc>
          <w:tcPr>
            <w:tcW w:w="1366" w:type="dxa"/>
          </w:tcPr>
          <w:p w14:paraId="67275301" w14:textId="77777777" w:rsidR="002922F7" w:rsidRDefault="002922F7" w:rsidP="002922F7">
            <w:pPr>
              <w:pStyle w:val="TabletextLeftTotal"/>
              <w:keepNext/>
            </w:pPr>
            <w:r w:rsidRPr="00EE0E71">
              <w:t>expected proportion</w:t>
            </w:r>
          </w:p>
        </w:tc>
        <w:tc>
          <w:tcPr>
            <w:tcW w:w="1301" w:type="dxa"/>
          </w:tcPr>
          <w:p w14:paraId="6AA84D90" w14:textId="77777777" w:rsidR="002922F7" w:rsidRDefault="002922F7" w:rsidP="002922F7">
            <w:pPr>
              <w:pStyle w:val="TabletextCentre"/>
              <w:keepNext/>
            </w:pPr>
            <w:r w:rsidRPr="00B76F9C">
              <w:t>4.41%</w:t>
            </w:r>
          </w:p>
        </w:tc>
        <w:tc>
          <w:tcPr>
            <w:tcW w:w="1301" w:type="dxa"/>
          </w:tcPr>
          <w:p w14:paraId="55B48559" w14:textId="77777777" w:rsidR="002922F7" w:rsidRDefault="002922F7" w:rsidP="002922F7">
            <w:pPr>
              <w:pStyle w:val="TabletextCentre"/>
              <w:keepNext/>
            </w:pPr>
            <w:r w:rsidRPr="00B76F9C">
              <w:t>7.05%</w:t>
            </w:r>
          </w:p>
        </w:tc>
        <w:tc>
          <w:tcPr>
            <w:tcW w:w="1309" w:type="dxa"/>
          </w:tcPr>
          <w:p w14:paraId="096C80BA" w14:textId="77777777" w:rsidR="002922F7" w:rsidRDefault="002922F7" w:rsidP="002922F7">
            <w:pPr>
              <w:pStyle w:val="TabletextCentre"/>
              <w:keepNext/>
            </w:pPr>
            <w:r w:rsidRPr="00B76F9C">
              <w:t>6.73%</w:t>
            </w:r>
          </w:p>
        </w:tc>
        <w:tc>
          <w:tcPr>
            <w:tcW w:w="1302" w:type="dxa"/>
          </w:tcPr>
          <w:p w14:paraId="2293076F" w14:textId="77777777" w:rsidR="002922F7" w:rsidRDefault="002922F7" w:rsidP="002922F7">
            <w:pPr>
              <w:pStyle w:val="TabletextCentre"/>
              <w:keepNext/>
            </w:pPr>
            <w:r w:rsidRPr="00B76F9C">
              <w:t>7.13%</w:t>
            </w:r>
          </w:p>
        </w:tc>
      </w:tr>
      <w:tr w:rsidR="002922F7" w14:paraId="69D68B28" w14:textId="77777777" w:rsidTr="002922F7">
        <w:tc>
          <w:tcPr>
            <w:tcW w:w="1092" w:type="dxa"/>
            <w:vMerge/>
          </w:tcPr>
          <w:p w14:paraId="3DB0403E" w14:textId="77777777" w:rsidR="002922F7" w:rsidRDefault="002922F7" w:rsidP="002922F7">
            <w:pPr>
              <w:keepNext/>
            </w:pPr>
          </w:p>
        </w:tc>
        <w:tc>
          <w:tcPr>
            <w:tcW w:w="1355" w:type="dxa"/>
            <w:vMerge/>
          </w:tcPr>
          <w:p w14:paraId="2D9D6B8F" w14:textId="77777777" w:rsidR="002922F7" w:rsidRDefault="002922F7" w:rsidP="002922F7">
            <w:pPr>
              <w:pStyle w:val="TabletextCentreTotal"/>
              <w:keepNext/>
            </w:pPr>
          </w:p>
        </w:tc>
        <w:tc>
          <w:tcPr>
            <w:tcW w:w="1366" w:type="dxa"/>
          </w:tcPr>
          <w:p w14:paraId="0B34090C" w14:textId="77777777" w:rsidR="002922F7" w:rsidRDefault="002922F7" w:rsidP="002922F7">
            <w:pPr>
              <w:pStyle w:val="TabletextLeftTotal"/>
              <w:keepNext/>
            </w:pPr>
            <w:r w:rsidRPr="00EE0E71">
              <w:t>p-value</w:t>
            </w:r>
          </w:p>
        </w:tc>
        <w:tc>
          <w:tcPr>
            <w:tcW w:w="1301" w:type="dxa"/>
          </w:tcPr>
          <w:p w14:paraId="664BB865" w14:textId="77777777" w:rsidR="002922F7" w:rsidRDefault="002922F7" w:rsidP="002922F7">
            <w:pPr>
              <w:pStyle w:val="TabletextCentre"/>
              <w:keepNext/>
            </w:pPr>
            <w:r w:rsidRPr="00B76F9C">
              <w:t>0.9793</w:t>
            </w:r>
          </w:p>
        </w:tc>
        <w:tc>
          <w:tcPr>
            <w:tcW w:w="1301" w:type="dxa"/>
          </w:tcPr>
          <w:p w14:paraId="01EDECE3" w14:textId="77777777" w:rsidR="002922F7" w:rsidRDefault="002922F7" w:rsidP="002922F7">
            <w:pPr>
              <w:pStyle w:val="TabletextCentre"/>
              <w:keepNext/>
            </w:pPr>
            <w:r w:rsidRPr="00B76F9C">
              <w:t>0.7121</w:t>
            </w:r>
          </w:p>
        </w:tc>
        <w:tc>
          <w:tcPr>
            <w:tcW w:w="1309" w:type="dxa"/>
          </w:tcPr>
          <w:p w14:paraId="1FA56D0D" w14:textId="77777777" w:rsidR="002922F7" w:rsidRDefault="002922F7" w:rsidP="002922F7">
            <w:pPr>
              <w:pStyle w:val="TabletextCentre"/>
              <w:keepNext/>
            </w:pPr>
            <w:r w:rsidRPr="00B76F9C">
              <w:t>0.7109</w:t>
            </w:r>
          </w:p>
        </w:tc>
        <w:tc>
          <w:tcPr>
            <w:tcW w:w="1302" w:type="dxa"/>
          </w:tcPr>
          <w:p w14:paraId="28554220" w14:textId="77777777" w:rsidR="002922F7" w:rsidRDefault="002922F7" w:rsidP="002922F7">
            <w:pPr>
              <w:pStyle w:val="TabletextCentre"/>
              <w:keepNext/>
            </w:pPr>
            <w:r w:rsidRPr="00B76F9C">
              <w:t>0.4777</w:t>
            </w:r>
          </w:p>
        </w:tc>
      </w:tr>
    </w:tbl>
    <w:p w14:paraId="66A56CF3" w14:textId="77777777" w:rsidR="002922F7" w:rsidRDefault="002922F7" w:rsidP="002922F7">
      <w:pPr>
        <w:rPr>
          <w:lang w:eastAsia="en-AU"/>
        </w:rPr>
      </w:pPr>
    </w:p>
    <w:p w14:paraId="735183EF" w14:textId="77777777" w:rsidR="002922F7" w:rsidRDefault="002922F7" w:rsidP="00400621">
      <w:pPr>
        <w:pStyle w:val="AppendixTableCaption"/>
        <w:numPr>
          <w:ilvl w:val="6"/>
          <w:numId w:val="11"/>
        </w:numPr>
      </w:pPr>
      <w:bookmarkStart w:id="304" w:name="_Toc40454711"/>
      <w:r>
        <w:lastRenderedPageBreak/>
        <w:t>Overheads and permanent employment rate, cross</w:t>
      </w:r>
      <w:r>
        <w:noBreakHyphen/>
        <w:t>tabulated distribution</w:t>
      </w:r>
      <w:bookmarkEnd w:id="304"/>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1BF53D49"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193F69FA" w14:textId="77777777" w:rsidR="002922F7" w:rsidRDefault="002922F7" w:rsidP="002922F7">
            <w:pPr>
              <w:keepNext/>
            </w:pPr>
          </w:p>
        </w:tc>
        <w:tc>
          <w:tcPr>
            <w:tcW w:w="1355" w:type="dxa"/>
          </w:tcPr>
          <w:p w14:paraId="30D162EE" w14:textId="77777777" w:rsidR="002922F7" w:rsidRDefault="002922F7" w:rsidP="002922F7">
            <w:pPr>
              <w:keepNext/>
            </w:pPr>
          </w:p>
        </w:tc>
        <w:tc>
          <w:tcPr>
            <w:tcW w:w="1366" w:type="dxa"/>
          </w:tcPr>
          <w:p w14:paraId="6BCD0665" w14:textId="77777777" w:rsidR="002922F7" w:rsidRDefault="002922F7" w:rsidP="002922F7">
            <w:pPr>
              <w:keepNext/>
            </w:pPr>
          </w:p>
        </w:tc>
        <w:tc>
          <w:tcPr>
            <w:tcW w:w="5213" w:type="dxa"/>
            <w:gridSpan w:val="4"/>
          </w:tcPr>
          <w:p w14:paraId="337B4AE7" w14:textId="77777777" w:rsidR="002922F7" w:rsidRDefault="002922F7" w:rsidP="002922F7">
            <w:pPr>
              <w:pStyle w:val="TableHeadingCentre"/>
              <w:keepNext/>
            </w:pPr>
            <w:r>
              <w:t>Permanent employment rate</w:t>
            </w:r>
          </w:p>
        </w:tc>
      </w:tr>
      <w:tr w:rsidR="002922F7" w14:paraId="0FA0CC43" w14:textId="77777777" w:rsidTr="002922F7">
        <w:tc>
          <w:tcPr>
            <w:tcW w:w="1092" w:type="dxa"/>
          </w:tcPr>
          <w:p w14:paraId="2A3CEA4B" w14:textId="77777777" w:rsidR="002922F7" w:rsidRDefault="002922F7" w:rsidP="002922F7">
            <w:pPr>
              <w:keepNext/>
            </w:pPr>
          </w:p>
        </w:tc>
        <w:tc>
          <w:tcPr>
            <w:tcW w:w="1355" w:type="dxa"/>
          </w:tcPr>
          <w:p w14:paraId="7DF511BD" w14:textId="77777777" w:rsidR="002922F7" w:rsidRDefault="002922F7" w:rsidP="002922F7">
            <w:pPr>
              <w:keepNext/>
            </w:pPr>
          </w:p>
        </w:tc>
        <w:tc>
          <w:tcPr>
            <w:tcW w:w="1366" w:type="dxa"/>
          </w:tcPr>
          <w:p w14:paraId="3DB67F57" w14:textId="77777777" w:rsidR="002922F7" w:rsidRDefault="002922F7" w:rsidP="002922F7">
            <w:pPr>
              <w:keepNext/>
            </w:pPr>
          </w:p>
        </w:tc>
        <w:tc>
          <w:tcPr>
            <w:tcW w:w="1301" w:type="dxa"/>
          </w:tcPr>
          <w:p w14:paraId="1D3FF3DD" w14:textId="77777777" w:rsidR="002922F7" w:rsidRDefault="002922F7" w:rsidP="002922F7">
            <w:pPr>
              <w:pStyle w:val="TabletextCentreTotal"/>
              <w:keepNext/>
              <w:jc w:val="left"/>
            </w:pPr>
            <w:r w:rsidRPr="00EE0E71">
              <w:t>1st quartile</w:t>
            </w:r>
          </w:p>
        </w:tc>
        <w:tc>
          <w:tcPr>
            <w:tcW w:w="1301" w:type="dxa"/>
          </w:tcPr>
          <w:p w14:paraId="397B3529" w14:textId="77777777" w:rsidR="002922F7" w:rsidRDefault="002922F7" w:rsidP="002922F7">
            <w:pPr>
              <w:pStyle w:val="TabletextCentreTotal"/>
              <w:keepNext/>
            </w:pPr>
            <w:r w:rsidRPr="00EE0E71">
              <w:t>2nd quartile</w:t>
            </w:r>
          </w:p>
        </w:tc>
        <w:tc>
          <w:tcPr>
            <w:tcW w:w="1309" w:type="dxa"/>
          </w:tcPr>
          <w:p w14:paraId="46B3317F" w14:textId="77777777" w:rsidR="002922F7" w:rsidRDefault="002922F7" w:rsidP="002922F7">
            <w:pPr>
              <w:pStyle w:val="TabletextCentreTotal"/>
              <w:keepNext/>
            </w:pPr>
            <w:r w:rsidRPr="00EE0E71">
              <w:t>3rd quartile</w:t>
            </w:r>
          </w:p>
        </w:tc>
        <w:tc>
          <w:tcPr>
            <w:tcW w:w="1302" w:type="dxa"/>
          </w:tcPr>
          <w:p w14:paraId="637EB98A" w14:textId="77777777" w:rsidR="002922F7" w:rsidRDefault="002922F7" w:rsidP="002922F7">
            <w:pPr>
              <w:pStyle w:val="TabletextCentreTotal"/>
              <w:keepNext/>
              <w:jc w:val="right"/>
            </w:pPr>
            <w:r w:rsidRPr="00EE0E71">
              <w:t>4th quartile</w:t>
            </w:r>
          </w:p>
        </w:tc>
      </w:tr>
      <w:tr w:rsidR="002922F7" w14:paraId="1DC7C2E1" w14:textId="77777777" w:rsidTr="002922F7">
        <w:tc>
          <w:tcPr>
            <w:tcW w:w="0" w:type="dxa"/>
            <w:vMerge w:val="restart"/>
            <w:textDirection w:val="btLr"/>
          </w:tcPr>
          <w:p w14:paraId="26C8D3C0" w14:textId="77777777" w:rsidR="002922F7" w:rsidRPr="00EE0E71" w:rsidRDefault="002922F7" w:rsidP="002922F7">
            <w:pPr>
              <w:pStyle w:val="TableHeadingCentre"/>
              <w:keepNext/>
            </w:pPr>
            <w:r>
              <w:t>Overheads</w:t>
            </w:r>
          </w:p>
        </w:tc>
        <w:tc>
          <w:tcPr>
            <w:tcW w:w="0" w:type="dxa"/>
            <w:vMerge w:val="restart"/>
            <w:vAlign w:val="center"/>
          </w:tcPr>
          <w:p w14:paraId="01702314" w14:textId="77777777" w:rsidR="002922F7" w:rsidRDefault="002922F7" w:rsidP="002922F7">
            <w:pPr>
              <w:pStyle w:val="TabletextCentreTotal"/>
              <w:keepNext/>
            </w:pPr>
            <w:r w:rsidRPr="00EE0E71">
              <w:t>1st quartile</w:t>
            </w:r>
          </w:p>
        </w:tc>
        <w:tc>
          <w:tcPr>
            <w:tcW w:w="0" w:type="dxa"/>
          </w:tcPr>
          <w:p w14:paraId="45FE5DD4" w14:textId="77777777" w:rsidR="002922F7" w:rsidRDefault="002922F7" w:rsidP="002922F7">
            <w:pPr>
              <w:pStyle w:val="TabletextLeftTotal"/>
              <w:keepNext/>
            </w:pPr>
            <w:r w:rsidRPr="00EE0E71">
              <w:t>observed proportion</w:t>
            </w:r>
          </w:p>
        </w:tc>
        <w:tc>
          <w:tcPr>
            <w:tcW w:w="0" w:type="dxa"/>
          </w:tcPr>
          <w:p w14:paraId="4A626442" w14:textId="77777777" w:rsidR="002922F7" w:rsidRDefault="002922F7" w:rsidP="002922F7">
            <w:pPr>
              <w:pStyle w:val="TabletextCentre"/>
              <w:keepNext/>
            </w:pPr>
            <w:r w:rsidRPr="00006D00">
              <w:t>7.17%</w:t>
            </w:r>
          </w:p>
        </w:tc>
        <w:tc>
          <w:tcPr>
            <w:tcW w:w="0" w:type="dxa"/>
          </w:tcPr>
          <w:p w14:paraId="3BAD1FE7" w14:textId="77777777" w:rsidR="002922F7" w:rsidRDefault="002922F7" w:rsidP="002922F7">
            <w:pPr>
              <w:pStyle w:val="TabletextCentre"/>
              <w:keepNext/>
            </w:pPr>
            <w:r w:rsidRPr="00006D00">
              <w:t>7.48%</w:t>
            </w:r>
          </w:p>
        </w:tc>
        <w:tc>
          <w:tcPr>
            <w:tcW w:w="0" w:type="dxa"/>
          </w:tcPr>
          <w:p w14:paraId="7BADB848" w14:textId="77777777" w:rsidR="002922F7" w:rsidRDefault="002922F7" w:rsidP="002922F7">
            <w:pPr>
              <w:pStyle w:val="TabletextCentre"/>
              <w:keepNext/>
            </w:pPr>
            <w:r w:rsidRPr="00006D00">
              <w:t>3.43%</w:t>
            </w:r>
          </w:p>
        </w:tc>
        <w:tc>
          <w:tcPr>
            <w:tcW w:w="0" w:type="dxa"/>
          </w:tcPr>
          <w:p w14:paraId="52839A6A" w14:textId="77777777" w:rsidR="002922F7" w:rsidRDefault="002922F7" w:rsidP="002922F7">
            <w:pPr>
              <w:pStyle w:val="TabletextCentre"/>
              <w:keepNext/>
            </w:pPr>
            <w:r w:rsidRPr="00006D00">
              <w:t>7.17%</w:t>
            </w:r>
          </w:p>
        </w:tc>
      </w:tr>
      <w:tr w:rsidR="002922F7" w14:paraId="285B25BE" w14:textId="77777777" w:rsidTr="002922F7">
        <w:tc>
          <w:tcPr>
            <w:tcW w:w="0" w:type="dxa"/>
            <w:vMerge/>
          </w:tcPr>
          <w:p w14:paraId="138BFA92" w14:textId="77777777" w:rsidR="002922F7" w:rsidRDefault="002922F7" w:rsidP="002922F7">
            <w:pPr>
              <w:keepNext/>
            </w:pPr>
          </w:p>
        </w:tc>
        <w:tc>
          <w:tcPr>
            <w:tcW w:w="0" w:type="dxa"/>
            <w:vMerge/>
            <w:vAlign w:val="center"/>
          </w:tcPr>
          <w:p w14:paraId="7C187BCB" w14:textId="77777777" w:rsidR="002922F7" w:rsidRDefault="002922F7" w:rsidP="002922F7">
            <w:pPr>
              <w:pStyle w:val="TabletextCentreTotal"/>
              <w:keepNext/>
            </w:pPr>
          </w:p>
        </w:tc>
        <w:tc>
          <w:tcPr>
            <w:tcW w:w="0" w:type="dxa"/>
          </w:tcPr>
          <w:p w14:paraId="525202E5" w14:textId="77777777" w:rsidR="002922F7" w:rsidRDefault="002922F7" w:rsidP="002922F7">
            <w:pPr>
              <w:pStyle w:val="TabletextLeftTotal"/>
              <w:keepNext/>
            </w:pPr>
            <w:r w:rsidRPr="00EE0E71">
              <w:t>expected proportion</w:t>
            </w:r>
          </w:p>
        </w:tc>
        <w:tc>
          <w:tcPr>
            <w:tcW w:w="0" w:type="dxa"/>
          </w:tcPr>
          <w:p w14:paraId="2F45F79D" w14:textId="77777777" w:rsidR="002922F7" w:rsidRDefault="002922F7" w:rsidP="002922F7">
            <w:pPr>
              <w:pStyle w:val="TabletextCentre"/>
              <w:keepNext/>
            </w:pPr>
            <w:r w:rsidRPr="00006D00">
              <w:t>5.97%</w:t>
            </w:r>
          </w:p>
        </w:tc>
        <w:tc>
          <w:tcPr>
            <w:tcW w:w="0" w:type="dxa"/>
          </w:tcPr>
          <w:p w14:paraId="2A391582" w14:textId="77777777" w:rsidR="002922F7" w:rsidRDefault="002922F7" w:rsidP="002922F7">
            <w:pPr>
              <w:pStyle w:val="TabletextCentre"/>
              <w:keepNext/>
            </w:pPr>
            <w:r w:rsidRPr="00006D00">
              <w:t>6.45%</w:t>
            </w:r>
          </w:p>
        </w:tc>
        <w:tc>
          <w:tcPr>
            <w:tcW w:w="0" w:type="dxa"/>
          </w:tcPr>
          <w:p w14:paraId="6AFADD0A" w14:textId="77777777" w:rsidR="002922F7" w:rsidRDefault="002922F7" w:rsidP="002922F7">
            <w:pPr>
              <w:pStyle w:val="TabletextCentre"/>
              <w:keepNext/>
            </w:pPr>
            <w:r w:rsidRPr="00006D00">
              <w:t>6.52%</w:t>
            </w:r>
          </w:p>
        </w:tc>
        <w:tc>
          <w:tcPr>
            <w:tcW w:w="0" w:type="dxa"/>
          </w:tcPr>
          <w:p w14:paraId="34FEA70B" w14:textId="77777777" w:rsidR="002922F7" w:rsidRDefault="002922F7" w:rsidP="002922F7">
            <w:pPr>
              <w:pStyle w:val="TabletextCentre"/>
              <w:keepNext/>
            </w:pPr>
            <w:r w:rsidRPr="00006D00">
              <w:t>6.29%</w:t>
            </w:r>
          </w:p>
        </w:tc>
      </w:tr>
      <w:tr w:rsidR="002922F7" w14:paraId="113E3AC3" w14:textId="77777777" w:rsidTr="002922F7">
        <w:tc>
          <w:tcPr>
            <w:tcW w:w="0" w:type="dxa"/>
            <w:vMerge/>
          </w:tcPr>
          <w:p w14:paraId="4BC3AE35" w14:textId="77777777" w:rsidR="002922F7" w:rsidRDefault="002922F7" w:rsidP="002922F7">
            <w:pPr>
              <w:keepNext/>
            </w:pPr>
          </w:p>
        </w:tc>
        <w:tc>
          <w:tcPr>
            <w:tcW w:w="0" w:type="dxa"/>
            <w:vMerge/>
            <w:vAlign w:val="center"/>
          </w:tcPr>
          <w:p w14:paraId="2CFF0C55" w14:textId="77777777" w:rsidR="002922F7" w:rsidRDefault="002922F7" w:rsidP="002922F7">
            <w:pPr>
              <w:pStyle w:val="TabletextCentreTotal"/>
              <w:keepNext/>
            </w:pPr>
          </w:p>
        </w:tc>
        <w:tc>
          <w:tcPr>
            <w:tcW w:w="0" w:type="dxa"/>
          </w:tcPr>
          <w:p w14:paraId="4F88F3FE" w14:textId="77777777" w:rsidR="002922F7" w:rsidRDefault="002922F7" w:rsidP="002922F7">
            <w:pPr>
              <w:pStyle w:val="TabletextLeftTotal"/>
              <w:keepNext/>
            </w:pPr>
            <w:r w:rsidRPr="00EE0E71">
              <w:t>p-value</w:t>
            </w:r>
          </w:p>
        </w:tc>
        <w:tc>
          <w:tcPr>
            <w:tcW w:w="0" w:type="dxa"/>
          </w:tcPr>
          <w:p w14:paraId="54052C51" w14:textId="77777777" w:rsidR="002922F7" w:rsidRDefault="002922F7" w:rsidP="002922F7">
            <w:pPr>
              <w:pStyle w:val="TabletextCentre"/>
              <w:keepNext/>
            </w:pPr>
            <w:r w:rsidRPr="00006D00">
              <w:t>0.2479</w:t>
            </w:r>
          </w:p>
        </w:tc>
        <w:tc>
          <w:tcPr>
            <w:tcW w:w="0" w:type="dxa"/>
          </w:tcPr>
          <w:p w14:paraId="6581FF7B" w14:textId="77777777" w:rsidR="002922F7" w:rsidRDefault="002922F7" w:rsidP="002922F7">
            <w:pPr>
              <w:pStyle w:val="TabletextCentre"/>
              <w:keepNext/>
            </w:pPr>
            <w:r w:rsidRPr="00006D00">
              <w:t>0.3297</w:t>
            </w:r>
          </w:p>
        </w:tc>
        <w:tc>
          <w:tcPr>
            <w:tcW w:w="0" w:type="dxa"/>
          </w:tcPr>
          <w:p w14:paraId="47330CA4" w14:textId="77777777" w:rsidR="002922F7" w:rsidRDefault="002922F7" w:rsidP="002922F7">
            <w:pPr>
              <w:pStyle w:val="TabletextCentre"/>
              <w:keepNext/>
            </w:pPr>
            <w:r w:rsidRPr="00006D00">
              <w:t>0.0035</w:t>
            </w:r>
          </w:p>
        </w:tc>
        <w:tc>
          <w:tcPr>
            <w:tcW w:w="0" w:type="dxa"/>
          </w:tcPr>
          <w:p w14:paraId="0C78CC31" w14:textId="77777777" w:rsidR="002922F7" w:rsidRDefault="002922F7" w:rsidP="002922F7">
            <w:pPr>
              <w:pStyle w:val="TabletextCentre"/>
              <w:keepNext/>
            </w:pPr>
            <w:r w:rsidRPr="00006D00">
              <w:t>0.4033</w:t>
            </w:r>
          </w:p>
        </w:tc>
      </w:tr>
      <w:tr w:rsidR="002922F7" w14:paraId="364DC383" w14:textId="77777777" w:rsidTr="002922F7">
        <w:tc>
          <w:tcPr>
            <w:tcW w:w="0" w:type="dxa"/>
            <w:vMerge/>
          </w:tcPr>
          <w:p w14:paraId="1B60FED8" w14:textId="77777777" w:rsidR="002922F7" w:rsidRPr="00EE0E71" w:rsidRDefault="002922F7" w:rsidP="002922F7">
            <w:pPr>
              <w:keepNext/>
            </w:pPr>
          </w:p>
        </w:tc>
        <w:tc>
          <w:tcPr>
            <w:tcW w:w="0" w:type="dxa"/>
            <w:vMerge w:val="restart"/>
            <w:vAlign w:val="center"/>
          </w:tcPr>
          <w:p w14:paraId="731D5A31" w14:textId="77777777" w:rsidR="002922F7" w:rsidRDefault="002922F7" w:rsidP="002922F7">
            <w:pPr>
              <w:pStyle w:val="TabletextCentreTotal"/>
              <w:keepNext/>
            </w:pPr>
            <w:r w:rsidRPr="00EE0E71">
              <w:t>2nd quartile</w:t>
            </w:r>
          </w:p>
        </w:tc>
        <w:tc>
          <w:tcPr>
            <w:tcW w:w="0" w:type="dxa"/>
          </w:tcPr>
          <w:p w14:paraId="4819ECB5" w14:textId="77777777" w:rsidR="002922F7" w:rsidRDefault="002922F7" w:rsidP="002922F7">
            <w:pPr>
              <w:pStyle w:val="TabletextLeftTotal"/>
              <w:keepNext/>
            </w:pPr>
            <w:r w:rsidRPr="00EE0E71">
              <w:t>observed proportion</w:t>
            </w:r>
          </w:p>
        </w:tc>
        <w:tc>
          <w:tcPr>
            <w:tcW w:w="0" w:type="dxa"/>
          </w:tcPr>
          <w:p w14:paraId="259AAC9A" w14:textId="77777777" w:rsidR="002922F7" w:rsidRDefault="002922F7" w:rsidP="002922F7">
            <w:pPr>
              <w:pStyle w:val="TabletextCentre"/>
              <w:keepNext/>
            </w:pPr>
            <w:r w:rsidRPr="00006D00">
              <w:t>6.85%</w:t>
            </w:r>
          </w:p>
        </w:tc>
        <w:tc>
          <w:tcPr>
            <w:tcW w:w="0" w:type="dxa"/>
          </w:tcPr>
          <w:p w14:paraId="39DC6969" w14:textId="77777777" w:rsidR="002922F7" w:rsidRDefault="002922F7" w:rsidP="002922F7">
            <w:pPr>
              <w:pStyle w:val="TabletextCentre"/>
              <w:keepNext/>
            </w:pPr>
            <w:r w:rsidRPr="00006D00">
              <w:t>4.67%</w:t>
            </w:r>
          </w:p>
        </w:tc>
        <w:tc>
          <w:tcPr>
            <w:tcW w:w="0" w:type="dxa"/>
          </w:tcPr>
          <w:p w14:paraId="57C4B656" w14:textId="77777777" w:rsidR="002922F7" w:rsidRDefault="002922F7" w:rsidP="002922F7">
            <w:pPr>
              <w:pStyle w:val="TabletextCentre"/>
              <w:keepNext/>
            </w:pPr>
            <w:r w:rsidRPr="00006D00">
              <w:t>8.72%</w:t>
            </w:r>
          </w:p>
        </w:tc>
        <w:tc>
          <w:tcPr>
            <w:tcW w:w="0" w:type="dxa"/>
          </w:tcPr>
          <w:p w14:paraId="3093EF3D" w14:textId="77777777" w:rsidR="002922F7" w:rsidRDefault="002922F7" w:rsidP="002922F7">
            <w:pPr>
              <w:pStyle w:val="TabletextCentre"/>
              <w:keepNext/>
            </w:pPr>
            <w:r w:rsidRPr="00006D00">
              <w:t>4.67%</w:t>
            </w:r>
          </w:p>
        </w:tc>
      </w:tr>
      <w:tr w:rsidR="002922F7" w14:paraId="450481B0" w14:textId="77777777" w:rsidTr="002922F7">
        <w:tc>
          <w:tcPr>
            <w:tcW w:w="0" w:type="dxa"/>
            <w:vMerge/>
          </w:tcPr>
          <w:p w14:paraId="605255F3" w14:textId="77777777" w:rsidR="002922F7" w:rsidRDefault="002922F7" w:rsidP="002922F7">
            <w:pPr>
              <w:keepNext/>
            </w:pPr>
          </w:p>
        </w:tc>
        <w:tc>
          <w:tcPr>
            <w:tcW w:w="0" w:type="dxa"/>
            <w:vMerge/>
            <w:vAlign w:val="center"/>
          </w:tcPr>
          <w:p w14:paraId="51B8318E" w14:textId="77777777" w:rsidR="002922F7" w:rsidRDefault="002922F7" w:rsidP="002922F7">
            <w:pPr>
              <w:pStyle w:val="TabletextCentreTotal"/>
              <w:keepNext/>
            </w:pPr>
          </w:p>
        </w:tc>
        <w:tc>
          <w:tcPr>
            <w:tcW w:w="0" w:type="dxa"/>
          </w:tcPr>
          <w:p w14:paraId="2251EC1B" w14:textId="77777777" w:rsidR="002922F7" w:rsidRDefault="002922F7" w:rsidP="002922F7">
            <w:pPr>
              <w:pStyle w:val="TabletextLeftTotal"/>
              <w:keepNext/>
            </w:pPr>
            <w:r w:rsidRPr="00EE0E71">
              <w:t>expected proportion</w:t>
            </w:r>
          </w:p>
        </w:tc>
        <w:tc>
          <w:tcPr>
            <w:tcW w:w="0" w:type="dxa"/>
          </w:tcPr>
          <w:p w14:paraId="3BDB8147" w14:textId="77777777" w:rsidR="002922F7" w:rsidRDefault="002922F7" w:rsidP="002922F7">
            <w:pPr>
              <w:pStyle w:val="TabletextCentre"/>
              <w:keepNext/>
            </w:pPr>
            <w:r w:rsidRPr="00006D00">
              <w:t>5.90%</w:t>
            </w:r>
          </w:p>
        </w:tc>
        <w:tc>
          <w:tcPr>
            <w:tcW w:w="0" w:type="dxa"/>
          </w:tcPr>
          <w:p w14:paraId="6EFB66D8" w14:textId="77777777" w:rsidR="002922F7" w:rsidRDefault="002922F7" w:rsidP="002922F7">
            <w:pPr>
              <w:pStyle w:val="TabletextCentre"/>
              <w:keepNext/>
            </w:pPr>
            <w:r w:rsidRPr="00006D00">
              <w:t>6.37%</w:t>
            </w:r>
          </w:p>
        </w:tc>
        <w:tc>
          <w:tcPr>
            <w:tcW w:w="0" w:type="dxa"/>
          </w:tcPr>
          <w:p w14:paraId="3DA55572" w14:textId="77777777" w:rsidR="002922F7" w:rsidRDefault="002922F7" w:rsidP="002922F7">
            <w:pPr>
              <w:pStyle w:val="TabletextCentre"/>
              <w:keepNext/>
            </w:pPr>
            <w:r w:rsidRPr="00006D00">
              <w:t>6.44%</w:t>
            </w:r>
          </w:p>
        </w:tc>
        <w:tc>
          <w:tcPr>
            <w:tcW w:w="0" w:type="dxa"/>
          </w:tcPr>
          <w:p w14:paraId="0ACBBC53" w14:textId="77777777" w:rsidR="002922F7" w:rsidRDefault="002922F7" w:rsidP="002922F7">
            <w:pPr>
              <w:pStyle w:val="TabletextCentre"/>
              <w:keepNext/>
            </w:pPr>
            <w:r w:rsidRPr="00006D00">
              <w:t>6.21%</w:t>
            </w:r>
          </w:p>
        </w:tc>
      </w:tr>
      <w:tr w:rsidR="002922F7" w14:paraId="5177E5B2" w14:textId="77777777" w:rsidTr="002922F7">
        <w:tc>
          <w:tcPr>
            <w:tcW w:w="0" w:type="dxa"/>
            <w:vMerge/>
          </w:tcPr>
          <w:p w14:paraId="58F005FE" w14:textId="77777777" w:rsidR="002922F7" w:rsidRDefault="002922F7" w:rsidP="002922F7">
            <w:pPr>
              <w:keepNext/>
            </w:pPr>
          </w:p>
        </w:tc>
        <w:tc>
          <w:tcPr>
            <w:tcW w:w="0" w:type="dxa"/>
            <w:vMerge/>
            <w:vAlign w:val="center"/>
          </w:tcPr>
          <w:p w14:paraId="0B22BEF0" w14:textId="77777777" w:rsidR="002922F7" w:rsidRDefault="002922F7" w:rsidP="002922F7">
            <w:pPr>
              <w:pStyle w:val="TabletextCentreTotal"/>
              <w:keepNext/>
            </w:pPr>
          </w:p>
        </w:tc>
        <w:tc>
          <w:tcPr>
            <w:tcW w:w="0" w:type="dxa"/>
          </w:tcPr>
          <w:p w14:paraId="4F03B29C" w14:textId="77777777" w:rsidR="002922F7" w:rsidRDefault="002922F7" w:rsidP="002922F7">
            <w:pPr>
              <w:pStyle w:val="TabletextLeftTotal"/>
              <w:keepNext/>
            </w:pPr>
            <w:r w:rsidRPr="00EE0E71">
              <w:t>p-value</w:t>
            </w:r>
          </w:p>
        </w:tc>
        <w:tc>
          <w:tcPr>
            <w:tcW w:w="0" w:type="dxa"/>
          </w:tcPr>
          <w:p w14:paraId="5BE7F811" w14:textId="77777777" w:rsidR="002922F7" w:rsidRDefault="002922F7" w:rsidP="002922F7">
            <w:pPr>
              <w:pStyle w:val="TabletextCentre"/>
              <w:keepNext/>
            </w:pPr>
            <w:r w:rsidRPr="00006D00">
              <w:t>0.3531</w:t>
            </w:r>
          </w:p>
        </w:tc>
        <w:tc>
          <w:tcPr>
            <w:tcW w:w="0" w:type="dxa"/>
          </w:tcPr>
          <w:p w14:paraId="6D248581" w14:textId="77777777" w:rsidR="002922F7" w:rsidRDefault="002922F7" w:rsidP="002922F7">
            <w:pPr>
              <w:pStyle w:val="TabletextCentre"/>
              <w:keepNext/>
            </w:pPr>
            <w:r w:rsidRPr="00006D00">
              <w:t>0.1078</w:t>
            </w:r>
          </w:p>
        </w:tc>
        <w:tc>
          <w:tcPr>
            <w:tcW w:w="0" w:type="dxa"/>
          </w:tcPr>
          <w:p w14:paraId="2D22A432" w14:textId="77777777" w:rsidR="002922F7" w:rsidRDefault="002922F7" w:rsidP="002922F7">
            <w:pPr>
              <w:pStyle w:val="TabletextCentre"/>
              <w:keepNext/>
            </w:pPr>
            <w:r w:rsidRPr="00006D00">
              <w:t>0.0311</w:t>
            </w:r>
          </w:p>
        </w:tc>
        <w:tc>
          <w:tcPr>
            <w:tcW w:w="0" w:type="dxa"/>
          </w:tcPr>
          <w:p w14:paraId="2501CF3C" w14:textId="77777777" w:rsidR="002922F7" w:rsidRDefault="002922F7" w:rsidP="002922F7">
            <w:pPr>
              <w:pStyle w:val="TabletextCentre"/>
              <w:keepNext/>
            </w:pPr>
            <w:r w:rsidRPr="00006D00">
              <w:t>0.1408</w:t>
            </w:r>
          </w:p>
        </w:tc>
      </w:tr>
      <w:tr w:rsidR="002922F7" w14:paraId="7847729A" w14:textId="77777777" w:rsidTr="002922F7">
        <w:tc>
          <w:tcPr>
            <w:tcW w:w="0" w:type="dxa"/>
            <w:vMerge/>
          </w:tcPr>
          <w:p w14:paraId="7FB3C0A4" w14:textId="77777777" w:rsidR="002922F7" w:rsidRPr="00EE0E71" w:rsidRDefault="002922F7" w:rsidP="002922F7">
            <w:pPr>
              <w:keepNext/>
            </w:pPr>
          </w:p>
        </w:tc>
        <w:tc>
          <w:tcPr>
            <w:tcW w:w="0" w:type="dxa"/>
            <w:vMerge w:val="restart"/>
            <w:vAlign w:val="center"/>
          </w:tcPr>
          <w:p w14:paraId="2DF251C2" w14:textId="77777777" w:rsidR="002922F7" w:rsidRDefault="002922F7" w:rsidP="002922F7">
            <w:pPr>
              <w:pStyle w:val="TabletextCentreTotal"/>
              <w:keepNext/>
            </w:pPr>
            <w:r w:rsidRPr="00EE0E71">
              <w:t>3rd quartile</w:t>
            </w:r>
          </w:p>
        </w:tc>
        <w:tc>
          <w:tcPr>
            <w:tcW w:w="0" w:type="dxa"/>
          </w:tcPr>
          <w:p w14:paraId="443754D2" w14:textId="77777777" w:rsidR="002922F7" w:rsidRDefault="002922F7" w:rsidP="002922F7">
            <w:pPr>
              <w:pStyle w:val="TabletextLeftTotal"/>
              <w:keepNext/>
            </w:pPr>
            <w:r w:rsidRPr="00EE0E71">
              <w:t>observed proportion</w:t>
            </w:r>
          </w:p>
        </w:tc>
        <w:tc>
          <w:tcPr>
            <w:tcW w:w="0" w:type="dxa"/>
          </w:tcPr>
          <w:p w14:paraId="19BDD1DC" w14:textId="77777777" w:rsidR="002922F7" w:rsidRDefault="002922F7" w:rsidP="002922F7">
            <w:pPr>
              <w:pStyle w:val="TabletextCentre"/>
              <w:keepNext/>
            </w:pPr>
            <w:r w:rsidRPr="00006D00">
              <w:t>4.36%</w:t>
            </w:r>
          </w:p>
        </w:tc>
        <w:tc>
          <w:tcPr>
            <w:tcW w:w="0" w:type="dxa"/>
          </w:tcPr>
          <w:p w14:paraId="2228A909" w14:textId="77777777" w:rsidR="002922F7" w:rsidRDefault="002922F7" w:rsidP="002922F7">
            <w:pPr>
              <w:pStyle w:val="TabletextCentre"/>
              <w:keepNext/>
            </w:pPr>
            <w:r w:rsidRPr="00006D00">
              <w:t>6.23%</w:t>
            </w:r>
          </w:p>
        </w:tc>
        <w:tc>
          <w:tcPr>
            <w:tcW w:w="0" w:type="dxa"/>
          </w:tcPr>
          <w:p w14:paraId="0CE97605" w14:textId="77777777" w:rsidR="002922F7" w:rsidRDefault="002922F7" w:rsidP="002922F7">
            <w:pPr>
              <w:pStyle w:val="TabletextCentre"/>
              <w:keepNext/>
            </w:pPr>
            <w:r w:rsidRPr="00006D00">
              <w:t>7.17%</w:t>
            </w:r>
          </w:p>
        </w:tc>
        <w:tc>
          <w:tcPr>
            <w:tcW w:w="0" w:type="dxa"/>
          </w:tcPr>
          <w:p w14:paraId="736156AF" w14:textId="77777777" w:rsidR="002922F7" w:rsidRDefault="002922F7" w:rsidP="002922F7">
            <w:pPr>
              <w:pStyle w:val="TabletextCentre"/>
              <w:keepNext/>
            </w:pPr>
            <w:r w:rsidRPr="00006D00">
              <w:t>6.85%</w:t>
            </w:r>
          </w:p>
        </w:tc>
      </w:tr>
      <w:tr w:rsidR="002922F7" w14:paraId="1D662A88" w14:textId="77777777" w:rsidTr="002922F7">
        <w:tc>
          <w:tcPr>
            <w:tcW w:w="0" w:type="dxa"/>
            <w:vMerge/>
          </w:tcPr>
          <w:p w14:paraId="68048809" w14:textId="77777777" w:rsidR="002922F7" w:rsidRDefault="002922F7" w:rsidP="002922F7">
            <w:pPr>
              <w:keepNext/>
            </w:pPr>
          </w:p>
        </w:tc>
        <w:tc>
          <w:tcPr>
            <w:tcW w:w="0" w:type="dxa"/>
            <w:vMerge/>
            <w:vAlign w:val="center"/>
          </w:tcPr>
          <w:p w14:paraId="10E3B87C" w14:textId="77777777" w:rsidR="002922F7" w:rsidRDefault="002922F7" w:rsidP="002922F7">
            <w:pPr>
              <w:pStyle w:val="TabletextCentreTotal"/>
              <w:keepNext/>
            </w:pPr>
          </w:p>
        </w:tc>
        <w:tc>
          <w:tcPr>
            <w:tcW w:w="0" w:type="dxa"/>
          </w:tcPr>
          <w:p w14:paraId="0B292027" w14:textId="77777777" w:rsidR="002922F7" w:rsidRDefault="002922F7" w:rsidP="002922F7">
            <w:pPr>
              <w:pStyle w:val="TabletextLeftTotal"/>
              <w:keepNext/>
            </w:pPr>
            <w:r w:rsidRPr="00EE0E71">
              <w:t>expected proportion</w:t>
            </w:r>
          </w:p>
        </w:tc>
        <w:tc>
          <w:tcPr>
            <w:tcW w:w="0" w:type="dxa"/>
          </w:tcPr>
          <w:p w14:paraId="43C32700" w14:textId="77777777" w:rsidR="002922F7" w:rsidRDefault="002922F7" w:rsidP="002922F7">
            <w:pPr>
              <w:pStyle w:val="TabletextCentre"/>
              <w:keepNext/>
            </w:pPr>
            <w:r w:rsidRPr="00006D00">
              <w:t>5.83%</w:t>
            </w:r>
          </w:p>
        </w:tc>
        <w:tc>
          <w:tcPr>
            <w:tcW w:w="0" w:type="dxa"/>
          </w:tcPr>
          <w:p w14:paraId="30BBF2A2" w14:textId="77777777" w:rsidR="002922F7" w:rsidRDefault="002922F7" w:rsidP="002922F7">
            <w:pPr>
              <w:pStyle w:val="TabletextCentre"/>
              <w:keepNext/>
            </w:pPr>
            <w:r w:rsidRPr="00006D00">
              <w:t>6.29%</w:t>
            </w:r>
          </w:p>
        </w:tc>
        <w:tc>
          <w:tcPr>
            <w:tcW w:w="0" w:type="dxa"/>
          </w:tcPr>
          <w:p w14:paraId="3557FD34" w14:textId="77777777" w:rsidR="002922F7" w:rsidRDefault="002922F7" w:rsidP="002922F7">
            <w:pPr>
              <w:pStyle w:val="TabletextCentre"/>
              <w:keepNext/>
            </w:pPr>
            <w:r w:rsidRPr="00006D00">
              <w:t>6.36%</w:t>
            </w:r>
          </w:p>
        </w:tc>
        <w:tc>
          <w:tcPr>
            <w:tcW w:w="0" w:type="dxa"/>
          </w:tcPr>
          <w:p w14:paraId="0B999141" w14:textId="77777777" w:rsidR="002922F7" w:rsidRDefault="002922F7" w:rsidP="002922F7">
            <w:pPr>
              <w:pStyle w:val="TabletextCentre"/>
              <w:keepNext/>
            </w:pPr>
            <w:r w:rsidRPr="00006D00">
              <w:t>6.13%</w:t>
            </w:r>
          </w:p>
        </w:tc>
      </w:tr>
      <w:tr w:rsidR="002922F7" w14:paraId="568FC820" w14:textId="77777777" w:rsidTr="002922F7">
        <w:tc>
          <w:tcPr>
            <w:tcW w:w="0" w:type="dxa"/>
            <w:vMerge/>
          </w:tcPr>
          <w:p w14:paraId="737A548E" w14:textId="77777777" w:rsidR="002922F7" w:rsidRDefault="002922F7" w:rsidP="002922F7">
            <w:pPr>
              <w:keepNext/>
            </w:pPr>
          </w:p>
        </w:tc>
        <w:tc>
          <w:tcPr>
            <w:tcW w:w="0" w:type="dxa"/>
            <w:vMerge/>
            <w:vAlign w:val="center"/>
          </w:tcPr>
          <w:p w14:paraId="370AD1C9" w14:textId="77777777" w:rsidR="002922F7" w:rsidRDefault="002922F7" w:rsidP="002922F7">
            <w:pPr>
              <w:pStyle w:val="TabletextCentreTotal"/>
              <w:keepNext/>
            </w:pPr>
          </w:p>
        </w:tc>
        <w:tc>
          <w:tcPr>
            <w:tcW w:w="0" w:type="dxa"/>
          </w:tcPr>
          <w:p w14:paraId="351ECBC9" w14:textId="77777777" w:rsidR="002922F7" w:rsidRDefault="002922F7" w:rsidP="002922F7">
            <w:pPr>
              <w:pStyle w:val="TabletextLeftTotal"/>
              <w:keepNext/>
            </w:pPr>
            <w:r w:rsidRPr="00EE0E71">
              <w:t>p-value</w:t>
            </w:r>
          </w:p>
        </w:tc>
        <w:tc>
          <w:tcPr>
            <w:tcW w:w="0" w:type="dxa"/>
          </w:tcPr>
          <w:p w14:paraId="797CA799" w14:textId="77777777" w:rsidR="002922F7" w:rsidRDefault="002922F7" w:rsidP="002922F7">
            <w:pPr>
              <w:pStyle w:val="TabletextCentre"/>
              <w:keepNext/>
            </w:pPr>
            <w:r w:rsidRPr="00006D00">
              <w:t>0.1516</w:t>
            </w:r>
          </w:p>
        </w:tc>
        <w:tc>
          <w:tcPr>
            <w:tcW w:w="0" w:type="dxa"/>
          </w:tcPr>
          <w:p w14:paraId="3E3680A8" w14:textId="77777777" w:rsidR="002922F7" w:rsidRDefault="002922F7" w:rsidP="002922F7">
            <w:pPr>
              <w:pStyle w:val="TabletextCentre"/>
              <w:keepNext/>
            </w:pPr>
            <w:r w:rsidRPr="00006D00">
              <w:t>0.9572</w:t>
            </w:r>
          </w:p>
        </w:tc>
        <w:tc>
          <w:tcPr>
            <w:tcW w:w="0" w:type="dxa"/>
          </w:tcPr>
          <w:p w14:paraId="4BF29269" w14:textId="77777777" w:rsidR="002922F7" w:rsidRDefault="002922F7" w:rsidP="002922F7">
            <w:pPr>
              <w:pStyle w:val="TabletextCentre"/>
              <w:keepNext/>
            </w:pPr>
            <w:r w:rsidRPr="00006D00">
              <w:t>0.4463</w:t>
            </w:r>
          </w:p>
        </w:tc>
        <w:tc>
          <w:tcPr>
            <w:tcW w:w="0" w:type="dxa"/>
          </w:tcPr>
          <w:p w14:paraId="33E796C5" w14:textId="77777777" w:rsidR="002922F7" w:rsidRDefault="002922F7" w:rsidP="002922F7">
            <w:pPr>
              <w:pStyle w:val="TabletextCentre"/>
              <w:keepNext/>
            </w:pPr>
            <w:r w:rsidRPr="00006D00">
              <w:t>0.4887</w:t>
            </w:r>
          </w:p>
        </w:tc>
      </w:tr>
      <w:tr w:rsidR="002922F7" w14:paraId="27FAA808" w14:textId="77777777" w:rsidTr="002922F7">
        <w:tc>
          <w:tcPr>
            <w:tcW w:w="0" w:type="dxa"/>
            <w:vMerge/>
          </w:tcPr>
          <w:p w14:paraId="64FD552E" w14:textId="77777777" w:rsidR="002922F7" w:rsidRPr="00EE0E71" w:rsidRDefault="002922F7" w:rsidP="002922F7">
            <w:pPr>
              <w:keepNext/>
            </w:pPr>
          </w:p>
        </w:tc>
        <w:tc>
          <w:tcPr>
            <w:tcW w:w="0" w:type="dxa"/>
            <w:vMerge w:val="restart"/>
            <w:vAlign w:val="center"/>
          </w:tcPr>
          <w:p w14:paraId="65B9B294" w14:textId="77777777" w:rsidR="002922F7" w:rsidRDefault="002922F7" w:rsidP="002922F7">
            <w:pPr>
              <w:pStyle w:val="TabletextCentreTotal"/>
              <w:keepNext/>
            </w:pPr>
            <w:r w:rsidRPr="00EE0E71">
              <w:t>4th quartile</w:t>
            </w:r>
          </w:p>
        </w:tc>
        <w:tc>
          <w:tcPr>
            <w:tcW w:w="0" w:type="dxa"/>
          </w:tcPr>
          <w:p w14:paraId="2004D50C" w14:textId="77777777" w:rsidR="002922F7" w:rsidRDefault="002922F7" w:rsidP="002922F7">
            <w:pPr>
              <w:pStyle w:val="TabletextLeftTotal"/>
              <w:keepNext/>
            </w:pPr>
            <w:r w:rsidRPr="00EE0E71">
              <w:t>observed proportion</w:t>
            </w:r>
          </w:p>
        </w:tc>
        <w:tc>
          <w:tcPr>
            <w:tcW w:w="0" w:type="dxa"/>
          </w:tcPr>
          <w:p w14:paraId="746DFBCE" w14:textId="77777777" w:rsidR="002922F7" w:rsidRDefault="002922F7" w:rsidP="002922F7">
            <w:pPr>
              <w:pStyle w:val="TabletextCentre"/>
              <w:keepNext/>
            </w:pPr>
            <w:r w:rsidRPr="00006D00">
              <w:t>5.30%</w:t>
            </w:r>
          </w:p>
        </w:tc>
        <w:tc>
          <w:tcPr>
            <w:tcW w:w="0" w:type="dxa"/>
          </w:tcPr>
          <w:p w14:paraId="3A6214DB" w14:textId="77777777" w:rsidR="002922F7" w:rsidRDefault="002922F7" w:rsidP="002922F7">
            <w:pPr>
              <w:pStyle w:val="TabletextCentre"/>
              <w:keepNext/>
            </w:pPr>
            <w:r w:rsidRPr="00006D00">
              <w:t>7.17%</w:t>
            </w:r>
          </w:p>
        </w:tc>
        <w:tc>
          <w:tcPr>
            <w:tcW w:w="0" w:type="dxa"/>
          </w:tcPr>
          <w:p w14:paraId="5FC6FBAF" w14:textId="77777777" w:rsidR="002922F7" w:rsidRDefault="002922F7" w:rsidP="002922F7">
            <w:pPr>
              <w:pStyle w:val="TabletextCentre"/>
              <w:keepNext/>
            </w:pPr>
            <w:r w:rsidRPr="00006D00">
              <w:t>6.54%</w:t>
            </w:r>
          </w:p>
        </w:tc>
        <w:tc>
          <w:tcPr>
            <w:tcW w:w="0" w:type="dxa"/>
          </w:tcPr>
          <w:p w14:paraId="6FB25884" w14:textId="77777777" w:rsidR="002922F7" w:rsidRDefault="002922F7" w:rsidP="002922F7">
            <w:pPr>
              <w:pStyle w:val="TabletextCentre"/>
              <w:keepNext/>
            </w:pPr>
            <w:r w:rsidRPr="00006D00">
              <w:t>6.23%</w:t>
            </w:r>
          </w:p>
        </w:tc>
      </w:tr>
      <w:tr w:rsidR="002922F7" w14:paraId="70FDFFAD" w14:textId="77777777" w:rsidTr="002922F7">
        <w:tc>
          <w:tcPr>
            <w:tcW w:w="0" w:type="dxa"/>
            <w:vMerge/>
          </w:tcPr>
          <w:p w14:paraId="560CF9EC" w14:textId="77777777" w:rsidR="002922F7" w:rsidRDefault="002922F7" w:rsidP="002922F7">
            <w:pPr>
              <w:keepNext/>
            </w:pPr>
          </w:p>
        </w:tc>
        <w:tc>
          <w:tcPr>
            <w:tcW w:w="0" w:type="dxa"/>
            <w:vMerge/>
          </w:tcPr>
          <w:p w14:paraId="4ADCA35B" w14:textId="77777777" w:rsidR="002922F7" w:rsidRDefault="002922F7" w:rsidP="002922F7">
            <w:pPr>
              <w:pStyle w:val="TabletextCentreTotal"/>
              <w:keepNext/>
            </w:pPr>
          </w:p>
        </w:tc>
        <w:tc>
          <w:tcPr>
            <w:tcW w:w="0" w:type="dxa"/>
          </w:tcPr>
          <w:p w14:paraId="0D73C4FC" w14:textId="77777777" w:rsidR="002922F7" w:rsidRDefault="002922F7" w:rsidP="002922F7">
            <w:pPr>
              <w:pStyle w:val="TabletextLeftTotal"/>
              <w:keepNext/>
            </w:pPr>
            <w:r w:rsidRPr="00EE0E71">
              <w:t>expected proportion</w:t>
            </w:r>
          </w:p>
        </w:tc>
        <w:tc>
          <w:tcPr>
            <w:tcW w:w="0" w:type="dxa"/>
          </w:tcPr>
          <w:p w14:paraId="2D58B2BE" w14:textId="77777777" w:rsidR="002922F7" w:rsidRDefault="002922F7" w:rsidP="002922F7">
            <w:pPr>
              <w:pStyle w:val="TabletextCentre"/>
              <w:keepNext/>
            </w:pPr>
            <w:r w:rsidRPr="00006D00">
              <w:t>5.97%</w:t>
            </w:r>
          </w:p>
        </w:tc>
        <w:tc>
          <w:tcPr>
            <w:tcW w:w="0" w:type="dxa"/>
          </w:tcPr>
          <w:p w14:paraId="3ECDE988" w14:textId="77777777" w:rsidR="002922F7" w:rsidRDefault="002922F7" w:rsidP="002922F7">
            <w:pPr>
              <w:pStyle w:val="TabletextCentre"/>
              <w:keepNext/>
            </w:pPr>
            <w:r w:rsidRPr="00006D00">
              <w:t>6.45%</w:t>
            </w:r>
          </w:p>
        </w:tc>
        <w:tc>
          <w:tcPr>
            <w:tcW w:w="0" w:type="dxa"/>
          </w:tcPr>
          <w:p w14:paraId="7C84DD52" w14:textId="77777777" w:rsidR="002922F7" w:rsidRDefault="002922F7" w:rsidP="002922F7">
            <w:pPr>
              <w:pStyle w:val="TabletextCentre"/>
              <w:keepNext/>
            </w:pPr>
            <w:r w:rsidRPr="00006D00">
              <w:t>6.52%</w:t>
            </w:r>
          </w:p>
        </w:tc>
        <w:tc>
          <w:tcPr>
            <w:tcW w:w="0" w:type="dxa"/>
          </w:tcPr>
          <w:p w14:paraId="102B879B" w14:textId="77777777" w:rsidR="002922F7" w:rsidRDefault="002922F7" w:rsidP="002922F7">
            <w:pPr>
              <w:pStyle w:val="TabletextCentre"/>
              <w:keepNext/>
            </w:pPr>
            <w:r w:rsidRPr="00006D00">
              <w:t>6.29%</w:t>
            </w:r>
          </w:p>
        </w:tc>
      </w:tr>
      <w:tr w:rsidR="002922F7" w14:paraId="541AE88B" w14:textId="77777777" w:rsidTr="002922F7">
        <w:tc>
          <w:tcPr>
            <w:tcW w:w="0" w:type="dxa"/>
            <w:vMerge/>
          </w:tcPr>
          <w:p w14:paraId="5B467CCB" w14:textId="77777777" w:rsidR="002922F7" w:rsidRDefault="002922F7" w:rsidP="002922F7">
            <w:pPr>
              <w:keepNext/>
            </w:pPr>
          </w:p>
        </w:tc>
        <w:tc>
          <w:tcPr>
            <w:tcW w:w="0" w:type="dxa"/>
            <w:vMerge/>
          </w:tcPr>
          <w:p w14:paraId="3A2E55C8" w14:textId="77777777" w:rsidR="002922F7" w:rsidRDefault="002922F7" w:rsidP="002922F7">
            <w:pPr>
              <w:pStyle w:val="TabletextCentreTotal"/>
              <w:keepNext/>
            </w:pPr>
          </w:p>
        </w:tc>
        <w:tc>
          <w:tcPr>
            <w:tcW w:w="0" w:type="dxa"/>
          </w:tcPr>
          <w:p w14:paraId="1E9DB1ED" w14:textId="77777777" w:rsidR="002922F7" w:rsidRDefault="002922F7" w:rsidP="002922F7">
            <w:pPr>
              <w:pStyle w:val="TabletextLeftTotal"/>
              <w:keepNext/>
            </w:pPr>
            <w:r w:rsidRPr="00EE0E71">
              <w:t>p-value</w:t>
            </w:r>
          </w:p>
        </w:tc>
        <w:tc>
          <w:tcPr>
            <w:tcW w:w="0" w:type="dxa"/>
          </w:tcPr>
          <w:p w14:paraId="22BF8387" w14:textId="77777777" w:rsidR="002922F7" w:rsidRDefault="002922F7" w:rsidP="002922F7">
            <w:pPr>
              <w:pStyle w:val="TabletextCentre"/>
              <w:keepNext/>
            </w:pPr>
            <w:r w:rsidRPr="00006D00">
              <w:t>0.5104</w:t>
            </w:r>
          </w:p>
        </w:tc>
        <w:tc>
          <w:tcPr>
            <w:tcW w:w="0" w:type="dxa"/>
          </w:tcPr>
          <w:p w14:paraId="28258EE3" w14:textId="77777777" w:rsidR="002922F7" w:rsidRDefault="002922F7" w:rsidP="002922F7">
            <w:pPr>
              <w:pStyle w:val="TabletextCentre"/>
              <w:keepNext/>
            </w:pPr>
            <w:r w:rsidRPr="00006D00">
              <w:t>0.4964</w:t>
            </w:r>
          </w:p>
        </w:tc>
        <w:tc>
          <w:tcPr>
            <w:tcW w:w="0" w:type="dxa"/>
          </w:tcPr>
          <w:p w14:paraId="43E760D3" w14:textId="77777777" w:rsidR="002922F7" w:rsidRDefault="002922F7" w:rsidP="002922F7">
            <w:pPr>
              <w:pStyle w:val="TabletextCentre"/>
              <w:keepNext/>
            </w:pPr>
            <w:r w:rsidRPr="00006D00">
              <w:t>0.9869</w:t>
            </w:r>
          </w:p>
        </w:tc>
        <w:tc>
          <w:tcPr>
            <w:tcW w:w="0" w:type="dxa"/>
          </w:tcPr>
          <w:p w14:paraId="1E7A47A3" w14:textId="77777777" w:rsidR="002922F7" w:rsidRDefault="002922F7" w:rsidP="002922F7">
            <w:pPr>
              <w:pStyle w:val="TabletextCentre"/>
              <w:keepNext/>
            </w:pPr>
            <w:r w:rsidRPr="00006D00">
              <w:t>0.9557</w:t>
            </w:r>
          </w:p>
        </w:tc>
      </w:tr>
    </w:tbl>
    <w:p w14:paraId="2757FC68" w14:textId="77777777" w:rsidR="002922F7" w:rsidRDefault="002922F7" w:rsidP="002922F7">
      <w:pPr>
        <w:rPr>
          <w:lang w:eastAsia="en-AU"/>
        </w:rPr>
      </w:pPr>
    </w:p>
    <w:p w14:paraId="757AE870" w14:textId="77777777" w:rsidR="002922F7" w:rsidRDefault="002922F7" w:rsidP="00400621">
      <w:pPr>
        <w:pStyle w:val="AppendixTableCaption"/>
        <w:numPr>
          <w:ilvl w:val="6"/>
          <w:numId w:val="11"/>
        </w:numPr>
      </w:pPr>
      <w:bookmarkStart w:id="305" w:name="_Toc40454712"/>
      <w:r>
        <w:lastRenderedPageBreak/>
        <w:t>Permanent employment rate and span of control, cross</w:t>
      </w:r>
      <w:r>
        <w:noBreakHyphen/>
        <w:t>tabulated distribution</w:t>
      </w:r>
      <w:bookmarkEnd w:id="305"/>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766D234D"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0733F58B" w14:textId="77777777" w:rsidR="002922F7" w:rsidRDefault="002922F7" w:rsidP="002922F7">
            <w:pPr>
              <w:keepNext/>
            </w:pPr>
          </w:p>
        </w:tc>
        <w:tc>
          <w:tcPr>
            <w:tcW w:w="1355" w:type="dxa"/>
          </w:tcPr>
          <w:p w14:paraId="6F5F9BDA" w14:textId="77777777" w:rsidR="002922F7" w:rsidRDefault="002922F7" w:rsidP="002922F7">
            <w:pPr>
              <w:keepNext/>
            </w:pPr>
          </w:p>
        </w:tc>
        <w:tc>
          <w:tcPr>
            <w:tcW w:w="1366" w:type="dxa"/>
          </w:tcPr>
          <w:p w14:paraId="41EAE98A" w14:textId="77777777" w:rsidR="002922F7" w:rsidRDefault="002922F7" w:rsidP="002922F7">
            <w:pPr>
              <w:keepNext/>
            </w:pPr>
          </w:p>
        </w:tc>
        <w:tc>
          <w:tcPr>
            <w:tcW w:w="5213" w:type="dxa"/>
            <w:gridSpan w:val="4"/>
          </w:tcPr>
          <w:p w14:paraId="6C0E29F9" w14:textId="77777777" w:rsidR="002922F7" w:rsidRDefault="002922F7" w:rsidP="002922F7">
            <w:pPr>
              <w:pStyle w:val="TableHeadingCentre"/>
              <w:keepNext/>
            </w:pPr>
            <w:r>
              <w:t>Span of control</w:t>
            </w:r>
          </w:p>
        </w:tc>
      </w:tr>
      <w:tr w:rsidR="002922F7" w14:paraId="6D0D493D" w14:textId="77777777" w:rsidTr="002922F7">
        <w:tc>
          <w:tcPr>
            <w:tcW w:w="1092" w:type="dxa"/>
          </w:tcPr>
          <w:p w14:paraId="53F025E6" w14:textId="77777777" w:rsidR="002922F7" w:rsidRDefault="002922F7" w:rsidP="002922F7">
            <w:pPr>
              <w:keepNext/>
            </w:pPr>
          </w:p>
        </w:tc>
        <w:tc>
          <w:tcPr>
            <w:tcW w:w="1355" w:type="dxa"/>
          </w:tcPr>
          <w:p w14:paraId="3EEADC2B" w14:textId="77777777" w:rsidR="002922F7" w:rsidRDefault="002922F7" w:rsidP="002922F7">
            <w:pPr>
              <w:keepNext/>
            </w:pPr>
          </w:p>
        </w:tc>
        <w:tc>
          <w:tcPr>
            <w:tcW w:w="1366" w:type="dxa"/>
          </w:tcPr>
          <w:p w14:paraId="530D41E0" w14:textId="77777777" w:rsidR="002922F7" w:rsidRDefault="002922F7" w:rsidP="002922F7">
            <w:pPr>
              <w:keepNext/>
            </w:pPr>
          </w:p>
        </w:tc>
        <w:tc>
          <w:tcPr>
            <w:tcW w:w="1301" w:type="dxa"/>
          </w:tcPr>
          <w:p w14:paraId="3EA50990" w14:textId="77777777" w:rsidR="002922F7" w:rsidRDefault="002922F7" w:rsidP="002922F7">
            <w:pPr>
              <w:pStyle w:val="TabletextCentreTotal"/>
              <w:keepNext/>
              <w:jc w:val="left"/>
            </w:pPr>
            <w:r w:rsidRPr="00EE0E71">
              <w:t>1st quartile</w:t>
            </w:r>
          </w:p>
        </w:tc>
        <w:tc>
          <w:tcPr>
            <w:tcW w:w="1301" w:type="dxa"/>
          </w:tcPr>
          <w:p w14:paraId="5C6CB553" w14:textId="77777777" w:rsidR="002922F7" w:rsidRDefault="002922F7" w:rsidP="002922F7">
            <w:pPr>
              <w:pStyle w:val="TabletextCentreTotal"/>
              <w:keepNext/>
            </w:pPr>
            <w:r w:rsidRPr="00EE0E71">
              <w:t>2nd quartile</w:t>
            </w:r>
          </w:p>
        </w:tc>
        <w:tc>
          <w:tcPr>
            <w:tcW w:w="1309" w:type="dxa"/>
          </w:tcPr>
          <w:p w14:paraId="51750D17" w14:textId="77777777" w:rsidR="002922F7" w:rsidRDefault="002922F7" w:rsidP="002922F7">
            <w:pPr>
              <w:pStyle w:val="TabletextCentreTotal"/>
              <w:keepNext/>
            </w:pPr>
            <w:r w:rsidRPr="00EE0E71">
              <w:t>3rd quartile</w:t>
            </w:r>
          </w:p>
        </w:tc>
        <w:tc>
          <w:tcPr>
            <w:tcW w:w="1302" w:type="dxa"/>
          </w:tcPr>
          <w:p w14:paraId="12840054" w14:textId="77777777" w:rsidR="002922F7" w:rsidRDefault="002922F7" w:rsidP="002922F7">
            <w:pPr>
              <w:pStyle w:val="TabletextCentreTotal"/>
              <w:keepNext/>
              <w:jc w:val="right"/>
            </w:pPr>
            <w:r w:rsidRPr="00EE0E71">
              <w:t>4th quartile</w:t>
            </w:r>
          </w:p>
        </w:tc>
      </w:tr>
      <w:tr w:rsidR="002922F7" w14:paraId="4181A330" w14:textId="77777777" w:rsidTr="002922F7">
        <w:tc>
          <w:tcPr>
            <w:tcW w:w="1092" w:type="dxa"/>
            <w:vMerge w:val="restart"/>
            <w:textDirection w:val="btLr"/>
          </w:tcPr>
          <w:p w14:paraId="31BFA83D" w14:textId="77777777" w:rsidR="002922F7" w:rsidRPr="00EE0E71" w:rsidRDefault="002922F7" w:rsidP="002922F7">
            <w:pPr>
              <w:pStyle w:val="TableHeadingCentre"/>
              <w:keepNext/>
            </w:pPr>
            <w:r>
              <w:t>Permanent employment rate</w:t>
            </w:r>
          </w:p>
        </w:tc>
        <w:tc>
          <w:tcPr>
            <w:tcW w:w="1355" w:type="dxa"/>
            <w:vMerge w:val="restart"/>
            <w:vAlign w:val="center"/>
          </w:tcPr>
          <w:p w14:paraId="20A60866" w14:textId="77777777" w:rsidR="002922F7" w:rsidRDefault="002922F7" w:rsidP="002922F7">
            <w:pPr>
              <w:pStyle w:val="TabletextCentreTotal"/>
              <w:keepNext/>
            </w:pPr>
            <w:r w:rsidRPr="00EE0E71">
              <w:t>1st quartile</w:t>
            </w:r>
          </w:p>
        </w:tc>
        <w:tc>
          <w:tcPr>
            <w:tcW w:w="1366" w:type="dxa"/>
          </w:tcPr>
          <w:p w14:paraId="1C9CFB89" w14:textId="77777777" w:rsidR="002922F7" w:rsidRDefault="002922F7" w:rsidP="002922F7">
            <w:pPr>
              <w:pStyle w:val="TabletextLeftTotal"/>
              <w:keepNext/>
            </w:pPr>
            <w:r w:rsidRPr="00EE0E71">
              <w:t>observed proportion</w:t>
            </w:r>
          </w:p>
        </w:tc>
        <w:tc>
          <w:tcPr>
            <w:tcW w:w="1301" w:type="dxa"/>
          </w:tcPr>
          <w:p w14:paraId="4D6A7F60" w14:textId="77777777" w:rsidR="002922F7" w:rsidRDefault="002922F7" w:rsidP="002922F7">
            <w:pPr>
              <w:pStyle w:val="TabletextCentre"/>
              <w:keepNext/>
            </w:pPr>
            <w:r w:rsidRPr="00962607">
              <w:t>4.17%</w:t>
            </w:r>
          </w:p>
        </w:tc>
        <w:tc>
          <w:tcPr>
            <w:tcW w:w="1301" w:type="dxa"/>
          </w:tcPr>
          <w:p w14:paraId="09A56018" w14:textId="77777777" w:rsidR="002922F7" w:rsidRDefault="002922F7" w:rsidP="002922F7">
            <w:pPr>
              <w:pStyle w:val="TabletextCentre"/>
              <w:keepNext/>
            </w:pPr>
            <w:r w:rsidRPr="00962607">
              <w:t>3.83%</w:t>
            </w:r>
          </w:p>
        </w:tc>
        <w:tc>
          <w:tcPr>
            <w:tcW w:w="1309" w:type="dxa"/>
          </w:tcPr>
          <w:p w14:paraId="28642082" w14:textId="77777777" w:rsidR="002922F7" w:rsidRDefault="002922F7" w:rsidP="002922F7">
            <w:pPr>
              <w:pStyle w:val="TabletextCentre"/>
              <w:keepNext/>
            </w:pPr>
            <w:r w:rsidRPr="00962607">
              <w:t>5.57%</w:t>
            </w:r>
          </w:p>
        </w:tc>
        <w:tc>
          <w:tcPr>
            <w:tcW w:w="1302" w:type="dxa"/>
          </w:tcPr>
          <w:p w14:paraId="243FE003" w14:textId="77777777" w:rsidR="002922F7" w:rsidRDefault="002922F7" w:rsidP="002922F7">
            <w:pPr>
              <w:pStyle w:val="TabletextCentre"/>
              <w:keepNext/>
            </w:pPr>
            <w:r w:rsidRPr="00962607">
              <w:t>9.91%</w:t>
            </w:r>
          </w:p>
        </w:tc>
      </w:tr>
      <w:tr w:rsidR="002922F7" w14:paraId="1F5EF4AB" w14:textId="77777777" w:rsidTr="002922F7">
        <w:tc>
          <w:tcPr>
            <w:tcW w:w="1092" w:type="dxa"/>
            <w:vMerge/>
          </w:tcPr>
          <w:p w14:paraId="255E48F2" w14:textId="77777777" w:rsidR="002922F7" w:rsidRDefault="002922F7" w:rsidP="002922F7">
            <w:pPr>
              <w:keepNext/>
            </w:pPr>
          </w:p>
        </w:tc>
        <w:tc>
          <w:tcPr>
            <w:tcW w:w="1355" w:type="dxa"/>
            <w:vMerge/>
            <w:vAlign w:val="center"/>
          </w:tcPr>
          <w:p w14:paraId="2D2143F5" w14:textId="77777777" w:rsidR="002922F7" w:rsidRDefault="002922F7" w:rsidP="002922F7">
            <w:pPr>
              <w:pStyle w:val="TabletextCentreTotal"/>
              <w:keepNext/>
            </w:pPr>
          </w:p>
        </w:tc>
        <w:tc>
          <w:tcPr>
            <w:tcW w:w="1366" w:type="dxa"/>
          </w:tcPr>
          <w:p w14:paraId="7038D1E3" w14:textId="77777777" w:rsidR="002922F7" w:rsidRDefault="002922F7" w:rsidP="002922F7">
            <w:pPr>
              <w:pStyle w:val="TabletextLeftTotal"/>
              <w:keepNext/>
            </w:pPr>
            <w:r w:rsidRPr="00EE0E71">
              <w:t>expected proportion</w:t>
            </w:r>
          </w:p>
        </w:tc>
        <w:tc>
          <w:tcPr>
            <w:tcW w:w="1301" w:type="dxa"/>
          </w:tcPr>
          <w:p w14:paraId="4ED8E108" w14:textId="77777777" w:rsidR="002922F7" w:rsidRDefault="002922F7" w:rsidP="002922F7">
            <w:pPr>
              <w:pStyle w:val="TabletextCentre"/>
              <w:keepNext/>
            </w:pPr>
            <w:r w:rsidRPr="00962607">
              <w:t>5.31%</w:t>
            </w:r>
          </w:p>
        </w:tc>
        <w:tc>
          <w:tcPr>
            <w:tcW w:w="1301" w:type="dxa"/>
          </w:tcPr>
          <w:p w14:paraId="713DDB93" w14:textId="77777777" w:rsidR="002922F7" w:rsidRDefault="002922F7" w:rsidP="002922F7">
            <w:pPr>
              <w:pStyle w:val="TabletextCentre"/>
              <w:keepNext/>
            </w:pPr>
            <w:r w:rsidRPr="00962607">
              <w:t>6.29%</w:t>
            </w:r>
          </w:p>
        </w:tc>
        <w:tc>
          <w:tcPr>
            <w:tcW w:w="1309" w:type="dxa"/>
          </w:tcPr>
          <w:p w14:paraId="6D1D9747" w14:textId="77777777" w:rsidR="002922F7" w:rsidRDefault="002922F7" w:rsidP="002922F7">
            <w:pPr>
              <w:pStyle w:val="TabletextCentre"/>
              <w:keepNext/>
            </w:pPr>
            <w:r w:rsidRPr="00962607">
              <w:t>5.63%</w:t>
            </w:r>
          </w:p>
        </w:tc>
        <w:tc>
          <w:tcPr>
            <w:tcW w:w="1302" w:type="dxa"/>
          </w:tcPr>
          <w:p w14:paraId="234168D2" w14:textId="77777777" w:rsidR="002922F7" w:rsidRDefault="002922F7" w:rsidP="002922F7">
            <w:pPr>
              <w:pStyle w:val="TabletextCentre"/>
              <w:keepNext/>
            </w:pPr>
            <w:r w:rsidRPr="00962607">
              <w:t>6.25%</w:t>
            </w:r>
          </w:p>
        </w:tc>
      </w:tr>
      <w:tr w:rsidR="002922F7" w14:paraId="427DEBFE" w14:textId="77777777" w:rsidTr="002922F7">
        <w:tc>
          <w:tcPr>
            <w:tcW w:w="1092" w:type="dxa"/>
            <w:vMerge/>
          </w:tcPr>
          <w:p w14:paraId="18DCF653" w14:textId="77777777" w:rsidR="002922F7" w:rsidRDefault="002922F7" w:rsidP="002922F7">
            <w:pPr>
              <w:keepNext/>
            </w:pPr>
          </w:p>
        </w:tc>
        <w:tc>
          <w:tcPr>
            <w:tcW w:w="1355" w:type="dxa"/>
            <w:vMerge/>
            <w:vAlign w:val="center"/>
          </w:tcPr>
          <w:p w14:paraId="6FE29C73" w14:textId="77777777" w:rsidR="002922F7" w:rsidRDefault="002922F7" w:rsidP="002922F7">
            <w:pPr>
              <w:pStyle w:val="TabletextCentreTotal"/>
              <w:keepNext/>
            </w:pPr>
          </w:p>
        </w:tc>
        <w:tc>
          <w:tcPr>
            <w:tcW w:w="1366" w:type="dxa"/>
          </w:tcPr>
          <w:p w14:paraId="6398E0DC" w14:textId="77777777" w:rsidR="002922F7" w:rsidRDefault="002922F7" w:rsidP="002922F7">
            <w:pPr>
              <w:pStyle w:val="TabletextLeftTotal"/>
              <w:keepNext/>
            </w:pPr>
            <w:r w:rsidRPr="00EE0E71">
              <w:t>p-value</w:t>
            </w:r>
          </w:p>
        </w:tc>
        <w:tc>
          <w:tcPr>
            <w:tcW w:w="1301" w:type="dxa"/>
          </w:tcPr>
          <w:p w14:paraId="7AF74623" w14:textId="77777777" w:rsidR="002922F7" w:rsidRDefault="002922F7" w:rsidP="002922F7">
            <w:pPr>
              <w:pStyle w:val="TabletextCentre"/>
              <w:keepNext/>
            </w:pPr>
            <w:r w:rsidRPr="00962607">
              <w:t>0.1250</w:t>
            </w:r>
          </w:p>
        </w:tc>
        <w:tc>
          <w:tcPr>
            <w:tcW w:w="1301" w:type="dxa"/>
            <w:shd w:val="clear" w:color="auto" w:fill="000000" w:themeFill="text1"/>
          </w:tcPr>
          <w:p w14:paraId="7B4AB455" w14:textId="77777777" w:rsidR="002922F7" w:rsidRDefault="002922F7" w:rsidP="002922F7">
            <w:pPr>
              <w:pStyle w:val="TabletextCentre"/>
              <w:keepNext/>
            </w:pPr>
            <w:r w:rsidRPr="001F26A1">
              <w:rPr>
                <w:color w:val="FFFFFF" w:themeColor="background1"/>
              </w:rPr>
              <w:t>0.0017</w:t>
            </w:r>
          </w:p>
        </w:tc>
        <w:tc>
          <w:tcPr>
            <w:tcW w:w="1309" w:type="dxa"/>
          </w:tcPr>
          <w:p w14:paraId="7BF51863" w14:textId="77777777" w:rsidR="002922F7" w:rsidRDefault="002922F7" w:rsidP="002922F7">
            <w:pPr>
              <w:pStyle w:val="TabletextCentre"/>
              <w:keepNext/>
            </w:pPr>
            <w:r w:rsidRPr="00962607">
              <w:t>0.9266</w:t>
            </w:r>
          </w:p>
        </w:tc>
        <w:tc>
          <w:tcPr>
            <w:tcW w:w="1302" w:type="dxa"/>
            <w:shd w:val="clear" w:color="auto" w:fill="000000" w:themeFill="text1"/>
          </w:tcPr>
          <w:p w14:paraId="04B58362" w14:textId="77777777" w:rsidR="002922F7" w:rsidRPr="00062432" w:rsidRDefault="002922F7" w:rsidP="002922F7">
            <w:pPr>
              <w:pStyle w:val="TabletextCentre"/>
              <w:keepNext/>
              <w:rPr>
                <w:highlight w:val="yellow"/>
              </w:rPr>
            </w:pPr>
            <w:r w:rsidRPr="001F26A1">
              <w:rPr>
                <w:color w:val="FFFFFF" w:themeColor="background1"/>
              </w:rPr>
              <w:t>0.0000</w:t>
            </w:r>
          </w:p>
        </w:tc>
      </w:tr>
      <w:tr w:rsidR="002922F7" w14:paraId="4B676BEB" w14:textId="77777777" w:rsidTr="002922F7">
        <w:tc>
          <w:tcPr>
            <w:tcW w:w="1092" w:type="dxa"/>
            <w:vMerge/>
          </w:tcPr>
          <w:p w14:paraId="73D33B3F" w14:textId="77777777" w:rsidR="002922F7" w:rsidRPr="00EE0E71" w:rsidRDefault="002922F7" w:rsidP="002922F7">
            <w:pPr>
              <w:keepNext/>
            </w:pPr>
          </w:p>
        </w:tc>
        <w:tc>
          <w:tcPr>
            <w:tcW w:w="1355" w:type="dxa"/>
            <w:vMerge w:val="restart"/>
            <w:vAlign w:val="center"/>
          </w:tcPr>
          <w:p w14:paraId="0994E723" w14:textId="77777777" w:rsidR="002922F7" w:rsidRDefault="002922F7" w:rsidP="002922F7">
            <w:pPr>
              <w:pStyle w:val="TabletextCentreTotal"/>
              <w:keepNext/>
            </w:pPr>
            <w:r w:rsidRPr="00EE0E71">
              <w:t>2nd quartile</w:t>
            </w:r>
          </w:p>
        </w:tc>
        <w:tc>
          <w:tcPr>
            <w:tcW w:w="1366" w:type="dxa"/>
          </w:tcPr>
          <w:p w14:paraId="3073D7F2" w14:textId="77777777" w:rsidR="002922F7" w:rsidRDefault="002922F7" w:rsidP="002922F7">
            <w:pPr>
              <w:pStyle w:val="TabletextLeftTotal"/>
              <w:keepNext/>
            </w:pPr>
            <w:r w:rsidRPr="00EE0E71">
              <w:t>observed proportion</w:t>
            </w:r>
          </w:p>
        </w:tc>
        <w:tc>
          <w:tcPr>
            <w:tcW w:w="1301" w:type="dxa"/>
          </w:tcPr>
          <w:p w14:paraId="67303B86" w14:textId="77777777" w:rsidR="002922F7" w:rsidRDefault="002922F7" w:rsidP="002922F7">
            <w:pPr>
              <w:pStyle w:val="TabletextCentre"/>
              <w:keepNext/>
            </w:pPr>
            <w:r w:rsidRPr="00962607">
              <w:t>7.48%</w:t>
            </w:r>
          </w:p>
        </w:tc>
        <w:tc>
          <w:tcPr>
            <w:tcW w:w="1301" w:type="dxa"/>
          </w:tcPr>
          <w:p w14:paraId="40687100" w14:textId="77777777" w:rsidR="002922F7" w:rsidRDefault="002922F7" w:rsidP="002922F7">
            <w:pPr>
              <w:pStyle w:val="TabletextCentre"/>
              <w:keepNext/>
            </w:pPr>
            <w:r w:rsidRPr="00962607">
              <w:t>9.74%</w:t>
            </w:r>
          </w:p>
        </w:tc>
        <w:tc>
          <w:tcPr>
            <w:tcW w:w="1309" w:type="dxa"/>
          </w:tcPr>
          <w:p w14:paraId="01C3E75E" w14:textId="77777777" w:rsidR="002922F7" w:rsidRDefault="002922F7" w:rsidP="002922F7">
            <w:pPr>
              <w:pStyle w:val="TabletextCentre"/>
              <w:keepNext/>
            </w:pPr>
            <w:r w:rsidRPr="00962607">
              <w:t>5.22%</w:t>
            </w:r>
          </w:p>
        </w:tc>
        <w:tc>
          <w:tcPr>
            <w:tcW w:w="1302" w:type="dxa"/>
          </w:tcPr>
          <w:p w14:paraId="538FB6DF" w14:textId="77777777" w:rsidR="002922F7" w:rsidRDefault="002922F7" w:rsidP="002922F7">
            <w:pPr>
              <w:pStyle w:val="TabletextCentre"/>
              <w:keepNext/>
            </w:pPr>
            <w:r w:rsidRPr="00962607">
              <w:t>4.52%</w:t>
            </w:r>
          </w:p>
        </w:tc>
      </w:tr>
      <w:tr w:rsidR="002922F7" w14:paraId="60F6DC74" w14:textId="77777777" w:rsidTr="002922F7">
        <w:tc>
          <w:tcPr>
            <w:tcW w:w="1092" w:type="dxa"/>
            <w:vMerge/>
          </w:tcPr>
          <w:p w14:paraId="59A3FE38" w14:textId="77777777" w:rsidR="002922F7" w:rsidRDefault="002922F7" w:rsidP="002922F7">
            <w:pPr>
              <w:keepNext/>
            </w:pPr>
          </w:p>
        </w:tc>
        <w:tc>
          <w:tcPr>
            <w:tcW w:w="1355" w:type="dxa"/>
            <w:vMerge/>
            <w:vAlign w:val="center"/>
          </w:tcPr>
          <w:p w14:paraId="035CA11C" w14:textId="77777777" w:rsidR="002922F7" w:rsidRDefault="002922F7" w:rsidP="002922F7">
            <w:pPr>
              <w:pStyle w:val="TabletextCentreTotal"/>
              <w:keepNext/>
            </w:pPr>
          </w:p>
        </w:tc>
        <w:tc>
          <w:tcPr>
            <w:tcW w:w="1366" w:type="dxa"/>
          </w:tcPr>
          <w:p w14:paraId="139D5ED4" w14:textId="77777777" w:rsidR="002922F7" w:rsidRDefault="002922F7" w:rsidP="002922F7">
            <w:pPr>
              <w:pStyle w:val="TabletextLeftTotal"/>
              <w:keepNext/>
            </w:pPr>
            <w:r w:rsidRPr="00EE0E71">
              <w:t>expected proportion</w:t>
            </w:r>
          </w:p>
        </w:tc>
        <w:tc>
          <w:tcPr>
            <w:tcW w:w="1301" w:type="dxa"/>
          </w:tcPr>
          <w:p w14:paraId="174BB293" w14:textId="77777777" w:rsidR="002922F7" w:rsidRDefault="002922F7" w:rsidP="002922F7">
            <w:pPr>
              <w:pStyle w:val="TabletextCentre"/>
              <w:keepNext/>
            </w:pPr>
            <w:r w:rsidRPr="00962607">
              <w:t>6.09%</w:t>
            </w:r>
          </w:p>
        </w:tc>
        <w:tc>
          <w:tcPr>
            <w:tcW w:w="1301" w:type="dxa"/>
          </w:tcPr>
          <w:p w14:paraId="4E0E76C9" w14:textId="77777777" w:rsidR="002922F7" w:rsidRDefault="002922F7" w:rsidP="002922F7">
            <w:pPr>
              <w:pStyle w:val="TabletextCentre"/>
              <w:keepNext/>
            </w:pPr>
            <w:r w:rsidRPr="00962607">
              <w:t>7.22%</w:t>
            </w:r>
          </w:p>
        </w:tc>
        <w:tc>
          <w:tcPr>
            <w:tcW w:w="1309" w:type="dxa"/>
          </w:tcPr>
          <w:p w14:paraId="1BEFDE81" w14:textId="77777777" w:rsidR="002922F7" w:rsidRDefault="002922F7" w:rsidP="002922F7">
            <w:pPr>
              <w:pStyle w:val="TabletextCentre"/>
              <w:keepNext/>
            </w:pPr>
            <w:r w:rsidRPr="00962607">
              <w:t>6.47%</w:t>
            </w:r>
          </w:p>
        </w:tc>
        <w:tc>
          <w:tcPr>
            <w:tcW w:w="1302" w:type="dxa"/>
          </w:tcPr>
          <w:p w14:paraId="5C37BA67" w14:textId="77777777" w:rsidR="002922F7" w:rsidRDefault="002922F7" w:rsidP="002922F7">
            <w:pPr>
              <w:pStyle w:val="TabletextCentre"/>
              <w:keepNext/>
            </w:pPr>
            <w:r w:rsidRPr="00962607">
              <w:t>7.17%</w:t>
            </w:r>
          </w:p>
        </w:tc>
      </w:tr>
      <w:tr w:rsidR="002922F7" w14:paraId="3F11CFF9" w14:textId="77777777" w:rsidTr="002922F7">
        <w:tc>
          <w:tcPr>
            <w:tcW w:w="1092" w:type="dxa"/>
            <w:vMerge/>
          </w:tcPr>
          <w:p w14:paraId="79744293" w14:textId="77777777" w:rsidR="002922F7" w:rsidRDefault="002922F7" w:rsidP="002922F7">
            <w:pPr>
              <w:keepNext/>
            </w:pPr>
          </w:p>
        </w:tc>
        <w:tc>
          <w:tcPr>
            <w:tcW w:w="1355" w:type="dxa"/>
            <w:vMerge/>
            <w:vAlign w:val="center"/>
          </w:tcPr>
          <w:p w14:paraId="7C2B0BF1" w14:textId="77777777" w:rsidR="002922F7" w:rsidRDefault="002922F7" w:rsidP="002922F7">
            <w:pPr>
              <w:pStyle w:val="TabletextCentreTotal"/>
              <w:keepNext/>
            </w:pPr>
          </w:p>
        </w:tc>
        <w:tc>
          <w:tcPr>
            <w:tcW w:w="1366" w:type="dxa"/>
          </w:tcPr>
          <w:p w14:paraId="1A761736" w14:textId="77777777" w:rsidR="002922F7" w:rsidRDefault="002922F7" w:rsidP="002922F7">
            <w:pPr>
              <w:pStyle w:val="TabletextLeftTotal"/>
              <w:keepNext/>
            </w:pPr>
            <w:r w:rsidRPr="00EE0E71">
              <w:t>p-value</w:t>
            </w:r>
          </w:p>
        </w:tc>
        <w:tc>
          <w:tcPr>
            <w:tcW w:w="1301" w:type="dxa"/>
          </w:tcPr>
          <w:p w14:paraId="3F65336E" w14:textId="77777777" w:rsidR="002922F7" w:rsidRDefault="002922F7" w:rsidP="002922F7">
            <w:pPr>
              <w:pStyle w:val="TabletextCentre"/>
              <w:keepNext/>
            </w:pPr>
            <w:r w:rsidRPr="00962607">
              <w:t>0.0738</w:t>
            </w:r>
          </w:p>
        </w:tc>
        <w:tc>
          <w:tcPr>
            <w:tcW w:w="1301" w:type="dxa"/>
            <w:shd w:val="clear" w:color="auto" w:fill="000000" w:themeFill="text1"/>
          </w:tcPr>
          <w:p w14:paraId="2872E15F" w14:textId="77777777" w:rsidR="002922F7" w:rsidRDefault="002922F7" w:rsidP="002922F7">
            <w:pPr>
              <w:pStyle w:val="TabletextCentre"/>
              <w:keepNext/>
            </w:pPr>
            <w:r w:rsidRPr="001F26A1">
              <w:rPr>
                <w:color w:val="FFFFFF" w:themeColor="background1"/>
              </w:rPr>
              <w:t>0.0021</w:t>
            </w:r>
          </w:p>
        </w:tc>
        <w:tc>
          <w:tcPr>
            <w:tcW w:w="1309" w:type="dxa"/>
          </w:tcPr>
          <w:p w14:paraId="5A3CCE41" w14:textId="77777777" w:rsidR="002922F7" w:rsidRDefault="002922F7" w:rsidP="002922F7">
            <w:pPr>
              <w:pStyle w:val="TabletextCentre"/>
              <w:keepNext/>
            </w:pPr>
            <w:r w:rsidRPr="00962607">
              <w:t>0.1131</w:t>
            </w:r>
          </w:p>
        </w:tc>
        <w:tc>
          <w:tcPr>
            <w:tcW w:w="1302" w:type="dxa"/>
            <w:shd w:val="clear" w:color="auto" w:fill="000000" w:themeFill="text1"/>
          </w:tcPr>
          <w:p w14:paraId="69C17E29" w14:textId="77777777" w:rsidR="002922F7" w:rsidRDefault="002922F7" w:rsidP="002922F7">
            <w:pPr>
              <w:pStyle w:val="TabletextCentre"/>
              <w:keepNext/>
            </w:pPr>
            <w:r w:rsidRPr="001F26A1">
              <w:rPr>
                <w:color w:val="FFFFFF" w:themeColor="background1"/>
              </w:rPr>
              <w:t>0.0012</w:t>
            </w:r>
          </w:p>
        </w:tc>
      </w:tr>
      <w:tr w:rsidR="002922F7" w14:paraId="0600C456" w14:textId="77777777" w:rsidTr="002922F7">
        <w:tc>
          <w:tcPr>
            <w:tcW w:w="1092" w:type="dxa"/>
            <w:vMerge/>
          </w:tcPr>
          <w:p w14:paraId="29645E92" w14:textId="77777777" w:rsidR="002922F7" w:rsidRPr="00EE0E71" w:rsidRDefault="002922F7" w:rsidP="002922F7">
            <w:pPr>
              <w:keepNext/>
            </w:pPr>
          </w:p>
        </w:tc>
        <w:tc>
          <w:tcPr>
            <w:tcW w:w="1355" w:type="dxa"/>
            <w:vMerge w:val="restart"/>
            <w:vAlign w:val="center"/>
          </w:tcPr>
          <w:p w14:paraId="0A8CDC16" w14:textId="77777777" w:rsidR="002922F7" w:rsidRDefault="002922F7" w:rsidP="002922F7">
            <w:pPr>
              <w:pStyle w:val="TabletextCentreTotal"/>
              <w:keepNext/>
            </w:pPr>
            <w:r w:rsidRPr="00EE0E71">
              <w:t>3rd quartile</w:t>
            </w:r>
          </w:p>
        </w:tc>
        <w:tc>
          <w:tcPr>
            <w:tcW w:w="1366" w:type="dxa"/>
          </w:tcPr>
          <w:p w14:paraId="58E3F1B0" w14:textId="77777777" w:rsidR="002922F7" w:rsidRDefault="002922F7" w:rsidP="002922F7">
            <w:pPr>
              <w:pStyle w:val="TabletextLeftTotal"/>
              <w:keepNext/>
            </w:pPr>
            <w:r w:rsidRPr="00EE0E71">
              <w:t>observed proportion</w:t>
            </w:r>
          </w:p>
        </w:tc>
        <w:tc>
          <w:tcPr>
            <w:tcW w:w="1301" w:type="dxa"/>
          </w:tcPr>
          <w:p w14:paraId="3BBBC188" w14:textId="77777777" w:rsidR="002922F7" w:rsidRDefault="002922F7" w:rsidP="002922F7">
            <w:pPr>
              <w:pStyle w:val="TabletextCentre"/>
              <w:keepNext/>
            </w:pPr>
            <w:r w:rsidRPr="00962607">
              <w:t>4.70%</w:t>
            </w:r>
          </w:p>
        </w:tc>
        <w:tc>
          <w:tcPr>
            <w:tcW w:w="1301" w:type="dxa"/>
          </w:tcPr>
          <w:p w14:paraId="2CFC5B05" w14:textId="77777777" w:rsidR="002922F7" w:rsidRDefault="002922F7" w:rsidP="002922F7">
            <w:pPr>
              <w:pStyle w:val="TabletextCentre"/>
              <w:keepNext/>
            </w:pPr>
            <w:r w:rsidRPr="00962607">
              <w:t>6.43%</w:t>
            </w:r>
          </w:p>
        </w:tc>
        <w:tc>
          <w:tcPr>
            <w:tcW w:w="1309" w:type="dxa"/>
          </w:tcPr>
          <w:p w14:paraId="683C95C5" w14:textId="77777777" w:rsidR="002922F7" w:rsidRDefault="002922F7" w:rsidP="002922F7">
            <w:pPr>
              <w:pStyle w:val="TabletextCentre"/>
              <w:keepNext/>
            </w:pPr>
            <w:r w:rsidRPr="00962607">
              <w:t>7.13%</w:t>
            </w:r>
          </w:p>
        </w:tc>
        <w:tc>
          <w:tcPr>
            <w:tcW w:w="1302" w:type="dxa"/>
          </w:tcPr>
          <w:p w14:paraId="774AA74A" w14:textId="77777777" w:rsidR="002922F7" w:rsidRDefault="002922F7" w:rsidP="002922F7">
            <w:pPr>
              <w:pStyle w:val="TabletextCentre"/>
              <w:keepNext/>
            </w:pPr>
            <w:r w:rsidRPr="00962607">
              <w:t>7.65%</w:t>
            </w:r>
          </w:p>
        </w:tc>
      </w:tr>
      <w:tr w:rsidR="002922F7" w14:paraId="102948F5" w14:textId="77777777" w:rsidTr="002922F7">
        <w:tc>
          <w:tcPr>
            <w:tcW w:w="1092" w:type="dxa"/>
            <w:vMerge/>
          </w:tcPr>
          <w:p w14:paraId="6678D3DB" w14:textId="77777777" w:rsidR="002922F7" w:rsidRDefault="002922F7" w:rsidP="002922F7">
            <w:pPr>
              <w:keepNext/>
            </w:pPr>
          </w:p>
        </w:tc>
        <w:tc>
          <w:tcPr>
            <w:tcW w:w="1355" w:type="dxa"/>
            <w:vMerge/>
            <w:vAlign w:val="center"/>
          </w:tcPr>
          <w:p w14:paraId="446476BD" w14:textId="77777777" w:rsidR="002922F7" w:rsidRDefault="002922F7" w:rsidP="002922F7">
            <w:pPr>
              <w:pStyle w:val="TabletextCentreTotal"/>
              <w:keepNext/>
            </w:pPr>
          </w:p>
        </w:tc>
        <w:tc>
          <w:tcPr>
            <w:tcW w:w="1366" w:type="dxa"/>
          </w:tcPr>
          <w:p w14:paraId="5D2C0601" w14:textId="77777777" w:rsidR="002922F7" w:rsidRDefault="002922F7" w:rsidP="002922F7">
            <w:pPr>
              <w:pStyle w:val="TabletextLeftTotal"/>
              <w:keepNext/>
            </w:pPr>
            <w:r w:rsidRPr="00EE0E71">
              <w:t>expected proportion</w:t>
            </w:r>
          </w:p>
        </w:tc>
        <w:tc>
          <w:tcPr>
            <w:tcW w:w="1301" w:type="dxa"/>
          </w:tcPr>
          <w:p w14:paraId="7CEF29EE" w14:textId="77777777" w:rsidR="002922F7" w:rsidRDefault="002922F7" w:rsidP="002922F7">
            <w:pPr>
              <w:pStyle w:val="TabletextCentre"/>
              <w:keepNext/>
            </w:pPr>
            <w:r w:rsidRPr="00962607">
              <w:t>5.86%</w:t>
            </w:r>
          </w:p>
        </w:tc>
        <w:tc>
          <w:tcPr>
            <w:tcW w:w="1301" w:type="dxa"/>
          </w:tcPr>
          <w:p w14:paraId="7E2879EE" w14:textId="77777777" w:rsidR="002922F7" w:rsidRDefault="002922F7" w:rsidP="002922F7">
            <w:pPr>
              <w:pStyle w:val="TabletextCentre"/>
              <w:keepNext/>
            </w:pPr>
            <w:r w:rsidRPr="00962607">
              <w:t>6.94%</w:t>
            </w:r>
          </w:p>
        </w:tc>
        <w:tc>
          <w:tcPr>
            <w:tcW w:w="1309" w:type="dxa"/>
          </w:tcPr>
          <w:p w14:paraId="71DAA402" w14:textId="77777777" w:rsidR="002922F7" w:rsidRDefault="002922F7" w:rsidP="002922F7">
            <w:pPr>
              <w:pStyle w:val="TabletextCentre"/>
              <w:keepNext/>
            </w:pPr>
            <w:r w:rsidRPr="00962607">
              <w:t>6.22%</w:t>
            </w:r>
          </w:p>
        </w:tc>
        <w:tc>
          <w:tcPr>
            <w:tcW w:w="1302" w:type="dxa"/>
          </w:tcPr>
          <w:p w14:paraId="6BD2C700" w14:textId="77777777" w:rsidR="002922F7" w:rsidRDefault="002922F7" w:rsidP="002922F7">
            <w:pPr>
              <w:pStyle w:val="TabletextCentre"/>
              <w:keepNext/>
            </w:pPr>
            <w:r w:rsidRPr="00962607">
              <w:t>6.90%</w:t>
            </w:r>
          </w:p>
        </w:tc>
      </w:tr>
      <w:tr w:rsidR="002922F7" w14:paraId="50B7C61E" w14:textId="77777777" w:rsidTr="002922F7">
        <w:tc>
          <w:tcPr>
            <w:tcW w:w="1092" w:type="dxa"/>
            <w:vMerge/>
          </w:tcPr>
          <w:p w14:paraId="1AE09F85" w14:textId="77777777" w:rsidR="002922F7" w:rsidRDefault="002922F7" w:rsidP="002922F7">
            <w:pPr>
              <w:keepNext/>
            </w:pPr>
          </w:p>
        </w:tc>
        <w:tc>
          <w:tcPr>
            <w:tcW w:w="1355" w:type="dxa"/>
            <w:vMerge/>
            <w:vAlign w:val="center"/>
          </w:tcPr>
          <w:p w14:paraId="365473DB" w14:textId="77777777" w:rsidR="002922F7" w:rsidRDefault="002922F7" w:rsidP="002922F7">
            <w:pPr>
              <w:pStyle w:val="TabletextCentreTotal"/>
              <w:keepNext/>
            </w:pPr>
          </w:p>
        </w:tc>
        <w:tc>
          <w:tcPr>
            <w:tcW w:w="1366" w:type="dxa"/>
          </w:tcPr>
          <w:p w14:paraId="60ED576C" w14:textId="77777777" w:rsidR="002922F7" w:rsidRDefault="002922F7" w:rsidP="002922F7">
            <w:pPr>
              <w:pStyle w:val="TabletextLeftTotal"/>
              <w:keepNext/>
            </w:pPr>
            <w:r w:rsidRPr="00EE0E71">
              <w:t>p-value</w:t>
            </w:r>
          </w:p>
        </w:tc>
        <w:tc>
          <w:tcPr>
            <w:tcW w:w="1301" w:type="dxa"/>
          </w:tcPr>
          <w:p w14:paraId="0C3FB34A" w14:textId="77777777" w:rsidR="002922F7" w:rsidRDefault="002922F7" w:rsidP="002922F7">
            <w:pPr>
              <w:pStyle w:val="TabletextCentre"/>
              <w:keepNext/>
            </w:pPr>
            <w:r w:rsidRPr="00962607">
              <w:t>0.1281</w:t>
            </w:r>
          </w:p>
        </w:tc>
        <w:tc>
          <w:tcPr>
            <w:tcW w:w="1301" w:type="dxa"/>
          </w:tcPr>
          <w:p w14:paraId="02CDC453" w14:textId="77777777" w:rsidR="002922F7" w:rsidRDefault="002922F7" w:rsidP="002922F7">
            <w:pPr>
              <w:pStyle w:val="TabletextCentre"/>
              <w:keepNext/>
            </w:pPr>
            <w:r w:rsidRPr="00962607">
              <w:t>0.5322</w:t>
            </w:r>
          </w:p>
        </w:tc>
        <w:tc>
          <w:tcPr>
            <w:tcW w:w="1309" w:type="dxa"/>
          </w:tcPr>
          <w:p w14:paraId="2AF15E99" w14:textId="77777777" w:rsidR="002922F7" w:rsidRDefault="002922F7" w:rsidP="002922F7">
            <w:pPr>
              <w:pStyle w:val="TabletextCentre"/>
              <w:keepNext/>
            </w:pPr>
            <w:r w:rsidRPr="00962607">
              <w:t>0.2429</w:t>
            </w:r>
          </w:p>
        </w:tc>
        <w:tc>
          <w:tcPr>
            <w:tcW w:w="1302" w:type="dxa"/>
          </w:tcPr>
          <w:p w14:paraId="08C6E124" w14:textId="77777777" w:rsidR="002922F7" w:rsidRDefault="002922F7" w:rsidP="002922F7">
            <w:pPr>
              <w:pStyle w:val="TabletextCentre"/>
              <w:keepNext/>
            </w:pPr>
            <w:r w:rsidRPr="00962607">
              <w:t>0.3485</w:t>
            </w:r>
          </w:p>
        </w:tc>
      </w:tr>
      <w:tr w:rsidR="002922F7" w14:paraId="2374F887" w14:textId="77777777" w:rsidTr="002922F7">
        <w:tc>
          <w:tcPr>
            <w:tcW w:w="1092" w:type="dxa"/>
            <w:vMerge/>
          </w:tcPr>
          <w:p w14:paraId="353854E6" w14:textId="77777777" w:rsidR="002922F7" w:rsidRPr="00EE0E71" w:rsidRDefault="002922F7" w:rsidP="002922F7">
            <w:pPr>
              <w:keepNext/>
            </w:pPr>
          </w:p>
        </w:tc>
        <w:tc>
          <w:tcPr>
            <w:tcW w:w="1355" w:type="dxa"/>
            <w:vMerge w:val="restart"/>
            <w:vAlign w:val="center"/>
          </w:tcPr>
          <w:p w14:paraId="4D1DD9E4" w14:textId="77777777" w:rsidR="002922F7" w:rsidRDefault="002922F7" w:rsidP="002922F7">
            <w:pPr>
              <w:pStyle w:val="TabletextCentreTotal"/>
              <w:keepNext/>
            </w:pPr>
            <w:r w:rsidRPr="00EE0E71">
              <w:t>4th quartile</w:t>
            </w:r>
          </w:p>
        </w:tc>
        <w:tc>
          <w:tcPr>
            <w:tcW w:w="1366" w:type="dxa"/>
          </w:tcPr>
          <w:p w14:paraId="0D3CCD9B" w14:textId="77777777" w:rsidR="002922F7" w:rsidRDefault="002922F7" w:rsidP="002922F7">
            <w:pPr>
              <w:pStyle w:val="TabletextLeftTotal"/>
              <w:keepNext/>
            </w:pPr>
            <w:r w:rsidRPr="00EE0E71">
              <w:t>observed proportion</w:t>
            </w:r>
          </w:p>
        </w:tc>
        <w:tc>
          <w:tcPr>
            <w:tcW w:w="1301" w:type="dxa"/>
          </w:tcPr>
          <w:p w14:paraId="70A87B9D" w14:textId="77777777" w:rsidR="002922F7" w:rsidRDefault="002922F7" w:rsidP="002922F7">
            <w:pPr>
              <w:pStyle w:val="TabletextCentre"/>
              <w:keepNext/>
            </w:pPr>
            <w:r w:rsidRPr="00962607">
              <w:t>6.26%</w:t>
            </w:r>
          </w:p>
        </w:tc>
        <w:tc>
          <w:tcPr>
            <w:tcW w:w="1301" w:type="dxa"/>
          </w:tcPr>
          <w:p w14:paraId="0A9B1ABE" w14:textId="77777777" w:rsidR="002922F7" w:rsidRDefault="002922F7" w:rsidP="002922F7">
            <w:pPr>
              <w:pStyle w:val="TabletextCentre"/>
              <w:keepNext/>
            </w:pPr>
            <w:r w:rsidRPr="00962607">
              <w:t>6.78%</w:t>
            </w:r>
          </w:p>
        </w:tc>
        <w:tc>
          <w:tcPr>
            <w:tcW w:w="1309" w:type="dxa"/>
          </w:tcPr>
          <w:p w14:paraId="7B5DA34B" w14:textId="77777777" w:rsidR="002922F7" w:rsidRDefault="002922F7" w:rsidP="002922F7">
            <w:pPr>
              <w:pStyle w:val="TabletextCentre"/>
              <w:keepNext/>
            </w:pPr>
            <w:r w:rsidRPr="00962607">
              <w:t>6.09%</w:t>
            </w:r>
          </w:p>
        </w:tc>
        <w:tc>
          <w:tcPr>
            <w:tcW w:w="1302" w:type="dxa"/>
          </w:tcPr>
          <w:p w14:paraId="524E5DE5" w14:textId="77777777" w:rsidR="002922F7" w:rsidRDefault="002922F7" w:rsidP="002922F7">
            <w:pPr>
              <w:pStyle w:val="TabletextCentre"/>
              <w:keepNext/>
            </w:pPr>
            <w:r w:rsidRPr="00962607">
              <w:t>4.52%</w:t>
            </w:r>
          </w:p>
        </w:tc>
      </w:tr>
      <w:tr w:rsidR="002922F7" w14:paraId="499C8CFA" w14:textId="77777777" w:rsidTr="002922F7">
        <w:tc>
          <w:tcPr>
            <w:tcW w:w="1092" w:type="dxa"/>
            <w:vMerge/>
          </w:tcPr>
          <w:p w14:paraId="596F20D1" w14:textId="77777777" w:rsidR="002922F7" w:rsidRDefault="002922F7" w:rsidP="002922F7">
            <w:pPr>
              <w:keepNext/>
            </w:pPr>
          </w:p>
        </w:tc>
        <w:tc>
          <w:tcPr>
            <w:tcW w:w="1355" w:type="dxa"/>
            <w:vMerge/>
          </w:tcPr>
          <w:p w14:paraId="174AE099" w14:textId="77777777" w:rsidR="002922F7" w:rsidRDefault="002922F7" w:rsidP="002922F7">
            <w:pPr>
              <w:pStyle w:val="TabletextCentreTotal"/>
              <w:keepNext/>
            </w:pPr>
          </w:p>
        </w:tc>
        <w:tc>
          <w:tcPr>
            <w:tcW w:w="1366" w:type="dxa"/>
          </w:tcPr>
          <w:p w14:paraId="2E970BEC" w14:textId="77777777" w:rsidR="002922F7" w:rsidRDefault="002922F7" w:rsidP="002922F7">
            <w:pPr>
              <w:pStyle w:val="TabletextLeftTotal"/>
              <w:keepNext/>
            </w:pPr>
            <w:r w:rsidRPr="00EE0E71">
              <w:t>expected proportion</w:t>
            </w:r>
          </w:p>
        </w:tc>
        <w:tc>
          <w:tcPr>
            <w:tcW w:w="1301" w:type="dxa"/>
          </w:tcPr>
          <w:p w14:paraId="73B13B5E" w14:textId="77777777" w:rsidR="002922F7" w:rsidRDefault="002922F7" w:rsidP="002922F7">
            <w:pPr>
              <w:pStyle w:val="TabletextCentre"/>
              <w:keepNext/>
            </w:pPr>
            <w:r w:rsidRPr="00962607">
              <w:t>5.35%</w:t>
            </w:r>
          </w:p>
        </w:tc>
        <w:tc>
          <w:tcPr>
            <w:tcW w:w="1301" w:type="dxa"/>
          </w:tcPr>
          <w:p w14:paraId="713F6ECB" w14:textId="77777777" w:rsidR="002922F7" w:rsidRDefault="002922F7" w:rsidP="002922F7">
            <w:pPr>
              <w:pStyle w:val="TabletextCentre"/>
              <w:keepNext/>
            </w:pPr>
            <w:r w:rsidRPr="00962607">
              <w:t>6.33%</w:t>
            </w:r>
          </w:p>
        </w:tc>
        <w:tc>
          <w:tcPr>
            <w:tcW w:w="1309" w:type="dxa"/>
          </w:tcPr>
          <w:p w14:paraId="298A6672" w14:textId="77777777" w:rsidR="002922F7" w:rsidRDefault="002922F7" w:rsidP="002922F7">
            <w:pPr>
              <w:pStyle w:val="TabletextCentre"/>
              <w:keepNext/>
            </w:pPr>
            <w:r w:rsidRPr="00962607">
              <w:t>5.68%</w:t>
            </w:r>
          </w:p>
        </w:tc>
        <w:tc>
          <w:tcPr>
            <w:tcW w:w="1302" w:type="dxa"/>
          </w:tcPr>
          <w:p w14:paraId="3D88F144" w14:textId="77777777" w:rsidR="002922F7" w:rsidRDefault="002922F7" w:rsidP="002922F7">
            <w:pPr>
              <w:pStyle w:val="TabletextCentre"/>
              <w:keepNext/>
            </w:pPr>
            <w:r w:rsidRPr="00962607">
              <w:t>6.29%</w:t>
            </w:r>
          </w:p>
        </w:tc>
      </w:tr>
      <w:tr w:rsidR="002922F7" w14:paraId="728BC958" w14:textId="77777777" w:rsidTr="002922F7">
        <w:tc>
          <w:tcPr>
            <w:tcW w:w="1092" w:type="dxa"/>
            <w:vMerge/>
          </w:tcPr>
          <w:p w14:paraId="15D93368" w14:textId="77777777" w:rsidR="002922F7" w:rsidRDefault="002922F7" w:rsidP="002922F7">
            <w:pPr>
              <w:keepNext/>
            </w:pPr>
          </w:p>
        </w:tc>
        <w:tc>
          <w:tcPr>
            <w:tcW w:w="1355" w:type="dxa"/>
            <w:vMerge/>
          </w:tcPr>
          <w:p w14:paraId="4895D56D" w14:textId="77777777" w:rsidR="002922F7" w:rsidRDefault="002922F7" w:rsidP="002922F7">
            <w:pPr>
              <w:pStyle w:val="TabletextCentreTotal"/>
              <w:keepNext/>
            </w:pPr>
          </w:p>
        </w:tc>
        <w:tc>
          <w:tcPr>
            <w:tcW w:w="1366" w:type="dxa"/>
          </w:tcPr>
          <w:p w14:paraId="37299CBA" w14:textId="77777777" w:rsidR="002922F7" w:rsidRDefault="002922F7" w:rsidP="002922F7">
            <w:pPr>
              <w:pStyle w:val="TabletextLeftTotal"/>
              <w:keepNext/>
            </w:pPr>
            <w:r w:rsidRPr="00EE0E71">
              <w:t>p-value</w:t>
            </w:r>
          </w:p>
        </w:tc>
        <w:tc>
          <w:tcPr>
            <w:tcW w:w="1301" w:type="dxa"/>
          </w:tcPr>
          <w:p w14:paraId="526E5526" w14:textId="77777777" w:rsidR="002922F7" w:rsidRDefault="002922F7" w:rsidP="002922F7">
            <w:pPr>
              <w:pStyle w:val="TabletextCentre"/>
              <w:keepNext/>
            </w:pPr>
            <w:r w:rsidRPr="00962607">
              <w:t>0.2179</w:t>
            </w:r>
          </w:p>
        </w:tc>
        <w:tc>
          <w:tcPr>
            <w:tcW w:w="1301" w:type="dxa"/>
          </w:tcPr>
          <w:p w14:paraId="6DC57AE1" w14:textId="77777777" w:rsidR="002922F7" w:rsidRDefault="002922F7" w:rsidP="002922F7">
            <w:pPr>
              <w:pStyle w:val="TabletextCentre"/>
              <w:keepNext/>
            </w:pPr>
            <w:r w:rsidRPr="00962607">
              <w:t>0.5681</w:t>
            </w:r>
          </w:p>
        </w:tc>
        <w:tc>
          <w:tcPr>
            <w:tcW w:w="1309" w:type="dxa"/>
          </w:tcPr>
          <w:p w14:paraId="4C07EF0A" w14:textId="77777777" w:rsidR="002922F7" w:rsidRDefault="002922F7" w:rsidP="002922F7">
            <w:pPr>
              <w:pStyle w:val="TabletextCentre"/>
              <w:keepNext/>
            </w:pPr>
            <w:r w:rsidRPr="00962607">
              <w:t>0.5876</w:t>
            </w:r>
          </w:p>
        </w:tc>
        <w:tc>
          <w:tcPr>
            <w:tcW w:w="1302" w:type="dxa"/>
          </w:tcPr>
          <w:p w14:paraId="676A42A6" w14:textId="77777777" w:rsidR="002922F7" w:rsidRDefault="002922F7" w:rsidP="002922F7">
            <w:pPr>
              <w:pStyle w:val="TabletextCentre"/>
              <w:keepNext/>
            </w:pPr>
            <w:r w:rsidRPr="00962607">
              <w:t>0.0237</w:t>
            </w:r>
          </w:p>
        </w:tc>
      </w:tr>
    </w:tbl>
    <w:p w14:paraId="77B83C83" w14:textId="77777777" w:rsidR="002922F7" w:rsidRDefault="002922F7" w:rsidP="002922F7">
      <w:pPr>
        <w:rPr>
          <w:lang w:eastAsia="en-AU"/>
        </w:rPr>
      </w:pPr>
    </w:p>
    <w:p w14:paraId="71F65E0E" w14:textId="53627C3B" w:rsidR="002922F7" w:rsidRDefault="002922F7" w:rsidP="00400621">
      <w:pPr>
        <w:pStyle w:val="AppendixTableCaption"/>
        <w:numPr>
          <w:ilvl w:val="6"/>
          <w:numId w:val="11"/>
        </w:numPr>
      </w:pPr>
      <w:bookmarkStart w:id="306" w:name="_Toc40454713"/>
      <w:r>
        <w:lastRenderedPageBreak/>
        <w:t xml:space="preserve">Permanent employment rate and </w:t>
      </w:r>
      <w:r w:rsidR="00A6707A">
        <w:t xml:space="preserve">implied </w:t>
      </w:r>
      <w:r>
        <w:t>margins, cross</w:t>
      </w:r>
      <w:r>
        <w:noBreakHyphen/>
        <w:t>tabulated distribution</w:t>
      </w:r>
      <w:bookmarkEnd w:id="306"/>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2824F329"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138331A8" w14:textId="77777777" w:rsidR="002922F7" w:rsidRDefault="002922F7" w:rsidP="002922F7">
            <w:pPr>
              <w:keepNext/>
            </w:pPr>
          </w:p>
        </w:tc>
        <w:tc>
          <w:tcPr>
            <w:tcW w:w="1355" w:type="dxa"/>
          </w:tcPr>
          <w:p w14:paraId="2B14A32B" w14:textId="77777777" w:rsidR="002922F7" w:rsidRDefault="002922F7" w:rsidP="002922F7">
            <w:pPr>
              <w:keepNext/>
            </w:pPr>
          </w:p>
        </w:tc>
        <w:tc>
          <w:tcPr>
            <w:tcW w:w="1366" w:type="dxa"/>
          </w:tcPr>
          <w:p w14:paraId="51C477BF" w14:textId="77777777" w:rsidR="002922F7" w:rsidRDefault="002922F7" w:rsidP="002922F7">
            <w:pPr>
              <w:keepNext/>
            </w:pPr>
          </w:p>
        </w:tc>
        <w:tc>
          <w:tcPr>
            <w:tcW w:w="5213" w:type="dxa"/>
            <w:gridSpan w:val="4"/>
          </w:tcPr>
          <w:p w14:paraId="7932AD08" w14:textId="418C7ED8" w:rsidR="002922F7" w:rsidRDefault="00A6707A" w:rsidP="002922F7">
            <w:pPr>
              <w:pStyle w:val="TableHeadingCentre"/>
              <w:keepNext/>
            </w:pPr>
            <w:r>
              <w:t>Implied m</w:t>
            </w:r>
            <w:r w:rsidR="002922F7">
              <w:t>argins</w:t>
            </w:r>
          </w:p>
        </w:tc>
      </w:tr>
      <w:tr w:rsidR="002922F7" w14:paraId="6E9930F1" w14:textId="77777777" w:rsidTr="002922F7">
        <w:tc>
          <w:tcPr>
            <w:tcW w:w="1092" w:type="dxa"/>
          </w:tcPr>
          <w:p w14:paraId="2C912B10" w14:textId="77777777" w:rsidR="002922F7" w:rsidRDefault="002922F7" w:rsidP="002922F7">
            <w:pPr>
              <w:keepNext/>
            </w:pPr>
          </w:p>
        </w:tc>
        <w:tc>
          <w:tcPr>
            <w:tcW w:w="1355" w:type="dxa"/>
          </w:tcPr>
          <w:p w14:paraId="582DBD02" w14:textId="77777777" w:rsidR="002922F7" w:rsidRDefault="002922F7" w:rsidP="002922F7">
            <w:pPr>
              <w:keepNext/>
            </w:pPr>
          </w:p>
        </w:tc>
        <w:tc>
          <w:tcPr>
            <w:tcW w:w="1366" w:type="dxa"/>
          </w:tcPr>
          <w:p w14:paraId="6DB8D868" w14:textId="77777777" w:rsidR="002922F7" w:rsidRDefault="002922F7" w:rsidP="002922F7">
            <w:pPr>
              <w:keepNext/>
            </w:pPr>
          </w:p>
        </w:tc>
        <w:tc>
          <w:tcPr>
            <w:tcW w:w="1301" w:type="dxa"/>
          </w:tcPr>
          <w:p w14:paraId="6752F016" w14:textId="77777777" w:rsidR="002922F7" w:rsidRDefault="002922F7" w:rsidP="002922F7">
            <w:pPr>
              <w:pStyle w:val="TabletextCentreTotal"/>
              <w:keepNext/>
              <w:jc w:val="left"/>
            </w:pPr>
            <w:r w:rsidRPr="00EE0E71">
              <w:t>1st quartile</w:t>
            </w:r>
          </w:p>
        </w:tc>
        <w:tc>
          <w:tcPr>
            <w:tcW w:w="1301" w:type="dxa"/>
          </w:tcPr>
          <w:p w14:paraId="73D161D1" w14:textId="77777777" w:rsidR="002922F7" w:rsidRDefault="002922F7" w:rsidP="002922F7">
            <w:pPr>
              <w:pStyle w:val="TabletextCentreTotal"/>
              <w:keepNext/>
            </w:pPr>
            <w:r w:rsidRPr="00EE0E71">
              <w:t>2nd quartile</w:t>
            </w:r>
          </w:p>
        </w:tc>
        <w:tc>
          <w:tcPr>
            <w:tcW w:w="1309" w:type="dxa"/>
          </w:tcPr>
          <w:p w14:paraId="42A2895C" w14:textId="77777777" w:rsidR="002922F7" w:rsidRDefault="002922F7" w:rsidP="002922F7">
            <w:pPr>
              <w:pStyle w:val="TabletextCentreTotal"/>
              <w:keepNext/>
            </w:pPr>
            <w:r w:rsidRPr="00EE0E71">
              <w:t>3rd quartile</w:t>
            </w:r>
          </w:p>
        </w:tc>
        <w:tc>
          <w:tcPr>
            <w:tcW w:w="1302" w:type="dxa"/>
          </w:tcPr>
          <w:p w14:paraId="707C60C4" w14:textId="77777777" w:rsidR="002922F7" w:rsidRDefault="002922F7" w:rsidP="002922F7">
            <w:pPr>
              <w:pStyle w:val="TabletextCentreTotal"/>
              <w:keepNext/>
              <w:jc w:val="right"/>
            </w:pPr>
            <w:r w:rsidRPr="00EE0E71">
              <w:t>4th quartile</w:t>
            </w:r>
          </w:p>
        </w:tc>
      </w:tr>
      <w:tr w:rsidR="002922F7" w14:paraId="203E3FDA" w14:textId="77777777" w:rsidTr="002922F7">
        <w:tc>
          <w:tcPr>
            <w:tcW w:w="1092" w:type="dxa"/>
            <w:vMerge w:val="restart"/>
            <w:textDirection w:val="btLr"/>
          </w:tcPr>
          <w:p w14:paraId="05F78391" w14:textId="77777777" w:rsidR="002922F7" w:rsidRPr="00EE0E71" w:rsidRDefault="002922F7" w:rsidP="002922F7">
            <w:pPr>
              <w:pStyle w:val="TableHeadingCentre"/>
              <w:keepNext/>
            </w:pPr>
            <w:r>
              <w:t>Permanent employment rate</w:t>
            </w:r>
          </w:p>
        </w:tc>
        <w:tc>
          <w:tcPr>
            <w:tcW w:w="1355" w:type="dxa"/>
            <w:vMerge w:val="restart"/>
            <w:vAlign w:val="center"/>
          </w:tcPr>
          <w:p w14:paraId="037F0874" w14:textId="77777777" w:rsidR="002922F7" w:rsidRDefault="002922F7" w:rsidP="002922F7">
            <w:pPr>
              <w:pStyle w:val="TabletextCentreTotal"/>
              <w:keepNext/>
            </w:pPr>
            <w:r w:rsidRPr="00EE0E71">
              <w:t>1st quartile</w:t>
            </w:r>
          </w:p>
        </w:tc>
        <w:tc>
          <w:tcPr>
            <w:tcW w:w="1366" w:type="dxa"/>
          </w:tcPr>
          <w:p w14:paraId="3B73F526" w14:textId="77777777" w:rsidR="002922F7" w:rsidRDefault="002922F7" w:rsidP="002922F7">
            <w:pPr>
              <w:pStyle w:val="TabletextLeftTotal"/>
              <w:keepNext/>
            </w:pPr>
            <w:r w:rsidRPr="00EE0E71">
              <w:t>observed proportion</w:t>
            </w:r>
          </w:p>
        </w:tc>
        <w:tc>
          <w:tcPr>
            <w:tcW w:w="1301" w:type="dxa"/>
          </w:tcPr>
          <w:p w14:paraId="6A9096AF" w14:textId="77777777" w:rsidR="002922F7" w:rsidRDefault="002922F7" w:rsidP="002922F7">
            <w:pPr>
              <w:pStyle w:val="TabletextCentre"/>
              <w:keepNext/>
            </w:pPr>
            <w:r w:rsidRPr="00C91BA4">
              <w:t>9.07%</w:t>
            </w:r>
          </w:p>
        </w:tc>
        <w:tc>
          <w:tcPr>
            <w:tcW w:w="1301" w:type="dxa"/>
          </w:tcPr>
          <w:p w14:paraId="47F19649" w14:textId="77777777" w:rsidR="002922F7" w:rsidRDefault="002922F7" w:rsidP="002922F7">
            <w:pPr>
              <w:pStyle w:val="TabletextCentre"/>
              <w:keepNext/>
            </w:pPr>
            <w:r w:rsidRPr="00C91BA4">
              <w:t>5.44%</w:t>
            </w:r>
          </w:p>
        </w:tc>
        <w:tc>
          <w:tcPr>
            <w:tcW w:w="1309" w:type="dxa"/>
          </w:tcPr>
          <w:p w14:paraId="1A1F38C7" w14:textId="77777777" w:rsidR="002922F7" w:rsidRDefault="002922F7" w:rsidP="002922F7">
            <w:pPr>
              <w:pStyle w:val="TabletextCentre"/>
              <w:keepNext/>
            </w:pPr>
            <w:r w:rsidRPr="00C91BA4">
              <w:t>3.37%</w:t>
            </w:r>
          </w:p>
        </w:tc>
        <w:tc>
          <w:tcPr>
            <w:tcW w:w="1302" w:type="dxa"/>
          </w:tcPr>
          <w:p w14:paraId="3AD1DDFE" w14:textId="77777777" w:rsidR="002922F7" w:rsidRDefault="002922F7" w:rsidP="002922F7">
            <w:pPr>
              <w:pStyle w:val="TabletextCentre"/>
              <w:keepNext/>
            </w:pPr>
            <w:r w:rsidRPr="00C91BA4">
              <w:t>3.89%</w:t>
            </w:r>
          </w:p>
        </w:tc>
      </w:tr>
      <w:tr w:rsidR="002922F7" w14:paraId="1EAAEA52" w14:textId="77777777" w:rsidTr="002922F7">
        <w:tc>
          <w:tcPr>
            <w:tcW w:w="1092" w:type="dxa"/>
            <w:vMerge/>
          </w:tcPr>
          <w:p w14:paraId="0F245B3A" w14:textId="77777777" w:rsidR="002922F7" w:rsidRDefault="002922F7" w:rsidP="002922F7">
            <w:pPr>
              <w:keepNext/>
            </w:pPr>
          </w:p>
        </w:tc>
        <w:tc>
          <w:tcPr>
            <w:tcW w:w="1355" w:type="dxa"/>
            <w:vMerge/>
            <w:vAlign w:val="center"/>
          </w:tcPr>
          <w:p w14:paraId="00CC690F" w14:textId="77777777" w:rsidR="002922F7" w:rsidRDefault="002922F7" w:rsidP="002922F7">
            <w:pPr>
              <w:pStyle w:val="TabletextCentreTotal"/>
              <w:keepNext/>
            </w:pPr>
          </w:p>
        </w:tc>
        <w:tc>
          <w:tcPr>
            <w:tcW w:w="1366" w:type="dxa"/>
          </w:tcPr>
          <w:p w14:paraId="3CE725A3" w14:textId="77777777" w:rsidR="002922F7" w:rsidRDefault="002922F7" w:rsidP="002922F7">
            <w:pPr>
              <w:pStyle w:val="TabletextLeftTotal"/>
              <w:keepNext/>
            </w:pPr>
            <w:r w:rsidRPr="00EE0E71">
              <w:t>expected proportion</w:t>
            </w:r>
          </w:p>
        </w:tc>
        <w:tc>
          <w:tcPr>
            <w:tcW w:w="1301" w:type="dxa"/>
          </w:tcPr>
          <w:p w14:paraId="0A9BB91C" w14:textId="77777777" w:rsidR="002922F7" w:rsidRDefault="002922F7" w:rsidP="002922F7">
            <w:pPr>
              <w:pStyle w:val="TabletextCentre"/>
              <w:keepNext/>
            </w:pPr>
            <w:r w:rsidRPr="00C91BA4">
              <w:t>5.52%</w:t>
            </w:r>
          </w:p>
        </w:tc>
        <w:tc>
          <w:tcPr>
            <w:tcW w:w="1301" w:type="dxa"/>
          </w:tcPr>
          <w:p w14:paraId="13190C6A" w14:textId="77777777" w:rsidR="002922F7" w:rsidRDefault="002922F7" w:rsidP="002922F7">
            <w:pPr>
              <w:pStyle w:val="TabletextCentre"/>
              <w:keepNext/>
            </w:pPr>
            <w:r w:rsidRPr="00C91BA4">
              <w:t>5.24%</w:t>
            </w:r>
          </w:p>
        </w:tc>
        <w:tc>
          <w:tcPr>
            <w:tcW w:w="1309" w:type="dxa"/>
          </w:tcPr>
          <w:p w14:paraId="42FDFC8C" w14:textId="77777777" w:rsidR="002922F7" w:rsidRDefault="002922F7" w:rsidP="002922F7">
            <w:pPr>
              <w:pStyle w:val="TabletextCentre"/>
              <w:keepNext/>
            </w:pPr>
            <w:r w:rsidRPr="00C91BA4">
              <w:t>5.47%</w:t>
            </w:r>
          </w:p>
        </w:tc>
        <w:tc>
          <w:tcPr>
            <w:tcW w:w="1302" w:type="dxa"/>
          </w:tcPr>
          <w:p w14:paraId="24CE6FFC" w14:textId="77777777" w:rsidR="002922F7" w:rsidRDefault="002922F7" w:rsidP="002922F7">
            <w:pPr>
              <w:pStyle w:val="TabletextCentre"/>
              <w:keepNext/>
            </w:pPr>
            <w:r w:rsidRPr="00C91BA4">
              <w:t>5.52%</w:t>
            </w:r>
          </w:p>
        </w:tc>
      </w:tr>
      <w:tr w:rsidR="002922F7" w14:paraId="40E9F350" w14:textId="77777777" w:rsidTr="002922F7">
        <w:tc>
          <w:tcPr>
            <w:tcW w:w="1092" w:type="dxa"/>
            <w:vMerge/>
          </w:tcPr>
          <w:p w14:paraId="1DEC021D" w14:textId="77777777" w:rsidR="002922F7" w:rsidRDefault="002922F7" w:rsidP="002922F7">
            <w:pPr>
              <w:keepNext/>
            </w:pPr>
          </w:p>
        </w:tc>
        <w:tc>
          <w:tcPr>
            <w:tcW w:w="1355" w:type="dxa"/>
            <w:vMerge/>
            <w:vAlign w:val="center"/>
          </w:tcPr>
          <w:p w14:paraId="0219E077" w14:textId="77777777" w:rsidR="002922F7" w:rsidRDefault="002922F7" w:rsidP="002922F7">
            <w:pPr>
              <w:pStyle w:val="TabletextCentreTotal"/>
              <w:keepNext/>
            </w:pPr>
          </w:p>
        </w:tc>
        <w:tc>
          <w:tcPr>
            <w:tcW w:w="1366" w:type="dxa"/>
          </w:tcPr>
          <w:p w14:paraId="35C4E51C" w14:textId="77777777" w:rsidR="002922F7" w:rsidRDefault="002922F7" w:rsidP="002922F7">
            <w:pPr>
              <w:pStyle w:val="TabletextLeftTotal"/>
              <w:keepNext/>
            </w:pPr>
            <w:r w:rsidRPr="00EE0E71">
              <w:t>p-value</w:t>
            </w:r>
          </w:p>
        </w:tc>
        <w:tc>
          <w:tcPr>
            <w:tcW w:w="1301" w:type="dxa"/>
          </w:tcPr>
          <w:p w14:paraId="5D963FA2" w14:textId="77777777" w:rsidR="002922F7" w:rsidRDefault="002922F7" w:rsidP="002922F7">
            <w:pPr>
              <w:pStyle w:val="TabletextCentre"/>
              <w:keepNext/>
            </w:pPr>
            <w:r w:rsidRPr="00C91BA4">
              <w:t>0.9737</w:t>
            </w:r>
          </w:p>
        </w:tc>
        <w:tc>
          <w:tcPr>
            <w:tcW w:w="1301" w:type="dxa"/>
          </w:tcPr>
          <w:p w14:paraId="6814203C" w14:textId="77777777" w:rsidR="002922F7" w:rsidRDefault="002922F7" w:rsidP="002922F7">
            <w:pPr>
              <w:pStyle w:val="TabletextCentre"/>
              <w:keepNext/>
            </w:pPr>
            <w:r w:rsidRPr="00C91BA4">
              <w:t>0.9985</w:t>
            </w:r>
          </w:p>
        </w:tc>
        <w:tc>
          <w:tcPr>
            <w:tcW w:w="1309" w:type="dxa"/>
          </w:tcPr>
          <w:p w14:paraId="67259DB3" w14:textId="77777777" w:rsidR="002922F7" w:rsidRDefault="002922F7" w:rsidP="002922F7">
            <w:pPr>
              <w:pStyle w:val="TabletextCentre"/>
              <w:keepNext/>
            </w:pPr>
            <w:r w:rsidRPr="00C91BA4">
              <w:t>0.9842</w:t>
            </w:r>
          </w:p>
        </w:tc>
        <w:tc>
          <w:tcPr>
            <w:tcW w:w="1302" w:type="dxa"/>
          </w:tcPr>
          <w:p w14:paraId="291FB831" w14:textId="77777777" w:rsidR="002922F7" w:rsidRDefault="002922F7" w:rsidP="002922F7">
            <w:pPr>
              <w:pStyle w:val="TabletextCentre"/>
              <w:keepNext/>
            </w:pPr>
            <w:r w:rsidRPr="00C91BA4">
              <w:t>0.9878</w:t>
            </w:r>
          </w:p>
        </w:tc>
      </w:tr>
      <w:tr w:rsidR="002922F7" w14:paraId="133DB4D1" w14:textId="77777777" w:rsidTr="002922F7">
        <w:tc>
          <w:tcPr>
            <w:tcW w:w="1092" w:type="dxa"/>
            <w:vMerge/>
          </w:tcPr>
          <w:p w14:paraId="6A2810C9" w14:textId="77777777" w:rsidR="002922F7" w:rsidRPr="00EE0E71" w:rsidRDefault="002922F7" w:rsidP="002922F7">
            <w:pPr>
              <w:keepNext/>
            </w:pPr>
          </w:p>
        </w:tc>
        <w:tc>
          <w:tcPr>
            <w:tcW w:w="1355" w:type="dxa"/>
            <w:vMerge w:val="restart"/>
            <w:vAlign w:val="center"/>
          </w:tcPr>
          <w:p w14:paraId="1E18EF39" w14:textId="77777777" w:rsidR="002922F7" w:rsidRDefault="002922F7" w:rsidP="002922F7">
            <w:pPr>
              <w:pStyle w:val="TabletextCentreTotal"/>
              <w:keepNext/>
            </w:pPr>
            <w:r w:rsidRPr="00EE0E71">
              <w:t>2nd quartile</w:t>
            </w:r>
          </w:p>
        </w:tc>
        <w:tc>
          <w:tcPr>
            <w:tcW w:w="1366" w:type="dxa"/>
          </w:tcPr>
          <w:p w14:paraId="3D9E2F61" w14:textId="77777777" w:rsidR="002922F7" w:rsidRDefault="002922F7" w:rsidP="002922F7">
            <w:pPr>
              <w:pStyle w:val="TabletextLeftTotal"/>
              <w:keepNext/>
            </w:pPr>
            <w:r w:rsidRPr="00EE0E71">
              <w:t>observed proportion</w:t>
            </w:r>
          </w:p>
        </w:tc>
        <w:tc>
          <w:tcPr>
            <w:tcW w:w="1301" w:type="dxa"/>
          </w:tcPr>
          <w:p w14:paraId="788C75A0" w14:textId="77777777" w:rsidR="002922F7" w:rsidRDefault="002922F7" w:rsidP="002922F7">
            <w:pPr>
              <w:pStyle w:val="TabletextCentre"/>
              <w:keepNext/>
            </w:pPr>
            <w:r w:rsidRPr="00C91BA4">
              <w:t>7.77%</w:t>
            </w:r>
          </w:p>
        </w:tc>
        <w:tc>
          <w:tcPr>
            <w:tcW w:w="1301" w:type="dxa"/>
          </w:tcPr>
          <w:p w14:paraId="3F896FB7" w14:textId="77777777" w:rsidR="002922F7" w:rsidRDefault="002922F7" w:rsidP="002922F7">
            <w:pPr>
              <w:pStyle w:val="TabletextCentre"/>
              <w:keepNext/>
            </w:pPr>
            <w:r w:rsidRPr="00C91BA4">
              <w:t>5.96%</w:t>
            </w:r>
          </w:p>
        </w:tc>
        <w:tc>
          <w:tcPr>
            <w:tcW w:w="1309" w:type="dxa"/>
          </w:tcPr>
          <w:p w14:paraId="168F8B3C" w14:textId="77777777" w:rsidR="002922F7" w:rsidRDefault="002922F7" w:rsidP="002922F7">
            <w:pPr>
              <w:pStyle w:val="TabletextCentre"/>
              <w:keepNext/>
            </w:pPr>
            <w:r w:rsidRPr="00C91BA4">
              <w:t>6.74%</w:t>
            </w:r>
          </w:p>
        </w:tc>
        <w:tc>
          <w:tcPr>
            <w:tcW w:w="1302" w:type="dxa"/>
          </w:tcPr>
          <w:p w14:paraId="1BDD48C7" w14:textId="77777777" w:rsidR="002922F7" w:rsidRDefault="002922F7" w:rsidP="002922F7">
            <w:pPr>
              <w:pStyle w:val="TabletextCentre"/>
              <w:keepNext/>
            </w:pPr>
            <w:r w:rsidRPr="00C91BA4">
              <w:t>5.96%</w:t>
            </w:r>
          </w:p>
        </w:tc>
      </w:tr>
      <w:tr w:rsidR="002922F7" w14:paraId="564E550D" w14:textId="77777777" w:rsidTr="002922F7">
        <w:tc>
          <w:tcPr>
            <w:tcW w:w="1092" w:type="dxa"/>
            <w:vMerge/>
          </w:tcPr>
          <w:p w14:paraId="414E6415" w14:textId="77777777" w:rsidR="002922F7" w:rsidRDefault="002922F7" w:rsidP="002922F7">
            <w:pPr>
              <w:keepNext/>
            </w:pPr>
          </w:p>
        </w:tc>
        <w:tc>
          <w:tcPr>
            <w:tcW w:w="1355" w:type="dxa"/>
            <w:vMerge/>
            <w:vAlign w:val="center"/>
          </w:tcPr>
          <w:p w14:paraId="77624F45" w14:textId="77777777" w:rsidR="002922F7" w:rsidRDefault="002922F7" w:rsidP="002922F7">
            <w:pPr>
              <w:pStyle w:val="TabletextCentreTotal"/>
              <w:keepNext/>
            </w:pPr>
          </w:p>
        </w:tc>
        <w:tc>
          <w:tcPr>
            <w:tcW w:w="1366" w:type="dxa"/>
          </w:tcPr>
          <w:p w14:paraId="1187FB83" w14:textId="77777777" w:rsidR="002922F7" w:rsidRDefault="002922F7" w:rsidP="002922F7">
            <w:pPr>
              <w:pStyle w:val="TabletextLeftTotal"/>
              <w:keepNext/>
            </w:pPr>
            <w:r w:rsidRPr="00EE0E71">
              <w:t>expected proportion</w:t>
            </w:r>
          </w:p>
        </w:tc>
        <w:tc>
          <w:tcPr>
            <w:tcW w:w="1301" w:type="dxa"/>
          </w:tcPr>
          <w:p w14:paraId="28C8845E" w14:textId="77777777" w:rsidR="002922F7" w:rsidRDefault="002922F7" w:rsidP="002922F7">
            <w:pPr>
              <w:pStyle w:val="TabletextCentre"/>
              <w:keepNext/>
            </w:pPr>
            <w:r w:rsidRPr="00C91BA4">
              <w:t>6.71%</w:t>
            </w:r>
          </w:p>
        </w:tc>
        <w:tc>
          <w:tcPr>
            <w:tcW w:w="1301" w:type="dxa"/>
          </w:tcPr>
          <w:p w14:paraId="2F8AD155" w14:textId="77777777" w:rsidR="002922F7" w:rsidRDefault="002922F7" w:rsidP="002922F7">
            <w:pPr>
              <w:pStyle w:val="TabletextCentre"/>
              <w:keepNext/>
            </w:pPr>
            <w:r w:rsidRPr="00C91BA4">
              <w:t>6.37%</w:t>
            </w:r>
          </w:p>
        </w:tc>
        <w:tc>
          <w:tcPr>
            <w:tcW w:w="1309" w:type="dxa"/>
          </w:tcPr>
          <w:p w14:paraId="7B8D72C8" w14:textId="77777777" w:rsidR="002922F7" w:rsidRDefault="002922F7" w:rsidP="002922F7">
            <w:pPr>
              <w:pStyle w:val="TabletextCentre"/>
              <w:keepNext/>
            </w:pPr>
            <w:r w:rsidRPr="00C91BA4">
              <w:t>6.64%</w:t>
            </w:r>
          </w:p>
        </w:tc>
        <w:tc>
          <w:tcPr>
            <w:tcW w:w="1302" w:type="dxa"/>
          </w:tcPr>
          <w:p w14:paraId="7C7958BD" w14:textId="77777777" w:rsidR="002922F7" w:rsidRDefault="002922F7" w:rsidP="002922F7">
            <w:pPr>
              <w:pStyle w:val="TabletextCentre"/>
              <w:keepNext/>
            </w:pPr>
            <w:r w:rsidRPr="00C91BA4">
              <w:t>6.71%</w:t>
            </w:r>
          </w:p>
        </w:tc>
      </w:tr>
      <w:tr w:rsidR="002922F7" w14:paraId="4AB112D7" w14:textId="77777777" w:rsidTr="002922F7">
        <w:tc>
          <w:tcPr>
            <w:tcW w:w="1092" w:type="dxa"/>
            <w:vMerge/>
          </w:tcPr>
          <w:p w14:paraId="1621C072" w14:textId="77777777" w:rsidR="002922F7" w:rsidRDefault="002922F7" w:rsidP="002922F7">
            <w:pPr>
              <w:keepNext/>
            </w:pPr>
          </w:p>
        </w:tc>
        <w:tc>
          <w:tcPr>
            <w:tcW w:w="1355" w:type="dxa"/>
            <w:vMerge/>
            <w:vAlign w:val="center"/>
          </w:tcPr>
          <w:p w14:paraId="27E09E65" w14:textId="77777777" w:rsidR="002922F7" w:rsidRDefault="002922F7" w:rsidP="002922F7">
            <w:pPr>
              <w:pStyle w:val="TabletextCentreTotal"/>
              <w:keepNext/>
            </w:pPr>
          </w:p>
        </w:tc>
        <w:tc>
          <w:tcPr>
            <w:tcW w:w="1366" w:type="dxa"/>
          </w:tcPr>
          <w:p w14:paraId="6F295F62" w14:textId="77777777" w:rsidR="002922F7" w:rsidRDefault="002922F7" w:rsidP="002922F7">
            <w:pPr>
              <w:pStyle w:val="TabletextLeftTotal"/>
              <w:keepNext/>
            </w:pPr>
            <w:r w:rsidRPr="00EE0E71">
              <w:t>p-value</w:t>
            </w:r>
          </w:p>
        </w:tc>
        <w:tc>
          <w:tcPr>
            <w:tcW w:w="1301" w:type="dxa"/>
          </w:tcPr>
          <w:p w14:paraId="213D1283" w14:textId="77777777" w:rsidR="002922F7" w:rsidRDefault="002922F7" w:rsidP="002922F7">
            <w:pPr>
              <w:pStyle w:val="TabletextCentre"/>
              <w:keepNext/>
            </w:pPr>
            <w:r w:rsidRPr="00C91BA4">
              <w:t>0.9935</w:t>
            </w:r>
          </w:p>
        </w:tc>
        <w:tc>
          <w:tcPr>
            <w:tcW w:w="1301" w:type="dxa"/>
          </w:tcPr>
          <w:p w14:paraId="3EFBF23F" w14:textId="77777777" w:rsidR="002922F7" w:rsidRDefault="002922F7" w:rsidP="002922F7">
            <w:pPr>
              <w:pStyle w:val="TabletextCentre"/>
              <w:keepNext/>
            </w:pPr>
            <w:r w:rsidRPr="00C91BA4">
              <w:t>0.9974</w:t>
            </w:r>
          </w:p>
        </w:tc>
        <w:tc>
          <w:tcPr>
            <w:tcW w:w="1309" w:type="dxa"/>
          </w:tcPr>
          <w:p w14:paraId="62893FBD" w14:textId="77777777" w:rsidR="002922F7" w:rsidRDefault="002922F7" w:rsidP="002922F7">
            <w:pPr>
              <w:pStyle w:val="TabletextCentre"/>
              <w:keepNext/>
            </w:pPr>
            <w:r w:rsidRPr="00C91BA4">
              <w:t>0.9994</w:t>
            </w:r>
          </w:p>
        </w:tc>
        <w:tc>
          <w:tcPr>
            <w:tcW w:w="1302" w:type="dxa"/>
          </w:tcPr>
          <w:p w14:paraId="465F223B" w14:textId="77777777" w:rsidR="002922F7" w:rsidRDefault="002922F7" w:rsidP="002922F7">
            <w:pPr>
              <w:pStyle w:val="TabletextCentre"/>
              <w:keepNext/>
            </w:pPr>
            <w:r w:rsidRPr="00C91BA4">
              <w:t>0.9954</w:t>
            </w:r>
          </w:p>
        </w:tc>
      </w:tr>
      <w:tr w:rsidR="002922F7" w14:paraId="54CFBCAD" w14:textId="77777777" w:rsidTr="002922F7">
        <w:tc>
          <w:tcPr>
            <w:tcW w:w="1092" w:type="dxa"/>
            <w:vMerge/>
          </w:tcPr>
          <w:p w14:paraId="062CA10B" w14:textId="77777777" w:rsidR="002922F7" w:rsidRPr="00EE0E71" w:rsidRDefault="002922F7" w:rsidP="002922F7">
            <w:pPr>
              <w:keepNext/>
            </w:pPr>
          </w:p>
        </w:tc>
        <w:tc>
          <w:tcPr>
            <w:tcW w:w="1355" w:type="dxa"/>
            <w:vMerge w:val="restart"/>
            <w:vAlign w:val="center"/>
          </w:tcPr>
          <w:p w14:paraId="792ADBCA" w14:textId="77777777" w:rsidR="002922F7" w:rsidRDefault="002922F7" w:rsidP="002922F7">
            <w:pPr>
              <w:pStyle w:val="TabletextCentreTotal"/>
              <w:keepNext/>
            </w:pPr>
            <w:r w:rsidRPr="00EE0E71">
              <w:t>3rd quartile</w:t>
            </w:r>
          </w:p>
        </w:tc>
        <w:tc>
          <w:tcPr>
            <w:tcW w:w="1366" w:type="dxa"/>
          </w:tcPr>
          <w:p w14:paraId="7C3EC872" w14:textId="77777777" w:rsidR="002922F7" w:rsidRDefault="002922F7" w:rsidP="002922F7">
            <w:pPr>
              <w:pStyle w:val="TabletextLeftTotal"/>
              <w:keepNext/>
            </w:pPr>
            <w:r w:rsidRPr="00EE0E71">
              <w:t>observed proportion</w:t>
            </w:r>
          </w:p>
        </w:tc>
        <w:tc>
          <w:tcPr>
            <w:tcW w:w="1301" w:type="dxa"/>
          </w:tcPr>
          <w:p w14:paraId="0F9CA531" w14:textId="77777777" w:rsidR="002922F7" w:rsidRDefault="002922F7" w:rsidP="002922F7">
            <w:pPr>
              <w:pStyle w:val="TabletextCentre"/>
              <w:keepNext/>
            </w:pPr>
            <w:r w:rsidRPr="00C91BA4">
              <w:t>5.44%</w:t>
            </w:r>
          </w:p>
        </w:tc>
        <w:tc>
          <w:tcPr>
            <w:tcW w:w="1301" w:type="dxa"/>
          </w:tcPr>
          <w:p w14:paraId="077A124F" w14:textId="77777777" w:rsidR="002922F7" w:rsidRDefault="002922F7" w:rsidP="002922F7">
            <w:pPr>
              <w:pStyle w:val="TabletextCentre"/>
              <w:keepNext/>
            </w:pPr>
            <w:r w:rsidRPr="00C91BA4">
              <w:t>6.48%</w:t>
            </w:r>
          </w:p>
        </w:tc>
        <w:tc>
          <w:tcPr>
            <w:tcW w:w="1309" w:type="dxa"/>
          </w:tcPr>
          <w:p w14:paraId="711D1B71" w14:textId="77777777" w:rsidR="002922F7" w:rsidRDefault="002922F7" w:rsidP="002922F7">
            <w:pPr>
              <w:pStyle w:val="TabletextCentre"/>
              <w:keepNext/>
            </w:pPr>
            <w:r w:rsidRPr="00C91BA4">
              <w:t>8.81%</w:t>
            </w:r>
          </w:p>
        </w:tc>
        <w:tc>
          <w:tcPr>
            <w:tcW w:w="1302" w:type="dxa"/>
          </w:tcPr>
          <w:p w14:paraId="04B2A77B" w14:textId="77777777" w:rsidR="002922F7" w:rsidRDefault="002922F7" w:rsidP="002922F7">
            <w:pPr>
              <w:pStyle w:val="TabletextCentre"/>
              <w:keepNext/>
            </w:pPr>
            <w:r w:rsidRPr="00C91BA4">
              <w:t>8.03%</w:t>
            </w:r>
          </w:p>
        </w:tc>
      </w:tr>
      <w:tr w:rsidR="002922F7" w14:paraId="7440E7AF" w14:textId="77777777" w:rsidTr="002922F7">
        <w:tc>
          <w:tcPr>
            <w:tcW w:w="1092" w:type="dxa"/>
            <w:vMerge/>
          </w:tcPr>
          <w:p w14:paraId="40860C05" w14:textId="77777777" w:rsidR="002922F7" w:rsidRDefault="002922F7" w:rsidP="002922F7">
            <w:pPr>
              <w:keepNext/>
            </w:pPr>
          </w:p>
        </w:tc>
        <w:tc>
          <w:tcPr>
            <w:tcW w:w="1355" w:type="dxa"/>
            <w:vMerge/>
            <w:vAlign w:val="center"/>
          </w:tcPr>
          <w:p w14:paraId="7187E71E" w14:textId="77777777" w:rsidR="002922F7" w:rsidRDefault="002922F7" w:rsidP="002922F7">
            <w:pPr>
              <w:pStyle w:val="TabletextCentreTotal"/>
              <w:keepNext/>
            </w:pPr>
          </w:p>
        </w:tc>
        <w:tc>
          <w:tcPr>
            <w:tcW w:w="1366" w:type="dxa"/>
          </w:tcPr>
          <w:p w14:paraId="05BA58CC" w14:textId="77777777" w:rsidR="002922F7" w:rsidRDefault="002922F7" w:rsidP="002922F7">
            <w:pPr>
              <w:pStyle w:val="TabletextLeftTotal"/>
              <w:keepNext/>
            </w:pPr>
            <w:r w:rsidRPr="00EE0E71">
              <w:t>expected proportion</w:t>
            </w:r>
          </w:p>
        </w:tc>
        <w:tc>
          <w:tcPr>
            <w:tcW w:w="1301" w:type="dxa"/>
          </w:tcPr>
          <w:p w14:paraId="58ED36FD" w14:textId="77777777" w:rsidR="002922F7" w:rsidRDefault="002922F7" w:rsidP="002922F7">
            <w:pPr>
              <w:pStyle w:val="TabletextCentre"/>
              <w:keepNext/>
            </w:pPr>
            <w:r w:rsidRPr="00C91BA4">
              <w:t>7.30%</w:t>
            </w:r>
          </w:p>
        </w:tc>
        <w:tc>
          <w:tcPr>
            <w:tcW w:w="1301" w:type="dxa"/>
          </w:tcPr>
          <w:p w14:paraId="1F63808C" w14:textId="77777777" w:rsidR="002922F7" w:rsidRDefault="002922F7" w:rsidP="002922F7">
            <w:pPr>
              <w:pStyle w:val="TabletextCentre"/>
              <w:keepNext/>
            </w:pPr>
            <w:r w:rsidRPr="00C91BA4">
              <w:t>6.93%</w:t>
            </w:r>
          </w:p>
        </w:tc>
        <w:tc>
          <w:tcPr>
            <w:tcW w:w="1309" w:type="dxa"/>
          </w:tcPr>
          <w:p w14:paraId="47473F45" w14:textId="77777777" w:rsidR="002922F7" w:rsidRDefault="002922F7" w:rsidP="002922F7">
            <w:pPr>
              <w:pStyle w:val="TabletextCentre"/>
              <w:keepNext/>
            </w:pPr>
            <w:r w:rsidRPr="00C91BA4">
              <w:t>7.23%</w:t>
            </w:r>
          </w:p>
        </w:tc>
        <w:tc>
          <w:tcPr>
            <w:tcW w:w="1302" w:type="dxa"/>
          </w:tcPr>
          <w:p w14:paraId="13530DB0" w14:textId="77777777" w:rsidR="002922F7" w:rsidRDefault="002922F7" w:rsidP="002922F7">
            <w:pPr>
              <w:pStyle w:val="TabletextCentre"/>
              <w:keepNext/>
            </w:pPr>
            <w:r w:rsidRPr="00C91BA4">
              <w:t>7.30%</w:t>
            </w:r>
          </w:p>
        </w:tc>
      </w:tr>
      <w:tr w:rsidR="002922F7" w14:paraId="00C544B8" w14:textId="77777777" w:rsidTr="002922F7">
        <w:tc>
          <w:tcPr>
            <w:tcW w:w="1092" w:type="dxa"/>
            <w:vMerge/>
          </w:tcPr>
          <w:p w14:paraId="7905211A" w14:textId="77777777" w:rsidR="002922F7" w:rsidRDefault="002922F7" w:rsidP="002922F7">
            <w:pPr>
              <w:keepNext/>
            </w:pPr>
          </w:p>
        </w:tc>
        <w:tc>
          <w:tcPr>
            <w:tcW w:w="1355" w:type="dxa"/>
            <w:vMerge/>
            <w:vAlign w:val="center"/>
          </w:tcPr>
          <w:p w14:paraId="54D3DE73" w14:textId="77777777" w:rsidR="002922F7" w:rsidRDefault="002922F7" w:rsidP="002922F7">
            <w:pPr>
              <w:pStyle w:val="TabletextCentreTotal"/>
              <w:keepNext/>
            </w:pPr>
          </w:p>
        </w:tc>
        <w:tc>
          <w:tcPr>
            <w:tcW w:w="1366" w:type="dxa"/>
          </w:tcPr>
          <w:p w14:paraId="5F09D34B" w14:textId="77777777" w:rsidR="002922F7" w:rsidRDefault="002922F7" w:rsidP="002922F7">
            <w:pPr>
              <w:pStyle w:val="TabletextLeftTotal"/>
              <w:keepNext/>
            </w:pPr>
            <w:r w:rsidRPr="00EE0E71">
              <w:t>p-value</w:t>
            </w:r>
          </w:p>
        </w:tc>
        <w:tc>
          <w:tcPr>
            <w:tcW w:w="1301" w:type="dxa"/>
          </w:tcPr>
          <w:p w14:paraId="16FBC535" w14:textId="77777777" w:rsidR="002922F7" w:rsidRDefault="002922F7" w:rsidP="002922F7">
            <w:pPr>
              <w:pStyle w:val="TabletextCentre"/>
              <w:keepNext/>
            </w:pPr>
            <w:r w:rsidRPr="00C91BA4">
              <w:t>0.9896</w:t>
            </w:r>
          </w:p>
        </w:tc>
        <w:tc>
          <w:tcPr>
            <w:tcW w:w="1301" w:type="dxa"/>
          </w:tcPr>
          <w:p w14:paraId="53C93761" w14:textId="77777777" w:rsidR="002922F7" w:rsidRDefault="002922F7" w:rsidP="002922F7">
            <w:pPr>
              <w:pStyle w:val="TabletextCentre"/>
              <w:keepNext/>
            </w:pPr>
            <w:r w:rsidRPr="00C91BA4">
              <w:t>0.9973</w:t>
            </w:r>
          </w:p>
        </w:tc>
        <w:tc>
          <w:tcPr>
            <w:tcW w:w="1309" w:type="dxa"/>
          </w:tcPr>
          <w:p w14:paraId="695E55C2" w14:textId="77777777" w:rsidR="002922F7" w:rsidRDefault="002922F7" w:rsidP="002922F7">
            <w:pPr>
              <w:pStyle w:val="TabletextCentre"/>
              <w:keepNext/>
            </w:pPr>
            <w:r w:rsidRPr="00C91BA4">
              <w:t>0.9910</w:t>
            </w:r>
          </w:p>
        </w:tc>
        <w:tc>
          <w:tcPr>
            <w:tcW w:w="1302" w:type="dxa"/>
          </w:tcPr>
          <w:p w14:paraId="630CE54A" w14:textId="77777777" w:rsidR="002922F7" w:rsidRDefault="002922F7" w:rsidP="002922F7">
            <w:pPr>
              <w:pStyle w:val="TabletextCentre"/>
              <w:keepNext/>
            </w:pPr>
            <w:r w:rsidRPr="00C91BA4">
              <w:t>0.9959</w:t>
            </w:r>
          </w:p>
        </w:tc>
      </w:tr>
      <w:tr w:rsidR="002922F7" w14:paraId="4386866C" w14:textId="77777777" w:rsidTr="002922F7">
        <w:tc>
          <w:tcPr>
            <w:tcW w:w="1092" w:type="dxa"/>
            <w:vMerge/>
          </w:tcPr>
          <w:p w14:paraId="2AE9EB7C" w14:textId="77777777" w:rsidR="002922F7" w:rsidRPr="00EE0E71" w:rsidRDefault="002922F7" w:rsidP="002922F7">
            <w:pPr>
              <w:keepNext/>
            </w:pPr>
          </w:p>
        </w:tc>
        <w:tc>
          <w:tcPr>
            <w:tcW w:w="1355" w:type="dxa"/>
            <w:vMerge w:val="restart"/>
            <w:vAlign w:val="center"/>
          </w:tcPr>
          <w:p w14:paraId="6AFBC711" w14:textId="77777777" w:rsidR="002922F7" w:rsidRDefault="002922F7" w:rsidP="002922F7">
            <w:pPr>
              <w:pStyle w:val="TabletextCentreTotal"/>
              <w:keepNext/>
            </w:pPr>
            <w:r w:rsidRPr="00EE0E71">
              <w:t>4th quartile</w:t>
            </w:r>
          </w:p>
        </w:tc>
        <w:tc>
          <w:tcPr>
            <w:tcW w:w="1366" w:type="dxa"/>
          </w:tcPr>
          <w:p w14:paraId="5810C668" w14:textId="77777777" w:rsidR="002922F7" w:rsidRDefault="002922F7" w:rsidP="002922F7">
            <w:pPr>
              <w:pStyle w:val="TabletextLeftTotal"/>
              <w:keepNext/>
            </w:pPr>
            <w:r w:rsidRPr="00EE0E71">
              <w:t>observed proportion</w:t>
            </w:r>
          </w:p>
        </w:tc>
        <w:tc>
          <w:tcPr>
            <w:tcW w:w="1301" w:type="dxa"/>
          </w:tcPr>
          <w:p w14:paraId="16986351" w14:textId="77777777" w:rsidR="002922F7" w:rsidRDefault="002922F7" w:rsidP="002922F7">
            <w:pPr>
              <w:pStyle w:val="TabletextCentre"/>
              <w:keepNext/>
            </w:pPr>
            <w:r w:rsidRPr="00C91BA4">
              <w:t>3.11%</w:t>
            </w:r>
          </w:p>
        </w:tc>
        <w:tc>
          <w:tcPr>
            <w:tcW w:w="1301" w:type="dxa"/>
          </w:tcPr>
          <w:p w14:paraId="6F26E49A" w14:textId="77777777" w:rsidR="002922F7" w:rsidRDefault="002922F7" w:rsidP="002922F7">
            <w:pPr>
              <w:pStyle w:val="TabletextCentre"/>
              <w:keepNext/>
            </w:pPr>
            <w:r w:rsidRPr="00C91BA4">
              <w:t>6.22%</w:t>
            </w:r>
          </w:p>
        </w:tc>
        <w:tc>
          <w:tcPr>
            <w:tcW w:w="1309" w:type="dxa"/>
          </w:tcPr>
          <w:p w14:paraId="421CE167" w14:textId="77777777" w:rsidR="002922F7" w:rsidRDefault="002922F7" w:rsidP="002922F7">
            <w:pPr>
              <w:pStyle w:val="TabletextCentre"/>
              <w:keepNext/>
            </w:pPr>
            <w:r w:rsidRPr="00C91BA4">
              <w:t>6.22%</w:t>
            </w:r>
          </w:p>
        </w:tc>
        <w:tc>
          <w:tcPr>
            <w:tcW w:w="1302" w:type="dxa"/>
          </w:tcPr>
          <w:p w14:paraId="69001730" w14:textId="77777777" w:rsidR="002922F7" w:rsidRDefault="002922F7" w:rsidP="002922F7">
            <w:pPr>
              <w:pStyle w:val="TabletextCentre"/>
              <w:keepNext/>
            </w:pPr>
            <w:r w:rsidRPr="00C91BA4">
              <w:t>7.51%</w:t>
            </w:r>
          </w:p>
        </w:tc>
      </w:tr>
      <w:tr w:rsidR="002922F7" w14:paraId="473ED629" w14:textId="77777777" w:rsidTr="002922F7">
        <w:tc>
          <w:tcPr>
            <w:tcW w:w="1092" w:type="dxa"/>
            <w:vMerge/>
          </w:tcPr>
          <w:p w14:paraId="1ADFABFD" w14:textId="77777777" w:rsidR="002922F7" w:rsidRDefault="002922F7" w:rsidP="002922F7">
            <w:pPr>
              <w:keepNext/>
            </w:pPr>
          </w:p>
        </w:tc>
        <w:tc>
          <w:tcPr>
            <w:tcW w:w="1355" w:type="dxa"/>
            <w:vMerge/>
          </w:tcPr>
          <w:p w14:paraId="11D5B8B8" w14:textId="77777777" w:rsidR="002922F7" w:rsidRDefault="002922F7" w:rsidP="002922F7">
            <w:pPr>
              <w:pStyle w:val="TabletextCentreTotal"/>
              <w:keepNext/>
            </w:pPr>
          </w:p>
        </w:tc>
        <w:tc>
          <w:tcPr>
            <w:tcW w:w="1366" w:type="dxa"/>
          </w:tcPr>
          <w:p w14:paraId="4F1C19F9" w14:textId="77777777" w:rsidR="002922F7" w:rsidRDefault="002922F7" w:rsidP="002922F7">
            <w:pPr>
              <w:pStyle w:val="TabletextLeftTotal"/>
              <w:keepNext/>
            </w:pPr>
            <w:r w:rsidRPr="00EE0E71">
              <w:t>expected proportion</w:t>
            </w:r>
          </w:p>
        </w:tc>
        <w:tc>
          <w:tcPr>
            <w:tcW w:w="1301" w:type="dxa"/>
          </w:tcPr>
          <w:p w14:paraId="041D48F7" w14:textId="77777777" w:rsidR="002922F7" w:rsidRDefault="002922F7" w:rsidP="002922F7">
            <w:pPr>
              <w:pStyle w:val="TabletextCentre"/>
              <w:keepNext/>
            </w:pPr>
            <w:r w:rsidRPr="00C91BA4">
              <w:t>5.85%</w:t>
            </w:r>
          </w:p>
        </w:tc>
        <w:tc>
          <w:tcPr>
            <w:tcW w:w="1301" w:type="dxa"/>
          </w:tcPr>
          <w:p w14:paraId="7284E798" w14:textId="77777777" w:rsidR="002922F7" w:rsidRDefault="002922F7" w:rsidP="002922F7">
            <w:pPr>
              <w:pStyle w:val="TabletextCentre"/>
              <w:keepNext/>
            </w:pPr>
            <w:r w:rsidRPr="00C91BA4">
              <w:t>5.56%</w:t>
            </w:r>
          </w:p>
        </w:tc>
        <w:tc>
          <w:tcPr>
            <w:tcW w:w="1309" w:type="dxa"/>
          </w:tcPr>
          <w:p w14:paraId="6FB5B770" w14:textId="77777777" w:rsidR="002922F7" w:rsidRDefault="002922F7" w:rsidP="002922F7">
            <w:pPr>
              <w:pStyle w:val="TabletextCentre"/>
              <w:keepNext/>
            </w:pPr>
            <w:r w:rsidRPr="00C91BA4">
              <w:t>5.79%</w:t>
            </w:r>
          </w:p>
        </w:tc>
        <w:tc>
          <w:tcPr>
            <w:tcW w:w="1302" w:type="dxa"/>
          </w:tcPr>
          <w:p w14:paraId="294B4265" w14:textId="77777777" w:rsidR="002922F7" w:rsidRDefault="002922F7" w:rsidP="002922F7">
            <w:pPr>
              <w:pStyle w:val="TabletextCentre"/>
              <w:keepNext/>
            </w:pPr>
            <w:r w:rsidRPr="00C91BA4">
              <w:t>5.85%</w:t>
            </w:r>
          </w:p>
        </w:tc>
      </w:tr>
      <w:tr w:rsidR="002922F7" w14:paraId="707CD73C" w14:textId="77777777" w:rsidTr="002922F7">
        <w:tc>
          <w:tcPr>
            <w:tcW w:w="1092" w:type="dxa"/>
            <w:vMerge/>
          </w:tcPr>
          <w:p w14:paraId="50AAC8F2" w14:textId="77777777" w:rsidR="002922F7" w:rsidRDefault="002922F7" w:rsidP="002922F7">
            <w:pPr>
              <w:keepNext/>
            </w:pPr>
          </w:p>
        </w:tc>
        <w:tc>
          <w:tcPr>
            <w:tcW w:w="1355" w:type="dxa"/>
            <w:vMerge/>
          </w:tcPr>
          <w:p w14:paraId="42EBD4E4" w14:textId="77777777" w:rsidR="002922F7" w:rsidRDefault="002922F7" w:rsidP="002922F7">
            <w:pPr>
              <w:pStyle w:val="TabletextCentreTotal"/>
              <w:keepNext/>
            </w:pPr>
          </w:p>
        </w:tc>
        <w:tc>
          <w:tcPr>
            <w:tcW w:w="1366" w:type="dxa"/>
          </w:tcPr>
          <w:p w14:paraId="6C52F4A9" w14:textId="77777777" w:rsidR="002922F7" w:rsidRDefault="002922F7" w:rsidP="002922F7">
            <w:pPr>
              <w:pStyle w:val="TabletextLeftTotal"/>
              <w:keepNext/>
            </w:pPr>
            <w:r w:rsidRPr="00EE0E71">
              <w:t>p-value</w:t>
            </w:r>
          </w:p>
        </w:tc>
        <w:tc>
          <w:tcPr>
            <w:tcW w:w="1301" w:type="dxa"/>
          </w:tcPr>
          <w:p w14:paraId="4580DC53" w14:textId="77777777" w:rsidR="002922F7" w:rsidRDefault="002922F7" w:rsidP="002922F7">
            <w:pPr>
              <w:pStyle w:val="TabletextCentre"/>
              <w:keepNext/>
            </w:pPr>
            <w:r w:rsidRPr="00C91BA4">
              <w:t>0.9808</w:t>
            </w:r>
          </w:p>
        </w:tc>
        <w:tc>
          <w:tcPr>
            <w:tcW w:w="1301" w:type="dxa"/>
          </w:tcPr>
          <w:p w14:paraId="7B912966" w14:textId="77777777" w:rsidR="002922F7" w:rsidRDefault="002922F7" w:rsidP="002922F7">
            <w:pPr>
              <w:pStyle w:val="TabletextCentre"/>
              <w:keepNext/>
            </w:pPr>
            <w:r w:rsidRPr="00C91BA4">
              <w:t>0.9951</w:t>
            </w:r>
          </w:p>
        </w:tc>
        <w:tc>
          <w:tcPr>
            <w:tcW w:w="1309" w:type="dxa"/>
          </w:tcPr>
          <w:p w14:paraId="0AEE38AD" w14:textId="77777777" w:rsidR="002922F7" w:rsidRDefault="002922F7" w:rsidP="002922F7">
            <w:pPr>
              <w:pStyle w:val="TabletextCentre"/>
              <w:keepNext/>
            </w:pPr>
            <w:r w:rsidRPr="00C91BA4">
              <w:t>0.9970</w:t>
            </w:r>
          </w:p>
        </w:tc>
        <w:tc>
          <w:tcPr>
            <w:tcW w:w="1302" w:type="dxa"/>
          </w:tcPr>
          <w:p w14:paraId="7000F9D2" w14:textId="77777777" w:rsidR="002922F7" w:rsidRDefault="002922F7" w:rsidP="002922F7">
            <w:pPr>
              <w:pStyle w:val="TabletextCentre"/>
              <w:keepNext/>
            </w:pPr>
            <w:r w:rsidRPr="00C91BA4">
              <w:t>0.9884</w:t>
            </w:r>
          </w:p>
        </w:tc>
      </w:tr>
    </w:tbl>
    <w:p w14:paraId="005A1302" w14:textId="77777777" w:rsidR="002922F7" w:rsidRDefault="002922F7" w:rsidP="002922F7">
      <w:pPr>
        <w:rPr>
          <w:lang w:eastAsia="en-AU"/>
        </w:rPr>
      </w:pPr>
    </w:p>
    <w:p w14:paraId="1A97F118" w14:textId="5EBDBB22" w:rsidR="002922F7" w:rsidRDefault="002922F7" w:rsidP="00400621">
      <w:pPr>
        <w:pStyle w:val="AppendixTableCaption"/>
        <w:numPr>
          <w:ilvl w:val="6"/>
          <w:numId w:val="11"/>
        </w:numPr>
      </w:pPr>
      <w:bookmarkStart w:id="307" w:name="_Toc40454714"/>
      <w:r>
        <w:lastRenderedPageBreak/>
        <w:t xml:space="preserve">Span of control and </w:t>
      </w:r>
      <w:r w:rsidR="00A6707A">
        <w:t xml:space="preserve">implied </w:t>
      </w:r>
      <w:r>
        <w:t>margins, cross</w:t>
      </w:r>
      <w:r>
        <w:noBreakHyphen/>
        <w:t>tabulated distribution</w:t>
      </w:r>
      <w:bookmarkEnd w:id="307"/>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2BD45D26"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5208F67E" w14:textId="77777777" w:rsidR="002922F7" w:rsidRDefault="002922F7" w:rsidP="002922F7">
            <w:pPr>
              <w:keepNext/>
            </w:pPr>
          </w:p>
        </w:tc>
        <w:tc>
          <w:tcPr>
            <w:tcW w:w="1355" w:type="dxa"/>
          </w:tcPr>
          <w:p w14:paraId="3CE520A3" w14:textId="77777777" w:rsidR="002922F7" w:rsidRDefault="002922F7" w:rsidP="002922F7">
            <w:pPr>
              <w:keepNext/>
            </w:pPr>
          </w:p>
        </w:tc>
        <w:tc>
          <w:tcPr>
            <w:tcW w:w="1366" w:type="dxa"/>
          </w:tcPr>
          <w:p w14:paraId="3D21E99A" w14:textId="77777777" w:rsidR="002922F7" w:rsidRDefault="002922F7" w:rsidP="002922F7">
            <w:pPr>
              <w:keepNext/>
            </w:pPr>
          </w:p>
        </w:tc>
        <w:tc>
          <w:tcPr>
            <w:tcW w:w="5213" w:type="dxa"/>
            <w:gridSpan w:val="4"/>
          </w:tcPr>
          <w:p w14:paraId="590B915C" w14:textId="45EAFB29" w:rsidR="002922F7" w:rsidRDefault="00A6707A" w:rsidP="002922F7">
            <w:pPr>
              <w:pStyle w:val="TableHeadingCentre"/>
              <w:keepNext/>
            </w:pPr>
            <w:r>
              <w:t>Implied m</w:t>
            </w:r>
            <w:r w:rsidR="002922F7">
              <w:t>argins</w:t>
            </w:r>
          </w:p>
        </w:tc>
      </w:tr>
      <w:tr w:rsidR="002922F7" w14:paraId="04FF2BCB" w14:textId="77777777" w:rsidTr="002922F7">
        <w:tc>
          <w:tcPr>
            <w:tcW w:w="1092" w:type="dxa"/>
          </w:tcPr>
          <w:p w14:paraId="0D0655C5" w14:textId="77777777" w:rsidR="002922F7" w:rsidRDefault="002922F7" w:rsidP="002922F7">
            <w:pPr>
              <w:keepNext/>
            </w:pPr>
          </w:p>
        </w:tc>
        <w:tc>
          <w:tcPr>
            <w:tcW w:w="1355" w:type="dxa"/>
          </w:tcPr>
          <w:p w14:paraId="47152DAC" w14:textId="77777777" w:rsidR="002922F7" w:rsidRDefault="002922F7" w:rsidP="002922F7">
            <w:pPr>
              <w:keepNext/>
            </w:pPr>
          </w:p>
        </w:tc>
        <w:tc>
          <w:tcPr>
            <w:tcW w:w="1366" w:type="dxa"/>
          </w:tcPr>
          <w:p w14:paraId="128607CA" w14:textId="77777777" w:rsidR="002922F7" w:rsidRDefault="002922F7" w:rsidP="002922F7">
            <w:pPr>
              <w:keepNext/>
            </w:pPr>
          </w:p>
        </w:tc>
        <w:tc>
          <w:tcPr>
            <w:tcW w:w="1301" w:type="dxa"/>
          </w:tcPr>
          <w:p w14:paraId="3AE57DDD" w14:textId="77777777" w:rsidR="002922F7" w:rsidRDefault="002922F7" w:rsidP="002922F7">
            <w:pPr>
              <w:pStyle w:val="TabletextCentreTotal"/>
              <w:keepNext/>
              <w:jc w:val="left"/>
            </w:pPr>
            <w:r w:rsidRPr="00EE0E71">
              <w:t>1st quartile</w:t>
            </w:r>
          </w:p>
        </w:tc>
        <w:tc>
          <w:tcPr>
            <w:tcW w:w="1301" w:type="dxa"/>
          </w:tcPr>
          <w:p w14:paraId="111A6AF1" w14:textId="77777777" w:rsidR="002922F7" w:rsidRDefault="002922F7" w:rsidP="002922F7">
            <w:pPr>
              <w:pStyle w:val="TabletextCentreTotal"/>
              <w:keepNext/>
            </w:pPr>
            <w:r w:rsidRPr="00EE0E71">
              <w:t>2nd quartile</w:t>
            </w:r>
          </w:p>
        </w:tc>
        <w:tc>
          <w:tcPr>
            <w:tcW w:w="1309" w:type="dxa"/>
          </w:tcPr>
          <w:p w14:paraId="3D85695B" w14:textId="77777777" w:rsidR="002922F7" w:rsidRDefault="002922F7" w:rsidP="002922F7">
            <w:pPr>
              <w:pStyle w:val="TabletextCentreTotal"/>
              <w:keepNext/>
            </w:pPr>
            <w:r w:rsidRPr="00EE0E71">
              <w:t>3rd quartile</w:t>
            </w:r>
          </w:p>
        </w:tc>
        <w:tc>
          <w:tcPr>
            <w:tcW w:w="1302" w:type="dxa"/>
          </w:tcPr>
          <w:p w14:paraId="42279EAD" w14:textId="77777777" w:rsidR="002922F7" w:rsidRDefault="002922F7" w:rsidP="002922F7">
            <w:pPr>
              <w:pStyle w:val="TabletextCentreTotal"/>
              <w:keepNext/>
              <w:jc w:val="right"/>
            </w:pPr>
            <w:r w:rsidRPr="00EE0E71">
              <w:t>4th quartile</w:t>
            </w:r>
          </w:p>
        </w:tc>
      </w:tr>
      <w:tr w:rsidR="002922F7" w14:paraId="719C6D51" w14:textId="77777777" w:rsidTr="002922F7">
        <w:tc>
          <w:tcPr>
            <w:tcW w:w="1092" w:type="dxa"/>
            <w:vMerge w:val="restart"/>
            <w:textDirection w:val="btLr"/>
          </w:tcPr>
          <w:p w14:paraId="4C3FAF29" w14:textId="77777777" w:rsidR="002922F7" w:rsidRPr="00EE0E71" w:rsidRDefault="002922F7" w:rsidP="002922F7">
            <w:pPr>
              <w:pStyle w:val="TableHeadingCentre"/>
              <w:keepNext/>
            </w:pPr>
            <w:r>
              <w:t>Span of control</w:t>
            </w:r>
          </w:p>
        </w:tc>
        <w:tc>
          <w:tcPr>
            <w:tcW w:w="1355" w:type="dxa"/>
            <w:vMerge w:val="restart"/>
            <w:vAlign w:val="center"/>
          </w:tcPr>
          <w:p w14:paraId="422F9C60" w14:textId="77777777" w:rsidR="002922F7" w:rsidRDefault="002922F7" w:rsidP="002922F7">
            <w:pPr>
              <w:pStyle w:val="TabletextCentreTotal"/>
              <w:keepNext/>
            </w:pPr>
            <w:r w:rsidRPr="00EE0E71">
              <w:t>1st quartile</w:t>
            </w:r>
          </w:p>
        </w:tc>
        <w:tc>
          <w:tcPr>
            <w:tcW w:w="1366" w:type="dxa"/>
          </w:tcPr>
          <w:p w14:paraId="378ED89B" w14:textId="77777777" w:rsidR="002922F7" w:rsidRDefault="002922F7" w:rsidP="002922F7">
            <w:pPr>
              <w:pStyle w:val="TabletextLeftTotal"/>
              <w:keepNext/>
            </w:pPr>
            <w:r w:rsidRPr="00EE0E71">
              <w:t>observed proportion</w:t>
            </w:r>
          </w:p>
        </w:tc>
        <w:tc>
          <w:tcPr>
            <w:tcW w:w="1301" w:type="dxa"/>
          </w:tcPr>
          <w:p w14:paraId="7E1881F4" w14:textId="77777777" w:rsidR="002922F7" w:rsidRDefault="002922F7" w:rsidP="002922F7">
            <w:pPr>
              <w:pStyle w:val="TabletextCentre"/>
              <w:keepNext/>
            </w:pPr>
            <w:r w:rsidRPr="008B28D3">
              <w:t>2.66%</w:t>
            </w:r>
          </w:p>
        </w:tc>
        <w:tc>
          <w:tcPr>
            <w:tcW w:w="1301" w:type="dxa"/>
          </w:tcPr>
          <w:p w14:paraId="0D3E7111" w14:textId="77777777" w:rsidR="002922F7" w:rsidRDefault="002922F7" w:rsidP="002922F7">
            <w:pPr>
              <w:pStyle w:val="TabletextCentre"/>
              <w:keepNext/>
            </w:pPr>
            <w:r w:rsidRPr="008B28D3">
              <w:t>2.39%</w:t>
            </w:r>
          </w:p>
        </w:tc>
        <w:tc>
          <w:tcPr>
            <w:tcW w:w="1309" w:type="dxa"/>
          </w:tcPr>
          <w:p w14:paraId="2F8463BB" w14:textId="77777777" w:rsidR="002922F7" w:rsidRDefault="002922F7" w:rsidP="002922F7">
            <w:pPr>
              <w:pStyle w:val="TabletextCentre"/>
              <w:keepNext/>
            </w:pPr>
            <w:r w:rsidRPr="008B28D3">
              <w:t>4.26%</w:t>
            </w:r>
          </w:p>
        </w:tc>
        <w:tc>
          <w:tcPr>
            <w:tcW w:w="1302" w:type="dxa"/>
          </w:tcPr>
          <w:p w14:paraId="04F2CC83" w14:textId="77777777" w:rsidR="002922F7" w:rsidRDefault="002922F7" w:rsidP="002922F7">
            <w:pPr>
              <w:pStyle w:val="TabletextCentre"/>
              <w:keepNext/>
            </w:pPr>
            <w:r w:rsidRPr="008B28D3">
              <w:t>4.52%</w:t>
            </w:r>
          </w:p>
        </w:tc>
      </w:tr>
      <w:tr w:rsidR="002922F7" w14:paraId="7C9B3617" w14:textId="77777777" w:rsidTr="002922F7">
        <w:tc>
          <w:tcPr>
            <w:tcW w:w="1092" w:type="dxa"/>
            <w:vMerge/>
          </w:tcPr>
          <w:p w14:paraId="191AB151" w14:textId="77777777" w:rsidR="002922F7" w:rsidRDefault="002922F7" w:rsidP="002922F7">
            <w:pPr>
              <w:keepNext/>
            </w:pPr>
          </w:p>
        </w:tc>
        <w:tc>
          <w:tcPr>
            <w:tcW w:w="1355" w:type="dxa"/>
            <w:vMerge/>
            <w:vAlign w:val="center"/>
          </w:tcPr>
          <w:p w14:paraId="301131B1" w14:textId="77777777" w:rsidR="002922F7" w:rsidRDefault="002922F7" w:rsidP="002922F7">
            <w:pPr>
              <w:pStyle w:val="TabletextCentreTotal"/>
              <w:keepNext/>
            </w:pPr>
          </w:p>
        </w:tc>
        <w:tc>
          <w:tcPr>
            <w:tcW w:w="1366" w:type="dxa"/>
          </w:tcPr>
          <w:p w14:paraId="1EAC0ECC" w14:textId="77777777" w:rsidR="002922F7" w:rsidRDefault="002922F7" w:rsidP="002922F7">
            <w:pPr>
              <w:pStyle w:val="TabletextLeftTotal"/>
              <w:keepNext/>
            </w:pPr>
            <w:r w:rsidRPr="00EE0E71">
              <w:t>expected proportion</w:t>
            </w:r>
          </w:p>
        </w:tc>
        <w:tc>
          <w:tcPr>
            <w:tcW w:w="1301" w:type="dxa"/>
          </w:tcPr>
          <w:p w14:paraId="49C06420" w14:textId="77777777" w:rsidR="002922F7" w:rsidRDefault="002922F7" w:rsidP="002922F7">
            <w:pPr>
              <w:pStyle w:val="TabletextCentre"/>
              <w:keepNext/>
            </w:pPr>
            <w:r w:rsidRPr="008B28D3">
              <w:t>3.53%</w:t>
            </w:r>
          </w:p>
        </w:tc>
        <w:tc>
          <w:tcPr>
            <w:tcW w:w="1301" w:type="dxa"/>
          </w:tcPr>
          <w:p w14:paraId="74CE0C6B" w14:textId="77777777" w:rsidR="002922F7" w:rsidRDefault="002922F7" w:rsidP="002922F7">
            <w:pPr>
              <w:pStyle w:val="TabletextCentre"/>
              <w:keepNext/>
            </w:pPr>
            <w:r w:rsidRPr="008B28D3">
              <w:t>3.35%</w:t>
            </w:r>
          </w:p>
        </w:tc>
        <w:tc>
          <w:tcPr>
            <w:tcW w:w="1309" w:type="dxa"/>
          </w:tcPr>
          <w:p w14:paraId="1FBF5B2F" w14:textId="77777777" w:rsidR="002922F7" w:rsidRDefault="002922F7" w:rsidP="002922F7">
            <w:pPr>
              <w:pStyle w:val="TabletextCentre"/>
              <w:keepNext/>
            </w:pPr>
            <w:r w:rsidRPr="008B28D3">
              <w:t>3.46%</w:t>
            </w:r>
          </w:p>
        </w:tc>
        <w:tc>
          <w:tcPr>
            <w:tcW w:w="1302" w:type="dxa"/>
          </w:tcPr>
          <w:p w14:paraId="0B19ECB9" w14:textId="77777777" w:rsidR="002922F7" w:rsidRDefault="002922F7" w:rsidP="002922F7">
            <w:pPr>
              <w:pStyle w:val="TabletextCentre"/>
              <w:keepNext/>
            </w:pPr>
            <w:r w:rsidRPr="008B28D3">
              <w:t>3.49%</w:t>
            </w:r>
          </w:p>
        </w:tc>
      </w:tr>
      <w:tr w:rsidR="002922F7" w14:paraId="0FD37074" w14:textId="77777777" w:rsidTr="002922F7">
        <w:tc>
          <w:tcPr>
            <w:tcW w:w="1092" w:type="dxa"/>
            <w:vMerge/>
          </w:tcPr>
          <w:p w14:paraId="69771C18" w14:textId="77777777" w:rsidR="002922F7" w:rsidRDefault="002922F7" w:rsidP="002922F7">
            <w:pPr>
              <w:keepNext/>
            </w:pPr>
          </w:p>
        </w:tc>
        <w:tc>
          <w:tcPr>
            <w:tcW w:w="1355" w:type="dxa"/>
            <w:vMerge/>
            <w:vAlign w:val="center"/>
          </w:tcPr>
          <w:p w14:paraId="197DBBC8" w14:textId="77777777" w:rsidR="002922F7" w:rsidRDefault="002922F7" w:rsidP="002922F7">
            <w:pPr>
              <w:pStyle w:val="TabletextCentreTotal"/>
              <w:keepNext/>
            </w:pPr>
          </w:p>
        </w:tc>
        <w:tc>
          <w:tcPr>
            <w:tcW w:w="1366" w:type="dxa"/>
          </w:tcPr>
          <w:p w14:paraId="0799B330" w14:textId="77777777" w:rsidR="002922F7" w:rsidRDefault="002922F7" w:rsidP="002922F7">
            <w:pPr>
              <w:pStyle w:val="TabletextLeftTotal"/>
              <w:keepNext/>
            </w:pPr>
            <w:r w:rsidRPr="00EE0E71">
              <w:t>p-value</w:t>
            </w:r>
          </w:p>
        </w:tc>
        <w:tc>
          <w:tcPr>
            <w:tcW w:w="1301" w:type="dxa"/>
          </w:tcPr>
          <w:p w14:paraId="2E7BEF83" w14:textId="77777777" w:rsidR="002922F7" w:rsidRDefault="002922F7" w:rsidP="002922F7">
            <w:pPr>
              <w:pStyle w:val="TabletextCentre"/>
              <w:keepNext/>
            </w:pPr>
            <w:r w:rsidRPr="008B28D3">
              <w:t>0.2616</w:t>
            </w:r>
          </w:p>
        </w:tc>
        <w:tc>
          <w:tcPr>
            <w:tcW w:w="1301" w:type="dxa"/>
          </w:tcPr>
          <w:p w14:paraId="63A03B78" w14:textId="77777777" w:rsidR="002922F7" w:rsidRDefault="002922F7" w:rsidP="002922F7">
            <w:pPr>
              <w:pStyle w:val="TabletextCentre"/>
              <w:keepNext/>
            </w:pPr>
            <w:r w:rsidRPr="008B28D3">
              <w:t>0.2111</w:t>
            </w:r>
          </w:p>
        </w:tc>
        <w:tc>
          <w:tcPr>
            <w:tcW w:w="1309" w:type="dxa"/>
          </w:tcPr>
          <w:p w14:paraId="1516645B" w14:textId="77777777" w:rsidR="002922F7" w:rsidRDefault="002922F7" w:rsidP="002922F7">
            <w:pPr>
              <w:pStyle w:val="TabletextCentre"/>
              <w:keepNext/>
            </w:pPr>
            <w:r w:rsidRPr="008B28D3">
              <w:t>0.3007</w:t>
            </w:r>
          </w:p>
        </w:tc>
        <w:tc>
          <w:tcPr>
            <w:tcW w:w="1302" w:type="dxa"/>
          </w:tcPr>
          <w:p w14:paraId="1714B0E8" w14:textId="77777777" w:rsidR="002922F7" w:rsidRDefault="002922F7" w:rsidP="002922F7">
            <w:pPr>
              <w:pStyle w:val="TabletextCentre"/>
              <w:keepNext/>
            </w:pPr>
            <w:r w:rsidRPr="008B28D3">
              <w:t>0.1843</w:t>
            </w:r>
          </w:p>
        </w:tc>
      </w:tr>
      <w:tr w:rsidR="002922F7" w14:paraId="5099043B" w14:textId="77777777" w:rsidTr="002922F7">
        <w:tc>
          <w:tcPr>
            <w:tcW w:w="1092" w:type="dxa"/>
            <w:vMerge/>
          </w:tcPr>
          <w:p w14:paraId="3D8DC026" w14:textId="77777777" w:rsidR="002922F7" w:rsidRPr="00EE0E71" w:rsidRDefault="002922F7" w:rsidP="002922F7">
            <w:pPr>
              <w:keepNext/>
            </w:pPr>
          </w:p>
        </w:tc>
        <w:tc>
          <w:tcPr>
            <w:tcW w:w="1355" w:type="dxa"/>
            <w:vMerge w:val="restart"/>
            <w:vAlign w:val="center"/>
          </w:tcPr>
          <w:p w14:paraId="02113984" w14:textId="77777777" w:rsidR="002922F7" w:rsidRDefault="002922F7" w:rsidP="002922F7">
            <w:pPr>
              <w:pStyle w:val="TabletextCentreTotal"/>
              <w:keepNext/>
            </w:pPr>
            <w:r w:rsidRPr="00EE0E71">
              <w:t>2nd quartile</w:t>
            </w:r>
          </w:p>
        </w:tc>
        <w:tc>
          <w:tcPr>
            <w:tcW w:w="1366" w:type="dxa"/>
          </w:tcPr>
          <w:p w14:paraId="69D829E8" w14:textId="77777777" w:rsidR="002922F7" w:rsidRDefault="002922F7" w:rsidP="002922F7">
            <w:pPr>
              <w:pStyle w:val="TabletextLeftTotal"/>
              <w:keepNext/>
            </w:pPr>
            <w:r w:rsidRPr="00EE0E71">
              <w:t>observed proportion</w:t>
            </w:r>
          </w:p>
        </w:tc>
        <w:tc>
          <w:tcPr>
            <w:tcW w:w="1301" w:type="dxa"/>
          </w:tcPr>
          <w:p w14:paraId="24CCA8E3" w14:textId="77777777" w:rsidR="002922F7" w:rsidRDefault="002922F7" w:rsidP="002922F7">
            <w:pPr>
              <w:pStyle w:val="TabletextCentre"/>
              <w:keepNext/>
            </w:pPr>
            <w:r w:rsidRPr="008B28D3">
              <w:t>5.59%</w:t>
            </w:r>
          </w:p>
        </w:tc>
        <w:tc>
          <w:tcPr>
            <w:tcW w:w="1301" w:type="dxa"/>
          </w:tcPr>
          <w:p w14:paraId="5A77E3C1" w14:textId="77777777" w:rsidR="002922F7" w:rsidRDefault="002922F7" w:rsidP="002922F7">
            <w:pPr>
              <w:pStyle w:val="TabletextCentre"/>
              <w:keepNext/>
            </w:pPr>
            <w:r w:rsidRPr="008B28D3">
              <w:t>6.12%</w:t>
            </w:r>
          </w:p>
        </w:tc>
        <w:tc>
          <w:tcPr>
            <w:tcW w:w="1309" w:type="dxa"/>
          </w:tcPr>
          <w:p w14:paraId="44695468" w14:textId="77777777" w:rsidR="002922F7" w:rsidRDefault="002922F7" w:rsidP="002922F7">
            <w:pPr>
              <w:pStyle w:val="TabletextCentre"/>
              <w:keepNext/>
            </w:pPr>
            <w:r w:rsidRPr="008B28D3">
              <w:t>5.85%</w:t>
            </w:r>
          </w:p>
        </w:tc>
        <w:tc>
          <w:tcPr>
            <w:tcW w:w="1302" w:type="dxa"/>
          </w:tcPr>
          <w:p w14:paraId="17D7E5D6" w14:textId="77777777" w:rsidR="002922F7" w:rsidRDefault="002922F7" w:rsidP="002922F7">
            <w:pPr>
              <w:pStyle w:val="TabletextCentre"/>
              <w:keepNext/>
            </w:pPr>
            <w:r w:rsidRPr="008B28D3">
              <w:t>9.57%</w:t>
            </w:r>
          </w:p>
        </w:tc>
      </w:tr>
      <w:tr w:rsidR="002922F7" w14:paraId="499723BA" w14:textId="77777777" w:rsidTr="002922F7">
        <w:tc>
          <w:tcPr>
            <w:tcW w:w="1092" w:type="dxa"/>
            <w:vMerge/>
          </w:tcPr>
          <w:p w14:paraId="19441BD6" w14:textId="77777777" w:rsidR="002922F7" w:rsidRDefault="002922F7" w:rsidP="002922F7">
            <w:pPr>
              <w:keepNext/>
            </w:pPr>
          </w:p>
        </w:tc>
        <w:tc>
          <w:tcPr>
            <w:tcW w:w="1355" w:type="dxa"/>
            <w:vMerge/>
            <w:vAlign w:val="center"/>
          </w:tcPr>
          <w:p w14:paraId="64EC9065" w14:textId="77777777" w:rsidR="002922F7" w:rsidRDefault="002922F7" w:rsidP="002922F7">
            <w:pPr>
              <w:pStyle w:val="TabletextCentreTotal"/>
              <w:keepNext/>
            </w:pPr>
          </w:p>
        </w:tc>
        <w:tc>
          <w:tcPr>
            <w:tcW w:w="1366" w:type="dxa"/>
          </w:tcPr>
          <w:p w14:paraId="626C609C" w14:textId="77777777" w:rsidR="002922F7" w:rsidRDefault="002922F7" w:rsidP="002922F7">
            <w:pPr>
              <w:pStyle w:val="TabletextLeftTotal"/>
              <w:keepNext/>
            </w:pPr>
            <w:r w:rsidRPr="00EE0E71">
              <w:t>expected proportion</w:t>
            </w:r>
          </w:p>
        </w:tc>
        <w:tc>
          <w:tcPr>
            <w:tcW w:w="1301" w:type="dxa"/>
          </w:tcPr>
          <w:p w14:paraId="72C32C6A" w14:textId="77777777" w:rsidR="002922F7" w:rsidRDefault="002922F7" w:rsidP="002922F7">
            <w:pPr>
              <w:pStyle w:val="TabletextCentre"/>
              <w:keepNext/>
            </w:pPr>
            <w:r w:rsidRPr="008B28D3">
              <w:t>6.93%</w:t>
            </w:r>
          </w:p>
        </w:tc>
        <w:tc>
          <w:tcPr>
            <w:tcW w:w="1301" w:type="dxa"/>
          </w:tcPr>
          <w:p w14:paraId="448BE65A" w14:textId="77777777" w:rsidR="002922F7" w:rsidRDefault="002922F7" w:rsidP="002922F7">
            <w:pPr>
              <w:pStyle w:val="TabletextCentre"/>
              <w:keepNext/>
            </w:pPr>
            <w:r w:rsidRPr="008B28D3">
              <w:t>6.57%</w:t>
            </w:r>
          </w:p>
        </w:tc>
        <w:tc>
          <w:tcPr>
            <w:tcW w:w="1309" w:type="dxa"/>
          </w:tcPr>
          <w:p w14:paraId="4610F0AC" w14:textId="77777777" w:rsidR="002922F7" w:rsidRDefault="002922F7" w:rsidP="002922F7">
            <w:pPr>
              <w:pStyle w:val="TabletextCentre"/>
              <w:keepNext/>
            </w:pPr>
            <w:r w:rsidRPr="008B28D3">
              <w:t>6.78%</w:t>
            </w:r>
          </w:p>
        </w:tc>
        <w:tc>
          <w:tcPr>
            <w:tcW w:w="1302" w:type="dxa"/>
          </w:tcPr>
          <w:p w14:paraId="12EDD87E" w14:textId="77777777" w:rsidR="002922F7" w:rsidRDefault="002922F7" w:rsidP="002922F7">
            <w:pPr>
              <w:pStyle w:val="TabletextCentre"/>
              <w:keepNext/>
            </w:pPr>
            <w:r w:rsidRPr="008B28D3">
              <w:t>6.85%</w:t>
            </w:r>
          </w:p>
        </w:tc>
      </w:tr>
      <w:tr w:rsidR="002922F7" w14:paraId="11556507" w14:textId="77777777" w:rsidTr="002922F7">
        <w:tc>
          <w:tcPr>
            <w:tcW w:w="1092" w:type="dxa"/>
            <w:vMerge/>
          </w:tcPr>
          <w:p w14:paraId="46427B20" w14:textId="77777777" w:rsidR="002922F7" w:rsidRDefault="002922F7" w:rsidP="002922F7">
            <w:pPr>
              <w:keepNext/>
            </w:pPr>
          </w:p>
        </w:tc>
        <w:tc>
          <w:tcPr>
            <w:tcW w:w="1355" w:type="dxa"/>
            <w:vMerge/>
            <w:vAlign w:val="center"/>
          </w:tcPr>
          <w:p w14:paraId="7F7A4B52" w14:textId="77777777" w:rsidR="002922F7" w:rsidRDefault="002922F7" w:rsidP="002922F7">
            <w:pPr>
              <w:pStyle w:val="TabletextCentreTotal"/>
              <w:keepNext/>
            </w:pPr>
          </w:p>
        </w:tc>
        <w:tc>
          <w:tcPr>
            <w:tcW w:w="1366" w:type="dxa"/>
          </w:tcPr>
          <w:p w14:paraId="11A87AAF" w14:textId="77777777" w:rsidR="002922F7" w:rsidRDefault="002922F7" w:rsidP="002922F7">
            <w:pPr>
              <w:pStyle w:val="TabletextLeftTotal"/>
              <w:keepNext/>
            </w:pPr>
            <w:r w:rsidRPr="00EE0E71">
              <w:t>p-value</w:t>
            </w:r>
          </w:p>
        </w:tc>
        <w:tc>
          <w:tcPr>
            <w:tcW w:w="1301" w:type="dxa"/>
          </w:tcPr>
          <w:p w14:paraId="077742A6" w14:textId="77777777" w:rsidR="002922F7" w:rsidRDefault="002922F7" w:rsidP="002922F7">
            <w:pPr>
              <w:pStyle w:val="TabletextCentre"/>
              <w:keepNext/>
            </w:pPr>
            <w:r w:rsidRPr="008B28D3">
              <w:t>0.1798</w:t>
            </w:r>
          </w:p>
        </w:tc>
        <w:tc>
          <w:tcPr>
            <w:tcW w:w="1301" w:type="dxa"/>
          </w:tcPr>
          <w:p w14:paraId="0544A131" w14:textId="77777777" w:rsidR="002922F7" w:rsidRDefault="002922F7" w:rsidP="002922F7">
            <w:pPr>
              <w:pStyle w:val="TabletextCentre"/>
              <w:keepNext/>
            </w:pPr>
            <w:r w:rsidRPr="008B28D3">
              <w:t>0.6479</w:t>
            </w:r>
          </w:p>
        </w:tc>
        <w:tc>
          <w:tcPr>
            <w:tcW w:w="1309" w:type="dxa"/>
          </w:tcPr>
          <w:p w14:paraId="34E881D5" w14:textId="77777777" w:rsidR="002922F7" w:rsidRDefault="002922F7" w:rsidP="002922F7">
            <w:pPr>
              <w:pStyle w:val="TabletextCentre"/>
              <w:keepNext/>
            </w:pPr>
            <w:r w:rsidRPr="008B28D3">
              <w:t>0.3485</w:t>
            </w:r>
          </w:p>
        </w:tc>
        <w:tc>
          <w:tcPr>
            <w:tcW w:w="1302" w:type="dxa"/>
          </w:tcPr>
          <w:p w14:paraId="56C9A896" w14:textId="77777777" w:rsidR="002922F7" w:rsidRDefault="002922F7" w:rsidP="002922F7">
            <w:pPr>
              <w:pStyle w:val="TabletextCentre"/>
              <w:keepNext/>
            </w:pPr>
            <w:r w:rsidRPr="008B28D3">
              <w:t>0.0063</w:t>
            </w:r>
          </w:p>
        </w:tc>
      </w:tr>
      <w:tr w:rsidR="002922F7" w14:paraId="4C92FEA2" w14:textId="77777777" w:rsidTr="002922F7">
        <w:tc>
          <w:tcPr>
            <w:tcW w:w="1092" w:type="dxa"/>
            <w:vMerge/>
          </w:tcPr>
          <w:p w14:paraId="14116B8D" w14:textId="77777777" w:rsidR="002922F7" w:rsidRPr="00EE0E71" w:rsidRDefault="002922F7" w:rsidP="002922F7">
            <w:pPr>
              <w:keepNext/>
            </w:pPr>
          </w:p>
        </w:tc>
        <w:tc>
          <w:tcPr>
            <w:tcW w:w="1355" w:type="dxa"/>
            <w:vMerge w:val="restart"/>
            <w:vAlign w:val="center"/>
          </w:tcPr>
          <w:p w14:paraId="7B57C7ED" w14:textId="77777777" w:rsidR="002922F7" w:rsidRDefault="002922F7" w:rsidP="002922F7">
            <w:pPr>
              <w:pStyle w:val="TabletextCentreTotal"/>
              <w:keepNext/>
            </w:pPr>
            <w:r w:rsidRPr="00EE0E71">
              <w:t>3rd quartile</w:t>
            </w:r>
          </w:p>
        </w:tc>
        <w:tc>
          <w:tcPr>
            <w:tcW w:w="1366" w:type="dxa"/>
          </w:tcPr>
          <w:p w14:paraId="719DC8C7" w14:textId="77777777" w:rsidR="002922F7" w:rsidRDefault="002922F7" w:rsidP="002922F7">
            <w:pPr>
              <w:pStyle w:val="TabletextLeftTotal"/>
              <w:keepNext/>
            </w:pPr>
            <w:r w:rsidRPr="00EE0E71">
              <w:t>observed proportion</w:t>
            </w:r>
          </w:p>
        </w:tc>
        <w:tc>
          <w:tcPr>
            <w:tcW w:w="1301" w:type="dxa"/>
          </w:tcPr>
          <w:p w14:paraId="4D2C79E5" w14:textId="77777777" w:rsidR="002922F7" w:rsidRDefault="002922F7" w:rsidP="002922F7">
            <w:pPr>
              <w:pStyle w:val="TabletextCentre"/>
              <w:keepNext/>
            </w:pPr>
            <w:r w:rsidRPr="008B28D3">
              <w:t>6.91%</w:t>
            </w:r>
          </w:p>
        </w:tc>
        <w:tc>
          <w:tcPr>
            <w:tcW w:w="1301" w:type="dxa"/>
          </w:tcPr>
          <w:p w14:paraId="3E4D2CEB" w14:textId="77777777" w:rsidR="002922F7" w:rsidRDefault="002922F7" w:rsidP="002922F7">
            <w:pPr>
              <w:pStyle w:val="TabletextCentre"/>
              <w:keepNext/>
            </w:pPr>
            <w:r w:rsidRPr="008B28D3">
              <w:t>6.91%</w:t>
            </w:r>
          </w:p>
        </w:tc>
        <w:tc>
          <w:tcPr>
            <w:tcW w:w="1309" w:type="dxa"/>
          </w:tcPr>
          <w:p w14:paraId="31C10E56" w14:textId="77777777" w:rsidR="002922F7" w:rsidRDefault="002922F7" w:rsidP="002922F7">
            <w:pPr>
              <w:pStyle w:val="TabletextCentre"/>
              <w:keepNext/>
            </w:pPr>
            <w:r w:rsidRPr="008B28D3">
              <w:t>6.65%</w:t>
            </w:r>
          </w:p>
        </w:tc>
        <w:tc>
          <w:tcPr>
            <w:tcW w:w="1302" w:type="dxa"/>
          </w:tcPr>
          <w:p w14:paraId="564FC059" w14:textId="77777777" w:rsidR="002922F7" w:rsidRDefault="002922F7" w:rsidP="002922F7">
            <w:pPr>
              <w:pStyle w:val="TabletextCentre"/>
              <w:keepNext/>
            </w:pPr>
            <w:r w:rsidRPr="008B28D3">
              <w:t>5.85%</w:t>
            </w:r>
          </w:p>
        </w:tc>
      </w:tr>
      <w:tr w:rsidR="002922F7" w14:paraId="30B498F8" w14:textId="77777777" w:rsidTr="002922F7">
        <w:tc>
          <w:tcPr>
            <w:tcW w:w="1092" w:type="dxa"/>
            <w:vMerge/>
          </w:tcPr>
          <w:p w14:paraId="3E3F60B2" w14:textId="77777777" w:rsidR="002922F7" w:rsidRDefault="002922F7" w:rsidP="002922F7">
            <w:pPr>
              <w:keepNext/>
            </w:pPr>
          </w:p>
        </w:tc>
        <w:tc>
          <w:tcPr>
            <w:tcW w:w="1355" w:type="dxa"/>
            <w:vMerge/>
            <w:vAlign w:val="center"/>
          </w:tcPr>
          <w:p w14:paraId="206D7052" w14:textId="77777777" w:rsidR="002922F7" w:rsidRDefault="002922F7" w:rsidP="002922F7">
            <w:pPr>
              <w:pStyle w:val="TabletextCentreTotal"/>
              <w:keepNext/>
            </w:pPr>
          </w:p>
        </w:tc>
        <w:tc>
          <w:tcPr>
            <w:tcW w:w="1366" w:type="dxa"/>
          </w:tcPr>
          <w:p w14:paraId="217AC398" w14:textId="77777777" w:rsidR="002922F7" w:rsidRDefault="002922F7" w:rsidP="002922F7">
            <w:pPr>
              <w:pStyle w:val="TabletextLeftTotal"/>
              <w:keepNext/>
            </w:pPr>
            <w:r w:rsidRPr="00EE0E71">
              <w:t>expected proportion</w:t>
            </w:r>
          </w:p>
        </w:tc>
        <w:tc>
          <w:tcPr>
            <w:tcW w:w="1301" w:type="dxa"/>
          </w:tcPr>
          <w:p w14:paraId="7DAE74D5" w14:textId="77777777" w:rsidR="002922F7" w:rsidRDefault="002922F7" w:rsidP="002922F7">
            <w:pPr>
              <w:pStyle w:val="TabletextCentre"/>
              <w:keepNext/>
            </w:pPr>
            <w:r w:rsidRPr="008B28D3">
              <w:t>6.72%</w:t>
            </w:r>
          </w:p>
        </w:tc>
        <w:tc>
          <w:tcPr>
            <w:tcW w:w="1301" w:type="dxa"/>
          </w:tcPr>
          <w:p w14:paraId="28C50EAF" w14:textId="77777777" w:rsidR="002922F7" w:rsidRDefault="002922F7" w:rsidP="002922F7">
            <w:pPr>
              <w:pStyle w:val="TabletextCentre"/>
              <w:keepNext/>
            </w:pPr>
            <w:r w:rsidRPr="008B28D3">
              <w:t>6.37%</w:t>
            </w:r>
          </w:p>
        </w:tc>
        <w:tc>
          <w:tcPr>
            <w:tcW w:w="1309" w:type="dxa"/>
          </w:tcPr>
          <w:p w14:paraId="2AD11A6E" w14:textId="77777777" w:rsidR="002922F7" w:rsidRDefault="002922F7" w:rsidP="002922F7">
            <w:pPr>
              <w:pStyle w:val="TabletextCentre"/>
              <w:keepNext/>
            </w:pPr>
            <w:r w:rsidRPr="008B28D3">
              <w:t>6.58%</w:t>
            </w:r>
          </w:p>
        </w:tc>
        <w:tc>
          <w:tcPr>
            <w:tcW w:w="1302" w:type="dxa"/>
          </w:tcPr>
          <w:p w14:paraId="32EFB30C" w14:textId="77777777" w:rsidR="002922F7" w:rsidRDefault="002922F7" w:rsidP="002922F7">
            <w:pPr>
              <w:pStyle w:val="TabletextCentre"/>
              <w:keepNext/>
            </w:pPr>
            <w:r w:rsidRPr="008B28D3">
              <w:t>6.65%</w:t>
            </w:r>
          </w:p>
        </w:tc>
      </w:tr>
      <w:tr w:rsidR="002922F7" w14:paraId="33923BF5" w14:textId="77777777" w:rsidTr="002922F7">
        <w:tc>
          <w:tcPr>
            <w:tcW w:w="1092" w:type="dxa"/>
            <w:vMerge/>
          </w:tcPr>
          <w:p w14:paraId="1B5D321F" w14:textId="77777777" w:rsidR="002922F7" w:rsidRDefault="002922F7" w:rsidP="002922F7">
            <w:pPr>
              <w:keepNext/>
            </w:pPr>
          </w:p>
        </w:tc>
        <w:tc>
          <w:tcPr>
            <w:tcW w:w="1355" w:type="dxa"/>
            <w:vMerge/>
            <w:vAlign w:val="center"/>
          </w:tcPr>
          <w:p w14:paraId="61588270" w14:textId="77777777" w:rsidR="002922F7" w:rsidRDefault="002922F7" w:rsidP="002922F7">
            <w:pPr>
              <w:pStyle w:val="TabletextCentreTotal"/>
              <w:keepNext/>
            </w:pPr>
          </w:p>
        </w:tc>
        <w:tc>
          <w:tcPr>
            <w:tcW w:w="1366" w:type="dxa"/>
          </w:tcPr>
          <w:p w14:paraId="1B90DEDA" w14:textId="77777777" w:rsidR="002922F7" w:rsidRDefault="002922F7" w:rsidP="002922F7">
            <w:pPr>
              <w:pStyle w:val="TabletextLeftTotal"/>
              <w:keepNext/>
            </w:pPr>
            <w:r w:rsidRPr="00EE0E71">
              <w:t>p-value</w:t>
            </w:r>
          </w:p>
        </w:tc>
        <w:tc>
          <w:tcPr>
            <w:tcW w:w="1301" w:type="dxa"/>
          </w:tcPr>
          <w:p w14:paraId="1FC214B5" w14:textId="77777777" w:rsidR="002922F7" w:rsidRDefault="002922F7" w:rsidP="002922F7">
            <w:pPr>
              <w:pStyle w:val="TabletextCentre"/>
              <w:keepNext/>
            </w:pPr>
            <w:r w:rsidRPr="008B28D3">
              <w:t>0.8460</w:t>
            </w:r>
          </w:p>
        </w:tc>
        <w:tc>
          <w:tcPr>
            <w:tcW w:w="1301" w:type="dxa"/>
          </w:tcPr>
          <w:p w14:paraId="73A1307A" w14:textId="77777777" w:rsidR="002922F7" w:rsidRDefault="002922F7" w:rsidP="002922F7">
            <w:pPr>
              <w:pStyle w:val="TabletextCentre"/>
              <w:keepNext/>
            </w:pPr>
            <w:r w:rsidRPr="008B28D3">
              <w:t>0.5771</w:t>
            </w:r>
          </w:p>
        </w:tc>
        <w:tc>
          <w:tcPr>
            <w:tcW w:w="1309" w:type="dxa"/>
          </w:tcPr>
          <w:p w14:paraId="09CDB887" w14:textId="77777777" w:rsidR="002922F7" w:rsidRDefault="002922F7" w:rsidP="002922F7">
            <w:pPr>
              <w:pStyle w:val="TabletextCentre"/>
              <w:keepNext/>
            </w:pPr>
            <w:r w:rsidRPr="008B28D3">
              <w:t>0.9461</w:t>
            </w:r>
          </w:p>
        </w:tc>
        <w:tc>
          <w:tcPr>
            <w:tcW w:w="1302" w:type="dxa"/>
          </w:tcPr>
          <w:p w14:paraId="342CBE6D" w14:textId="77777777" w:rsidR="002922F7" w:rsidRDefault="002922F7" w:rsidP="002922F7">
            <w:pPr>
              <w:pStyle w:val="TabletextCentre"/>
              <w:keepNext/>
            </w:pPr>
            <w:r w:rsidRPr="008B28D3">
              <w:t>0.4168</w:t>
            </w:r>
          </w:p>
        </w:tc>
      </w:tr>
      <w:tr w:rsidR="002922F7" w14:paraId="2C2F98AE" w14:textId="77777777" w:rsidTr="002922F7">
        <w:tc>
          <w:tcPr>
            <w:tcW w:w="1092" w:type="dxa"/>
            <w:vMerge/>
          </w:tcPr>
          <w:p w14:paraId="0C12F01D" w14:textId="77777777" w:rsidR="002922F7" w:rsidRPr="00EE0E71" w:rsidRDefault="002922F7" w:rsidP="002922F7">
            <w:pPr>
              <w:keepNext/>
            </w:pPr>
          </w:p>
        </w:tc>
        <w:tc>
          <w:tcPr>
            <w:tcW w:w="1355" w:type="dxa"/>
            <w:vMerge w:val="restart"/>
            <w:vAlign w:val="center"/>
          </w:tcPr>
          <w:p w14:paraId="4D922E4C" w14:textId="77777777" w:rsidR="002922F7" w:rsidRDefault="002922F7" w:rsidP="002922F7">
            <w:pPr>
              <w:pStyle w:val="TabletextCentreTotal"/>
              <w:keepNext/>
            </w:pPr>
            <w:r w:rsidRPr="00EE0E71">
              <w:t>4th quartile</w:t>
            </w:r>
          </w:p>
        </w:tc>
        <w:tc>
          <w:tcPr>
            <w:tcW w:w="1366" w:type="dxa"/>
          </w:tcPr>
          <w:p w14:paraId="7C07086D" w14:textId="77777777" w:rsidR="002922F7" w:rsidRDefault="002922F7" w:rsidP="002922F7">
            <w:pPr>
              <w:pStyle w:val="TabletextLeftTotal"/>
              <w:keepNext/>
            </w:pPr>
            <w:r w:rsidRPr="00EE0E71">
              <w:t>observed proportion</w:t>
            </w:r>
          </w:p>
        </w:tc>
        <w:tc>
          <w:tcPr>
            <w:tcW w:w="1301" w:type="dxa"/>
          </w:tcPr>
          <w:p w14:paraId="34DB303D" w14:textId="77777777" w:rsidR="002922F7" w:rsidRDefault="002922F7" w:rsidP="002922F7">
            <w:pPr>
              <w:pStyle w:val="TabletextCentre"/>
              <w:keepNext/>
            </w:pPr>
            <w:r w:rsidRPr="008B28D3">
              <w:t>10.37%</w:t>
            </w:r>
          </w:p>
        </w:tc>
        <w:tc>
          <w:tcPr>
            <w:tcW w:w="1301" w:type="dxa"/>
          </w:tcPr>
          <w:p w14:paraId="57D66AB4" w14:textId="77777777" w:rsidR="002922F7" w:rsidRDefault="002922F7" w:rsidP="002922F7">
            <w:pPr>
              <w:pStyle w:val="TabletextCentre"/>
              <w:keepNext/>
            </w:pPr>
            <w:r w:rsidRPr="008B28D3">
              <w:t>8.78%</w:t>
            </w:r>
          </w:p>
        </w:tc>
        <w:tc>
          <w:tcPr>
            <w:tcW w:w="1309" w:type="dxa"/>
          </w:tcPr>
          <w:p w14:paraId="57C84D5C" w14:textId="77777777" w:rsidR="002922F7" w:rsidRDefault="002922F7" w:rsidP="002922F7">
            <w:pPr>
              <w:pStyle w:val="TabletextCentre"/>
              <w:keepNext/>
            </w:pPr>
            <w:r w:rsidRPr="008B28D3">
              <w:t>8.24%</w:t>
            </w:r>
          </w:p>
        </w:tc>
        <w:tc>
          <w:tcPr>
            <w:tcW w:w="1302" w:type="dxa"/>
          </w:tcPr>
          <w:p w14:paraId="3A4CB7AF" w14:textId="77777777" w:rsidR="002922F7" w:rsidRDefault="002922F7" w:rsidP="002922F7">
            <w:pPr>
              <w:pStyle w:val="TabletextCentre"/>
              <w:keepNext/>
            </w:pPr>
            <w:r w:rsidRPr="008B28D3">
              <w:t>5.32%</w:t>
            </w:r>
          </w:p>
        </w:tc>
      </w:tr>
      <w:tr w:rsidR="002922F7" w14:paraId="449AE6F6" w14:textId="77777777" w:rsidTr="002922F7">
        <w:tc>
          <w:tcPr>
            <w:tcW w:w="1092" w:type="dxa"/>
            <w:vMerge/>
          </w:tcPr>
          <w:p w14:paraId="39011876" w14:textId="77777777" w:rsidR="002922F7" w:rsidRDefault="002922F7" w:rsidP="002922F7">
            <w:pPr>
              <w:keepNext/>
            </w:pPr>
          </w:p>
        </w:tc>
        <w:tc>
          <w:tcPr>
            <w:tcW w:w="1355" w:type="dxa"/>
            <w:vMerge/>
          </w:tcPr>
          <w:p w14:paraId="7A144B1E" w14:textId="77777777" w:rsidR="002922F7" w:rsidRDefault="002922F7" w:rsidP="002922F7">
            <w:pPr>
              <w:pStyle w:val="TabletextCentreTotal"/>
              <w:keepNext/>
            </w:pPr>
          </w:p>
        </w:tc>
        <w:tc>
          <w:tcPr>
            <w:tcW w:w="1366" w:type="dxa"/>
          </w:tcPr>
          <w:p w14:paraId="7792BF72" w14:textId="77777777" w:rsidR="002922F7" w:rsidRDefault="002922F7" w:rsidP="002922F7">
            <w:pPr>
              <w:pStyle w:val="TabletextLeftTotal"/>
              <w:keepNext/>
            </w:pPr>
            <w:r w:rsidRPr="00EE0E71">
              <w:t>expected proportion</w:t>
            </w:r>
          </w:p>
        </w:tc>
        <w:tc>
          <w:tcPr>
            <w:tcW w:w="1301" w:type="dxa"/>
          </w:tcPr>
          <w:p w14:paraId="53C77ADD" w14:textId="77777777" w:rsidR="002922F7" w:rsidRDefault="002922F7" w:rsidP="002922F7">
            <w:pPr>
              <w:pStyle w:val="TabletextCentre"/>
              <w:keepNext/>
            </w:pPr>
            <w:r w:rsidRPr="008B28D3">
              <w:t>8.35%</w:t>
            </w:r>
          </w:p>
        </w:tc>
        <w:tc>
          <w:tcPr>
            <w:tcW w:w="1301" w:type="dxa"/>
          </w:tcPr>
          <w:p w14:paraId="26C15344" w14:textId="77777777" w:rsidR="002922F7" w:rsidRDefault="002922F7" w:rsidP="002922F7">
            <w:pPr>
              <w:pStyle w:val="TabletextCentre"/>
              <w:keepNext/>
            </w:pPr>
            <w:r w:rsidRPr="008B28D3">
              <w:t>7.92%</w:t>
            </w:r>
          </w:p>
        </w:tc>
        <w:tc>
          <w:tcPr>
            <w:tcW w:w="1309" w:type="dxa"/>
          </w:tcPr>
          <w:p w14:paraId="61A42F84" w14:textId="77777777" w:rsidR="002922F7" w:rsidRDefault="002922F7" w:rsidP="002922F7">
            <w:pPr>
              <w:pStyle w:val="TabletextCentre"/>
              <w:keepNext/>
            </w:pPr>
            <w:r w:rsidRPr="008B28D3">
              <w:t>8.18%</w:t>
            </w:r>
          </w:p>
        </w:tc>
        <w:tc>
          <w:tcPr>
            <w:tcW w:w="1302" w:type="dxa"/>
          </w:tcPr>
          <w:p w14:paraId="72BFD6A8" w14:textId="77777777" w:rsidR="002922F7" w:rsidRDefault="002922F7" w:rsidP="002922F7">
            <w:pPr>
              <w:pStyle w:val="TabletextCentre"/>
              <w:keepNext/>
            </w:pPr>
            <w:r w:rsidRPr="008B28D3">
              <w:t>8.27%</w:t>
            </w:r>
          </w:p>
        </w:tc>
      </w:tr>
      <w:tr w:rsidR="002922F7" w14:paraId="7F3F849A" w14:textId="77777777" w:rsidTr="002922F7">
        <w:tc>
          <w:tcPr>
            <w:tcW w:w="1092" w:type="dxa"/>
            <w:vMerge/>
          </w:tcPr>
          <w:p w14:paraId="059B55FE" w14:textId="77777777" w:rsidR="002922F7" w:rsidRDefault="002922F7" w:rsidP="002922F7">
            <w:pPr>
              <w:keepNext/>
            </w:pPr>
          </w:p>
        </w:tc>
        <w:tc>
          <w:tcPr>
            <w:tcW w:w="1355" w:type="dxa"/>
            <w:vMerge/>
          </w:tcPr>
          <w:p w14:paraId="333EB6F5" w14:textId="77777777" w:rsidR="002922F7" w:rsidRDefault="002922F7" w:rsidP="002922F7">
            <w:pPr>
              <w:pStyle w:val="TabletextCentreTotal"/>
              <w:keepNext/>
            </w:pPr>
          </w:p>
        </w:tc>
        <w:tc>
          <w:tcPr>
            <w:tcW w:w="1366" w:type="dxa"/>
          </w:tcPr>
          <w:p w14:paraId="07FDAC00" w14:textId="77777777" w:rsidR="002922F7" w:rsidRDefault="002922F7" w:rsidP="002922F7">
            <w:pPr>
              <w:pStyle w:val="TabletextLeftTotal"/>
              <w:keepNext/>
            </w:pPr>
            <w:r w:rsidRPr="00EE0E71">
              <w:t>p-value</w:t>
            </w:r>
          </w:p>
        </w:tc>
        <w:tc>
          <w:tcPr>
            <w:tcW w:w="1301" w:type="dxa"/>
          </w:tcPr>
          <w:p w14:paraId="29BC2B0F" w14:textId="77777777" w:rsidR="002922F7" w:rsidRDefault="002922F7" w:rsidP="002922F7">
            <w:pPr>
              <w:pStyle w:val="TabletextCentre"/>
              <w:keepNext/>
            </w:pPr>
            <w:r w:rsidRPr="008B28D3">
              <w:t>0.0555</w:t>
            </w:r>
          </w:p>
        </w:tc>
        <w:tc>
          <w:tcPr>
            <w:tcW w:w="1301" w:type="dxa"/>
          </w:tcPr>
          <w:p w14:paraId="32CC94A0" w14:textId="77777777" w:rsidR="002922F7" w:rsidRDefault="002922F7" w:rsidP="002922F7">
            <w:pPr>
              <w:pStyle w:val="TabletextCentre"/>
              <w:keepNext/>
            </w:pPr>
            <w:r w:rsidRPr="008B28D3">
              <w:t>0.4069</w:t>
            </w:r>
          </w:p>
        </w:tc>
        <w:tc>
          <w:tcPr>
            <w:tcW w:w="1309" w:type="dxa"/>
          </w:tcPr>
          <w:p w14:paraId="6D6E7E1C" w14:textId="77777777" w:rsidR="002922F7" w:rsidRDefault="002922F7" w:rsidP="002922F7">
            <w:pPr>
              <w:pStyle w:val="TabletextCentre"/>
              <w:keepNext/>
            </w:pPr>
            <w:r w:rsidRPr="008B28D3">
              <w:t>0.9494</w:t>
            </w:r>
          </w:p>
        </w:tc>
        <w:tc>
          <w:tcPr>
            <w:tcW w:w="1302" w:type="dxa"/>
          </w:tcPr>
          <w:p w14:paraId="42E8FD05" w14:textId="77777777" w:rsidR="002922F7" w:rsidRDefault="002922F7" w:rsidP="002922F7">
            <w:pPr>
              <w:pStyle w:val="TabletextCentre"/>
              <w:keepNext/>
            </w:pPr>
            <w:r w:rsidRPr="008B28D3">
              <w:t>0.0051</w:t>
            </w:r>
          </w:p>
        </w:tc>
      </w:tr>
    </w:tbl>
    <w:p w14:paraId="42CEF557" w14:textId="77777777" w:rsidR="002922F7" w:rsidRDefault="002922F7" w:rsidP="002922F7">
      <w:pPr>
        <w:rPr>
          <w:lang w:eastAsia="en-AU"/>
        </w:rPr>
      </w:pPr>
    </w:p>
    <w:p w14:paraId="18A6EBF1" w14:textId="7DA3EFB4" w:rsidR="002922F7" w:rsidRDefault="002922F7" w:rsidP="00400621">
      <w:pPr>
        <w:pStyle w:val="AppendixTableCaption"/>
        <w:numPr>
          <w:ilvl w:val="6"/>
          <w:numId w:val="11"/>
        </w:numPr>
      </w:pPr>
      <w:bookmarkStart w:id="308" w:name="_Toc40454715"/>
      <w:r>
        <w:lastRenderedPageBreak/>
        <w:t xml:space="preserve">Staff remuneration and </w:t>
      </w:r>
      <w:r w:rsidR="00A6707A">
        <w:t xml:space="preserve">implied </w:t>
      </w:r>
      <w:r>
        <w:t>margins, cross</w:t>
      </w:r>
      <w:r>
        <w:noBreakHyphen/>
        <w:t>tabulated distribution</w:t>
      </w:r>
      <w:bookmarkEnd w:id="308"/>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3F0F4D30"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56B62E27" w14:textId="77777777" w:rsidR="002922F7" w:rsidRDefault="002922F7" w:rsidP="002922F7">
            <w:pPr>
              <w:keepNext/>
            </w:pPr>
          </w:p>
        </w:tc>
        <w:tc>
          <w:tcPr>
            <w:tcW w:w="1355" w:type="dxa"/>
          </w:tcPr>
          <w:p w14:paraId="26157173" w14:textId="77777777" w:rsidR="002922F7" w:rsidRDefault="002922F7" w:rsidP="002922F7">
            <w:pPr>
              <w:keepNext/>
            </w:pPr>
          </w:p>
        </w:tc>
        <w:tc>
          <w:tcPr>
            <w:tcW w:w="1366" w:type="dxa"/>
          </w:tcPr>
          <w:p w14:paraId="1FAE161B" w14:textId="77777777" w:rsidR="002922F7" w:rsidRDefault="002922F7" w:rsidP="002922F7">
            <w:pPr>
              <w:keepNext/>
            </w:pPr>
          </w:p>
        </w:tc>
        <w:tc>
          <w:tcPr>
            <w:tcW w:w="5213" w:type="dxa"/>
            <w:gridSpan w:val="4"/>
          </w:tcPr>
          <w:p w14:paraId="7492CEAA" w14:textId="62B233CD" w:rsidR="002922F7" w:rsidRDefault="00A6707A" w:rsidP="002922F7">
            <w:pPr>
              <w:pStyle w:val="TableHeadingCentre"/>
              <w:keepNext/>
            </w:pPr>
            <w:r>
              <w:t>Implied m</w:t>
            </w:r>
            <w:r w:rsidR="002922F7">
              <w:t>argins</w:t>
            </w:r>
          </w:p>
        </w:tc>
      </w:tr>
      <w:tr w:rsidR="002922F7" w14:paraId="295BC177" w14:textId="77777777" w:rsidTr="002922F7">
        <w:tc>
          <w:tcPr>
            <w:tcW w:w="1092" w:type="dxa"/>
          </w:tcPr>
          <w:p w14:paraId="491106F9" w14:textId="77777777" w:rsidR="002922F7" w:rsidRDefault="002922F7" w:rsidP="002922F7">
            <w:pPr>
              <w:keepNext/>
            </w:pPr>
          </w:p>
        </w:tc>
        <w:tc>
          <w:tcPr>
            <w:tcW w:w="1355" w:type="dxa"/>
          </w:tcPr>
          <w:p w14:paraId="2D4564CF" w14:textId="77777777" w:rsidR="002922F7" w:rsidRDefault="002922F7" w:rsidP="002922F7">
            <w:pPr>
              <w:keepNext/>
            </w:pPr>
          </w:p>
        </w:tc>
        <w:tc>
          <w:tcPr>
            <w:tcW w:w="1366" w:type="dxa"/>
          </w:tcPr>
          <w:p w14:paraId="5A3937AF" w14:textId="77777777" w:rsidR="002922F7" w:rsidRDefault="002922F7" w:rsidP="002922F7">
            <w:pPr>
              <w:keepNext/>
            </w:pPr>
          </w:p>
        </w:tc>
        <w:tc>
          <w:tcPr>
            <w:tcW w:w="1301" w:type="dxa"/>
          </w:tcPr>
          <w:p w14:paraId="601A1049" w14:textId="77777777" w:rsidR="002922F7" w:rsidRDefault="002922F7" w:rsidP="002922F7">
            <w:pPr>
              <w:pStyle w:val="TabletextCentreTotal"/>
              <w:keepNext/>
              <w:jc w:val="left"/>
            </w:pPr>
            <w:r w:rsidRPr="00EE0E71">
              <w:t>1st quartile</w:t>
            </w:r>
          </w:p>
        </w:tc>
        <w:tc>
          <w:tcPr>
            <w:tcW w:w="1301" w:type="dxa"/>
          </w:tcPr>
          <w:p w14:paraId="62EFA6F2" w14:textId="77777777" w:rsidR="002922F7" w:rsidRDefault="002922F7" w:rsidP="002922F7">
            <w:pPr>
              <w:pStyle w:val="TabletextCentreTotal"/>
              <w:keepNext/>
            </w:pPr>
            <w:r w:rsidRPr="00EE0E71">
              <w:t>2nd quartile</w:t>
            </w:r>
          </w:p>
        </w:tc>
        <w:tc>
          <w:tcPr>
            <w:tcW w:w="1309" w:type="dxa"/>
          </w:tcPr>
          <w:p w14:paraId="1EE4775F" w14:textId="77777777" w:rsidR="002922F7" w:rsidRDefault="002922F7" w:rsidP="002922F7">
            <w:pPr>
              <w:pStyle w:val="TabletextCentreTotal"/>
              <w:keepNext/>
            </w:pPr>
            <w:r w:rsidRPr="00EE0E71">
              <w:t>3rd quartile</w:t>
            </w:r>
          </w:p>
        </w:tc>
        <w:tc>
          <w:tcPr>
            <w:tcW w:w="1302" w:type="dxa"/>
          </w:tcPr>
          <w:p w14:paraId="3DC428BD" w14:textId="77777777" w:rsidR="002922F7" w:rsidRDefault="002922F7" w:rsidP="002922F7">
            <w:pPr>
              <w:pStyle w:val="TabletextCentreTotal"/>
              <w:keepNext/>
              <w:jc w:val="right"/>
            </w:pPr>
            <w:r w:rsidRPr="00EE0E71">
              <w:t>4th quartile</w:t>
            </w:r>
          </w:p>
        </w:tc>
      </w:tr>
      <w:tr w:rsidR="002922F7" w14:paraId="084A93F4" w14:textId="77777777" w:rsidTr="002922F7">
        <w:tc>
          <w:tcPr>
            <w:tcW w:w="1092" w:type="dxa"/>
            <w:vMerge w:val="restart"/>
            <w:textDirection w:val="btLr"/>
          </w:tcPr>
          <w:p w14:paraId="4019ADCC" w14:textId="77777777" w:rsidR="002922F7" w:rsidRPr="00EE0E71" w:rsidRDefault="002922F7" w:rsidP="002922F7">
            <w:pPr>
              <w:pStyle w:val="TableHeadingCentre"/>
              <w:keepNext/>
            </w:pPr>
            <w:r>
              <w:t>Staff remuneration</w:t>
            </w:r>
          </w:p>
        </w:tc>
        <w:tc>
          <w:tcPr>
            <w:tcW w:w="1355" w:type="dxa"/>
            <w:vMerge w:val="restart"/>
            <w:vAlign w:val="center"/>
          </w:tcPr>
          <w:p w14:paraId="342D5476" w14:textId="77777777" w:rsidR="002922F7" w:rsidRDefault="002922F7" w:rsidP="002922F7">
            <w:pPr>
              <w:pStyle w:val="TabletextCentreTotal"/>
              <w:keepNext/>
            </w:pPr>
            <w:r w:rsidRPr="00EE0E71">
              <w:t>1st quartile</w:t>
            </w:r>
          </w:p>
        </w:tc>
        <w:tc>
          <w:tcPr>
            <w:tcW w:w="1366" w:type="dxa"/>
          </w:tcPr>
          <w:p w14:paraId="4A0DF52E" w14:textId="77777777" w:rsidR="002922F7" w:rsidRDefault="002922F7" w:rsidP="002922F7">
            <w:pPr>
              <w:pStyle w:val="TabletextLeftTotal"/>
              <w:keepNext/>
            </w:pPr>
            <w:r w:rsidRPr="00EE0E71">
              <w:t>observed proportion</w:t>
            </w:r>
          </w:p>
        </w:tc>
        <w:tc>
          <w:tcPr>
            <w:tcW w:w="1301" w:type="dxa"/>
          </w:tcPr>
          <w:p w14:paraId="1483B609" w14:textId="77777777" w:rsidR="002922F7" w:rsidRDefault="002922F7" w:rsidP="002922F7">
            <w:pPr>
              <w:pStyle w:val="TabletextCentre"/>
              <w:keepNext/>
            </w:pPr>
            <w:r w:rsidRPr="00C4713E">
              <w:t>6.37%</w:t>
            </w:r>
          </w:p>
        </w:tc>
        <w:tc>
          <w:tcPr>
            <w:tcW w:w="1301" w:type="dxa"/>
          </w:tcPr>
          <w:p w14:paraId="1BEB4652" w14:textId="77777777" w:rsidR="002922F7" w:rsidRDefault="002922F7" w:rsidP="002922F7">
            <w:pPr>
              <w:pStyle w:val="TabletextCentre"/>
              <w:keepNext/>
            </w:pPr>
            <w:r w:rsidRPr="00C4713E">
              <w:t>7.43%</w:t>
            </w:r>
          </w:p>
        </w:tc>
        <w:tc>
          <w:tcPr>
            <w:tcW w:w="1309" w:type="dxa"/>
          </w:tcPr>
          <w:p w14:paraId="2BF58378" w14:textId="77777777" w:rsidR="002922F7" w:rsidRDefault="002922F7" w:rsidP="002922F7">
            <w:pPr>
              <w:pStyle w:val="TabletextCentre"/>
              <w:keepNext/>
            </w:pPr>
            <w:r w:rsidRPr="00C4713E">
              <w:t>6.10%</w:t>
            </w:r>
          </w:p>
        </w:tc>
        <w:tc>
          <w:tcPr>
            <w:tcW w:w="1302" w:type="dxa"/>
          </w:tcPr>
          <w:p w14:paraId="04C1579B" w14:textId="77777777" w:rsidR="002922F7" w:rsidRDefault="002922F7" w:rsidP="002922F7">
            <w:pPr>
              <w:pStyle w:val="TabletextCentre"/>
              <w:keepNext/>
            </w:pPr>
            <w:r w:rsidRPr="00C4713E">
              <w:t>5.04%</w:t>
            </w:r>
          </w:p>
        </w:tc>
      </w:tr>
      <w:tr w:rsidR="002922F7" w14:paraId="1B4CE274" w14:textId="77777777" w:rsidTr="002922F7">
        <w:tc>
          <w:tcPr>
            <w:tcW w:w="1092" w:type="dxa"/>
            <w:vMerge/>
          </w:tcPr>
          <w:p w14:paraId="301AA56C" w14:textId="77777777" w:rsidR="002922F7" w:rsidRDefault="002922F7" w:rsidP="002922F7">
            <w:pPr>
              <w:keepNext/>
            </w:pPr>
          </w:p>
        </w:tc>
        <w:tc>
          <w:tcPr>
            <w:tcW w:w="1355" w:type="dxa"/>
            <w:vMerge/>
            <w:vAlign w:val="center"/>
          </w:tcPr>
          <w:p w14:paraId="0948F967" w14:textId="77777777" w:rsidR="002922F7" w:rsidRDefault="002922F7" w:rsidP="002922F7">
            <w:pPr>
              <w:pStyle w:val="TabletextCentreTotal"/>
              <w:keepNext/>
            </w:pPr>
          </w:p>
        </w:tc>
        <w:tc>
          <w:tcPr>
            <w:tcW w:w="1366" w:type="dxa"/>
          </w:tcPr>
          <w:p w14:paraId="4F949DBD" w14:textId="77777777" w:rsidR="002922F7" w:rsidRDefault="002922F7" w:rsidP="002922F7">
            <w:pPr>
              <w:pStyle w:val="TabletextLeftTotal"/>
              <w:keepNext/>
            </w:pPr>
            <w:r w:rsidRPr="00EE0E71">
              <w:t>expected proportion</w:t>
            </w:r>
          </w:p>
        </w:tc>
        <w:tc>
          <w:tcPr>
            <w:tcW w:w="1301" w:type="dxa"/>
          </w:tcPr>
          <w:p w14:paraId="137433C7" w14:textId="77777777" w:rsidR="002922F7" w:rsidRDefault="002922F7" w:rsidP="002922F7">
            <w:pPr>
              <w:pStyle w:val="TabletextCentre"/>
              <w:keepNext/>
            </w:pPr>
            <w:r w:rsidRPr="00C4713E">
              <w:t>6.35%</w:t>
            </w:r>
          </w:p>
        </w:tc>
        <w:tc>
          <w:tcPr>
            <w:tcW w:w="1301" w:type="dxa"/>
          </w:tcPr>
          <w:p w14:paraId="6BF32425" w14:textId="77777777" w:rsidR="002922F7" w:rsidRDefault="002922F7" w:rsidP="002922F7">
            <w:pPr>
              <w:pStyle w:val="TabletextCentre"/>
              <w:keepNext/>
            </w:pPr>
            <w:r w:rsidRPr="00C4713E">
              <w:t>6.02%</w:t>
            </w:r>
          </w:p>
        </w:tc>
        <w:tc>
          <w:tcPr>
            <w:tcW w:w="1309" w:type="dxa"/>
          </w:tcPr>
          <w:p w14:paraId="69BE8AE3" w14:textId="77777777" w:rsidR="002922F7" w:rsidRDefault="002922F7" w:rsidP="002922F7">
            <w:pPr>
              <w:pStyle w:val="TabletextCentre"/>
              <w:keepNext/>
            </w:pPr>
            <w:r w:rsidRPr="00C4713E">
              <w:t>6.22%</w:t>
            </w:r>
          </w:p>
        </w:tc>
        <w:tc>
          <w:tcPr>
            <w:tcW w:w="1302" w:type="dxa"/>
          </w:tcPr>
          <w:p w14:paraId="4DE31296" w14:textId="77777777" w:rsidR="002922F7" w:rsidRDefault="002922F7" w:rsidP="002922F7">
            <w:pPr>
              <w:pStyle w:val="TabletextCentre"/>
              <w:keepNext/>
            </w:pPr>
            <w:r w:rsidRPr="00C4713E">
              <w:t>6.35%</w:t>
            </w:r>
          </w:p>
        </w:tc>
      </w:tr>
      <w:tr w:rsidR="002922F7" w14:paraId="477CAED6" w14:textId="77777777" w:rsidTr="002922F7">
        <w:tc>
          <w:tcPr>
            <w:tcW w:w="1092" w:type="dxa"/>
            <w:vMerge/>
          </w:tcPr>
          <w:p w14:paraId="6F984D6F" w14:textId="77777777" w:rsidR="002922F7" w:rsidRDefault="002922F7" w:rsidP="002922F7">
            <w:pPr>
              <w:keepNext/>
            </w:pPr>
          </w:p>
        </w:tc>
        <w:tc>
          <w:tcPr>
            <w:tcW w:w="1355" w:type="dxa"/>
            <w:vMerge/>
            <w:vAlign w:val="center"/>
          </w:tcPr>
          <w:p w14:paraId="40DF9E99" w14:textId="77777777" w:rsidR="002922F7" w:rsidRDefault="002922F7" w:rsidP="002922F7">
            <w:pPr>
              <w:pStyle w:val="TabletextCentreTotal"/>
              <w:keepNext/>
            </w:pPr>
          </w:p>
        </w:tc>
        <w:tc>
          <w:tcPr>
            <w:tcW w:w="1366" w:type="dxa"/>
          </w:tcPr>
          <w:p w14:paraId="5DD43669" w14:textId="77777777" w:rsidR="002922F7" w:rsidRDefault="002922F7" w:rsidP="002922F7">
            <w:pPr>
              <w:pStyle w:val="TabletextLeftTotal"/>
              <w:keepNext/>
            </w:pPr>
            <w:r w:rsidRPr="00EE0E71">
              <w:t>p-value</w:t>
            </w:r>
          </w:p>
        </w:tc>
        <w:tc>
          <w:tcPr>
            <w:tcW w:w="1301" w:type="dxa"/>
          </w:tcPr>
          <w:p w14:paraId="31384A63" w14:textId="77777777" w:rsidR="002922F7" w:rsidRDefault="002922F7" w:rsidP="002922F7">
            <w:pPr>
              <w:pStyle w:val="TabletextCentre"/>
              <w:keepNext/>
            </w:pPr>
            <w:r w:rsidRPr="00C4713E">
              <w:t>0.9861</w:t>
            </w:r>
          </w:p>
        </w:tc>
        <w:tc>
          <w:tcPr>
            <w:tcW w:w="1301" w:type="dxa"/>
          </w:tcPr>
          <w:p w14:paraId="578A958D" w14:textId="77777777" w:rsidR="002922F7" w:rsidRDefault="002922F7" w:rsidP="002922F7">
            <w:pPr>
              <w:pStyle w:val="TabletextCentre"/>
              <w:keepNext/>
            </w:pPr>
            <w:r w:rsidRPr="00C4713E">
              <w:t>0.1396</w:t>
            </w:r>
          </w:p>
        </w:tc>
        <w:tc>
          <w:tcPr>
            <w:tcW w:w="1309" w:type="dxa"/>
          </w:tcPr>
          <w:p w14:paraId="7A98170A" w14:textId="77777777" w:rsidR="002922F7" w:rsidRDefault="002922F7" w:rsidP="002922F7">
            <w:pPr>
              <w:pStyle w:val="TabletextCentre"/>
              <w:keepNext/>
            </w:pPr>
            <w:r w:rsidRPr="00C4713E">
              <w:t>0.9041</w:t>
            </w:r>
          </w:p>
        </w:tc>
        <w:tc>
          <w:tcPr>
            <w:tcW w:w="1302" w:type="dxa"/>
          </w:tcPr>
          <w:p w14:paraId="37B8CC26" w14:textId="77777777" w:rsidR="002922F7" w:rsidRDefault="002922F7" w:rsidP="002922F7">
            <w:pPr>
              <w:pStyle w:val="TabletextCentre"/>
              <w:keepNext/>
            </w:pPr>
            <w:r w:rsidRPr="00C4713E">
              <w:t>0.1774</w:t>
            </w:r>
          </w:p>
        </w:tc>
      </w:tr>
      <w:tr w:rsidR="002922F7" w14:paraId="771697C8" w14:textId="77777777" w:rsidTr="002922F7">
        <w:tc>
          <w:tcPr>
            <w:tcW w:w="1092" w:type="dxa"/>
            <w:vMerge/>
          </w:tcPr>
          <w:p w14:paraId="154C2A33" w14:textId="77777777" w:rsidR="002922F7" w:rsidRPr="00EE0E71" w:rsidRDefault="002922F7" w:rsidP="002922F7">
            <w:pPr>
              <w:keepNext/>
            </w:pPr>
          </w:p>
        </w:tc>
        <w:tc>
          <w:tcPr>
            <w:tcW w:w="1355" w:type="dxa"/>
            <w:vMerge w:val="restart"/>
            <w:vAlign w:val="center"/>
          </w:tcPr>
          <w:p w14:paraId="25FBB3EE" w14:textId="77777777" w:rsidR="002922F7" w:rsidRDefault="002922F7" w:rsidP="002922F7">
            <w:pPr>
              <w:pStyle w:val="TabletextCentreTotal"/>
              <w:keepNext/>
            </w:pPr>
            <w:r w:rsidRPr="00EE0E71">
              <w:t>2nd quartile</w:t>
            </w:r>
          </w:p>
        </w:tc>
        <w:tc>
          <w:tcPr>
            <w:tcW w:w="1366" w:type="dxa"/>
          </w:tcPr>
          <w:p w14:paraId="44327D4A" w14:textId="77777777" w:rsidR="002922F7" w:rsidRDefault="002922F7" w:rsidP="002922F7">
            <w:pPr>
              <w:pStyle w:val="TabletextLeftTotal"/>
              <w:keepNext/>
            </w:pPr>
            <w:r w:rsidRPr="00EE0E71">
              <w:t>observed proportion</w:t>
            </w:r>
          </w:p>
        </w:tc>
        <w:tc>
          <w:tcPr>
            <w:tcW w:w="1301" w:type="dxa"/>
          </w:tcPr>
          <w:p w14:paraId="5FFD52D4" w14:textId="77777777" w:rsidR="002922F7" w:rsidRDefault="002922F7" w:rsidP="002922F7">
            <w:pPr>
              <w:pStyle w:val="TabletextCentre"/>
              <w:keepNext/>
            </w:pPr>
            <w:r w:rsidRPr="00C4713E">
              <w:t>6.37%</w:t>
            </w:r>
          </w:p>
        </w:tc>
        <w:tc>
          <w:tcPr>
            <w:tcW w:w="1301" w:type="dxa"/>
          </w:tcPr>
          <w:p w14:paraId="145F6BC8" w14:textId="77777777" w:rsidR="002922F7" w:rsidRDefault="002922F7" w:rsidP="002922F7">
            <w:pPr>
              <w:pStyle w:val="TabletextCentre"/>
              <w:keepNext/>
            </w:pPr>
            <w:r w:rsidRPr="00C4713E">
              <w:t>8.22%</w:t>
            </w:r>
          </w:p>
        </w:tc>
        <w:tc>
          <w:tcPr>
            <w:tcW w:w="1309" w:type="dxa"/>
          </w:tcPr>
          <w:p w14:paraId="2BB68630" w14:textId="77777777" w:rsidR="002922F7" w:rsidRDefault="002922F7" w:rsidP="002922F7">
            <w:pPr>
              <w:pStyle w:val="TabletextCentre"/>
              <w:keepNext/>
            </w:pPr>
            <w:r w:rsidRPr="00C4713E">
              <w:t>7.96%</w:t>
            </w:r>
          </w:p>
        </w:tc>
        <w:tc>
          <w:tcPr>
            <w:tcW w:w="1302" w:type="dxa"/>
          </w:tcPr>
          <w:p w14:paraId="1446B190" w14:textId="77777777" w:rsidR="002922F7" w:rsidRDefault="002922F7" w:rsidP="002922F7">
            <w:pPr>
              <w:pStyle w:val="TabletextCentre"/>
              <w:keepNext/>
            </w:pPr>
            <w:r w:rsidRPr="00C4713E">
              <w:t>4.77%</w:t>
            </w:r>
          </w:p>
        </w:tc>
      </w:tr>
      <w:tr w:rsidR="002922F7" w14:paraId="58FC7FE3" w14:textId="77777777" w:rsidTr="002922F7">
        <w:tc>
          <w:tcPr>
            <w:tcW w:w="1092" w:type="dxa"/>
            <w:vMerge/>
          </w:tcPr>
          <w:p w14:paraId="38C9D5E2" w14:textId="77777777" w:rsidR="002922F7" w:rsidRDefault="002922F7" w:rsidP="002922F7">
            <w:pPr>
              <w:keepNext/>
            </w:pPr>
          </w:p>
        </w:tc>
        <w:tc>
          <w:tcPr>
            <w:tcW w:w="1355" w:type="dxa"/>
            <w:vMerge/>
            <w:vAlign w:val="center"/>
          </w:tcPr>
          <w:p w14:paraId="321F0D41" w14:textId="77777777" w:rsidR="002922F7" w:rsidRDefault="002922F7" w:rsidP="002922F7">
            <w:pPr>
              <w:pStyle w:val="TabletextCentreTotal"/>
              <w:keepNext/>
            </w:pPr>
          </w:p>
        </w:tc>
        <w:tc>
          <w:tcPr>
            <w:tcW w:w="1366" w:type="dxa"/>
          </w:tcPr>
          <w:p w14:paraId="6C4C3B65" w14:textId="77777777" w:rsidR="002922F7" w:rsidRDefault="002922F7" w:rsidP="002922F7">
            <w:pPr>
              <w:pStyle w:val="TabletextLeftTotal"/>
              <w:keepNext/>
            </w:pPr>
            <w:r w:rsidRPr="00EE0E71">
              <w:t>expected proportion</w:t>
            </w:r>
          </w:p>
        </w:tc>
        <w:tc>
          <w:tcPr>
            <w:tcW w:w="1301" w:type="dxa"/>
          </w:tcPr>
          <w:p w14:paraId="438F8827" w14:textId="77777777" w:rsidR="002922F7" w:rsidRDefault="002922F7" w:rsidP="002922F7">
            <w:pPr>
              <w:pStyle w:val="TabletextCentre"/>
              <w:keepNext/>
            </w:pPr>
            <w:r w:rsidRPr="00C4713E">
              <w:t>6.96%</w:t>
            </w:r>
          </w:p>
        </w:tc>
        <w:tc>
          <w:tcPr>
            <w:tcW w:w="1301" w:type="dxa"/>
          </w:tcPr>
          <w:p w14:paraId="746720BF" w14:textId="77777777" w:rsidR="002922F7" w:rsidRDefault="002922F7" w:rsidP="002922F7">
            <w:pPr>
              <w:pStyle w:val="TabletextCentre"/>
              <w:keepNext/>
            </w:pPr>
            <w:r w:rsidRPr="00C4713E">
              <w:t>6.59%</w:t>
            </w:r>
          </w:p>
        </w:tc>
        <w:tc>
          <w:tcPr>
            <w:tcW w:w="1309" w:type="dxa"/>
          </w:tcPr>
          <w:p w14:paraId="336044C3" w14:textId="77777777" w:rsidR="002922F7" w:rsidRDefault="002922F7" w:rsidP="002922F7">
            <w:pPr>
              <w:pStyle w:val="TabletextCentre"/>
              <w:keepNext/>
            </w:pPr>
            <w:r w:rsidRPr="00C4713E">
              <w:t>6.81%</w:t>
            </w:r>
          </w:p>
        </w:tc>
        <w:tc>
          <w:tcPr>
            <w:tcW w:w="1302" w:type="dxa"/>
          </w:tcPr>
          <w:p w14:paraId="0F3AAC9B" w14:textId="77777777" w:rsidR="002922F7" w:rsidRDefault="002922F7" w:rsidP="002922F7">
            <w:pPr>
              <w:pStyle w:val="TabletextCentre"/>
              <w:keepNext/>
            </w:pPr>
            <w:r w:rsidRPr="00C4713E">
              <w:t>6.96%</w:t>
            </w:r>
          </w:p>
        </w:tc>
      </w:tr>
      <w:tr w:rsidR="002922F7" w14:paraId="72293D36" w14:textId="77777777" w:rsidTr="002922F7">
        <w:tc>
          <w:tcPr>
            <w:tcW w:w="1092" w:type="dxa"/>
            <w:vMerge/>
          </w:tcPr>
          <w:p w14:paraId="69C30F8A" w14:textId="77777777" w:rsidR="002922F7" w:rsidRDefault="002922F7" w:rsidP="002922F7">
            <w:pPr>
              <w:keepNext/>
            </w:pPr>
          </w:p>
        </w:tc>
        <w:tc>
          <w:tcPr>
            <w:tcW w:w="1355" w:type="dxa"/>
            <w:vMerge/>
            <w:vAlign w:val="center"/>
          </w:tcPr>
          <w:p w14:paraId="7B38066F" w14:textId="77777777" w:rsidR="002922F7" w:rsidRDefault="002922F7" w:rsidP="002922F7">
            <w:pPr>
              <w:pStyle w:val="TabletextCentreTotal"/>
              <w:keepNext/>
            </w:pPr>
          </w:p>
        </w:tc>
        <w:tc>
          <w:tcPr>
            <w:tcW w:w="1366" w:type="dxa"/>
          </w:tcPr>
          <w:p w14:paraId="2F5BC058" w14:textId="77777777" w:rsidR="002922F7" w:rsidRDefault="002922F7" w:rsidP="002922F7">
            <w:pPr>
              <w:pStyle w:val="TabletextLeftTotal"/>
              <w:keepNext/>
            </w:pPr>
            <w:r w:rsidRPr="00EE0E71">
              <w:t>p-value</w:t>
            </w:r>
          </w:p>
        </w:tc>
        <w:tc>
          <w:tcPr>
            <w:tcW w:w="1301" w:type="dxa"/>
          </w:tcPr>
          <w:p w14:paraId="6DEEB8B9" w14:textId="77777777" w:rsidR="002922F7" w:rsidRDefault="002922F7" w:rsidP="002922F7">
            <w:pPr>
              <w:pStyle w:val="TabletextCentre"/>
              <w:keepNext/>
            </w:pPr>
            <w:r w:rsidRPr="00C4713E">
              <w:t>0.5544</w:t>
            </w:r>
          </w:p>
        </w:tc>
        <w:tc>
          <w:tcPr>
            <w:tcW w:w="1301" w:type="dxa"/>
          </w:tcPr>
          <w:p w14:paraId="7A31795B" w14:textId="77777777" w:rsidR="002922F7" w:rsidRDefault="002922F7" w:rsidP="002922F7">
            <w:pPr>
              <w:pStyle w:val="TabletextCentre"/>
              <w:keepNext/>
            </w:pPr>
            <w:r w:rsidRPr="00C4713E">
              <w:t>0.0974</w:t>
            </w:r>
          </w:p>
        </w:tc>
        <w:tc>
          <w:tcPr>
            <w:tcW w:w="1309" w:type="dxa"/>
          </w:tcPr>
          <w:p w14:paraId="5709847B" w14:textId="77777777" w:rsidR="002922F7" w:rsidRDefault="002922F7" w:rsidP="002922F7">
            <w:pPr>
              <w:pStyle w:val="TabletextCentre"/>
              <w:keepNext/>
            </w:pPr>
            <w:r w:rsidRPr="00C4713E">
              <w:t>0.2486</w:t>
            </w:r>
          </w:p>
        </w:tc>
        <w:tc>
          <w:tcPr>
            <w:tcW w:w="1302" w:type="dxa"/>
          </w:tcPr>
          <w:p w14:paraId="232C363B" w14:textId="77777777" w:rsidR="002922F7" w:rsidRDefault="002922F7" w:rsidP="002922F7">
            <w:pPr>
              <w:pStyle w:val="TabletextCentre"/>
              <w:keepNext/>
            </w:pPr>
            <w:r w:rsidRPr="00C4713E">
              <w:t>0.0290</w:t>
            </w:r>
          </w:p>
        </w:tc>
      </w:tr>
      <w:tr w:rsidR="002922F7" w14:paraId="29DF1A54" w14:textId="77777777" w:rsidTr="002922F7">
        <w:tc>
          <w:tcPr>
            <w:tcW w:w="1092" w:type="dxa"/>
            <w:vMerge/>
          </w:tcPr>
          <w:p w14:paraId="331E4145" w14:textId="77777777" w:rsidR="002922F7" w:rsidRPr="00EE0E71" w:rsidRDefault="002922F7" w:rsidP="002922F7">
            <w:pPr>
              <w:keepNext/>
            </w:pPr>
          </w:p>
        </w:tc>
        <w:tc>
          <w:tcPr>
            <w:tcW w:w="1355" w:type="dxa"/>
            <w:vMerge w:val="restart"/>
            <w:vAlign w:val="center"/>
          </w:tcPr>
          <w:p w14:paraId="2ABAC943" w14:textId="77777777" w:rsidR="002922F7" w:rsidRDefault="002922F7" w:rsidP="002922F7">
            <w:pPr>
              <w:pStyle w:val="TabletextCentreTotal"/>
              <w:keepNext/>
            </w:pPr>
            <w:r w:rsidRPr="00EE0E71">
              <w:t>3rd quartile</w:t>
            </w:r>
          </w:p>
        </w:tc>
        <w:tc>
          <w:tcPr>
            <w:tcW w:w="1366" w:type="dxa"/>
          </w:tcPr>
          <w:p w14:paraId="5AC7D6F8" w14:textId="77777777" w:rsidR="002922F7" w:rsidRDefault="002922F7" w:rsidP="002922F7">
            <w:pPr>
              <w:pStyle w:val="TabletextLeftTotal"/>
              <w:keepNext/>
            </w:pPr>
            <w:r w:rsidRPr="00EE0E71">
              <w:t>observed proportion</w:t>
            </w:r>
          </w:p>
        </w:tc>
        <w:tc>
          <w:tcPr>
            <w:tcW w:w="1301" w:type="dxa"/>
          </w:tcPr>
          <w:p w14:paraId="3F8EDACF" w14:textId="77777777" w:rsidR="002922F7" w:rsidRDefault="002922F7" w:rsidP="002922F7">
            <w:pPr>
              <w:pStyle w:val="TabletextCentre"/>
              <w:keepNext/>
            </w:pPr>
            <w:r w:rsidRPr="00C4713E">
              <w:t>6.37%</w:t>
            </w:r>
          </w:p>
        </w:tc>
        <w:tc>
          <w:tcPr>
            <w:tcW w:w="1301" w:type="dxa"/>
          </w:tcPr>
          <w:p w14:paraId="666D148F" w14:textId="77777777" w:rsidR="002922F7" w:rsidRDefault="002922F7" w:rsidP="002922F7">
            <w:pPr>
              <w:pStyle w:val="TabletextCentre"/>
              <w:keepNext/>
            </w:pPr>
            <w:r w:rsidRPr="00C4713E">
              <w:t>5.04%</w:t>
            </w:r>
          </w:p>
        </w:tc>
        <w:tc>
          <w:tcPr>
            <w:tcW w:w="1309" w:type="dxa"/>
          </w:tcPr>
          <w:p w14:paraId="01BA983B" w14:textId="77777777" w:rsidR="002922F7" w:rsidRDefault="002922F7" w:rsidP="002922F7">
            <w:pPr>
              <w:pStyle w:val="TabletextCentre"/>
              <w:keepNext/>
            </w:pPr>
            <w:r w:rsidRPr="00C4713E">
              <w:t>6.10%</w:t>
            </w:r>
          </w:p>
        </w:tc>
        <w:tc>
          <w:tcPr>
            <w:tcW w:w="1302" w:type="dxa"/>
          </w:tcPr>
          <w:p w14:paraId="6E6EC096" w14:textId="77777777" w:rsidR="002922F7" w:rsidRDefault="002922F7" w:rsidP="002922F7">
            <w:pPr>
              <w:pStyle w:val="TabletextCentre"/>
              <w:keepNext/>
            </w:pPr>
            <w:r w:rsidRPr="00C4713E">
              <w:t>8.22%</w:t>
            </w:r>
          </w:p>
        </w:tc>
      </w:tr>
      <w:tr w:rsidR="002922F7" w14:paraId="007DD540" w14:textId="77777777" w:rsidTr="002922F7">
        <w:tc>
          <w:tcPr>
            <w:tcW w:w="1092" w:type="dxa"/>
            <w:vMerge/>
          </w:tcPr>
          <w:p w14:paraId="6F01DF35" w14:textId="77777777" w:rsidR="002922F7" w:rsidRDefault="002922F7" w:rsidP="002922F7">
            <w:pPr>
              <w:keepNext/>
            </w:pPr>
          </w:p>
        </w:tc>
        <w:tc>
          <w:tcPr>
            <w:tcW w:w="1355" w:type="dxa"/>
            <w:vMerge/>
            <w:vAlign w:val="center"/>
          </w:tcPr>
          <w:p w14:paraId="35DCD42A" w14:textId="77777777" w:rsidR="002922F7" w:rsidRDefault="002922F7" w:rsidP="002922F7">
            <w:pPr>
              <w:pStyle w:val="TabletextCentreTotal"/>
              <w:keepNext/>
            </w:pPr>
          </w:p>
        </w:tc>
        <w:tc>
          <w:tcPr>
            <w:tcW w:w="1366" w:type="dxa"/>
          </w:tcPr>
          <w:p w14:paraId="73C415EA" w14:textId="77777777" w:rsidR="002922F7" w:rsidRDefault="002922F7" w:rsidP="002922F7">
            <w:pPr>
              <w:pStyle w:val="TabletextLeftTotal"/>
              <w:keepNext/>
            </w:pPr>
            <w:r w:rsidRPr="00EE0E71">
              <w:t>expected proportion</w:t>
            </w:r>
          </w:p>
        </w:tc>
        <w:tc>
          <w:tcPr>
            <w:tcW w:w="1301" w:type="dxa"/>
          </w:tcPr>
          <w:p w14:paraId="448996DD" w14:textId="77777777" w:rsidR="002922F7" w:rsidRDefault="002922F7" w:rsidP="002922F7">
            <w:pPr>
              <w:pStyle w:val="TabletextCentre"/>
              <w:keepNext/>
            </w:pPr>
            <w:r w:rsidRPr="00C4713E">
              <w:t>6.55%</w:t>
            </w:r>
          </w:p>
        </w:tc>
        <w:tc>
          <w:tcPr>
            <w:tcW w:w="1301" w:type="dxa"/>
          </w:tcPr>
          <w:p w14:paraId="6D6D62A4" w14:textId="77777777" w:rsidR="002922F7" w:rsidRDefault="002922F7" w:rsidP="002922F7">
            <w:pPr>
              <w:pStyle w:val="TabletextCentre"/>
              <w:keepNext/>
            </w:pPr>
            <w:r w:rsidRPr="00C4713E">
              <w:t>6.21%</w:t>
            </w:r>
          </w:p>
        </w:tc>
        <w:tc>
          <w:tcPr>
            <w:tcW w:w="1309" w:type="dxa"/>
          </w:tcPr>
          <w:p w14:paraId="186E1CED" w14:textId="77777777" w:rsidR="002922F7" w:rsidRDefault="002922F7" w:rsidP="002922F7">
            <w:pPr>
              <w:pStyle w:val="TabletextCentre"/>
              <w:keepNext/>
            </w:pPr>
            <w:r w:rsidRPr="00C4713E">
              <w:t>6.42%</w:t>
            </w:r>
          </w:p>
        </w:tc>
        <w:tc>
          <w:tcPr>
            <w:tcW w:w="1302" w:type="dxa"/>
          </w:tcPr>
          <w:p w14:paraId="53586093" w14:textId="77777777" w:rsidR="002922F7" w:rsidRDefault="002922F7" w:rsidP="002922F7">
            <w:pPr>
              <w:pStyle w:val="TabletextCentre"/>
              <w:keepNext/>
            </w:pPr>
            <w:r w:rsidRPr="00C4713E">
              <w:t>6.55%</w:t>
            </w:r>
          </w:p>
        </w:tc>
      </w:tr>
      <w:tr w:rsidR="002922F7" w14:paraId="05C45F8D" w14:textId="77777777" w:rsidTr="002922F7">
        <w:tc>
          <w:tcPr>
            <w:tcW w:w="1092" w:type="dxa"/>
            <w:vMerge/>
          </w:tcPr>
          <w:p w14:paraId="766AB6AA" w14:textId="77777777" w:rsidR="002922F7" w:rsidRDefault="002922F7" w:rsidP="002922F7">
            <w:pPr>
              <w:keepNext/>
            </w:pPr>
          </w:p>
        </w:tc>
        <w:tc>
          <w:tcPr>
            <w:tcW w:w="1355" w:type="dxa"/>
            <w:vMerge/>
            <w:vAlign w:val="center"/>
          </w:tcPr>
          <w:p w14:paraId="76EE7D5C" w14:textId="77777777" w:rsidR="002922F7" w:rsidRDefault="002922F7" w:rsidP="002922F7">
            <w:pPr>
              <w:pStyle w:val="TabletextCentreTotal"/>
              <w:keepNext/>
            </w:pPr>
          </w:p>
        </w:tc>
        <w:tc>
          <w:tcPr>
            <w:tcW w:w="1366" w:type="dxa"/>
          </w:tcPr>
          <w:p w14:paraId="364C237D" w14:textId="77777777" w:rsidR="002922F7" w:rsidRDefault="002922F7" w:rsidP="002922F7">
            <w:pPr>
              <w:pStyle w:val="TabletextLeftTotal"/>
              <w:keepNext/>
            </w:pPr>
            <w:r w:rsidRPr="00EE0E71">
              <w:t>p-value</w:t>
            </w:r>
          </w:p>
        </w:tc>
        <w:tc>
          <w:tcPr>
            <w:tcW w:w="1301" w:type="dxa"/>
          </w:tcPr>
          <w:p w14:paraId="21FA4FFF" w14:textId="77777777" w:rsidR="002922F7" w:rsidRDefault="002922F7" w:rsidP="002922F7">
            <w:pPr>
              <w:pStyle w:val="TabletextCentre"/>
              <w:keepNext/>
            </w:pPr>
            <w:r w:rsidRPr="00C4713E">
              <w:t>0.8498</w:t>
            </w:r>
          </w:p>
        </w:tc>
        <w:tc>
          <w:tcPr>
            <w:tcW w:w="1301" w:type="dxa"/>
          </w:tcPr>
          <w:p w14:paraId="1ADBBE75" w14:textId="77777777" w:rsidR="002922F7" w:rsidRDefault="002922F7" w:rsidP="002922F7">
            <w:pPr>
              <w:pStyle w:val="TabletextCentre"/>
              <w:keepNext/>
            </w:pPr>
            <w:r w:rsidRPr="00C4713E">
              <w:t>0.2243</w:t>
            </w:r>
          </w:p>
        </w:tc>
        <w:tc>
          <w:tcPr>
            <w:tcW w:w="1309" w:type="dxa"/>
          </w:tcPr>
          <w:p w14:paraId="7B2659A7" w14:textId="77777777" w:rsidR="002922F7" w:rsidRDefault="002922F7" w:rsidP="002922F7">
            <w:pPr>
              <w:pStyle w:val="TabletextCentre"/>
              <w:keepNext/>
            </w:pPr>
            <w:r w:rsidRPr="00C4713E">
              <w:t>0.7468</w:t>
            </w:r>
          </w:p>
        </w:tc>
        <w:tc>
          <w:tcPr>
            <w:tcW w:w="1302" w:type="dxa"/>
          </w:tcPr>
          <w:p w14:paraId="094A62FE" w14:textId="77777777" w:rsidR="002922F7" w:rsidRDefault="002922F7" w:rsidP="002922F7">
            <w:pPr>
              <w:pStyle w:val="TabletextCentre"/>
              <w:keepNext/>
            </w:pPr>
            <w:r w:rsidRPr="00C4713E">
              <w:t>0.0884</w:t>
            </w:r>
          </w:p>
        </w:tc>
      </w:tr>
      <w:tr w:rsidR="002922F7" w14:paraId="61659586" w14:textId="77777777" w:rsidTr="002922F7">
        <w:tc>
          <w:tcPr>
            <w:tcW w:w="1092" w:type="dxa"/>
            <w:vMerge/>
          </w:tcPr>
          <w:p w14:paraId="59925D51" w14:textId="77777777" w:rsidR="002922F7" w:rsidRPr="00EE0E71" w:rsidRDefault="002922F7" w:rsidP="002922F7">
            <w:pPr>
              <w:keepNext/>
            </w:pPr>
          </w:p>
        </w:tc>
        <w:tc>
          <w:tcPr>
            <w:tcW w:w="1355" w:type="dxa"/>
            <w:vMerge w:val="restart"/>
            <w:vAlign w:val="center"/>
          </w:tcPr>
          <w:p w14:paraId="5F12D600" w14:textId="77777777" w:rsidR="002922F7" w:rsidRDefault="002922F7" w:rsidP="002922F7">
            <w:pPr>
              <w:pStyle w:val="TabletextCentreTotal"/>
              <w:keepNext/>
            </w:pPr>
            <w:r w:rsidRPr="00EE0E71">
              <w:t>4th quartile</w:t>
            </w:r>
          </w:p>
        </w:tc>
        <w:tc>
          <w:tcPr>
            <w:tcW w:w="1366" w:type="dxa"/>
          </w:tcPr>
          <w:p w14:paraId="70A89537" w14:textId="77777777" w:rsidR="002922F7" w:rsidRDefault="002922F7" w:rsidP="002922F7">
            <w:pPr>
              <w:pStyle w:val="TabletextLeftTotal"/>
              <w:keepNext/>
            </w:pPr>
            <w:r w:rsidRPr="00EE0E71">
              <w:t>observed proportion</w:t>
            </w:r>
          </w:p>
        </w:tc>
        <w:tc>
          <w:tcPr>
            <w:tcW w:w="1301" w:type="dxa"/>
          </w:tcPr>
          <w:p w14:paraId="0E71494F" w14:textId="77777777" w:rsidR="002922F7" w:rsidRDefault="002922F7" w:rsidP="002922F7">
            <w:pPr>
              <w:pStyle w:val="TabletextCentre"/>
              <w:keepNext/>
            </w:pPr>
            <w:r w:rsidRPr="00C4713E">
              <w:t>6.37%</w:t>
            </w:r>
          </w:p>
        </w:tc>
        <w:tc>
          <w:tcPr>
            <w:tcW w:w="1301" w:type="dxa"/>
          </w:tcPr>
          <w:p w14:paraId="2B160596" w14:textId="77777777" w:rsidR="002922F7" w:rsidRDefault="002922F7" w:rsidP="002922F7">
            <w:pPr>
              <w:pStyle w:val="TabletextCentre"/>
              <w:keepNext/>
            </w:pPr>
            <w:r w:rsidRPr="00C4713E">
              <w:t>3.45%</w:t>
            </w:r>
          </w:p>
        </w:tc>
        <w:tc>
          <w:tcPr>
            <w:tcW w:w="1309" w:type="dxa"/>
          </w:tcPr>
          <w:p w14:paraId="06E11394" w14:textId="77777777" w:rsidR="002922F7" w:rsidRDefault="002922F7" w:rsidP="002922F7">
            <w:pPr>
              <w:pStyle w:val="TabletextCentre"/>
              <w:keepNext/>
            </w:pPr>
            <w:r w:rsidRPr="00C4713E">
              <w:t>4.77%</w:t>
            </w:r>
          </w:p>
        </w:tc>
        <w:tc>
          <w:tcPr>
            <w:tcW w:w="1302" w:type="dxa"/>
          </w:tcPr>
          <w:p w14:paraId="03B8BE34" w14:textId="77777777" w:rsidR="002922F7" w:rsidRDefault="002922F7" w:rsidP="002922F7">
            <w:pPr>
              <w:pStyle w:val="TabletextCentre"/>
              <w:keepNext/>
            </w:pPr>
            <w:r w:rsidRPr="00C4713E">
              <w:t>7.43%</w:t>
            </w:r>
          </w:p>
        </w:tc>
      </w:tr>
      <w:tr w:rsidR="002922F7" w14:paraId="65566DC6" w14:textId="77777777" w:rsidTr="002922F7">
        <w:tc>
          <w:tcPr>
            <w:tcW w:w="1092" w:type="dxa"/>
            <w:vMerge/>
          </w:tcPr>
          <w:p w14:paraId="11261E35" w14:textId="77777777" w:rsidR="002922F7" w:rsidRDefault="002922F7" w:rsidP="002922F7">
            <w:pPr>
              <w:keepNext/>
            </w:pPr>
          </w:p>
        </w:tc>
        <w:tc>
          <w:tcPr>
            <w:tcW w:w="1355" w:type="dxa"/>
            <w:vMerge/>
          </w:tcPr>
          <w:p w14:paraId="7E6199A3" w14:textId="77777777" w:rsidR="002922F7" w:rsidRDefault="002922F7" w:rsidP="002922F7">
            <w:pPr>
              <w:pStyle w:val="TabletextCentreTotal"/>
              <w:keepNext/>
            </w:pPr>
          </w:p>
        </w:tc>
        <w:tc>
          <w:tcPr>
            <w:tcW w:w="1366" w:type="dxa"/>
          </w:tcPr>
          <w:p w14:paraId="014FFFE0" w14:textId="77777777" w:rsidR="002922F7" w:rsidRDefault="002922F7" w:rsidP="002922F7">
            <w:pPr>
              <w:pStyle w:val="TabletextLeftTotal"/>
              <w:keepNext/>
            </w:pPr>
            <w:r w:rsidRPr="00EE0E71">
              <w:t>expected proportion</w:t>
            </w:r>
          </w:p>
        </w:tc>
        <w:tc>
          <w:tcPr>
            <w:tcW w:w="1301" w:type="dxa"/>
          </w:tcPr>
          <w:p w14:paraId="7517D903" w14:textId="77777777" w:rsidR="002922F7" w:rsidRDefault="002922F7" w:rsidP="002922F7">
            <w:pPr>
              <w:pStyle w:val="TabletextCentre"/>
              <w:keepNext/>
            </w:pPr>
            <w:r w:rsidRPr="00C4713E">
              <w:t>5.61%</w:t>
            </w:r>
          </w:p>
        </w:tc>
        <w:tc>
          <w:tcPr>
            <w:tcW w:w="1301" w:type="dxa"/>
          </w:tcPr>
          <w:p w14:paraId="2EED417A" w14:textId="77777777" w:rsidR="002922F7" w:rsidRDefault="002922F7" w:rsidP="002922F7">
            <w:pPr>
              <w:pStyle w:val="TabletextCentre"/>
              <w:keepNext/>
            </w:pPr>
            <w:r w:rsidRPr="00C4713E">
              <w:t>5.31%</w:t>
            </w:r>
          </w:p>
        </w:tc>
        <w:tc>
          <w:tcPr>
            <w:tcW w:w="1309" w:type="dxa"/>
          </w:tcPr>
          <w:p w14:paraId="5EF5AE39" w14:textId="77777777" w:rsidR="002922F7" w:rsidRDefault="002922F7" w:rsidP="002922F7">
            <w:pPr>
              <w:pStyle w:val="TabletextCentre"/>
              <w:keepNext/>
            </w:pPr>
            <w:r w:rsidRPr="00C4713E">
              <w:t>5.49%</w:t>
            </w:r>
          </w:p>
        </w:tc>
        <w:tc>
          <w:tcPr>
            <w:tcW w:w="1302" w:type="dxa"/>
          </w:tcPr>
          <w:p w14:paraId="1229B6CC" w14:textId="77777777" w:rsidR="002922F7" w:rsidRDefault="002922F7" w:rsidP="002922F7">
            <w:pPr>
              <w:pStyle w:val="TabletextCentre"/>
              <w:keepNext/>
            </w:pPr>
            <w:r w:rsidRPr="00C4713E">
              <w:t>5.61%</w:t>
            </w:r>
          </w:p>
        </w:tc>
      </w:tr>
      <w:tr w:rsidR="002922F7" w14:paraId="2472DE0C" w14:textId="77777777" w:rsidTr="002922F7">
        <w:tc>
          <w:tcPr>
            <w:tcW w:w="1092" w:type="dxa"/>
            <w:vMerge/>
          </w:tcPr>
          <w:p w14:paraId="3FBE3193" w14:textId="77777777" w:rsidR="002922F7" w:rsidRDefault="002922F7" w:rsidP="002922F7">
            <w:pPr>
              <w:keepNext/>
            </w:pPr>
          </w:p>
        </w:tc>
        <w:tc>
          <w:tcPr>
            <w:tcW w:w="1355" w:type="dxa"/>
            <w:vMerge/>
          </w:tcPr>
          <w:p w14:paraId="7E80BCC6" w14:textId="77777777" w:rsidR="002922F7" w:rsidRDefault="002922F7" w:rsidP="002922F7">
            <w:pPr>
              <w:pStyle w:val="TabletextCentreTotal"/>
              <w:keepNext/>
            </w:pPr>
          </w:p>
        </w:tc>
        <w:tc>
          <w:tcPr>
            <w:tcW w:w="1366" w:type="dxa"/>
          </w:tcPr>
          <w:p w14:paraId="2BD6F91C" w14:textId="77777777" w:rsidR="002922F7" w:rsidRDefault="002922F7" w:rsidP="002922F7">
            <w:pPr>
              <w:pStyle w:val="TabletextLeftTotal"/>
              <w:keepNext/>
            </w:pPr>
            <w:r w:rsidRPr="00EE0E71">
              <w:t>p-value</w:t>
            </w:r>
          </w:p>
        </w:tc>
        <w:tc>
          <w:tcPr>
            <w:tcW w:w="1301" w:type="dxa"/>
          </w:tcPr>
          <w:p w14:paraId="711F6057" w14:textId="77777777" w:rsidR="002922F7" w:rsidRDefault="002922F7" w:rsidP="002922F7">
            <w:pPr>
              <w:pStyle w:val="TabletextCentre"/>
              <w:keepNext/>
            </w:pPr>
            <w:r w:rsidRPr="00C4713E">
              <w:t>0.4137</w:t>
            </w:r>
          </w:p>
        </w:tc>
        <w:tc>
          <w:tcPr>
            <w:tcW w:w="1301" w:type="dxa"/>
          </w:tcPr>
          <w:p w14:paraId="5BBFDA25" w14:textId="77777777" w:rsidR="002922F7" w:rsidRDefault="002922F7" w:rsidP="002922F7">
            <w:pPr>
              <w:pStyle w:val="TabletextCentre"/>
              <w:keepNext/>
            </w:pPr>
            <w:r w:rsidRPr="00C4713E">
              <w:t>0.0410</w:t>
            </w:r>
          </w:p>
        </w:tc>
        <w:tc>
          <w:tcPr>
            <w:tcW w:w="1309" w:type="dxa"/>
          </w:tcPr>
          <w:p w14:paraId="6A20B70C" w14:textId="77777777" w:rsidR="002922F7" w:rsidRDefault="002922F7" w:rsidP="002922F7">
            <w:pPr>
              <w:pStyle w:val="TabletextCentre"/>
              <w:keepNext/>
            </w:pPr>
            <w:r w:rsidRPr="00C4713E">
              <w:t>0.4388</w:t>
            </w:r>
          </w:p>
        </w:tc>
        <w:tc>
          <w:tcPr>
            <w:tcW w:w="1302" w:type="dxa"/>
          </w:tcPr>
          <w:p w14:paraId="041B3FFF" w14:textId="77777777" w:rsidR="002922F7" w:rsidRDefault="002922F7" w:rsidP="002922F7">
            <w:pPr>
              <w:pStyle w:val="TabletextCentre"/>
              <w:keepNext/>
            </w:pPr>
            <w:r w:rsidRPr="00C4713E">
              <w:t>0.0502</w:t>
            </w:r>
          </w:p>
        </w:tc>
      </w:tr>
    </w:tbl>
    <w:p w14:paraId="65BD45FA" w14:textId="77777777" w:rsidR="002922F7" w:rsidRDefault="002922F7" w:rsidP="002922F7">
      <w:pPr>
        <w:rPr>
          <w:lang w:eastAsia="en-AU"/>
        </w:rPr>
      </w:pPr>
    </w:p>
    <w:p w14:paraId="29327CEF" w14:textId="77777777" w:rsidR="002922F7" w:rsidRDefault="002922F7" w:rsidP="00400621">
      <w:pPr>
        <w:pStyle w:val="AppendixTableCaption"/>
        <w:numPr>
          <w:ilvl w:val="6"/>
          <w:numId w:val="11"/>
        </w:numPr>
      </w:pPr>
      <w:bookmarkStart w:id="309" w:name="_Toc40454716"/>
      <w:r>
        <w:lastRenderedPageBreak/>
        <w:t>Staff remuneration and permanent employment rate, cross</w:t>
      </w:r>
      <w:r>
        <w:noBreakHyphen/>
        <w:t>tabulated distribution</w:t>
      </w:r>
      <w:bookmarkEnd w:id="309"/>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3BFD9C68"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10EFB2FF" w14:textId="77777777" w:rsidR="002922F7" w:rsidRDefault="002922F7" w:rsidP="002922F7">
            <w:pPr>
              <w:keepNext/>
            </w:pPr>
          </w:p>
        </w:tc>
        <w:tc>
          <w:tcPr>
            <w:tcW w:w="1355" w:type="dxa"/>
          </w:tcPr>
          <w:p w14:paraId="56B28FC4" w14:textId="77777777" w:rsidR="002922F7" w:rsidRDefault="002922F7" w:rsidP="002922F7">
            <w:pPr>
              <w:keepNext/>
            </w:pPr>
          </w:p>
        </w:tc>
        <w:tc>
          <w:tcPr>
            <w:tcW w:w="1366" w:type="dxa"/>
          </w:tcPr>
          <w:p w14:paraId="1B4235B6" w14:textId="77777777" w:rsidR="002922F7" w:rsidRDefault="002922F7" w:rsidP="002922F7">
            <w:pPr>
              <w:keepNext/>
            </w:pPr>
          </w:p>
        </w:tc>
        <w:tc>
          <w:tcPr>
            <w:tcW w:w="5213" w:type="dxa"/>
            <w:gridSpan w:val="4"/>
          </w:tcPr>
          <w:p w14:paraId="561342FC" w14:textId="77777777" w:rsidR="002922F7" w:rsidRDefault="002922F7" w:rsidP="002922F7">
            <w:pPr>
              <w:pStyle w:val="TableHeadingCentre"/>
              <w:keepNext/>
            </w:pPr>
            <w:r>
              <w:t>Permanent employment rate</w:t>
            </w:r>
          </w:p>
        </w:tc>
      </w:tr>
      <w:tr w:rsidR="002922F7" w14:paraId="1EFDA625" w14:textId="77777777" w:rsidTr="002922F7">
        <w:tc>
          <w:tcPr>
            <w:tcW w:w="1092" w:type="dxa"/>
          </w:tcPr>
          <w:p w14:paraId="0B6619FA" w14:textId="77777777" w:rsidR="002922F7" w:rsidRDefault="002922F7" w:rsidP="002922F7">
            <w:pPr>
              <w:keepNext/>
            </w:pPr>
          </w:p>
        </w:tc>
        <w:tc>
          <w:tcPr>
            <w:tcW w:w="1355" w:type="dxa"/>
          </w:tcPr>
          <w:p w14:paraId="66FF3747" w14:textId="77777777" w:rsidR="002922F7" w:rsidRDefault="002922F7" w:rsidP="002922F7">
            <w:pPr>
              <w:keepNext/>
            </w:pPr>
          </w:p>
        </w:tc>
        <w:tc>
          <w:tcPr>
            <w:tcW w:w="1366" w:type="dxa"/>
          </w:tcPr>
          <w:p w14:paraId="67F8861E" w14:textId="77777777" w:rsidR="002922F7" w:rsidRDefault="002922F7" w:rsidP="002922F7">
            <w:pPr>
              <w:keepNext/>
            </w:pPr>
          </w:p>
        </w:tc>
        <w:tc>
          <w:tcPr>
            <w:tcW w:w="1301" w:type="dxa"/>
          </w:tcPr>
          <w:p w14:paraId="443E193F" w14:textId="77777777" w:rsidR="002922F7" w:rsidRDefault="002922F7" w:rsidP="002922F7">
            <w:pPr>
              <w:pStyle w:val="TabletextCentreTotal"/>
              <w:keepNext/>
              <w:jc w:val="left"/>
            </w:pPr>
            <w:r w:rsidRPr="00EE0E71">
              <w:t>1st quartile</w:t>
            </w:r>
          </w:p>
        </w:tc>
        <w:tc>
          <w:tcPr>
            <w:tcW w:w="1301" w:type="dxa"/>
          </w:tcPr>
          <w:p w14:paraId="1D5B5264" w14:textId="77777777" w:rsidR="002922F7" w:rsidRDefault="002922F7" w:rsidP="002922F7">
            <w:pPr>
              <w:pStyle w:val="TabletextCentreTotal"/>
              <w:keepNext/>
            </w:pPr>
            <w:r w:rsidRPr="00EE0E71">
              <w:t>2nd quartile</w:t>
            </w:r>
          </w:p>
        </w:tc>
        <w:tc>
          <w:tcPr>
            <w:tcW w:w="1309" w:type="dxa"/>
          </w:tcPr>
          <w:p w14:paraId="53748B43" w14:textId="77777777" w:rsidR="002922F7" w:rsidRDefault="002922F7" w:rsidP="002922F7">
            <w:pPr>
              <w:pStyle w:val="TabletextCentreTotal"/>
              <w:keepNext/>
            </w:pPr>
            <w:r w:rsidRPr="00EE0E71">
              <w:t>3rd quartile</w:t>
            </w:r>
          </w:p>
        </w:tc>
        <w:tc>
          <w:tcPr>
            <w:tcW w:w="1302" w:type="dxa"/>
          </w:tcPr>
          <w:p w14:paraId="390F6760" w14:textId="77777777" w:rsidR="002922F7" w:rsidRDefault="002922F7" w:rsidP="002922F7">
            <w:pPr>
              <w:pStyle w:val="TabletextCentreTotal"/>
              <w:keepNext/>
              <w:jc w:val="right"/>
            </w:pPr>
            <w:r w:rsidRPr="00EE0E71">
              <w:t>4th quartile</w:t>
            </w:r>
          </w:p>
        </w:tc>
      </w:tr>
      <w:tr w:rsidR="002922F7" w14:paraId="575A36A6" w14:textId="77777777" w:rsidTr="002922F7">
        <w:tc>
          <w:tcPr>
            <w:tcW w:w="1092" w:type="dxa"/>
            <w:vMerge w:val="restart"/>
            <w:textDirection w:val="btLr"/>
          </w:tcPr>
          <w:p w14:paraId="03DB8BDF" w14:textId="77777777" w:rsidR="002922F7" w:rsidRPr="00EE0E71" w:rsidRDefault="002922F7" w:rsidP="002922F7">
            <w:pPr>
              <w:pStyle w:val="TableHeadingCentre"/>
              <w:keepNext/>
            </w:pPr>
            <w:r>
              <w:t>Staff remuneration</w:t>
            </w:r>
          </w:p>
        </w:tc>
        <w:tc>
          <w:tcPr>
            <w:tcW w:w="1355" w:type="dxa"/>
            <w:vMerge w:val="restart"/>
            <w:vAlign w:val="center"/>
          </w:tcPr>
          <w:p w14:paraId="1891A6DB" w14:textId="77777777" w:rsidR="002922F7" w:rsidRDefault="002922F7" w:rsidP="002922F7">
            <w:pPr>
              <w:pStyle w:val="TabletextCentreTotal"/>
              <w:keepNext/>
            </w:pPr>
            <w:r w:rsidRPr="00EE0E71">
              <w:t>1st quartile</w:t>
            </w:r>
          </w:p>
        </w:tc>
        <w:tc>
          <w:tcPr>
            <w:tcW w:w="1366" w:type="dxa"/>
          </w:tcPr>
          <w:p w14:paraId="26BAE5EB" w14:textId="77777777" w:rsidR="002922F7" w:rsidRDefault="002922F7" w:rsidP="002922F7">
            <w:pPr>
              <w:pStyle w:val="TabletextLeftTotal"/>
              <w:keepNext/>
            </w:pPr>
            <w:r w:rsidRPr="00EE0E71">
              <w:t>observed proportion</w:t>
            </w:r>
          </w:p>
        </w:tc>
        <w:tc>
          <w:tcPr>
            <w:tcW w:w="1301" w:type="dxa"/>
          </w:tcPr>
          <w:p w14:paraId="6B133159" w14:textId="77777777" w:rsidR="002922F7" w:rsidRDefault="002922F7" w:rsidP="002922F7">
            <w:pPr>
              <w:pStyle w:val="TabletextCentre"/>
              <w:keepNext/>
            </w:pPr>
            <w:r w:rsidRPr="00E25861">
              <w:t>6.80%</w:t>
            </w:r>
          </w:p>
        </w:tc>
        <w:tc>
          <w:tcPr>
            <w:tcW w:w="1301" w:type="dxa"/>
          </w:tcPr>
          <w:p w14:paraId="5A592063" w14:textId="77777777" w:rsidR="002922F7" w:rsidRDefault="002922F7" w:rsidP="002922F7">
            <w:pPr>
              <w:pStyle w:val="TabletextCentre"/>
              <w:keepNext/>
            </w:pPr>
            <w:r w:rsidRPr="00E25861">
              <w:t>5.61%</w:t>
            </w:r>
          </w:p>
        </w:tc>
        <w:tc>
          <w:tcPr>
            <w:tcW w:w="1309" w:type="dxa"/>
          </w:tcPr>
          <w:p w14:paraId="283C55F3" w14:textId="77777777" w:rsidR="002922F7" w:rsidRDefault="002922F7" w:rsidP="002922F7">
            <w:pPr>
              <w:pStyle w:val="TabletextCentre"/>
              <w:keepNext/>
            </w:pPr>
            <w:r w:rsidRPr="00E25861">
              <w:t>5.10%</w:t>
            </w:r>
          </w:p>
        </w:tc>
        <w:tc>
          <w:tcPr>
            <w:tcW w:w="1302" w:type="dxa"/>
          </w:tcPr>
          <w:p w14:paraId="2DBA18E8" w14:textId="77777777" w:rsidR="002922F7" w:rsidRDefault="002922F7" w:rsidP="002922F7">
            <w:pPr>
              <w:pStyle w:val="TabletextCentre"/>
              <w:keepNext/>
            </w:pPr>
            <w:r w:rsidRPr="00E25861">
              <w:t>7.14%</w:t>
            </w:r>
          </w:p>
        </w:tc>
      </w:tr>
      <w:tr w:rsidR="002922F7" w14:paraId="4FE312D5" w14:textId="77777777" w:rsidTr="002922F7">
        <w:tc>
          <w:tcPr>
            <w:tcW w:w="1092" w:type="dxa"/>
            <w:vMerge/>
          </w:tcPr>
          <w:p w14:paraId="3AEF6B40" w14:textId="77777777" w:rsidR="002922F7" w:rsidRDefault="002922F7" w:rsidP="002922F7">
            <w:pPr>
              <w:keepNext/>
            </w:pPr>
          </w:p>
        </w:tc>
        <w:tc>
          <w:tcPr>
            <w:tcW w:w="1355" w:type="dxa"/>
            <w:vMerge/>
            <w:vAlign w:val="center"/>
          </w:tcPr>
          <w:p w14:paraId="0DF25423" w14:textId="77777777" w:rsidR="002922F7" w:rsidRDefault="002922F7" w:rsidP="002922F7">
            <w:pPr>
              <w:pStyle w:val="TabletextCentreTotal"/>
              <w:keepNext/>
            </w:pPr>
          </w:p>
        </w:tc>
        <w:tc>
          <w:tcPr>
            <w:tcW w:w="1366" w:type="dxa"/>
          </w:tcPr>
          <w:p w14:paraId="24928D0C" w14:textId="77777777" w:rsidR="002922F7" w:rsidRDefault="002922F7" w:rsidP="002922F7">
            <w:pPr>
              <w:pStyle w:val="TabletextLeftTotal"/>
              <w:keepNext/>
            </w:pPr>
            <w:r w:rsidRPr="00EE0E71">
              <w:t>expected proportion</w:t>
            </w:r>
          </w:p>
        </w:tc>
        <w:tc>
          <w:tcPr>
            <w:tcW w:w="1301" w:type="dxa"/>
          </w:tcPr>
          <w:p w14:paraId="2539C008" w14:textId="77777777" w:rsidR="002922F7" w:rsidRDefault="002922F7" w:rsidP="002922F7">
            <w:pPr>
              <w:pStyle w:val="TabletextCentre"/>
              <w:keepNext/>
            </w:pPr>
            <w:r w:rsidRPr="00E25861">
              <w:t>5.96%</w:t>
            </w:r>
          </w:p>
        </w:tc>
        <w:tc>
          <w:tcPr>
            <w:tcW w:w="1301" w:type="dxa"/>
          </w:tcPr>
          <w:p w14:paraId="3388AF00" w14:textId="77777777" w:rsidR="002922F7" w:rsidRDefault="002922F7" w:rsidP="002922F7">
            <w:pPr>
              <w:pStyle w:val="TabletextCentre"/>
              <w:keepNext/>
            </w:pPr>
            <w:r w:rsidRPr="00E25861">
              <w:t>6.54%</w:t>
            </w:r>
          </w:p>
        </w:tc>
        <w:tc>
          <w:tcPr>
            <w:tcW w:w="1309" w:type="dxa"/>
          </w:tcPr>
          <w:p w14:paraId="1DAE6067" w14:textId="77777777" w:rsidR="002922F7" w:rsidRDefault="002922F7" w:rsidP="002922F7">
            <w:pPr>
              <w:pStyle w:val="TabletextCentre"/>
              <w:keepNext/>
            </w:pPr>
            <w:r w:rsidRPr="00E25861">
              <w:t>6.12%</w:t>
            </w:r>
          </w:p>
        </w:tc>
        <w:tc>
          <w:tcPr>
            <w:tcW w:w="1302" w:type="dxa"/>
          </w:tcPr>
          <w:p w14:paraId="45B51B3F" w14:textId="77777777" w:rsidR="002922F7" w:rsidRDefault="002922F7" w:rsidP="002922F7">
            <w:pPr>
              <w:pStyle w:val="TabletextCentre"/>
              <w:keepNext/>
            </w:pPr>
            <w:r w:rsidRPr="00E25861">
              <w:t>6.04%</w:t>
            </w:r>
          </w:p>
        </w:tc>
      </w:tr>
      <w:tr w:rsidR="002922F7" w14:paraId="7FDA4CFF" w14:textId="77777777" w:rsidTr="002922F7">
        <w:tc>
          <w:tcPr>
            <w:tcW w:w="1092" w:type="dxa"/>
            <w:vMerge/>
          </w:tcPr>
          <w:p w14:paraId="55565224" w14:textId="77777777" w:rsidR="002922F7" w:rsidRDefault="002922F7" w:rsidP="002922F7">
            <w:pPr>
              <w:keepNext/>
            </w:pPr>
          </w:p>
        </w:tc>
        <w:tc>
          <w:tcPr>
            <w:tcW w:w="1355" w:type="dxa"/>
            <w:vMerge/>
            <w:vAlign w:val="center"/>
          </w:tcPr>
          <w:p w14:paraId="6B9A03F8" w14:textId="77777777" w:rsidR="002922F7" w:rsidRDefault="002922F7" w:rsidP="002922F7">
            <w:pPr>
              <w:pStyle w:val="TabletextCentreTotal"/>
              <w:keepNext/>
            </w:pPr>
          </w:p>
        </w:tc>
        <w:tc>
          <w:tcPr>
            <w:tcW w:w="1366" w:type="dxa"/>
          </w:tcPr>
          <w:p w14:paraId="0E973995" w14:textId="77777777" w:rsidR="002922F7" w:rsidRDefault="002922F7" w:rsidP="002922F7">
            <w:pPr>
              <w:pStyle w:val="TabletextLeftTotal"/>
              <w:keepNext/>
            </w:pPr>
            <w:r w:rsidRPr="00EE0E71">
              <w:t>p-value</w:t>
            </w:r>
          </w:p>
        </w:tc>
        <w:tc>
          <w:tcPr>
            <w:tcW w:w="1301" w:type="dxa"/>
          </w:tcPr>
          <w:p w14:paraId="5A88BF9A" w14:textId="77777777" w:rsidR="002922F7" w:rsidRDefault="002922F7" w:rsidP="002922F7">
            <w:pPr>
              <w:pStyle w:val="TabletextCentre"/>
              <w:keepNext/>
            </w:pPr>
            <w:r w:rsidRPr="00E25861">
              <w:t>0.2653</w:t>
            </w:r>
          </w:p>
        </w:tc>
        <w:tc>
          <w:tcPr>
            <w:tcW w:w="1301" w:type="dxa"/>
          </w:tcPr>
          <w:p w14:paraId="4B2B52CF" w14:textId="77777777" w:rsidR="002922F7" w:rsidRDefault="002922F7" w:rsidP="002922F7">
            <w:pPr>
              <w:pStyle w:val="TabletextCentre"/>
              <w:keepNext/>
            </w:pPr>
            <w:r w:rsidRPr="00E25861">
              <w:t>0.2359</w:t>
            </w:r>
          </w:p>
        </w:tc>
        <w:tc>
          <w:tcPr>
            <w:tcW w:w="1309" w:type="dxa"/>
          </w:tcPr>
          <w:p w14:paraId="58149D33" w14:textId="77777777" w:rsidR="002922F7" w:rsidRDefault="002922F7" w:rsidP="002922F7">
            <w:pPr>
              <w:pStyle w:val="TabletextCentre"/>
              <w:keepNext/>
            </w:pPr>
            <w:r w:rsidRPr="00E25861">
              <w:t>0.1837</w:t>
            </w:r>
          </w:p>
        </w:tc>
        <w:tc>
          <w:tcPr>
            <w:tcW w:w="1302" w:type="dxa"/>
          </w:tcPr>
          <w:p w14:paraId="29DF8ABD" w14:textId="77777777" w:rsidR="002922F7" w:rsidRDefault="002922F7" w:rsidP="002922F7">
            <w:pPr>
              <w:pStyle w:val="TabletextCentre"/>
              <w:keepNext/>
            </w:pPr>
            <w:r w:rsidRPr="00E25861">
              <w:t>0.1488</w:t>
            </w:r>
          </w:p>
        </w:tc>
      </w:tr>
      <w:tr w:rsidR="002922F7" w14:paraId="2A5FF22F" w14:textId="77777777" w:rsidTr="002922F7">
        <w:tc>
          <w:tcPr>
            <w:tcW w:w="1092" w:type="dxa"/>
            <w:vMerge/>
          </w:tcPr>
          <w:p w14:paraId="74C8D8C1" w14:textId="77777777" w:rsidR="002922F7" w:rsidRPr="00EE0E71" w:rsidRDefault="002922F7" w:rsidP="002922F7">
            <w:pPr>
              <w:keepNext/>
            </w:pPr>
          </w:p>
        </w:tc>
        <w:tc>
          <w:tcPr>
            <w:tcW w:w="1355" w:type="dxa"/>
            <w:vMerge w:val="restart"/>
            <w:vAlign w:val="center"/>
          </w:tcPr>
          <w:p w14:paraId="583069B6" w14:textId="77777777" w:rsidR="002922F7" w:rsidRDefault="002922F7" w:rsidP="002922F7">
            <w:pPr>
              <w:pStyle w:val="TabletextCentreTotal"/>
              <w:keepNext/>
            </w:pPr>
            <w:r w:rsidRPr="00EE0E71">
              <w:t>2nd quartile</w:t>
            </w:r>
          </w:p>
        </w:tc>
        <w:tc>
          <w:tcPr>
            <w:tcW w:w="1366" w:type="dxa"/>
          </w:tcPr>
          <w:p w14:paraId="54543FDC" w14:textId="77777777" w:rsidR="002922F7" w:rsidRDefault="002922F7" w:rsidP="002922F7">
            <w:pPr>
              <w:pStyle w:val="TabletextLeftTotal"/>
              <w:keepNext/>
            </w:pPr>
            <w:r w:rsidRPr="00EE0E71">
              <w:t>observed proportion</w:t>
            </w:r>
          </w:p>
        </w:tc>
        <w:tc>
          <w:tcPr>
            <w:tcW w:w="1301" w:type="dxa"/>
          </w:tcPr>
          <w:p w14:paraId="3F22C578" w14:textId="77777777" w:rsidR="002922F7" w:rsidRDefault="002922F7" w:rsidP="002922F7">
            <w:pPr>
              <w:pStyle w:val="TabletextCentre"/>
              <w:keepNext/>
            </w:pPr>
            <w:r w:rsidRPr="00E25861">
              <w:t>5.27%</w:t>
            </w:r>
          </w:p>
        </w:tc>
        <w:tc>
          <w:tcPr>
            <w:tcW w:w="1301" w:type="dxa"/>
          </w:tcPr>
          <w:p w14:paraId="33FE71AC" w14:textId="77777777" w:rsidR="002922F7" w:rsidRDefault="002922F7" w:rsidP="002922F7">
            <w:pPr>
              <w:pStyle w:val="TabletextCentre"/>
              <w:keepNext/>
            </w:pPr>
            <w:r w:rsidRPr="00E25861">
              <w:t>5.61%</w:t>
            </w:r>
          </w:p>
        </w:tc>
        <w:tc>
          <w:tcPr>
            <w:tcW w:w="1309" w:type="dxa"/>
          </w:tcPr>
          <w:p w14:paraId="435BAE99" w14:textId="77777777" w:rsidR="002922F7" w:rsidRDefault="002922F7" w:rsidP="002922F7">
            <w:pPr>
              <w:pStyle w:val="TabletextCentre"/>
              <w:keepNext/>
            </w:pPr>
            <w:r w:rsidRPr="00E25861">
              <w:t>7.99%</w:t>
            </w:r>
          </w:p>
        </w:tc>
        <w:tc>
          <w:tcPr>
            <w:tcW w:w="1302" w:type="dxa"/>
          </w:tcPr>
          <w:p w14:paraId="2F45F8A1" w14:textId="77777777" w:rsidR="002922F7" w:rsidRDefault="002922F7" w:rsidP="002922F7">
            <w:pPr>
              <w:pStyle w:val="TabletextCentre"/>
              <w:keepNext/>
            </w:pPr>
            <w:r w:rsidRPr="00E25861">
              <w:t>6.29%</w:t>
            </w:r>
          </w:p>
        </w:tc>
      </w:tr>
      <w:tr w:rsidR="002922F7" w14:paraId="5B7413FC" w14:textId="77777777" w:rsidTr="002922F7">
        <w:tc>
          <w:tcPr>
            <w:tcW w:w="1092" w:type="dxa"/>
            <w:vMerge/>
          </w:tcPr>
          <w:p w14:paraId="3DDAC9AB" w14:textId="77777777" w:rsidR="002922F7" w:rsidRDefault="002922F7" w:rsidP="002922F7">
            <w:pPr>
              <w:keepNext/>
            </w:pPr>
          </w:p>
        </w:tc>
        <w:tc>
          <w:tcPr>
            <w:tcW w:w="1355" w:type="dxa"/>
            <w:vMerge/>
            <w:vAlign w:val="center"/>
          </w:tcPr>
          <w:p w14:paraId="0D7781BC" w14:textId="77777777" w:rsidR="002922F7" w:rsidRDefault="002922F7" w:rsidP="002922F7">
            <w:pPr>
              <w:pStyle w:val="TabletextCentreTotal"/>
              <w:keepNext/>
            </w:pPr>
          </w:p>
        </w:tc>
        <w:tc>
          <w:tcPr>
            <w:tcW w:w="1366" w:type="dxa"/>
          </w:tcPr>
          <w:p w14:paraId="3CB8D041" w14:textId="77777777" w:rsidR="002922F7" w:rsidRDefault="002922F7" w:rsidP="002922F7">
            <w:pPr>
              <w:pStyle w:val="TabletextLeftTotal"/>
              <w:keepNext/>
            </w:pPr>
            <w:r w:rsidRPr="00EE0E71">
              <w:t>expected proportion</w:t>
            </w:r>
          </w:p>
        </w:tc>
        <w:tc>
          <w:tcPr>
            <w:tcW w:w="1301" w:type="dxa"/>
          </w:tcPr>
          <w:p w14:paraId="191A27FB" w14:textId="77777777" w:rsidR="002922F7" w:rsidRDefault="002922F7" w:rsidP="002922F7">
            <w:pPr>
              <w:pStyle w:val="TabletextCentre"/>
              <w:keepNext/>
            </w:pPr>
            <w:r w:rsidRPr="00E25861">
              <w:t>6.08%</w:t>
            </w:r>
          </w:p>
        </w:tc>
        <w:tc>
          <w:tcPr>
            <w:tcW w:w="1301" w:type="dxa"/>
          </w:tcPr>
          <w:p w14:paraId="1B7C7DE9" w14:textId="77777777" w:rsidR="002922F7" w:rsidRDefault="002922F7" w:rsidP="002922F7">
            <w:pPr>
              <w:pStyle w:val="TabletextCentre"/>
              <w:keepNext/>
            </w:pPr>
            <w:r w:rsidRPr="00E25861">
              <w:t>6.68%</w:t>
            </w:r>
          </w:p>
        </w:tc>
        <w:tc>
          <w:tcPr>
            <w:tcW w:w="1309" w:type="dxa"/>
          </w:tcPr>
          <w:p w14:paraId="11F71031" w14:textId="77777777" w:rsidR="002922F7" w:rsidRDefault="002922F7" w:rsidP="002922F7">
            <w:pPr>
              <w:pStyle w:val="TabletextCentre"/>
              <w:keepNext/>
            </w:pPr>
            <w:r w:rsidRPr="00E25861">
              <w:t>6.25%</w:t>
            </w:r>
          </w:p>
        </w:tc>
        <w:tc>
          <w:tcPr>
            <w:tcW w:w="1302" w:type="dxa"/>
          </w:tcPr>
          <w:p w14:paraId="4E34D249" w14:textId="77777777" w:rsidR="002922F7" w:rsidRDefault="002922F7" w:rsidP="002922F7">
            <w:pPr>
              <w:pStyle w:val="TabletextCentre"/>
              <w:keepNext/>
            </w:pPr>
            <w:r w:rsidRPr="00E25861">
              <w:t>6.16%</w:t>
            </w:r>
          </w:p>
        </w:tc>
      </w:tr>
      <w:tr w:rsidR="002922F7" w14:paraId="2164B54C" w14:textId="77777777" w:rsidTr="002922F7">
        <w:tc>
          <w:tcPr>
            <w:tcW w:w="1092" w:type="dxa"/>
            <w:vMerge/>
          </w:tcPr>
          <w:p w14:paraId="0F2F7FBE" w14:textId="77777777" w:rsidR="002922F7" w:rsidRDefault="002922F7" w:rsidP="002922F7">
            <w:pPr>
              <w:keepNext/>
            </w:pPr>
          </w:p>
        </w:tc>
        <w:tc>
          <w:tcPr>
            <w:tcW w:w="1355" w:type="dxa"/>
            <w:vMerge/>
            <w:vAlign w:val="center"/>
          </w:tcPr>
          <w:p w14:paraId="2C4463A8" w14:textId="77777777" w:rsidR="002922F7" w:rsidRDefault="002922F7" w:rsidP="002922F7">
            <w:pPr>
              <w:pStyle w:val="TabletextCentreTotal"/>
              <w:keepNext/>
            </w:pPr>
          </w:p>
        </w:tc>
        <w:tc>
          <w:tcPr>
            <w:tcW w:w="1366" w:type="dxa"/>
          </w:tcPr>
          <w:p w14:paraId="56AFF062" w14:textId="77777777" w:rsidR="002922F7" w:rsidRDefault="002922F7" w:rsidP="002922F7">
            <w:pPr>
              <w:pStyle w:val="TabletextLeftTotal"/>
              <w:keepNext/>
            </w:pPr>
            <w:r w:rsidRPr="00EE0E71">
              <w:t>p-value</w:t>
            </w:r>
          </w:p>
        </w:tc>
        <w:tc>
          <w:tcPr>
            <w:tcW w:w="1301" w:type="dxa"/>
          </w:tcPr>
          <w:p w14:paraId="36A5BCF7" w14:textId="77777777" w:rsidR="002922F7" w:rsidRDefault="002922F7" w:rsidP="002922F7">
            <w:pPr>
              <w:pStyle w:val="TabletextCentre"/>
              <w:keepNext/>
            </w:pPr>
            <w:r w:rsidRPr="00E25861">
              <w:t>0.2925</w:t>
            </w:r>
          </w:p>
        </w:tc>
        <w:tc>
          <w:tcPr>
            <w:tcW w:w="1301" w:type="dxa"/>
          </w:tcPr>
          <w:p w14:paraId="0F4F0FA6" w14:textId="77777777" w:rsidR="002922F7" w:rsidRDefault="002922F7" w:rsidP="002922F7">
            <w:pPr>
              <w:pStyle w:val="TabletextCentre"/>
              <w:keepNext/>
            </w:pPr>
            <w:r w:rsidRPr="00E25861">
              <w:t>0.1775</w:t>
            </w:r>
          </w:p>
        </w:tc>
        <w:tc>
          <w:tcPr>
            <w:tcW w:w="1309" w:type="dxa"/>
          </w:tcPr>
          <w:p w14:paraId="67180475" w14:textId="77777777" w:rsidR="002922F7" w:rsidRDefault="002922F7" w:rsidP="002922F7">
            <w:pPr>
              <w:pStyle w:val="TabletextCentre"/>
              <w:keepNext/>
            </w:pPr>
            <w:r w:rsidRPr="00E25861">
              <w:t>0.0241</w:t>
            </w:r>
          </w:p>
        </w:tc>
        <w:tc>
          <w:tcPr>
            <w:tcW w:w="1302" w:type="dxa"/>
          </w:tcPr>
          <w:p w14:paraId="1F6FDC57" w14:textId="77777777" w:rsidR="002922F7" w:rsidRDefault="002922F7" w:rsidP="002922F7">
            <w:pPr>
              <w:pStyle w:val="TabletextCentre"/>
              <w:keepNext/>
            </w:pPr>
            <w:r w:rsidRPr="00E25861">
              <w:t>0.8675</w:t>
            </w:r>
          </w:p>
        </w:tc>
      </w:tr>
      <w:tr w:rsidR="002922F7" w14:paraId="337623AE" w14:textId="77777777" w:rsidTr="002922F7">
        <w:tc>
          <w:tcPr>
            <w:tcW w:w="1092" w:type="dxa"/>
            <w:vMerge/>
          </w:tcPr>
          <w:p w14:paraId="2F8BE739" w14:textId="77777777" w:rsidR="002922F7" w:rsidRPr="00EE0E71" w:rsidRDefault="002922F7" w:rsidP="002922F7">
            <w:pPr>
              <w:keepNext/>
            </w:pPr>
          </w:p>
        </w:tc>
        <w:tc>
          <w:tcPr>
            <w:tcW w:w="1355" w:type="dxa"/>
            <w:vMerge w:val="restart"/>
            <w:vAlign w:val="center"/>
          </w:tcPr>
          <w:p w14:paraId="25323B8B" w14:textId="77777777" w:rsidR="002922F7" w:rsidRDefault="002922F7" w:rsidP="002922F7">
            <w:pPr>
              <w:pStyle w:val="TabletextCentreTotal"/>
              <w:keepNext/>
            </w:pPr>
            <w:r w:rsidRPr="00EE0E71">
              <w:t>3rd quartile</w:t>
            </w:r>
          </w:p>
        </w:tc>
        <w:tc>
          <w:tcPr>
            <w:tcW w:w="1366" w:type="dxa"/>
          </w:tcPr>
          <w:p w14:paraId="13230210" w14:textId="77777777" w:rsidR="002922F7" w:rsidRDefault="002922F7" w:rsidP="002922F7">
            <w:pPr>
              <w:pStyle w:val="TabletextLeftTotal"/>
              <w:keepNext/>
            </w:pPr>
            <w:r w:rsidRPr="00EE0E71">
              <w:t>observed proportion</w:t>
            </w:r>
          </w:p>
        </w:tc>
        <w:tc>
          <w:tcPr>
            <w:tcW w:w="1301" w:type="dxa"/>
          </w:tcPr>
          <w:p w14:paraId="4112ECFD" w14:textId="77777777" w:rsidR="002922F7" w:rsidRDefault="002922F7" w:rsidP="002922F7">
            <w:pPr>
              <w:pStyle w:val="TabletextCentre"/>
              <w:keepNext/>
            </w:pPr>
            <w:r w:rsidRPr="00E25861">
              <w:t>5.10%</w:t>
            </w:r>
          </w:p>
        </w:tc>
        <w:tc>
          <w:tcPr>
            <w:tcW w:w="1301" w:type="dxa"/>
          </w:tcPr>
          <w:p w14:paraId="0E1A8333" w14:textId="77777777" w:rsidR="002922F7" w:rsidRDefault="002922F7" w:rsidP="002922F7">
            <w:pPr>
              <w:pStyle w:val="TabletextCentre"/>
              <w:keepNext/>
            </w:pPr>
            <w:r w:rsidRPr="00E25861">
              <w:t>7.48%</w:t>
            </w:r>
          </w:p>
        </w:tc>
        <w:tc>
          <w:tcPr>
            <w:tcW w:w="1309" w:type="dxa"/>
          </w:tcPr>
          <w:p w14:paraId="2A27F479" w14:textId="77777777" w:rsidR="002922F7" w:rsidRDefault="002922F7" w:rsidP="002922F7">
            <w:pPr>
              <w:pStyle w:val="TabletextCentre"/>
              <w:keepNext/>
            </w:pPr>
            <w:r w:rsidRPr="00E25861">
              <w:t>7.48%</w:t>
            </w:r>
          </w:p>
        </w:tc>
        <w:tc>
          <w:tcPr>
            <w:tcW w:w="1302" w:type="dxa"/>
          </w:tcPr>
          <w:p w14:paraId="59DAA198" w14:textId="77777777" w:rsidR="002922F7" w:rsidRDefault="002922F7" w:rsidP="002922F7">
            <w:pPr>
              <w:pStyle w:val="TabletextCentre"/>
              <w:keepNext/>
            </w:pPr>
            <w:r w:rsidRPr="00E25861">
              <w:t>4.76%</w:t>
            </w:r>
          </w:p>
        </w:tc>
      </w:tr>
      <w:tr w:rsidR="002922F7" w14:paraId="62BF7E10" w14:textId="77777777" w:rsidTr="002922F7">
        <w:tc>
          <w:tcPr>
            <w:tcW w:w="1092" w:type="dxa"/>
            <w:vMerge/>
          </w:tcPr>
          <w:p w14:paraId="56438D6C" w14:textId="77777777" w:rsidR="002922F7" w:rsidRDefault="002922F7" w:rsidP="002922F7">
            <w:pPr>
              <w:keepNext/>
            </w:pPr>
          </w:p>
        </w:tc>
        <w:tc>
          <w:tcPr>
            <w:tcW w:w="1355" w:type="dxa"/>
            <w:vMerge/>
            <w:vAlign w:val="center"/>
          </w:tcPr>
          <w:p w14:paraId="78953F73" w14:textId="77777777" w:rsidR="002922F7" w:rsidRDefault="002922F7" w:rsidP="002922F7">
            <w:pPr>
              <w:pStyle w:val="TabletextCentreTotal"/>
              <w:keepNext/>
            </w:pPr>
          </w:p>
        </w:tc>
        <w:tc>
          <w:tcPr>
            <w:tcW w:w="1366" w:type="dxa"/>
          </w:tcPr>
          <w:p w14:paraId="10B0091B" w14:textId="77777777" w:rsidR="002922F7" w:rsidRDefault="002922F7" w:rsidP="002922F7">
            <w:pPr>
              <w:pStyle w:val="TabletextLeftTotal"/>
              <w:keepNext/>
            </w:pPr>
            <w:r w:rsidRPr="00EE0E71">
              <w:t>expected proportion</w:t>
            </w:r>
          </w:p>
        </w:tc>
        <w:tc>
          <w:tcPr>
            <w:tcW w:w="1301" w:type="dxa"/>
          </w:tcPr>
          <w:p w14:paraId="4C59FAB1" w14:textId="77777777" w:rsidR="002922F7" w:rsidRDefault="002922F7" w:rsidP="002922F7">
            <w:pPr>
              <w:pStyle w:val="TabletextCentre"/>
              <w:keepNext/>
            </w:pPr>
            <w:r w:rsidRPr="00E25861">
              <w:t>6.00%</w:t>
            </w:r>
          </w:p>
        </w:tc>
        <w:tc>
          <w:tcPr>
            <w:tcW w:w="1301" w:type="dxa"/>
          </w:tcPr>
          <w:p w14:paraId="32F346BF" w14:textId="77777777" w:rsidR="002922F7" w:rsidRDefault="002922F7" w:rsidP="002922F7">
            <w:pPr>
              <w:pStyle w:val="TabletextCentre"/>
              <w:keepNext/>
            </w:pPr>
            <w:r w:rsidRPr="00E25861">
              <w:t>6.59%</w:t>
            </w:r>
          </w:p>
        </w:tc>
        <w:tc>
          <w:tcPr>
            <w:tcW w:w="1309" w:type="dxa"/>
          </w:tcPr>
          <w:p w14:paraId="39EDDD30" w14:textId="77777777" w:rsidR="002922F7" w:rsidRDefault="002922F7" w:rsidP="002922F7">
            <w:pPr>
              <w:pStyle w:val="TabletextCentre"/>
              <w:keepNext/>
            </w:pPr>
            <w:r w:rsidRPr="00E25861">
              <w:t>6.17%</w:t>
            </w:r>
          </w:p>
        </w:tc>
        <w:tc>
          <w:tcPr>
            <w:tcW w:w="1302" w:type="dxa"/>
          </w:tcPr>
          <w:p w14:paraId="754B3F12" w14:textId="77777777" w:rsidR="002922F7" w:rsidRDefault="002922F7" w:rsidP="002922F7">
            <w:pPr>
              <w:pStyle w:val="TabletextCentre"/>
              <w:keepNext/>
            </w:pPr>
            <w:r w:rsidRPr="00E25861">
              <w:t>6.08%</w:t>
            </w:r>
          </w:p>
        </w:tc>
      </w:tr>
      <w:tr w:rsidR="002922F7" w14:paraId="785245B9" w14:textId="77777777" w:rsidTr="002922F7">
        <w:tc>
          <w:tcPr>
            <w:tcW w:w="1092" w:type="dxa"/>
            <w:vMerge/>
          </w:tcPr>
          <w:p w14:paraId="675414A3" w14:textId="77777777" w:rsidR="002922F7" w:rsidRDefault="002922F7" w:rsidP="002922F7">
            <w:pPr>
              <w:keepNext/>
            </w:pPr>
          </w:p>
        </w:tc>
        <w:tc>
          <w:tcPr>
            <w:tcW w:w="1355" w:type="dxa"/>
            <w:vMerge/>
            <w:vAlign w:val="center"/>
          </w:tcPr>
          <w:p w14:paraId="1FA88F7A" w14:textId="77777777" w:rsidR="002922F7" w:rsidRDefault="002922F7" w:rsidP="002922F7">
            <w:pPr>
              <w:pStyle w:val="TabletextCentreTotal"/>
              <w:keepNext/>
            </w:pPr>
          </w:p>
        </w:tc>
        <w:tc>
          <w:tcPr>
            <w:tcW w:w="1366" w:type="dxa"/>
          </w:tcPr>
          <w:p w14:paraId="20950221" w14:textId="77777777" w:rsidR="002922F7" w:rsidRDefault="002922F7" w:rsidP="002922F7">
            <w:pPr>
              <w:pStyle w:val="TabletextLeftTotal"/>
              <w:keepNext/>
            </w:pPr>
            <w:r w:rsidRPr="00EE0E71">
              <w:t>p-value</w:t>
            </w:r>
          </w:p>
        </w:tc>
        <w:tc>
          <w:tcPr>
            <w:tcW w:w="1301" w:type="dxa"/>
          </w:tcPr>
          <w:p w14:paraId="0F7F786B" w14:textId="77777777" w:rsidR="002922F7" w:rsidRDefault="002922F7" w:rsidP="002922F7">
            <w:pPr>
              <w:pStyle w:val="TabletextCentre"/>
              <w:keepNext/>
            </w:pPr>
            <w:r w:rsidRPr="00E25861">
              <w:t>0.2409</w:t>
            </w:r>
          </w:p>
        </w:tc>
        <w:tc>
          <w:tcPr>
            <w:tcW w:w="1301" w:type="dxa"/>
          </w:tcPr>
          <w:p w14:paraId="283B5ED7" w14:textId="77777777" w:rsidR="002922F7" w:rsidRDefault="002922F7" w:rsidP="002922F7">
            <w:pPr>
              <w:pStyle w:val="TabletextCentre"/>
              <w:keepNext/>
            </w:pPr>
            <w:r w:rsidRPr="00E25861">
              <w:t>0.2550</w:t>
            </w:r>
          </w:p>
        </w:tc>
        <w:tc>
          <w:tcPr>
            <w:tcW w:w="1309" w:type="dxa"/>
          </w:tcPr>
          <w:p w14:paraId="08B219E7" w14:textId="77777777" w:rsidR="002922F7" w:rsidRDefault="002922F7" w:rsidP="002922F7">
            <w:pPr>
              <w:pStyle w:val="TabletextCentre"/>
              <w:keepNext/>
            </w:pPr>
            <w:r w:rsidRPr="00E25861">
              <w:t>0.0869</w:t>
            </w:r>
          </w:p>
        </w:tc>
        <w:tc>
          <w:tcPr>
            <w:tcW w:w="1302" w:type="dxa"/>
          </w:tcPr>
          <w:p w14:paraId="33986472" w14:textId="77777777" w:rsidR="002922F7" w:rsidRDefault="002922F7" w:rsidP="002922F7">
            <w:pPr>
              <w:pStyle w:val="TabletextCentre"/>
              <w:keepNext/>
            </w:pPr>
            <w:r w:rsidRPr="00E25861">
              <w:t>0.0852</w:t>
            </w:r>
          </w:p>
        </w:tc>
      </w:tr>
      <w:tr w:rsidR="002922F7" w14:paraId="622D47C9" w14:textId="77777777" w:rsidTr="002922F7">
        <w:tc>
          <w:tcPr>
            <w:tcW w:w="1092" w:type="dxa"/>
            <w:vMerge/>
          </w:tcPr>
          <w:p w14:paraId="0749C205" w14:textId="77777777" w:rsidR="002922F7" w:rsidRPr="00EE0E71" w:rsidRDefault="002922F7" w:rsidP="002922F7">
            <w:pPr>
              <w:keepNext/>
            </w:pPr>
          </w:p>
        </w:tc>
        <w:tc>
          <w:tcPr>
            <w:tcW w:w="1355" w:type="dxa"/>
            <w:vMerge w:val="restart"/>
            <w:vAlign w:val="center"/>
          </w:tcPr>
          <w:p w14:paraId="33A4FE60" w14:textId="77777777" w:rsidR="002922F7" w:rsidRDefault="002922F7" w:rsidP="002922F7">
            <w:pPr>
              <w:pStyle w:val="TabletextCentreTotal"/>
              <w:keepNext/>
            </w:pPr>
            <w:r w:rsidRPr="00EE0E71">
              <w:t>4th quartile</w:t>
            </w:r>
          </w:p>
        </w:tc>
        <w:tc>
          <w:tcPr>
            <w:tcW w:w="1366" w:type="dxa"/>
          </w:tcPr>
          <w:p w14:paraId="5BBF8A6E" w14:textId="77777777" w:rsidR="002922F7" w:rsidRDefault="002922F7" w:rsidP="002922F7">
            <w:pPr>
              <w:pStyle w:val="TabletextLeftTotal"/>
              <w:keepNext/>
            </w:pPr>
            <w:r w:rsidRPr="00EE0E71">
              <w:t>observed proportion</w:t>
            </w:r>
          </w:p>
        </w:tc>
        <w:tc>
          <w:tcPr>
            <w:tcW w:w="1301" w:type="dxa"/>
          </w:tcPr>
          <w:p w14:paraId="5E2E8AD5" w14:textId="77777777" w:rsidR="002922F7" w:rsidRDefault="002922F7" w:rsidP="002922F7">
            <w:pPr>
              <w:pStyle w:val="TabletextCentre"/>
              <w:keepNext/>
            </w:pPr>
            <w:r w:rsidRPr="00E25861">
              <w:t>6.97%</w:t>
            </w:r>
          </w:p>
        </w:tc>
        <w:tc>
          <w:tcPr>
            <w:tcW w:w="1301" w:type="dxa"/>
          </w:tcPr>
          <w:p w14:paraId="3A90E44C" w14:textId="77777777" w:rsidR="002922F7" w:rsidRDefault="002922F7" w:rsidP="002922F7">
            <w:pPr>
              <w:pStyle w:val="TabletextCentre"/>
              <w:keepNext/>
            </w:pPr>
            <w:r w:rsidRPr="00E25861">
              <w:t>7.82%</w:t>
            </w:r>
          </w:p>
        </w:tc>
        <w:tc>
          <w:tcPr>
            <w:tcW w:w="1309" w:type="dxa"/>
          </w:tcPr>
          <w:p w14:paraId="6393060F" w14:textId="77777777" w:rsidR="002922F7" w:rsidRDefault="002922F7" w:rsidP="002922F7">
            <w:pPr>
              <w:pStyle w:val="TabletextCentre"/>
              <w:keepNext/>
            </w:pPr>
            <w:r w:rsidRPr="00E25861">
              <w:t>4.25%</w:t>
            </w:r>
          </w:p>
        </w:tc>
        <w:tc>
          <w:tcPr>
            <w:tcW w:w="1302" w:type="dxa"/>
          </w:tcPr>
          <w:p w14:paraId="1A5C4E1C" w14:textId="77777777" w:rsidR="002922F7" w:rsidRDefault="002922F7" w:rsidP="002922F7">
            <w:pPr>
              <w:pStyle w:val="TabletextCentre"/>
              <w:keepNext/>
            </w:pPr>
            <w:r w:rsidRPr="00E25861">
              <w:t>6.29%</w:t>
            </w:r>
          </w:p>
        </w:tc>
      </w:tr>
      <w:tr w:rsidR="002922F7" w14:paraId="60B705FA" w14:textId="77777777" w:rsidTr="002922F7">
        <w:tc>
          <w:tcPr>
            <w:tcW w:w="1092" w:type="dxa"/>
            <w:vMerge/>
          </w:tcPr>
          <w:p w14:paraId="7E27CC06" w14:textId="77777777" w:rsidR="002922F7" w:rsidRDefault="002922F7" w:rsidP="002922F7">
            <w:pPr>
              <w:keepNext/>
            </w:pPr>
          </w:p>
        </w:tc>
        <w:tc>
          <w:tcPr>
            <w:tcW w:w="1355" w:type="dxa"/>
            <w:vMerge/>
          </w:tcPr>
          <w:p w14:paraId="57CAF27F" w14:textId="77777777" w:rsidR="002922F7" w:rsidRDefault="002922F7" w:rsidP="002922F7">
            <w:pPr>
              <w:pStyle w:val="TabletextCentreTotal"/>
              <w:keepNext/>
            </w:pPr>
          </w:p>
        </w:tc>
        <w:tc>
          <w:tcPr>
            <w:tcW w:w="1366" w:type="dxa"/>
          </w:tcPr>
          <w:p w14:paraId="1FC5D6C5" w14:textId="77777777" w:rsidR="002922F7" w:rsidRDefault="002922F7" w:rsidP="002922F7">
            <w:pPr>
              <w:pStyle w:val="TabletextLeftTotal"/>
              <w:keepNext/>
            </w:pPr>
            <w:r w:rsidRPr="00EE0E71">
              <w:t>expected proportion</w:t>
            </w:r>
          </w:p>
        </w:tc>
        <w:tc>
          <w:tcPr>
            <w:tcW w:w="1301" w:type="dxa"/>
          </w:tcPr>
          <w:p w14:paraId="03CCF4E0" w14:textId="77777777" w:rsidR="002922F7" w:rsidRDefault="002922F7" w:rsidP="002922F7">
            <w:pPr>
              <w:pStyle w:val="TabletextCentre"/>
              <w:keepNext/>
            </w:pPr>
            <w:r w:rsidRPr="00E25861">
              <w:t>6.12%</w:t>
            </w:r>
          </w:p>
        </w:tc>
        <w:tc>
          <w:tcPr>
            <w:tcW w:w="1301" w:type="dxa"/>
          </w:tcPr>
          <w:p w14:paraId="68DAD66B" w14:textId="77777777" w:rsidR="002922F7" w:rsidRDefault="002922F7" w:rsidP="002922F7">
            <w:pPr>
              <w:pStyle w:val="TabletextCentre"/>
              <w:keepNext/>
            </w:pPr>
            <w:r w:rsidRPr="00E25861">
              <w:t>6.72%</w:t>
            </w:r>
          </w:p>
        </w:tc>
        <w:tc>
          <w:tcPr>
            <w:tcW w:w="1309" w:type="dxa"/>
          </w:tcPr>
          <w:p w14:paraId="2E60A4AF" w14:textId="77777777" w:rsidR="002922F7" w:rsidRDefault="002922F7" w:rsidP="002922F7">
            <w:pPr>
              <w:pStyle w:val="TabletextCentre"/>
              <w:keepNext/>
            </w:pPr>
            <w:r w:rsidRPr="00E25861">
              <w:t>6.29%</w:t>
            </w:r>
          </w:p>
        </w:tc>
        <w:tc>
          <w:tcPr>
            <w:tcW w:w="1302" w:type="dxa"/>
          </w:tcPr>
          <w:p w14:paraId="4C9A90EF" w14:textId="77777777" w:rsidR="002922F7" w:rsidRDefault="002922F7" w:rsidP="002922F7">
            <w:pPr>
              <w:pStyle w:val="TabletextCentre"/>
              <w:keepNext/>
            </w:pPr>
            <w:r w:rsidRPr="00E25861">
              <w:t>6.21%</w:t>
            </w:r>
          </w:p>
        </w:tc>
      </w:tr>
      <w:tr w:rsidR="002922F7" w14:paraId="3E8364D0" w14:textId="77777777" w:rsidTr="002922F7">
        <w:tc>
          <w:tcPr>
            <w:tcW w:w="1092" w:type="dxa"/>
            <w:vMerge/>
          </w:tcPr>
          <w:p w14:paraId="686D29E6" w14:textId="77777777" w:rsidR="002922F7" w:rsidRDefault="002922F7" w:rsidP="002922F7">
            <w:pPr>
              <w:keepNext/>
            </w:pPr>
          </w:p>
        </w:tc>
        <w:tc>
          <w:tcPr>
            <w:tcW w:w="1355" w:type="dxa"/>
            <w:vMerge/>
          </w:tcPr>
          <w:p w14:paraId="3EED53D7" w14:textId="77777777" w:rsidR="002922F7" w:rsidRDefault="002922F7" w:rsidP="002922F7">
            <w:pPr>
              <w:pStyle w:val="TabletextCentreTotal"/>
              <w:keepNext/>
            </w:pPr>
          </w:p>
        </w:tc>
        <w:tc>
          <w:tcPr>
            <w:tcW w:w="1366" w:type="dxa"/>
          </w:tcPr>
          <w:p w14:paraId="31B63F8A" w14:textId="77777777" w:rsidR="002922F7" w:rsidRDefault="002922F7" w:rsidP="002922F7">
            <w:pPr>
              <w:pStyle w:val="TabletextLeftTotal"/>
              <w:keepNext/>
            </w:pPr>
            <w:r w:rsidRPr="00EE0E71">
              <w:t>p-value</w:t>
            </w:r>
          </w:p>
        </w:tc>
        <w:tc>
          <w:tcPr>
            <w:tcW w:w="1301" w:type="dxa"/>
          </w:tcPr>
          <w:p w14:paraId="37B06235" w14:textId="77777777" w:rsidR="002922F7" w:rsidRDefault="002922F7" w:rsidP="002922F7">
            <w:pPr>
              <w:pStyle w:val="TabletextCentre"/>
              <w:keepNext/>
            </w:pPr>
            <w:r w:rsidRPr="00E25861">
              <w:t>0.2664</w:t>
            </w:r>
          </w:p>
        </w:tc>
        <w:tc>
          <w:tcPr>
            <w:tcW w:w="1301" w:type="dxa"/>
          </w:tcPr>
          <w:p w14:paraId="04B45344" w14:textId="77777777" w:rsidR="002922F7" w:rsidRDefault="002922F7" w:rsidP="002922F7">
            <w:pPr>
              <w:pStyle w:val="TabletextCentre"/>
              <w:keepNext/>
            </w:pPr>
            <w:r w:rsidRPr="00E25861">
              <w:t>0.1647</w:t>
            </w:r>
          </w:p>
        </w:tc>
        <w:tc>
          <w:tcPr>
            <w:tcW w:w="1309" w:type="dxa"/>
          </w:tcPr>
          <w:p w14:paraId="14EAFA2C" w14:textId="77777777" w:rsidR="002922F7" w:rsidRDefault="002922F7" w:rsidP="002922F7">
            <w:pPr>
              <w:pStyle w:val="TabletextCentre"/>
              <w:keepNext/>
            </w:pPr>
            <w:r w:rsidRPr="00E25861">
              <w:t>0.0085</w:t>
            </w:r>
          </w:p>
        </w:tc>
        <w:tc>
          <w:tcPr>
            <w:tcW w:w="1302" w:type="dxa"/>
          </w:tcPr>
          <w:p w14:paraId="158C32BE" w14:textId="77777777" w:rsidR="002922F7" w:rsidRDefault="002922F7" w:rsidP="002922F7">
            <w:pPr>
              <w:pStyle w:val="TabletextCentre"/>
              <w:keepNext/>
            </w:pPr>
            <w:r w:rsidRPr="00E25861">
              <w:t>0.9104</w:t>
            </w:r>
          </w:p>
        </w:tc>
      </w:tr>
    </w:tbl>
    <w:p w14:paraId="51BF4578" w14:textId="77777777" w:rsidR="002922F7" w:rsidRDefault="002922F7" w:rsidP="002922F7">
      <w:pPr>
        <w:rPr>
          <w:lang w:eastAsia="en-AU"/>
        </w:rPr>
      </w:pPr>
    </w:p>
    <w:p w14:paraId="31D8F87E" w14:textId="77777777" w:rsidR="002922F7" w:rsidRDefault="002922F7" w:rsidP="00400621">
      <w:pPr>
        <w:pStyle w:val="AppendixTableCaption"/>
        <w:numPr>
          <w:ilvl w:val="6"/>
          <w:numId w:val="11"/>
        </w:numPr>
      </w:pPr>
      <w:bookmarkStart w:id="310" w:name="_Toc40454717"/>
      <w:r>
        <w:lastRenderedPageBreak/>
        <w:t>Staff remuneration and overheads, cross</w:t>
      </w:r>
      <w:r>
        <w:noBreakHyphen/>
        <w:t>tabulated distribution</w:t>
      </w:r>
      <w:bookmarkEnd w:id="310"/>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1FA69E27"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6BC1C2D4" w14:textId="77777777" w:rsidR="002922F7" w:rsidRDefault="002922F7" w:rsidP="002922F7">
            <w:pPr>
              <w:keepNext/>
            </w:pPr>
          </w:p>
        </w:tc>
        <w:tc>
          <w:tcPr>
            <w:tcW w:w="1355" w:type="dxa"/>
          </w:tcPr>
          <w:p w14:paraId="035C1CAE" w14:textId="77777777" w:rsidR="002922F7" w:rsidRDefault="002922F7" w:rsidP="002922F7">
            <w:pPr>
              <w:keepNext/>
            </w:pPr>
          </w:p>
        </w:tc>
        <w:tc>
          <w:tcPr>
            <w:tcW w:w="1366" w:type="dxa"/>
          </w:tcPr>
          <w:p w14:paraId="7FC4F4C8" w14:textId="77777777" w:rsidR="002922F7" w:rsidRDefault="002922F7" w:rsidP="002922F7">
            <w:pPr>
              <w:keepNext/>
            </w:pPr>
          </w:p>
        </w:tc>
        <w:tc>
          <w:tcPr>
            <w:tcW w:w="5213" w:type="dxa"/>
            <w:gridSpan w:val="4"/>
          </w:tcPr>
          <w:p w14:paraId="41EF97FD" w14:textId="77777777" w:rsidR="002922F7" w:rsidRDefault="002922F7" w:rsidP="002922F7">
            <w:pPr>
              <w:pStyle w:val="TableHeadingCentre"/>
              <w:keepNext/>
            </w:pPr>
            <w:r>
              <w:t>Overheads</w:t>
            </w:r>
          </w:p>
        </w:tc>
      </w:tr>
      <w:tr w:rsidR="002922F7" w14:paraId="199F6CCB" w14:textId="77777777" w:rsidTr="002922F7">
        <w:tc>
          <w:tcPr>
            <w:tcW w:w="1092" w:type="dxa"/>
          </w:tcPr>
          <w:p w14:paraId="560DFE75" w14:textId="77777777" w:rsidR="002922F7" w:rsidRDefault="002922F7" w:rsidP="002922F7">
            <w:pPr>
              <w:keepNext/>
            </w:pPr>
          </w:p>
        </w:tc>
        <w:tc>
          <w:tcPr>
            <w:tcW w:w="1355" w:type="dxa"/>
          </w:tcPr>
          <w:p w14:paraId="71E7A27F" w14:textId="77777777" w:rsidR="002922F7" w:rsidRDefault="002922F7" w:rsidP="002922F7">
            <w:pPr>
              <w:keepNext/>
            </w:pPr>
          </w:p>
        </w:tc>
        <w:tc>
          <w:tcPr>
            <w:tcW w:w="1366" w:type="dxa"/>
          </w:tcPr>
          <w:p w14:paraId="5E51D3BA" w14:textId="77777777" w:rsidR="002922F7" w:rsidRDefault="002922F7" w:rsidP="002922F7">
            <w:pPr>
              <w:keepNext/>
            </w:pPr>
          </w:p>
        </w:tc>
        <w:tc>
          <w:tcPr>
            <w:tcW w:w="1301" w:type="dxa"/>
          </w:tcPr>
          <w:p w14:paraId="04346E80" w14:textId="77777777" w:rsidR="002922F7" w:rsidRDefault="002922F7" w:rsidP="002922F7">
            <w:pPr>
              <w:pStyle w:val="TabletextCentreTotal"/>
              <w:keepNext/>
              <w:jc w:val="left"/>
            </w:pPr>
            <w:r w:rsidRPr="00EE0E71">
              <w:t>1st quartile</w:t>
            </w:r>
          </w:p>
        </w:tc>
        <w:tc>
          <w:tcPr>
            <w:tcW w:w="1301" w:type="dxa"/>
          </w:tcPr>
          <w:p w14:paraId="6A7FD580" w14:textId="77777777" w:rsidR="002922F7" w:rsidRDefault="002922F7" w:rsidP="002922F7">
            <w:pPr>
              <w:pStyle w:val="TabletextCentreTotal"/>
              <w:keepNext/>
            </w:pPr>
            <w:r w:rsidRPr="00EE0E71">
              <w:t>2nd quartile</w:t>
            </w:r>
          </w:p>
        </w:tc>
        <w:tc>
          <w:tcPr>
            <w:tcW w:w="1309" w:type="dxa"/>
          </w:tcPr>
          <w:p w14:paraId="452E87C3" w14:textId="77777777" w:rsidR="002922F7" w:rsidRDefault="002922F7" w:rsidP="002922F7">
            <w:pPr>
              <w:pStyle w:val="TabletextCentreTotal"/>
              <w:keepNext/>
            </w:pPr>
            <w:r w:rsidRPr="00EE0E71">
              <w:t>3rd quartile</w:t>
            </w:r>
          </w:p>
        </w:tc>
        <w:tc>
          <w:tcPr>
            <w:tcW w:w="1302" w:type="dxa"/>
          </w:tcPr>
          <w:p w14:paraId="251B0BC6" w14:textId="77777777" w:rsidR="002922F7" w:rsidRDefault="002922F7" w:rsidP="002922F7">
            <w:pPr>
              <w:pStyle w:val="TabletextCentreTotal"/>
              <w:keepNext/>
            </w:pPr>
            <w:r w:rsidRPr="00EE0E71">
              <w:t>4th quartile</w:t>
            </w:r>
          </w:p>
        </w:tc>
      </w:tr>
      <w:tr w:rsidR="002922F7" w14:paraId="1ADC4607" w14:textId="77777777" w:rsidTr="002922F7">
        <w:tc>
          <w:tcPr>
            <w:tcW w:w="1092" w:type="dxa"/>
            <w:vMerge w:val="restart"/>
            <w:textDirection w:val="btLr"/>
          </w:tcPr>
          <w:p w14:paraId="141D74A0" w14:textId="77777777" w:rsidR="002922F7" w:rsidRPr="00EE0E71" w:rsidRDefault="002922F7" w:rsidP="002922F7">
            <w:pPr>
              <w:pStyle w:val="TableHeadingCentre"/>
              <w:keepNext/>
            </w:pPr>
            <w:r>
              <w:t>Staff remuneration</w:t>
            </w:r>
          </w:p>
        </w:tc>
        <w:tc>
          <w:tcPr>
            <w:tcW w:w="1355" w:type="dxa"/>
            <w:vMerge w:val="restart"/>
            <w:vAlign w:val="center"/>
          </w:tcPr>
          <w:p w14:paraId="490FDF8A" w14:textId="77777777" w:rsidR="002922F7" w:rsidRDefault="002922F7" w:rsidP="002922F7">
            <w:pPr>
              <w:pStyle w:val="TabletextCentreTotal"/>
              <w:keepNext/>
            </w:pPr>
            <w:r w:rsidRPr="00EE0E71">
              <w:t>1st quartile</w:t>
            </w:r>
          </w:p>
        </w:tc>
        <w:tc>
          <w:tcPr>
            <w:tcW w:w="1366" w:type="dxa"/>
          </w:tcPr>
          <w:p w14:paraId="00FF7A91" w14:textId="77777777" w:rsidR="002922F7" w:rsidRDefault="002922F7" w:rsidP="002922F7">
            <w:pPr>
              <w:pStyle w:val="TabletextLeftTotal"/>
              <w:keepNext/>
            </w:pPr>
            <w:r w:rsidRPr="00EE0E71">
              <w:t>observed proportion</w:t>
            </w:r>
          </w:p>
        </w:tc>
        <w:tc>
          <w:tcPr>
            <w:tcW w:w="1301" w:type="dxa"/>
          </w:tcPr>
          <w:p w14:paraId="640DC073" w14:textId="77777777" w:rsidR="002922F7" w:rsidRDefault="002922F7" w:rsidP="002922F7">
            <w:pPr>
              <w:pStyle w:val="TabletextCentre"/>
              <w:keepNext/>
            </w:pPr>
            <w:r w:rsidRPr="0094053A">
              <w:t>4.69%</w:t>
            </w:r>
          </w:p>
        </w:tc>
        <w:tc>
          <w:tcPr>
            <w:tcW w:w="1301" w:type="dxa"/>
          </w:tcPr>
          <w:p w14:paraId="7E9CE952" w14:textId="77777777" w:rsidR="002922F7" w:rsidRDefault="002922F7" w:rsidP="002922F7">
            <w:pPr>
              <w:pStyle w:val="TabletextCentre"/>
              <w:keepNext/>
            </w:pPr>
            <w:r w:rsidRPr="0094053A">
              <w:t>5.31%</w:t>
            </w:r>
          </w:p>
        </w:tc>
        <w:tc>
          <w:tcPr>
            <w:tcW w:w="1309" w:type="dxa"/>
          </w:tcPr>
          <w:p w14:paraId="64AFE985" w14:textId="77777777" w:rsidR="002922F7" w:rsidRDefault="002922F7" w:rsidP="002922F7">
            <w:pPr>
              <w:pStyle w:val="TabletextCentre"/>
              <w:keepNext/>
            </w:pPr>
            <w:r w:rsidRPr="0094053A">
              <w:t>5.63%</w:t>
            </w:r>
          </w:p>
        </w:tc>
        <w:tc>
          <w:tcPr>
            <w:tcW w:w="1302" w:type="dxa"/>
          </w:tcPr>
          <w:p w14:paraId="4B9E8189" w14:textId="77777777" w:rsidR="002922F7" w:rsidRDefault="002922F7" w:rsidP="002922F7">
            <w:pPr>
              <w:pStyle w:val="TabletextCentre"/>
              <w:keepNext/>
            </w:pPr>
            <w:r w:rsidRPr="0094053A">
              <w:t>9.06%</w:t>
            </w:r>
          </w:p>
        </w:tc>
      </w:tr>
      <w:tr w:rsidR="002922F7" w14:paraId="1EB84DAC" w14:textId="77777777" w:rsidTr="002922F7">
        <w:tc>
          <w:tcPr>
            <w:tcW w:w="1092" w:type="dxa"/>
            <w:vMerge/>
          </w:tcPr>
          <w:p w14:paraId="0F774B8B" w14:textId="77777777" w:rsidR="002922F7" w:rsidRDefault="002922F7" w:rsidP="002922F7">
            <w:pPr>
              <w:keepNext/>
            </w:pPr>
          </w:p>
        </w:tc>
        <w:tc>
          <w:tcPr>
            <w:tcW w:w="1355" w:type="dxa"/>
            <w:vMerge/>
            <w:vAlign w:val="center"/>
          </w:tcPr>
          <w:p w14:paraId="6E99D488" w14:textId="77777777" w:rsidR="002922F7" w:rsidRDefault="002922F7" w:rsidP="002922F7">
            <w:pPr>
              <w:pStyle w:val="TabletextCentreTotal"/>
              <w:keepNext/>
            </w:pPr>
          </w:p>
        </w:tc>
        <w:tc>
          <w:tcPr>
            <w:tcW w:w="1366" w:type="dxa"/>
          </w:tcPr>
          <w:p w14:paraId="1E7B58B9" w14:textId="77777777" w:rsidR="002922F7" w:rsidRDefault="002922F7" w:rsidP="002922F7">
            <w:pPr>
              <w:pStyle w:val="TabletextLeftTotal"/>
              <w:keepNext/>
            </w:pPr>
            <w:r w:rsidRPr="00EE0E71">
              <w:t>expected proportion</w:t>
            </w:r>
          </w:p>
        </w:tc>
        <w:tc>
          <w:tcPr>
            <w:tcW w:w="1301" w:type="dxa"/>
          </w:tcPr>
          <w:p w14:paraId="7D0779A9" w14:textId="77777777" w:rsidR="002922F7" w:rsidRDefault="002922F7" w:rsidP="002922F7">
            <w:pPr>
              <w:pStyle w:val="TabletextCentre"/>
              <w:keepNext/>
            </w:pPr>
            <w:r w:rsidRPr="0094053A">
              <w:t>6.33%</w:t>
            </w:r>
          </w:p>
        </w:tc>
        <w:tc>
          <w:tcPr>
            <w:tcW w:w="1301" w:type="dxa"/>
          </w:tcPr>
          <w:p w14:paraId="22D33B09" w14:textId="77777777" w:rsidR="002922F7" w:rsidRDefault="002922F7" w:rsidP="002922F7">
            <w:pPr>
              <w:pStyle w:val="TabletextCentre"/>
              <w:keepNext/>
            </w:pPr>
            <w:r w:rsidRPr="0094053A">
              <w:t>6.09%</w:t>
            </w:r>
          </w:p>
        </w:tc>
        <w:tc>
          <w:tcPr>
            <w:tcW w:w="1309" w:type="dxa"/>
          </w:tcPr>
          <w:p w14:paraId="1C8C9ED0" w14:textId="77777777" w:rsidR="002922F7" w:rsidRDefault="002922F7" w:rsidP="002922F7">
            <w:pPr>
              <w:pStyle w:val="TabletextCentre"/>
              <w:keepNext/>
            </w:pPr>
            <w:r w:rsidRPr="0094053A">
              <w:t>6.02%</w:t>
            </w:r>
          </w:p>
        </w:tc>
        <w:tc>
          <w:tcPr>
            <w:tcW w:w="1302" w:type="dxa"/>
          </w:tcPr>
          <w:p w14:paraId="59B56388" w14:textId="77777777" w:rsidR="002922F7" w:rsidRDefault="002922F7" w:rsidP="002922F7">
            <w:pPr>
              <w:pStyle w:val="TabletextCentre"/>
              <w:keepNext/>
            </w:pPr>
            <w:r w:rsidRPr="0094053A">
              <w:t>6.25%</w:t>
            </w:r>
          </w:p>
        </w:tc>
      </w:tr>
      <w:tr w:rsidR="002922F7" w14:paraId="1B4B6042" w14:textId="77777777" w:rsidTr="002922F7">
        <w:tc>
          <w:tcPr>
            <w:tcW w:w="1092" w:type="dxa"/>
            <w:vMerge/>
          </w:tcPr>
          <w:p w14:paraId="1F887D3A" w14:textId="77777777" w:rsidR="002922F7" w:rsidRDefault="002922F7" w:rsidP="002922F7">
            <w:pPr>
              <w:keepNext/>
            </w:pPr>
          </w:p>
        </w:tc>
        <w:tc>
          <w:tcPr>
            <w:tcW w:w="1355" w:type="dxa"/>
            <w:vMerge/>
            <w:vAlign w:val="center"/>
          </w:tcPr>
          <w:p w14:paraId="5238E752" w14:textId="77777777" w:rsidR="002922F7" w:rsidRDefault="002922F7" w:rsidP="002922F7">
            <w:pPr>
              <w:pStyle w:val="TabletextCentreTotal"/>
              <w:keepNext/>
            </w:pPr>
          </w:p>
        </w:tc>
        <w:tc>
          <w:tcPr>
            <w:tcW w:w="1366" w:type="dxa"/>
          </w:tcPr>
          <w:p w14:paraId="6C0F190A" w14:textId="77777777" w:rsidR="002922F7" w:rsidRDefault="002922F7" w:rsidP="002922F7">
            <w:pPr>
              <w:pStyle w:val="TabletextLeftTotal"/>
              <w:keepNext/>
            </w:pPr>
            <w:r w:rsidRPr="00EE0E71">
              <w:t>p-value</w:t>
            </w:r>
          </w:p>
        </w:tc>
        <w:tc>
          <w:tcPr>
            <w:tcW w:w="1301" w:type="dxa"/>
          </w:tcPr>
          <w:p w14:paraId="1A409630" w14:textId="77777777" w:rsidR="002922F7" w:rsidRDefault="002922F7" w:rsidP="002922F7">
            <w:pPr>
              <w:pStyle w:val="TabletextCentre"/>
              <w:keepNext/>
            </w:pPr>
            <w:r w:rsidRPr="0094053A">
              <w:t>0.1194</w:t>
            </w:r>
          </w:p>
        </w:tc>
        <w:tc>
          <w:tcPr>
            <w:tcW w:w="1301" w:type="dxa"/>
          </w:tcPr>
          <w:p w14:paraId="3ACE6529" w14:textId="77777777" w:rsidR="002922F7" w:rsidRDefault="002922F7" w:rsidP="002922F7">
            <w:pPr>
              <w:pStyle w:val="TabletextCentre"/>
              <w:keepNext/>
            </w:pPr>
            <w:r w:rsidRPr="0094053A">
              <w:t>0.4517</w:t>
            </w:r>
          </w:p>
        </w:tc>
        <w:tc>
          <w:tcPr>
            <w:tcW w:w="1309" w:type="dxa"/>
          </w:tcPr>
          <w:p w14:paraId="1B0BB8CD" w14:textId="77777777" w:rsidR="002922F7" w:rsidRDefault="002922F7" w:rsidP="002922F7">
            <w:pPr>
              <w:pStyle w:val="TabletextCentre"/>
              <w:keepNext/>
            </w:pPr>
            <w:r w:rsidRPr="0094053A">
              <w:t>0.7044</w:t>
            </w:r>
          </w:p>
        </w:tc>
        <w:tc>
          <w:tcPr>
            <w:tcW w:w="1302" w:type="dxa"/>
          </w:tcPr>
          <w:p w14:paraId="2BBD6152" w14:textId="77777777" w:rsidR="002922F7" w:rsidRDefault="002922F7" w:rsidP="002922F7">
            <w:pPr>
              <w:pStyle w:val="TabletextCentre"/>
              <w:keepNext/>
            </w:pPr>
            <w:r w:rsidRPr="0094053A">
              <w:t>0.0073</w:t>
            </w:r>
          </w:p>
        </w:tc>
      </w:tr>
      <w:tr w:rsidR="002922F7" w14:paraId="2763E998" w14:textId="77777777" w:rsidTr="002922F7">
        <w:tc>
          <w:tcPr>
            <w:tcW w:w="1092" w:type="dxa"/>
            <w:vMerge/>
          </w:tcPr>
          <w:p w14:paraId="35B872CF" w14:textId="77777777" w:rsidR="002922F7" w:rsidRPr="00EE0E71" w:rsidRDefault="002922F7" w:rsidP="002922F7">
            <w:pPr>
              <w:keepNext/>
            </w:pPr>
          </w:p>
        </w:tc>
        <w:tc>
          <w:tcPr>
            <w:tcW w:w="1355" w:type="dxa"/>
            <w:vMerge w:val="restart"/>
            <w:vAlign w:val="center"/>
          </w:tcPr>
          <w:p w14:paraId="001936D6" w14:textId="77777777" w:rsidR="002922F7" w:rsidRDefault="002922F7" w:rsidP="002922F7">
            <w:pPr>
              <w:pStyle w:val="TabletextCentreTotal"/>
              <w:keepNext/>
            </w:pPr>
            <w:r w:rsidRPr="00EE0E71">
              <w:t>2nd quartile</w:t>
            </w:r>
          </w:p>
        </w:tc>
        <w:tc>
          <w:tcPr>
            <w:tcW w:w="1366" w:type="dxa"/>
          </w:tcPr>
          <w:p w14:paraId="625955BB" w14:textId="77777777" w:rsidR="002922F7" w:rsidRDefault="002922F7" w:rsidP="002922F7">
            <w:pPr>
              <w:pStyle w:val="TabletextLeftTotal"/>
              <w:keepNext/>
            </w:pPr>
            <w:r w:rsidRPr="00EE0E71">
              <w:t>observed proportion</w:t>
            </w:r>
          </w:p>
        </w:tc>
        <w:tc>
          <w:tcPr>
            <w:tcW w:w="1301" w:type="dxa"/>
          </w:tcPr>
          <w:p w14:paraId="183AC44C" w14:textId="77777777" w:rsidR="002922F7" w:rsidRDefault="002922F7" w:rsidP="002922F7">
            <w:pPr>
              <w:pStyle w:val="TabletextCentre"/>
              <w:keepNext/>
            </w:pPr>
            <w:r w:rsidRPr="0094053A">
              <w:t>4.06%</w:t>
            </w:r>
          </w:p>
        </w:tc>
        <w:tc>
          <w:tcPr>
            <w:tcW w:w="1301" w:type="dxa"/>
          </w:tcPr>
          <w:p w14:paraId="2189652A" w14:textId="77777777" w:rsidR="002922F7" w:rsidRDefault="002922F7" w:rsidP="002922F7">
            <w:pPr>
              <w:pStyle w:val="TabletextCentre"/>
              <w:keepNext/>
            </w:pPr>
            <w:r w:rsidRPr="0094053A">
              <w:t>6.88%</w:t>
            </w:r>
          </w:p>
        </w:tc>
        <w:tc>
          <w:tcPr>
            <w:tcW w:w="1309" w:type="dxa"/>
          </w:tcPr>
          <w:p w14:paraId="2EFAAFA9" w14:textId="77777777" w:rsidR="002922F7" w:rsidRDefault="002922F7" w:rsidP="002922F7">
            <w:pPr>
              <w:pStyle w:val="TabletextCentre"/>
              <w:keepNext/>
            </w:pPr>
            <w:r w:rsidRPr="0094053A">
              <w:t>8.44%</w:t>
            </w:r>
          </w:p>
        </w:tc>
        <w:tc>
          <w:tcPr>
            <w:tcW w:w="1302" w:type="dxa"/>
          </w:tcPr>
          <w:p w14:paraId="6231B119" w14:textId="77777777" w:rsidR="002922F7" w:rsidRDefault="002922F7" w:rsidP="002922F7">
            <w:pPr>
              <w:pStyle w:val="TabletextCentre"/>
              <w:keepNext/>
            </w:pPr>
            <w:r w:rsidRPr="0094053A">
              <w:t>7.81%</w:t>
            </w:r>
          </w:p>
        </w:tc>
      </w:tr>
      <w:tr w:rsidR="002922F7" w14:paraId="2AB179F1" w14:textId="77777777" w:rsidTr="002922F7">
        <w:tc>
          <w:tcPr>
            <w:tcW w:w="1092" w:type="dxa"/>
            <w:vMerge/>
          </w:tcPr>
          <w:p w14:paraId="3F053A12" w14:textId="77777777" w:rsidR="002922F7" w:rsidRDefault="002922F7" w:rsidP="002922F7">
            <w:pPr>
              <w:keepNext/>
            </w:pPr>
          </w:p>
        </w:tc>
        <w:tc>
          <w:tcPr>
            <w:tcW w:w="1355" w:type="dxa"/>
            <w:vMerge/>
            <w:vAlign w:val="center"/>
          </w:tcPr>
          <w:p w14:paraId="469193D0" w14:textId="77777777" w:rsidR="002922F7" w:rsidRDefault="002922F7" w:rsidP="002922F7">
            <w:pPr>
              <w:pStyle w:val="TabletextCentreTotal"/>
              <w:keepNext/>
            </w:pPr>
          </w:p>
        </w:tc>
        <w:tc>
          <w:tcPr>
            <w:tcW w:w="1366" w:type="dxa"/>
          </w:tcPr>
          <w:p w14:paraId="59E07325" w14:textId="77777777" w:rsidR="002922F7" w:rsidRDefault="002922F7" w:rsidP="002922F7">
            <w:pPr>
              <w:pStyle w:val="TabletextLeftTotal"/>
              <w:keepNext/>
            </w:pPr>
            <w:r w:rsidRPr="00EE0E71">
              <w:t>expected proportion</w:t>
            </w:r>
          </w:p>
        </w:tc>
        <w:tc>
          <w:tcPr>
            <w:tcW w:w="1301" w:type="dxa"/>
          </w:tcPr>
          <w:p w14:paraId="12AE3174" w14:textId="77777777" w:rsidR="002922F7" w:rsidRDefault="002922F7" w:rsidP="002922F7">
            <w:pPr>
              <w:pStyle w:val="TabletextCentre"/>
              <w:keepNext/>
            </w:pPr>
            <w:r w:rsidRPr="0094053A">
              <w:t>6.97%</w:t>
            </w:r>
          </w:p>
        </w:tc>
        <w:tc>
          <w:tcPr>
            <w:tcW w:w="1301" w:type="dxa"/>
          </w:tcPr>
          <w:p w14:paraId="3FABEEE8" w14:textId="77777777" w:rsidR="002922F7" w:rsidRDefault="002922F7" w:rsidP="002922F7">
            <w:pPr>
              <w:pStyle w:val="TabletextCentre"/>
              <w:keepNext/>
            </w:pPr>
            <w:r w:rsidRPr="0094053A">
              <w:t>6.71%</w:t>
            </w:r>
          </w:p>
        </w:tc>
        <w:tc>
          <w:tcPr>
            <w:tcW w:w="1309" w:type="dxa"/>
          </w:tcPr>
          <w:p w14:paraId="41F903DC" w14:textId="77777777" w:rsidR="002922F7" w:rsidRDefault="002922F7" w:rsidP="002922F7">
            <w:pPr>
              <w:pStyle w:val="TabletextCentre"/>
              <w:keepNext/>
            </w:pPr>
            <w:r w:rsidRPr="0094053A">
              <w:t>6.63%</w:t>
            </w:r>
          </w:p>
        </w:tc>
        <w:tc>
          <w:tcPr>
            <w:tcW w:w="1302" w:type="dxa"/>
          </w:tcPr>
          <w:p w14:paraId="0915F700" w14:textId="77777777" w:rsidR="002922F7" w:rsidRDefault="002922F7" w:rsidP="002922F7">
            <w:pPr>
              <w:pStyle w:val="TabletextCentre"/>
              <w:keepNext/>
            </w:pPr>
            <w:r w:rsidRPr="0094053A">
              <w:t>6.88%</w:t>
            </w:r>
          </w:p>
        </w:tc>
      </w:tr>
      <w:tr w:rsidR="002922F7" w14:paraId="4B940C08" w14:textId="77777777" w:rsidTr="002922F7">
        <w:tc>
          <w:tcPr>
            <w:tcW w:w="1092" w:type="dxa"/>
            <w:vMerge/>
          </w:tcPr>
          <w:p w14:paraId="759FDC34" w14:textId="77777777" w:rsidR="002922F7" w:rsidRDefault="002922F7" w:rsidP="002922F7">
            <w:pPr>
              <w:keepNext/>
            </w:pPr>
          </w:p>
        </w:tc>
        <w:tc>
          <w:tcPr>
            <w:tcW w:w="1355" w:type="dxa"/>
            <w:vMerge/>
            <w:vAlign w:val="center"/>
          </w:tcPr>
          <w:p w14:paraId="10CFA5F0" w14:textId="77777777" w:rsidR="002922F7" w:rsidRDefault="002922F7" w:rsidP="002922F7">
            <w:pPr>
              <w:pStyle w:val="TabletextCentreTotal"/>
              <w:keepNext/>
            </w:pPr>
          </w:p>
        </w:tc>
        <w:tc>
          <w:tcPr>
            <w:tcW w:w="1366" w:type="dxa"/>
          </w:tcPr>
          <w:p w14:paraId="091DA329" w14:textId="77777777" w:rsidR="002922F7" w:rsidRDefault="002922F7" w:rsidP="002922F7">
            <w:pPr>
              <w:pStyle w:val="TabletextLeftTotal"/>
              <w:keepNext/>
            </w:pPr>
            <w:r w:rsidRPr="00EE0E71">
              <w:t>p-value</w:t>
            </w:r>
          </w:p>
        </w:tc>
        <w:tc>
          <w:tcPr>
            <w:tcW w:w="1301" w:type="dxa"/>
          </w:tcPr>
          <w:p w14:paraId="51090D7F" w14:textId="77777777" w:rsidR="002922F7" w:rsidRDefault="002922F7" w:rsidP="002922F7">
            <w:pPr>
              <w:pStyle w:val="TabletextCentre"/>
              <w:keepNext/>
            </w:pPr>
            <w:r w:rsidRPr="0094053A">
              <w:t>0.0075</w:t>
            </w:r>
          </w:p>
        </w:tc>
        <w:tc>
          <w:tcPr>
            <w:tcW w:w="1301" w:type="dxa"/>
          </w:tcPr>
          <w:p w14:paraId="6357A46A" w14:textId="77777777" w:rsidR="002922F7" w:rsidRDefault="002922F7" w:rsidP="002922F7">
            <w:pPr>
              <w:pStyle w:val="TabletextCentre"/>
              <w:keepNext/>
            </w:pPr>
            <w:r w:rsidRPr="0094053A">
              <w:t>0.8791</w:t>
            </w:r>
          </w:p>
        </w:tc>
        <w:tc>
          <w:tcPr>
            <w:tcW w:w="1309" w:type="dxa"/>
          </w:tcPr>
          <w:p w14:paraId="344B6A33" w14:textId="77777777" w:rsidR="002922F7" w:rsidRDefault="002922F7" w:rsidP="002922F7">
            <w:pPr>
              <w:pStyle w:val="TabletextCentre"/>
              <w:keepNext/>
            </w:pPr>
            <w:r w:rsidRPr="0094053A">
              <w:t>0.0900</w:t>
            </w:r>
          </w:p>
        </w:tc>
        <w:tc>
          <w:tcPr>
            <w:tcW w:w="1302" w:type="dxa"/>
          </w:tcPr>
          <w:p w14:paraId="4C35EB63" w14:textId="77777777" w:rsidR="002922F7" w:rsidRDefault="002922F7" w:rsidP="002922F7">
            <w:pPr>
              <w:pStyle w:val="TabletextCentre"/>
              <w:keepNext/>
            </w:pPr>
            <w:r w:rsidRPr="0094053A">
              <w:t>0.3895</w:t>
            </w:r>
          </w:p>
        </w:tc>
      </w:tr>
      <w:tr w:rsidR="002922F7" w14:paraId="7691598A" w14:textId="77777777" w:rsidTr="002922F7">
        <w:tc>
          <w:tcPr>
            <w:tcW w:w="1092" w:type="dxa"/>
            <w:vMerge/>
          </w:tcPr>
          <w:p w14:paraId="099E6B4C" w14:textId="77777777" w:rsidR="002922F7" w:rsidRPr="00EE0E71" w:rsidRDefault="002922F7" w:rsidP="002922F7">
            <w:pPr>
              <w:keepNext/>
            </w:pPr>
          </w:p>
        </w:tc>
        <w:tc>
          <w:tcPr>
            <w:tcW w:w="1355" w:type="dxa"/>
            <w:vMerge w:val="restart"/>
            <w:vAlign w:val="center"/>
          </w:tcPr>
          <w:p w14:paraId="1D86F4AA" w14:textId="77777777" w:rsidR="002922F7" w:rsidRDefault="002922F7" w:rsidP="002922F7">
            <w:pPr>
              <w:pStyle w:val="TabletextCentreTotal"/>
              <w:keepNext/>
            </w:pPr>
            <w:r w:rsidRPr="00EE0E71">
              <w:t>3rd quartile</w:t>
            </w:r>
          </w:p>
        </w:tc>
        <w:tc>
          <w:tcPr>
            <w:tcW w:w="1366" w:type="dxa"/>
          </w:tcPr>
          <w:p w14:paraId="5D64DE1F" w14:textId="77777777" w:rsidR="002922F7" w:rsidRDefault="002922F7" w:rsidP="002922F7">
            <w:pPr>
              <w:pStyle w:val="TabletextLeftTotal"/>
              <w:keepNext/>
            </w:pPr>
            <w:r w:rsidRPr="00EE0E71">
              <w:t>observed proportion</w:t>
            </w:r>
          </w:p>
        </w:tc>
        <w:tc>
          <w:tcPr>
            <w:tcW w:w="1301" w:type="dxa"/>
          </w:tcPr>
          <w:p w14:paraId="01AA263B" w14:textId="77777777" w:rsidR="002922F7" w:rsidRDefault="002922F7" w:rsidP="002922F7">
            <w:pPr>
              <w:pStyle w:val="TabletextCentre"/>
              <w:keepNext/>
            </w:pPr>
            <w:r w:rsidRPr="0094053A">
              <w:t>7.81%</w:t>
            </w:r>
          </w:p>
        </w:tc>
        <w:tc>
          <w:tcPr>
            <w:tcW w:w="1301" w:type="dxa"/>
          </w:tcPr>
          <w:p w14:paraId="7789462D" w14:textId="77777777" w:rsidR="002922F7" w:rsidRDefault="002922F7" w:rsidP="002922F7">
            <w:pPr>
              <w:pStyle w:val="TabletextCentre"/>
              <w:keepNext/>
            </w:pPr>
            <w:r w:rsidRPr="0094053A">
              <w:t>5.94%</w:t>
            </w:r>
          </w:p>
        </w:tc>
        <w:tc>
          <w:tcPr>
            <w:tcW w:w="1309" w:type="dxa"/>
          </w:tcPr>
          <w:p w14:paraId="685614A6" w14:textId="77777777" w:rsidR="002922F7" w:rsidRDefault="002922F7" w:rsidP="002922F7">
            <w:pPr>
              <w:pStyle w:val="TabletextCentre"/>
              <w:keepNext/>
            </w:pPr>
            <w:r w:rsidRPr="0094053A">
              <w:t>6.56%</w:t>
            </w:r>
          </w:p>
        </w:tc>
        <w:tc>
          <w:tcPr>
            <w:tcW w:w="1302" w:type="dxa"/>
          </w:tcPr>
          <w:p w14:paraId="496303B0" w14:textId="77777777" w:rsidR="002922F7" w:rsidRDefault="002922F7" w:rsidP="002922F7">
            <w:pPr>
              <w:pStyle w:val="TabletextCentre"/>
              <w:keepNext/>
            </w:pPr>
            <w:r w:rsidRPr="0094053A">
              <w:t>5.63%</w:t>
            </w:r>
          </w:p>
        </w:tc>
      </w:tr>
      <w:tr w:rsidR="002922F7" w14:paraId="674F4013" w14:textId="77777777" w:rsidTr="002922F7">
        <w:tc>
          <w:tcPr>
            <w:tcW w:w="1092" w:type="dxa"/>
            <w:vMerge/>
          </w:tcPr>
          <w:p w14:paraId="412504D5" w14:textId="77777777" w:rsidR="002922F7" w:rsidRDefault="002922F7" w:rsidP="002922F7">
            <w:pPr>
              <w:keepNext/>
            </w:pPr>
          </w:p>
        </w:tc>
        <w:tc>
          <w:tcPr>
            <w:tcW w:w="1355" w:type="dxa"/>
            <w:vMerge/>
            <w:vAlign w:val="center"/>
          </w:tcPr>
          <w:p w14:paraId="44374967" w14:textId="77777777" w:rsidR="002922F7" w:rsidRDefault="002922F7" w:rsidP="002922F7">
            <w:pPr>
              <w:pStyle w:val="TabletextCentreTotal"/>
              <w:keepNext/>
            </w:pPr>
          </w:p>
        </w:tc>
        <w:tc>
          <w:tcPr>
            <w:tcW w:w="1366" w:type="dxa"/>
          </w:tcPr>
          <w:p w14:paraId="1807CF15" w14:textId="77777777" w:rsidR="002922F7" w:rsidRDefault="002922F7" w:rsidP="002922F7">
            <w:pPr>
              <w:pStyle w:val="TabletextLeftTotal"/>
              <w:keepNext/>
            </w:pPr>
            <w:r w:rsidRPr="00EE0E71">
              <w:t>expected proportion</w:t>
            </w:r>
          </w:p>
        </w:tc>
        <w:tc>
          <w:tcPr>
            <w:tcW w:w="1301" w:type="dxa"/>
          </w:tcPr>
          <w:p w14:paraId="7EA02A39" w14:textId="77777777" w:rsidR="002922F7" w:rsidRDefault="002922F7" w:rsidP="002922F7">
            <w:pPr>
              <w:pStyle w:val="TabletextCentre"/>
              <w:keepNext/>
            </w:pPr>
            <w:r w:rsidRPr="0094053A">
              <w:t>6.65%</w:t>
            </w:r>
          </w:p>
        </w:tc>
        <w:tc>
          <w:tcPr>
            <w:tcW w:w="1301" w:type="dxa"/>
          </w:tcPr>
          <w:p w14:paraId="6180C57D" w14:textId="77777777" w:rsidR="002922F7" w:rsidRDefault="002922F7" w:rsidP="002922F7">
            <w:pPr>
              <w:pStyle w:val="TabletextCentre"/>
              <w:keepNext/>
            </w:pPr>
            <w:r w:rsidRPr="0094053A">
              <w:t>6.40%</w:t>
            </w:r>
          </w:p>
        </w:tc>
        <w:tc>
          <w:tcPr>
            <w:tcW w:w="1309" w:type="dxa"/>
          </w:tcPr>
          <w:p w14:paraId="2425451F" w14:textId="77777777" w:rsidR="002922F7" w:rsidRDefault="002922F7" w:rsidP="002922F7">
            <w:pPr>
              <w:pStyle w:val="TabletextCentre"/>
              <w:keepNext/>
            </w:pPr>
            <w:r w:rsidRPr="0094053A">
              <w:t>6.32%</w:t>
            </w:r>
          </w:p>
        </w:tc>
        <w:tc>
          <w:tcPr>
            <w:tcW w:w="1302" w:type="dxa"/>
          </w:tcPr>
          <w:p w14:paraId="44D981A4" w14:textId="77777777" w:rsidR="002922F7" w:rsidRDefault="002922F7" w:rsidP="002922F7">
            <w:pPr>
              <w:pStyle w:val="TabletextCentre"/>
              <w:keepNext/>
            </w:pPr>
            <w:r w:rsidRPr="0094053A">
              <w:t>6.57%</w:t>
            </w:r>
          </w:p>
        </w:tc>
      </w:tr>
      <w:tr w:rsidR="002922F7" w14:paraId="7FD4D97C" w14:textId="77777777" w:rsidTr="002922F7">
        <w:tc>
          <w:tcPr>
            <w:tcW w:w="1092" w:type="dxa"/>
            <w:vMerge/>
          </w:tcPr>
          <w:p w14:paraId="665A0E63" w14:textId="77777777" w:rsidR="002922F7" w:rsidRDefault="002922F7" w:rsidP="002922F7">
            <w:pPr>
              <w:keepNext/>
            </w:pPr>
          </w:p>
        </w:tc>
        <w:tc>
          <w:tcPr>
            <w:tcW w:w="1355" w:type="dxa"/>
            <w:vMerge/>
            <w:vAlign w:val="center"/>
          </w:tcPr>
          <w:p w14:paraId="27E6E4FA" w14:textId="77777777" w:rsidR="002922F7" w:rsidRDefault="002922F7" w:rsidP="002922F7">
            <w:pPr>
              <w:pStyle w:val="TabletextCentreTotal"/>
              <w:keepNext/>
            </w:pPr>
          </w:p>
        </w:tc>
        <w:tc>
          <w:tcPr>
            <w:tcW w:w="1366" w:type="dxa"/>
          </w:tcPr>
          <w:p w14:paraId="5FEB0BB5" w14:textId="77777777" w:rsidR="002922F7" w:rsidRDefault="002922F7" w:rsidP="002922F7">
            <w:pPr>
              <w:pStyle w:val="TabletextLeftTotal"/>
              <w:keepNext/>
            </w:pPr>
            <w:r w:rsidRPr="00EE0E71">
              <w:t>p-value</w:t>
            </w:r>
          </w:p>
        </w:tc>
        <w:tc>
          <w:tcPr>
            <w:tcW w:w="1301" w:type="dxa"/>
          </w:tcPr>
          <w:p w14:paraId="572D0421" w14:textId="77777777" w:rsidR="002922F7" w:rsidRDefault="002922F7" w:rsidP="002922F7">
            <w:pPr>
              <w:pStyle w:val="TabletextCentre"/>
              <w:keepNext/>
            </w:pPr>
            <w:r w:rsidRPr="0094053A">
              <w:t>0.2757</w:t>
            </w:r>
          </w:p>
        </w:tc>
        <w:tc>
          <w:tcPr>
            <w:tcW w:w="1301" w:type="dxa"/>
          </w:tcPr>
          <w:p w14:paraId="75045CF9" w14:textId="77777777" w:rsidR="002922F7" w:rsidRDefault="002922F7" w:rsidP="002922F7">
            <w:pPr>
              <w:pStyle w:val="TabletextCentre"/>
              <w:keepNext/>
            </w:pPr>
            <w:r w:rsidRPr="0094053A">
              <w:t>0.6593</w:t>
            </w:r>
          </w:p>
        </w:tc>
        <w:tc>
          <w:tcPr>
            <w:tcW w:w="1309" w:type="dxa"/>
          </w:tcPr>
          <w:p w14:paraId="436FA761" w14:textId="77777777" w:rsidR="002922F7" w:rsidRDefault="002922F7" w:rsidP="002922F7">
            <w:pPr>
              <w:pStyle w:val="TabletextCentre"/>
              <w:keepNext/>
            </w:pPr>
            <w:r w:rsidRPr="0094053A">
              <w:t>0.8194</w:t>
            </w:r>
          </w:p>
        </w:tc>
        <w:tc>
          <w:tcPr>
            <w:tcW w:w="1302" w:type="dxa"/>
          </w:tcPr>
          <w:p w14:paraId="2D7515DF" w14:textId="77777777" w:rsidR="002922F7" w:rsidRDefault="002922F7" w:rsidP="002922F7">
            <w:pPr>
              <w:pStyle w:val="TabletextCentre"/>
              <w:keepNext/>
            </w:pPr>
            <w:r w:rsidRPr="0094053A">
              <w:t>0.3774</w:t>
            </w:r>
          </w:p>
        </w:tc>
      </w:tr>
      <w:tr w:rsidR="002922F7" w14:paraId="0AE0C5FD" w14:textId="77777777" w:rsidTr="002922F7">
        <w:tc>
          <w:tcPr>
            <w:tcW w:w="1092" w:type="dxa"/>
            <w:vMerge/>
          </w:tcPr>
          <w:p w14:paraId="23A86335" w14:textId="77777777" w:rsidR="002922F7" w:rsidRPr="00EE0E71" w:rsidRDefault="002922F7" w:rsidP="002922F7">
            <w:pPr>
              <w:keepNext/>
            </w:pPr>
          </w:p>
        </w:tc>
        <w:tc>
          <w:tcPr>
            <w:tcW w:w="1355" w:type="dxa"/>
            <w:vMerge w:val="restart"/>
            <w:vAlign w:val="center"/>
          </w:tcPr>
          <w:p w14:paraId="0DF2B728" w14:textId="77777777" w:rsidR="002922F7" w:rsidRDefault="002922F7" w:rsidP="002922F7">
            <w:pPr>
              <w:pStyle w:val="TabletextCentreTotal"/>
              <w:keepNext/>
            </w:pPr>
            <w:r w:rsidRPr="00EE0E71">
              <w:t>4th quartile</w:t>
            </w:r>
          </w:p>
        </w:tc>
        <w:tc>
          <w:tcPr>
            <w:tcW w:w="1366" w:type="dxa"/>
          </w:tcPr>
          <w:p w14:paraId="33693746" w14:textId="77777777" w:rsidR="002922F7" w:rsidRDefault="002922F7" w:rsidP="002922F7">
            <w:pPr>
              <w:pStyle w:val="TabletextLeftTotal"/>
              <w:keepNext/>
            </w:pPr>
            <w:r w:rsidRPr="00EE0E71">
              <w:t>observed proportion</w:t>
            </w:r>
          </w:p>
        </w:tc>
        <w:tc>
          <w:tcPr>
            <w:tcW w:w="1301" w:type="dxa"/>
          </w:tcPr>
          <w:p w14:paraId="667A45AE" w14:textId="77777777" w:rsidR="002922F7" w:rsidRDefault="002922F7" w:rsidP="002922F7">
            <w:pPr>
              <w:pStyle w:val="TabletextCentre"/>
              <w:keepNext/>
            </w:pPr>
            <w:r w:rsidRPr="0094053A">
              <w:t>9.06%</w:t>
            </w:r>
          </w:p>
        </w:tc>
        <w:tc>
          <w:tcPr>
            <w:tcW w:w="1301" w:type="dxa"/>
          </w:tcPr>
          <w:p w14:paraId="7BD00876" w14:textId="77777777" w:rsidR="002922F7" w:rsidRDefault="002922F7" w:rsidP="002922F7">
            <w:pPr>
              <w:pStyle w:val="TabletextCentre"/>
              <w:keepNext/>
            </w:pPr>
            <w:r w:rsidRPr="0094053A">
              <w:t>6.56%</w:t>
            </w:r>
          </w:p>
        </w:tc>
        <w:tc>
          <w:tcPr>
            <w:tcW w:w="1309" w:type="dxa"/>
          </w:tcPr>
          <w:p w14:paraId="76E1986A" w14:textId="77777777" w:rsidR="002922F7" w:rsidRDefault="002922F7" w:rsidP="002922F7">
            <w:pPr>
              <w:pStyle w:val="TabletextCentre"/>
              <w:keepNext/>
            </w:pPr>
            <w:r w:rsidRPr="0094053A">
              <w:t>3.75%</w:t>
            </w:r>
          </w:p>
        </w:tc>
        <w:tc>
          <w:tcPr>
            <w:tcW w:w="1302" w:type="dxa"/>
          </w:tcPr>
          <w:p w14:paraId="47A11CF5" w14:textId="77777777" w:rsidR="002922F7" w:rsidRDefault="002922F7" w:rsidP="002922F7">
            <w:pPr>
              <w:pStyle w:val="TabletextCentre"/>
              <w:keepNext/>
            </w:pPr>
            <w:r w:rsidRPr="0094053A">
              <w:t>2.81%</w:t>
            </w:r>
          </w:p>
        </w:tc>
      </w:tr>
      <w:tr w:rsidR="002922F7" w14:paraId="2268B615" w14:textId="77777777" w:rsidTr="002922F7">
        <w:tc>
          <w:tcPr>
            <w:tcW w:w="1092" w:type="dxa"/>
            <w:vMerge/>
          </w:tcPr>
          <w:p w14:paraId="6C182C5C" w14:textId="77777777" w:rsidR="002922F7" w:rsidRDefault="002922F7" w:rsidP="002922F7">
            <w:pPr>
              <w:keepNext/>
            </w:pPr>
          </w:p>
        </w:tc>
        <w:tc>
          <w:tcPr>
            <w:tcW w:w="1355" w:type="dxa"/>
            <w:vMerge/>
          </w:tcPr>
          <w:p w14:paraId="766AC120" w14:textId="77777777" w:rsidR="002922F7" w:rsidRDefault="002922F7" w:rsidP="002922F7">
            <w:pPr>
              <w:pStyle w:val="TabletextCentreTotal"/>
              <w:keepNext/>
            </w:pPr>
          </w:p>
        </w:tc>
        <w:tc>
          <w:tcPr>
            <w:tcW w:w="1366" w:type="dxa"/>
          </w:tcPr>
          <w:p w14:paraId="787FE4A1" w14:textId="77777777" w:rsidR="002922F7" w:rsidRDefault="002922F7" w:rsidP="002922F7">
            <w:pPr>
              <w:pStyle w:val="TabletextLeftTotal"/>
              <w:keepNext/>
            </w:pPr>
            <w:r w:rsidRPr="00EE0E71">
              <w:t>expected proportion</w:t>
            </w:r>
          </w:p>
        </w:tc>
        <w:tc>
          <w:tcPr>
            <w:tcW w:w="1301" w:type="dxa"/>
          </w:tcPr>
          <w:p w14:paraId="5D72E601" w14:textId="77777777" w:rsidR="002922F7" w:rsidRDefault="002922F7" w:rsidP="002922F7">
            <w:pPr>
              <w:pStyle w:val="TabletextCentre"/>
              <w:keepNext/>
            </w:pPr>
            <w:r w:rsidRPr="0094053A">
              <w:t>5.69%</w:t>
            </w:r>
          </w:p>
        </w:tc>
        <w:tc>
          <w:tcPr>
            <w:tcW w:w="1301" w:type="dxa"/>
          </w:tcPr>
          <w:p w14:paraId="1BEE9566" w14:textId="77777777" w:rsidR="002922F7" w:rsidRDefault="002922F7" w:rsidP="002922F7">
            <w:pPr>
              <w:pStyle w:val="TabletextCentre"/>
              <w:keepNext/>
            </w:pPr>
            <w:r w:rsidRPr="0094053A">
              <w:t>5.48%</w:t>
            </w:r>
          </w:p>
        </w:tc>
        <w:tc>
          <w:tcPr>
            <w:tcW w:w="1309" w:type="dxa"/>
          </w:tcPr>
          <w:p w14:paraId="2AE62626" w14:textId="77777777" w:rsidR="002922F7" w:rsidRDefault="002922F7" w:rsidP="002922F7">
            <w:pPr>
              <w:pStyle w:val="TabletextCentre"/>
              <w:keepNext/>
            </w:pPr>
            <w:r w:rsidRPr="0094053A">
              <w:t>5.41%</w:t>
            </w:r>
          </w:p>
        </w:tc>
        <w:tc>
          <w:tcPr>
            <w:tcW w:w="1302" w:type="dxa"/>
          </w:tcPr>
          <w:p w14:paraId="5A524D34" w14:textId="77777777" w:rsidR="002922F7" w:rsidRDefault="002922F7" w:rsidP="002922F7">
            <w:pPr>
              <w:pStyle w:val="TabletextCentre"/>
              <w:keepNext/>
            </w:pPr>
            <w:r w:rsidRPr="0094053A">
              <w:t>5.62%</w:t>
            </w:r>
          </w:p>
        </w:tc>
      </w:tr>
      <w:tr w:rsidR="002922F7" w14:paraId="467F52B1" w14:textId="77777777" w:rsidTr="002922F7">
        <w:tc>
          <w:tcPr>
            <w:tcW w:w="1092" w:type="dxa"/>
            <w:vMerge/>
          </w:tcPr>
          <w:p w14:paraId="261E1694" w14:textId="77777777" w:rsidR="002922F7" w:rsidRDefault="002922F7" w:rsidP="002922F7">
            <w:pPr>
              <w:keepNext/>
            </w:pPr>
          </w:p>
        </w:tc>
        <w:tc>
          <w:tcPr>
            <w:tcW w:w="1355" w:type="dxa"/>
            <w:vMerge/>
          </w:tcPr>
          <w:p w14:paraId="6B54E229" w14:textId="77777777" w:rsidR="002922F7" w:rsidRDefault="002922F7" w:rsidP="002922F7">
            <w:pPr>
              <w:pStyle w:val="TabletextCentreTotal"/>
              <w:keepNext/>
            </w:pPr>
          </w:p>
        </w:tc>
        <w:tc>
          <w:tcPr>
            <w:tcW w:w="1366" w:type="dxa"/>
          </w:tcPr>
          <w:p w14:paraId="32753A27" w14:textId="77777777" w:rsidR="002922F7" w:rsidRDefault="002922F7" w:rsidP="002922F7">
            <w:pPr>
              <w:pStyle w:val="TabletextLeftTotal"/>
              <w:keepNext/>
            </w:pPr>
            <w:r w:rsidRPr="00EE0E71">
              <w:t>p-value</w:t>
            </w:r>
          </w:p>
        </w:tc>
        <w:tc>
          <w:tcPr>
            <w:tcW w:w="1301" w:type="dxa"/>
            <w:shd w:val="clear" w:color="auto" w:fill="000000" w:themeFill="text1"/>
          </w:tcPr>
          <w:p w14:paraId="5644BC5D" w14:textId="77777777" w:rsidR="002922F7" w:rsidRPr="0090508D" w:rsidRDefault="002922F7" w:rsidP="002922F7">
            <w:pPr>
              <w:pStyle w:val="TabletextCentre"/>
              <w:keepNext/>
              <w:rPr>
                <w:b/>
                <w:bCs/>
              </w:rPr>
            </w:pPr>
            <w:r w:rsidRPr="0090508D">
              <w:rPr>
                <w:b/>
                <w:bCs/>
              </w:rPr>
              <w:t>0.0009</w:t>
            </w:r>
          </w:p>
        </w:tc>
        <w:tc>
          <w:tcPr>
            <w:tcW w:w="1301" w:type="dxa"/>
          </w:tcPr>
          <w:p w14:paraId="25FB1F97" w14:textId="77777777" w:rsidR="002922F7" w:rsidRDefault="002922F7" w:rsidP="002922F7">
            <w:pPr>
              <w:pStyle w:val="TabletextCentre"/>
              <w:keepNext/>
            </w:pPr>
            <w:r w:rsidRPr="0094053A">
              <w:t>0.2787</w:t>
            </w:r>
          </w:p>
        </w:tc>
        <w:tc>
          <w:tcPr>
            <w:tcW w:w="1309" w:type="dxa"/>
          </w:tcPr>
          <w:p w14:paraId="2DF7BB99" w14:textId="77777777" w:rsidR="002922F7" w:rsidRDefault="002922F7" w:rsidP="002922F7">
            <w:pPr>
              <w:pStyle w:val="TabletextCentre"/>
              <w:keepNext/>
            </w:pPr>
            <w:r w:rsidRPr="0094053A">
              <w:t>0.0964</w:t>
            </w:r>
          </w:p>
        </w:tc>
        <w:tc>
          <w:tcPr>
            <w:tcW w:w="1302" w:type="dxa"/>
          </w:tcPr>
          <w:p w14:paraId="13E4AAF6" w14:textId="77777777" w:rsidR="002922F7" w:rsidRDefault="002922F7" w:rsidP="002922F7">
            <w:pPr>
              <w:pStyle w:val="TabletextCentre"/>
              <w:keepNext/>
            </w:pPr>
            <w:r w:rsidRPr="0094053A">
              <w:t>0.0055</w:t>
            </w:r>
          </w:p>
        </w:tc>
      </w:tr>
    </w:tbl>
    <w:p w14:paraId="1D943A67" w14:textId="77777777" w:rsidR="002922F7" w:rsidRDefault="002922F7" w:rsidP="002922F7">
      <w:pPr>
        <w:rPr>
          <w:lang w:eastAsia="en-AU"/>
        </w:rPr>
      </w:pPr>
    </w:p>
    <w:p w14:paraId="5A913CAF" w14:textId="77777777" w:rsidR="002922F7" w:rsidRDefault="002922F7" w:rsidP="00400621">
      <w:pPr>
        <w:pStyle w:val="AppendixTableCaption"/>
        <w:numPr>
          <w:ilvl w:val="6"/>
          <w:numId w:val="11"/>
        </w:numPr>
      </w:pPr>
      <w:bookmarkStart w:id="311" w:name="_Toc40454718"/>
      <w:r>
        <w:lastRenderedPageBreak/>
        <w:t>Staff remuneration and utilisation, cross</w:t>
      </w:r>
      <w:r>
        <w:noBreakHyphen/>
        <w:t>tabulated distribution</w:t>
      </w:r>
      <w:bookmarkEnd w:id="311"/>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5AD34747"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10D1F96B" w14:textId="77777777" w:rsidR="002922F7" w:rsidRDefault="002922F7" w:rsidP="002922F7">
            <w:pPr>
              <w:keepNext/>
            </w:pPr>
          </w:p>
        </w:tc>
        <w:tc>
          <w:tcPr>
            <w:tcW w:w="1355" w:type="dxa"/>
          </w:tcPr>
          <w:p w14:paraId="625A2A4D" w14:textId="77777777" w:rsidR="002922F7" w:rsidRDefault="002922F7" w:rsidP="002922F7">
            <w:pPr>
              <w:keepNext/>
            </w:pPr>
          </w:p>
        </w:tc>
        <w:tc>
          <w:tcPr>
            <w:tcW w:w="1366" w:type="dxa"/>
          </w:tcPr>
          <w:p w14:paraId="3815C129" w14:textId="77777777" w:rsidR="002922F7" w:rsidRDefault="002922F7" w:rsidP="002922F7">
            <w:pPr>
              <w:keepNext/>
            </w:pPr>
          </w:p>
        </w:tc>
        <w:tc>
          <w:tcPr>
            <w:tcW w:w="5213" w:type="dxa"/>
            <w:gridSpan w:val="4"/>
          </w:tcPr>
          <w:p w14:paraId="35A01F08" w14:textId="77777777" w:rsidR="002922F7" w:rsidRDefault="002922F7" w:rsidP="002922F7">
            <w:pPr>
              <w:pStyle w:val="TableHeadingCentre"/>
              <w:keepNext/>
            </w:pPr>
            <w:r>
              <w:t>Utilisation</w:t>
            </w:r>
          </w:p>
        </w:tc>
      </w:tr>
      <w:tr w:rsidR="002922F7" w14:paraId="783744CB" w14:textId="77777777" w:rsidTr="002922F7">
        <w:tc>
          <w:tcPr>
            <w:tcW w:w="1092" w:type="dxa"/>
          </w:tcPr>
          <w:p w14:paraId="766252AB" w14:textId="77777777" w:rsidR="002922F7" w:rsidRDefault="002922F7" w:rsidP="002922F7">
            <w:pPr>
              <w:keepNext/>
            </w:pPr>
          </w:p>
        </w:tc>
        <w:tc>
          <w:tcPr>
            <w:tcW w:w="1355" w:type="dxa"/>
          </w:tcPr>
          <w:p w14:paraId="350A6F32" w14:textId="77777777" w:rsidR="002922F7" w:rsidRDefault="002922F7" w:rsidP="002922F7">
            <w:pPr>
              <w:keepNext/>
            </w:pPr>
          </w:p>
        </w:tc>
        <w:tc>
          <w:tcPr>
            <w:tcW w:w="1366" w:type="dxa"/>
          </w:tcPr>
          <w:p w14:paraId="6C589B6A" w14:textId="77777777" w:rsidR="002922F7" w:rsidRDefault="002922F7" w:rsidP="002922F7">
            <w:pPr>
              <w:keepNext/>
            </w:pPr>
          </w:p>
        </w:tc>
        <w:tc>
          <w:tcPr>
            <w:tcW w:w="1301" w:type="dxa"/>
          </w:tcPr>
          <w:p w14:paraId="1E4F31F0" w14:textId="77777777" w:rsidR="002922F7" w:rsidRDefault="002922F7" w:rsidP="002922F7">
            <w:pPr>
              <w:pStyle w:val="TabletextCentreTotal"/>
              <w:keepNext/>
              <w:jc w:val="left"/>
            </w:pPr>
            <w:r w:rsidRPr="00EE0E71">
              <w:t>1st quartile</w:t>
            </w:r>
          </w:p>
        </w:tc>
        <w:tc>
          <w:tcPr>
            <w:tcW w:w="1301" w:type="dxa"/>
          </w:tcPr>
          <w:p w14:paraId="5F3B848D" w14:textId="77777777" w:rsidR="002922F7" w:rsidRDefault="002922F7" w:rsidP="002922F7">
            <w:pPr>
              <w:pStyle w:val="TabletextCentreTotal"/>
              <w:keepNext/>
            </w:pPr>
            <w:r w:rsidRPr="00EE0E71">
              <w:t>2nd quartile</w:t>
            </w:r>
          </w:p>
        </w:tc>
        <w:tc>
          <w:tcPr>
            <w:tcW w:w="1309" w:type="dxa"/>
          </w:tcPr>
          <w:p w14:paraId="0958F030" w14:textId="77777777" w:rsidR="002922F7" w:rsidRDefault="002922F7" w:rsidP="002922F7">
            <w:pPr>
              <w:pStyle w:val="TabletextCentreTotal"/>
              <w:keepNext/>
            </w:pPr>
            <w:r w:rsidRPr="00EE0E71">
              <w:t>3rd quartile</w:t>
            </w:r>
          </w:p>
        </w:tc>
        <w:tc>
          <w:tcPr>
            <w:tcW w:w="1302" w:type="dxa"/>
          </w:tcPr>
          <w:p w14:paraId="3403288C" w14:textId="77777777" w:rsidR="002922F7" w:rsidRDefault="002922F7" w:rsidP="002922F7">
            <w:pPr>
              <w:pStyle w:val="TabletextCentreTotal"/>
              <w:keepNext/>
              <w:jc w:val="right"/>
            </w:pPr>
            <w:r w:rsidRPr="00EE0E71">
              <w:t>4th quartile</w:t>
            </w:r>
          </w:p>
        </w:tc>
      </w:tr>
      <w:tr w:rsidR="002922F7" w14:paraId="7C500C4F" w14:textId="77777777" w:rsidTr="002922F7">
        <w:tc>
          <w:tcPr>
            <w:tcW w:w="1092" w:type="dxa"/>
            <w:vMerge w:val="restart"/>
            <w:textDirection w:val="btLr"/>
          </w:tcPr>
          <w:p w14:paraId="7B5719F3" w14:textId="77777777" w:rsidR="002922F7" w:rsidRPr="00EE0E71" w:rsidRDefault="002922F7" w:rsidP="002922F7">
            <w:pPr>
              <w:pStyle w:val="TableHeadingCentre"/>
              <w:keepNext/>
            </w:pPr>
            <w:r>
              <w:t>Staff remuneration</w:t>
            </w:r>
          </w:p>
        </w:tc>
        <w:tc>
          <w:tcPr>
            <w:tcW w:w="1355" w:type="dxa"/>
            <w:vMerge w:val="restart"/>
            <w:vAlign w:val="center"/>
          </w:tcPr>
          <w:p w14:paraId="578B895E" w14:textId="77777777" w:rsidR="002922F7" w:rsidRDefault="002922F7" w:rsidP="002922F7">
            <w:pPr>
              <w:pStyle w:val="TabletextCentreTotal"/>
              <w:keepNext/>
            </w:pPr>
            <w:r w:rsidRPr="00EE0E71">
              <w:t>1st quartile</w:t>
            </w:r>
          </w:p>
        </w:tc>
        <w:tc>
          <w:tcPr>
            <w:tcW w:w="1366" w:type="dxa"/>
          </w:tcPr>
          <w:p w14:paraId="1F21D25D" w14:textId="77777777" w:rsidR="002922F7" w:rsidRDefault="002922F7" w:rsidP="002922F7">
            <w:pPr>
              <w:pStyle w:val="TabletextLeftTotal"/>
              <w:keepNext/>
            </w:pPr>
            <w:r w:rsidRPr="00EE0E71">
              <w:t>observed proportion</w:t>
            </w:r>
          </w:p>
        </w:tc>
        <w:tc>
          <w:tcPr>
            <w:tcW w:w="1301" w:type="dxa"/>
          </w:tcPr>
          <w:p w14:paraId="6F8FECE2" w14:textId="77777777" w:rsidR="002922F7" w:rsidRDefault="002922F7" w:rsidP="002922F7">
            <w:pPr>
              <w:pStyle w:val="TabletextCentre"/>
              <w:keepNext/>
            </w:pPr>
            <w:r w:rsidRPr="00F4296A">
              <w:t>6.16%</w:t>
            </w:r>
          </w:p>
        </w:tc>
        <w:tc>
          <w:tcPr>
            <w:tcW w:w="1301" w:type="dxa"/>
          </w:tcPr>
          <w:p w14:paraId="7F7F95A8" w14:textId="77777777" w:rsidR="002922F7" w:rsidRDefault="002922F7" w:rsidP="002922F7">
            <w:pPr>
              <w:pStyle w:val="TabletextCentre"/>
              <w:keepNext/>
            </w:pPr>
            <w:r w:rsidRPr="00F4296A">
              <w:t>4.77%</w:t>
            </w:r>
          </w:p>
        </w:tc>
        <w:tc>
          <w:tcPr>
            <w:tcW w:w="1309" w:type="dxa"/>
          </w:tcPr>
          <w:p w14:paraId="5C9D3C19" w14:textId="77777777" w:rsidR="002922F7" w:rsidRDefault="002922F7" w:rsidP="002922F7">
            <w:pPr>
              <w:pStyle w:val="TabletextCentre"/>
              <w:keepNext/>
            </w:pPr>
            <w:r w:rsidRPr="00F4296A">
              <w:t>8.75%</w:t>
            </w:r>
          </w:p>
        </w:tc>
        <w:tc>
          <w:tcPr>
            <w:tcW w:w="1302" w:type="dxa"/>
          </w:tcPr>
          <w:p w14:paraId="171784D8" w14:textId="77777777" w:rsidR="002922F7" w:rsidRDefault="002922F7" w:rsidP="002922F7">
            <w:pPr>
              <w:pStyle w:val="TabletextCentre"/>
              <w:keepNext/>
            </w:pPr>
            <w:r w:rsidRPr="00F4296A">
              <w:t>6.16%</w:t>
            </w:r>
          </w:p>
        </w:tc>
      </w:tr>
      <w:tr w:rsidR="002922F7" w14:paraId="1271BE98" w14:textId="77777777" w:rsidTr="002922F7">
        <w:tc>
          <w:tcPr>
            <w:tcW w:w="1092" w:type="dxa"/>
            <w:vMerge/>
          </w:tcPr>
          <w:p w14:paraId="25F53B98" w14:textId="77777777" w:rsidR="002922F7" w:rsidRDefault="002922F7" w:rsidP="002922F7">
            <w:pPr>
              <w:keepNext/>
            </w:pPr>
          </w:p>
        </w:tc>
        <w:tc>
          <w:tcPr>
            <w:tcW w:w="1355" w:type="dxa"/>
            <w:vMerge/>
            <w:vAlign w:val="center"/>
          </w:tcPr>
          <w:p w14:paraId="4BFC0AAA" w14:textId="77777777" w:rsidR="002922F7" w:rsidRDefault="002922F7" w:rsidP="002922F7">
            <w:pPr>
              <w:pStyle w:val="TabletextCentreTotal"/>
              <w:keepNext/>
            </w:pPr>
          </w:p>
        </w:tc>
        <w:tc>
          <w:tcPr>
            <w:tcW w:w="1366" w:type="dxa"/>
          </w:tcPr>
          <w:p w14:paraId="1F31EA6F" w14:textId="77777777" w:rsidR="002922F7" w:rsidRDefault="002922F7" w:rsidP="002922F7">
            <w:pPr>
              <w:pStyle w:val="TabletextLeftTotal"/>
              <w:keepNext/>
            </w:pPr>
            <w:r w:rsidRPr="00EE0E71">
              <w:t>expected proportion</w:t>
            </w:r>
          </w:p>
        </w:tc>
        <w:tc>
          <w:tcPr>
            <w:tcW w:w="1301" w:type="dxa"/>
          </w:tcPr>
          <w:p w14:paraId="58FB7386" w14:textId="77777777" w:rsidR="002922F7" w:rsidRDefault="002922F7" w:rsidP="002922F7">
            <w:pPr>
              <w:pStyle w:val="TabletextCentre"/>
              <w:keepNext/>
            </w:pPr>
            <w:r w:rsidRPr="00F4296A">
              <w:t>6.37%</w:t>
            </w:r>
          </w:p>
        </w:tc>
        <w:tc>
          <w:tcPr>
            <w:tcW w:w="1301" w:type="dxa"/>
          </w:tcPr>
          <w:p w14:paraId="418BB54B" w14:textId="77777777" w:rsidR="002922F7" w:rsidRDefault="002922F7" w:rsidP="002922F7">
            <w:pPr>
              <w:pStyle w:val="TabletextCentre"/>
              <w:keepNext/>
            </w:pPr>
            <w:r w:rsidRPr="00F4296A">
              <w:t>4.06%</w:t>
            </w:r>
          </w:p>
        </w:tc>
        <w:tc>
          <w:tcPr>
            <w:tcW w:w="1309" w:type="dxa"/>
          </w:tcPr>
          <w:p w14:paraId="27B6E161" w14:textId="77777777" w:rsidR="002922F7" w:rsidRDefault="002922F7" w:rsidP="002922F7">
            <w:pPr>
              <w:pStyle w:val="TabletextCentre"/>
              <w:keepNext/>
            </w:pPr>
            <w:r w:rsidRPr="00F4296A">
              <w:t>8.58%</w:t>
            </w:r>
          </w:p>
        </w:tc>
        <w:tc>
          <w:tcPr>
            <w:tcW w:w="1302" w:type="dxa"/>
          </w:tcPr>
          <w:p w14:paraId="2DF105A1" w14:textId="77777777" w:rsidR="002922F7" w:rsidRDefault="002922F7" w:rsidP="002922F7">
            <w:pPr>
              <w:pStyle w:val="TabletextCentre"/>
              <w:keepNext/>
            </w:pPr>
            <w:r w:rsidRPr="00F4296A">
              <w:t>6.83%</w:t>
            </w:r>
          </w:p>
        </w:tc>
      </w:tr>
      <w:tr w:rsidR="002922F7" w14:paraId="4A41A94E" w14:textId="77777777" w:rsidTr="002922F7">
        <w:tc>
          <w:tcPr>
            <w:tcW w:w="1092" w:type="dxa"/>
            <w:vMerge/>
          </w:tcPr>
          <w:p w14:paraId="30A97D2D" w14:textId="77777777" w:rsidR="002922F7" w:rsidRDefault="002922F7" w:rsidP="002922F7">
            <w:pPr>
              <w:keepNext/>
            </w:pPr>
          </w:p>
        </w:tc>
        <w:tc>
          <w:tcPr>
            <w:tcW w:w="1355" w:type="dxa"/>
            <w:vMerge/>
            <w:vAlign w:val="center"/>
          </w:tcPr>
          <w:p w14:paraId="7133E469" w14:textId="77777777" w:rsidR="002922F7" w:rsidRDefault="002922F7" w:rsidP="002922F7">
            <w:pPr>
              <w:pStyle w:val="TabletextCentreTotal"/>
              <w:keepNext/>
            </w:pPr>
          </w:p>
        </w:tc>
        <w:tc>
          <w:tcPr>
            <w:tcW w:w="1366" w:type="dxa"/>
          </w:tcPr>
          <w:p w14:paraId="6ECE91C5" w14:textId="77777777" w:rsidR="002922F7" w:rsidRDefault="002922F7" w:rsidP="002922F7">
            <w:pPr>
              <w:pStyle w:val="TabletextLeftTotal"/>
              <w:keepNext/>
            </w:pPr>
            <w:r w:rsidRPr="00EE0E71">
              <w:t>p-value</w:t>
            </w:r>
          </w:p>
        </w:tc>
        <w:tc>
          <w:tcPr>
            <w:tcW w:w="1301" w:type="dxa"/>
          </w:tcPr>
          <w:p w14:paraId="05BB15B3" w14:textId="77777777" w:rsidR="002922F7" w:rsidRDefault="002922F7" w:rsidP="002922F7">
            <w:pPr>
              <w:pStyle w:val="TabletextCentre"/>
              <w:keepNext/>
            </w:pPr>
            <w:r w:rsidRPr="00F4296A">
              <w:t>0.8044</w:t>
            </w:r>
          </w:p>
        </w:tc>
        <w:tc>
          <w:tcPr>
            <w:tcW w:w="1301" w:type="dxa"/>
          </w:tcPr>
          <w:p w14:paraId="753C337D" w14:textId="77777777" w:rsidR="002922F7" w:rsidRDefault="002922F7" w:rsidP="002922F7">
            <w:pPr>
              <w:pStyle w:val="TabletextCentre"/>
              <w:keepNext/>
            </w:pPr>
            <w:r w:rsidRPr="00F4296A">
              <w:t>0.3160</w:t>
            </w:r>
          </w:p>
        </w:tc>
        <w:tc>
          <w:tcPr>
            <w:tcW w:w="1309" w:type="dxa"/>
          </w:tcPr>
          <w:p w14:paraId="21903CD8" w14:textId="77777777" w:rsidR="002922F7" w:rsidRDefault="002922F7" w:rsidP="002922F7">
            <w:pPr>
              <w:pStyle w:val="TabletextCentre"/>
              <w:keepNext/>
            </w:pPr>
            <w:r w:rsidRPr="00F4296A">
              <w:t>0.8560</w:t>
            </w:r>
          </w:p>
        </w:tc>
        <w:tc>
          <w:tcPr>
            <w:tcW w:w="1302" w:type="dxa"/>
          </w:tcPr>
          <w:p w14:paraId="357AFCD1" w14:textId="77777777" w:rsidR="002922F7" w:rsidRDefault="002922F7" w:rsidP="002922F7">
            <w:pPr>
              <w:pStyle w:val="TabletextCentre"/>
              <w:keepNext/>
            </w:pPr>
            <w:r w:rsidRPr="00F4296A">
              <w:t>0.4359</w:t>
            </w:r>
          </w:p>
        </w:tc>
      </w:tr>
      <w:tr w:rsidR="002922F7" w14:paraId="38B802BB" w14:textId="77777777" w:rsidTr="002922F7">
        <w:tc>
          <w:tcPr>
            <w:tcW w:w="1092" w:type="dxa"/>
            <w:vMerge/>
          </w:tcPr>
          <w:p w14:paraId="5408E4D5" w14:textId="77777777" w:rsidR="002922F7" w:rsidRPr="00EE0E71" w:rsidRDefault="002922F7" w:rsidP="002922F7">
            <w:pPr>
              <w:keepNext/>
            </w:pPr>
          </w:p>
        </w:tc>
        <w:tc>
          <w:tcPr>
            <w:tcW w:w="1355" w:type="dxa"/>
            <w:vMerge w:val="restart"/>
            <w:vAlign w:val="center"/>
          </w:tcPr>
          <w:p w14:paraId="743FB4DD" w14:textId="77777777" w:rsidR="002922F7" w:rsidRDefault="002922F7" w:rsidP="002922F7">
            <w:pPr>
              <w:pStyle w:val="TabletextCentreTotal"/>
              <w:keepNext/>
            </w:pPr>
            <w:r w:rsidRPr="00EE0E71">
              <w:t>2nd quartile</w:t>
            </w:r>
          </w:p>
        </w:tc>
        <w:tc>
          <w:tcPr>
            <w:tcW w:w="1366" w:type="dxa"/>
          </w:tcPr>
          <w:p w14:paraId="4B0A7B4B" w14:textId="77777777" w:rsidR="002922F7" w:rsidRDefault="002922F7" w:rsidP="002922F7">
            <w:pPr>
              <w:pStyle w:val="TabletextLeftTotal"/>
              <w:keepNext/>
            </w:pPr>
            <w:r w:rsidRPr="00EE0E71">
              <w:t>observed proportion</w:t>
            </w:r>
          </w:p>
        </w:tc>
        <w:tc>
          <w:tcPr>
            <w:tcW w:w="1301" w:type="dxa"/>
          </w:tcPr>
          <w:p w14:paraId="6C28D392" w14:textId="77777777" w:rsidR="002922F7" w:rsidRDefault="002922F7" w:rsidP="002922F7">
            <w:pPr>
              <w:pStyle w:val="TabletextCentre"/>
              <w:keepNext/>
            </w:pPr>
            <w:r w:rsidRPr="00F4296A">
              <w:t>3.58%</w:t>
            </w:r>
          </w:p>
        </w:tc>
        <w:tc>
          <w:tcPr>
            <w:tcW w:w="1301" w:type="dxa"/>
          </w:tcPr>
          <w:p w14:paraId="75497462" w14:textId="77777777" w:rsidR="002922F7" w:rsidRDefault="002922F7" w:rsidP="002922F7">
            <w:pPr>
              <w:pStyle w:val="TabletextCentre"/>
              <w:keepNext/>
            </w:pPr>
            <w:r w:rsidRPr="00F4296A">
              <w:t>3.98%</w:t>
            </w:r>
          </w:p>
        </w:tc>
        <w:tc>
          <w:tcPr>
            <w:tcW w:w="1309" w:type="dxa"/>
          </w:tcPr>
          <w:p w14:paraId="1E02C69E" w14:textId="77777777" w:rsidR="002922F7" w:rsidRDefault="002922F7" w:rsidP="002922F7">
            <w:pPr>
              <w:pStyle w:val="TabletextCentre"/>
              <w:keepNext/>
            </w:pPr>
            <w:r w:rsidRPr="00F4296A">
              <w:t>10.74%</w:t>
            </w:r>
          </w:p>
        </w:tc>
        <w:tc>
          <w:tcPr>
            <w:tcW w:w="1302" w:type="dxa"/>
          </w:tcPr>
          <w:p w14:paraId="6B8A6E57" w14:textId="77777777" w:rsidR="002922F7" w:rsidRDefault="002922F7" w:rsidP="002922F7">
            <w:pPr>
              <w:pStyle w:val="TabletextCentre"/>
              <w:keepNext/>
            </w:pPr>
            <w:r w:rsidRPr="00F4296A">
              <w:t>8.35%</w:t>
            </w:r>
          </w:p>
        </w:tc>
      </w:tr>
      <w:tr w:rsidR="002922F7" w14:paraId="25D6C093" w14:textId="77777777" w:rsidTr="002922F7">
        <w:tc>
          <w:tcPr>
            <w:tcW w:w="1092" w:type="dxa"/>
            <w:vMerge/>
          </w:tcPr>
          <w:p w14:paraId="064D94FB" w14:textId="77777777" w:rsidR="002922F7" w:rsidRDefault="002922F7" w:rsidP="002922F7">
            <w:pPr>
              <w:keepNext/>
            </w:pPr>
          </w:p>
        </w:tc>
        <w:tc>
          <w:tcPr>
            <w:tcW w:w="1355" w:type="dxa"/>
            <w:vMerge/>
            <w:vAlign w:val="center"/>
          </w:tcPr>
          <w:p w14:paraId="69591AE0" w14:textId="77777777" w:rsidR="002922F7" w:rsidRDefault="002922F7" w:rsidP="002922F7">
            <w:pPr>
              <w:pStyle w:val="TabletextCentreTotal"/>
              <w:keepNext/>
            </w:pPr>
          </w:p>
        </w:tc>
        <w:tc>
          <w:tcPr>
            <w:tcW w:w="1366" w:type="dxa"/>
          </w:tcPr>
          <w:p w14:paraId="1A68FE56" w14:textId="77777777" w:rsidR="002922F7" w:rsidRDefault="002922F7" w:rsidP="002922F7">
            <w:pPr>
              <w:pStyle w:val="TabletextLeftTotal"/>
              <w:keepNext/>
            </w:pPr>
            <w:r w:rsidRPr="00EE0E71">
              <w:t>expected proportion</w:t>
            </w:r>
          </w:p>
        </w:tc>
        <w:tc>
          <w:tcPr>
            <w:tcW w:w="1301" w:type="dxa"/>
          </w:tcPr>
          <w:p w14:paraId="48F1DF7D" w14:textId="77777777" w:rsidR="002922F7" w:rsidRDefault="002922F7" w:rsidP="002922F7">
            <w:pPr>
              <w:pStyle w:val="TabletextCentre"/>
              <w:keepNext/>
            </w:pPr>
            <w:r w:rsidRPr="00F4296A">
              <w:t>6.57%</w:t>
            </w:r>
          </w:p>
        </w:tc>
        <w:tc>
          <w:tcPr>
            <w:tcW w:w="1301" w:type="dxa"/>
          </w:tcPr>
          <w:p w14:paraId="0217ABBC" w14:textId="77777777" w:rsidR="002922F7" w:rsidRDefault="002922F7" w:rsidP="002922F7">
            <w:pPr>
              <w:pStyle w:val="TabletextCentre"/>
              <w:keepNext/>
            </w:pPr>
            <w:r w:rsidRPr="00F4296A">
              <w:t>4.18%</w:t>
            </w:r>
          </w:p>
        </w:tc>
        <w:tc>
          <w:tcPr>
            <w:tcW w:w="1309" w:type="dxa"/>
          </w:tcPr>
          <w:p w14:paraId="6123FF4C" w14:textId="77777777" w:rsidR="002922F7" w:rsidRDefault="002922F7" w:rsidP="002922F7">
            <w:pPr>
              <w:pStyle w:val="TabletextCentre"/>
              <w:keepNext/>
            </w:pPr>
            <w:r w:rsidRPr="00F4296A">
              <w:t>8.84%</w:t>
            </w:r>
          </w:p>
        </w:tc>
        <w:tc>
          <w:tcPr>
            <w:tcW w:w="1302" w:type="dxa"/>
          </w:tcPr>
          <w:p w14:paraId="3D05E2B3" w14:textId="77777777" w:rsidR="002922F7" w:rsidRDefault="002922F7" w:rsidP="002922F7">
            <w:pPr>
              <w:pStyle w:val="TabletextCentre"/>
              <w:keepNext/>
            </w:pPr>
            <w:r w:rsidRPr="00F4296A">
              <w:t>7.04%</w:t>
            </w:r>
          </w:p>
        </w:tc>
      </w:tr>
      <w:tr w:rsidR="002922F7" w14:paraId="789BBF05" w14:textId="77777777" w:rsidTr="002922F7">
        <w:tc>
          <w:tcPr>
            <w:tcW w:w="1092" w:type="dxa"/>
            <w:vMerge/>
          </w:tcPr>
          <w:p w14:paraId="3AA68F2F" w14:textId="77777777" w:rsidR="002922F7" w:rsidRDefault="002922F7" w:rsidP="002922F7">
            <w:pPr>
              <w:keepNext/>
            </w:pPr>
          </w:p>
        </w:tc>
        <w:tc>
          <w:tcPr>
            <w:tcW w:w="1355" w:type="dxa"/>
            <w:vMerge/>
            <w:vAlign w:val="center"/>
          </w:tcPr>
          <w:p w14:paraId="22CFD85D" w14:textId="77777777" w:rsidR="002922F7" w:rsidRDefault="002922F7" w:rsidP="002922F7">
            <w:pPr>
              <w:pStyle w:val="TabletextCentreTotal"/>
              <w:keepNext/>
            </w:pPr>
          </w:p>
        </w:tc>
        <w:tc>
          <w:tcPr>
            <w:tcW w:w="1366" w:type="dxa"/>
          </w:tcPr>
          <w:p w14:paraId="1AAC3CE8" w14:textId="77777777" w:rsidR="002922F7" w:rsidRDefault="002922F7" w:rsidP="002922F7">
            <w:pPr>
              <w:pStyle w:val="TabletextLeftTotal"/>
              <w:keepNext/>
            </w:pPr>
            <w:r w:rsidRPr="00EE0E71">
              <w:t>p-value</w:t>
            </w:r>
          </w:p>
        </w:tc>
        <w:tc>
          <w:tcPr>
            <w:tcW w:w="1301" w:type="dxa"/>
            <w:shd w:val="clear" w:color="auto" w:fill="000000" w:themeFill="text1"/>
          </w:tcPr>
          <w:p w14:paraId="5CA950F1" w14:textId="77777777" w:rsidR="002922F7" w:rsidRPr="0090508D" w:rsidRDefault="002922F7" w:rsidP="002922F7">
            <w:pPr>
              <w:pStyle w:val="TabletextCentre"/>
              <w:keepNext/>
              <w:rPr>
                <w:b/>
                <w:bCs/>
              </w:rPr>
            </w:pPr>
            <w:r w:rsidRPr="0090508D">
              <w:rPr>
                <w:b/>
                <w:bCs/>
              </w:rPr>
              <w:t>0.0004</w:t>
            </w:r>
          </w:p>
        </w:tc>
        <w:tc>
          <w:tcPr>
            <w:tcW w:w="1301" w:type="dxa"/>
          </w:tcPr>
          <w:p w14:paraId="66932463" w14:textId="77777777" w:rsidR="002922F7" w:rsidRDefault="002922F7" w:rsidP="002922F7">
            <w:pPr>
              <w:pStyle w:val="TabletextCentre"/>
              <w:keepNext/>
            </w:pPr>
            <w:r w:rsidRPr="00F4296A">
              <w:t>0.7719</w:t>
            </w:r>
          </w:p>
        </w:tc>
        <w:tc>
          <w:tcPr>
            <w:tcW w:w="1309" w:type="dxa"/>
          </w:tcPr>
          <w:p w14:paraId="35E7C6F4" w14:textId="77777777" w:rsidR="002922F7" w:rsidRDefault="002922F7" w:rsidP="002922F7">
            <w:pPr>
              <w:pStyle w:val="TabletextCentre"/>
              <w:keepNext/>
            </w:pPr>
            <w:r w:rsidRPr="00F4296A">
              <w:t>0.0417</w:t>
            </w:r>
          </w:p>
        </w:tc>
        <w:tc>
          <w:tcPr>
            <w:tcW w:w="1302" w:type="dxa"/>
          </w:tcPr>
          <w:p w14:paraId="17C84214" w14:textId="77777777" w:rsidR="002922F7" w:rsidRDefault="002922F7" w:rsidP="002922F7">
            <w:pPr>
              <w:pStyle w:val="TabletextCentre"/>
              <w:keepNext/>
            </w:pPr>
            <w:r w:rsidRPr="00F4296A">
              <w:t>0.1330</w:t>
            </w:r>
          </w:p>
        </w:tc>
      </w:tr>
      <w:tr w:rsidR="002922F7" w14:paraId="60753F0B" w14:textId="77777777" w:rsidTr="002922F7">
        <w:tc>
          <w:tcPr>
            <w:tcW w:w="1092" w:type="dxa"/>
            <w:vMerge/>
          </w:tcPr>
          <w:p w14:paraId="09FC2725" w14:textId="77777777" w:rsidR="002922F7" w:rsidRPr="00EE0E71" w:rsidRDefault="002922F7" w:rsidP="002922F7">
            <w:pPr>
              <w:keepNext/>
            </w:pPr>
          </w:p>
        </w:tc>
        <w:tc>
          <w:tcPr>
            <w:tcW w:w="1355" w:type="dxa"/>
            <w:vMerge w:val="restart"/>
            <w:vAlign w:val="center"/>
          </w:tcPr>
          <w:p w14:paraId="29766187" w14:textId="77777777" w:rsidR="002922F7" w:rsidRDefault="002922F7" w:rsidP="002922F7">
            <w:pPr>
              <w:pStyle w:val="TabletextCentreTotal"/>
              <w:keepNext/>
            </w:pPr>
            <w:r w:rsidRPr="00EE0E71">
              <w:t>3rd quartile</w:t>
            </w:r>
          </w:p>
        </w:tc>
        <w:tc>
          <w:tcPr>
            <w:tcW w:w="1366" w:type="dxa"/>
          </w:tcPr>
          <w:p w14:paraId="3D883C87" w14:textId="77777777" w:rsidR="002922F7" w:rsidRDefault="002922F7" w:rsidP="002922F7">
            <w:pPr>
              <w:pStyle w:val="TabletextLeftTotal"/>
              <w:keepNext/>
            </w:pPr>
            <w:r w:rsidRPr="00EE0E71">
              <w:t>observed proportion</w:t>
            </w:r>
          </w:p>
        </w:tc>
        <w:tc>
          <w:tcPr>
            <w:tcW w:w="1301" w:type="dxa"/>
          </w:tcPr>
          <w:p w14:paraId="2E86E1A2" w14:textId="77777777" w:rsidR="002922F7" w:rsidRDefault="002922F7" w:rsidP="002922F7">
            <w:pPr>
              <w:pStyle w:val="TabletextCentre"/>
              <w:keepNext/>
            </w:pPr>
            <w:r w:rsidRPr="00F4296A">
              <w:t>7.36%</w:t>
            </w:r>
          </w:p>
        </w:tc>
        <w:tc>
          <w:tcPr>
            <w:tcW w:w="1301" w:type="dxa"/>
          </w:tcPr>
          <w:p w14:paraId="078ACE7C" w14:textId="77777777" w:rsidR="002922F7" w:rsidRDefault="002922F7" w:rsidP="002922F7">
            <w:pPr>
              <w:pStyle w:val="TabletextCentre"/>
              <w:keepNext/>
            </w:pPr>
            <w:r w:rsidRPr="00F4296A">
              <w:t>3.58%</w:t>
            </w:r>
          </w:p>
        </w:tc>
        <w:tc>
          <w:tcPr>
            <w:tcW w:w="1309" w:type="dxa"/>
          </w:tcPr>
          <w:p w14:paraId="73201B39" w14:textId="77777777" w:rsidR="002922F7" w:rsidRDefault="002922F7" w:rsidP="002922F7">
            <w:pPr>
              <w:pStyle w:val="TabletextCentre"/>
              <w:keepNext/>
            </w:pPr>
            <w:r w:rsidRPr="00F4296A">
              <w:t>7.16%</w:t>
            </w:r>
          </w:p>
        </w:tc>
        <w:tc>
          <w:tcPr>
            <w:tcW w:w="1302" w:type="dxa"/>
          </w:tcPr>
          <w:p w14:paraId="31C1520B" w14:textId="77777777" w:rsidR="002922F7" w:rsidRDefault="002922F7" w:rsidP="002922F7">
            <w:pPr>
              <w:pStyle w:val="TabletextCentre"/>
              <w:keepNext/>
            </w:pPr>
            <w:r w:rsidRPr="00F4296A">
              <w:t>6.76%</w:t>
            </w:r>
          </w:p>
        </w:tc>
      </w:tr>
      <w:tr w:rsidR="002922F7" w14:paraId="6F3F811F" w14:textId="77777777" w:rsidTr="002922F7">
        <w:tc>
          <w:tcPr>
            <w:tcW w:w="1092" w:type="dxa"/>
            <w:vMerge/>
          </w:tcPr>
          <w:p w14:paraId="0D007B0A" w14:textId="77777777" w:rsidR="002922F7" w:rsidRDefault="002922F7" w:rsidP="002922F7">
            <w:pPr>
              <w:keepNext/>
            </w:pPr>
          </w:p>
        </w:tc>
        <w:tc>
          <w:tcPr>
            <w:tcW w:w="1355" w:type="dxa"/>
            <w:vMerge/>
            <w:vAlign w:val="center"/>
          </w:tcPr>
          <w:p w14:paraId="667CF3A4" w14:textId="77777777" w:rsidR="002922F7" w:rsidRDefault="002922F7" w:rsidP="002922F7">
            <w:pPr>
              <w:pStyle w:val="TabletextCentreTotal"/>
              <w:keepNext/>
            </w:pPr>
          </w:p>
        </w:tc>
        <w:tc>
          <w:tcPr>
            <w:tcW w:w="1366" w:type="dxa"/>
          </w:tcPr>
          <w:p w14:paraId="629BBF94" w14:textId="77777777" w:rsidR="002922F7" w:rsidRDefault="002922F7" w:rsidP="002922F7">
            <w:pPr>
              <w:pStyle w:val="TabletextLeftTotal"/>
              <w:keepNext/>
            </w:pPr>
            <w:r w:rsidRPr="00EE0E71">
              <w:t>expected proportion</w:t>
            </w:r>
          </w:p>
        </w:tc>
        <w:tc>
          <w:tcPr>
            <w:tcW w:w="1301" w:type="dxa"/>
          </w:tcPr>
          <w:p w14:paraId="0C118B47" w14:textId="77777777" w:rsidR="002922F7" w:rsidRDefault="002922F7" w:rsidP="002922F7">
            <w:pPr>
              <w:pStyle w:val="TabletextCentre"/>
              <w:keepNext/>
            </w:pPr>
            <w:r w:rsidRPr="00F4296A">
              <w:t>6.13%</w:t>
            </w:r>
          </w:p>
        </w:tc>
        <w:tc>
          <w:tcPr>
            <w:tcW w:w="1301" w:type="dxa"/>
          </w:tcPr>
          <w:p w14:paraId="1818D599" w14:textId="77777777" w:rsidR="002922F7" w:rsidRDefault="002922F7" w:rsidP="002922F7">
            <w:pPr>
              <w:pStyle w:val="TabletextCentre"/>
              <w:keepNext/>
            </w:pPr>
            <w:r w:rsidRPr="00F4296A">
              <w:t>3.90%</w:t>
            </w:r>
          </w:p>
        </w:tc>
        <w:tc>
          <w:tcPr>
            <w:tcW w:w="1309" w:type="dxa"/>
          </w:tcPr>
          <w:p w14:paraId="0BC707E8" w14:textId="77777777" w:rsidR="002922F7" w:rsidRDefault="002922F7" w:rsidP="002922F7">
            <w:pPr>
              <w:pStyle w:val="TabletextCentre"/>
              <w:keepNext/>
            </w:pPr>
            <w:r w:rsidRPr="00F4296A">
              <w:t>8.25%</w:t>
            </w:r>
          </w:p>
        </w:tc>
        <w:tc>
          <w:tcPr>
            <w:tcW w:w="1302" w:type="dxa"/>
          </w:tcPr>
          <w:p w14:paraId="6D870108" w14:textId="77777777" w:rsidR="002922F7" w:rsidRDefault="002922F7" w:rsidP="002922F7">
            <w:pPr>
              <w:pStyle w:val="TabletextCentre"/>
              <w:keepNext/>
            </w:pPr>
            <w:r w:rsidRPr="00F4296A">
              <w:t>6.57%</w:t>
            </w:r>
          </w:p>
        </w:tc>
      </w:tr>
      <w:tr w:rsidR="002922F7" w14:paraId="7895A6B7" w14:textId="77777777" w:rsidTr="002922F7">
        <w:tc>
          <w:tcPr>
            <w:tcW w:w="1092" w:type="dxa"/>
            <w:vMerge/>
          </w:tcPr>
          <w:p w14:paraId="72496DC8" w14:textId="77777777" w:rsidR="002922F7" w:rsidRDefault="002922F7" w:rsidP="002922F7">
            <w:pPr>
              <w:keepNext/>
            </w:pPr>
          </w:p>
        </w:tc>
        <w:tc>
          <w:tcPr>
            <w:tcW w:w="1355" w:type="dxa"/>
            <w:vMerge/>
            <w:vAlign w:val="center"/>
          </w:tcPr>
          <w:p w14:paraId="060584AD" w14:textId="77777777" w:rsidR="002922F7" w:rsidRDefault="002922F7" w:rsidP="002922F7">
            <w:pPr>
              <w:pStyle w:val="TabletextCentreTotal"/>
              <w:keepNext/>
            </w:pPr>
          </w:p>
        </w:tc>
        <w:tc>
          <w:tcPr>
            <w:tcW w:w="1366" w:type="dxa"/>
          </w:tcPr>
          <w:p w14:paraId="1CBF8D6F" w14:textId="77777777" w:rsidR="002922F7" w:rsidRDefault="002922F7" w:rsidP="002922F7">
            <w:pPr>
              <w:pStyle w:val="TabletextLeftTotal"/>
              <w:keepNext/>
            </w:pPr>
            <w:r w:rsidRPr="00EE0E71">
              <w:t>p-value</w:t>
            </w:r>
          </w:p>
        </w:tc>
        <w:tc>
          <w:tcPr>
            <w:tcW w:w="1301" w:type="dxa"/>
          </w:tcPr>
          <w:p w14:paraId="7BA191B8" w14:textId="77777777" w:rsidR="002922F7" w:rsidRDefault="002922F7" w:rsidP="002922F7">
            <w:pPr>
              <w:pStyle w:val="TabletextCentre"/>
              <w:keepNext/>
            </w:pPr>
            <w:r w:rsidRPr="00F4296A">
              <w:t>0.1387</w:t>
            </w:r>
          </w:p>
        </w:tc>
        <w:tc>
          <w:tcPr>
            <w:tcW w:w="1301" w:type="dxa"/>
          </w:tcPr>
          <w:p w14:paraId="00603B1B" w14:textId="77777777" w:rsidR="002922F7" w:rsidRDefault="002922F7" w:rsidP="002922F7">
            <w:pPr>
              <w:pStyle w:val="TabletextCentre"/>
              <w:keepNext/>
            </w:pPr>
            <w:r w:rsidRPr="00F4296A">
              <w:t>0.6435</w:t>
            </w:r>
          </w:p>
        </w:tc>
        <w:tc>
          <w:tcPr>
            <w:tcW w:w="1309" w:type="dxa"/>
          </w:tcPr>
          <w:p w14:paraId="06C826A5" w14:textId="77777777" w:rsidR="002922F7" w:rsidRDefault="002922F7" w:rsidP="002922F7">
            <w:pPr>
              <w:pStyle w:val="TabletextCentre"/>
              <w:keepNext/>
            </w:pPr>
            <w:r w:rsidRPr="00F4296A">
              <w:t>0.2281</w:t>
            </w:r>
          </w:p>
        </w:tc>
        <w:tc>
          <w:tcPr>
            <w:tcW w:w="1302" w:type="dxa"/>
          </w:tcPr>
          <w:p w14:paraId="477F4562" w14:textId="77777777" w:rsidR="002922F7" w:rsidRDefault="002922F7" w:rsidP="002922F7">
            <w:pPr>
              <w:pStyle w:val="TabletextCentre"/>
              <w:keepNext/>
            </w:pPr>
            <w:r w:rsidRPr="00F4296A">
              <w:t>0.8244</w:t>
            </w:r>
          </w:p>
        </w:tc>
      </w:tr>
      <w:tr w:rsidR="002922F7" w14:paraId="6E7625CF" w14:textId="77777777" w:rsidTr="002922F7">
        <w:tc>
          <w:tcPr>
            <w:tcW w:w="1092" w:type="dxa"/>
            <w:vMerge/>
          </w:tcPr>
          <w:p w14:paraId="2029C181" w14:textId="77777777" w:rsidR="002922F7" w:rsidRPr="00EE0E71" w:rsidRDefault="002922F7" w:rsidP="002922F7">
            <w:pPr>
              <w:keepNext/>
            </w:pPr>
          </w:p>
        </w:tc>
        <w:tc>
          <w:tcPr>
            <w:tcW w:w="1355" w:type="dxa"/>
            <w:vMerge w:val="restart"/>
            <w:vAlign w:val="center"/>
          </w:tcPr>
          <w:p w14:paraId="7CF131A0" w14:textId="77777777" w:rsidR="002922F7" w:rsidRDefault="002922F7" w:rsidP="002922F7">
            <w:pPr>
              <w:pStyle w:val="TabletextCentreTotal"/>
              <w:keepNext/>
            </w:pPr>
            <w:r w:rsidRPr="00EE0E71">
              <w:t>4th quartile</w:t>
            </w:r>
          </w:p>
        </w:tc>
        <w:tc>
          <w:tcPr>
            <w:tcW w:w="1366" w:type="dxa"/>
          </w:tcPr>
          <w:p w14:paraId="4C09B711" w14:textId="77777777" w:rsidR="002922F7" w:rsidRDefault="002922F7" w:rsidP="002922F7">
            <w:pPr>
              <w:pStyle w:val="TabletextLeftTotal"/>
              <w:keepNext/>
            </w:pPr>
            <w:r w:rsidRPr="00EE0E71">
              <w:t>observed proportion</w:t>
            </w:r>
          </w:p>
        </w:tc>
        <w:tc>
          <w:tcPr>
            <w:tcW w:w="1301" w:type="dxa"/>
          </w:tcPr>
          <w:p w14:paraId="2BC0EF67" w14:textId="77777777" w:rsidR="002922F7" w:rsidRDefault="002922F7" w:rsidP="002922F7">
            <w:pPr>
              <w:pStyle w:val="TabletextCentre"/>
              <w:keepNext/>
            </w:pPr>
            <w:r w:rsidRPr="00F4296A">
              <w:t>7.55%</w:t>
            </w:r>
          </w:p>
        </w:tc>
        <w:tc>
          <w:tcPr>
            <w:tcW w:w="1301" w:type="dxa"/>
          </w:tcPr>
          <w:p w14:paraId="23AD0F4C" w14:textId="77777777" w:rsidR="002922F7" w:rsidRDefault="002922F7" w:rsidP="002922F7">
            <w:pPr>
              <w:pStyle w:val="TabletextCentre"/>
              <w:keepNext/>
            </w:pPr>
            <w:r w:rsidRPr="00F4296A">
              <w:t>3.38%</w:t>
            </w:r>
          </w:p>
        </w:tc>
        <w:tc>
          <w:tcPr>
            <w:tcW w:w="1309" w:type="dxa"/>
          </w:tcPr>
          <w:p w14:paraId="41309806" w14:textId="77777777" w:rsidR="002922F7" w:rsidRDefault="002922F7" w:rsidP="002922F7">
            <w:pPr>
              <w:pStyle w:val="TabletextCentre"/>
              <w:keepNext/>
            </w:pPr>
            <w:r w:rsidRPr="00F4296A">
              <w:t>6.56%</w:t>
            </w:r>
          </w:p>
        </w:tc>
        <w:tc>
          <w:tcPr>
            <w:tcW w:w="1302" w:type="dxa"/>
          </w:tcPr>
          <w:p w14:paraId="0044E79D" w14:textId="77777777" w:rsidR="002922F7" w:rsidRDefault="002922F7" w:rsidP="002922F7">
            <w:pPr>
              <w:pStyle w:val="TabletextCentre"/>
              <w:keepNext/>
            </w:pPr>
            <w:r w:rsidRPr="00F4296A">
              <w:t>5.17%</w:t>
            </w:r>
          </w:p>
        </w:tc>
      </w:tr>
      <w:tr w:rsidR="002922F7" w14:paraId="2E8D98A9" w14:textId="77777777" w:rsidTr="002922F7">
        <w:tc>
          <w:tcPr>
            <w:tcW w:w="1092" w:type="dxa"/>
            <w:vMerge/>
          </w:tcPr>
          <w:p w14:paraId="459563BF" w14:textId="77777777" w:rsidR="002922F7" w:rsidRDefault="002922F7" w:rsidP="002922F7">
            <w:pPr>
              <w:keepNext/>
            </w:pPr>
          </w:p>
        </w:tc>
        <w:tc>
          <w:tcPr>
            <w:tcW w:w="1355" w:type="dxa"/>
            <w:vMerge/>
          </w:tcPr>
          <w:p w14:paraId="0F206DAE" w14:textId="77777777" w:rsidR="002922F7" w:rsidRDefault="002922F7" w:rsidP="002922F7">
            <w:pPr>
              <w:pStyle w:val="TabletextCentreTotal"/>
              <w:keepNext/>
            </w:pPr>
          </w:p>
        </w:tc>
        <w:tc>
          <w:tcPr>
            <w:tcW w:w="1366" w:type="dxa"/>
          </w:tcPr>
          <w:p w14:paraId="6A1C7723" w14:textId="77777777" w:rsidR="002922F7" w:rsidRDefault="002922F7" w:rsidP="002922F7">
            <w:pPr>
              <w:pStyle w:val="TabletextLeftTotal"/>
              <w:keepNext/>
            </w:pPr>
            <w:r w:rsidRPr="00EE0E71">
              <w:t>expected proportion</w:t>
            </w:r>
          </w:p>
        </w:tc>
        <w:tc>
          <w:tcPr>
            <w:tcW w:w="1301" w:type="dxa"/>
          </w:tcPr>
          <w:p w14:paraId="61136C21" w14:textId="77777777" w:rsidR="002922F7" w:rsidRDefault="002922F7" w:rsidP="002922F7">
            <w:pPr>
              <w:pStyle w:val="TabletextCentre"/>
              <w:keepNext/>
            </w:pPr>
            <w:r w:rsidRPr="00F4296A">
              <w:t>5.59%</w:t>
            </w:r>
          </w:p>
        </w:tc>
        <w:tc>
          <w:tcPr>
            <w:tcW w:w="1301" w:type="dxa"/>
          </w:tcPr>
          <w:p w14:paraId="412815D7" w14:textId="77777777" w:rsidR="002922F7" w:rsidRDefault="002922F7" w:rsidP="002922F7">
            <w:pPr>
              <w:pStyle w:val="TabletextCentre"/>
              <w:keepNext/>
            </w:pPr>
            <w:r w:rsidRPr="00F4296A">
              <w:t>3.56%</w:t>
            </w:r>
          </w:p>
        </w:tc>
        <w:tc>
          <w:tcPr>
            <w:tcW w:w="1309" w:type="dxa"/>
          </w:tcPr>
          <w:p w14:paraId="39DAA981" w14:textId="77777777" w:rsidR="002922F7" w:rsidRDefault="002922F7" w:rsidP="002922F7">
            <w:pPr>
              <w:pStyle w:val="TabletextCentre"/>
              <w:keepNext/>
            </w:pPr>
            <w:r w:rsidRPr="00F4296A">
              <w:t>7.52%</w:t>
            </w:r>
          </w:p>
        </w:tc>
        <w:tc>
          <w:tcPr>
            <w:tcW w:w="1302" w:type="dxa"/>
          </w:tcPr>
          <w:p w14:paraId="14A58FE2" w14:textId="77777777" w:rsidR="002922F7" w:rsidRDefault="002922F7" w:rsidP="002922F7">
            <w:pPr>
              <w:pStyle w:val="TabletextCentre"/>
              <w:keepNext/>
            </w:pPr>
            <w:r w:rsidRPr="00F4296A">
              <w:t>5.99%</w:t>
            </w:r>
          </w:p>
        </w:tc>
      </w:tr>
      <w:tr w:rsidR="002922F7" w14:paraId="24E8E786" w14:textId="77777777" w:rsidTr="002922F7">
        <w:tc>
          <w:tcPr>
            <w:tcW w:w="1092" w:type="dxa"/>
            <w:vMerge/>
          </w:tcPr>
          <w:p w14:paraId="092650C8" w14:textId="77777777" w:rsidR="002922F7" w:rsidRDefault="002922F7" w:rsidP="002922F7">
            <w:pPr>
              <w:keepNext/>
            </w:pPr>
          </w:p>
        </w:tc>
        <w:tc>
          <w:tcPr>
            <w:tcW w:w="1355" w:type="dxa"/>
            <w:vMerge/>
          </w:tcPr>
          <w:p w14:paraId="1DF5C3C7" w14:textId="77777777" w:rsidR="002922F7" w:rsidRDefault="002922F7" w:rsidP="002922F7">
            <w:pPr>
              <w:pStyle w:val="TabletextCentreTotal"/>
              <w:keepNext/>
            </w:pPr>
          </w:p>
        </w:tc>
        <w:tc>
          <w:tcPr>
            <w:tcW w:w="1366" w:type="dxa"/>
          </w:tcPr>
          <w:p w14:paraId="786468D4" w14:textId="77777777" w:rsidR="002922F7" w:rsidRDefault="002922F7" w:rsidP="002922F7">
            <w:pPr>
              <w:pStyle w:val="TabletextLeftTotal"/>
              <w:keepNext/>
            </w:pPr>
            <w:r w:rsidRPr="00EE0E71">
              <w:t>p-value</w:t>
            </w:r>
          </w:p>
        </w:tc>
        <w:tc>
          <w:tcPr>
            <w:tcW w:w="1301" w:type="dxa"/>
          </w:tcPr>
          <w:p w14:paraId="3F168E6B" w14:textId="77777777" w:rsidR="002922F7" w:rsidRDefault="002922F7" w:rsidP="002922F7">
            <w:pPr>
              <w:pStyle w:val="TabletextCentre"/>
              <w:keepNext/>
            </w:pPr>
            <w:r w:rsidRPr="00F4296A">
              <w:t>0.0145</w:t>
            </w:r>
          </w:p>
        </w:tc>
        <w:tc>
          <w:tcPr>
            <w:tcW w:w="1301" w:type="dxa"/>
          </w:tcPr>
          <w:p w14:paraId="5F626D05" w14:textId="77777777" w:rsidR="002922F7" w:rsidRDefault="002922F7" w:rsidP="002922F7">
            <w:pPr>
              <w:pStyle w:val="TabletextCentre"/>
              <w:keepNext/>
            </w:pPr>
            <w:r w:rsidRPr="00F4296A">
              <w:t>0.7912</w:t>
            </w:r>
          </w:p>
        </w:tc>
        <w:tc>
          <w:tcPr>
            <w:tcW w:w="1309" w:type="dxa"/>
          </w:tcPr>
          <w:p w14:paraId="5DFD43F6" w14:textId="77777777" w:rsidR="002922F7" w:rsidRDefault="002922F7" w:rsidP="002922F7">
            <w:pPr>
              <w:pStyle w:val="TabletextCentre"/>
              <w:keepNext/>
            </w:pPr>
            <w:r w:rsidRPr="00F4296A">
              <w:t>0.2728</w:t>
            </w:r>
          </w:p>
        </w:tc>
        <w:tc>
          <w:tcPr>
            <w:tcW w:w="1302" w:type="dxa"/>
          </w:tcPr>
          <w:p w14:paraId="58252AD4" w14:textId="77777777" w:rsidR="002922F7" w:rsidRDefault="002922F7" w:rsidP="002922F7">
            <w:pPr>
              <w:pStyle w:val="TabletextCentre"/>
              <w:keepNext/>
            </w:pPr>
            <w:r w:rsidRPr="00F4296A">
              <w:t>0.3171</w:t>
            </w:r>
          </w:p>
        </w:tc>
      </w:tr>
    </w:tbl>
    <w:p w14:paraId="1606D7B9" w14:textId="77777777" w:rsidR="002922F7" w:rsidRDefault="002922F7" w:rsidP="002922F7">
      <w:pPr>
        <w:rPr>
          <w:lang w:eastAsia="en-AU"/>
        </w:rPr>
      </w:pPr>
    </w:p>
    <w:p w14:paraId="1F8E9818" w14:textId="77777777" w:rsidR="002922F7" w:rsidRDefault="002922F7" w:rsidP="00400621">
      <w:pPr>
        <w:pStyle w:val="AppendixTableCaption"/>
        <w:numPr>
          <w:ilvl w:val="6"/>
          <w:numId w:val="11"/>
        </w:numPr>
      </w:pPr>
      <w:bookmarkStart w:id="312" w:name="_Toc40454719"/>
      <w:r>
        <w:lastRenderedPageBreak/>
        <w:t>Staff remuneration and span of control, cross</w:t>
      </w:r>
      <w:r>
        <w:noBreakHyphen/>
        <w:t>tabulated distribution</w:t>
      </w:r>
      <w:bookmarkEnd w:id="312"/>
    </w:p>
    <w:tbl>
      <w:tblPr>
        <w:tblStyle w:val="Deloittetable"/>
        <w:tblW w:w="0" w:type="auto"/>
        <w:tblLook w:val="04A0" w:firstRow="1" w:lastRow="0" w:firstColumn="1" w:lastColumn="0" w:noHBand="0" w:noVBand="1"/>
      </w:tblPr>
      <w:tblGrid>
        <w:gridCol w:w="1092"/>
        <w:gridCol w:w="1355"/>
        <w:gridCol w:w="1366"/>
        <w:gridCol w:w="1301"/>
        <w:gridCol w:w="1301"/>
        <w:gridCol w:w="1309"/>
        <w:gridCol w:w="1302"/>
      </w:tblGrid>
      <w:tr w:rsidR="002922F7" w14:paraId="57615287" w14:textId="77777777" w:rsidTr="002922F7">
        <w:trPr>
          <w:cnfStyle w:val="100000000000" w:firstRow="1" w:lastRow="0" w:firstColumn="0" w:lastColumn="0" w:oddVBand="0" w:evenVBand="0" w:oddHBand="0" w:evenHBand="0" w:firstRowFirstColumn="0" w:firstRowLastColumn="0" w:lastRowFirstColumn="0" w:lastRowLastColumn="0"/>
        </w:trPr>
        <w:tc>
          <w:tcPr>
            <w:tcW w:w="1092" w:type="dxa"/>
          </w:tcPr>
          <w:p w14:paraId="3C6D99ED" w14:textId="77777777" w:rsidR="002922F7" w:rsidRDefault="002922F7" w:rsidP="002922F7">
            <w:pPr>
              <w:keepNext/>
            </w:pPr>
          </w:p>
        </w:tc>
        <w:tc>
          <w:tcPr>
            <w:tcW w:w="1355" w:type="dxa"/>
          </w:tcPr>
          <w:p w14:paraId="53B6DE55" w14:textId="77777777" w:rsidR="002922F7" w:rsidRDefault="002922F7" w:rsidP="002922F7">
            <w:pPr>
              <w:keepNext/>
            </w:pPr>
          </w:p>
        </w:tc>
        <w:tc>
          <w:tcPr>
            <w:tcW w:w="1366" w:type="dxa"/>
          </w:tcPr>
          <w:p w14:paraId="297C366D" w14:textId="77777777" w:rsidR="002922F7" w:rsidRDefault="002922F7" w:rsidP="002922F7">
            <w:pPr>
              <w:keepNext/>
            </w:pPr>
          </w:p>
        </w:tc>
        <w:tc>
          <w:tcPr>
            <w:tcW w:w="5213" w:type="dxa"/>
            <w:gridSpan w:val="4"/>
          </w:tcPr>
          <w:p w14:paraId="1D40BB62" w14:textId="77777777" w:rsidR="002922F7" w:rsidRDefault="002922F7" w:rsidP="002922F7">
            <w:pPr>
              <w:pStyle w:val="TableHeadingCentre"/>
              <w:keepNext/>
            </w:pPr>
            <w:r>
              <w:t>Span of control</w:t>
            </w:r>
          </w:p>
        </w:tc>
      </w:tr>
      <w:tr w:rsidR="002922F7" w14:paraId="6D83FEB3" w14:textId="77777777" w:rsidTr="002922F7">
        <w:tc>
          <w:tcPr>
            <w:tcW w:w="1092" w:type="dxa"/>
          </w:tcPr>
          <w:p w14:paraId="4BA7DA29" w14:textId="77777777" w:rsidR="002922F7" w:rsidRDefault="002922F7" w:rsidP="002922F7">
            <w:pPr>
              <w:keepNext/>
            </w:pPr>
          </w:p>
        </w:tc>
        <w:tc>
          <w:tcPr>
            <w:tcW w:w="1355" w:type="dxa"/>
          </w:tcPr>
          <w:p w14:paraId="01693DED" w14:textId="77777777" w:rsidR="002922F7" w:rsidRDefault="002922F7" w:rsidP="002922F7">
            <w:pPr>
              <w:keepNext/>
            </w:pPr>
          </w:p>
        </w:tc>
        <w:tc>
          <w:tcPr>
            <w:tcW w:w="1366" w:type="dxa"/>
          </w:tcPr>
          <w:p w14:paraId="3D795735" w14:textId="77777777" w:rsidR="002922F7" w:rsidRDefault="002922F7" w:rsidP="002922F7">
            <w:pPr>
              <w:keepNext/>
            </w:pPr>
          </w:p>
        </w:tc>
        <w:tc>
          <w:tcPr>
            <w:tcW w:w="1301" w:type="dxa"/>
          </w:tcPr>
          <w:p w14:paraId="7313693D" w14:textId="77777777" w:rsidR="002922F7" w:rsidRDefault="002922F7" w:rsidP="002922F7">
            <w:pPr>
              <w:pStyle w:val="TabletextCentreTotal"/>
              <w:keepNext/>
              <w:jc w:val="left"/>
            </w:pPr>
            <w:r w:rsidRPr="00EE0E71">
              <w:t>1st quartile</w:t>
            </w:r>
          </w:p>
        </w:tc>
        <w:tc>
          <w:tcPr>
            <w:tcW w:w="1301" w:type="dxa"/>
          </w:tcPr>
          <w:p w14:paraId="4AB93E6C" w14:textId="77777777" w:rsidR="002922F7" w:rsidRDefault="002922F7" w:rsidP="002922F7">
            <w:pPr>
              <w:pStyle w:val="TabletextCentreTotal"/>
              <w:keepNext/>
            </w:pPr>
            <w:r w:rsidRPr="00EE0E71">
              <w:t>2nd quartile</w:t>
            </w:r>
          </w:p>
        </w:tc>
        <w:tc>
          <w:tcPr>
            <w:tcW w:w="1309" w:type="dxa"/>
          </w:tcPr>
          <w:p w14:paraId="3F9C996A" w14:textId="77777777" w:rsidR="002922F7" w:rsidRDefault="002922F7" w:rsidP="002922F7">
            <w:pPr>
              <w:pStyle w:val="TabletextCentreTotal"/>
              <w:keepNext/>
            </w:pPr>
            <w:r w:rsidRPr="00EE0E71">
              <w:t>3rd quartile</w:t>
            </w:r>
          </w:p>
        </w:tc>
        <w:tc>
          <w:tcPr>
            <w:tcW w:w="1302" w:type="dxa"/>
          </w:tcPr>
          <w:p w14:paraId="75B64BB9" w14:textId="77777777" w:rsidR="002922F7" w:rsidRDefault="002922F7" w:rsidP="002922F7">
            <w:pPr>
              <w:pStyle w:val="TabletextCentreTotal"/>
              <w:keepNext/>
              <w:jc w:val="right"/>
            </w:pPr>
            <w:r w:rsidRPr="00EE0E71">
              <w:t>4th quartile</w:t>
            </w:r>
          </w:p>
        </w:tc>
      </w:tr>
      <w:tr w:rsidR="002922F7" w14:paraId="4829AD76" w14:textId="77777777" w:rsidTr="002922F7">
        <w:tc>
          <w:tcPr>
            <w:tcW w:w="1092" w:type="dxa"/>
            <w:vMerge w:val="restart"/>
            <w:textDirection w:val="btLr"/>
          </w:tcPr>
          <w:p w14:paraId="7BCF1B06" w14:textId="77777777" w:rsidR="002922F7" w:rsidRPr="00EE0E71" w:rsidRDefault="002922F7" w:rsidP="002922F7">
            <w:pPr>
              <w:pStyle w:val="TableHeadingCentre"/>
              <w:keepNext/>
            </w:pPr>
            <w:r>
              <w:t>Staff remuneration</w:t>
            </w:r>
          </w:p>
        </w:tc>
        <w:tc>
          <w:tcPr>
            <w:tcW w:w="1355" w:type="dxa"/>
            <w:vMerge w:val="restart"/>
            <w:vAlign w:val="center"/>
          </w:tcPr>
          <w:p w14:paraId="534CBB13" w14:textId="77777777" w:rsidR="002922F7" w:rsidRDefault="002922F7" w:rsidP="002922F7">
            <w:pPr>
              <w:pStyle w:val="TabletextCentreTotal"/>
              <w:keepNext/>
            </w:pPr>
            <w:r w:rsidRPr="00EE0E71">
              <w:t>1st quartile</w:t>
            </w:r>
          </w:p>
        </w:tc>
        <w:tc>
          <w:tcPr>
            <w:tcW w:w="1366" w:type="dxa"/>
          </w:tcPr>
          <w:p w14:paraId="41B1B885" w14:textId="77777777" w:rsidR="002922F7" w:rsidRDefault="002922F7" w:rsidP="002922F7">
            <w:pPr>
              <w:pStyle w:val="TabletextLeftTotal"/>
              <w:keepNext/>
            </w:pPr>
            <w:r w:rsidRPr="00EE0E71">
              <w:t>observed proportion</w:t>
            </w:r>
          </w:p>
        </w:tc>
        <w:tc>
          <w:tcPr>
            <w:tcW w:w="1301" w:type="dxa"/>
          </w:tcPr>
          <w:p w14:paraId="5A00A061" w14:textId="77777777" w:rsidR="002922F7" w:rsidRDefault="002922F7" w:rsidP="002922F7">
            <w:pPr>
              <w:pStyle w:val="TabletextCentre"/>
              <w:keepNext/>
            </w:pPr>
            <w:r w:rsidRPr="00144D85">
              <w:t>4.37%</w:t>
            </w:r>
          </w:p>
        </w:tc>
        <w:tc>
          <w:tcPr>
            <w:tcW w:w="1301" w:type="dxa"/>
          </w:tcPr>
          <w:p w14:paraId="65158FD0" w14:textId="77777777" w:rsidR="002922F7" w:rsidRDefault="002922F7" w:rsidP="002922F7">
            <w:pPr>
              <w:pStyle w:val="TabletextCentre"/>
              <w:keepNext/>
            </w:pPr>
            <w:r w:rsidRPr="00144D85">
              <w:t>6.47%</w:t>
            </w:r>
          </w:p>
        </w:tc>
        <w:tc>
          <w:tcPr>
            <w:tcW w:w="1309" w:type="dxa"/>
          </w:tcPr>
          <w:p w14:paraId="073B11F5" w14:textId="77777777" w:rsidR="002922F7" w:rsidRDefault="002922F7" w:rsidP="002922F7">
            <w:pPr>
              <w:pStyle w:val="TabletextCentre"/>
              <w:keepNext/>
            </w:pPr>
            <w:r w:rsidRPr="00144D85">
              <w:t>4.72%</w:t>
            </w:r>
          </w:p>
        </w:tc>
        <w:tc>
          <w:tcPr>
            <w:tcW w:w="1302" w:type="dxa"/>
          </w:tcPr>
          <w:p w14:paraId="002C8CFE" w14:textId="77777777" w:rsidR="002922F7" w:rsidRDefault="002922F7" w:rsidP="002922F7">
            <w:pPr>
              <w:pStyle w:val="TabletextCentre"/>
              <w:keepNext/>
            </w:pPr>
            <w:r w:rsidRPr="00144D85">
              <w:t>9.09%</w:t>
            </w:r>
          </w:p>
        </w:tc>
      </w:tr>
      <w:tr w:rsidR="002922F7" w14:paraId="659CE51D" w14:textId="77777777" w:rsidTr="002922F7">
        <w:tc>
          <w:tcPr>
            <w:tcW w:w="1092" w:type="dxa"/>
            <w:vMerge/>
          </w:tcPr>
          <w:p w14:paraId="01F062C3" w14:textId="77777777" w:rsidR="002922F7" w:rsidRDefault="002922F7" w:rsidP="002922F7">
            <w:pPr>
              <w:keepNext/>
            </w:pPr>
          </w:p>
        </w:tc>
        <w:tc>
          <w:tcPr>
            <w:tcW w:w="1355" w:type="dxa"/>
            <w:vMerge/>
            <w:vAlign w:val="center"/>
          </w:tcPr>
          <w:p w14:paraId="7E097AFF" w14:textId="77777777" w:rsidR="002922F7" w:rsidRDefault="002922F7" w:rsidP="002922F7">
            <w:pPr>
              <w:pStyle w:val="TabletextCentreTotal"/>
              <w:keepNext/>
            </w:pPr>
          </w:p>
        </w:tc>
        <w:tc>
          <w:tcPr>
            <w:tcW w:w="1366" w:type="dxa"/>
          </w:tcPr>
          <w:p w14:paraId="4CC096A1" w14:textId="77777777" w:rsidR="002922F7" w:rsidRDefault="002922F7" w:rsidP="002922F7">
            <w:pPr>
              <w:pStyle w:val="TabletextLeftTotal"/>
              <w:keepNext/>
            </w:pPr>
            <w:r w:rsidRPr="00EE0E71">
              <w:t>expected proportion</w:t>
            </w:r>
          </w:p>
        </w:tc>
        <w:tc>
          <w:tcPr>
            <w:tcW w:w="1301" w:type="dxa"/>
          </w:tcPr>
          <w:p w14:paraId="135F70FD" w14:textId="77777777" w:rsidR="002922F7" w:rsidRDefault="002922F7" w:rsidP="002922F7">
            <w:pPr>
              <w:pStyle w:val="TabletextCentre"/>
              <w:keepNext/>
            </w:pPr>
            <w:r w:rsidRPr="00144D85">
              <w:t>5.60%</w:t>
            </w:r>
          </w:p>
        </w:tc>
        <w:tc>
          <w:tcPr>
            <w:tcW w:w="1301" w:type="dxa"/>
          </w:tcPr>
          <w:p w14:paraId="4F7E4CDC" w14:textId="77777777" w:rsidR="002922F7" w:rsidRDefault="002922F7" w:rsidP="002922F7">
            <w:pPr>
              <w:pStyle w:val="TabletextCentre"/>
              <w:keepNext/>
            </w:pPr>
            <w:r w:rsidRPr="00144D85">
              <w:t>6.64%</w:t>
            </w:r>
          </w:p>
        </w:tc>
        <w:tc>
          <w:tcPr>
            <w:tcW w:w="1309" w:type="dxa"/>
          </w:tcPr>
          <w:p w14:paraId="3B57818B" w14:textId="77777777" w:rsidR="002922F7" w:rsidRDefault="002922F7" w:rsidP="002922F7">
            <w:pPr>
              <w:pStyle w:val="TabletextCentre"/>
              <w:keepNext/>
            </w:pPr>
            <w:r w:rsidRPr="00144D85">
              <w:t>5.90%</w:t>
            </w:r>
          </w:p>
        </w:tc>
        <w:tc>
          <w:tcPr>
            <w:tcW w:w="1302" w:type="dxa"/>
          </w:tcPr>
          <w:p w14:paraId="2711815F" w14:textId="77777777" w:rsidR="002922F7" w:rsidRDefault="002922F7" w:rsidP="002922F7">
            <w:pPr>
              <w:pStyle w:val="TabletextCentre"/>
              <w:keepNext/>
            </w:pPr>
            <w:r w:rsidRPr="00144D85">
              <w:t>6.51%</w:t>
            </w:r>
          </w:p>
        </w:tc>
      </w:tr>
      <w:tr w:rsidR="002922F7" w14:paraId="3BACE12D" w14:textId="77777777" w:rsidTr="002922F7">
        <w:tc>
          <w:tcPr>
            <w:tcW w:w="1092" w:type="dxa"/>
            <w:vMerge/>
          </w:tcPr>
          <w:p w14:paraId="4F0E6DF0" w14:textId="77777777" w:rsidR="002922F7" w:rsidRDefault="002922F7" w:rsidP="002922F7">
            <w:pPr>
              <w:keepNext/>
            </w:pPr>
          </w:p>
        </w:tc>
        <w:tc>
          <w:tcPr>
            <w:tcW w:w="1355" w:type="dxa"/>
            <w:vMerge/>
            <w:vAlign w:val="center"/>
          </w:tcPr>
          <w:p w14:paraId="779C794F" w14:textId="77777777" w:rsidR="002922F7" w:rsidRDefault="002922F7" w:rsidP="002922F7">
            <w:pPr>
              <w:pStyle w:val="TabletextCentreTotal"/>
              <w:keepNext/>
            </w:pPr>
          </w:p>
        </w:tc>
        <w:tc>
          <w:tcPr>
            <w:tcW w:w="1366" w:type="dxa"/>
          </w:tcPr>
          <w:p w14:paraId="48E6C5D5" w14:textId="77777777" w:rsidR="002922F7" w:rsidRDefault="002922F7" w:rsidP="002922F7">
            <w:pPr>
              <w:pStyle w:val="TabletextLeftTotal"/>
              <w:keepNext/>
            </w:pPr>
            <w:r w:rsidRPr="00EE0E71">
              <w:t>p-value</w:t>
            </w:r>
          </w:p>
        </w:tc>
        <w:tc>
          <w:tcPr>
            <w:tcW w:w="1301" w:type="dxa"/>
          </w:tcPr>
          <w:p w14:paraId="58405937" w14:textId="77777777" w:rsidR="002922F7" w:rsidRDefault="002922F7" w:rsidP="002922F7">
            <w:pPr>
              <w:pStyle w:val="TabletextCentre"/>
              <w:keepNext/>
            </w:pPr>
            <w:r w:rsidRPr="00144D85">
              <w:t>0.1029</w:t>
            </w:r>
          </w:p>
        </w:tc>
        <w:tc>
          <w:tcPr>
            <w:tcW w:w="1301" w:type="dxa"/>
          </w:tcPr>
          <w:p w14:paraId="37AB6ED8" w14:textId="77777777" w:rsidR="002922F7" w:rsidRDefault="002922F7" w:rsidP="002922F7">
            <w:pPr>
              <w:pStyle w:val="TabletextCentre"/>
              <w:keepNext/>
            </w:pPr>
            <w:r w:rsidRPr="00144D85">
              <w:t>0.8334</w:t>
            </w:r>
          </w:p>
        </w:tc>
        <w:tc>
          <w:tcPr>
            <w:tcW w:w="1309" w:type="dxa"/>
          </w:tcPr>
          <w:p w14:paraId="46C82278" w14:textId="77777777" w:rsidR="002922F7" w:rsidRDefault="002922F7" w:rsidP="002922F7">
            <w:pPr>
              <w:pStyle w:val="TabletextCentre"/>
              <w:keepNext/>
            </w:pPr>
            <w:r w:rsidRPr="00144D85">
              <w:t>0.1238</w:t>
            </w:r>
          </w:p>
        </w:tc>
        <w:tc>
          <w:tcPr>
            <w:tcW w:w="1302" w:type="dxa"/>
            <w:shd w:val="clear" w:color="auto" w:fill="000000" w:themeFill="text1"/>
          </w:tcPr>
          <w:p w14:paraId="06DF32CF" w14:textId="77777777" w:rsidR="002922F7" w:rsidRPr="0090508D" w:rsidRDefault="002922F7" w:rsidP="002922F7">
            <w:pPr>
              <w:pStyle w:val="TabletextCentre"/>
              <w:keepNext/>
              <w:rPr>
                <w:b/>
                <w:bCs/>
              </w:rPr>
            </w:pPr>
            <w:r w:rsidRPr="0090508D">
              <w:rPr>
                <w:b/>
                <w:bCs/>
              </w:rPr>
              <w:t>0.0011</w:t>
            </w:r>
          </w:p>
        </w:tc>
      </w:tr>
      <w:tr w:rsidR="002922F7" w14:paraId="77509A3F" w14:textId="77777777" w:rsidTr="002922F7">
        <w:tc>
          <w:tcPr>
            <w:tcW w:w="1092" w:type="dxa"/>
            <w:vMerge/>
          </w:tcPr>
          <w:p w14:paraId="72475B1A" w14:textId="77777777" w:rsidR="002922F7" w:rsidRPr="00EE0E71" w:rsidRDefault="002922F7" w:rsidP="002922F7">
            <w:pPr>
              <w:keepNext/>
            </w:pPr>
          </w:p>
        </w:tc>
        <w:tc>
          <w:tcPr>
            <w:tcW w:w="1355" w:type="dxa"/>
            <w:vMerge w:val="restart"/>
            <w:vAlign w:val="center"/>
          </w:tcPr>
          <w:p w14:paraId="367EF9E5" w14:textId="77777777" w:rsidR="002922F7" w:rsidRDefault="002922F7" w:rsidP="002922F7">
            <w:pPr>
              <w:pStyle w:val="TabletextCentreTotal"/>
              <w:keepNext/>
            </w:pPr>
            <w:r w:rsidRPr="00EE0E71">
              <w:t>2nd quartile</w:t>
            </w:r>
          </w:p>
        </w:tc>
        <w:tc>
          <w:tcPr>
            <w:tcW w:w="1366" w:type="dxa"/>
          </w:tcPr>
          <w:p w14:paraId="40458D00" w14:textId="77777777" w:rsidR="002922F7" w:rsidRDefault="002922F7" w:rsidP="002922F7">
            <w:pPr>
              <w:pStyle w:val="TabletextLeftTotal"/>
              <w:keepNext/>
            </w:pPr>
            <w:r w:rsidRPr="00EE0E71">
              <w:t>observed proportion</w:t>
            </w:r>
          </w:p>
        </w:tc>
        <w:tc>
          <w:tcPr>
            <w:tcW w:w="1301" w:type="dxa"/>
          </w:tcPr>
          <w:p w14:paraId="473F056D" w14:textId="77777777" w:rsidR="002922F7" w:rsidRDefault="002922F7" w:rsidP="002922F7">
            <w:pPr>
              <w:pStyle w:val="TabletextCentre"/>
              <w:keepNext/>
            </w:pPr>
            <w:r w:rsidRPr="00144D85">
              <w:t>2.97%</w:t>
            </w:r>
          </w:p>
        </w:tc>
        <w:tc>
          <w:tcPr>
            <w:tcW w:w="1301" w:type="dxa"/>
          </w:tcPr>
          <w:p w14:paraId="57C00AED" w14:textId="77777777" w:rsidR="002922F7" w:rsidRDefault="002922F7" w:rsidP="002922F7">
            <w:pPr>
              <w:pStyle w:val="TabletextCentre"/>
              <w:keepNext/>
            </w:pPr>
            <w:r w:rsidRPr="00144D85">
              <w:t>6.99%</w:t>
            </w:r>
          </w:p>
        </w:tc>
        <w:tc>
          <w:tcPr>
            <w:tcW w:w="1309" w:type="dxa"/>
          </w:tcPr>
          <w:p w14:paraId="7D700840" w14:textId="77777777" w:rsidR="002922F7" w:rsidRDefault="002922F7" w:rsidP="002922F7">
            <w:pPr>
              <w:pStyle w:val="TabletextCentre"/>
              <w:keepNext/>
            </w:pPr>
            <w:r w:rsidRPr="00144D85">
              <w:t>8.04%</w:t>
            </w:r>
          </w:p>
        </w:tc>
        <w:tc>
          <w:tcPr>
            <w:tcW w:w="1302" w:type="dxa"/>
          </w:tcPr>
          <w:p w14:paraId="4DF97D81" w14:textId="77777777" w:rsidR="002922F7" w:rsidRDefault="002922F7" w:rsidP="002922F7">
            <w:pPr>
              <w:pStyle w:val="TabletextCentre"/>
              <w:keepNext/>
            </w:pPr>
            <w:r w:rsidRPr="00144D85">
              <w:t>7.87%</w:t>
            </w:r>
          </w:p>
        </w:tc>
      </w:tr>
      <w:tr w:rsidR="002922F7" w14:paraId="3DA771A0" w14:textId="77777777" w:rsidTr="002922F7">
        <w:tc>
          <w:tcPr>
            <w:tcW w:w="1092" w:type="dxa"/>
            <w:vMerge/>
          </w:tcPr>
          <w:p w14:paraId="6A3A61AA" w14:textId="77777777" w:rsidR="002922F7" w:rsidRDefault="002922F7" w:rsidP="002922F7">
            <w:pPr>
              <w:keepNext/>
            </w:pPr>
          </w:p>
        </w:tc>
        <w:tc>
          <w:tcPr>
            <w:tcW w:w="1355" w:type="dxa"/>
            <w:vMerge/>
            <w:vAlign w:val="center"/>
          </w:tcPr>
          <w:p w14:paraId="5CC19D7C" w14:textId="77777777" w:rsidR="002922F7" w:rsidRDefault="002922F7" w:rsidP="002922F7">
            <w:pPr>
              <w:pStyle w:val="TabletextCentreTotal"/>
              <w:keepNext/>
            </w:pPr>
          </w:p>
        </w:tc>
        <w:tc>
          <w:tcPr>
            <w:tcW w:w="1366" w:type="dxa"/>
          </w:tcPr>
          <w:p w14:paraId="0AC37903" w14:textId="77777777" w:rsidR="002922F7" w:rsidRDefault="002922F7" w:rsidP="002922F7">
            <w:pPr>
              <w:pStyle w:val="TabletextLeftTotal"/>
              <w:keepNext/>
            </w:pPr>
            <w:r w:rsidRPr="00EE0E71">
              <w:t>expected proportion</w:t>
            </w:r>
          </w:p>
        </w:tc>
        <w:tc>
          <w:tcPr>
            <w:tcW w:w="1301" w:type="dxa"/>
          </w:tcPr>
          <w:p w14:paraId="08062F33" w14:textId="77777777" w:rsidR="002922F7" w:rsidRDefault="002922F7" w:rsidP="002922F7">
            <w:pPr>
              <w:pStyle w:val="TabletextCentre"/>
              <w:keepNext/>
            </w:pPr>
            <w:r w:rsidRPr="00144D85">
              <w:t>5.88%</w:t>
            </w:r>
          </w:p>
        </w:tc>
        <w:tc>
          <w:tcPr>
            <w:tcW w:w="1301" w:type="dxa"/>
          </w:tcPr>
          <w:p w14:paraId="704D7976" w14:textId="77777777" w:rsidR="002922F7" w:rsidRDefault="002922F7" w:rsidP="002922F7">
            <w:pPr>
              <w:pStyle w:val="TabletextCentre"/>
              <w:keepNext/>
            </w:pPr>
            <w:r w:rsidRPr="00144D85">
              <w:t>6.97%</w:t>
            </w:r>
          </w:p>
        </w:tc>
        <w:tc>
          <w:tcPr>
            <w:tcW w:w="1309" w:type="dxa"/>
          </w:tcPr>
          <w:p w14:paraId="67399E13" w14:textId="77777777" w:rsidR="002922F7" w:rsidRDefault="002922F7" w:rsidP="002922F7">
            <w:pPr>
              <w:pStyle w:val="TabletextCentre"/>
              <w:keepNext/>
            </w:pPr>
            <w:r w:rsidRPr="00144D85">
              <w:t>6.20%</w:t>
            </w:r>
          </w:p>
        </w:tc>
        <w:tc>
          <w:tcPr>
            <w:tcW w:w="1302" w:type="dxa"/>
          </w:tcPr>
          <w:p w14:paraId="287222A2" w14:textId="77777777" w:rsidR="002922F7" w:rsidRDefault="002922F7" w:rsidP="002922F7">
            <w:pPr>
              <w:pStyle w:val="TabletextCentre"/>
              <w:keepNext/>
            </w:pPr>
            <w:r w:rsidRPr="00144D85">
              <w:t>6.83%</w:t>
            </w:r>
          </w:p>
        </w:tc>
      </w:tr>
      <w:tr w:rsidR="002922F7" w14:paraId="04CB1219" w14:textId="77777777" w:rsidTr="002922F7">
        <w:tc>
          <w:tcPr>
            <w:tcW w:w="1092" w:type="dxa"/>
            <w:vMerge/>
          </w:tcPr>
          <w:p w14:paraId="5BBED99F" w14:textId="77777777" w:rsidR="002922F7" w:rsidRDefault="002922F7" w:rsidP="002922F7">
            <w:pPr>
              <w:keepNext/>
            </w:pPr>
          </w:p>
        </w:tc>
        <w:tc>
          <w:tcPr>
            <w:tcW w:w="1355" w:type="dxa"/>
            <w:vMerge/>
            <w:vAlign w:val="center"/>
          </w:tcPr>
          <w:p w14:paraId="43AF8214" w14:textId="77777777" w:rsidR="002922F7" w:rsidRDefault="002922F7" w:rsidP="002922F7">
            <w:pPr>
              <w:pStyle w:val="TabletextCentreTotal"/>
              <w:keepNext/>
            </w:pPr>
          </w:p>
        </w:tc>
        <w:tc>
          <w:tcPr>
            <w:tcW w:w="1366" w:type="dxa"/>
          </w:tcPr>
          <w:p w14:paraId="3F1E0086" w14:textId="77777777" w:rsidR="002922F7" w:rsidRDefault="002922F7" w:rsidP="002922F7">
            <w:pPr>
              <w:pStyle w:val="TabletextLeftTotal"/>
              <w:keepNext/>
            </w:pPr>
            <w:r w:rsidRPr="00EE0E71">
              <w:t>p-value</w:t>
            </w:r>
          </w:p>
        </w:tc>
        <w:tc>
          <w:tcPr>
            <w:tcW w:w="1301" w:type="dxa"/>
            <w:shd w:val="clear" w:color="auto" w:fill="000000" w:themeFill="text1"/>
          </w:tcPr>
          <w:p w14:paraId="7D06E48D" w14:textId="77777777" w:rsidR="002922F7" w:rsidRPr="0090508D" w:rsidRDefault="002922F7" w:rsidP="002922F7">
            <w:pPr>
              <w:pStyle w:val="TabletextCentre"/>
              <w:keepNext/>
              <w:rPr>
                <w:b/>
                <w:bCs/>
              </w:rPr>
            </w:pPr>
            <w:r w:rsidRPr="0090508D">
              <w:rPr>
                <w:b/>
                <w:bCs/>
              </w:rPr>
              <w:t>0.0002</w:t>
            </w:r>
          </w:p>
        </w:tc>
        <w:tc>
          <w:tcPr>
            <w:tcW w:w="1301" w:type="dxa"/>
          </w:tcPr>
          <w:p w14:paraId="0C7AE731" w14:textId="77777777" w:rsidR="002922F7" w:rsidRDefault="002922F7" w:rsidP="002922F7">
            <w:pPr>
              <w:pStyle w:val="TabletextCentre"/>
              <w:keepNext/>
            </w:pPr>
            <w:r w:rsidRPr="00144D85">
              <w:t>0.9736</w:t>
            </w:r>
          </w:p>
        </w:tc>
        <w:tc>
          <w:tcPr>
            <w:tcW w:w="1309" w:type="dxa"/>
          </w:tcPr>
          <w:p w14:paraId="620400EA" w14:textId="77777777" w:rsidR="002922F7" w:rsidRDefault="002922F7" w:rsidP="002922F7">
            <w:pPr>
              <w:pStyle w:val="TabletextCentre"/>
              <w:keepNext/>
            </w:pPr>
            <w:r w:rsidRPr="00144D85">
              <w:t>0.0182</w:t>
            </w:r>
          </w:p>
        </w:tc>
        <w:tc>
          <w:tcPr>
            <w:tcW w:w="1302" w:type="dxa"/>
          </w:tcPr>
          <w:p w14:paraId="4EA4011A" w14:textId="77777777" w:rsidR="002922F7" w:rsidRDefault="002922F7" w:rsidP="002922F7">
            <w:pPr>
              <w:pStyle w:val="TabletextCentre"/>
              <w:keepNext/>
            </w:pPr>
            <w:r w:rsidRPr="00144D85">
              <w:t>0.1990</w:t>
            </w:r>
          </w:p>
        </w:tc>
      </w:tr>
      <w:tr w:rsidR="002922F7" w14:paraId="5BB32C1B" w14:textId="77777777" w:rsidTr="002922F7">
        <w:tc>
          <w:tcPr>
            <w:tcW w:w="1092" w:type="dxa"/>
            <w:vMerge/>
          </w:tcPr>
          <w:p w14:paraId="7D81FFC7" w14:textId="77777777" w:rsidR="002922F7" w:rsidRPr="00EE0E71" w:rsidRDefault="002922F7" w:rsidP="002922F7">
            <w:pPr>
              <w:keepNext/>
            </w:pPr>
          </w:p>
        </w:tc>
        <w:tc>
          <w:tcPr>
            <w:tcW w:w="1355" w:type="dxa"/>
            <w:vMerge w:val="restart"/>
            <w:vAlign w:val="center"/>
          </w:tcPr>
          <w:p w14:paraId="7F3E660E" w14:textId="77777777" w:rsidR="002922F7" w:rsidRDefault="002922F7" w:rsidP="002922F7">
            <w:pPr>
              <w:pStyle w:val="TabletextCentreTotal"/>
              <w:keepNext/>
            </w:pPr>
            <w:r w:rsidRPr="00EE0E71">
              <w:t>3rd quartile</w:t>
            </w:r>
          </w:p>
        </w:tc>
        <w:tc>
          <w:tcPr>
            <w:tcW w:w="1366" w:type="dxa"/>
          </w:tcPr>
          <w:p w14:paraId="17DE3587" w14:textId="77777777" w:rsidR="002922F7" w:rsidRDefault="002922F7" w:rsidP="002922F7">
            <w:pPr>
              <w:pStyle w:val="TabletextLeftTotal"/>
              <w:keepNext/>
            </w:pPr>
            <w:r w:rsidRPr="00EE0E71">
              <w:t>observed proportion</w:t>
            </w:r>
          </w:p>
        </w:tc>
        <w:tc>
          <w:tcPr>
            <w:tcW w:w="1301" w:type="dxa"/>
          </w:tcPr>
          <w:p w14:paraId="42B83B0F" w14:textId="77777777" w:rsidR="002922F7" w:rsidRDefault="002922F7" w:rsidP="002922F7">
            <w:pPr>
              <w:pStyle w:val="TabletextCentre"/>
              <w:keepNext/>
            </w:pPr>
            <w:r w:rsidRPr="00144D85">
              <w:t>5.42%</w:t>
            </w:r>
          </w:p>
        </w:tc>
        <w:tc>
          <w:tcPr>
            <w:tcW w:w="1301" w:type="dxa"/>
          </w:tcPr>
          <w:p w14:paraId="30BE7F13" w14:textId="77777777" w:rsidR="002922F7" w:rsidRDefault="002922F7" w:rsidP="002922F7">
            <w:pPr>
              <w:pStyle w:val="TabletextCentre"/>
              <w:keepNext/>
            </w:pPr>
            <w:r w:rsidRPr="00144D85">
              <w:t>6.12%</w:t>
            </w:r>
          </w:p>
        </w:tc>
        <w:tc>
          <w:tcPr>
            <w:tcW w:w="1309" w:type="dxa"/>
          </w:tcPr>
          <w:p w14:paraId="171DC077" w14:textId="77777777" w:rsidR="002922F7" w:rsidRDefault="002922F7" w:rsidP="002922F7">
            <w:pPr>
              <w:pStyle w:val="TabletextCentre"/>
              <w:keepNext/>
            </w:pPr>
            <w:r w:rsidRPr="00144D85">
              <w:t>7.34%</w:t>
            </w:r>
          </w:p>
        </w:tc>
        <w:tc>
          <w:tcPr>
            <w:tcW w:w="1302" w:type="dxa"/>
          </w:tcPr>
          <w:p w14:paraId="6B6D506C" w14:textId="77777777" w:rsidR="002922F7" w:rsidRDefault="002922F7" w:rsidP="002922F7">
            <w:pPr>
              <w:pStyle w:val="TabletextCentre"/>
              <w:keepNext/>
            </w:pPr>
            <w:r w:rsidRPr="00144D85">
              <w:t>6.12%</w:t>
            </w:r>
          </w:p>
        </w:tc>
      </w:tr>
      <w:tr w:rsidR="002922F7" w14:paraId="32AC55F3" w14:textId="77777777" w:rsidTr="002922F7">
        <w:tc>
          <w:tcPr>
            <w:tcW w:w="1092" w:type="dxa"/>
            <w:vMerge/>
          </w:tcPr>
          <w:p w14:paraId="03AFDECE" w14:textId="77777777" w:rsidR="002922F7" w:rsidRDefault="002922F7" w:rsidP="002922F7">
            <w:pPr>
              <w:keepNext/>
            </w:pPr>
          </w:p>
        </w:tc>
        <w:tc>
          <w:tcPr>
            <w:tcW w:w="1355" w:type="dxa"/>
            <w:vMerge/>
            <w:vAlign w:val="center"/>
          </w:tcPr>
          <w:p w14:paraId="0D0333E5" w14:textId="77777777" w:rsidR="002922F7" w:rsidRDefault="002922F7" w:rsidP="002922F7">
            <w:pPr>
              <w:pStyle w:val="TabletextCentreTotal"/>
              <w:keepNext/>
            </w:pPr>
          </w:p>
        </w:tc>
        <w:tc>
          <w:tcPr>
            <w:tcW w:w="1366" w:type="dxa"/>
          </w:tcPr>
          <w:p w14:paraId="4EEA8E5D" w14:textId="77777777" w:rsidR="002922F7" w:rsidRDefault="002922F7" w:rsidP="002922F7">
            <w:pPr>
              <w:pStyle w:val="TabletextLeftTotal"/>
              <w:keepNext/>
            </w:pPr>
            <w:r w:rsidRPr="00EE0E71">
              <w:t>expected proportion</w:t>
            </w:r>
          </w:p>
        </w:tc>
        <w:tc>
          <w:tcPr>
            <w:tcW w:w="1301" w:type="dxa"/>
          </w:tcPr>
          <w:p w14:paraId="17646C24" w14:textId="77777777" w:rsidR="002922F7" w:rsidRDefault="002922F7" w:rsidP="002922F7">
            <w:pPr>
              <w:pStyle w:val="TabletextCentre"/>
              <w:keepNext/>
            </w:pPr>
            <w:r w:rsidRPr="00144D85">
              <w:t>5.68%</w:t>
            </w:r>
          </w:p>
        </w:tc>
        <w:tc>
          <w:tcPr>
            <w:tcW w:w="1301" w:type="dxa"/>
          </w:tcPr>
          <w:p w14:paraId="02955934" w14:textId="77777777" w:rsidR="002922F7" w:rsidRDefault="002922F7" w:rsidP="002922F7">
            <w:pPr>
              <w:pStyle w:val="TabletextCentre"/>
              <w:keepNext/>
            </w:pPr>
            <w:r w:rsidRPr="00144D85">
              <w:t>6.73%</w:t>
            </w:r>
          </w:p>
        </w:tc>
        <w:tc>
          <w:tcPr>
            <w:tcW w:w="1309" w:type="dxa"/>
          </w:tcPr>
          <w:p w14:paraId="368BD53E" w14:textId="77777777" w:rsidR="002922F7" w:rsidRDefault="002922F7" w:rsidP="002922F7">
            <w:pPr>
              <w:pStyle w:val="TabletextCentre"/>
              <w:keepNext/>
            </w:pPr>
            <w:r w:rsidRPr="00144D85">
              <w:t>5.99%</w:t>
            </w:r>
          </w:p>
        </w:tc>
        <w:tc>
          <w:tcPr>
            <w:tcW w:w="1302" w:type="dxa"/>
          </w:tcPr>
          <w:p w14:paraId="2D806B97" w14:textId="77777777" w:rsidR="002922F7" w:rsidRDefault="002922F7" w:rsidP="002922F7">
            <w:pPr>
              <w:pStyle w:val="TabletextCentre"/>
              <w:keepNext/>
            </w:pPr>
            <w:r w:rsidRPr="00144D85">
              <w:t>6.60%</w:t>
            </w:r>
          </w:p>
        </w:tc>
      </w:tr>
      <w:tr w:rsidR="002922F7" w14:paraId="32DA7B7B" w14:textId="77777777" w:rsidTr="002922F7">
        <w:tc>
          <w:tcPr>
            <w:tcW w:w="1092" w:type="dxa"/>
            <w:vMerge/>
          </w:tcPr>
          <w:p w14:paraId="186A19CE" w14:textId="77777777" w:rsidR="002922F7" w:rsidRDefault="002922F7" w:rsidP="002922F7">
            <w:pPr>
              <w:keepNext/>
            </w:pPr>
          </w:p>
        </w:tc>
        <w:tc>
          <w:tcPr>
            <w:tcW w:w="1355" w:type="dxa"/>
            <w:vMerge/>
            <w:vAlign w:val="center"/>
          </w:tcPr>
          <w:p w14:paraId="396CB519" w14:textId="77777777" w:rsidR="002922F7" w:rsidRDefault="002922F7" w:rsidP="002922F7">
            <w:pPr>
              <w:pStyle w:val="TabletextCentreTotal"/>
              <w:keepNext/>
            </w:pPr>
          </w:p>
        </w:tc>
        <w:tc>
          <w:tcPr>
            <w:tcW w:w="1366" w:type="dxa"/>
          </w:tcPr>
          <w:p w14:paraId="1A6C61F1" w14:textId="77777777" w:rsidR="002922F7" w:rsidRDefault="002922F7" w:rsidP="002922F7">
            <w:pPr>
              <w:pStyle w:val="TabletextLeftTotal"/>
              <w:keepNext/>
            </w:pPr>
            <w:r w:rsidRPr="00EE0E71">
              <w:t>p-value</w:t>
            </w:r>
          </w:p>
        </w:tc>
        <w:tc>
          <w:tcPr>
            <w:tcW w:w="1301" w:type="dxa"/>
          </w:tcPr>
          <w:p w14:paraId="4AF61691" w14:textId="77777777" w:rsidR="002922F7" w:rsidRDefault="002922F7" w:rsidP="002922F7">
            <w:pPr>
              <w:pStyle w:val="TabletextCentre"/>
              <w:keepNext/>
            </w:pPr>
            <w:r w:rsidRPr="00144D85">
              <w:t>0.7296</w:t>
            </w:r>
          </w:p>
        </w:tc>
        <w:tc>
          <w:tcPr>
            <w:tcW w:w="1301" w:type="dxa"/>
          </w:tcPr>
          <w:p w14:paraId="5DCCA578" w14:textId="77777777" w:rsidR="002922F7" w:rsidRDefault="002922F7" w:rsidP="002922F7">
            <w:pPr>
              <w:pStyle w:val="TabletextCentre"/>
              <w:keepNext/>
            </w:pPr>
            <w:r w:rsidRPr="00144D85">
              <w:t>0.4461</w:t>
            </w:r>
          </w:p>
        </w:tc>
        <w:tc>
          <w:tcPr>
            <w:tcW w:w="1309" w:type="dxa"/>
          </w:tcPr>
          <w:p w14:paraId="0EF4E2E9" w14:textId="77777777" w:rsidR="002922F7" w:rsidRDefault="002922F7" w:rsidP="002922F7">
            <w:pPr>
              <w:pStyle w:val="TabletextCentre"/>
              <w:keepNext/>
            </w:pPr>
            <w:r w:rsidRPr="00144D85">
              <w:t>0.0795</w:t>
            </w:r>
          </w:p>
        </w:tc>
        <w:tc>
          <w:tcPr>
            <w:tcW w:w="1302" w:type="dxa"/>
          </w:tcPr>
          <w:p w14:paraId="63B1B0DA" w14:textId="77777777" w:rsidR="002922F7" w:rsidRDefault="002922F7" w:rsidP="002922F7">
            <w:pPr>
              <w:pStyle w:val="TabletextCentre"/>
              <w:keepNext/>
            </w:pPr>
            <w:r w:rsidRPr="00144D85">
              <w:t>0.5469</w:t>
            </w:r>
          </w:p>
        </w:tc>
      </w:tr>
      <w:tr w:rsidR="002922F7" w14:paraId="25666FFB" w14:textId="77777777" w:rsidTr="002922F7">
        <w:tc>
          <w:tcPr>
            <w:tcW w:w="1092" w:type="dxa"/>
            <w:vMerge/>
          </w:tcPr>
          <w:p w14:paraId="02BFE0D3" w14:textId="77777777" w:rsidR="002922F7" w:rsidRPr="00EE0E71" w:rsidRDefault="002922F7" w:rsidP="002922F7">
            <w:pPr>
              <w:keepNext/>
            </w:pPr>
          </w:p>
        </w:tc>
        <w:tc>
          <w:tcPr>
            <w:tcW w:w="1355" w:type="dxa"/>
            <w:vMerge w:val="restart"/>
            <w:vAlign w:val="center"/>
          </w:tcPr>
          <w:p w14:paraId="1620A88A" w14:textId="77777777" w:rsidR="002922F7" w:rsidRDefault="002922F7" w:rsidP="002922F7">
            <w:pPr>
              <w:pStyle w:val="TabletextCentreTotal"/>
              <w:keepNext/>
            </w:pPr>
            <w:r w:rsidRPr="00EE0E71">
              <w:t>4th quartile</w:t>
            </w:r>
          </w:p>
        </w:tc>
        <w:tc>
          <w:tcPr>
            <w:tcW w:w="1366" w:type="dxa"/>
          </w:tcPr>
          <w:p w14:paraId="7DEE7E36" w14:textId="77777777" w:rsidR="002922F7" w:rsidRDefault="002922F7" w:rsidP="002922F7">
            <w:pPr>
              <w:pStyle w:val="TabletextLeftTotal"/>
              <w:keepNext/>
            </w:pPr>
            <w:r w:rsidRPr="00EE0E71">
              <w:t>observed proportion</w:t>
            </w:r>
          </w:p>
        </w:tc>
        <w:tc>
          <w:tcPr>
            <w:tcW w:w="1301" w:type="dxa"/>
          </w:tcPr>
          <w:p w14:paraId="416CEAC8" w14:textId="77777777" w:rsidR="002922F7" w:rsidRDefault="002922F7" w:rsidP="002922F7">
            <w:pPr>
              <w:pStyle w:val="TabletextCentre"/>
              <w:keepNext/>
            </w:pPr>
            <w:r w:rsidRPr="00144D85">
              <w:t>9.97%</w:t>
            </w:r>
          </w:p>
        </w:tc>
        <w:tc>
          <w:tcPr>
            <w:tcW w:w="1301" w:type="dxa"/>
          </w:tcPr>
          <w:p w14:paraId="0A77DC97" w14:textId="77777777" w:rsidR="002922F7" w:rsidRDefault="002922F7" w:rsidP="002922F7">
            <w:pPr>
              <w:pStyle w:val="TabletextCentre"/>
              <w:keepNext/>
            </w:pPr>
            <w:r w:rsidRPr="00144D85">
              <w:t>7.34%</w:t>
            </w:r>
          </w:p>
        </w:tc>
        <w:tc>
          <w:tcPr>
            <w:tcW w:w="1309" w:type="dxa"/>
          </w:tcPr>
          <w:p w14:paraId="33564FD8" w14:textId="77777777" w:rsidR="002922F7" w:rsidRDefault="002922F7" w:rsidP="002922F7">
            <w:pPr>
              <w:pStyle w:val="TabletextCentre"/>
              <w:keepNext/>
            </w:pPr>
            <w:r w:rsidRPr="00144D85">
              <w:t>3.85%</w:t>
            </w:r>
          </w:p>
        </w:tc>
        <w:tc>
          <w:tcPr>
            <w:tcW w:w="1302" w:type="dxa"/>
          </w:tcPr>
          <w:p w14:paraId="1141D3C9" w14:textId="77777777" w:rsidR="002922F7" w:rsidRDefault="002922F7" w:rsidP="002922F7">
            <w:pPr>
              <w:pStyle w:val="TabletextCentre"/>
              <w:keepNext/>
            </w:pPr>
            <w:r w:rsidRPr="00144D85">
              <w:t>3.32%</w:t>
            </w:r>
          </w:p>
        </w:tc>
      </w:tr>
      <w:tr w:rsidR="002922F7" w14:paraId="6057BEDC" w14:textId="77777777" w:rsidTr="002922F7">
        <w:tc>
          <w:tcPr>
            <w:tcW w:w="1092" w:type="dxa"/>
            <w:vMerge/>
          </w:tcPr>
          <w:p w14:paraId="65E2BF3B" w14:textId="77777777" w:rsidR="002922F7" w:rsidRDefault="002922F7" w:rsidP="002922F7">
            <w:pPr>
              <w:keepNext/>
            </w:pPr>
          </w:p>
        </w:tc>
        <w:tc>
          <w:tcPr>
            <w:tcW w:w="1355" w:type="dxa"/>
            <w:vMerge/>
          </w:tcPr>
          <w:p w14:paraId="46CF2C79" w14:textId="77777777" w:rsidR="002922F7" w:rsidRDefault="002922F7" w:rsidP="002922F7">
            <w:pPr>
              <w:pStyle w:val="TabletextCentreTotal"/>
              <w:keepNext/>
            </w:pPr>
          </w:p>
        </w:tc>
        <w:tc>
          <w:tcPr>
            <w:tcW w:w="1366" w:type="dxa"/>
          </w:tcPr>
          <w:p w14:paraId="14EA0955" w14:textId="77777777" w:rsidR="002922F7" w:rsidRDefault="002922F7" w:rsidP="002922F7">
            <w:pPr>
              <w:pStyle w:val="TabletextLeftTotal"/>
              <w:keepNext/>
            </w:pPr>
            <w:r w:rsidRPr="00EE0E71">
              <w:t>expected proportion</w:t>
            </w:r>
          </w:p>
        </w:tc>
        <w:tc>
          <w:tcPr>
            <w:tcW w:w="1301" w:type="dxa"/>
          </w:tcPr>
          <w:p w14:paraId="7174C084" w14:textId="77777777" w:rsidR="002922F7" w:rsidRDefault="002922F7" w:rsidP="002922F7">
            <w:pPr>
              <w:pStyle w:val="TabletextCentre"/>
              <w:keepNext/>
            </w:pPr>
            <w:r w:rsidRPr="00144D85">
              <w:t>5.56%</w:t>
            </w:r>
          </w:p>
        </w:tc>
        <w:tc>
          <w:tcPr>
            <w:tcW w:w="1301" w:type="dxa"/>
          </w:tcPr>
          <w:p w14:paraId="270A8276" w14:textId="77777777" w:rsidR="002922F7" w:rsidRDefault="002922F7" w:rsidP="002922F7">
            <w:pPr>
              <w:pStyle w:val="TabletextCentre"/>
              <w:keepNext/>
            </w:pPr>
            <w:r w:rsidRPr="00144D85">
              <w:t>6.59%</w:t>
            </w:r>
          </w:p>
        </w:tc>
        <w:tc>
          <w:tcPr>
            <w:tcW w:w="1309" w:type="dxa"/>
          </w:tcPr>
          <w:p w14:paraId="593BC21B" w14:textId="77777777" w:rsidR="002922F7" w:rsidRDefault="002922F7" w:rsidP="002922F7">
            <w:pPr>
              <w:pStyle w:val="TabletextCentre"/>
              <w:keepNext/>
            </w:pPr>
            <w:r w:rsidRPr="00144D85">
              <w:t>5.86%</w:t>
            </w:r>
          </w:p>
        </w:tc>
        <w:tc>
          <w:tcPr>
            <w:tcW w:w="1302" w:type="dxa"/>
          </w:tcPr>
          <w:p w14:paraId="64926C75" w14:textId="77777777" w:rsidR="002922F7" w:rsidRDefault="002922F7" w:rsidP="002922F7">
            <w:pPr>
              <w:pStyle w:val="TabletextCentre"/>
              <w:keepNext/>
            </w:pPr>
            <w:r w:rsidRPr="00144D85">
              <w:t>6.46%</w:t>
            </w:r>
          </w:p>
        </w:tc>
      </w:tr>
      <w:tr w:rsidR="002922F7" w14:paraId="5EA3B08B" w14:textId="77777777" w:rsidTr="002922F7">
        <w:tc>
          <w:tcPr>
            <w:tcW w:w="1092" w:type="dxa"/>
            <w:vMerge/>
          </w:tcPr>
          <w:p w14:paraId="2141EF84" w14:textId="77777777" w:rsidR="002922F7" w:rsidRDefault="002922F7" w:rsidP="002922F7">
            <w:pPr>
              <w:keepNext/>
            </w:pPr>
          </w:p>
        </w:tc>
        <w:tc>
          <w:tcPr>
            <w:tcW w:w="1355" w:type="dxa"/>
            <w:vMerge/>
          </w:tcPr>
          <w:p w14:paraId="798E5C83" w14:textId="77777777" w:rsidR="002922F7" w:rsidRDefault="002922F7" w:rsidP="002922F7">
            <w:pPr>
              <w:pStyle w:val="TabletextCentreTotal"/>
              <w:keepNext/>
            </w:pPr>
          </w:p>
        </w:tc>
        <w:tc>
          <w:tcPr>
            <w:tcW w:w="1366" w:type="dxa"/>
          </w:tcPr>
          <w:p w14:paraId="65800B51" w14:textId="77777777" w:rsidR="002922F7" w:rsidRDefault="002922F7" w:rsidP="002922F7">
            <w:pPr>
              <w:pStyle w:val="TabletextLeftTotal"/>
              <w:keepNext/>
            </w:pPr>
            <w:r w:rsidRPr="00EE0E71">
              <w:t>p-value</w:t>
            </w:r>
          </w:p>
        </w:tc>
        <w:tc>
          <w:tcPr>
            <w:tcW w:w="1301" w:type="dxa"/>
            <w:shd w:val="clear" w:color="auto" w:fill="000000" w:themeFill="text1"/>
          </w:tcPr>
          <w:p w14:paraId="7C3F1AD5" w14:textId="77777777" w:rsidR="002922F7" w:rsidRPr="0090508D" w:rsidRDefault="002922F7" w:rsidP="002922F7">
            <w:pPr>
              <w:pStyle w:val="TabletextCentre"/>
              <w:keepNext/>
              <w:rPr>
                <w:b/>
                <w:bCs/>
              </w:rPr>
            </w:pPr>
            <w:r w:rsidRPr="0090508D">
              <w:rPr>
                <w:b/>
                <w:bCs/>
              </w:rPr>
              <w:t>0.0000</w:t>
            </w:r>
          </w:p>
        </w:tc>
        <w:tc>
          <w:tcPr>
            <w:tcW w:w="1301" w:type="dxa"/>
          </w:tcPr>
          <w:p w14:paraId="1BF5599D" w14:textId="77777777" w:rsidR="002922F7" w:rsidRDefault="002922F7" w:rsidP="002922F7">
            <w:pPr>
              <w:pStyle w:val="TabletextCentre"/>
              <w:keepNext/>
            </w:pPr>
            <w:r w:rsidRPr="00144D85">
              <w:t>0.3449</w:t>
            </w:r>
          </w:p>
        </w:tc>
        <w:tc>
          <w:tcPr>
            <w:tcW w:w="1309" w:type="dxa"/>
          </w:tcPr>
          <w:p w14:paraId="2E7B95CE" w14:textId="77777777" w:rsidR="002922F7" w:rsidRDefault="002922F7" w:rsidP="002922F7">
            <w:pPr>
              <w:pStyle w:val="TabletextCentre"/>
              <w:keepNext/>
            </w:pPr>
            <w:r w:rsidRPr="00144D85">
              <w:t>0.0086</w:t>
            </w:r>
          </w:p>
        </w:tc>
        <w:tc>
          <w:tcPr>
            <w:tcW w:w="1302" w:type="dxa"/>
            <w:shd w:val="clear" w:color="auto" w:fill="000000" w:themeFill="text1"/>
          </w:tcPr>
          <w:p w14:paraId="562EDB66" w14:textId="77777777" w:rsidR="002922F7" w:rsidRPr="0090508D" w:rsidRDefault="002922F7" w:rsidP="002922F7">
            <w:pPr>
              <w:pStyle w:val="TabletextCentre"/>
              <w:keepNext/>
              <w:rPr>
                <w:b/>
                <w:bCs/>
              </w:rPr>
            </w:pPr>
            <w:r w:rsidRPr="0090508D">
              <w:rPr>
                <w:b/>
                <w:bCs/>
              </w:rPr>
              <w:t>0.0001</w:t>
            </w:r>
          </w:p>
        </w:tc>
      </w:tr>
    </w:tbl>
    <w:p w14:paraId="48B8B231" w14:textId="77777777" w:rsidR="002922F7" w:rsidRDefault="002922F7" w:rsidP="002922F7">
      <w:pPr>
        <w:rPr>
          <w:lang w:eastAsia="en-AU"/>
        </w:rPr>
      </w:pPr>
    </w:p>
    <w:p w14:paraId="7098D8A4" w14:textId="77777777" w:rsidR="002922F7" w:rsidRDefault="002922F7" w:rsidP="00400621">
      <w:pPr>
        <w:pStyle w:val="Appendixhead2"/>
        <w:numPr>
          <w:ilvl w:val="1"/>
          <w:numId w:val="11"/>
        </w:numPr>
        <w:rPr>
          <w:bdr w:val="none" w:sz="0" w:space="0" w:color="auto" w:frame="1"/>
        </w:rPr>
      </w:pPr>
      <w:bookmarkStart w:id="313" w:name="_Ref38551997"/>
      <w:bookmarkStart w:id="314" w:name="_Toc40454666"/>
      <w:r>
        <w:rPr>
          <w:bdr w:val="none" w:sz="0" w:space="0" w:color="auto" w:frame="1"/>
        </w:rPr>
        <w:t>Regression analysis – results</w:t>
      </w:r>
      <w:bookmarkEnd w:id="313"/>
      <w:bookmarkEnd w:id="314"/>
    </w:p>
    <w:p w14:paraId="32BBF96D" w14:textId="77777777" w:rsidR="002922F7" w:rsidRDefault="002922F7" w:rsidP="002922F7">
      <w:pPr>
        <w:pStyle w:val="Appendixhead3"/>
        <w:rPr>
          <w:lang w:eastAsia="en-AU"/>
        </w:rPr>
      </w:pPr>
      <w:bookmarkStart w:id="315" w:name="_Toc40454667"/>
      <w:bookmarkStart w:id="316" w:name="_Hlk38987907"/>
      <w:r>
        <w:rPr>
          <w:lang w:eastAsia="en-AU"/>
        </w:rPr>
        <w:t>Overheads (lowest quartile)</w:t>
      </w:r>
      <w:bookmarkEnd w:id="315"/>
    </w:p>
    <w:bookmarkEnd w:id="316"/>
    <w:p w14:paraId="705C892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logit1 &lt;- glm(OHS_bq ~ ndia$Util_q + ndia$staffrem_q + ndia$margin_q + ndia$Award + ndia$Permc_q + ndia$Direct_q + ndia$staff_q, data = ndia, family = binomial)</w:t>
      </w:r>
    </w:p>
    <w:p w14:paraId="2906DD7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summary(logit1)</w:t>
      </w:r>
    </w:p>
    <w:p w14:paraId="0769C8C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047A7B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57FA379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OHS_bq ~ ndia$Util_q + ndia$staffrem_q + ndia$margin_q + </w:t>
      </w:r>
    </w:p>
    <w:p w14:paraId="3533EF2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ndia$Award + ndia$Permc_q + ndia$Direct_q + ndia$staff_q, </w:t>
      </w:r>
    </w:p>
    <w:p w14:paraId="246A9C1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28F2C79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4DEDBC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74A1E31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0191D0F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-0.9660  -0.5942  -0.4421  -0.2643   2.7540  </w:t>
      </w:r>
    </w:p>
    <w:p w14:paraId="520B0F1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D4FB4E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45DB363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05BCB0D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(Intercept)      -1.65618    0.85515  -1.937   0.0528 .</w:t>
      </w:r>
    </w:p>
    <w:p w14:paraId="32D899B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ndia$Util_q2     -0.02047    0.63210  -0.032   0.9742  </w:t>
      </w:r>
    </w:p>
    <w:p w14:paraId="3A8E067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ndia$Util_q3      0.14330    0.54847   0.261   0.7939  </w:t>
      </w:r>
    </w:p>
    <w:p w14:paraId="759B5FF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ndia$Util_q4      0.31734    0.56017   0.567   0.5711  </w:t>
      </w:r>
    </w:p>
    <w:p w14:paraId="64BD8B4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ndia$staffrem_q2  0.05370    0.52919   0.101   0.9192  </w:t>
      </w:r>
    </w:p>
    <w:p w14:paraId="5695091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ndia$staffrem_q3  0.40217    0.50616   0.795   0.4269  </w:t>
      </w:r>
    </w:p>
    <w:p w14:paraId="2E89CF0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ndia$staffrem_q4  0.45879    0.53632   0.855   0.3923  </w:t>
      </w:r>
    </w:p>
    <w:p w14:paraId="77D92BE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ndia$margin_q2   -1.27681    0.59470  -2.147   0.0318 *</w:t>
      </w:r>
    </w:p>
    <w:p w14:paraId="6176BC6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ndia$margin_q3   -0.89668    0.51542  -1.740   0.0819 .</w:t>
      </w:r>
    </w:p>
    <w:p w14:paraId="2327645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ndia$margin_q4   -0.66507    0.49447  -1.345   0.1786  </w:t>
      </w:r>
    </w:p>
    <w:p w14:paraId="3941F13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-0.29112    0.45492  -0.640   0.5222  </w:t>
      </w:r>
    </w:p>
    <w:p w14:paraId="31CEC17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ndia$Permc_q2     0.18974    0.50847   0.373   0.7090  </w:t>
      </w:r>
    </w:p>
    <w:p w14:paraId="63E1A65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lastRenderedPageBreak/>
        <w:t xml:space="preserve">ndia$Permc_q3    -0.79447    0.64843  -1.225   0.2205  </w:t>
      </w:r>
    </w:p>
    <w:p w14:paraId="62B7077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ndia$Permc_q4     0.83438    0.58346   1.430   0.1527  </w:t>
      </w:r>
    </w:p>
    <w:p w14:paraId="22A6FC8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ndia$Direct_q2   -0.27742    0.62453  -0.444   0.6569  </w:t>
      </w:r>
    </w:p>
    <w:p w14:paraId="7B31E69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ndia$Direct_q3    0.45228    0.72495   0.624   0.5327  </w:t>
      </w:r>
    </w:p>
    <w:p w14:paraId="4468D14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ndia$Direct_q4   -0.21987    0.82637  -0.266   0.7902  </w:t>
      </w:r>
    </w:p>
    <w:p w14:paraId="04316C2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0.40059    0.67897   0.590   0.5552  </w:t>
      </w:r>
    </w:p>
    <w:p w14:paraId="770E17E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ndia$staff_q3    -0.05131    0.78833  -0.065   0.9481  </w:t>
      </w:r>
    </w:p>
    <w:p w14:paraId="72B925E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ndia$staff_q4    -0.23553    0.88442  -0.266   0.7900  </w:t>
      </w:r>
    </w:p>
    <w:p w14:paraId="43EF24E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48673E4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Signif. codes:  0 ‘***’ 0.001 ‘**’ 0.01 ‘*’ 0.05 ‘.’ 0.1 ‘ ’ 1</w:t>
      </w:r>
    </w:p>
    <w:p w14:paraId="3BCD28D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48A5CF4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1C0C94B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9B2928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238.43  on 296  degrees of freedom</w:t>
      </w:r>
    </w:p>
    <w:p w14:paraId="42AC925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217.48  on 277  degrees of freedom</w:t>
      </w:r>
    </w:p>
    <w:p w14:paraId="71772E7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(318 observations deleted due to missingness)</w:t>
      </w:r>
    </w:p>
    <w:p w14:paraId="043F0FD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257.48</w:t>
      </w:r>
    </w:p>
    <w:p w14:paraId="024F2EA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2BC9E92"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5</w:t>
      </w:r>
    </w:p>
    <w:p w14:paraId="091C16D8"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5A511BF" w14:textId="77777777" w:rsidR="002922F7" w:rsidRPr="00456C53" w:rsidRDefault="002922F7" w:rsidP="002922F7">
      <w:pPr>
        <w:pStyle w:val="Appendixhead3"/>
        <w:rPr>
          <w:lang w:eastAsia="en-AU"/>
        </w:rPr>
      </w:pPr>
      <w:bookmarkStart w:id="317" w:name="_Toc40454668"/>
      <w:r>
        <w:rPr>
          <w:lang w:eastAsia="en-AU"/>
        </w:rPr>
        <w:t>Overheads (highest quartile)</w:t>
      </w:r>
      <w:bookmarkEnd w:id="317"/>
    </w:p>
    <w:p w14:paraId="78A6857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75BA94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logit2 &lt;- glm(OHS_uq ~ ndia$Util_q + ndia$staffrem_q + ndia$margin_q + ndia$Award + ndia$Permc_q + ndia$Direct_q + ndia$staff_q, data = ndia, family = binomial)</w:t>
      </w:r>
    </w:p>
    <w:p w14:paraId="0279204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summary(logit2)</w:t>
      </w:r>
    </w:p>
    <w:p w14:paraId="7BD7C1F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F3A1FB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13DEA1C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OHS_uq ~ ndia$Util_q + ndia$staffrem_q + ndia$margin_q + </w:t>
      </w:r>
    </w:p>
    <w:p w14:paraId="5EF1B01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ndia$Award + ndia$Permc_q + ndia$Direct_q + ndia$staff_q, </w:t>
      </w:r>
    </w:p>
    <w:p w14:paraId="78FCC61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1448E7A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4BEBD69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319478C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27E987C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-1.4536  -0.8126  -0.6487   1.1396   2.0472  </w:t>
      </w:r>
    </w:p>
    <w:p w14:paraId="450A232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0F3447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7F95828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25BC9EC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(Intercept)      -0.621769   0.907506  -0.685   0.4933  </w:t>
      </w:r>
    </w:p>
    <w:p w14:paraId="5024F5C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ndia$Util_q2      0.179255   0.573705   0.312   0.7547  </w:t>
      </w:r>
    </w:p>
    <w:p w14:paraId="34F52B2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ndia$Util_q3      0.283223   0.512138   0.553   0.5802  </w:t>
      </w:r>
    </w:p>
    <w:p w14:paraId="3C84836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ndia$Util_q4     -0.286669   0.548543  -0.523   0.6013  </w:t>
      </w:r>
    </w:p>
    <w:p w14:paraId="42B1EE4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ndia$staffrem_q2 -0.809393   0.421024  -1.922   0.0546 .</w:t>
      </w:r>
    </w:p>
    <w:p w14:paraId="3F0E9D7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ndia$staffrem_q3 -0.812559   0.457379  -1.777   0.0756 .</w:t>
      </w:r>
    </w:p>
    <w:p w14:paraId="2EBBB44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ndia$staffrem_q4 -1.337042   0.570912  -2.342   0.0192 *</w:t>
      </w:r>
    </w:p>
    <w:p w14:paraId="71FEC2C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ndia$margin_q2    0.207519   0.479575   0.433   0.6652  </w:t>
      </w:r>
    </w:p>
    <w:p w14:paraId="5584449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ndia$margin_q3    0.471341   0.486884   0.968   0.3330  </w:t>
      </w:r>
    </w:p>
    <w:p w14:paraId="4E47E9C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ndia$margin_q4   -0.204377   0.529016  -0.386   0.6992  </w:t>
      </w:r>
    </w:p>
    <w:p w14:paraId="37DFAB5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-0.512657   0.439151  -1.167   0.2431  </w:t>
      </w:r>
    </w:p>
    <w:p w14:paraId="1ABC153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ndia$Permc_q2     0.344825   0.510020   0.676   0.4990  </w:t>
      </w:r>
    </w:p>
    <w:p w14:paraId="3C86FA8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ndia$Permc_q3     0.203835   0.527349   0.387   0.6991  </w:t>
      </w:r>
    </w:p>
    <w:p w14:paraId="2146108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ndia$Permc_q4    -0.006701   0.578951  -0.012   0.9908  </w:t>
      </w:r>
    </w:p>
    <w:p w14:paraId="17F575D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ndia$Direct_q2    0.291636   0.735449   0.397   0.6917  </w:t>
      </w:r>
    </w:p>
    <w:p w14:paraId="3EB7A98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ndia$Direct_q3    0.870361   0.816993   1.065   0.2867  </w:t>
      </w:r>
    </w:p>
    <w:p w14:paraId="26EF7EC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ndia$Direct_q4    0.427107   0.902111   0.473   0.6359  </w:t>
      </w:r>
    </w:p>
    <w:p w14:paraId="4CDE7C5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-0.529477   0.719146  -0.736   0.4616  </w:t>
      </w:r>
    </w:p>
    <w:p w14:paraId="0E55FC3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ndia$staff_q3    -0.313970   0.774034  -0.406   0.6850  </w:t>
      </w:r>
    </w:p>
    <w:p w14:paraId="13B98A3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ndia$staff_q4    -0.519607   0.860594  -0.604   0.5460  </w:t>
      </w:r>
    </w:p>
    <w:p w14:paraId="4FF76D3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6224C02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Signif. codes:  0 ‘***’ 0.001 ‘**’ 0.01 ‘*’ 0.05 ‘.’ 0.1 ‘ ’ 1</w:t>
      </w:r>
    </w:p>
    <w:p w14:paraId="36EC595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42CD2F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66A5746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746FF2E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248.09  on 207  degrees of freedom</w:t>
      </w:r>
    </w:p>
    <w:p w14:paraId="05C767E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231.16  on 188  degrees of freedom</w:t>
      </w:r>
    </w:p>
    <w:p w14:paraId="4DEAFCC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(407 observations deleted due to missingness)</w:t>
      </w:r>
    </w:p>
    <w:p w14:paraId="4AF0975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271.16</w:t>
      </w:r>
    </w:p>
    <w:p w14:paraId="0AEBBDA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0D7749B"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4</w:t>
      </w:r>
    </w:p>
    <w:p w14:paraId="34A115FB" w14:textId="77777777" w:rsidR="002922F7" w:rsidRPr="00456C53" w:rsidRDefault="002922F7" w:rsidP="002922F7">
      <w:pPr>
        <w:pStyle w:val="Appendixhead3"/>
        <w:rPr>
          <w:lang w:eastAsia="en-AU"/>
        </w:rPr>
      </w:pPr>
      <w:bookmarkStart w:id="318" w:name="_Toc40454669"/>
      <w:r>
        <w:rPr>
          <w:lang w:eastAsia="en-AU"/>
        </w:rPr>
        <w:lastRenderedPageBreak/>
        <w:t>Utilisation (lowest quartile)</w:t>
      </w:r>
      <w:bookmarkEnd w:id="318"/>
    </w:p>
    <w:p w14:paraId="22D5167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63CB129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logit3 &lt;- glm(Util_bq ~ ndia$OHS_q + ndia$staffrem_q + ndia$margin_q + ndia$Award + ndia$Permc_q + ndia$Direct_q + ndia$staff_q, data = ndia, family = binomial)</w:t>
      </w:r>
    </w:p>
    <w:p w14:paraId="009427E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summary(logit3)</w:t>
      </w:r>
    </w:p>
    <w:p w14:paraId="4ECACF7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5585AAD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03F828F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Util_bq ~ ndia$OHS_q + ndia$staffrem_q + ndia$margin_q + </w:t>
      </w:r>
    </w:p>
    <w:p w14:paraId="624949C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ndia$Award + ndia$Permc_q + ndia$Direct_q + ndia$staff_q, </w:t>
      </w:r>
    </w:p>
    <w:p w14:paraId="30A119C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2F67057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E49911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074F86D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10F54A3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-1.5190  -0.5577  -0.3636  -0.1951   2.8709  </w:t>
      </w:r>
    </w:p>
    <w:p w14:paraId="2D2BE9F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8BC142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325E116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5DCF8D1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(Intercept)      -1.20752    1.03120  -1.171  0.24160   </w:t>
      </w:r>
    </w:p>
    <w:p w14:paraId="7E63926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ndia$OHS_q2       0.30728    0.61157   0.502  0.61535   </w:t>
      </w:r>
    </w:p>
    <w:p w14:paraId="4CF543D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ndia$OHS_q3      -0.16112    0.64988  -0.248  0.80419   </w:t>
      </w:r>
    </w:p>
    <w:p w14:paraId="7838DD8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ndia$OHS_q4       0.08479    0.64164   0.132  0.89487   </w:t>
      </w:r>
    </w:p>
    <w:p w14:paraId="3897945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ndia$staffrem_q2 -0.97071    0.61381  -1.581  0.11377   </w:t>
      </w:r>
    </w:p>
    <w:p w14:paraId="2A233AE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ndia$staffrem_q3  0.27672    0.58555   0.473  0.63650   </w:t>
      </w:r>
    </w:p>
    <w:p w14:paraId="2497939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ndia$staffrem_q4 -0.30770    0.64076  -0.480  0.63108   </w:t>
      </w:r>
    </w:p>
    <w:p w14:paraId="6605383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ndia$margin_q2    0.43255    0.59147   0.731  0.46459   </w:t>
      </w:r>
    </w:p>
    <w:p w14:paraId="714A1FD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ndia$margin_q3    1.02821    0.62483   1.646  0.09985 . </w:t>
      </w:r>
    </w:p>
    <w:p w14:paraId="43B586F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ndia$margin_q4   -0.56613    0.69057  -0.820  0.41233   </w:t>
      </w:r>
    </w:p>
    <w:p w14:paraId="2607097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-1.20197    0.63611  -1.890  0.05882 . </w:t>
      </w:r>
    </w:p>
    <w:p w14:paraId="7704123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ndia$Permc_q2    -0.33698    0.62405  -0.540  0.58920   </w:t>
      </w:r>
    </w:p>
    <w:p w14:paraId="723BDA5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ndia$Permc_q3    -1.10233    0.67515  -1.633  0.10253   </w:t>
      </w:r>
    </w:p>
    <w:p w14:paraId="7D33258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ndia$Permc_q4    -0.94308    0.69108  -1.365  0.17236   </w:t>
      </w:r>
    </w:p>
    <w:p w14:paraId="2E33664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ndia$Direct_q2    2.51042    0.86314   2.908  0.00363 **</w:t>
      </w:r>
    </w:p>
    <w:p w14:paraId="04E6F76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ndia$Direct_q3    1.29841    1.02864   1.262  0.20686   </w:t>
      </w:r>
    </w:p>
    <w:p w14:paraId="2BAED75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ndia$Direct_q4    2.74448    1.09863   2.498  0.01249 * </w:t>
      </w:r>
    </w:p>
    <w:p w14:paraId="6D879D5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-1.26814    0.73069  -1.736  0.08264 . </w:t>
      </w:r>
    </w:p>
    <w:p w14:paraId="06ABD4B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ndia$staff_q3    -2.04006    0.78724  -2.591  0.00956 **</w:t>
      </w:r>
    </w:p>
    <w:p w14:paraId="090B6C3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ndia$staff_q4    -2.88692    0.97774  -2.953  0.00315 **</w:t>
      </w:r>
    </w:p>
    <w:p w14:paraId="1643FCC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49456D5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Signif. codes:  0 ‘***’ 0.001 ‘**’ 0.01 ‘*’ 0.05 ‘.’ 0.1 ‘ ’ 1</w:t>
      </w:r>
    </w:p>
    <w:p w14:paraId="0780263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5A4667F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5A0E543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72C2207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197.85  on 224  degrees of freedom</w:t>
      </w:r>
    </w:p>
    <w:p w14:paraId="1C63740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159.33  on 205  degrees of freedom</w:t>
      </w:r>
    </w:p>
    <w:p w14:paraId="2E68113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(390 observations deleted due to missingness)</w:t>
      </w:r>
    </w:p>
    <w:p w14:paraId="6969DD9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199.33</w:t>
      </w:r>
    </w:p>
    <w:p w14:paraId="1D67164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6CE06D2"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6</w:t>
      </w:r>
    </w:p>
    <w:p w14:paraId="78E87124"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8495D87" w14:textId="77777777" w:rsidR="002922F7" w:rsidRPr="00456C53" w:rsidRDefault="002922F7" w:rsidP="002922F7">
      <w:pPr>
        <w:pStyle w:val="Appendixhead3"/>
        <w:rPr>
          <w:lang w:eastAsia="en-AU"/>
        </w:rPr>
      </w:pPr>
      <w:bookmarkStart w:id="319" w:name="_Toc40454670"/>
      <w:r>
        <w:rPr>
          <w:lang w:eastAsia="en-AU"/>
        </w:rPr>
        <w:t>Utilisation (highest quartile)</w:t>
      </w:r>
      <w:bookmarkEnd w:id="319"/>
    </w:p>
    <w:p w14:paraId="0195C9C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6A6B9B6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logit4 &lt;- glm(Util_uq ~ ndia$OHS_q + ndia$staffrem_q + ndia$margin_q + ndia$Award + ndia$Permc_q + ndia$Direct_q + ndia$staff_q, data = ndia, family = binomial)</w:t>
      </w:r>
    </w:p>
    <w:p w14:paraId="3D36C2A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summary(logit4)</w:t>
      </w:r>
    </w:p>
    <w:p w14:paraId="78D5362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68AB78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32AF959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Util_uq ~ ndia$OHS_q + ndia$staffrem_q + ndia$margin_q + </w:t>
      </w:r>
    </w:p>
    <w:p w14:paraId="150A18F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ndia$Award + ndia$Permc_q + ndia$Direct_q + ndia$staff_q, </w:t>
      </w:r>
    </w:p>
    <w:p w14:paraId="3F6BCF0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25F16A6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98CA44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6385FE1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2672C10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-1.4529  -0.8224  -0.5828   0.9310   2.2687  </w:t>
      </w:r>
    </w:p>
    <w:p w14:paraId="1B650F1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F012A3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3ABC7A2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6BA740F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(Intercept)      -1.04055    0.89827  -1.158   0.2467  </w:t>
      </w:r>
    </w:p>
    <w:p w14:paraId="0A75692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lastRenderedPageBreak/>
        <w:t xml:space="preserve">ndia$OHS_q2       0.29138    0.50066   0.582   0.5606  </w:t>
      </w:r>
    </w:p>
    <w:p w14:paraId="554EDF7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ndia$OHS_q3      -0.37335    0.50771  -0.735   0.4621  </w:t>
      </w:r>
    </w:p>
    <w:p w14:paraId="4DDEE4B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ndia$OHS_q4      -0.52018    0.50552  -1.029   0.3035  </w:t>
      </w:r>
    </w:p>
    <w:p w14:paraId="7AF830B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ndia$staffrem_q2 -0.09945    0.45519  -0.218   0.8271  </w:t>
      </w:r>
    </w:p>
    <w:p w14:paraId="1E70E0B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ndia$staffrem_q3  0.03351    0.48990   0.068   0.9455  </w:t>
      </w:r>
    </w:p>
    <w:p w14:paraId="6B690A2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ndia$staffrem_q4  0.20391    0.55394   0.368   0.7128  </w:t>
      </w:r>
    </w:p>
    <w:p w14:paraId="37B7F6F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ndia$margin_q2   -0.67776    0.49194  -1.378   0.1683  </w:t>
      </w:r>
    </w:p>
    <w:p w14:paraId="278AA94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ndia$margin_q3   -0.22428    0.47649  -0.471   0.6379  </w:t>
      </w:r>
    </w:p>
    <w:p w14:paraId="0D8C646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ndia$margin_q4   -0.77138    0.51732  -1.491   0.1359  </w:t>
      </w:r>
    </w:p>
    <w:p w14:paraId="5DF3AC7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0.65469    0.39901   1.641   0.1008  </w:t>
      </w:r>
    </w:p>
    <w:p w14:paraId="682B1E4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ndia$Permc_q2     0.05131    0.50673   0.101   0.9193  </w:t>
      </w:r>
    </w:p>
    <w:p w14:paraId="5936531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ndia$Permc_q3     0.07119    0.52637   0.135   0.8924  </w:t>
      </w:r>
    </w:p>
    <w:p w14:paraId="141EF23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ndia$Permc_q4    -0.34605    0.59340  -0.583   0.5598  </w:t>
      </w:r>
    </w:p>
    <w:p w14:paraId="023E5BA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ndia$Direct_q2    0.23111    0.73310   0.315   0.7526  </w:t>
      </w:r>
    </w:p>
    <w:p w14:paraId="2D4E05C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ndia$Direct_q3    1.91707    0.83297   2.301   0.0214 *</w:t>
      </w:r>
    </w:p>
    <w:p w14:paraId="2541934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ndia$Direct_q4    1.17740    0.89549   1.315   0.1886  </w:t>
      </w:r>
    </w:p>
    <w:p w14:paraId="5FBB89F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-0.75914    0.74851  -1.014   0.3105  </w:t>
      </w:r>
    </w:p>
    <w:p w14:paraId="38A8C90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ndia$staff_q3    -0.74827    0.79896  -0.937   0.3490  </w:t>
      </w:r>
    </w:p>
    <w:p w14:paraId="3E342A5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ndia$staff_q4    -0.43079    0.86383  -0.499   0.6180  </w:t>
      </w:r>
    </w:p>
    <w:p w14:paraId="724A2D6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22BD307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Signif. codes:  0 ‘***’ 0.001 ‘**’ 0.01 ‘*’ 0.05 ‘.’ 0.1 ‘ ’ 1</w:t>
      </w:r>
    </w:p>
    <w:p w14:paraId="4EF95A4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4F08A10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191701A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2A6672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249.92  on 207  degrees of freedom</w:t>
      </w:r>
    </w:p>
    <w:p w14:paraId="64CF87E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223.01  on 188  degrees of freedom</w:t>
      </w:r>
    </w:p>
    <w:p w14:paraId="089D68C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(407 observations deleted due to missingness)</w:t>
      </w:r>
    </w:p>
    <w:p w14:paraId="19C8AB0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263.01</w:t>
      </w:r>
    </w:p>
    <w:p w14:paraId="4255E92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74DDA30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4</w:t>
      </w:r>
    </w:p>
    <w:p w14:paraId="75C43009"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273CA13" w14:textId="697A2C7E" w:rsidR="002922F7" w:rsidRPr="00456C53" w:rsidRDefault="00A6707A" w:rsidP="002922F7">
      <w:pPr>
        <w:pStyle w:val="Appendixhead3"/>
        <w:rPr>
          <w:lang w:eastAsia="en-AU"/>
        </w:rPr>
      </w:pPr>
      <w:bookmarkStart w:id="320" w:name="_Toc40454671"/>
      <w:r>
        <w:rPr>
          <w:lang w:eastAsia="en-AU"/>
        </w:rPr>
        <w:t>Implied m</w:t>
      </w:r>
      <w:r w:rsidR="002922F7">
        <w:rPr>
          <w:lang w:eastAsia="en-AU"/>
        </w:rPr>
        <w:t>argins (lowest quartile)</w:t>
      </w:r>
      <w:bookmarkEnd w:id="320"/>
    </w:p>
    <w:p w14:paraId="2F1BF7A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logit5 &lt;- glm(Margin_bq ~ ndia$OHS_q + ndia$staffrem_q + ndia$Util_q + ndia$Award + ndia$Permc_q + ndia$Direct_q + ndia$staff_q, data = ndia, family = binomial)</w:t>
      </w:r>
    </w:p>
    <w:p w14:paraId="5EF940E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summary(logit5)</w:t>
      </w:r>
    </w:p>
    <w:p w14:paraId="1B3AB57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650FCF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5C04411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Margin_bq ~ ndia$OHS_q + ndia$staffrem_q + ndia$Util_q + </w:t>
      </w:r>
    </w:p>
    <w:p w14:paraId="2A41777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ndia$Award + ndia$Permc_q + ndia$Direct_q + ndia$staff_q, </w:t>
      </w:r>
    </w:p>
    <w:p w14:paraId="2C90792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3D84A91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55845C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4679BC6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473CD45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-1.4887  -0.6701  -0.4688  -0.2850   2.6259  </w:t>
      </w:r>
    </w:p>
    <w:p w14:paraId="03AA03A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C5B5B3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47C7FBC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5E12686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(Intercept)       -1.2733     0.8378  -1.520 0.128531    </w:t>
      </w:r>
    </w:p>
    <w:p w14:paraId="033C9F0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ndia$OHS_q2       -0.2440     0.4706  -0.518 0.604131    </w:t>
      </w:r>
    </w:p>
    <w:p w14:paraId="47AD6DF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ndia$OHS_q3       -0.3313     0.4848  -0.683 0.494428    </w:t>
      </w:r>
    </w:p>
    <w:p w14:paraId="63606CD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ndia$OHS_q4       -0.3900     0.4852  -0.804 0.421500    </w:t>
      </w:r>
    </w:p>
    <w:p w14:paraId="053BF88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ndia$staffrem_q2  -0.4848     0.4598  -1.055 0.291648    </w:t>
      </w:r>
    </w:p>
    <w:p w14:paraId="68BA220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ndia$staffrem_q3  -0.3300     0.4671  -0.706 0.479887    </w:t>
      </w:r>
    </w:p>
    <w:p w14:paraId="47B7DE8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ndia$staffrem_q4  -0.1430     0.4786  -0.299 0.765086    </w:t>
      </w:r>
    </w:p>
    <w:p w14:paraId="73E0AA2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ndia$Util_q2       0.2909     0.5823   0.500 0.617357    </w:t>
      </w:r>
    </w:p>
    <w:p w14:paraId="0CED3E9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ndia$Util_q3       0.5608     0.4854   1.156 0.247885    </w:t>
      </w:r>
    </w:p>
    <w:p w14:paraId="0487E4C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ndia$Util_q4       0.8160     0.5004   1.631 0.102973    </w:t>
      </w:r>
    </w:p>
    <w:p w14:paraId="6C6074A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0.3128     0.4025   0.777 0.436995    </w:t>
      </w:r>
    </w:p>
    <w:p w14:paraId="4B689DC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ndia$Permc_q2     -0.7792     0.4151  -1.877 0.060492 .  </w:t>
      </w:r>
    </w:p>
    <w:p w14:paraId="077AF86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ndia$Permc_q3     -1.3725     0.4756  -2.886 0.003903 ** </w:t>
      </w:r>
    </w:p>
    <w:p w14:paraId="13973D1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ndia$Permc_q4     -2.0926     0.5873  -3.563 0.000367 ***</w:t>
      </w:r>
    </w:p>
    <w:p w14:paraId="2C104AE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ndia$Direct_q2     0.3376     0.5351   0.631 0.528020    </w:t>
      </w:r>
    </w:p>
    <w:p w14:paraId="0815E00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ndia$Direct_q3    -0.2153     0.6462  -0.333 0.738954    </w:t>
      </w:r>
    </w:p>
    <w:p w14:paraId="4A3F2B4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ndia$Direct_q4     0.5118     0.7353   0.696 0.486399    </w:t>
      </w:r>
    </w:p>
    <w:p w14:paraId="746D17D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0.5687     0.6813   0.835 0.403931    </w:t>
      </w:r>
    </w:p>
    <w:p w14:paraId="183972E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ndia$staff_q3      0.5122     0.7581   0.676 0.499269    </w:t>
      </w:r>
    </w:p>
    <w:p w14:paraId="6EF98D8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ndia$staff_q4      0.5841     0.8581   0.681 0.496059    </w:t>
      </w:r>
    </w:p>
    <w:p w14:paraId="76B7B28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00481B3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lastRenderedPageBreak/>
        <w:t>Signif. codes:  0 ‘***’ 0.001 ‘**’ 0.01 ‘*’ 0.05 ‘.’ 0.1 ‘ ’ 1</w:t>
      </w:r>
    </w:p>
    <w:p w14:paraId="6949D04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4FC8C4F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6439C37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70BECB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280.45  on 286  degrees of freedom</w:t>
      </w:r>
    </w:p>
    <w:p w14:paraId="3F841AF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248.70  on 267  degrees of freedom</w:t>
      </w:r>
    </w:p>
    <w:p w14:paraId="4A0A64D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(328 observations deleted due to missingness)</w:t>
      </w:r>
    </w:p>
    <w:p w14:paraId="0BCA9AE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288.7</w:t>
      </w:r>
    </w:p>
    <w:p w14:paraId="76A4E50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EF44E30"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5</w:t>
      </w:r>
    </w:p>
    <w:p w14:paraId="6D6843E7"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5401E529" w14:textId="0F09C2A1" w:rsidR="002922F7" w:rsidRPr="00456C53" w:rsidRDefault="00A6707A" w:rsidP="002922F7">
      <w:pPr>
        <w:pStyle w:val="Appendixhead3"/>
        <w:rPr>
          <w:lang w:eastAsia="en-AU"/>
        </w:rPr>
      </w:pPr>
      <w:bookmarkStart w:id="321" w:name="_Toc40454672"/>
      <w:r>
        <w:rPr>
          <w:lang w:eastAsia="en-AU"/>
        </w:rPr>
        <w:t>Implied m</w:t>
      </w:r>
      <w:r w:rsidR="002922F7">
        <w:rPr>
          <w:lang w:eastAsia="en-AU"/>
        </w:rPr>
        <w:t>argins (highest quartile)</w:t>
      </w:r>
      <w:bookmarkEnd w:id="321"/>
    </w:p>
    <w:p w14:paraId="67C133A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logit6 &lt;- glm(Margin_uq ~ ndia$OHS_q + ndia$staffrem_q + ndia$Util_q + ndia$Award + ndia$Permc_q + ndia$Direct_q + ndia$staff_q, data = ndia, family = binomial)</w:t>
      </w:r>
    </w:p>
    <w:p w14:paraId="79E68A3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summary(logit6)</w:t>
      </w:r>
    </w:p>
    <w:p w14:paraId="1C5255C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DB254E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5D6F8A3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Margin_uq ~ ndia$OHS_q + ndia$staffrem_q + ndia$Util_q + </w:t>
      </w:r>
    </w:p>
    <w:p w14:paraId="1B17371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ndia$Award + ndia$Permc_q + ndia$Direct_q + ndia$staff_q, </w:t>
      </w:r>
    </w:p>
    <w:p w14:paraId="64A8C9D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3A54133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46715A0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05988C5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484D143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-1.8343  -0.7292  -0.4248   0.4560   2.6754  </w:t>
      </w:r>
    </w:p>
    <w:p w14:paraId="500C57D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491D9B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6A5A5E2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27DAF71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(Intercept)      -4.73871    1.22824  -3.858 0.000114 ***</w:t>
      </w:r>
    </w:p>
    <w:p w14:paraId="164680B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ndia$OHS_q2      -0.35929    0.59654  -0.602 0.546984    </w:t>
      </w:r>
    </w:p>
    <w:p w14:paraId="29C5491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ndia$OHS_q3       0.22461    0.53545   0.419 0.674871    </w:t>
      </w:r>
    </w:p>
    <w:p w14:paraId="109107C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ndia$OHS_q4      -0.55756    0.56264  -0.991 0.321694    </w:t>
      </w:r>
    </w:p>
    <w:p w14:paraId="26E4987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ndia$staffrem_q2 -0.54210    0.53835  -1.007 0.313948    </w:t>
      </w:r>
    </w:p>
    <w:p w14:paraId="2AB9DD0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ndia$staffrem_q3  0.56363    0.53206   1.059 0.289447    </w:t>
      </w:r>
    </w:p>
    <w:p w14:paraId="3761408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ndia$staffrem_q4  1.37081    0.63362   2.163 0.030507 *  </w:t>
      </w:r>
    </w:p>
    <w:p w14:paraId="28F5D6A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ndia$Util_q2      1.40685    0.70450   1.997 0.045831 *  </w:t>
      </w:r>
    </w:p>
    <w:p w14:paraId="7A38D3C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ndia$Util_q3      1.31318    0.64052   2.050 0.040346 *  </w:t>
      </w:r>
    </w:p>
    <w:p w14:paraId="712176F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ndia$Util_q4      0.55720    0.68120   0.818 0.413375    </w:t>
      </w:r>
    </w:p>
    <w:p w14:paraId="2BDD134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0.05007    0.47690   0.105 0.916384    </w:t>
      </w:r>
    </w:p>
    <w:p w14:paraId="5B39844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ndia$Permc_q2     1.51963    0.74157   2.049 0.040442 *  </w:t>
      </w:r>
    </w:p>
    <w:p w14:paraId="489375F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ndia$Permc_q3     2.31829    0.75436   3.073 0.002118 ** </w:t>
      </w:r>
    </w:p>
    <w:p w14:paraId="5C20B7E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ndia$Permc_q4     2.82696    0.79098   3.574 0.000352 ***</w:t>
      </w:r>
    </w:p>
    <w:p w14:paraId="6E3CF85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ndia$Direct_q2    2.37688    0.95633   2.485 0.012940 *  </w:t>
      </w:r>
    </w:p>
    <w:p w14:paraId="340FAAA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ndia$Direct_q3    2.08252    1.09685   1.899 0.057613 .  </w:t>
      </w:r>
    </w:p>
    <w:p w14:paraId="5813619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ndia$Direct_q4    1.03793    1.15330   0.900 0.368135    </w:t>
      </w:r>
    </w:p>
    <w:p w14:paraId="7A931D1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-1.13669    0.83011  -1.369 0.170897    </w:t>
      </w:r>
    </w:p>
    <w:p w14:paraId="78D0E42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ndia$staff_q3    -1.20529    0.91957  -1.311 0.189954    </w:t>
      </w:r>
    </w:p>
    <w:p w14:paraId="00CCDD4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ndia$staff_q4    -0.89969    0.99372  -0.905 0.365265    </w:t>
      </w:r>
    </w:p>
    <w:p w14:paraId="4E516FB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25379C8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Signif. codes:  0 ‘***’ 0.001 ‘**’ 0.01 ‘*’ 0.05 ‘.’ 0.1 ‘ ’ 1</w:t>
      </w:r>
    </w:p>
    <w:p w14:paraId="617D565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0670DC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2C880C3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7A48948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236.10  on 207  degrees of freedom</w:t>
      </w:r>
    </w:p>
    <w:p w14:paraId="4D77125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186.05  on 188  degrees of freedom</w:t>
      </w:r>
    </w:p>
    <w:p w14:paraId="6C07E4B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(407 observations deleted due to missingness)</w:t>
      </w:r>
    </w:p>
    <w:p w14:paraId="05DEB23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226.05</w:t>
      </w:r>
    </w:p>
    <w:p w14:paraId="4B67277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4F61F15F"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5</w:t>
      </w:r>
    </w:p>
    <w:p w14:paraId="7B75ADFD"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6CA0B300" w14:textId="77777777" w:rsidR="002922F7" w:rsidRPr="00456C53" w:rsidRDefault="002922F7" w:rsidP="002922F7">
      <w:pPr>
        <w:pStyle w:val="Appendixhead3"/>
        <w:rPr>
          <w:lang w:eastAsia="en-AU"/>
        </w:rPr>
      </w:pPr>
      <w:bookmarkStart w:id="322" w:name="_Toc40454673"/>
      <w:r>
        <w:rPr>
          <w:lang w:eastAsia="en-AU"/>
        </w:rPr>
        <w:t>Span of control (lowest quartile)</w:t>
      </w:r>
      <w:bookmarkEnd w:id="322"/>
    </w:p>
    <w:p w14:paraId="6BFFFD0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569A393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logit7 &lt;- glm(Span_bq ~ ndia$OHS_q + ndia$staffrem_q + ndia$Util_q + ndia$margin_q + ndia$Award + ndia$Direct_q + ndia$staff_q, data = ndia, family = binomial)</w:t>
      </w:r>
    </w:p>
    <w:p w14:paraId="7592378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summary(logit7)</w:t>
      </w:r>
    </w:p>
    <w:p w14:paraId="0568ADC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BE06C3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0BA42C3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Span_bq ~ ndia$OHS_q + ndia$staffrem_q + ndia$Util_q + </w:t>
      </w:r>
    </w:p>
    <w:p w14:paraId="343FD56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lastRenderedPageBreak/>
        <w:t xml:space="preserve">    ndia$margin_q + ndia$Award + ndia$Direct_q + ndia$staff_q, </w:t>
      </w:r>
    </w:p>
    <w:p w14:paraId="0FE9969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0F43337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01930F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017784E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6132C60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-1.67479  -0.42574  -0.20312  -0.09378   2.35385  </w:t>
      </w:r>
    </w:p>
    <w:p w14:paraId="73E4874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127DBE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112C370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68473ED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(Intercept)       -1.2788     1.3972  -0.915  0.36007   </w:t>
      </w:r>
    </w:p>
    <w:p w14:paraId="104376C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ndia$OHS_q2       -0.2235     0.7689  -0.291  0.77128   </w:t>
      </w:r>
    </w:p>
    <w:p w14:paraId="0730AFF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ndia$OHS_q3       -0.8136     0.8502  -0.957  0.33855   </w:t>
      </w:r>
    </w:p>
    <w:p w14:paraId="71DBAAB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ndia$OHS_q4       -0.7600     0.7865  -0.966  0.33390   </w:t>
      </w:r>
    </w:p>
    <w:p w14:paraId="1330FE5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ndia$staffrem_q2  -0.6521     0.7928  -0.823  0.41075   </w:t>
      </w:r>
    </w:p>
    <w:p w14:paraId="599AB4C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ndia$staffrem_q3  -1.4186     0.9596  -1.478  0.13934   </w:t>
      </w:r>
    </w:p>
    <w:p w14:paraId="1F175B8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ndia$staffrem_q4   0.8231     0.7767   1.060  0.28924   </w:t>
      </w:r>
    </w:p>
    <w:p w14:paraId="5E1F9E0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ndia$Util_q2       0.9329     0.7537   1.238  0.21582   </w:t>
      </w:r>
    </w:p>
    <w:p w14:paraId="7DFDD3F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ndia$Util_q3      -0.2482     0.7500  -0.331  0.74070   </w:t>
      </w:r>
    </w:p>
    <w:p w14:paraId="0DB9CD1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ndia$Util_q4      -2.4935     1.2227  -2.039  0.04141 * </w:t>
      </w:r>
    </w:p>
    <w:p w14:paraId="2BFE299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ndia$margin_q2     1.1364     0.9368   1.213  0.22509   </w:t>
      </w:r>
    </w:p>
    <w:p w14:paraId="508EB38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ndia$margin_q3     1.4028     0.9375   1.496  0.13458   </w:t>
      </w:r>
    </w:p>
    <w:p w14:paraId="0D8A90A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ndia$margin_q4     0.6797     0.8190   0.830  0.40659   </w:t>
      </w:r>
    </w:p>
    <w:p w14:paraId="17DAF54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-0.2687     0.8166  -0.329  0.74210   </w:t>
      </w:r>
    </w:p>
    <w:p w14:paraId="4600BCF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ndia$Direct_q2     1.1388     0.9447   1.206  0.22799   </w:t>
      </w:r>
    </w:p>
    <w:p w14:paraId="255E72E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ndia$Direct_q3     2.2273     1.3189   1.689  0.09126 . </w:t>
      </w:r>
    </w:p>
    <w:p w14:paraId="336BB91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ndia$Direct_q4     2.0024     1.1945   1.676  0.09368 . </w:t>
      </w:r>
    </w:p>
    <w:p w14:paraId="46A8ED7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-1.4440     0.7980  -1.810  0.07035 . </w:t>
      </w:r>
    </w:p>
    <w:p w14:paraId="59AAD1F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ndia$staff_q3     -2.9171     1.1612  -2.512  0.01200 * </w:t>
      </w:r>
    </w:p>
    <w:p w14:paraId="09459B2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ndia$staff_q4     -4.2726     1.3102  -3.261  0.00111 **</w:t>
      </w:r>
    </w:p>
    <w:p w14:paraId="4E5D869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75008EB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Signif. codes:  0 ‘***’ 0.001 ‘**’ 0.01 ‘*’ 0.05 ‘.’ 0.1 ‘ ’ 1</w:t>
      </w:r>
    </w:p>
    <w:p w14:paraId="316FF01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E5AE56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701F264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760BB89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144.89  on 208  degrees of freedom</w:t>
      </w:r>
    </w:p>
    <w:p w14:paraId="3AB6955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100.28  on 189  degrees of freedom</w:t>
      </w:r>
    </w:p>
    <w:p w14:paraId="098BDB8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(406 observations deleted due to missingness)</w:t>
      </w:r>
    </w:p>
    <w:p w14:paraId="5571E1B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140.28</w:t>
      </w:r>
    </w:p>
    <w:p w14:paraId="0CEC5C1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6295531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7</w:t>
      </w:r>
    </w:p>
    <w:p w14:paraId="15A2764D"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4A117A1" w14:textId="77777777" w:rsidR="002922F7" w:rsidRDefault="002922F7" w:rsidP="002922F7">
      <w:pPr>
        <w:pStyle w:val="Appendixhead3"/>
        <w:rPr>
          <w:lang w:eastAsia="en-AU"/>
        </w:rPr>
      </w:pPr>
      <w:bookmarkStart w:id="323" w:name="_Toc40454674"/>
      <w:r>
        <w:rPr>
          <w:lang w:eastAsia="en-AU"/>
        </w:rPr>
        <w:t>Span of control (highest quartile)</w:t>
      </w:r>
      <w:bookmarkEnd w:id="323"/>
    </w:p>
    <w:p w14:paraId="0314430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B5CE8B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logit8 &lt;- glm(Span_uq ~ ndia$OHS_q + ndia$staffrem_q + ndia$Util_q + ndia$margin_q + ndia$Award + ndia$Direct_q + ndia$staff_q, data = ndia, family = binomial)</w:t>
      </w:r>
    </w:p>
    <w:p w14:paraId="7659A28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summary(logit8)</w:t>
      </w:r>
    </w:p>
    <w:p w14:paraId="67BC2BC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8E7F69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35ECBAE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Span_uq ~ ndia$OHS_q + ndia$staffrem_q + ndia$Util_q + </w:t>
      </w:r>
    </w:p>
    <w:p w14:paraId="55CB0FE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ndia$margin_q + ndia$Award + ndia$Direct_q + ndia$staff_q, </w:t>
      </w:r>
    </w:p>
    <w:p w14:paraId="6A2DDE8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7CBF5B3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541BAD0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44C9507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7A21A3A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-1.8830  -0.7928  -0.4505   0.8752   2.6866  </w:t>
      </w:r>
    </w:p>
    <w:p w14:paraId="7790FCA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038DC8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706FC18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0A6096F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(Intercept)       -0.4947     1.2914  -0.383  0.70164   </w:t>
      </w:r>
    </w:p>
    <w:p w14:paraId="368C2E5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ndia$OHS_q2        0.2361     0.5669   0.416  0.67709   </w:t>
      </w:r>
    </w:p>
    <w:p w14:paraId="3AD98FD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ndia$OHS_q3        0.1957     0.5410   0.362  0.71749   </w:t>
      </w:r>
    </w:p>
    <w:p w14:paraId="476F668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ndia$OHS_q4       -0.1616     0.5370  -0.301  0.76354   </w:t>
      </w:r>
    </w:p>
    <w:p w14:paraId="17BDDAF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ndia$staffrem_q2  -1.1132     0.4649  -2.394  0.01664 * </w:t>
      </w:r>
    </w:p>
    <w:p w14:paraId="6986AC0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ndia$staffrem_q3  -0.9008     0.4916  -1.832  0.06689 . </w:t>
      </w:r>
    </w:p>
    <w:p w14:paraId="6E8217A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ndia$staffrem_q4  -1.2657     0.6137  -2.062  0.03918 * </w:t>
      </w:r>
    </w:p>
    <w:p w14:paraId="0FD33C3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ndia$Util_q2      -1.5220     0.6737  -2.259  0.02388 * </w:t>
      </w:r>
    </w:p>
    <w:p w14:paraId="35B9C0E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ndia$Util_q3      -0.3321     0.5699  -0.583  0.56010   </w:t>
      </w:r>
    </w:p>
    <w:p w14:paraId="322A3D3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ndia$Util_q4      -1.1258     0.6005  -1.875  0.06082 . </w:t>
      </w:r>
    </w:p>
    <w:p w14:paraId="197BB5B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lastRenderedPageBreak/>
        <w:t xml:space="preserve">ndia$margin_q2    -0.1705     0.4805  -0.355  0.72266   </w:t>
      </w:r>
    </w:p>
    <w:p w14:paraId="39F6C03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ndia$margin_q3    -1.0625     0.5066  -2.097  0.03597 * </w:t>
      </w:r>
    </w:p>
    <w:p w14:paraId="4A38C13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ndia$margin_q4    -1.0186     0.5221  -1.951  0.05107 . </w:t>
      </w:r>
    </w:p>
    <w:p w14:paraId="7E584C0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-0.4700     0.4558  -1.031  0.30243   </w:t>
      </w:r>
    </w:p>
    <w:p w14:paraId="1C691FC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ndia$Direct_q2    -0.9440     0.8320  -1.135  0.25650   </w:t>
      </w:r>
    </w:p>
    <w:p w14:paraId="07F4E58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ndia$Direct_q3    -0.1535     0.8555  -0.179  0.85765   </w:t>
      </w:r>
    </w:p>
    <w:p w14:paraId="5916CD9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ndia$Direct_q4    -1.4265     0.9231  -1.545  0.12226   </w:t>
      </w:r>
    </w:p>
    <w:p w14:paraId="5AD9769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0.8787     1.2058   0.729  0.46617   </w:t>
      </w:r>
    </w:p>
    <w:p w14:paraId="63A65D4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ndia$staff_q3      2.3923     1.2349   1.937  0.05271 . </w:t>
      </w:r>
    </w:p>
    <w:p w14:paraId="0056883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ndia$staff_q4      3.6549     1.3003   2.811  0.00494 **</w:t>
      </w:r>
    </w:p>
    <w:p w14:paraId="12B4DB7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3F53EEC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Signif. codes:  0 ‘***’ 0.001 ‘**’ 0.01 ‘*’ 0.05 ‘.’ 0.1 ‘ ’ 1</w:t>
      </w:r>
    </w:p>
    <w:p w14:paraId="11FCE16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D6021E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5C0193E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4394D25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264.33  on 207  degrees of freedom</w:t>
      </w:r>
    </w:p>
    <w:p w14:paraId="3F5685B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204.01  on 188  degrees of freedom</w:t>
      </w:r>
    </w:p>
    <w:p w14:paraId="755467B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(407 observations deleted due to missingness)</w:t>
      </w:r>
    </w:p>
    <w:p w14:paraId="421CA89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244.01</w:t>
      </w:r>
    </w:p>
    <w:p w14:paraId="607C3DC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95A2F52"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5</w:t>
      </w:r>
    </w:p>
    <w:p w14:paraId="33D60939"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52C9E88" w14:textId="77777777" w:rsidR="002922F7" w:rsidRPr="00456C53" w:rsidRDefault="002922F7" w:rsidP="002922F7">
      <w:pPr>
        <w:pStyle w:val="Appendixhead3"/>
        <w:rPr>
          <w:lang w:eastAsia="en-AU"/>
        </w:rPr>
      </w:pPr>
      <w:bookmarkStart w:id="324" w:name="_Toc40454675"/>
      <w:r>
        <w:rPr>
          <w:lang w:eastAsia="en-AU"/>
        </w:rPr>
        <w:t>Permanent employment rate (lowest quartile)</w:t>
      </w:r>
      <w:bookmarkEnd w:id="324"/>
    </w:p>
    <w:p w14:paraId="0BCAA48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781739D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logit9 &lt;- glm(Permc_bq ~ ndia$OHS_q + ndia$staffrem_q + ndia$Util_q + ndia$margin_q + ndia$Award + ndia$Direct_q + ndia$staff_q, data = ndia, family = binomial)</w:t>
      </w:r>
    </w:p>
    <w:p w14:paraId="2E13DD8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summary(logit9)</w:t>
      </w:r>
    </w:p>
    <w:p w14:paraId="4B2662D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AAA303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0E096A1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Permc_bq ~ ndia$OHS_q + ndia$staffrem_q + ndia$Util_q + </w:t>
      </w:r>
    </w:p>
    <w:p w14:paraId="1A384E6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ndia$margin_q + ndia$Award + ndia$Direct_q + ndia$staff_q, </w:t>
      </w:r>
    </w:p>
    <w:p w14:paraId="7D24688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78CC170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489D5D8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581933F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59EA9E1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-1.65633  -0.58777  -0.35062  -0.07755   2.71501  </w:t>
      </w:r>
    </w:p>
    <w:p w14:paraId="18BF7D4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536952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1A04595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33E3976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(Intercept)      -0.581622   1.152574  -0.505 0.613819    </w:t>
      </w:r>
    </w:p>
    <w:p w14:paraId="3D34F50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ndia$OHS_q2       0.463327   0.645157   0.718 0.472657    </w:t>
      </w:r>
    </w:p>
    <w:p w14:paraId="33A8215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ndia$OHS_q3      -0.624898   0.655139  -0.954 0.340164    </w:t>
      </w:r>
    </w:p>
    <w:p w14:paraId="5414221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ndia$OHS_q4      -0.443999   0.621462  -0.714 0.474953    </w:t>
      </w:r>
    </w:p>
    <w:p w14:paraId="236C55C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ndia$staffrem_q2 -0.819669   0.567531  -1.444 0.148663    </w:t>
      </w:r>
    </w:p>
    <w:p w14:paraId="0E24489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ndia$staffrem_q3 -1.504783   0.659649  -2.281 0.022537 *  </w:t>
      </w:r>
    </w:p>
    <w:p w14:paraId="21021F7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ndia$staffrem_q4 -0.003034   0.623247  -0.005 0.996116    </w:t>
      </w:r>
    </w:p>
    <w:p w14:paraId="697D610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ndia$Util_q2     -0.718032   0.795686  -0.902 0.366841    </w:t>
      </w:r>
    </w:p>
    <w:p w14:paraId="09FF689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ndia$Util_q3     -0.177233   0.685048  -0.259 0.795854    </w:t>
      </w:r>
    </w:p>
    <w:p w14:paraId="265C1AA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ndia$Util_q4     -0.293988   0.697138  -0.422 0.673239    </w:t>
      </w:r>
    </w:p>
    <w:p w14:paraId="36787D6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ndia$margin_q2   -0.945310   0.530215  -1.783 0.074605 .  </w:t>
      </w:r>
    </w:p>
    <w:p w14:paraId="476F730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ndia$margin_q3   -1.544149   0.579332  -2.665 0.007690 ** </w:t>
      </w:r>
    </w:p>
    <w:p w14:paraId="199C4CC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ndia$margin_q4   -2.963456   0.748685  -3.958 7.55e-05 ***</w:t>
      </w:r>
    </w:p>
    <w:p w14:paraId="1C3B20F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-0.180010   0.530228  -0.339 0.734236    </w:t>
      </w:r>
    </w:p>
    <w:p w14:paraId="236CDBC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ndia$Direct_q2   -0.130479   0.783921  -0.166 0.867807    </w:t>
      </w:r>
    </w:p>
    <w:p w14:paraId="2237592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ndia$Direct_q3   -1.631387   0.910383  -1.792 0.073136 .  </w:t>
      </w:r>
    </w:p>
    <w:p w14:paraId="4063DF1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ndia$Direct_q4   -3.963990   1.091676  -3.631 0.000282 ***</w:t>
      </w:r>
    </w:p>
    <w:p w14:paraId="52718E5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0.888409   1.008793   0.881 0.378499    </w:t>
      </w:r>
    </w:p>
    <w:p w14:paraId="696E0FB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ndia$staff_q3     3.202456   1.127931   2.839 0.004522 ** </w:t>
      </w:r>
    </w:p>
    <w:p w14:paraId="3E5DF29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ndia$staff_q4     4.405801   1.258156   3.502 0.000462 ***</w:t>
      </w:r>
    </w:p>
    <w:p w14:paraId="352F6DA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778E9CB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Signif. codes:  0 ‘***’ 0.001 ‘**’ 0.01 ‘*’ 0.05 ‘.’ 0.1 ‘ ’ 1</w:t>
      </w:r>
    </w:p>
    <w:p w14:paraId="351F451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BAB568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47246A7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5B14374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222.80  on 208  degrees of freedom</w:t>
      </w:r>
    </w:p>
    <w:p w14:paraId="3198C06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154.19  on 189  degrees of freedom</w:t>
      </w:r>
    </w:p>
    <w:p w14:paraId="4C194E8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(406 observations deleted due to missingness)</w:t>
      </w:r>
    </w:p>
    <w:p w14:paraId="01E6BCEF"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194.19</w:t>
      </w:r>
    </w:p>
    <w:p w14:paraId="0BEAC42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48744099"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6</w:t>
      </w:r>
    </w:p>
    <w:p w14:paraId="2EDF070A"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D1DD08B" w14:textId="77777777" w:rsidR="002922F7" w:rsidRPr="00456C53" w:rsidRDefault="002922F7" w:rsidP="002922F7">
      <w:pPr>
        <w:pStyle w:val="Appendixhead3"/>
        <w:rPr>
          <w:lang w:eastAsia="en-AU"/>
        </w:rPr>
      </w:pPr>
      <w:bookmarkStart w:id="325" w:name="_Toc40454676"/>
      <w:r>
        <w:rPr>
          <w:lang w:eastAsia="en-AU"/>
        </w:rPr>
        <w:t>Permanent employment rate (highest quartile)</w:t>
      </w:r>
      <w:bookmarkEnd w:id="325"/>
    </w:p>
    <w:p w14:paraId="3BD62A0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2173DF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logit10 &lt;- glm(Permc_uq ~ ndia$OHS_q + ndia$staffrem_q + ndia$Util_q + ndia$margin_q + ndia$Award + ndia$Direct_q + ndia$staff_q, data = ndia, family = binomial)</w:t>
      </w:r>
    </w:p>
    <w:p w14:paraId="70B0E40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8F2466">
        <w:rPr>
          <w:rFonts w:ascii="Lucida Console" w:eastAsia="Times New Roman" w:hAnsi="Lucida Console" w:cs="Courier New"/>
          <w:color w:val="0000FF"/>
          <w:sz w:val="20"/>
          <w:szCs w:val="20"/>
          <w:lang w:eastAsia="en-AU"/>
        </w:rPr>
        <w:t>&gt; summary(logit10)</w:t>
      </w:r>
    </w:p>
    <w:p w14:paraId="4D28BC5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ECDCFF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Call:</w:t>
      </w:r>
    </w:p>
    <w:p w14:paraId="28B0DED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glm(formula = Permc_uq ~ ndia$OHS_q + ndia$staffrem_q + ndia$Util_q + </w:t>
      </w:r>
    </w:p>
    <w:p w14:paraId="2461FEA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ndia$margin_q + ndia$Award + ndia$Direct_q + ndia$staff_q, </w:t>
      </w:r>
    </w:p>
    <w:p w14:paraId="5E741680"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family = binomial, data = ndia)</w:t>
      </w:r>
    </w:p>
    <w:p w14:paraId="26901CA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1A8A2B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Deviance Residuals: </w:t>
      </w:r>
    </w:p>
    <w:p w14:paraId="3D78059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Min       1Q   Median       3Q      Max  </w:t>
      </w:r>
    </w:p>
    <w:p w14:paraId="407BAFB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-1.6520  -0.6798  -0.3784  -0.1133   3.1789  </w:t>
      </w:r>
    </w:p>
    <w:p w14:paraId="64113C2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43D65E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Coefficients:</w:t>
      </w:r>
    </w:p>
    <w:p w14:paraId="427A4E0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6910C5A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(Intercept)      -2.21832    1.26638  -1.752  0.07983 . </w:t>
      </w:r>
    </w:p>
    <w:p w14:paraId="437B605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ndia$OHS_q2      -1.54321    0.63720  -2.422  0.01544 * </w:t>
      </w:r>
    </w:p>
    <w:p w14:paraId="6F2C178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ndia$OHS_q3      -1.00262    0.55511  -1.806  0.07089 . </w:t>
      </w:r>
    </w:p>
    <w:p w14:paraId="098EECF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ndia$OHS_q4      -1.11968    0.55639  -2.012  0.04418 * </w:t>
      </w:r>
    </w:p>
    <w:p w14:paraId="4B2644B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ndia$staffrem_q2 -0.05803    0.49258  -0.118  0.90621   </w:t>
      </w:r>
    </w:p>
    <w:p w14:paraId="1626A05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ndia$staffrem_q3 -0.44644    0.55312  -0.807  0.41959   </w:t>
      </w:r>
    </w:p>
    <w:p w14:paraId="62E1A8C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ndia$staffrem_q4 -2.26364    0.89495  -2.529  0.01143 * </w:t>
      </w:r>
    </w:p>
    <w:p w14:paraId="0614DA9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ndia$Util_q2      0.39563    0.73439   0.539  0.59008   </w:t>
      </w:r>
    </w:p>
    <w:p w14:paraId="6911EBAD"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ndia$Util_q3      0.75625    0.66711   1.134  0.25695   </w:t>
      </w:r>
    </w:p>
    <w:p w14:paraId="6F8B477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ndia$Util_q4      0.15873    0.69026   0.230  0.81813   </w:t>
      </w:r>
    </w:p>
    <w:p w14:paraId="4D420848"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ndia$margin_q2    1.02264    0.67842   1.507  0.13172   </w:t>
      </w:r>
    </w:p>
    <w:p w14:paraId="7944A0D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ndia$margin_q3    1.31185    0.67068   1.956  0.05046 . </w:t>
      </w:r>
    </w:p>
    <w:p w14:paraId="58DAA35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ndia$margin_q4    1.97043    0.65984   2.986  0.00282 **</w:t>
      </w:r>
    </w:p>
    <w:p w14:paraId="56B9B8B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ndia$Award2      -0.05983    0.51605  -0.116  0.90771   </w:t>
      </w:r>
    </w:p>
    <w:p w14:paraId="2DEF47F3"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ndia$Direct_q2    0.97897    1.03498   0.946  0.34421   </w:t>
      </w:r>
    </w:p>
    <w:p w14:paraId="4FA8137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ndia$Direct_q3    2.06861    1.16200   1.780  0.07504 . </w:t>
      </w:r>
    </w:p>
    <w:p w14:paraId="7DFF7C11"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ndia$Direct_q4    3.59879    1.21082   2.972  0.00296 **</w:t>
      </w:r>
    </w:p>
    <w:p w14:paraId="4D478F16"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ndia$staff_q2    -0.23340    0.87986  -0.265  0.79080   </w:t>
      </w:r>
    </w:p>
    <w:p w14:paraId="4D49230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ndia$staff_q3    -1.47153    1.01660  -1.448  0.14776   </w:t>
      </w:r>
    </w:p>
    <w:p w14:paraId="09D1637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ndia$staff_q4    -2.67215    1.09516  -2.440  0.01469 * </w:t>
      </w:r>
    </w:p>
    <w:p w14:paraId="40E18E3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w:t>
      </w:r>
    </w:p>
    <w:p w14:paraId="281ABB5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Signif. codes:  0 ‘***’ 0.001 ‘**’ 0.01 ‘*’ 0.05 ‘.’ 0.1 ‘ ’ 1</w:t>
      </w:r>
    </w:p>
    <w:p w14:paraId="2491B1C7"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45DE97A"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21D29A0E"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76CCF6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Null deviance: 219.80  on 207  degrees of freedom</w:t>
      </w:r>
    </w:p>
    <w:p w14:paraId="145E2EE4"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Residual deviance: 171.07  on 188  degrees of freedom</w:t>
      </w:r>
    </w:p>
    <w:p w14:paraId="7C398D55"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 xml:space="preserve">  (407 observations deleted due to missingness)</w:t>
      </w:r>
    </w:p>
    <w:p w14:paraId="46EFF209"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AIC: 211.07</w:t>
      </w:r>
    </w:p>
    <w:p w14:paraId="7E251C5B"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70BDCE22"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8F2466">
        <w:rPr>
          <w:rFonts w:ascii="Lucida Console" w:eastAsia="Times New Roman" w:hAnsi="Lucida Console" w:cs="Courier New"/>
          <w:color w:val="000000"/>
          <w:sz w:val="20"/>
          <w:szCs w:val="20"/>
          <w:bdr w:val="none" w:sz="0" w:space="0" w:color="auto" w:frame="1"/>
          <w:lang w:eastAsia="en-AU"/>
        </w:rPr>
        <w:t>Number of Fisher Scoring iterations: 6</w:t>
      </w:r>
    </w:p>
    <w:p w14:paraId="3C99F0F4" w14:textId="77777777" w:rsidR="002922F7"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78BD8B31" w14:textId="77777777" w:rsidR="002922F7" w:rsidRDefault="002922F7" w:rsidP="002922F7">
      <w:pPr>
        <w:pStyle w:val="Appendixhead3"/>
        <w:rPr>
          <w:lang w:eastAsia="en-AU"/>
        </w:rPr>
      </w:pPr>
      <w:bookmarkStart w:id="326" w:name="_Toc40454677"/>
      <w:r>
        <w:rPr>
          <w:lang w:eastAsia="en-AU"/>
        </w:rPr>
        <w:t>Staff remuneration (lowest quartile)</w:t>
      </w:r>
      <w:bookmarkEnd w:id="326"/>
    </w:p>
    <w:p w14:paraId="1A91CCBE"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6B01CF">
        <w:rPr>
          <w:rFonts w:ascii="Lucida Console" w:eastAsia="Times New Roman" w:hAnsi="Lucida Console" w:cs="Courier New"/>
          <w:color w:val="0000FF"/>
          <w:sz w:val="20"/>
          <w:szCs w:val="20"/>
          <w:lang w:eastAsia="en-AU"/>
        </w:rPr>
        <w:t>&gt; logit11 &lt;- glm(Staffrem_uq ~ ndia$Permc_q + ndia$OHS_q + ndia$Util_q + ndia$margin_q + ndia$Award + ndia$Direct_q + ndia$staff_q, data = ndia, family = binomial)</w:t>
      </w:r>
    </w:p>
    <w:p w14:paraId="666844E7"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6B01CF">
        <w:rPr>
          <w:rFonts w:ascii="Lucida Console" w:eastAsia="Times New Roman" w:hAnsi="Lucida Console" w:cs="Courier New"/>
          <w:color w:val="0000FF"/>
          <w:sz w:val="20"/>
          <w:szCs w:val="20"/>
          <w:lang w:eastAsia="en-AU"/>
        </w:rPr>
        <w:t>&gt; summary(logit11)</w:t>
      </w:r>
    </w:p>
    <w:p w14:paraId="49282E6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25881EA0"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Call:</w:t>
      </w:r>
    </w:p>
    <w:p w14:paraId="720B9C5D"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glm(formula = Staffrem_uq ~ ndia$Permc_q + ndia$OHS_q + ndia$Util_q + </w:t>
      </w:r>
    </w:p>
    <w:p w14:paraId="427A9D7C"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ndia$margin_q + ndia$Award + ndia$Direct_q + ndia$staff_q, </w:t>
      </w:r>
    </w:p>
    <w:p w14:paraId="74F8881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family = binomial, data = ndia)</w:t>
      </w:r>
    </w:p>
    <w:p w14:paraId="7D88F533"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A339DA4"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Deviance Residuals: </w:t>
      </w:r>
    </w:p>
    <w:p w14:paraId="793356A5"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Min       1Q   Median       3Q      Max  </w:t>
      </w:r>
    </w:p>
    <w:p w14:paraId="418FEF6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-1.6420  -0.5845  -0.3316  -0.1160   2.4386  </w:t>
      </w:r>
    </w:p>
    <w:p w14:paraId="49DF2465"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0840D76"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Coefficients:</w:t>
      </w:r>
    </w:p>
    <w:p w14:paraId="35052862"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lastRenderedPageBreak/>
        <w:t xml:space="preserve">               Estimate Std. Error z value Pr(&gt;|z|)   </w:t>
      </w:r>
    </w:p>
    <w:p w14:paraId="21EAFA24"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(Intercept)     0.66092    0.93804   0.705  0.48107   </w:t>
      </w:r>
    </w:p>
    <w:p w14:paraId="4E8AF5F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ndia$Permc_q2   0.11090    0.57238   0.194  0.84638   </w:t>
      </w:r>
    </w:p>
    <w:p w14:paraId="440A079A"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ndia$Permc_q3  -1.32366    0.71456  -1.852  0.06397 . </w:t>
      </w:r>
    </w:p>
    <w:p w14:paraId="4FD26BBF"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ndia$Permc_q4  -3.14177    1.09693  -2.864  0.00418 **</w:t>
      </w:r>
    </w:p>
    <w:p w14:paraId="567C5F3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ndia$OHS_q2     0.41717    0.58141   0.718  0.47306   </w:t>
      </w:r>
    </w:p>
    <w:p w14:paraId="7C5CCEB6"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ndia$OHS_q3    -0.56712    0.62022  -0.914  0.36051   </w:t>
      </w:r>
    </w:p>
    <w:p w14:paraId="0F731C3F"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ndia$OHS_q4    -0.79361    0.65569  -1.210  0.22614   </w:t>
      </w:r>
    </w:p>
    <w:p w14:paraId="4E0F67BD"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ndia$Util_q2    0.25169    0.72975   0.345  0.73017   </w:t>
      </w:r>
    </w:p>
    <w:p w14:paraId="400BA91C"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ndia$Util_q3    0.23503    0.66116   0.355  0.72222   </w:t>
      </w:r>
    </w:p>
    <w:p w14:paraId="1A635CC8"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ndia$Util_q4    0.27556    0.67406   0.409  0.68268   </w:t>
      </w:r>
    </w:p>
    <w:p w14:paraId="70EB34AD"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ndia$margin_q2 -0.62798    0.68072  -0.923  0.35626   </w:t>
      </w:r>
    </w:p>
    <w:p w14:paraId="0A50D0C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ndia$margin_q3 -0.49353    0.66861  -0.738  0.46042   </w:t>
      </w:r>
    </w:p>
    <w:p w14:paraId="596531FC"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ndia$margin_q4  1.15594    0.64305   1.798  0.07224 . </w:t>
      </w:r>
    </w:p>
    <w:p w14:paraId="1A3B8164"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ndia$Award2    -0.20619    0.54291  -0.380  0.70410   </w:t>
      </w:r>
    </w:p>
    <w:p w14:paraId="77DFA1EE"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ndia$Direct_q2 -0.68832    0.67949  -1.013  0.31106   </w:t>
      </w:r>
    </w:p>
    <w:p w14:paraId="59542809"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ndia$Direct_q3 -0.34762    0.84423  -0.412  0.68052   </w:t>
      </w:r>
    </w:p>
    <w:p w14:paraId="0C90D5C9"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ndia$Direct_q4 -0.03868    0.97381  -0.040  0.96832   </w:t>
      </w:r>
    </w:p>
    <w:p w14:paraId="2B6644CE"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ndia$staff_q2  -0.51134    0.71381  -0.716  0.47378   </w:t>
      </w:r>
    </w:p>
    <w:p w14:paraId="0D6A62F0"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ndia$staff_q3  -1.45268    0.80971  -1.794  0.07280 . </w:t>
      </w:r>
    </w:p>
    <w:p w14:paraId="45624B55"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ndia$staff_q4  -2.21235    0.99974  -2.213  0.02690 * </w:t>
      </w:r>
    </w:p>
    <w:p w14:paraId="66F0D3EB"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w:t>
      </w:r>
    </w:p>
    <w:p w14:paraId="3FFEC89F"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Signif. codes:  0 ‘***’ 0.001 ‘**’ 0.01 ‘*’ 0.05 ‘.’ 0.1 ‘ ’ 1</w:t>
      </w:r>
    </w:p>
    <w:p w14:paraId="2C6344F8"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7759A353"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44DBA110"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8BEAAAB"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Null deviance: 200.75  on 207  degrees of freedom</w:t>
      </w:r>
    </w:p>
    <w:p w14:paraId="05A64362"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Residual deviance: 150.56  on 188  degrees of freedom</w:t>
      </w:r>
    </w:p>
    <w:p w14:paraId="5673B13C"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(407 observations deleted due to missingness)</w:t>
      </w:r>
    </w:p>
    <w:p w14:paraId="2F633233"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AIC: 190.56</w:t>
      </w:r>
    </w:p>
    <w:p w14:paraId="0B899B7B"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391E861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Number of Fisher Scoring iterations: 6</w:t>
      </w:r>
    </w:p>
    <w:p w14:paraId="6309FF7C" w14:textId="77777777" w:rsidR="002922F7" w:rsidRPr="008F2466"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lang w:eastAsia="en-AU"/>
        </w:rPr>
      </w:pPr>
    </w:p>
    <w:p w14:paraId="119B1290" w14:textId="77777777" w:rsidR="002922F7" w:rsidRPr="00456C53" w:rsidRDefault="002922F7" w:rsidP="002922F7">
      <w:pPr>
        <w:pStyle w:val="Appendixhead3"/>
        <w:rPr>
          <w:lang w:eastAsia="en-AU"/>
        </w:rPr>
      </w:pPr>
      <w:bookmarkStart w:id="327" w:name="_Toc40454678"/>
      <w:r>
        <w:rPr>
          <w:lang w:eastAsia="en-AU"/>
        </w:rPr>
        <w:t>Staff remuneration (highest quartile)</w:t>
      </w:r>
      <w:bookmarkEnd w:id="327"/>
    </w:p>
    <w:p w14:paraId="0523E1FA"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6B01CF">
        <w:rPr>
          <w:rFonts w:ascii="Lucida Console" w:eastAsia="Times New Roman" w:hAnsi="Lucida Console" w:cs="Courier New"/>
          <w:color w:val="0000FF"/>
          <w:sz w:val="20"/>
          <w:szCs w:val="20"/>
          <w:lang w:eastAsia="en-AU"/>
        </w:rPr>
        <w:t>&gt; logit12 &lt;- glm(Staffrem_bq ~ ndia$Permc_q + ndia$OHS_q + ndia$Util_q + ndia$margin_q + ndia$Award + ndia$Direct_q + ndia$staff_q, data = ndia, family = binomial)</w:t>
      </w:r>
    </w:p>
    <w:p w14:paraId="4CA0E81F"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lang w:eastAsia="en-AU"/>
        </w:rPr>
      </w:pPr>
      <w:r w:rsidRPr="006B01CF">
        <w:rPr>
          <w:rFonts w:ascii="Lucida Console" w:eastAsia="Times New Roman" w:hAnsi="Lucida Console" w:cs="Courier New"/>
          <w:color w:val="0000FF"/>
          <w:sz w:val="20"/>
          <w:szCs w:val="20"/>
          <w:lang w:eastAsia="en-AU"/>
        </w:rPr>
        <w:t>&gt; summary(logit12)</w:t>
      </w:r>
    </w:p>
    <w:p w14:paraId="53F5BEDC"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15A7D059"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Call:</w:t>
      </w:r>
    </w:p>
    <w:p w14:paraId="61F09250"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glm(formula = Staffrem_bq ~ ndia$Permc_q + ndia$OHS_q + ndia$Util_q + </w:t>
      </w:r>
    </w:p>
    <w:p w14:paraId="6529F8CD"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ndia$margin_q + ndia$Award + ndia$Direct_q + ndia$staff_q, </w:t>
      </w:r>
    </w:p>
    <w:p w14:paraId="163AC656"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family = binomial, data = ndia)</w:t>
      </w:r>
    </w:p>
    <w:p w14:paraId="67D7A05D"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563008CB"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Deviance Residuals: </w:t>
      </w:r>
    </w:p>
    <w:p w14:paraId="0BCE3B00"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Min       1Q   Median       3Q      Max  </w:t>
      </w:r>
    </w:p>
    <w:p w14:paraId="01BA2E05"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-1.5257  -0.7938  -0.5662   0.9524   2.1355  </w:t>
      </w:r>
    </w:p>
    <w:p w14:paraId="5E842013"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DCF63D5"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Coefficients:</w:t>
      </w:r>
    </w:p>
    <w:p w14:paraId="68358E36"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Estimate Std. Error z value Pr(&gt;|z|)  </w:t>
      </w:r>
    </w:p>
    <w:p w14:paraId="699D916B"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(Intercept)    -1.54214    0.99441  -1.551   0.1209  </w:t>
      </w:r>
    </w:p>
    <w:p w14:paraId="5CE0B3F9"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ndia$Permc_q2  -0.80441    0.52174  -1.542   0.1231  </w:t>
      </w:r>
    </w:p>
    <w:p w14:paraId="33654C32"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ndia$Permc_q3  -0.84729    0.52561  -1.612   0.1070  </w:t>
      </w:r>
    </w:p>
    <w:p w14:paraId="5028F3DA"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ndia$Permc_q4  -0.25854    0.56431  -0.458   0.6468  </w:t>
      </w:r>
    </w:p>
    <w:p w14:paraId="4E1FDC4B"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ndia$OHS_q2    -0.45771    0.56216  -0.814   0.4155  </w:t>
      </w:r>
    </w:p>
    <w:p w14:paraId="37530AE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ndia$OHS_q3     0.16821    0.53352   0.315   0.7525  </w:t>
      </w:r>
    </w:p>
    <w:p w14:paraId="07D52738"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ndia$OHS_q4     0.87342    0.50405   1.733   0.0831 .</w:t>
      </w:r>
    </w:p>
    <w:p w14:paraId="174E3BC7"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ndia$Util_q2    0.10869    0.57369   0.189   0.8497  </w:t>
      </w:r>
    </w:p>
    <w:p w14:paraId="2F58101E"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ndia$Util_q3   -0.56568    0.54376  -1.040   0.2982  </w:t>
      </w:r>
    </w:p>
    <w:p w14:paraId="606F2C08"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ndia$Util_q4   -0.21958    0.55612  -0.395   0.6930  </w:t>
      </w:r>
    </w:p>
    <w:p w14:paraId="23F926A5"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ndia$margin_q2  0.06527    0.47365   0.138   0.8904  </w:t>
      </w:r>
    </w:p>
    <w:p w14:paraId="284C4576"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ndia$margin_q3 -0.23313    0.49225  -0.474   0.6358  </w:t>
      </w:r>
    </w:p>
    <w:p w14:paraId="11117837"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ndia$margin_q4 -0.28138    0.52347  -0.538   0.5909  </w:t>
      </w:r>
    </w:p>
    <w:p w14:paraId="663DA03B"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ndia$Award2     0.80007    0.41227   1.941   0.0523 .</w:t>
      </w:r>
    </w:p>
    <w:p w14:paraId="6538F7DC"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ndia$Direct_q2  0.34792    0.73382   0.474   0.6354  </w:t>
      </w:r>
    </w:p>
    <w:p w14:paraId="5589997F"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ndia$Direct_q3 -0.03080    0.83440  -0.037   0.9706  </w:t>
      </w:r>
    </w:p>
    <w:p w14:paraId="1AD29087"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ndia$Direct_q4  0.81449    0.88063   0.925   0.3550  </w:t>
      </w:r>
    </w:p>
    <w:p w14:paraId="1AFF5A65"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ndia$staff_q2   0.83697    0.78984   1.060   0.2893  </w:t>
      </w:r>
    </w:p>
    <w:p w14:paraId="513B95E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ndia$staff_q3   0.58009    0.84611   0.686   0.4930  </w:t>
      </w:r>
    </w:p>
    <w:p w14:paraId="75F1B3A0"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lastRenderedPageBreak/>
        <w:t xml:space="preserve">ndia$staff_q4   0.59588    0.92154   0.647   0.5179  </w:t>
      </w:r>
    </w:p>
    <w:p w14:paraId="5484E7A0"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w:t>
      </w:r>
    </w:p>
    <w:p w14:paraId="09B6D18D"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Signif. codes:  0 ‘***’ 0.001 ‘**’ 0.01 ‘*’ 0.05 ‘.’ 0.1 ‘ ’ 1</w:t>
      </w:r>
    </w:p>
    <w:p w14:paraId="4591BB54"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2CC6CB2"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(Dispersion parameter for binomial family taken to be 1)</w:t>
      </w:r>
    </w:p>
    <w:p w14:paraId="7772A0B5"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38C3ADE"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Null deviance: 242.72  on 211  degrees of freedom</w:t>
      </w:r>
    </w:p>
    <w:p w14:paraId="35BB0B79"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Residual deviance: 218.89  on 192  degrees of freedom</w:t>
      </w:r>
    </w:p>
    <w:p w14:paraId="63B3FCF8"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 xml:space="preserve">  (403 observations deleted due to missingness)</w:t>
      </w:r>
    </w:p>
    <w:p w14:paraId="0AFC9209"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r w:rsidRPr="006B01CF">
        <w:rPr>
          <w:rFonts w:ascii="Lucida Console" w:eastAsia="Times New Roman" w:hAnsi="Lucida Console" w:cs="Courier New"/>
          <w:color w:val="000000"/>
          <w:sz w:val="20"/>
          <w:szCs w:val="20"/>
          <w:bdr w:val="none" w:sz="0" w:space="0" w:color="auto" w:frame="1"/>
          <w:lang w:eastAsia="en-AU"/>
        </w:rPr>
        <w:t>AIC: 258.89</w:t>
      </w:r>
    </w:p>
    <w:p w14:paraId="167B11E1"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lang w:eastAsia="en-AU"/>
        </w:rPr>
      </w:pPr>
    </w:p>
    <w:p w14:paraId="0A699778" w14:textId="77777777" w:rsidR="002922F7" w:rsidRPr="006B01CF" w:rsidRDefault="002922F7" w:rsidP="00292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lang w:eastAsia="en-AU"/>
        </w:rPr>
      </w:pPr>
      <w:r w:rsidRPr="006B01CF">
        <w:rPr>
          <w:rFonts w:ascii="Lucida Console" w:eastAsia="Times New Roman" w:hAnsi="Lucida Console" w:cs="Courier New"/>
          <w:color w:val="000000"/>
          <w:sz w:val="20"/>
          <w:szCs w:val="20"/>
          <w:bdr w:val="none" w:sz="0" w:space="0" w:color="auto" w:frame="1"/>
          <w:lang w:eastAsia="en-AU"/>
        </w:rPr>
        <w:t>Number of Fisher Scoring iterations: 4</w:t>
      </w:r>
    </w:p>
    <w:p w14:paraId="0FE488F3" w14:textId="77777777" w:rsidR="002922F7" w:rsidRPr="006B01CF" w:rsidRDefault="002922F7" w:rsidP="002922F7">
      <w:pPr>
        <w:rPr>
          <w:lang w:eastAsia="en-AU"/>
        </w:rPr>
      </w:pPr>
    </w:p>
    <w:p w14:paraId="1A68868A" w14:textId="77777777" w:rsidR="00325054" w:rsidRPr="003F110A" w:rsidRDefault="00325054" w:rsidP="00CE2232"/>
    <w:p w14:paraId="478A16B1" w14:textId="77777777" w:rsidR="00F173BE" w:rsidRDefault="00F173BE" w:rsidP="00FC2431">
      <w:pPr>
        <w:rPr>
          <w:lang w:eastAsia="en-AU"/>
        </w:rPr>
        <w:sectPr w:rsidR="00F173BE" w:rsidSect="00D247D3">
          <w:pgSz w:w="11906" w:h="16838" w:code="9"/>
          <w:pgMar w:top="1440" w:right="1440" w:bottom="1440" w:left="1440" w:header="680" w:footer="425" w:gutter="0"/>
          <w:cols w:space="284"/>
          <w:docGrid w:linePitch="360"/>
        </w:sectPr>
      </w:pPr>
    </w:p>
    <w:p w14:paraId="66D2D973" w14:textId="7E3136F6" w:rsidR="005B00B8" w:rsidRDefault="00BF4216" w:rsidP="00BF4216">
      <w:pPr>
        <w:pStyle w:val="Heading1un-numbered"/>
        <w:rPr>
          <w:lang w:eastAsia="en-AU"/>
        </w:rPr>
      </w:pPr>
      <w:bookmarkStart w:id="328" w:name="_Toc40454679"/>
      <w:r w:rsidRPr="00BF4216">
        <w:rPr>
          <w:lang w:eastAsia="en-AU"/>
        </w:rPr>
        <w:lastRenderedPageBreak/>
        <w:t>Limitation of our work</w:t>
      </w:r>
      <w:bookmarkEnd w:id="263"/>
      <w:bookmarkEnd w:id="264"/>
      <w:bookmarkEnd w:id="265"/>
      <w:bookmarkEnd w:id="266"/>
      <w:bookmarkEnd w:id="328"/>
    </w:p>
    <w:p w14:paraId="41ED06F1" w14:textId="77777777" w:rsidR="00BF4216" w:rsidRPr="002411F0" w:rsidRDefault="00BF4216" w:rsidP="002411F0">
      <w:pPr>
        <w:rPr>
          <w:b/>
          <w:bCs/>
          <w:color w:val="62B5E5" w:themeColor="accent3"/>
          <w:sz w:val="28"/>
          <w:szCs w:val="28"/>
        </w:rPr>
      </w:pPr>
      <w:bookmarkStart w:id="329" w:name="_Toc463002440"/>
      <w:bookmarkStart w:id="330" w:name="_Toc472586354"/>
      <w:bookmarkStart w:id="331" w:name="_Toc482168132"/>
      <w:bookmarkStart w:id="332" w:name="_Toc482174917"/>
      <w:r w:rsidRPr="002411F0">
        <w:rPr>
          <w:b/>
          <w:bCs/>
          <w:color w:val="62B5E5" w:themeColor="accent3"/>
          <w:sz w:val="28"/>
          <w:szCs w:val="28"/>
        </w:rPr>
        <w:t>General use restriction</w:t>
      </w:r>
      <w:bookmarkEnd w:id="329"/>
      <w:bookmarkEnd w:id="330"/>
      <w:bookmarkEnd w:id="331"/>
      <w:bookmarkEnd w:id="332"/>
    </w:p>
    <w:p w14:paraId="3D301030" w14:textId="019E71E0" w:rsidR="00DF06E9" w:rsidRDefault="00581B33" w:rsidP="002411F0">
      <w:r>
        <w:t xml:space="preserve">This report is prepared solely for the use of </w:t>
      </w:r>
      <w:r w:rsidR="002411F0">
        <w:t>the National Disability Insurance Agency.</w:t>
      </w:r>
      <w:r>
        <w:t xml:space="preserve"> This report is not intended to and should not be used or relied upon by anyone else and we accept no duty of care to any other person or entity. The report has been prepared for the </w:t>
      </w:r>
      <w:r w:rsidRPr="002411F0">
        <w:t xml:space="preserve">purpose set out in the contract dated </w:t>
      </w:r>
      <w:r w:rsidR="002411F0">
        <w:t>15 January 2020</w:t>
      </w:r>
      <w:r>
        <w:t>. You should not refer to or use our name or the advice for any other purpose.</w:t>
      </w:r>
    </w:p>
    <w:p w14:paraId="77E9C399" w14:textId="77777777" w:rsidR="00983929" w:rsidRPr="009232DC" w:rsidRDefault="00983929" w:rsidP="00983929">
      <w:pPr>
        <w:pageBreakBefore/>
      </w:pPr>
    </w:p>
    <w:p w14:paraId="5E01AD55" w14:textId="77777777" w:rsidR="00D01239" w:rsidRPr="000F05E4" w:rsidRDefault="00D01239" w:rsidP="00983929"/>
    <w:tbl>
      <w:tblPr>
        <w:tblStyle w:val="TableGrid"/>
        <w:tblpPr w:horzAnchor="margin" w:tblpYSpec="bottom"/>
        <w:tblOverlap w:val="never"/>
        <w:tblW w:w="9185" w:type="dxa"/>
        <w:tblLook w:val="04A0" w:firstRow="1" w:lastRow="0" w:firstColumn="1" w:lastColumn="0" w:noHBand="0" w:noVBand="1"/>
      </w:tblPr>
      <w:tblGrid>
        <w:gridCol w:w="9185"/>
      </w:tblGrid>
      <w:tr w:rsidR="00493AF9" w:rsidRPr="00DB2D17" w14:paraId="469F8DC2" w14:textId="77777777" w:rsidTr="00CC75FD">
        <w:trPr>
          <w:cnfStyle w:val="100000000000" w:firstRow="1" w:lastRow="0" w:firstColumn="0" w:lastColumn="0" w:oddVBand="0" w:evenVBand="0" w:oddHBand="0" w:evenHBand="0" w:firstRowFirstColumn="0" w:firstRowLastColumn="0" w:lastRowFirstColumn="0" w:lastRowLastColumn="0"/>
          <w:trHeight w:val="6379"/>
        </w:trPr>
        <w:tc>
          <w:tcPr>
            <w:tcW w:w="9214" w:type="dxa"/>
            <w:vAlign w:val="bottom"/>
          </w:tcPr>
          <w:p w14:paraId="01636D53" w14:textId="77777777" w:rsidR="00493AF9" w:rsidRPr="00DB2D17" w:rsidRDefault="00D31629" w:rsidP="004D6E06">
            <w:pPr>
              <w:pStyle w:val="Legaltext"/>
            </w:pPr>
            <w:r>
              <w:rPr>
                <w:noProof/>
                <w:lang w:eastAsia="en-AU"/>
              </w:rPr>
              <w:drawing>
                <wp:inline distT="0" distB="0" distL="0" distR="0" wp14:anchorId="1E0412BC" wp14:editId="559F818D">
                  <wp:extent cx="2086118" cy="914400"/>
                  <wp:effectExtent l="0" t="0" r="0" b="0"/>
                  <wp:docPr id="266776721" name="Frontpage_Logo_Positiv">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6776721" name="Frontpage_Logo_Positiv"/>
                          <pic:cNvPicPr/>
                        </pic:nvPicPr>
                        <pic:blipFill>
                          <a:blip r:embed="rId11"/>
                          <a:srcRect/>
                          <a:stretch/>
                        </pic:blipFill>
                        <pic:spPr>
                          <a:xfrm>
                            <a:off x="0" y="0"/>
                            <a:ext cx="2086118" cy="914400"/>
                          </a:xfrm>
                          <a:prstGeom prst="rect">
                            <a:avLst/>
                          </a:prstGeom>
                        </pic:spPr>
                      </pic:pic>
                    </a:graphicData>
                  </a:graphic>
                </wp:inline>
              </w:drawing>
            </w:r>
          </w:p>
          <w:p w14:paraId="5E65BBA7" w14:textId="77777777" w:rsidR="00206BB8" w:rsidRPr="00DB2D17" w:rsidRDefault="00206BB8" w:rsidP="00206BB8">
            <w:pPr>
              <w:pStyle w:val="Legaltext"/>
            </w:pPr>
          </w:p>
          <w:p w14:paraId="57842F2B" w14:textId="253A3D1A" w:rsidR="00206BB8" w:rsidRPr="0078098D" w:rsidRDefault="002411F0" w:rsidP="00206BB8">
            <w:pPr>
              <w:pStyle w:val="Legaltext"/>
            </w:pPr>
            <w:r>
              <w:t>Deloitte Access Economics</w:t>
            </w:r>
            <w:r>
              <w:br/>
              <w:t>8 Brindabella Circuit</w:t>
            </w:r>
            <w:r>
              <w:br/>
              <w:t>Brindabella Business Park</w:t>
            </w:r>
            <w:r>
              <w:br/>
              <w:t>Canberra ACT 2609</w:t>
            </w:r>
          </w:p>
          <w:p w14:paraId="05126C67" w14:textId="77777777" w:rsidR="00206BB8" w:rsidRPr="0078098D" w:rsidRDefault="00206BB8" w:rsidP="00206BB8">
            <w:pPr>
              <w:pStyle w:val="Legaltext"/>
            </w:pPr>
          </w:p>
          <w:p w14:paraId="2ED54E7C" w14:textId="5B870C35" w:rsidR="00206BB8" w:rsidRPr="0078098D" w:rsidRDefault="00206BB8" w:rsidP="00206BB8">
            <w:pPr>
              <w:pStyle w:val="Legaltext"/>
            </w:pPr>
            <w:bookmarkStart w:id="333" w:name="LAN_Phone_1"/>
            <w:r w:rsidRPr="0078098D">
              <w:t>Phone</w:t>
            </w:r>
            <w:bookmarkEnd w:id="333"/>
            <w:r w:rsidRPr="0078098D">
              <w:t xml:space="preserve">: </w:t>
            </w:r>
            <w:bookmarkStart w:id="334" w:name="OFF_Phone_1"/>
            <w:bookmarkEnd w:id="334"/>
            <w:r w:rsidR="002411F0">
              <w:t>+61 2 6263 7000</w:t>
            </w:r>
          </w:p>
          <w:p w14:paraId="4830C52F" w14:textId="710D401A" w:rsidR="00206BB8" w:rsidRPr="0078098D" w:rsidRDefault="00206BB8" w:rsidP="00206BB8">
            <w:pPr>
              <w:pStyle w:val="Legaltext"/>
            </w:pPr>
            <w:bookmarkStart w:id="335" w:name="LAN_Fax_1"/>
            <w:bookmarkStart w:id="336" w:name="OFF_Fax_DIF_1"/>
            <w:r w:rsidRPr="0078098D">
              <w:t>Fax</w:t>
            </w:r>
            <w:bookmarkEnd w:id="335"/>
            <w:r w:rsidRPr="0078098D">
              <w:t xml:space="preserve">: </w:t>
            </w:r>
            <w:bookmarkStart w:id="337" w:name="OFF_Fax_1"/>
            <w:bookmarkEnd w:id="337"/>
            <w:r w:rsidR="002411F0">
              <w:t>+61 2 6263 7004</w:t>
            </w:r>
          </w:p>
          <w:p w14:paraId="1209899F" w14:textId="291A013C" w:rsidR="00206BB8" w:rsidRDefault="002411F0" w:rsidP="00206BB8">
            <w:pPr>
              <w:pStyle w:val="Legaltext"/>
            </w:pPr>
            <w:bookmarkStart w:id="338" w:name="OFF_WebAddress_1"/>
            <w:bookmarkEnd w:id="336"/>
            <w:r>
              <w:t>W</w:t>
            </w:r>
            <w:r w:rsidR="00206BB8">
              <w:t>eb</w:t>
            </w:r>
            <w:bookmarkEnd w:id="338"/>
            <w:r>
              <w:t>: www.Deloitte.com.au</w:t>
            </w:r>
          </w:p>
          <w:p w14:paraId="12F161AC" w14:textId="77777777" w:rsidR="00206BB8" w:rsidRPr="0078098D" w:rsidRDefault="00206BB8" w:rsidP="00206BB8">
            <w:pPr>
              <w:pStyle w:val="Legaltext"/>
            </w:pPr>
          </w:p>
          <w:p w14:paraId="513CACD8" w14:textId="3AE4C521" w:rsidR="0013686B" w:rsidRDefault="0013686B" w:rsidP="0013686B">
            <w:pPr>
              <w:pStyle w:val="Legaltext"/>
            </w:pPr>
            <w:r>
              <w:t xml:space="preserve">Deloitte Access Economics is Australia’s pre-eminent economics advisory practice and a member of Deloitte's global economics group. For more information, please visit our website: </w:t>
            </w:r>
            <w:hyperlink r:id="rId61" w:history="1">
              <w:r w:rsidRPr="00E87E34">
                <w:rPr>
                  <w:rStyle w:val="Hyperlink"/>
                </w:rPr>
                <w:t>www.deloitte.com/au/deloitte-access-economics</w:t>
              </w:r>
            </w:hyperlink>
            <w:r>
              <w:t xml:space="preserve"> </w:t>
            </w:r>
          </w:p>
          <w:p w14:paraId="1FBFBE80" w14:textId="77777777" w:rsidR="0013686B" w:rsidRDefault="0013686B" w:rsidP="0013686B">
            <w:pPr>
              <w:pStyle w:val="Legaltext"/>
            </w:pPr>
          </w:p>
          <w:p w14:paraId="19FBFAC9" w14:textId="77777777" w:rsidR="0013686B" w:rsidRDefault="0013686B" w:rsidP="0013686B">
            <w:pPr>
              <w:pStyle w:val="Legaltext"/>
            </w:pPr>
            <w:r>
              <w:t>Deloitte refers to one or more of Deloitte Touche Tohmatsu Limited (“DTTL”), its global network of member firms, and their related entities. DTTL (also referred to as “Deloitte Global”) and each of its member firms and their affiliated entities are legally separate and independent entities. DTTL does not provide services to clients. Please see www.deloitte.com/about to learn more.</w:t>
            </w:r>
          </w:p>
          <w:p w14:paraId="72D0B307" w14:textId="77777777" w:rsidR="0013686B" w:rsidRDefault="0013686B" w:rsidP="0013686B">
            <w:pPr>
              <w:pStyle w:val="Legaltext"/>
            </w:pPr>
          </w:p>
          <w:p w14:paraId="4B7114B8" w14:textId="77777777" w:rsidR="0013686B" w:rsidRDefault="0013686B" w:rsidP="0013686B">
            <w:pPr>
              <w:pStyle w:val="Legaltext"/>
            </w:pPr>
            <w:r>
              <w:t>Deloitte is a leading global provider of audit and assurance, consulting, financial advisory, risk advisory, tax and related services. Our network of member firms in more than 150 countries and territories serves four out of five Fortune Global 500®companies. Learn how Deloitte’s approximately 286,000 people make an impact that matters at www.deloitte.com.</w:t>
            </w:r>
          </w:p>
          <w:p w14:paraId="4C34B660" w14:textId="77777777" w:rsidR="0013686B" w:rsidRDefault="0013686B" w:rsidP="0013686B">
            <w:pPr>
              <w:pStyle w:val="Legaltext"/>
            </w:pPr>
          </w:p>
          <w:p w14:paraId="1D45716B" w14:textId="77777777" w:rsidR="0013686B" w:rsidRPr="0013686B" w:rsidRDefault="0013686B" w:rsidP="0013686B">
            <w:pPr>
              <w:pStyle w:val="Legaltext"/>
              <w:rPr>
                <w:b/>
              </w:rPr>
            </w:pPr>
            <w:r w:rsidRPr="0013686B">
              <w:rPr>
                <w:b/>
              </w:rPr>
              <w:t xml:space="preserve">Deloitte Asia Pacific </w:t>
            </w:r>
          </w:p>
          <w:p w14:paraId="0C1CE8F8" w14:textId="77777777" w:rsidR="0013686B" w:rsidRDefault="0013686B" w:rsidP="0013686B">
            <w:pPr>
              <w:pStyle w:val="Legaltext"/>
            </w:pPr>
            <w:r>
              <w:t>Deloitte Asia Pacific Limited is a company limited by guarantee and a member firm of DTTL. Members of Deloitte Asia Pacific Limited and their related entities provide services in Australia, Brunei Darussalam, Cambodia, East Timor, Federated States of Micronesia, Guam, Indonesia, Japan, Laos, Malaysia, Mongolia, Myanmar, New Zealand, Palau, Papua New Guinea, Singapore, Thailand, The Marshall Islands, The Northern Mariana Islands, The People’s Republic of China (incl. Hong Kong SAR and Macau SAR), The Philippines and Vietnam, in each of which operations are conducted by separate and independent legal entities.</w:t>
            </w:r>
          </w:p>
          <w:p w14:paraId="4C22366E" w14:textId="77777777" w:rsidR="0013686B" w:rsidRDefault="0013686B" w:rsidP="0013686B">
            <w:pPr>
              <w:pStyle w:val="Legaltext"/>
            </w:pPr>
          </w:p>
          <w:p w14:paraId="578EE69D" w14:textId="77777777" w:rsidR="0013686B" w:rsidRPr="0013686B" w:rsidRDefault="0013686B" w:rsidP="0013686B">
            <w:pPr>
              <w:pStyle w:val="Legaltext"/>
              <w:rPr>
                <w:b/>
              </w:rPr>
            </w:pPr>
            <w:r w:rsidRPr="0013686B">
              <w:rPr>
                <w:b/>
              </w:rPr>
              <w:t>Deloitte Australia</w:t>
            </w:r>
          </w:p>
          <w:p w14:paraId="2031E7E8" w14:textId="77777777" w:rsidR="0013686B" w:rsidRDefault="0013686B" w:rsidP="0013686B">
            <w:pPr>
              <w:pStyle w:val="Legaltext"/>
            </w:pPr>
            <w:r>
              <w:t>In Australia, the Deloitte Network member is the Australian partnership of Deloitte Touche Tohmatsu. As one of Australia’s leading professional services firms. Deloitte Touche Tohmatsu and its affiliates provide audit, tax, consulting, and financial advisory services through approximately 8000 people across the country. Focused on the creation of value and growth, and known as an employer of choice for innovative human resources programs, we are dedicated to helping our clients and our people excel. For more information, please visit our web site at https://www2.deloitte.com/au/en.html.</w:t>
            </w:r>
          </w:p>
          <w:p w14:paraId="359A8513" w14:textId="77777777" w:rsidR="0013686B" w:rsidRDefault="0013686B" w:rsidP="0013686B">
            <w:pPr>
              <w:pStyle w:val="Legaltext"/>
            </w:pPr>
          </w:p>
          <w:p w14:paraId="03F002EC" w14:textId="77777777" w:rsidR="0013686B" w:rsidRDefault="0013686B" w:rsidP="0013686B">
            <w:pPr>
              <w:pStyle w:val="Legaltext"/>
            </w:pPr>
            <w:r>
              <w:t>Liability limited by a scheme approved under Professional Standards Legislation.</w:t>
            </w:r>
          </w:p>
          <w:p w14:paraId="29ACC31F" w14:textId="77777777" w:rsidR="0013686B" w:rsidRDefault="0013686B" w:rsidP="0013686B">
            <w:pPr>
              <w:pStyle w:val="Legaltext"/>
            </w:pPr>
            <w:r>
              <w:t>Member of Deloitte Asia Pacific Limited and the Deloitte Network.</w:t>
            </w:r>
          </w:p>
          <w:p w14:paraId="63C63641" w14:textId="77777777" w:rsidR="0013686B" w:rsidRDefault="0013686B" w:rsidP="0013686B">
            <w:pPr>
              <w:pStyle w:val="Legaltext"/>
            </w:pPr>
          </w:p>
          <w:p w14:paraId="461C4C15" w14:textId="77777777" w:rsidR="00417D85" w:rsidRPr="00417D85" w:rsidRDefault="0013686B" w:rsidP="0013686B">
            <w:pPr>
              <w:pStyle w:val="Legaltext"/>
              <w:spacing w:line="0" w:lineRule="atLeast"/>
              <w:rPr>
                <w:sz w:val="2"/>
                <w:szCs w:val="2"/>
              </w:rPr>
            </w:pPr>
            <w:r>
              <w:t>©20</w:t>
            </w:r>
            <w:r w:rsidR="00F24B65">
              <w:t>20</w:t>
            </w:r>
            <w:r>
              <w:t xml:space="preserve"> Deloitte Access Economics. Deloitte Touche Tohmatsu</w:t>
            </w:r>
          </w:p>
        </w:tc>
      </w:tr>
    </w:tbl>
    <w:p w14:paraId="720E13EE" w14:textId="77777777" w:rsidR="00BF6F8B" w:rsidRPr="000F05E4" w:rsidRDefault="00680CEC" w:rsidP="009B139F">
      <w:r w:rsidRPr="000F05E4">
        <w:rPr>
          <w:noProof/>
          <w:lang w:eastAsia="en-AU"/>
        </w:rPr>
        <mc:AlternateContent>
          <mc:Choice Requires="wps">
            <w:drawing>
              <wp:anchor distT="0" distB="0" distL="114300" distR="114300" simplePos="0" relativeHeight="251679744" behindDoc="1" locked="1" layoutInCell="1" allowOverlap="1" wp14:anchorId="0C48CF35" wp14:editId="6339E180">
                <wp:simplePos x="0" y="0"/>
                <wp:positionH relativeFrom="page">
                  <wp:posOffset>0</wp:posOffset>
                </wp:positionH>
                <wp:positionV relativeFrom="page">
                  <wp:posOffset>0</wp:posOffset>
                </wp:positionV>
                <wp:extent cx="7563600" cy="10695600"/>
                <wp:effectExtent l="0" t="0" r="0" b="0"/>
                <wp:wrapNone/>
                <wp:docPr id="3" name="Backpage background">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7563600" cy="10695600"/>
                        </a:xfrm>
                        <a:prstGeom prst="rect">
                          <a:avLst/>
                        </a:prstGeom>
                        <a:solidFill>
                          <a:srgbClr val="FFFFFF"/>
                        </a:solidFill>
                        <a:ln w="19050" algn="ctr">
                          <a:noFill/>
                          <a:miter lim="800000"/>
                          <a:headEnd/>
                          <a:tailEnd/>
                        </a:ln>
                      </wps:spPr>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9F53570" id="Backpage background" o:spid="_x0000_s1026" style="position:absolute;margin-left:0;margin-top:0;width:595.55pt;height:842.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" stroked="f" strokeweight="1.5pt">
                <o:lock v:ext="edit" aspectratio="t"/>
                <v:textbox inset="7pt,7pt,7pt,7pt"/>
                <w10:wrap anchorx="page" anchory="page"/>
                <w10:anchorlock/>
              </v:rect>
            </w:pict>
          </mc:Fallback>
        </mc:AlternateContent>
      </w:r>
    </w:p>
    <w:p w14:paraId="211F841A" w14:textId="77777777" w:rsidR="007629C6" w:rsidRPr="000F05E4" w:rsidRDefault="007629C6" w:rsidP="009B139F"/>
    <w:sectPr w:rsidR="007629C6" w:rsidRPr="000F05E4" w:rsidSect="00D247D3">
      <w:type w:val="continuous"/>
      <w:pgSz w:w="11906" w:h="16838" w:code="9"/>
      <w:pgMar w:top="1440" w:right="1440" w:bottom="1440" w:left="1440" w:header="680" w:footer="425"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8D4AE" w14:textId="77777777" w:rsidR="000B695A" w:rsidRDefault="000B695A" w:rsidP="00C702C7">
      <w:pPr>
        <w:spacing w:line="240" w:lineRule="auto"/>
      </w:pPr>
    </w:p>
  </w:endnote>
  <w:endnote w:type="continuationSeparator" w:id="0">
    <w:p w14:paraId="581EA745" w14:textId="77777777" w:rsidR="000B695A" w:rsidRDefault="000B695A" w:rsidP="00C702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ayout w:type="fixed"/>
      <w:tblLook w:val="04A0" w:firstRow="1" w:lastRow="0" w:firstColumn="1" w:lastColumn="0" w:noHBand="0" w:noVBand="1"/>
    </w:tblPr>
    <w:tblGrid>
      <w:gridCol w:w="3544"/>
      <w:gridCol w:w="7002"/>
    </w:tblGrid>
    <w:tr w:rsidR="000B695A" w14:paraId="0870C3B5" w14:textId="77777777" w:rsidTr="00137F51">
      <w:trPr>
        <w:cnfStyle w:val="100000000000" w:firstRow="1" w:lastRow="0" w:firstColumn="0" w:lastColumn="0" w:oddVBand="0" w:evenVBand="0" w:oddHBand="0" w:evenHBand="0" w:firstRowFirstColumn="0" w:firstRowLastColumn="0" w:lastRowFirstColumn="0" w:lastRowLastColumn="0"/>
      </w:trPr>
      <w:tc>
        <w:tcPr>
          <w:tcW w:w="3544" w:type="dxa"/>
          <w:vAlign w:val="bottom"/>
        </w:tcPr>
        <w:p w14:paraId="5A84E412" w14:textId="4F063143" w:rsidR="000B695A" w:rsidRDefault="000B695A" w:rsidP="00536AB8">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C10F81">
            <w:rPr>
              <w:rStyle w:val="PageNumber"/>
              <w:noProof/>
            </w:rPr>
            <w:t>1</w:t>
          </w:r>
          <w:r w:rsidRPr="006C4F67">
            <w:rPr>
              <w:rStyle w:val="PageNumber"/>
            </w:rPr>
            <w:fldChar w:fldCharType="end"/>
          </w:r>
        </w:p>
      </w:tc>
      <w:tc>
        <w:tcPr>
          <w:tcW w:w="7002" w:type="dxa"/>
          <w:vAlign w:val="bottom"/>
        </w:tcPr>
        <w:p w14:paraId="372E5B49" w14:textId="77777777" w:rsidR="000B695A" w:rsidRPr="00904097" w:rsidRDefault="000B695A" w:rsidP="00536AB8">
          <w:pPr>
            <w:pStyle w:val="Footer"/>
            <w:spacing w:line="180" w:lineRule="atLeast"/>
            <w:rPr>
              <w:sz w:val="14"/>
              <w:szCs w:val="14"/>
            </w:rPr>
          </w:pPr>
        </w:p>
      </w:tc>
    </w:tr>
  </w:tbl>
  <w:p w14:paraId="6910B577" w14:textId="77777777" w:rsidR="000B695A" w:rsidRDefault="000B695A" w:rsidP="00536AB8">
    <w:pPr>
      <w:pStyle w:val="Foote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07A87" w14:textId="77777777" w:rsidR="000B695A" w:rsidRPr="00FD7D79" w:rsidRDefault="000B695A" w:rsidP="00FD7D79">
    <w:pPr>
      <w:pStyle w:val="Footer"/>
    </w:pPr>
    <w:r>
      <w:rPr>
        <w:noProof/>
        <w:lang w:eastAsia="en-AU"/>
      </w:rPr>
      <w:drawing>
        <wp:anchor distT="0" distB="0" distL="0" distR="0" simplePos="0" relativeHeight="251696128" behindDoc="0" locked="0" layoutInCell="1" allowOverlap="1" wp14:anchorId="5A509B1B" wp14:editId="324E914B">
          <wp:simplePos x="0" y="0"/>
          <wp:positionH relativeFrom="margin">
            <wp:align>left</wp:align>
          </wp:positionH>
          <wp:positionV relativeFrom="page">
            <wp:align>bottom</wp:align>
          </wp:positionV>
          <wp:extent cx="5720400" cy="367200"/>
          <wp:effectExtent l="0" t="0" r="0" b="0"/>
          <wp:wrapNone/>
          <wp:docPr id="2" name="Draft_Text" hidden="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_Text"/>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55366" w14:textId="54EFB954" w:rsidR="000B695A" w:rsidRPr="00672300" w:rsidRDefault="000B695A" w:rsidP="00672300">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C10F81">
      <w:rPr>
        <w:rStyle w:val="PageNumber"/>
        <w:noProof/>
      </w:rPr>
      <w:t>i</w:t>
    </w:r>
    <w:r w:rsidRPr="006C4F67">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C4B70" w14:textId="3BF4F0B8" w:rsidR="000B695A" w:rsidRPr="007E7D93" w:rsidRDefault="000B695A" w:rsidP="007E7D93">
    <w:pPr>
      <w:pStyle w:val="Footer"/>
    </w:pPr>
    <w:r>
      <w:rPr>
        <w:noProof/>
        <w:lang w:eastAsia="en-AU"/>
      </w:rPr>
      <w:drawing>
        <wp:anchor distT="0" distB="0" distL="0" distR="0" simplePos="0" relativeHeight="251710464" behindDoc="0" locked="0" layoutInCell="1" allowOverlap="1" wp14:anchorId="1E49736F" wp14:editId="086D243B">
          <wp:simplePos x="0" y="0"/>
          <wp:positionH relativeFrom="margin">
            <wp:posOffset>288290</wp:posOffset>
          </wp:positionH>
          <wp:positionV relativeFrom="page">
            <wp:align>bottom</wp:align>
          </wp:positionV>
          <wp:extent cx="5720400" cy="367200"/>
          <wp:effectExtent l="0" t="0" r="0" b="0"/>
          <wp:wrapNone/>
          <wp:docPr id="9" name="Draft_Text" hidden="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_Text"/>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C10F81">
      <w:rPr>
        <w:rStyle w:val="PageNumber"/>
        <w:noProof/>
      </w:rPr>
      <w:t>15</w:t>
    </w:r>
    <w:r w:rsidRPr="006C4F6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07596" w14:textId="77777777" w:rsidR="000B695A" w:rsidRDefault="000B695A" w:rsidP="00C702C7">
      <w:pPr>
        <w:spacing w:line="240" w:lineRule="auto"/>
      </w:pPr>
      <w:r>
        <w:separator/>
      </w:r>
    </w:p>
  </w:footnote>
  <w:footnote w:type="continuationSeparator" w:id="0">
    <w:p w14:paraId="60A39447" w14:textId="77777777" w:rsidR="000B695A" w:rsidRDefault="000B695A" w:rsidP="00C702C7">
      <w:pPr>
        <w:spacing w:line="240" w:lineRule="auto"/>
      </w:pPr>
      <w:r>
        <w:continuationSeparator/>
      </w:r>
    </w:p>
  </w:footnote>
  <w:footnote w:id="1">
    <w:p w14:paraId="6115BFF5" w14:textId="25210FB5" w:rsidR="000B695A" w:rsidRPr="00D55CF5" w:rsidRDefault="000B695A">
      <w:pPr>
        <w:pStyle w:val="FootnoteText"/>
      </w:pPr>
      <w:r>
        <w:rPr>
          <w:rStyle w:val="FootnoteReference"/>
        </w:rPr>
        <w:footnoteRef/>
      </w:r>
      <w:r>
        <w:t xml:space="preserve"> NDIA (2020), </w:t>
      </w:r>
      <w:r>
        <w:rPr>
          <w:i/>
          <w:iCs/>
        </w:rPr>
        <w:t>The NDIS Rollout</w:t>
      </w:r>
      <w:r>
        <w:t>, retrieved from &lt;</w:t>
      </w:r>
      <w:hyperlink r:id="rId1" w:history="1">
        <w:r w:rsidRPr="00A97528">
          <w:rPr>
            <w:rStyle w:val="Hyperlink"/>
          </w:rPr>
          <w:t>https://www.ndis.gov.au/understanding/ndis-rollout</w:t>
        </w:r>
      </w:hyperlink>
      <w:r>
        <w:t>&gt;.</w:t>
      </w:r>
    </w:p>
  </w:footnote>
  <w:footnote w:id="2">
    <w:p w14:paraId="235146D0" w14:textId="1CD9FA97" w:rsidR="000B695A" w:rsidRDefault="000B695A">
      <w:pPr>
        <w:pStyle w:val="FootnoteText"/>
      </w:pPr>
      <w:r>
        <w:rPr>
          <w:rStyle w:val="FootnoteReference"/>
        </w:rPr>
        <w:footnoteRef/>
      </w:r>
      <w:r>
        <w:t xml:space="preserve"> </w:t>
      </w:r>
      <w:r w:rsidRPr="00D55CF5">
        <w:t xml:space="preserve">Walsh, J., &amp; Johnson, S. (2013). Development and Principles of the National Disability Insurance Scheme. </w:t>
      </w:r>
      <w:r w:rsidRPr="003F110A">
        <w:rPr>
          <w:i/>
          <w:iCs/>
        </w:rPr>
        <w:t>Australian Economic Review</w:t>
      </w:r>
      <w:r w:rsidRPr="00D55CF5">
        <w:t>, 46(3), 327-337.</w:t>
      </w:r>
    </w:p>
  </w:footnote>
  <w:footnote w:id="3">
    <w:p w14:paraId="237AC4EA" w14:textId="2D428572" w:rsidR="000B695A" w:rsidRPr="00D55CF5" w:rsidRDefault="000B695A">
      <w:pPr>
        <w:pStyle w:val="FootnoteText"/>
      </w:pPr>
      <w:r>
        <w:rPr>
          <w:rStyle w:val="FootnoteReference"/>
        </w:rPr>
        <w:footnoteRef/>
      </w:r>
      <w:r>
        <w:t xml:space="preserve"> NDIA (2020), </w:t>
      </w:r>
      <w:r>
        <w:rPr>
          <w:i/>
          <w:iCs/>
        </w:rPr>
        <w:t>Price guides and pricing</w:t>
      </w:r>
      <w:r>
        <w:t>, retrieved from &lt;</w:t>
      </w:r>
      <w:hyperlink r:id="rId2" w:history="1">
        <w:r w:rsidRPr="00A97528">
          <w:rPr>
            <w:rStyle w:val="Hyperlink"/>
          </w:rPr>
          <w:t>https://www.ndis.gov.au/providers/price-guides-and-pricing</w:t>
        </w:r>
      </w:hyperlink>
      <w:r>
        <w:t>&gt;.</w:t>
      </w:r>
    </w:p>
  </w:footnote>
  <w:footnote w:id="4">
    <w:p w14:paraId="626049AE" w14:textId="65BCC592" w:rsidR="000B695A" w:rsidRPr="00D55CF5" w:rsidRDefault="000B695A">
      <w:pPr>
        <w:pStyle w:val="FootnoteText"/>
      </w:pPr>
      <w:r>
        <w:rPr>
          <w:rStyle w:val="FootnoteReference"/>
        </w:rPr>
        <w:footnoteRef/>
      </w:r>
      <w:r>
        <w:t xml:space="preserve"> NDIA (2019), </w:t>
      </w:r>
      <w:r>
        <w:rPr>
          <w:i/>
          <w:iCs/>
        </w:rPr>
        <w:t>National Disability Insurance Scheme: Cost model for Disability Support Workers</w:t>
      </w:r>
      <w:r>
        <w:t>, retrieved from &lt;</w:t>
      </w:r>
      <w:r w:rsidRPr="003F110A">
        <w:rPr>
          <w:rStyle w:val="Hyperlink"/>
        </w:rPr>
        <w:t>https://www.ndis.gov.au/media/1821/download</w:t>
      </w:r>
      <w:r>
        <w:t>&gt;.</w:t>
      </w:r>
    </w:p>
  </w:footnote>
  <w:footnote w:id="5">
    <w:p w14:paraId="62CB5301" w14:textId="77777777" w:rsidR="000B695A" w:rsidRDefault="000B695A" w:rsidP="006E7937">
      <w:pPr>
        <w:pStyle w:val="FootnoteText"/>
      </w:pPr>
      <w:r>
        <w:rPr>
          <w:rStyle w:val="FootnoteReference"/>
        </w:rPr>
        <w:footnoteRef/>
      </w:r>
      <w:r>
        <w:t xml:space="preserve"> </w:t>
      </w:r>
      <w:r w:rsidRPr="0028417C">
        <w:t>Social, Community, Home Care and Disability Services</w:t>
      </w:r>
      <w:r>
        <w:t xml:space="preserve"> (SCHADS).</w:t>
      </w:r>
    </w:p>
  </w:footnote>
  <w:footnote w:id="6">
    <w:p w14:paraId="5945CBBC" w14:textId="11AC7677" w:rsidR="000B695A" w:rsidRPr="005B18DB" w:rsidRDefault="000B695A">
      <w:pPr>
        <w:pStyle w:val="FootnoteText"/>
        <w:rPr>
          <w:lang w:val="en-US"/>
        </w:rPr>
      </w:pPr>
      <w:r>
        <w:rPr>
          <w:rStyle w:val="FootnoteReference"/>
        </w:rPr>
        <w:footnoteRef/>
      </w:r>
      <w:r>
        <w:t xml:space="preserve"> </w:t>
      </w:r>
      <w:r>
        <w:rPr>
          <w:lang w:val="en-US"/>
        </w:rPr>
        <w:t>Questions shown in Appendix B.</w:t>
      </w:r>
    </w:p>
  </w:footnote>
  <w:footnote w:id="7">
    <w:p w14:paraId="7022BBE5" w14:textId="77777777" w:rsidR="000B695A" w:rsidRPr="00AF17E5" w:rsidRDefault="000B695A" w:rsidP="00D42A79">
      <w:pPr>
        <w:pStyle w:val="FootnoteText"/>
        <w:rPr>
          <w:lang w:val="en-US"/>
        </w:rPr>
      </w:pPr>
      <w:r>
        <w:rPr>
          <w:rStyle w:val="FootnoteReference"/>
        </w:rPr>
        <w:footnoteRef/>
      </w:r>
      <w:r>
        <w:t xml:space="preserve"> </w:t>
      </w:r>
      <w:r>
        <w:rPr>
          <w:lang w:val="en-US"/>
        </w:rPr>
        <w:t xml:space="preserve">Provider headcount is used as the weight for Weighted Means, where providers with greater staff have a proportionally higher weight. </w:t>
      </w:r>
    </w:p>
  </w:footnote>
  <w:footnote w:id="8">
    <w:p w14:paraId="3F8F0341" w14:textId="77777777" w:rsidR="000B695A" w:rsidRPr="00117472" w:rsidRDefault="000B695A" w:rsidP="0018654E">
      <w:pPr>
        <w:pStyle w:val="FootnoteText"/>
        <w:rPr>
          <w:lang w:val="en-US"/>
        </w:rPr>
      </w:pPr>
      <w:r>
        <w:rPr>
          <w:rStyle w:val="FootnoteReference"/>
        </w:rPr>
        <w:footnoteRef/>
      </w:r>
      <w:r>
        <w:t xml:space="preserve"> </w:t>
      </w:r>
      <w:r>
        <w:rPr>
          <w:lang w:val="en-US"/>
        </w:rPr>
        <w:t>PDFs</w:t>
      </w:r>
      <w:r w:rsidRPr="00117472">
        <w:rPr>
          <w:lang w:val="en-US"/>
        </w:rPr>
        <w:t xml:space="preserve"> </w:t>
      </w:r>
      <w:r>
        <w:rPr>
          <w:lang w:val="en-US"/>
        </w:rPr>
        <w:t>indicate the relative likelihood that the value of a continuous random variable equals any given point in the sample space</w:t>
      </w:r>
      <w:r w:rsidRPr="00117472">
        <w:rPr>
          <w:lang w:val="en-US"/>
        </w:rPr>
        <w:t>.</w:t>
      </w:r>
      <w:r>
        <w:rPr>
          <w:lang w:val="en-US"/>
        </w:rPr>
        <w:t xml:space="preserve"> PDFs are provided in the report for survey responses that approximate a normal distribution.</w:t>
      </w:r>
    </w:p>
  </w:footnote>
  <w:footnote w:id="9">
    <w:p w14:paraId="2250DFBD" w14:textId="77777777" w:rsidR="000B695A" w:rsidRPr="004D1F63" w:rsidRDefault="000B695A" w:rsidP="003D649A">
      <w:pPr>
        <w:pStyle w:val="FootnoteText"/>
        <w:rPr>
          <w:lang w:val="en-US"/>
        </w:rPr>
      </w:pPr>
      <w:r w:rsidRPr="00012530">
        <w:rPr>
          <w:rStyle w:val="FootnoteReference"/>
        </w:rPr>
        <w:footnoteRef/>
      </w:r>
      <w:r w:rsidRPr="00012530">
        <w:t xml:space="preserve"> </w:t>
      </w:r>
      <w:r w:rsidRPr="00012530">
        <w:rPr>
          <w:lang w:val="en-US"/>
        </w:rPr>
        <w:t>Due to salaries being captured as a proportion of pay bands, with the highest band being open ended, Weighted Means are not accurately calculatable for base salaries</w:t>
      </w:r>
      <w:r>
        <w:rPr>
          <w:lang w:val="en-US"/>
        </w:rPr>
        <w:t xml:space="preserve"> and are excluded</w:t>
      </w:r>
      <w:r w:rsidRPr="00012530">
        <w:rPr>
          <w:lang w:val="en-US"/>
        </w:rPr>
        <w:t>.</w:t>
      </w:r>
    </w:p>
  </w:footnote>
  <w:footnote w:id="10">
    <w:p w14:paraId="2BD79169" w14:textId="1B41E440" w:rsidR="000B695A" w:rsidRPr="00DB66C5" w:rsidRDefault="000B695A">
      <w:pPr>
        <w:pStyle w:val="FootnoteText"/>
        <w:rPr>
          <w:lang w:val="en-US"/>
        </w:rPr>
      </w:pPr>
      <w:r>
        <w:rPr>
          <w:rStyle w:val="FootnoteReference"/>
        </w:rPr>
        <w:footnoteRef/>
      </w:r>
      <w:r>
        <w:t xml:space="preserve"> </w:t>
      </w:r>
      <w:r w:rsidRPr="00737DE8">
        <w:t xml:space="preserve">Given the pay data inputs were categorised into ranges, there is a small difference between the median price and the </w:t>
      </w:r>
      <w:r>
        <w:t>50</w:t>
      </w:r>
      <w:r w:rsidRPr="00DB187C">
        <w:rPr>
          <w:vertAlign w:val="superscript"/>
        </w:rPr>
        <w:t>th</w:t>
      </w:r>
      <w:r>
        <w:t xml:space="preserve"> percentile</w:t>
      </w:r>
      <w:r w:rsidRPr="00737DE8">
        <w:t xml:space="preserve"> price, since a range midpoint calculation was required to arrive at a discrete 50</w:t>
      </w:r>
      <w:r w:rsidRPr="00DB187C">
        <w:rPr>
          <w:vertAlign w:val="superscript"/>
        </w:rPr>
        <w:t>th</w:t>
      </w:r>
      <w:r w:rsidRPr="00737DE8">
        <w:t xml:space="preserve"> percentile value.</w:t>
      </w:r>
    </w:p>
  </w:footnote>
  <w:footnote w:id="11">
    <w:p w14:paraId="41AE5464" w14:textId="4663A269" w:rsidR="000B695A" w:rsidRDefault="000B695A">
      <w:pPr>
        <w:pStyle w:val="FootnoteText"/>
      </w:pPr>
      <w:r>
        <w:rPr>
          <w:rStyle w:val="FootnoteReference"/>
        </w:rPr>
        <w:footnoteRef/>
      </w:r>
      <w:r>
        <w:t xml:space="preserve"> In each of the box plots, the “x” denotes the mean score, while the horizontal line in the box denotes the median score.</w:t>
      </w:r>
    </w:p>
  </w:footnote>
  <w:footnote w:id="12">
    <w:p w14:paraId="535ACD42" w14:textId="54AF8412" w:rsidR="000B695A" w:rsidRDefault="000B695A">
      <w:pPr>
        <w:pStyle w:val="FootnoteText"/>
      </w:pPr>
      <w:r>
        <w:rPr>
          <w:rStyle w:val="FootnoteReference"/>
        </w:rPr>
        <w:footnoteRef/>
      </w:r>
      <w:r>
        <w:t xml:space="preserve"> The boxplot shows the unadjusted distribution of DSW salaries. Using this distribution, the 25</w:t>
      </w:r>
      <w:r w:rsidRPr="001B4EB7">
        <w:rPr>
          <w:vertAlign w:val="superscript"/>
        </w:rPr>
        <w:t>th</w:t>
      </w:r>
      <w:r>
        <w:t xml:space="preserve"> and 50</w:t>
      </w:r>
      <w:r w:rsidRPr="001B4EB7">
        <w:rPr>
          <w:vertAlign w:val="superscript"/>
        </w:rPr>
        <w:t>th</w:t>
      </w:r>
      <w:r>
        <w:t xml:space="preserve"> percentile scores both fell in the same pay bracket. As such, on the chart there is a single line for the 25</w:t>
      </w:r>
      <w:r w:rsidRPr="001B4EB7">
        <w:rPr>
          <w:vertAlign w:val="superscript"/>
        </w:rPr>
        <w:t>th</w:t>
      </w:r>
      <w:r>
        <w:t xml:space="preserve"> and 50</w:t>
      </w:r>
      <w:r w:rsidRPr="001B4EB7">
        <w:rPr>
          <w:vertAlign w:val="superscript"/>
        </w:rPr>
        <w:t>th</w:t>
      </w:r>
      <w:r>
        <w:t xml:space="preserve"> percentiles.</w:t>
      </w:r>
    </w:p>
  </w:footnote>
  <w:footnote w:id="13">
    <w:p w14:paraId="0DC13F39" w14:textId="7CF7D38B" w:rsidR="001B4EB7" w:rsidRDefault="001B4EB7">
      <w:pPr>
        <w:pStyle w:val="FootnoteText"/>
      </w:pPr>
      <w:r>
        <w:rPr>
          <w:rStyle w:val="FootnoteReference"/>
        </w:rPr>
        <w:footnoteRef/>
      </w:r>
      <w:r>
        <w:t xml:space="preserve"> LHS = left hand side; RHS = right hand side.</w:t>
      </w:r>
    </w:p>
  </w:footnote>
  <w:footnote w:id="14">
    <w:p w14:paraId="15AB18A0" w14:textId="6C6A90C9" w:rsidR="000B695A" w:rsidRPr="00DB66C5" w:rsidRDefault="000B695A">
      <w:pPr>
        <w:pStyle w:val="FootnoteText"/>
        <w:rPr>
          <w:lang w:val="en-US"/>
        </w:rPr>
      </w:pPr>
      <w:r>
        <w:rPr>
          <w:rStyle w:val="FootnoteReference"/>
        </w:rPr>
        <w:footnoteRef/>
      </w:r>
      <w:r>
        <w:t xml:space="preserve"> </w:t>
      </w:r>
      <w:r w:rsidRPr="001C3269">
        <w:t xml:space="preserve">As with base pay, given the pay data were categorised into ranges, there is a small difference between the median price and the </w:t>
      </w:r>
      <w:r>
        <w:t>50</w:t>
      </w:r>
      <w:r w:rsidRPr="00DB187C">
        <w:rPr>
          <w:vertAlign w:val="superscript"/>
        </w:rPr>
        <w:t>th</w:t>
      </w:r>
      <w:r>
        <w:t xml:space="preserve"> percentile</w:t>
      </w:r>
      <w:r w:rsidRPr="001C3269">
        <w:t xml:space="preserve"> supervisor price, since a range midpoint calculation was required to arrive at a discrete 50</w:t>
      </w:r>
      <w:r w:rsidRPr="00DB187C">
        <w:rPr>
          <w:vertAlign w:val="superscript"/>
        </w:rPr>
        <w:t>th</w:t>
      </w:r>
      <w:r w:rsidRPr="001C3269">
        <w:t xml:space="preserve"> percentile value.</w:t>
      </w:r>
    </w:p>
  </w:footnote>
  <w:footnote w:id="15">
    <w:p w14:paraId="5EC46AFA" w14:textId="59275EDE" w:rsidR="000B695A" w:rsidRPr="00622206" w:rsidRDefault="000B695A">
      <w:pPr>
        <w:pStyle w:val="FootnoteText"/>
        <w:rPr>
          <w:lang w:val="en-US"/>
        </w:rPr>
      </w:pPr>
      <w:r>
        <w:rPr>
          <w:rStyle w:val="FootnoteReference"/>
        </w:rPr>
        <w:footnoteRef/>
      </w:r>
      <w:r>
        <w:t xml:space="preserve"> </w:t>
      </w:r>
      <w:r>
        <w:rPr>
          <w:lang w:val="en-US"/>
        </w:rPr>
        <w:t xml:space="preserve">The mode is represented by the top of the peak of a normal distribution. In the case of a standard normal distribution the mode also equals the mean and the median. When skew is introduced the mean and median will move in the direction of skew such that mode&lt;median&lt;mean when skew is positive, and vice versa. </w:t>
      </w:r>
    </w:p>
  </w:footnote>
  <w:footnote w:id="16">
    <w:p w14:paraId="2F8E77A8" w14:textId="222B67DE" w:rsidR="000B695A" w:rsidRPr="00F37896" w:rsidRDefault="000B695A">
      <w:pPr>
        <w:pStyle w:val="FootnoteText"/>
        <w:rPr>
          <w:lang w:val="en-US"/>
        </w:rPr>
      </w:pPr>
      <w:r>
        <w:rPr>
          <w:rStyle w:val="FootnoteReference"/>
        </w:rPr>
        <w:footnoteRef/>
      </w:r>
      <w:r>
        <w:t xml:space="preserve"> </w:t>
      </w:r>
      <w:r>
        <w:rPr>
          <w:lang w:val="en-US"/>
        </w:rPr>
        <w:t>Net of incorrect responses.</w:t>
      </w:r>
    </w:p>
  </w:footnote>
  <w:footnote w:id="17">
    <w:p w14:paraId="658BD95D" w14:textId="26D0E78E" w:rsidR="000B695A" w:rsidRDefault="000B695A">
      <w:pPr>
        <w:pStyle w:val="FootnoteText"/>
      </w:pPr>
      <w:r>
        <w:rPr>
          <w:rStyle w:val="FootnoteReference"/>
        </w:rPr>
        <w:footnoteRef/>
      </w:r>
      <w:r>
        <w:t xml:space="preserve"> Organisation headcounts were divided into three categories, with small having 21 or less staff, medium having between 22 and 89 staff and large having 91 or more staff. The categorisations were informed by the survey data sample set.</w:t>
      </w:r>
    </w:p>
  </w:footnote>
  <w:footnote w:id="18">
    <w:p w14:paraId="56634959" w14:textId="54EB334B" w:rsidR="000B695A" w:rsidRPr="00003ABA" w:rsidRDefault="000B695A" w:rsidP="007D6259">
      <w:pPr>
        <w:rPr>
          <w:sz w:val="16"/>
          <w:szCs w:val="16"/>
        </w:rPr>
      </w:pPr>
      <w:r w:rsidRPr="00003ABA">
        <w:rPr>
          <w:rStyle w:val="FootnoteReference"/>
          <w:sz w:val="16"/>
          <w:szCs w:val="16"/>
        </w:rPr>
        <w:footnoteRef/>
      </w:r>
      <w:r w:rsidRPr="00003ABA">
        <w:rPr>
          <w:sz w:val="16"/>
          <w:szCs w:val="16"/>
        </w:rPr>
        <w:t xml:space="preserve"> No observations of long service leave were found to be above 76 hours per year </w:t>
      </w:r>
      <w:r>
        <w:rPr>
          <w:sz w:val="16"/>
          <w:szCs w:val="16"/>
        </w:rPr>
        <w:t xml:space="preserve">thus </w:t>
      </w:r>
      <w:r w:rsidRPr="00003ABA">
        <w:rPr>
          <w:sz w:val="16"/>
          <w:szCs w:val="16"/>
        </w:rPr>
        <w:t>ending the distribution tail beyond this sample point.</w:t>
      </w:r>
    </w:p>
    <w:p w14:paraId="01E45F76" w14:textId="3A01CFC5" w:rsidR="000B695A" w:rsidRPr="007D6259" w:rsidRDefault="000B695A">
      <w:pPr>
        <w:pStyle w:val="FootnoteText"/>
        <w:rPr>
          <w:lang w:val="en-US"/>
        </w:rPr>
      </w:pPr>
    </w:p>
  </w:footnote>
  <w:footnote w:id="19">
    <w:p w14:paraId="753E0A15" w14:textId="4E9E2327" w:rsidR="000B695A" w:rsidRPr="000C0AA4" w:rsidRDefault="000B695A">
      <w:pPr>
        <w:pStyle w:val="FootnoteText"/>
        <w:rPr>
          <w:lang w:val="en-US"/>
        </w:rPr>
      </w:pPr>
      <w:r>
        <w:rPr>
          <w:rStyle w:val="FootnoteReference"/>
        </w:rPr>
        <w:footnoteRef/>
      </w:r>
      <w:r>
        <w:t xml:space="preserve"> </w:t>
      </w:r>
      <w:r>
        <w:rPr>
          <w:lang w:val="en-US"/>
        </w:rPr>
        <w:t>Based on iCare NSW and WorkCover Victoria pooled rates.</w:t>
      </w:r>
    </w:p>
  </w:footnote>
  <w:footnote w:id="20">
    <w:p w14:paraId="514D9494" w14:textId="52EFC823" w:rsidR="00D00057" w:rsidRDefault="00D00057">
      <w:pPr>
        <w:pStyle w:val="FootnoteText"/>
      </w:pPr>
      <w:r>
        <w:rPr>
          <w:rStyle w:val="FootnoteReference"/>
        </w:rPr>
        <w:footnoteRef/>
      </w:r>
      <w:r>
        <w:t xml:space="preserve"> The results in </w:t>
      </w:r>
      <w:r>
        <w:fldChar w:fldCharType="begin"/>
      </w:r>
      <w:r>
        <w:instrText xml:space="preserve"> REF _Ref39763175 \r \h </w:instrText>
      </w:r>
      <w:r>
        <w:fldChar w:fldCharType="separate"/>
      </w:r>
      <w:r w:rsidR="00283637">
        <w:t>Table 3.12</w:t>
      </w:r>
      <w:r>
        <w:fldChar w:fldCharType="end"/>
      </w:r>
      <w:r>
        <w:t xml:space="preserve"> to </w:t>
      </w:r>
      <w:r>
        <w:fldChar w:fldCharType="begin"/>
      </w:r>
      <w:r>
        <w:instrText xml:space="preserve"> REF _Ref40453649 \r \h </w:instrText>
      </w:r>
      <w:r>
        <w:fldChar w:fldCharType="separate"/>
      </w:r>
      <w:r w:rsidR="00283637">
        <w:t>Table 3.15</w:t>
      </w:r>
      <w:r>
        <w:fldChar w:fldCharType="end"/>
      </w:r>
      <w:r>
        <w:t xml:space="preserve"> should be interpreted carefully. For the non-billable components, the 75</w:t>
      </w:r>
      <w:r w:rsidRPr="000A0826">
        <w:rPr>
          <w:vertAlign w:val="superscript"/>
        </w:rPr>
        <w:t>th</w:t>
      </w:r>
      <w:r>
        <w:t xml:space="preserve"> percentile reflects the “better” results, while for total utilisation the 75</w:t>
      </w:r>
      <w:r w:rsidRPr="000A0826">
        <w:rPr>
          <w:vertAlign w:val="superscript"/>
        </w:rPr>
        <w:t>th</w:t>
      </w:r>
      <w:r>
        <w:t xml:space="preserve"> percentile reflects the “worse” results. The opposite case applies for the 25</w:t>
      </w:r>
      <w:r w:rsidRPr="000A0826">
        <w:rPr>
          <w:vertAlign w:val="superscript"/>
        </w:rPr>
        <w:t>th</w:t>
      </w:r>
      <w:r>
        <w:t xml:space="preserve"> percentile.</w:t>
      </w:r>
    </w:p>
  </w:footnote>
  <w:footnote w:id="21">
    <w:p w14:paraId="26172E16" w14:textId="45507BA0" w:rsidR="000B695A" w:rsidRPr="00B922E8" w:rsidRDefault="000B695A">
      <w:pPr>
        <w:pStyle w:val="FootnoteText"/>
        <w:rPr>
          <w:lang w:val="en-US"/>
        </w:rPr>
      </w:pPr>
      <w:r>
        <w:rPr>
          <w:rStyle w:val="FootnoteReference"/>
        </w:rPr>
        <w:footnoteRef/>
      </w:r>
      <w:r>
        <w:t xml:space="preserve"> </w:t>
      </w:r>
      <w:r>
        <w:rPr>
          <w:lang w:val="en-US"/>
        </w:rPr>
        <w:t>Observations that resulted in billable time of less than 50% were filtered as they were indicative of staff not spending the majority of their work time on direct disability support responsibilities.</w:t>
      </w:r>
    </w:p>
  </w:footnote>
  <w:footnote w:id="22">
    <w:p w14:paraId="392F34F6" w14:textId="20068D32" w:rsidR="000B695A" w:rsidRPr="00645C69" w:rsidRDefault="000B695A">
      <w:pPr>
        <w:pStyle w:val="FootnoteText"/>
        <w:rPr>
          <w:lang w:val="en-US"/>
        </w:rPr>
      </w:pPr>
      <w:r>
        <w:rPr>
          <w:rStyle w:val="FootnoteReference"/>
        </w:rPr>
        <w:footnoteRef/>
      </w:r>
      <w:r>
        <w:t xml:space="preserve"> The m</w:t>
      </w:r>
      <w:r>
        <w:rPr>
          <w:lang w:val="en-US"/>
        </w:rPr>
        <w:t>argin was implied and calculated in three steps. First working capital days were calculated, being net current assets divided by revenue, next this was divided by 365 to determine the working capital days proportion of a year, finally this was multiplied by the assumed required rate of return of capital being 8% (as per the NDIA Cost Model). Given the probability of incorrect survey responses, working capital days that resulted in less than zero or greater than a year were filtered.</w:t>
      </w:r>
    </w:p>
  </w:footnote>
  <w:footnote w:id="23">
    <w:p w14:paraId="0E73C410" w14:textId="77777777" w:rsidR="000B695A" w:rsidRDefault="000B695A" w:rsidP="002922F7">
      <w:pPr>
        <w:pStyle w:val="FootnoteText"/>
      </w:pPr>
      <w:r>
        <w:rPr>
          <w:rStyle w:val="FootnoteReference"/>
        </w:rPr>
        <w:footnoteRef/>
      </w:r>
      <w:r>
        <w:t xml:space="preserve"> The staff remuneration variable was created as the weighted sum across the average front line supervisor pay and DSW pay in each organisation. Note that a mid</w:t>
      </w:r>
      <w:r>
        <w:noBreakHyphen/>
        <w:t>point in each salary range was used, with the &gt; $50 category assigned a cut</w:t>
      </w:r>
      <w:r>
        <w:noBreakHyphen/>
        <w:t>off value of $50 (in the absence of any mid</w:t>
      </w:r>
      <w:r>
        <w:noBreakHyphen/>
        <w:t>point in this category).</w:t>
      </w:r>
    </w:p>
  </w:footnote>
  <w:footnote w:id="24">
    <w:p w14:paraId="0A355516" w14:textId="77777777" w:rsidR="000B695A" w:rsidRDefault="000B695A" w:rsidP="002922F7">
      <w:pPr>
        <w:pStyle w:val="FootnoteText"/>
      </w:pPr>
      <w:r>
        <w:rPr>
          <w:rStyle w:val="FootnoteReference"/>
        </w:rPr>
        <w:footnoteRef/>
      </w:r>
      <w:r>
        <w:t xml:space="preserve"> Note: the p</w:t>
      </w:r>
      <w:r>
        <w:noBreakHyphen/>
        <w:t>value is obtained using the standard 5% cut</w:t>
      </w:r>
      <w:r>
        <w:noBreakHyphen/>
        <w:t>off value, divided by 16 (the number of cells in each table).</w:t>
      </w:r>
    </w:p>
  </w:footnote>
  <w:footnote w:id="25">
    <w:p w14:paraId="3B0DD41B" w14:textId="77777777" w:rsidR="000B695A" w:rsidRDefault="000B695A" w:rsidP="002922F7">
      <w:pPr>
        <w:pStyle w:val="FootnoteText"/>
      </w:pPr>
      <w:r>
        <w:rPr>
          <w:rStyle w:val="FootnoteReference"/>
        </w:rPr>
        <w:footnoteRef/>
      </w:r>
      <w:r>
        <w:t xml:space="preserve"> Note that span of control was dropped from the list of explanatory variables, as it was found to be highly colinear with the permanent employment rates. Inclusion of two correlated variables would bias regression results,.</w:t>
      </w:r>
    </w:p>
  </w:footnote>
  <w:footnote w:id="26">
    <w:p w14:paraId="1C8EE29B" w14:textId="77777777" w:rsidR="000B695A" w:rsidRDefault="000B695A" w:rsidP="002922F7">
      <w:pPr>
        <w:pStyle w:val="FootnoteText"/>
      </w:pPr>
      <w:r>
        <w:rPr>
          <w:rStyle w:val="FootnoteReference"/>
        </w:rPr>
        <w:footnoteRef/>
      </w:r>
      <w:r>
        <w:t xml:space="preserve"> Note: for the matrix to invert, there is no coefficient estimate for observations where the explanatory variable is in the first quartile. The coefficient results are interpreted relative to the explanatory variable being in the first quartile.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71156" w14:textId="093BFE7D" w:rsidR="000B695A" w:rsidRDefault="00C10F81" w:rsidP="00474643">
    <w:pPr>
      <w:pStyle w:val="Header"/>
    </w:pPr>
    <w:sdt>
      <w:sdtPr>
        <w:rPr>
          <w:lang w:val="en-US"/>
        </w:rPr>
        <w:alias w:val="Title"/>
        <w:id w:val="122897596"/>
        <w:placeholder>
          <w:docPart w:val="320FB5E9C79748E18DABFD65734C759E"/>
        </w:placeholder>
        <w:dataBinding w:prefixMappings="xmlns:ns0='http://purl.org/dc/elements/1.1/' xmlns:ns1='http://schemas.openxmlformats.org/package/2006/metadata/core-properties' " w:xpath="/ns1:coreProperties[1]/ns0:title[1]" w:storeItemID="{6C3C8BC8-F283-45AE-878A-BAB7291924A1}"/>
        <w:text/>
      </w:sdtPr>
      <w:sdtEndPr/>
      <w:sdtContent>
        <w:r w:rsidR="000B695A">
          <w:rPr>
            <w:lang w:val="en-US"/>
          </w:rPr>
          <w:t>Final report – Temporary Transformation Payment Benchmarking Survey</w:t>
        </w:r>
      </w:sdtContent>
    </w:sdt>
  </w:p>
  <w:p w14:paraId="3240D45A" w14:textId="77777777" w:rsidR="000B695A" w:rsidRPr="00474643" w:rsidRDefault="000B695A" w:rsidP="00474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AA6E5" w14:textId="2CFB7539" w:rsidR="000B695A" w:rsidRPr="000116B0" w:rsidRDefault="00C10F81" w:rsidP="00E33B5F">
    <w:pPr>
      <w:pStyle w:val="Header"/>
    </w:pPr>
    <w:sdt>
      <w:sdtPr>
        <w:alias w:val="Title"/>
        <w:id w:val="-130020643"/>
        <w:dataBinding w:prefixMappings="xmlns:ns0='http://purl.org/dc/elements/1.1/' xmlns:ns1='http://schemas.openxmlformats.org/package/2006/metadata/core-properties' " w:xpath="/ns1:coreProperties[1]/ns0:title[1]" w:storeItemID="{6C3C8BC8-F283-45AE-878A-BAB7291924A1}"/>
        <w:text/>
      </w:sdtPr>
      <w:sdtEndPr/>
      <w:sdtContent>
        <w:r w:rsidR="000B695A">
          <w:t>Final report – Temporary Transformation Payment Benchmarking Survey</w:t>
        </w:r>
      </w:sdtContent>
    </w:sdt>
  </w:p>
  <w:p w14:paraId="25C1A517" w14:textId="77777777" w:rsidR="000B695A" w:rsidRDefault="000B695A" w:rsidP="00176898">
    <w:pPr>
      <w:pStyle w:val="Header"/>
    </w:pPr>
    <w:r>
      <w:rPr>
        <w:noProof/>
        <w:lang w:eastAsia="en-AU"/>
      </w:rPr>
      <w:drawing>
        <wp:anchor distT="0" distB="0" distL="0" distR="0" simplePos="0" relativeHeight="251698176" behindDoc="0" locked="0" layoutInCell="1" allowOverlap="1" wp14:anchorId="02A0BA40" wp14:editId="0B28AFA2">
          <wp:simplePos x="0" y="0"/>
          <wp:positionH relativeFrom="page">
            <wp:align>center</wp:align>
          </wp:positionH>
          <wp:positionV relativeFrom="page">
            <wp:align>center</wp:align>
          </wp:positionV>
          <wp:extent cx="5117465" cy="5400040"/>
          <wp:effectExtent l="0" t="0" r="6985" b="0"/>
          <wp:wrapNone/>
          <wp:docPr id="10" name="Draft" hidden="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7465" cy="5400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0" relativeHeight="251706368" behindDoc="0" locked="0" layoutInCell="1" allowOverlap="1" wp14:anchorId="3E129C27" wp14:editId="32E694F9">
          <wp:simplePos x="0" y="0"/>
          <wp:positionH relativeFrom="margin">
            <wp:posOffset>288290</wp:posOffset>
          </wp:positionH>
          <wp:positionV relativeFrom="page">
            <wp:align>bottom</wp:align>
          </wp:positionV>
          <wp:extent cx="5720400" cy="367200"/>
          <wp:effectExtent l="0" t="0" r="0" b="0"/>
          <wp:wrapNone/>
          <wp:docPr id="11" name="Draft_Text" hidden="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_Text"/>
                  <pic:cNvPicPr>
                    <a:picLocks noChangeAspect="1" noChangeArrowheads="1"/>
                  </pic:cNvPicPr>
                </pic:nvPicPr>
                <pic:blipFill rotWithShape="1">
                  <a:blip r:embed="rId2">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E72D9D" w14:textId="77777777" w:rsidR="000B695A" w:rsidRDefault="000B695A" w:rsidP="00E33B5F">
    <w:pPr>
      <w:pStyle w:val="Header"/>
    </w:pPr>
    <w:r>
      <w:rPr>
        <w:noProof/>
        <w:lang w:eastAsia="en-AU"/>
      </w:rPr>
      <mc:AlternateContent>
        <mc:Choice Requires="wps">
          <w:drawing>
            <wp:anchor distT="0" distB="0" distL="0" distR="0" simplePos="0" relativeHeight="251678720" behindDoc="1" locked="1" layoutInCell="1" allowOverlap="1" wp14:anchorId="168D7312" wp14:editId="52EDD3FF">
              <wp:simplePos x="0" y="0"/>
              <wp:positionH relativeFrom="page">
                <wp:posOffset>0</wp:posOffset>
              </wp:positionH>
              <wp:positionV relativeFrom="page">
                <wp:posOffset>0</wp:posOffset>
              </wp:positionV>
              <wp:extent cx="2880000" cy="770400"/>
              <wp:effectExtent l="0" t="0" r="0" b="10795"/>
              <wp:wrapNone/>
              <wp:docPr id="15" name="Commercial-in-confidence_Hid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1699A9" w14:textId="411303D4" w:rsidR="000B695A" w:rsidRDefault="000B695A" w:rsidP="00E33B5F">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D7312" id="_x0000_t202" coordsize="21600,21600" o:spt="202" path="m,l,21600r21600,l21600,xe">
              <v:stroke joinstyle="miter"/>
              <v:path gradientshapeok="t" o:connecttype="rect"/>
            </v:shapetype>
            <v:shape id="Commercial-in-confidence_Hide" o:spid="_x0000_s1029" type="#_x0000_t202" style="position:absolute;margin-left:0;margin-top:0;width:226.75pt;height:60.6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" filled="f" stroked="f" strokeweight=".5pt">
              <v:textbox inset="1in,0,0,0">
                <w:txbxContent>
                  <w:p w14:paraId="1A1699A9" w14:textId="411303D4" w:rsidR="000B695A" w:rsidRDefault="000B695A" w:rsidP="00E33B5F">
                    <w:pPr>
                      <w:pStyle w:val="Footer"/>
                    </w:pPr>
                  </w:p>
                </w:txbxContent>
              </v:textbox>
              <w10:wrap anchorx="page" anchory="page"/>
              <w10:anchorlock/>
            </v:shape>
          </w:pict>
        </mc:Fallback>
      </mc:AlternateContent>
    </w:r>
  </w:p>
  <w:p w14:paraId="0FCD93BD" w14:textId="77777777" w:rsidR="000B695A" w:rsidRPr="00E33B5F" w:rsidRDefault="000B695A" w:rsidP="00E33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6A322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0BE805CD"/>
    <w:multiLevelType w:val="multilevel"/>
    <w:tmpl w:val="794605D0"/>
    <w:lvl w:ilvl="0">
      <w:start w:val="1"/>
      <w:numFmt w:val="upperLetter"/>
      <w:pStyle w:val="Appendixhead1"/>
      <w:lvlText w:val="Appendix %1"/>
      <w:lvlJc w:val="left"/>
      <w:pPr>
        <w:ind w:left="3856" w:hanging="385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792"/>
      </w:pPr>
      <w:rPr>
        <w:rFonts w:hint="default"/>
      </w:rPr>
    </w:lvl>
    <w:lvl w:ilvl="2">
      <w:start w:val="1"/>
      <w:numFmt w:val="decimal"/>
      <w:pStyle w:val="Appendixhead3"/>
      <w:lvlText w:val="%1.%2.%3."/>
      <w:lvlJc w:val="left"/>
      <w:pPr>
        <w:ind w:left="794" w:hanging="794"/>
      </w:pPr>
      <w:rPr>
        <w:rFonts w:hint="default"/>
      </w:rPr>
    </w:lvl>
    <w:lvl w:ilvl="3">
      <w:start w:val="1"/>
      <w:numFmt w:val="decimal"/>
      <w:lvlText w:val="%1.%2.%3.%4."/>
      <w:lvlJc w:val="left"/>
      <w:pPr>
        <w:ind w:left="794" w:hanging="794"/>
      </w:pPr>
      <w:rPr>
        <w:rFonts w:hint="default"/>
      </w:rPr>
    </w:lvl>
    <w:lvl w:ilvl="4">
      <w:start w:val="1"/>
      <w:numFmt w:val="decimal"/>
      <w:lvlText w:val="%1.%2.%3.%4.%5."/>
      <w:lvlJc w:val="left"/>
      <w:pPr>
        <w:ind w:left="1134" w:hanging="1134"/>
      </w:pPr>
      <w:rPr>
        <w:rFonts w:hint="default"/>
        <w:color w:val="44546A" w:themeColor="text2"/>
        <w:sz w:val="22"/>
      </w:rPr>
    </w:lvl>
    <w:lvl w:ilvl="5">
      <w:start w:val="1"/>
      <w:numFmt w:val="decimal"/>
      <w:lvlText w:val="%1.%2.%3.%4.%5.%6."/>
      <w:lvlJc w:val="left"/>
      <w:pPr>
        <w:ind w:left="1701" w:hanging="1701"/>
      </w:pPr>
      <w:rPr>
        <w:rFonts w:hint="default"/>
      </w:rPr>
    </w:lvl>
    <w:lvl w:ilvl="6">
      <w:start w:val="1"/>
      <w:numFmt w:val="decimal"/>
      <w:lvlRestart w:val="1"/>
      <w:suff w:val="space"/>
      <w:lvlText w:val="Table %1.%7"/>
      <w:lvlJc w:val="left"/>
      <w:pPr>
        <w:ind w:left="0" w:firstLine="0"/>
      </w:pPr>
      <w:rPr>
        <w:rFonts w:hint="default"/>
      </w:rPr>
    </w:lvl>
    <w:lvl w:ilvl="7">
      <w:start w:val="1"/>
      <w:numFmt w:val="decimal"/>
      <w:lvlRestart w:val="1"/>
      <w:suff w:val="space"/>
      <w:lvlText w:val="Chart %1.%8"/>
      <w:lvlJc w:val="left"/>
      <w:pPr>
        <w:ind w:left="0" w:firstLine="0"/>
      </w:pPr>
      <w:rPr>
        <w:rFonts w:hint="default"/>
      </w:rPr>
    </w:lvl>
    <w:lvl w:ilvl="8">
      <w:start w:val="1"/>
      <w:numFmt w:val="decimal"/>
      <w:lvlRestart w:val="1"/>
      <w:suff w:val="nothing"/>
      <w:lvlText w:val="Figure %1.%9"/>
      <w:lvlJc w:val="left"/>
      <w:pPr>
        <w:ind w:left="0" w:firstLine="0"/>
      </w:pPr>
      <w:rPr>
        <w:rFonts w:hint="default"/>
      </w:rPr>
    </w:lvl>
  </w:abstractNum>
  <w:abstractNum w:abstractNumId="6" w15:restartNumberingAfterBreak="0">
    <w:nsid w:val="14E00519"/>
    <w:multiLevelType w:val="hybridMultilevel"/>
    <w:tmpl w:val="6F8A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579747A"/>
    <w:multiLevelType w:val="multilevel"/>
    <w:tmpl w:val="9F3E8D46"/>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space"/>
      <w:lvlText w:val="Table %2"/>
      <w:lvlJc w:val="left"/>
      <w:pPr>
        <w:ind w:left="0" w:firstLine="0"/>
      </w:pPr>
      <w:rPr>
        <w:rFonts w:hint="default"/>
      </w:rPr>
    </w:lvl>
    <w:lvl w:ilvl="2">
      <w:start w:val="1"/>
      <w:numFmt w:val="lowerRoman"/>
      <w:lvlRestart w:val="0"/>
      <w:pStyle w:val="ExecChartCaption"/>
      <w:suff w:val="nothing"/>
      <w:lvlText w:val="Chart %3"/>
      <w:lvlJc w:val="left"/>
      <w:pPr>
        <w:ind w:left="0"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8"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9" w15:restartNumberingAfterBreak="0">
    <w:nsid w:val="204B0C08"/>
    <w:multiLevelType w:val="hybridMultilevel"/>
    <w:tmpl w:val="66F8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11" w15:restartNumberingAfterBreak="0">
    <w:nsid w:val="3FAD01D2"/>
    <w:multiLevelType w:val="multilevel"/>
    <w:tmpl w:val="9836E3E0"/>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247" w:hanging="1247"/>
      </w:pPr>
      <w:rPr>
        <w:rFonts w:hint="default"/>
      </w:rPr>
    </w:lvl>
    <w:lvl w:ilvl="6">
      <w:start w:val="1"/>
      <w:numFmt w:val="decimal"/>
      <w:lvlRestart w:val="1"/>
      <w:pStyle w:val="CaptionTable"/>
      <w:suff w:val="space"/>
      <w:lvlText w:val="Table %1.%7"/>
      <w:lvlJc w:val="left"/>
      <w:pPr>
        <w:ind w:left="142" w:firstLine="0"/>
      </w:pPr>
      <w:rPr>
        <w:rFonts w:hint="default"/>
      </w:rPr>
    </w:lvl>
    <w:lvl w:ilvl="7">
      <w:start w:val="1"/>
      <w:numFmt w:val="decimal"/>
      <w:lvlRestart w:val="1"/>
      <w:pStyle w:val="CaptionChart"/>
      <w:suff w:val="space"/>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12" w15:restartNumberingAfterBreak="0">
    <w:nsid w:val="405F4842"/>
    <w:multiLevelType w:val="multilevel"/>
    <w:tmpl w:val="34286B24"/>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3" w15:restartNumberingAfterBreak="0">
    <w:nsid w:val="451578A7"/>
    <w:multiLevelType w:val="multilevel"/>
    <w:tmpl w:val="F2E62B14"/>
    <w:lvl w:ilvl="0">
      <w:start w:val="1"/>
      <w:numFmt w:val="bullet"/>
      <w:pStyle w:val="List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14"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C354A19"/>
    <w:multiLevelType w:val="hybridMultilevel"/>
    <w:tmpl w:val="C2CCC4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71E73F9"/>
    <w:multiLevelType w:val="hybridMultilevel"/>
    <w:tmpl w:val="C2CCC4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F1760"/>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21" w15:restartNumberingAfterBreak="0">
    <w:nsid w:val="62F46508"/>
    <w:multiLevelType w:val="multilevel"/>
    <w:tmpl w:val="ABF0BB72"/>
    <w:lvl w:ilvl="0">
      <w:start w:val="1"/>
      <w:numFmt w:val="bullet"/>
      <w:pStyle w:val="ListBullet2"/>
      <w:lvlText w:val="–"/>
      <w:lvlJc w:val="left"/>
      <w:pPr>
        <w:ind w:left="680" w:hanging="340"/>
      </w:pPr>
      <w:rPr>
        <w:rFonts w:ascii="Verdana" w:hAnsi="Verdana"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num w:numId="1">
    <w:abstractNumId w:val="10"/>
  </w:num>
  <w:num w:numId="2">
    <w:abstractNumId w:val="11"/>
  </w:num>
  <w:num w:numId="3">
    <w:abstractNumId w:val="3"/>
  </w:num>
  <w:num w:numId="4">
    <w:abstractNumId w:val="2"/>
  </w:num>
  <w:num w:numId="5">
    <w:abstractNumId w:val="1"/>
  </w:num>
  <w:num w:numId="6">
    <w:abstractNumId w:val="0"/>
  </w:num>
  <w:num w:numId="7">
    <w:abstractNumId w:val="15"/>
  </w:num>
  <w:num w:numId="8">
    <w:abstractNumId w:val="14"/>
  </w:num>
  <w:num w:numId="9">
    <w:abstractNumId w:val="20"/>
  </w:num>
  <w:num w:numId="10">
    <w:abstractNumId w:val="7"/>
  </w:num>
  <w:num w:numId="11">
    <w:abstractNumId w:val="5"/>
  </w:num>
  <w:num w:numId="12">
    <w:abstractNumId w:val="4"/>
  </w:num>
  <w:num w:numId="13">
    <w:abstractNumId w:val="13"/>
  </w:num>
  <w:num w:numId="14">
    <w:abstractNumId w:val="13"/>
  </w:num>
  <w:num w:numId="15">
    <w:abstractNumId w:val="21"/>
  </w:num>
  <w:num w:numId="16">
    <w:abstractNumId w:val="8"/>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6"/>
  </w:num>
  <w:num w:numId="42">
    <w:abstractNumId w:val="18"/>
  </w:num>
  <w:num w:numId="43">
    <w:abstractNumId w:val="6"/>
  </w:num>
  <w:num w:numId="44">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da-DK"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0AB"/>
    <w:rsid w:val="000005FE"/>
    <w:rsid w:val="0000394C"/>
    <w:rsid w:val="00003ABA"/>
    <w:rsid w:val="00003E4E"/>
    <w:rsid w:val="00004CB9"/>
    <w:rsid w:val="000063C9"/>
    <w:rsid w:val="000116B0"/>
    <w:rsid w:val="00012069"/>
    <w:rsid w:val="00012530"/>
    <w:rsid w:val="000125F3"/>
    <w:rsid w:val="000131A3"/>
    <w:rsid w:val="00013EFD"/>
    <w:rsid w:val="00013F8F"/>
    <w:rsid w:val="00014B89"/>
    <w:rsid w:val="000152DF"/>
    <w:rsid w:val="00016EF6"/>
    <w:rsid w:val="000173B3"/>
    <w:rsid w:val="00020297"/>
    <w:rsid w:val="00020D44"/>
    <w:rsid w:val="00021115"/>
    <w:rsid w:val="00021A39"/>
    <w:rsid w:val="00022BA7"/>
    <w:rsid w:val="00024F0C"/>
    <w:rsid w:val="000258ED"/>
    <w:rsid w:val="00025E7D"/>
    <w:rsid w:val="00027D0C"/>
    <w:rsid w:val="00027F61"/>
    <w:rsid w:val="00031008"/>
    <w:rsid w:val="00031F08"/>
    <w:rsid w:val="0003284D"/>
    <w:rsid w:val="00033C51"/>
    <w:rsid w:val="00035DBA"/>
    <w:rsid w:val="00037C17"/>
    <w:rsid w:val="00041DB4"/>
    <w:rsid w:val="000429AC"/>
    <w:rsid w:val="00042B6A"/>
    <w:rsid w:val="00042B99"/>
    <w:rsid w:val="00045ECD"/>
    <w:rsid w:val="0004747F"/>
    <w:rsid w:val="000506E6"/>
    <w:rsid w:val="000516C4"/>
    <w:rsid w:val="000517C0"/>
    <w:rsid w:val="000518DB"/>
    <w:rsid w:val="000528DF"/>
    <w:rsid w:val="00055730"/>
    <w:rsid w:val="00056B54"/>
    <w:rsid w:val="000579C4"/>
    <w:rsid w:val="00057C98"/>
    <w:rsid w:val="000637A6"/>
    <w:rsid w:val="00065D26"/>
    <w:rsid w:val="00066BBA"/>
    <w:rsid w:val="00070DC5"/>
    <w:rsid w:val="00071509"/>
    <w:rsid w:val="00073FAB"/>
    <w:rsid w:val="0007575B"/>
    <w:rsid w:val="00076294"/>
    <w:rsid w:val="00080EC7"/>
    <w:rsid w:val="000839E7"/>
    <w:rsid w:val="00083DD5"/>
    <w:rsid w:val="00086A21"/>
    <w:rsid w:val="00087615"/>
    <w:rsid w:val="00092341"/>
    <w:rsid w:val="00092708"/>
    <w:rsid w:val="00093154"/>
    <w:rsid w:val="0009458D"/>
    <w:rsid w:val="000961D8"/>
    <w:rsid w:val="000A0317"/>
    <w:rsid w:val="000A0826"/>
    <w:rsid w:val="000A0FC5"/>
    <w:rsid w:val="000A32A8"/>
    <w:rsid w:val="000A59FA"/>
    <w:rsid w:val="000A7818"/>
    <w:rsid w:val="000A7F05"/>
    <w:rsid w:val="000B136C"/>
    <w:rsid w:val="000B2E3C"/>
    <w:rsid w:val="000B39A6"/>
    <w:rsid w:val="000B64D4"/>
    <w:rsid w:val="000B695A"/>
    <w:rsid w:val="000B6C05"/>
    <w:rsid w:val="000B7C0A"/>
    <w:rsid w:val="000C0668"/>
    <w:rsid w:val="000C0AA4"/>
    <w:rsid w:val="000C0CB5"/>
    <w:rsid w:val="000C20BD"/>
    <w:rsid w:val="000C2B24"/>
    <w:rsid w:val="000C375A"/>
    <w:rsid w:val="000C4452"/>
    <w:rsid w:val="000C5EA5"/>
    <w:rsid w:val="000C773F"/>
    <w:rsid w:val="000D0674"/>
    <w:rsid w:val="000D227E"/>
    <w:rsid w:val="000D2CD9"/>
    <w:rsid w:val="000D2DE0"/>
    <w:rsid w:val="000D4DA3"/>
    <w:rsid w:val="000D53C2"/>
    <w:rsid w:val="000D5929"/>
    <w:rsid w:val="000D7F73"/>
    <w:rsid w:val="000E0312"/>
    <w:rsid w:val="000E1D2C"/>
    <w:rsid w:val="000E2419"/>
    <w:rsid w:val="000E2C94"/>
    <w:rsid w:val="000E3A77"/>
    <w:rsid w:val="000E45E9"/>
    <w:rsid w:val="000E4AA4"/>
    <w:rsid w:val="000E4FAA"/>
    <w:rsid w:val="000F05E4"/>
    <w:rsid w:val="000F06F6"/>
    <w:rsid w:val="000F55EA"/>
    <w:rsid w:val="000F5C22"/>
    <w:rsid w:val="000F5EDD"/>
    <w:rsid w:val="000F7FD9"/>
    <w:rsid w:val="0010113D"/>
    <w:rsid w:val="001018AB"/>
    <w:rsid w:val="00101AB8"/>
    <w:rsid w:val="00103691"/>
    <w:rsid w:val="0010462B"/>
    <w:rsid w:val="0010484D"/>
    <w:rsid w:val="00105163"/>
    <w:rsid w:val="001054A4"/>
    <w:rsid w:val="00105DD5"/>
    <w:rsid w:val="0010724C"/>
    <w:rsid w:val="00107526"/>
    <w:rsid w:val="00110C92"/>
    <w:rsid w:val="001116A9"/>
    <w:rsid w:val="00112BB6"/>
    <w:rsid w:val="00112D74"/>
    <w:rsid w:val="00112EEA"/>
    <w:rsid w:val="00113404"/>
    <w:rsid w:val="00113B50"/>
    <w:rsid w:val="0011439F"/>
    <w:rsid w:val="00115227"/>
    <w:rsid w:val="001160C5"/>
    <w:rsid w:val="00116217"/>
    <w:rsid w:val="00117472"/>
    <w:rsid w:val="00117C44"/>
    <w:rsid w:val="00123AD3"/>
    <w:rsid w:val="00124B34"/>
    <w:rsid w:val="001265CF"/>
    <w:rsid w:val="00130191"/>
    <w:rsid w:val="0013158F"/>
    <w:rsid w:val="00131D7D"/>
    <w:rsid w:val="00133E73"/>
    <w:rsid w:val="0013418D"/>
    <w:rsid w:val="0013581E"/>
    <w:rsid w:val="00136294"/>
    <w:rsid w:val="0013686B"/>
    <w:rsid w:val="00137F51"/>
    <w:rsid w:val="001417EE"/>
    <w:rsid w:val="001435E5"/>
    <w:rsid w:val="0014429F"/>
    <w:rsid w:val="001446D2"/>
    <w:rsid w:val="001455DF"/>
    <w:rsid w:val="001457BC"/>
    <w:rsid w:val="00151E0F"/>
    <w:rsid w:val="001531F0"/>
    <w:rsid w:val="00154174"/>
    <w:rsid w:val="0015475D"/>
    <w:rsid w:val="00155224"/>
    <w:rsid w:val="0015606F"/>
    <w:rsid w:val="00156844"/>
    <w:rsid w:val="00157BD7"/>
    <w:rsid w:val="00161814"/>
    <w:rsid w:val="00162017"/>
    <w:rsid w:val="00163881"/>
    <w:rsid w:val="00163D2C"/>
    <w:rsid w:val="00163EF5"/>
    <w:rsid w:val="0016516C"/>
    <w:rsid w:val="001659E4"/>
    <w:rsid w:val="00165AB4"/>
    <w:rsid w:val="001708B9"/>
    <w:rsid w:val="0017280D"/>
    <w:rsid w:val="00172A2D"/>
    <w:rsid w:val="001757CE"/>
    <w:rsid w:val="00176898"/>
    <w:rsid w:val="00177528"/>
    <w:rsid w:val="00180BDA"/>
    <w:rsid w:val="00180F40"/>
    <w:rsid w:val="0018108F"/>
    <w:rsid w:val="0018109B"/>
    <w:rsid w:val="00181EAC"/>
    <w:rsid w:val="001836A2"/>
    <w:rsid w:val="00185FED"/>
    <w:rsid w:val="0018654E"/>
    <w:rsid w:val="00186FC8"/>
    <w:rsid w:val="00187760"/>
    <w:rsid w:val="0019167C"/>
    <w:rsid w:val="00196B4D"/>
    <w:rsid w:val="001975EF"/>
    <w:rsid w:val="0019765A"/>
    <w:rsid w:val="001A0002"/>
    <w:rsid w:val="001A3B1F"/>
    <w:rsid w:val="001A4093"/>
    <w:rsid w:val="001A45CF"/>
    <w:rsid w:val="001A74CC"/>
    <w:rsid w:val="001B0724"/>
    <w:rsid w:val="001B0F94"/>
    <w:rsid w:val="001B1DB7"/>
    <w:rsid w:val="001B4781"/>
    <w:rsid w:val="001B4EB7"/>
    <w:rsid w:val="001B5C19"/>
    <w:rsid w:val="001B5E4C"/>
    <w:rsid w:val="001B74EB"/>
    <w:rsid w:val="001C07DD"/>
    <w:rsid w:val="001C0B7D"/>
    <w:rsid w:val="001C3269"/>
    <w:rsid w:val="001C49B1"/>
    <w:rsid w:val="001C5F82"/>
    <w:rsid w:val="001C6DC2"/>
    <w:rsid w:val="001D03A7"/>
    <w:rsid w:val="001D0641"/>
    <w:rsid w:val="001D206E"/>
    <w:rsid w:val="001D2601"/>
    <w:rsid w:val="001D3B36"/>
    <w:rsid w:val="001D3FD6"/>
    <w:rsid w:val="001D419E"/>
    <w:rsid w:val="001D5050"/>
    <w:rsid w:val="001D63C2"/>
    <w:rsid w:val="001D6CA3"/>
    <w:rsid w:val="001D7923"/>
    <w:rsid w:val="001E016B"/>
    <w:rsid w:val="001E349B"/>
    <w:rsid w:val="001E5E15"/>
    <w:rsid w:val="001E7D3E"/>
    <w:rsid w:val="001F0793"/>
    <w:rsid w:val="001F1A78"/>
    <w:rsid w:val="001F3235"/>
    <w:rsid w:val="001F38BE"/>
    <w:rsid w:val="001F4B59"/>
    <w:rsid w:val="001F61B8"/>
    <w:rsid w:val="001F6839"/>
    <w:rsid w:val="002000EF"/>
    <w:rsid w:val="0020269C"/>
    <w:rsid w:val="0020333E"/>
    <w:rsid w:val="002034B9"/>
    <w:rsid w:val="00204CBA"/>
    <w:rsid w:val="00205930"/>
    <w:rsid w:val="00206BB8"/>
    <w:rsid w:val="00211752"/>
    <w:rsid w:val="00212852"/>
    <w:rsid w:val="00213CC2"/>
    <w:rsid w:val="00215C20"/>
    <w:rsid w:val="00216CF6"/>
    <w:rsid w:val="00220CCF"/>
    <w:rsid w:val="0022237F"/>
    <w:rsid w:val="0022418F"/>
    <w:rsid w:val="00224574"/>
    <w:rsid w:val="002254A3"/>
    <w:rsid w:val="002268CC"/>
    <w:rsid w:val="002270F8"/>
    <w:rsid w:val="00227D68"/>
    <w:rsid w:val="00227F1F"/>
    <w:rsid w:val="00231B44"/>
    <w:rsid w:val="00232866"/>
    <w:rsid w:val="0023379D"/>
    <w:rsid w:val="00234019"/>
    <w:rsid w:val="002340B6"/>
    <w:rsid w:val="00234BA2"/>
    <w:rsid w:val="00235227"/>
    <w:rsid w:val="00235582"/>
    <w:rsid w:val="002370AB"/>
    <w:rsid w:val="00237872"/>
    <w:rsid w:val="002407BA"/>
    <w:rsid w:val="00240DEF"/>
    <w:rsid w:val="002411F0"/>
    <w:rsid w:val="002415DA"/>
    <w:rsid w:val="002428B4"/>
    <w:rsid w:val="00243255"/>
    <w:rsid w:val="00243688"/>
    <w:rsid w:val="00244010"/>
    <w:rsid w:val="002453ED"/>
    <w:rsid w:val="00245F18"/>
    <w:rsid w:val="002474B0"/>
    <w:rsid w:val="00251425"/>
    <w:rsid w:val="00251D7A"/>
    <w:rsid w:val="00252F9A"/>
    <w:rsid w:val="00253D2A"/>
    <w:rsid w:val="002546B7"/>
    <w:rsid w:val="002552D9"/>
    <w:rsid w:val="002557A7"/>
    <w:rsid w:val="00255D53"/>
    <w:rsid w:val="00256C6F"/>
    <w:rsid w:val="00256FD0"/>
    <w:rsid w:val="00260634"/>
    <w:rsid w:val="00260A20"/>
    <w:rsid w:val="00260CDE"/>
    <w:rsid w:val="00263713"/>
    <w:rsid w:val="0026487D"/>
    <w:rsid w:val="00264D1F"/>
    <w:rsid w:val="00265D8D"/>
    <w:rsid w:val="00271D10"/>
    <w:rsid w:val="00272F58"/>
    <w:rsid w:val="00274DD9"/>
    <w:rsid w:val="002757B4"/>
    <w:rsid w:val="00275D3E"/>
    <w:rsid w:val="002768E8"/>
    <w:rsid w:val="0028078A"/>
    <w:rsid w:val="00281E84"/>
    <w:rsid w:val="00283637"/>
    <w:rsid w:val="0028417C"/>
    <w:rsid w:val="002861D5"/>
    <w:rsid w:val="0028779B"/>
    <w:rsid w:val="002922F7"/>
    <w:rsid w:val="002930B2"/>
    <w:rsid w:val="00293514"/>
    <w:rsid w:val="00293F23"/>
    <w:rsid w:val="002945A8"/>
    <w:rsid w:val="00294937"/>
    <w:rsid w:val="002949EB"/>
    <w:rsid w:val="00294BBA"/>
    <w:rsid w:val="00296F29"/>
    <w:rsid w:val="00297214"/>
    <w:rsid w:val="00297A67"/>
    <w:rsid w:val="002A0D83"/>
    <w:rsid w:val="002A32B3"/>
    <w:rsid w:val="002A471A"/>
    <w:rsid w:val="002A6D26"/>
    <w:rsid w:val="002B2376"/>
    <w:rsid w:val="002B37E9"/>
    <w:rsid w:val="002B4054"/>
    <w:rsid w:val="002B4164"/>
    <w:rsid w:val="002B41AD"/>
    <w:rsid w:val="002B47FC"/>
    <w:rsid w:val="002B49AE"/>
    <w:rsid w:val="002B4D02"/>
    <w:rsid w:val="002B6D2E"/>
    <w:rsid w:val="002B745D"/>
    <w:rsid w:val="002C0733"/>
    <w:rsid w:val="002C1140"/>
    <w:rsid w:val="002C15DB"/>
    <w:rsid w:val="002C5FEA"/>
    <w:rsid w:val="002C690A"/>
    <w:rsid w:val="002C6CD7"/>
    <w:rsid w:val="002C6E4D"/>
    <w:rsid w:val="002C6F50"/>
    <w:rsid w:val="002C7E6E"/>
    <w:rsid w:val="002D0055"/>
    <w:rsid w:val="002D0804"/>
    <w:rsid w:val="002D34EC"/>
    <w:rsid w:val="002D41F7"/>
    <w:rsid w:val="002D7121"/>
    <w:rsid w:val="002E022C"/>
    <w:rsid w:val="002E19EB"/>
    <w:rsid w:val="002E1C00"/>
    <w:rsid w:val="002E26F9"/>
    <w:rsid w:val="002E2DA4"/>
    <w:rsid w:val="002E3633"/>
    <w:rsid w:val="002E5AFE"/>
    <w:rsid w:val="002E5D35"/>
    <w:rsid w:val="002E67BC"/>
    <w:rsid w:val="002E6C0D"/>
    <w:rsid w:val="002E7099"/>
    <w:rsid w:val="002F19A1"/>
    <w:rsid w:val="002F2771"/>
    <w:rsid w:val="002F429A"/>
    <w:rsid w:val="002F5462"/>
    <w:rsid w:val="002F7406"/>
    <w:rsid w:val="00300AC6"/>
    <w:rsid w:val="00300C8C"/>
    <w:rsid w:val="00301444"/>
    <w:rsid w:val="003029FA"/>
    <w:rsid w:val="00303210"/>
    <w:rsid w:val="003033EC"/>
    <w:rsid w:val="00304415"/>
    <w:rsid w:val="00304E4E"/>
    <w:rsid w:val="00305DBC"/>
    <w:rsid w:val="0030610B"/>
    <w:rsid w:val="003112EF"/>
    <w:rsid w:val="00311311"/>
    <w:rsid w:val="00311552"/>
    <w:rsid w:val="003121C1"/>
    <w:rsid w:val="00313AB9"/>
    <w:rsid w:val="0031432E"/>
    <w:rsid w:val="00315C25"/>
    <w:rsid w:val="0032373B"/>
    <w:rsid w:val="00325054"/>
    <w:rsid w:val="003253DE"/>
    <w:rsid w:val="003261E6"/>
    <w:rsid w:val="00326510"/>
    <w:rsid w:val="00330962"/>
    <w:rsid w:val="00330B06"/>
    <w:rsid w:val="00331344"/>
    <w:rsid w:val="00331D1F"/>
    <w:rsid w:val="00334C69"/>
    <w:rsid w:val="003352EA"/>
    <w:rsid w:val="003360AE"/>
    <w:rsid w:val="003361DE"/>
    <w:rsid w:val="00337680"/>
    <w:rsid w:val="003376ED"/>
    <w:rsid w:val="00340759"/>
    <w:rsid w:val="003417E7"/>
    <w:rsid w:val="00343F35"/>
    <w:rsid w:val="00345C77"/>
    <w:rsid w:val="00356787"/>
    <w:rsid w:val="00357E4F"/>
    <w:rsid w:val="0036159E"/>
    <w:rsid w:val="00363ABD"/>
    <w:rsid w:val="00363D39"/>
    <w:rsid w:val="003663DA"/>
    <w:rsid w:val="00366B13"/>
    <w:rsid w:val="00367F92"/>
    <w:rsid w:val="00372238"/>
    <w:rsid w:val="00375EB8"/>
    <w:rsid w:val="00376317"/>
    <w:rsid w:val="00377AE4"/>
    <w:rsid w:val="00381B99"/>
    <w:rsid w:val="00383975"/>
    <w:rsid w:val="003863C7"/>
    <w:rsid w:val="00386486"/>
    <w:rsid w:val="00390C50"/>
    <w:rsid w:val="0039108E"/>
    <w:rsid w:val="0039181B"/>
    <w:rsid w:val="00391C70"/>
    <w:rsid w:val="003923FD"/>
    <w:rsid w:val="00393440"/>
    <w:rsid w:val="003964C6"/>
    <w:rsid w:val="003A1E01"/>
    <w:rsid w:val="003A494E"/>
    <w:rsid w:val="003A7359"/>
    <w:rsid w:val="003B10B2"/>
    <w:rsid w:val="003B15BC"/>
    <w:rsid w:val="003B1949"/>
    <w:rsid w:val="003B23B4"/>
    <w:rsid w:val="003B3379"/>
    <w:rsid w:val="003B3C47"/>
    <w:rsid w:val="003B3F96"/>
    <w:rsid w:val="003B7E00"/>
    <w:rsid w:val="003C12AF"/>
    <w:rsid w:val="003C1AA1"/>
    <w:rsid w:val="003C1BB4"/>
    <w:rsid w:val="003C29AF"/>
    <w:rsid w:val="003C4BE4"/>
    <w:rsid w:val="003C4DE4"/>
    <w:rsid w:val="003C5699"/>
    <w:rsid w:val="003C702E"/>
    <w:rsid w:val="003D1A80"/>
    <w:rsid w:val="003D21DC"/>
    <w:rsid w:val="003D353E"/>
    <w:rsid w:val="003D368F"/>
    <w:rsid w:val="003D649A"/>
    <w:rsid w:val="003D690B"/>
    <w:rsid w:val="003D75C0"/>
    <w:rsid w:val="003D79B1"/>
    <w:rsid w:val="003E138D"/>
    <w:rsid w:val="003E1820"/>
    <w:rsid w:val="003E49BA"/>
    <w:rsid w:val="003E5C27"/>
    <w:rsid w:val="003F0ADC"/>
    <w:rsid w:val="003F110A"/>
    <w:rsid w:val="003F2224"/>
    <w:rsid w:val="003F2B89"/>
    <w:rsid w:val="003F6894"/>
    <w:rsid w:val="003F6FF0"/>
    <w:rsid w:val="003F7332"/>
    <w:rsid w:val="003F741B"/>
    <w:rsid w:val="00400621"/>
    <w:rsid w:val="00402D02"/>
    <w:rsid w:val="004030B6"/>
    <w:rsid w:val="0040409C"/>
    <w:rsid w:val="00404297"/>
    <w:rsid w:val="004051B8"/>
    <w:rsid w:val="004052BC"/>
    <w:rsid w:val="004066C3"/>
    <w:rsid w:val="00412EA0"/>
    <w:rsid w:val="00415C77"/>
    <w:rsid w:val="00417D85"/>
    <w:rsid w:val="0042002C"/>
    <w:rsid w:val="004213EA"/>
    <w:rsid w:val="00422341"/>
    <w:rsid w:val="004314E1"/>
    <w:rsid w:val="00432002"/>
    <w:rsid w:val="00434E68"/>
    <w:rsid w:val="00436E4A"/>
    <w:rsid w:val="00440582"/>
    <w:rsid w:val="0044117C"/>
    <w:rsid w:val="00441DE3"/>
    <w:rsid w:val="004427DE"/>
    <w:rsid w:val="00443F0D"/>
    <w:rsid w:val="00445298"/>
    <w:rsid w:val="0044558B"/>
    <w:rsid w:val="00446242"/>
    <w:rsid w:val="0045066E"/>
    <w:rsid w:val="004509E3"/>
    <w:rsid w:val="00450A12"/>
    <w:rsid w:val="00451AD9"/>
    <w:rsid w:val="004527C5"/>
    <w:rsid w:val="00452BA1"/>
    <w:rsid w:val="00452BD2"/>
    <w:rsid w:val="00452F12"/>
    <w:rsid w:val="00455512"/>
    <w:rsid w:val="004565B5"/>
    <w:rsid w:val="00457938"/>
    <w:rsid w:val="00457A69"/>
    <w:rsid w:val="00457FCA"/>
    <w:rsid w:val="00461105"/>
    <w:rsid w:val="00461322"/>
    <w:rsid w:val="00462B7B"/>
    <w:rsid w:val="00464032"/>
    <w:rsid w:val="00464FD2"/>
    <w:rsid w:val="00465F79"/>
    <w:rsid w:val="00466DCC"/>
    <w:rsid w:val="00470E7F"/>
    <w:rsid w:val="00471810"/>
    <w:rsid w:val="004724FD"/>
    <w:rsid w:val="00473614"/>
    <w:rsid w:val="0047361E"/>
    <w:rsid w:val="00474643"/>
    <w:rsid w:val="00474865"/>
    <w:rsid w:val="004804E6"/>
    <w:rsid w:val="00481934"/>
    <w:rsid w:val="00481A77"/>
    <w:rsid w:val="00482102"/>
    <w:rsid w:val="004843D6"/>
    <w:rsid w:val="0048496B"/>
    <w:rsid w:val="00485965"/>
    <w:rsid w:val="00485B99"/>
    <w:rsid w:val="00485C27"/>
    <w:rsid w:val="004860A3"/>
    <w:rsid w:val="00486736"/>
    <w:rsid w:val="004879CD"/>
    <w:rsid w:val="004909D7"/>
    <w:rsid w:val="004919BB"/>
    <w:rsid w:val="00492028"/>
    <w:rsid w:val="00493AF9"/>
    <w:rsid w:val="00494075"/>
    <w:rsid w:val="0049492A"/>
    <w:rsid w:val="00494D2A"/>
    <w:rsid w:val="00494EC9"/>
    <w:rsid w:val="0049560C"/>
    <w:rsid w:val="0049782B"/>
    <w:rsid w:val="00497E7C"/>
    <w:rsid w:val="004A0742"/>
    <w:rsid w:val="004A0D54"/>
    <w:rsid w:val="004A0DCC"/>
    <w:rsid w:val="004A20E9"/>
    <w:rsid w:val="004A4474"/>
    <w:rsid w:val="004A484F"/>
    <w:rsid w:val="004A7262"/>
    <w:rsid w:val="004B0012"/>
    <w:rsid w:val="004B0BA8"/>
    <w:rsid w:val="004B2360"/>
    <w:rsid w:val="004B2624"/>
    <w:rsid w:val="004B3DEC"/>
    <w:rsid w:val="004B45A0"/>
    <w:rsid w:val="004B4D01"/>
    <w:rsid w:val="004B6258"/>
    <w:rsid w:val="004B7162"/>
    <w:rsid w:val="004B7FED"/>
    <w:rsid w:val="004C1520"/>
    <w:rsid w:val="004C2616"/>
    <w:rsid w:val="004C2AC4"/>
    <w:rsid w:val="004C35FB"/>
    <w:rsid w:val="004C5872"/>
    <w:rsid w:val="004C7DDB"/>
    <w:rsid w:val="004D1416"/>
    <w:rsid w:val="004D159E"/>
    <w:rsid w:val="004D1F57"/>
    <w:rsid w:val="004D1F63"/>
    <w:rsid w:val="004D21C7"/>
    <w:rsid w:val="004D49FC"/>
    <w:rsid w:val="004D6E06"/>
    <w:rsid w:val="004E2131"/>
    <w:rsid w:val="004E4DE3"/>
    <w:rsid w:val="004E5B39"/>
    <w:rsid w:val="004E637E"/>
    <w:rsid w:val="004E66FF"/>
    <w:rsid w:val="004F0836"/>
    <w:rsid w:val="004F0CBE"/>
    <w:rsid w:val="004F125E"/>
    <w:rsid w:val="004F47B4"/>
    <w:rsid w:val="004F4A4B"/>
    <w:rsid w:val="004F7846"/>
    <w:rsid w:val="0050043B"/>
    <w:rsid w:val="005004C0"/>
    <w:rsid w:val="00500DBC"/>
    <w:rsid w:val="00501CD8"/>
    <w:rsid w:val="00501EFF"/>
    <w:rsid w:val="00502BD7"/>
    <w:rsid w:val="005036DD"/>
    <w:rsid w:val="005047B7"/>
    <w:rsid w:val="00506519"/>
    <w:rsid w:val="005066CC"/>
    <w:rsid w:val="0050685A"/>
    <w:rsid w:val="005114C5"/>
    <w:rsid w:val="00511E15"/>
    <w:rsid w:val="00512FED"/>
    <w:rsid w:val="00514098"/>
    <w:rsid w:val="005148BE"/>
    <w:rsid w:val="00514EB7"/>
    <w:rsid w:val="00515E88"/>
    <w:rsid w:val="005221BB"/>
    <w:rsid w:val="005248B7"/>
    <w:rsid w:val="00526863"/>
    <w:rsid w:val="00526D31"/>
    <w:rsid w:val="005270F9"/>
    <w:rsid w:val="00527E03"/>
    <w:rsid w:val="00527F45"/>
    <w:rsid w:val="00531751"/>
    <w:rsid w:val="0053220B"/>
    <w:rsid w:val="0053478A"/>
    <w:rsid w:val="0053512A"/>
    <w:rsid w:val="00536AB8"/>
    <w:rsid w:val="00536C56"/>
    <w:rsid w:val="00542505"/>
    <w:rsid w:val="00543606"/>
    <w:rsid w:val="00543BA8"/>
    <w:rsid w:val="00546D4F"/>
    <w:rsid w:val="005471ED"/>
    <w:rsid w:val="0054740B"/>
    <w:rsid w:val="00552A88"/>
    <w:rsid w:val="005536B3"/>
    <w:rsid w:val="0055570F"/>
    <w:rsid w:val="005566F9"/>
    <w:rsid w:val="0056057A"/>
    <w:rsid w:val="00561973"/>
    <w:rsid w:val="00562776"/>
    <w:rsid w:val="00563C6F"/>
    <w:rsid w:val="00564F21"/>
    <w:rsid w:val="0056576C"/>
    <w:rsid w:val="0056654A"/>
    <w:rsid w:val="00572CAC"/>
    <w:rsid w:val="00573556"/>
    <w:rsid w:val="00573660"/>
    <w:rsid w:val="00573D2F"/>
    <w:rsid w:val="00574913"/>
    <w:rsid w:val="00577598"/>
    <w:rsid w:val="005775CC"/>
    <w:rsid w:val="00581B33"/>
    <w:rsid w:val="005843DE"/>
    <w:rsid w:val="005857E4"/>
    <w:rsid w:val="00590CEB"/>
    <w:rsid w:val="00591C13"/>
    <w:rsid w:val="00592E6C"/>
    <w:rsid w:val="00593086"/>
    <w:rsid w:val="00593412"/>
    <w:rsid w:val="005935C6"/>
    <w:rsid w:val="00593627"/>
    <w:rsid w:val="00593BF7"/>
    <w:rsid w:val="005967D7"/>
    <w:rsid w:val="0059682F"/>
    <w:rsid w:val="005969FB"/>
    <w:rsid w:val="00596AE3"/>
    <w:rsid w:val="005971CA"/>
    <w:rsid w:val="00597E1C"/>
    <w:rsid w:val="005A04B2"/>
    <w:rsid w:val="005A055A"/>
    <w:rsid w:val="005A17A3"/>
    <w:rsid w:val="005A1AE9"/>
    <w:rsid w:val="005A1E36"/>
    <w:rsid w:val="005A2C2A"/>
    <w:rsid w:val="005A3506"/>
    <w:rsid w:val="005A36C4"/>
    <w:rsid w:val="005A4FDE"/>
    <w:rsid w:val="005A5DBA"/>
    <w:rsid w:val="005B00B8"/>
    <w:rsid w:val="005B15A4"/>
    <w:rsid w:val="005B18DB"/>
    <w:rsid w:val="005B2BA0"/>
    <w:rsid w:val="005B3798"/>
    <w:rsid w:val="005B6B53"/>
    <w:rsid w:val="005B744B"/>
    <w:rsid w:val="005C1779"/>
    <w:rsid w:val="005C209A"/>
    <w:rsid w:val="005C2245"/>
    <w:rsid w:val="005C2C43"/>
    <w:rsid w:val="005C2DEE"/>
    <w:rsid w:val="005C2EAF"/>
    <w:rsid w:val="005C4B21"/>
    <w:rsid w:val="005C567D"/>
    <w:rsid w:val="005C5692"/>
    <w:rsid w:val="005C65DE"/>
    <w:rsid w:val="005C6F31"/>
    <w:rsid w:val="005D0835"/>
    <w:rsid w:val="005D13B5"/>
    <w:rsid w:val="005D3CA2"/>
    <w:rsid w:val="005D5433"/>
    <w:rsid w:val="005D550E"/>
    <w:rsid w:val="005D5512"/>
    <w:rsid w:val="005D6648"/>
    <w:rsid w:val="005D6BC4"/>
    <w:rsid w:val="005D77DA"/>
    <w:rsid w:val="005E21A8"/>
    <w:rsid w:val="005E3501"/>
    <w:rsid w:val="005E5001"/>
    <w:rsid w:val="005E617E"/>
    <w:rsid w:val="005F043A"/>
    <w:rsid w:val="005F0E80"/>
    <w:rsid w:val="005F15A2"/>
    <w:rsid w:val="005F3BE6"/>
    <w:rsid w:val="005F3D7B"/>
    <w:rsid w:val="005F4599"/>
    <w:rsid w:val="005F4D21"/>
    <w:rsid w:val="005F525A"/>
    <w:rsid w:val="005F54F5"/>
    <w:rsid w:val="005F57A0"/>
    <w:rsid w:val="005F68FD"/>
    <w:rsid w:val="005F74C0"/>
    <w:rsid w:val="00600B90"/>
    <w:rsid w:val="00601792"/>
    <w:rsid w:val="0060320D"/>
    <w:rsid w:val="00603D55"/>
    <w:rsid w:val="00604792"/>
    <w:rsid w:val="00604885"/>
    <w:rsid w:val="00605199"/>
    <w:rsid w:val="00605398"/>
    <w:rsid w:val="00605D6D"/>
    <w:rsid w:val="00606A03"/>
    <w:rsid w:val="006074A1"/>
    <w:rsid w:val="00611863"/>
    <w:rsid w:val="006126B6"/>
    <w:rsid w:val="00612D76"/>
    <w:rsid w:val="00612FB3"/>
    <w:rsid w:val="00613346"/>
    <w:rsid w:val="00613C55"/>
    <w:rsid w:val="00614BD7"/>
    <w:rsid w:val="00617AC6"/>
    <w:rsid w:val="00622206"/>
    <w:rsid w:val="00622414"/>
    <w:rsid w:val="00624C5E"/>
    <w:rsid w:val="0062510E"/>
    <w:rsid w:val="00625BDB"/>
    <w:rsid w:val="0062630E"/>
    <w:rsid w:val="00626E5C"/>
    <w:rsid w:val="00626FD8"/>
    <w:rsid w:val="00635A0C"/>
    <w:rsid w:val="00640DEA"/>
    <w:rsid w:val="006418A6"/>
    <w:rsid w:val="006423B3"/>
    <w:rsid w:val="00644640"/>
    <w:rsid w:val="00645C69"/>
    <w:rsid w:val="006463BD"/>
    <w:rsid w:val="006464CD"/>
    <w:rsid w:val="00646A29"/>
    <w:rsid w:val="0065042F"/>
    <w:rsid w:val="00650689"/>
    <w:rsid w:val="00650749"/>
    <w:rsid w:val="00650D85"/>
    <w:rsid w:val="006528C9"/>
    <w:rsid w:val="006537D8"/>
    <w:rsid w:val="006541E2"/>
    <w:rsid w:val="006566F0"/>
    <w:rsid w:val="00656BEC"/>
    <w:rsid w:val="00656CB9"/>
    <w:rsid w:val="006573F1"/>
    <w:rsid w:val="006604E0"/>
    <w:rsid w:val="006651BD"/>
    <w:rsid w:val="00667078"/>
    <w:rsid w:val="006673CB"/>
    <w:rsid w:val="006673E8"/>
    <w:rsid w:val="006704D4"/>
    <w:rsid w:val="00670ADF"/>
    <w:rsid w:val="00671DEE"/>
    <w:rsid w:val="00671EC0"/>
    <w:rsid w:val="00672300"/>
    <w:rsid w:val="006761ED"/>
    <w:rsid w:val="00676951"/>
    <w:rsid w:val="00676F48"/>
    <w:rsid w:val="00677124"/>
    <w:rsid w:val="006771EE"/>
    <w:rsid w:val="0067770B"/>
    <w:rsid w:val="0068083E"/>
    <w:rsid w:val="00680CEC"/>
    <w:rsid w:val="0068133F"/>
    <w:rsid w:val="00682D3D"/>
    <w:rsid w:val="00683AD6"/>
    <w:rsid w:val="00686056"/>
    <w:rsid w:val="006872E1"/>
    <w:rsid w:val="006914AA"/>
    <w:rsid w:val="00691956"/>
    <w:rsid w:val="00691C32"/>
    <w:rsid w:val="00691E61"/>
    <w:rsid w:val="00693A8E"/>
    <w:rsid w:val="00693A95"/>
    <w:rsid w:val="00695628"/>
    <w:rsid w:val="00696289"/>
    <w:rsid w:val="006A00D5"/>
    <w:rsid w:val="006A1103"/>
    <w:rsid w:val="006A29E3"/>
    <w:rsid w:val="006A3FBC"/>
    <w:rsid w:val="006A473D"/>
    <w:rsid w:val="006A4E58"/>
    <w:rsid w:val="006A58F2"/>
    <w:rsid w:val="006A73C6"/>
    <w:rsid w:val="006B0513"/>
    <w:rsid w:val="006B16E0"/>
    <w:rsid w:val="006B24BB"/>
    <w:rsid w:val="006B2D70"/>
    <w:rsid w:val="006B30D1"/>
    <w:rsid w:val="006B4816"/>
    <w:rsid w:val="006B4A3E"/>
    <w:rsid w:val="006B4ABF"/>
    <w:rsid w:val="006C02E4"/>
    <w:rsid w:val="006C1B91"/>
    <w:rsid w:val="006C2759"/>
    <w:rsid w:val="006C4202"/>
    <w:rsid w:val="006C43DE"/>
    <w:rsid w:val="006C5AD3"/>
    <w:rsid w:val="006C617F"/>
    <w:rsid w:val="006C74B8"/>
    <w:rsid w:val="006D1220"/>
    <w:rsid w:val="006D130E"/>
    <w:rsid w:val="006D2666"/>
    <w:rsid w:val="006D3835"/>
    <w:rsid w:val="006D413B"/>
    <w:rsid w:val="006D6A17"/>
    <w:rsid w:val="006D6B7A"/>
    <w:rsid w:val="006D79D6"/>
    <w:rsid w:val="006D7F14"/>
    <w:rsid w:val="006E0A0B"/>
    <w:rsid w:val="006E4463"/>
    <w:rsid w:val="006E589F"/>
    <w:rsid w:val="006E7487"/>
    <w:rsid w:val="006E7937"/>
    <w:rsid w:val="006F07D2"/>
    <w:rsid w:val="006F6659"/>
    <w:rsid w:val="006F73EF"/>
    <w:rsid w:val="0070025A"/>
    <w:rsid w:val="007043B3"/>
    <w:rsid w:val="00704CA0"/>
    <w:rsid w:val="00705766"/>
    <w:rsid w:val="00707158"/>
    <w:rsid w:val="0071015F"/>
    <w:rsid w:val="007114A8"/>
    <w:rsid w:val="007127F9"/>
    <w:rsid w:val="0071415E"/>
    <w:rsid w:val="00714778"/>
    <w:rsid w:val="00715509"/>
    <w:rsid w:val="007162C7"/>
    <w:rsid w:val="007166BD"/>
    <w:rsid w:val="0071698F"/>
    <w:rsid w:val="007172D9"/>
    <w:rsid w:val="007200CC"/>
    <w:rsid w:val="00720888"/>
    <w:rsid w:val="007212AF"/>
    <w:rsid w:val="0072138D"/>
    <w:rsid w:val="0072252F"/>
    <w:rsid w:val="007239D4"/>
    <w:rsid w:val="0072746D"/>
    <w:rsid w:val="007312AA"/>
    <w:rsid w:val="00731587"/>
    <w:rsid w:val="00734C1B"/>
    <w:rsid w:val="00735E5B"/>
    <w:rsid w:val="00737DE8"/>
    <w:rsid w:val="007437FB"/>
    <w:rsid w:val="00745123"/>
    <w:rsid w:val="007453E7"/>
    <w:rsid w:val="00745F2D"/>
    <w:rsid w:val="007460A4"/>
    <w:rsid w:val="007463F7"/>
    <w:rsid w:val="00746532"/>
    <w:rsid w:val="00747755"/>
    <w:rsid w:val="00750D3B"/>
    <w:rsid w:val="007516F0"/>
    <w:rsid w:val="007531EE"/>
    <w:rsid w:val="00753A99"/>
    <w:rsid w:val="007550AB"/>
    <w:rsid w:val="0075623B"/>
    <w:rsid w:val="007629C6"/>
    <w:rsid w:val="00763699"/>
    <w:rsid w:val="00763802"/>
    <w:rsid w:val="007653DA"/>
    <w:rsid w:val="00765408"/>
    <w:rsid w:val="0076614E"/>
    <w:rsid w:val="00766962"/>
    <w:rsid w:val="0077106D"/>
    <w:rsid w:val="00772ABF"/>
    <w:rsid w:val="00773725"/>
    <w:rsid w:val="00773D94"/>
    <w:rsid w:val="0077594B"/>
    <w:rsid w:val="00780439"/>
    <w:rsid w:val="007809C0"/>
    <w:rsid w:val="00782BBB"/>
    <w:rsid w:val="00782BF7"/>
    <w:rsid w:val="007854F9"/>
    <w:rsid w:val="00786E21"/>
    <w:rsid w:val="007901EC"/>
    <w:rsid w:val="007922D8"/>
    <w:rsid w:val="007926C4"/>
    <w:rsid w:val="00792EC0"/>
    <w:rsid w:val="0079305A"/>
    <w:rsid w:val="00797D62"/>
    <w:rsid w:val="007A056D"/>
    <w:rsid w:val="007A1421"/>
    <w:rsid w:val="007A14F5"/>
    <w:rsid w:val="007A5081"/>
    <w:rsid w:val="007A5BE5"/>
    <w:rsid w:val="007A6049"/>
    <w:rsid w:val="007A71CC"/>
    <w:rsid w:val="007B19BB"/>
    <w:rsid w:val="007B29C4"/>
    <w:rsid w:val="007B2CD7"/>
    <w:rsid w:val="007B2FB1"/>
    <w:rsid w:val="007B4261"/>
    <w:rsid w:val="007B6CAC"/>
    <w:rsid w:val="007C008A"/>
    <w:rsid w:val="007C0C20"/>
    <w:rsid w:val="007C1760"/>
    <w:rsid w:val="007C2199"/>
    <w:rsid w:val="007C4146"/>
    <w:rsid w:val="007C7944"/>
    <w:rsid w:val="007C7C55"/>
    <w:rsid w:val="007D22BC"/>
    <w:rsid w:val="007D2394"/>
    <w:rsid w:val="007D6259"/>
    <w:rsid w:val="007E03C0"/>
    <w:rsid w:val="007E2034"/>
    <w:rsid w:val="007E2836"/>
    <w:rsid w:val="007E562B"/>
    <w:rsid w:val="007E568A"/>
    <w:rsid w:val="007E5AA9"/>
    <w:rsid w:val="007E79AC"/>
    <w:rsid w:val="007E7D93"/>
    <w:rsid w:val="007F0D03"/>
    <w:rsid w:val="007F276A"/>
    <w:rsid w:val="007F4828"/>
    <w:rsid w:val="007F6C31"/>
    <w:rsid w:val="007F7A8C"/>
    <w:rsid w:val="0080001F"/>
    <w:rsid w:val="008005C8"/>
    <w:rsid w:val="008006BE"/>
    <w:rsid w:val="0080077E"/>
    <w:rsid w:val="008036E9"/>
    <w:rsid w:val="0080397A"/>
    <w:rsid w:val="00805471"/>
    <w:rsid w:val="00805C3F"/>
    <w:rsid w:val="00805EAB"/>
    <w:rsid w:val="00807054"/>
    <w:rsid w:val="0080710D"/>
    <w:rsid w:val="0080728A"/>
    <w:rsid w:val="00810F33"/>
    <w:rsid w:val="008123E9"/>
    <w:rsid w:val="00813DBC"/>
    <w:rsid w:val="00813F7A"/>
    <w:rsid w:val="00814139"/>
    <w:rsid w:val="008217E8"/>
    <w:rsid w:val="00821F18"/>
    <w:rsid w:val="00822995"/>
    <w:rsid w:val="00822C69"/>
    <w:rsid w:val="00822FC7"/>
    <w:rsid w:val="00823D3C"/>
    <w:rsid w:val="00825B06"/>
    <w:rsid w:val="00825CB7"/>
    <w:rsid w:val="00826095"/>
    <w:rsid w:val="008300FE"/>
    <w:rsid w:val="00830F89"/>
    <w:rsid w:val="00832CC5"/>
    <w:rsid w:val="00835A69"/>
    <w:rsid w:val="00837560"/>
    <w:rsid w:val="00837807"/>
    <w:rsid w:val="00841A92"/>
    <w:rsid w:val="0084224F"/>
    <w:rsid w:val="0084389C"/>
    <w:rsid w:val="00843AA1"/>
    <w:rsid w:val="00845E0F"/>
    <w:rsid w:val="00845FA0"/>
    <w:rsid w:val="00846265"/>
    <w:rsid w:val="008468E3"/>
    <w:rsid w:val="00847125"/>
    <w:rsid w:val="00847D29"/>
    <w:rsid w:val="0085005B"/>
    <w:rsid w:val="00850C5F"/>
    <w:rsid w:val="00851FC0"/>
    <w:rsid w:val="008541C4"/>
    <w:rsid w:val="008544F7"/>
    <w:rsid w:val="00855A9A"/>
    <w:rsid w:val="00855BEF"/>
    <w:rsid w:val="00856A0E"/>
    <w:rsid w:val="0085770B"/>
    <w:rsid w:val="008631CE"/>
    <w:rsid w:val="008633F2"/>
    <w:rsid w:val="00863EB5"/>
    <w:rsid w:val="0086443E"/>
    <w:rsid w:val="00864DE4"/>
    <w:rsid w:val="00872FD2"/>
    <w:rsid w:val="00873D35"/>
    <w:rsid w:val="00876341"/>
    <w:rsid w:val="00876869"/>
    <w:rsid w:val="0088369D"/>
    <w:rsid w:val="008857D8"/>
    <w:rsid w:val="00890E73"/>
    <w:rsid w:val="00890EA7"/>
    <w:rsid w:val="00892E65"/>
    <w:rsid w:val="00893A4F"/>
    <w:rsid w:val="00894F9A"/>
    <w:rsid w:val="00896BD0"/>
    <w:rsid w:val="00896D99"/>
    <w:rsid w:val="008A232D"/>
    <w:rsid w:val="008A3A79"/>
    <w:rsid w:val="008A7717"/>
    <w:rsid w:val="008B0EA4"/>
    <w:rsid w:val="008B20E8"/>
    <w:rsid w:val="008B26FD"/>
    <w:rsid w:val="008B2A86"/>
    <w:rsid w:val="008B2E86"/>
    <w:rsid w:val="008B355D"/>
    <w:rsid w:val="008B37F5"/>
    <w:rsid w:val="008B5749"/>
    <w:rsid w:val="008B767E"/>
    <w:rsid w:val="008C0EAA"/>
    <w:rsid w:val="008C16DC"/>
    <w:rsid w:val="008C1D31"/>
    <w:rsid w:val="008C28C1"/>
    <w:rsid w:val="008C3255"/>
    <w:rsid w:val="008C5282"/>
    <w:rsid w:val="008C5A91"/>
    <w:rsid w:val="008C5C91"/>
    <w:rsid w:val="008C6F62"/>
    <w:rsid w:val="008D3B07"/>
    <w:rsid w:val="008D4155"/>
    <w:rsid w:val="008D534E"/>
    <w:rsid w:val="008D5DC8"/>
    <w:rsid w:val="008E326F"/>
    <w:rsid w:val="008E3BA6"/>
    <w:rsid w:val="008E518E"/>
    <w:rsid w:val="008E784F"/>
    <w:rsid w:val="008E7B8E"/>
    <w:rsid w:val="008E7DEE"/>
    <w:rsid w:val="008E7ED3"/>
    <w:rsid w:val="008F1C45"/>
    <w:rsid w:val="008F2088"/>
    <w:rsid w:val="008F31BA"/>
    <w:rsid w:val="008F3407"/>
    <w:rsid w:val="008F37B9"/>
    <w:rsid w:val="008F3FFD"/>
    <w:rsid w:val="009001C6"/>
    <w:rsid w:val="0090206B"/>
    <w:rsid w:val="00904097"/>
    <w:rsid w:val="00904572"/>
    <w:rsid w:val="009053F7"/>
    <w:rsid w:val="00905422"/>
    <w:rsid w:val="00906D21"/>
    <w:rsid w:val="00914133"/>
    <w:rsid w:val="00914BF4"/>
    <w:rsid w:val="00914D6D"/>
    <w:rsid w:val="0091655D"/>
    <w:rsid w:val="00920839"/>
    <w:rsid w:val="00922D06"/>
    <w:rsid w:val="00922DAC"/>
    <w:rsid w:val="009232DC"/>
    <w:rsid w:val="00924EFA"/>
    <w:rsid w:val="009270C5"/>
    <w:rsid w:val="00927158"/>
    <w:rsid w:val="009273C8"/>
    <w:rsid w:val="00930258"/>
    <w:rsid w:val="00930A39"/>
    <w:rsid w:val="009350F0"/>
    <w:rsid w:val="0093521A"/>
    <w:rsid w:val="00935B17"/>
    <w:rsid w:val="009419A4"/>
    <w:rsid w:val="0094212A"/>
    <w:rsid w:val="00945B7A"/>
    <w:rsid w:val="00950CA4"/>
    <w:rsid w:val="0095146D"/>
    <w:rsid w:val="009534DE"/>
    <w:rsid w:val="00954942"/>
    <w:rsid w:val="009549E7"/>
    <w:rsid w:val="00957BA0"/>
    <w:rsid w:val="0096189F"/>
    <w:rsid w:val="009648B9"/>
    <w:rsid w:val="00966446"/>
    <w:rsid w:val="0097413B"/>
    <w:rsid w:val="009756C4"/>
    <w:rsid w:val="0097696E"/>
    <w:rsid w:val="00977BEA"/>
    <w:rsid w:val="0098009B"/>
    <w:rsid w:val="00981018"/>
    <w:rsid w:val="00983929"/>
    <w:rsid w:val="00983A25"/>
    <w:rsid w:val="0098575D"/>
    <w:rsid w:val="009867B3"/>
    <w:rsid w:val="00987032"/>
    <w:rsid w:val="009905C0"/>
    <w:rsid w:val="00991538"/>
    <w:rsid w:val="009917E4"/>
    <w:rsid w:val="0099372E"/>
    <w:rsid w:val="00994C96"/>
    <w:rsid w:val="0099509D"/>
    <w:rsid w:val="00995104"/>
    <w:rsid w:val="00995D0D"/>
    <w:rsid w:val="00996EA7"/>
    <w:rsid w:val="009A0325"/>
    <w:rsid w:val="009A0464"/>
    <w:rsid w:val="009A3C88"/>
    <w:rsid w:val="009A44A5"/>
    <w:rsid w:val="009A48CD"/>
    <w:rsid w:val="009A566E"/>
    <w:rsid w:val="009A6B21"/>
    <w:rsid w:val="009B058D"/>
    <w:rsid w:val="009B139F"/>
    <w:rsid w:val="009B2D95"/>
    <w:rsid w:val="009B4048"/>
    <w:rsid w:val="009B5EF0"/>
    <w:rsid w:val="009B60B8"/>
    <w:rsid w:val="009B62E7"/>
    <w:rsid w:val="009B6E9F"/>
    <w:rsid w:val="009B766E"/>
    <w:rsid w:val="009C0A0F"/>
    <w:rsid w:val="009C1120"/>
    <w:rsid w:val="009C1642"/>
    <w:rsid w:val="009C27CC"/>
    <w:rsid w:val="009C2F5B"/>
    <w:rsid w:val="009C3ACB"/>
    <w:rsid w:val="009C3FEE"/>
    <w:rsid w:val="009C403B"/>
    <w:rsid w:val="009C4790"/>
    <w:rsid w:val="009C62C2"/>
    <w:rsid w:val="009C73DF"/>
    <w:rsid w:val="009D3564"/>
    <w:rsid w:val="009D5174"/>
    <w:rsid w:val="009D57E3"/>
    <w:rsid w:val="009D7F58"/>
    <w:rsid w:val="009E006D"/>
    <w:rsid w:val="009E0A65"/>
    <w:rsid w:val="009E0FAF"/>
    <w:rsid w:val="009E1EFA"/>
    <w:rsid w:val="009E24F0"/>
    <w:rsid w:val="009E2F33"/>
    <w:rsid w:val="009E413F"/>
    <w:rsid w:val="009E4A89"/>
    <w:rsid w:val="009E5122"/>
    <w:rsid w:val="009E6C22"/>
    <w:rsid w:val="009F38D5"/>
    <w:rsid w:val="00A017C0"/>
    <w:rsid w:val="00A01DA8"/>
    <w:rsid w:val="00A026DC"/>
    <w:rsid w:val="00A03A9E"/>
    <w:rsid w:val="00A05548"/>
    <w:rsid w:val="00A05580"/>
    <w:rsid w:val="00A063EE"/>
    <w:rsid w:val="00A11B83"/>
    <w:rsid w:val="00A1360D"/>
    <w:rsid w:val="00A15313"/>
    <w:rsid w:val="00A161A4"/>
    <w:rsid w:val="00A17957"/>
    <w:rsid w:val="00A17E73"/>
    <w:rsid w:val="00A22754"/>
    <w:rsid w:val="00A22C63"/>
    <w:rsid w:val="00A242DE"/>
    <w:rsid w:val="00A25AE9"/>
    <w:rsid w:val="00A2675E"/>
    <w:rsid w:val="00A30C76"/>
    <w:rsid w:val="00A31EF9"/>
    <w:rsid w:val="00A32006"/>
    <w:rsid w:val="00A32258"/>
    <w:rsid w:val="00A32309"/>
    <w:rsid w:val="00A32A72"/>
    <w:rsid w:val="00A33333"/>
    <w:rsid w:val="00A37554"/>
    <w:rsid w:val="00A43B3E"/>
    <w:rsid w:val="00A44CE1"/>
    <w:rsid w:val="00A46474"/>
    <w:rsid w:val="00A473AF"/>
    <w:rsid w:val="00A50A1F"/>
    <w:rsid w:val="00A50AF3"/>
    <w:rsid w:val="00A516E9"/>
    <w:rsid w:val="00A525A1"/>
    <w:rsid w:val="00A54FB0"/>
    <w:rsid w:val="00A551F0"/>
    <w:rsid w:val="00A555F7"/>
    <w:rsid w:val="00A57241"/>
    <w:rsid w:val="00A60432"/>
    <w:rsid w:val="00A61B28"/>
    <w:rsid w:val="00A63C69"/>
    <w:rsid w:val="00A647D8"/>
    <w:rsid w:val="00A64C30"/>
    <w:rsid w:val="00A65105"/>
    <w:rsid w:val="00A6563E"/>
    <w:rsid w:val="00A659E1"/>
    <w:rsid w:val="00A6707A"/>
    <w:rsid w:val="00A672CD"/>
    <w:rsid w:val="00A67B38"/>
    <w:rsid w:val="00A67F3B"/>
    <w:rsid w:val="00A70FC3"/>
    <w:rsid w:val="00A7242C"/>
    <w:rsid w:val="00A7281A"/>
    <w:rsid w:val="00A731AB"/>
    <w:rsid w:val="00A7378B"/>
    <w:rsid w:val="00A73DAE"/>
    <w:rsid w:val="00A75949"/>
    <w:rsid w:val="00A75F82"/>
    <w:rsid w:val="00A77094"/>
    <w:rsid w:val="00A776D0"/>
    <w:rsid w:val="00A80E26"/>
    <w:rsid w:val="00A81BA4"/>
    <w:rsid w:val="00A82D46"/>
    <w:rsid w:val="00A84BF7"/>
    <w:rsid w:val="00A85445"/>
    <w:rsid w:val="00A872BE"/>
    <w:rsid w:val="00A900CC"/>
    <w:rsid w:val="00A9095F"/>
    <w:rsid w:val="00A927C2"/>
    <w:rsid w:val="00A93323"/>
    <w:rsid w:val="00A95553"/>
    <w:rsid w:val="00A97EDE"/>
    <w:rsid w:val="00AA0FE1"/>
    <w:rsid w:val="00AA21DE"/>
    <w:rsid w:val="00AA34E3"/>
    <w:rsid w:val="00AA4905"/>
    <w:rsid w:val="00AA715B"/>
    <w:rsid w:val="00AA77F3"/>
    <w:rsid w:val="00AA7830"/>
    <w:rsid w:val="00AB0132"/>
    <w:rsid w:val="00AB0356"/>
    <w:rsid w:val="00AB0FA8"/>
    <w:rsid w:val="00AB1D0B"/>
    <w:rsid w:val="00AB2813"/>
    <w:rsid w:val="00AB32A9"/>
    <w:rsid w:val="00AB3A21"/>
    <w:rsid w:val="00AB3DD5"/>
    <w:rsid w:val="00AB3E3B"/>
    <w:rsid w:val="00AB43F1"/>
    <w:rsid w:val="00AB4C8D"/>
    <w:rsid w:val="00AB5162"/>
    <w:rsid w:val="00AB51AC"/>
    <w:rsid w:val="00AC02AA"/>
    <w:rsid w:val="00AC06F7"/>
    <w:rsid w:val="00AC1D94"/>
    <w:rsid w:val="00AC2081"/>
    <w:rsid w:val="00AC35E5"/>
    <w:rsid w:val="00AC4EDF"/>
    <w:rsid w:val="00AC5385"/>
    <w:rsid w:val="00AC6D72"/>
    <w:rsid w:val="00AD1027"/>
    <w:rsid w:val="00AD2A74"/>
    <w:rsid w:val="00AD2B0F"/>
    <w:rsid w:val="00AD4EB3"/>
    <w:rsid w:val="00AD6CEB"/>
    <w:rsid w:val="00AD6F6D"/>
    <w:rsid w:val="00AE0FC7"/>
    <w:rsid w:val="00AE13B6"/>
    <w:rsid w:val="00AE210C"/>
    <w:rsid w:val="00AE214A"/>
    <w:rsid w:val="00AE2589"/>
    <w:rsid w:val="00AE45C7"/>
    <w:rsid w:val="00AE4752"/>
    <w:rsid w:val="00AE4BB8"/>
    <w:rsid w:val="00AE50A9"/>
    <w:rsid w:val="00AE6A9C"/>
    <w:rsid w:val="00AE6C40"/>
    <w:rsid w:val="00AE710A"/>
    <w:rsid w:val="00AF11C1"/>
    <w:rsid w:val="00AF155D"/>
    <w:rsid w:val="00AF17E5"/>
    <w:rsid w:val="00AF2275"/>
    <w:rsid w:val="00AF2B63"/>
    <w:rsid w:val="00AF551D"/>
    <w:rsid w:val="00B020E4"/>
    <w:rsid w:val="00B02A53"/>
    <w:rsid w:val="00B04F9D"/>
    <w:rsid w:val="00B055B1"/>
    <w:rsid w:val="00B0660D"/>
    <w:rsid w:val="00B06697"/>
    <w:rsid w:val="00B07FB8"/>
    <w:rsid w:val="00B1045F"/>
    <w:rsid w:val="00B12C1A"/>
    <w:rsid w:val="00B137E7"/>
    <w:rsid w:val="00B176C3"/>
    <w:rsid w:val="00B20E03"/>
    <w:rsid w:val="00B22257"/>
    <w:rsid w:val="00B2257A"/>
    <w:rsid w:val="00B246B8"/>
    <w:rsid w:val="00B24F53"/>
    <w:rsid w:val="00B25387"/>
    <w:rsid w:val="00B253A1"/>
    <w:rsid w:val="00B262AB"/>
    <w:rsid w:val="00B26A5E"/>
    <w:rsid w:val="00B31CD5"/>
    <w:rsid w:val="00B32E37"/>
    <w:rsid w:val="00B33C6A"/>
    <w:rsid w:val="00B33CB7"/>
    <w:rsid w:val="00B352FA"/>
    <w:rsid w:val="00B35CA6"/>
    <w:rsid w:val="00B36B5C"/>
    <w:rsid w:val="00B36D31"/>
    <w:rsid w:val="00B4110A"/>
    <w:rsid w:val="00B43146"/>
    <w:rsid w:val="00B4445F"/>
    <w:rsid w:val="00B464C3"/>
    <w:rsid w:val="00B46969"/>
    <w:rsid w:val="00B47A1D"/>
    <w:rsid w:val="00B5095C"/>
    <w:rsid w:val="00B53265"/>
    <w:rsid w:val="00B532B9"/>
    <w:rsid w:val="00B53BBC"/>
    <w:rsid w:val="00B53C0C"/>
    <w:rsid w:val="00B5479F"/>
    <w:rsid w:val="00B54AD8"/>
    <w:rsid w:val="00B55AF8"/>
    <w:rsid w:val="00B5608F"/>
    <w:rsid w:val="00B617CD"/>
    <w:rsid w:val="00B61E27"/>
    <w:rsid w:val="00B66A05"/>
    <w:rsid w:val="00B66F45"/>
    <w:rsid w:val="00B71238"/>
    <w:rsid w:val="00B74063"/>
    <w:rsid w:val="00B74FA4"/>
    <w:rsid w:val="00B75280"/>
    <w:rsid w:val="00B76AF5"/>
    <w:rsid w:val="00B76E4D"/>
    <w:rsid w:val="00B77388"/>
    <w:rsid w:val="00B77DC4"/>
    <w:rsid w:val="00B805E0"/>
    <w:rsid w:val="00B80934"/>
    <w:rsid w:val="00B80F2E"/>
    <w:rsid w:val="00B83796"/>
    <w:rsid w:val="00B843A9"/>
    <w:rsid w:val="00B86E85"/>
    <w:rsid w:val="00B912CF"/>
    <w:rsid w:val="00B919D7"/>
    <w:rsid w:val="00B92171"/>
    <w:rsid w:val="00B922E8"/>
    <w:rsid w:val="00B934B1"/>
    <w:rsid w:val="00B954E8"/>
    <w:rsid w:val="00B955FF"/>
    <w:rsid w:val="00B962CB"/>
    <w:rsid w:val="00B96805"/>
    <w:rsid w:val="00B96F7B"/>
    <w:rsid w:val="00BA0DD6"/>
    <w:rsid w:val="00BA1DD1"/>
    <w:rsid w:val="00BA30F3"/>
    <w:rsid w:val="00BA3BD8"/>
    <w:rsid w:val="00BA4A12"/>
    <w:rsid w:val="00BA55B8"/>
    <w:rsid w:val="00BA74A6"/>
    <w:rsid w:val="00BA7D89"/>
    <w:rsid w:val="00BB069C"/>
    <w:rsid w:val="00BB2FB4"/>
    <w:rsid w:val="00BB333D"/>
    <w:rsid w:val="00BB4A7A"/>
    <w:rsid w:val="00BB5155"/>
    <w:rsid w:val="00BB60B4"/>
    <w:rsid w:val="00BB64AA"/>
    <w:rsid w:val="00BB6CB3"/>
    <w:rsid w:val="00BB7DBF"/>
    <w:rsid w:val="00BC0047"/>
    <w:rsid w:val="00BC211D"/>
    <w:rsid w:val="00BC266F"/>
    <w:rsid w:val="00BC4F2E"/>
    <w:rsid w:val="00BC534C"/>
    <w:rsid w:val="00BC655F"/>
    <w:rsid w:val="00BC75ED"/>
    <w:rsid w:val="00BC7B8E"/>
    <w:rsid w:val="00BC7D3E"/>
    <w:rsid w:val="00BC7E99"/>
    <w:rsid w:val="00BD1B77"/>
    <w:rsid w:val="00BD284B"/>
    <w:rsid w:val="00BD2D4A"/>
    <w:rsid w:val="00BD2E58"/>
    <w:rsid w:val="00BD48F0"/>
    <w:rsid w:val="00BD503A"/>
    <w:rsid w:val="00BD6BA2"/>
    <w:rsid w:val="00BD7BD7"/>
    <w:rsid w:val="00BE1E84"/>
    <w:rsid w:val="00BE3F73"/>
    <w:rsid w:val="00BE48D2"/>
    <w:rsid w:val="00BE4C48"/>
    <w:rsid w:val="00BE77B1"/>
    <w:rsid w:val="00BF0804"/>
    <w:rsid w:val="00BF081B"/>
    <w:rsid w:val="00BF23E7"/>
    <w:rsid w:val="00BF3260"/>
    <w:rsid w:val="00BF378A"/>
    <w:rsid w:val="00BF4216"/>
    <w:rsid w:val="00BF67EE"/>
    <w:rsid w:val="00BF6838"/>
    <w:rsid w:val="00BF6938"/>
    <w:rsid w:val="00BF6F8B"/>
    <w:rsid w:val="00BF7637"/>
    <w:rsid w:val="00C00B5A"/>
    <w:rsid w:val="00C04288"/>
    <w:rsid w:val="00C047F6"/>
    <w:rsid w:val="00C04DCF"/>
    <w:rsid w:val="00C05CDA"/>
    <w:rsid w:val="00C06177"/>
    <w:rsid w:val="00C075EA"/>
    <w:rsid w:val="00C10F81"/>
    <w:rsid w:val="00C10FB9"/>
    <w:rsid w:val="00C113F0"/>
    <w:rsid w:val="00C130C0"/>
    <w:rsid w:val="00C1485A"/>
    <w:rsid w:val="00C158DA"/>
    <w:rsid w:val="00C172F3"/>
    <w:rsid w:val="00C2111D"/>
    <w:rsid w:val="00C21CD6"/>
    <w:rsid w:val="00C2261A"/>
    <w:rsid w:val="00C234A9"/>
    <w:rsid w:val="00C23990"/>
    <w:rsid w:val="00C23E36"/>
    <w:rsid w:val="00C25EC1"/>
    <w:rsid w:val="00C30069"/>
    <w:rsid w:val="00C34C43"/>
    <w:rsid w:val="00C37860"/>
    <w:rsid w:val="00C40847"/>
    <w:rsid w:val="00C41BEB"/>
    <w:rsid w:val="00C41FB6"/>
    <w:rsid w:val="00C421D6"/>
    <w:rsid w:val="00C42AFF"/>
    <w:rsid w:val="00C45436"/>
    <w:rsid w:val="00C4608F"/>
    <w:rsid w:val="00C47550"/>
    <w:rsid w:val="00C47F40"/>
    <w:rsid w:val="00C47FC4"/>
    <w:rsid w:val="00C50447"/>
    <w:rsid w:val="00C50A26"/>
    <w:rsid w:val="00C51790"/>
    <w:rsid w:val="00C550F8"/>
    <w:rsid w:val="00C5578F"/>
    <w:rsid w:val="00C5597D"/>
    <w:rsid w:val="00C57B64"/>
    <w:rsid w:val="00C61AC6"/>
    <w:rsid w:val="00C625C8"/>
    <w:rsid w:val="00C670D0"/>
    <w:rsid w:val="00C702C7"/>
    <w:rsid w:val="00C71D2C"/>
    <w:rsid w:val="00C731DE"/>
    <w:rsid w:val="00C73A5E"/>
    <w:rsid w:val="00C7429C"/>
    <w:rsid w:val="00C74FE2"/>
    <w:rsid w:val="00C7612F"/>
    <w:rsid w:val="00C762EB"/>
    <w:rsid w:val="00C80598"/>
    <w:rsid w:val="00C8240D"/>
    <w:rsid w:val="00C84E0D"/>
    <w:rsid w:val="00C85165"/>
    <w:rsid w:val="00C86AAF"/>
    <w:rsid w:val="00C8703B"/>
    <w:rsid w:val="00C87AC7"/>
    <w:rsid w:val="00C906C7"/>
    <w:rsid w:val="00C91C56"/>
    <w:rsid w:val="00C91E71"/>
    <w:rsid w:val="00C92644"/>
    <w:rsid w:val="00C927BB"/>
    <w:rsid w:val="00C94772"/>
    <w:rsid w:val="00C96361"/>
    <w:rsid w:val="00C96381"/>
    <w:rsid w:val="00C97DDF"/>
    <w:rsid w:val="00CA0756"/>
    <w:rsid w:val="00CA1EFF"/>
    <w:rsid w:val="00CA25DA"/>
    <w:rsid w:val="00CA273D"/>
    <w:rsid w:val="00CA4E63"/>
    <w:rsid w:val="00CA5B05"/>
    <w:rsid w:val="00CB1591"/>
    <w:rsid w:val="00CB16AC"/>
    <w:rsid w:val="00CB23B8"/>
    <w:rsid w:val="00CB2442"/>
    <w:rsid w:val="00CB3D6D"/>
    <w:rsid w:val="00CB3EEB"/>
    <w:rsid w:val="00CB4891"/>
    <w:rsid w:val="00CB564A"/>
    <w:rsid w:val="00CC0797"/>
    <w:rsid w:val="00CC1D41"/>
    <w:rsid w:val="00CC2A1A"/>
    <w:rsid w:val="00CC3047"/>
    <w:rsid w:val="00CC4179"/>
    <w:rsid w:val="00CC5507"/>
    <w:rsid w:val="00CC5E8F"/>
    <w:rsid w:val="00CC702D"/>
    <w:rsid w:val="00CC7525"/>
    <w:rsid w:val="00CC75C4"/>
    <w:rsid w:val="00CC75FD"/>
    <w:rsid w:val="00CD0414"/>
    <w:rsid w:val="00CD1C72"/>
    <w:rsid w:val="00CD5F1B"/>
    <w:rsid w:val="00CD757C"/>
    <w:rsid w:val="00CE1965"/>
    <w:rsid w:val="00CE1D9F"/>
    <w:rsid w:val="00CE2232"/>
    <w:rsid w:val="00CE2CD9"/>
    <w:rsid w:val="00CE3989"/>
    <w:rsid w:val="00CE4278"/>
    <w:rsid w:val="00CE44D4"/>
    <w:rsid w:val="00CE4C9B"/>
    <w:rsid w:val="00CF0310"/>
    <w:rsid w:val="00CF0B7B"/>
    <w:rsid w:val="00CF0C2E"/>
    <w:rsid w:val="00CF0EFA"/>
    <w:rsid w:val="00CF1609"/>
    <w:rsid w:val="00CF23CD"/>
    <w:rsid w:val="00CF3CA4"/>
    <w:rsid w:val="00CF435D"/>
    <w:rsid w:val="00CF546E"/>
    <w:rsid w:val="00CF7F7F"/>
    <w:rsid w:val="00D00057"/>
    <w:rsid w:val="00D0023B"/>
    <w:rsid w:val="00D01239"/>
    <w:rsid w:val="00D01F91"/>
    <w:rsid w:val="00D02D85"/>
    <w:rsid w:val="00D03963"/>
    <w:rsid w:val="00D0430E"/>
    <w:rsid w:val="00D05F4D"/>
    <w:rsid w:val="00D06F5C"/>
    <w:rsid w:val="00D11465"/>
    <w:rsid w:val="00D149EC"/>
    <w:rsid w:val="00D14D73"/>
    <w:rsid w:val="00D15420"/>
    <w:rsid w:val="00D22993"/>
    <w:rsid w:val="00D22A55"/>
    <w:rsid w:val="00D22EEE"/>
    <w:rsid w:val="00D236E8"/>
    <w:rsid w:val="00D23935"/>
    <w:rsid w:val="00D23ADD"/>
    <w:rsid w:val="00D247D3"/>
    <w:rsid w:val="00D24870"/>
    <w:rsid w:val="00D27B73"/>
    <w:rsid w:val="00D27EED"/>
    <w:rsid w:val="00D3084C"/>
    <w:rsid w:val="00D31629"/>
    <w:rsid w:val="00D329DF"/>
    <w:rsid w:val="00D32EEC"/>
    <w:rsid w:val="00D33A2B"/>
    <w:rsid w:val="00D36E73"/>
    <w:rsid w:val="00D37975"/>
    <w:rsid w:val="00D4280C"/>
    <w:rsid w:val="00D42A79"/>
    <w:rsid w:val="00D42FCE"/>
    <w:rsid w:val="00D45746"/>
    <w:rsid w:val="00D46104"/>
    <w:rsid w:val="00D46816"/>
    <w:rsid w:val="00D47318"/>
    <w:rsid w:val="00D50435"/>
    <w:rsid w:val="00D50853"/>
    <w:rsid w:val="00D5297D"/>
    <w:rsid w:val="00D52A6A"/>
    <w:rsid w:val="00D54FAA"/>
    <w:rsid w:val="00D55CF5"/>
    <w:rsid w:val="00D56453"/>
    <w:rsid w:val="00D5761F"/>
    <w:rsid w:val="00D57D99"/>
    <w:rsid w:val="00D61DFC"/>
    <w:rsid w:val="00D624CC"/>
    <w:rsid w:val="00D655A4"/>
    <w:rsid w:val="00D676BF"/>
    <w:rsid w:val="00D67839"/>
    <w:rsid w:val="00D70159"/>
    <w:rsid w:val="00D73E5A"/>
    <w:rsid w:val="00D75550"/>
    <w:rsid w:val="00D768FD"/>
    <w:rsid w:val="00D77050"/>
    <w:rsid w:val="00D7732D"/>
    <w:rsid w:val="00D77D69"/>
    <w:rsid w:val="00D77F9A"/>
    <w:rsid w:val="00D802D1"/>
    <w:rsid w:val="00D815D0"/>
    <w:rsid w:val="00D82425"/>
    <w:rsid w:val="00D861A2"/>
    <w:rsid w:val="00D933A0"/>
    <w:rsid w:val="00D93859"/>
    <w:rsid w:val="00D93B2C"/>
    <w:rsid w:val="00D93FF0"/>
    <w:rsid w:val="00D94588"/>
    <w:rsid w:val="00D94C7C"/>
    <w:rsid w:val="00D9538B"/>
    <w:rsid w:val="00D95BCE"/>
    <w:rsid w:val="00D96296"/>
    <w:rsid w:val="00DA1962"/>
    <w:rsid w:val="00DA30BF"/>
    <w:rsid w:val="00DA5064"/>
    <w:rsid w:val="00DA596D"/>
    <w:rsid w:val="00DB09F1"/>
    <w:rsid w:val="00DB0CB1"/>
    <w:rsid w:val="00DB117A"/>
    <w:rsid w:val="00DB187C"/>
    <w:rsid w:val="00DB24B8"/>
    <w:rsid w:val="00DB2B17"/>
    <w:rsid w:val="00DB43A9"/>
    <w:rsid w:val="00DB4410"/>
    <w:rsid w:val="00DB4E90"/>
    <w:rsid w:val="00DB5D79"/>
    <w:rsid w:val="00DB66C5"/>
    <w:rsid w:val="00DB6754"/>
    <w:rsid w:val="00DB7789"/>
    <w:rsid w:val="00DB7FF2"/>
    <w:rsid w:val="00DC00AC"/>
    <w:rsid w:val="00DC352E"/>
    <w:rsid w:val="00DC3979"/>
    <w:rsid w:val="00DC3F57"/>
    <w:rsid w:val="00DC4879"/>
    <w:rsid w:val="00DC4D91"/>
    <w:rsid w:val="00DC5B64"/>
    <w:rsid w:val="00DC6396"/>
    <w:rsid w:val="00DC65D0"/>
    <w:rsid w:val="00DC6C4C"/>
    <w:rsid w:val="00DD011D"/>
    <w:rsid w:val="00DD04C4"/>
    <w:rsid w:val="00DD22FF"/>
    <w:rsid w:val="00DD48A8"/>
    <w:rsid w:val="00DD5A1B"/>
    <w:rsid w:val="00DD69C3"/>
    <w:rsid w:val="00DD715C"/>
    <w:rsid w:val="00DE0B7C"/>
    <w:rsid w:val="00DE1019"/>
    <w:rsid w:val="00DE1387"/>
    <w:rsid w:val="00DE18BC"/>
    <w:rsid w:val="00DE2339"/>
    <w:rsid w:val="00DE5647"/>
    <w:rsid w:val="00DE73A3"/>
    <w:rsid w:val="00DE7E5B"/>
    <w:rsid w:val="00DF06E9"/>
    <w:rsid w:val="00DF0867"/>
    <w:rsid w:val="00DF23C2"/>
    <w:rsid w:val="00DF4B62"/>
    <w:rsid w:val="00DF4BEF"/>
    <w:rsid w:val="00DF5F20"/>
    <w:rsid w:val="00DF61B9"/>
    <w:rsid w:val="00DF7819"/>
    <w:rsid w:val="00E00F25"/>
    <w:rsid w:val="00E0383F"/>
    <w:rsid w:val="00E0517E"/>
    <w:rsid w:val="00E0634F"/>
    <w:rsid w:val="00E06F2E"/>
    <w:rsid w:val="00E1240F"/>
    <w:rsid w:val="00E12475"/>
    <w:rsid w:val="00E13085"/>
    <w:rsid w:val="00E15DEF"/>
    <w:rsid w:val="00E15E9E"/>
    <w:rsid w:val="00E1785C"/>
    <w:rsid w:val="00E17E15"/>
    <w:rsid w:val="00E26113"/>
    <w:rsid w:val="00E266A4"/>
    <w:rsid w:val="00E27320"/>
    <w:rsid w:val="00E33B5F"/>
    <w:rsid w:val="00E3434F"/>
    <w:rsid w:val="00E35306"/>
    <w:rsid w:val="00E353A7"/>
    <w:rsid w:val="00E35847"/>
    <w:rsid w:val="00E3607F"/>
    <w:rsid w:val="00E36C7A"/>
    <w:rsid w:val="00E37866"/>
    <w:rsid w:val="00E40573"/>
    <w:rsid w:val="00E427A4"/>
    <w:rsid w:val="00E4362E"/>
    <w:rsid w:val="00E43AB6"/>
    <w:rsid w:val="00E457C4"/>
    <w:rsid w:val="00E461D9"/>
    <w:rsid w:val="00E51605"/>
    <w:rsid w:val="00E53D23"/>
    <w:rsid w:val="00E54BEF"/>
    <w:rsid w:val="00E56993"/>
    <w:rsid w:val="00E56EA1"/>
    <w:rsid w:val="00E56F4A"/>
    <w:rsid w:val="00E60E3D"/>
    <w:rsid w:val="00E62625"/>
    <w:rsid w:val="00E64A22"/>
    <w:rsid w:val="00E64ECA"/>
    <w:rsid w:val="00E655F6"/>
    <w:rsid w:val="00E77210"/>
    <w:rsid w:val="00E7771F"/>
    <w:rsid w:val="00E80D82"/>
    <w:rsid w:val="00E818FE"/>
    <w:rsid w:val="00E81D08"/>
    <w:rsid w:val="00E822FE"/>
    <w:rsid w:val="00E82807"/>
    <w:rsid w:val="00E844D9"/>
    <w:rsid w:val="00E84B95"/>
    <w:rsid w:val="00E87432"/>
    <w:rsid w:val="00E87D48"/>
    <w:rsid w:val="00E90564"/>
    <w:rsid w:val="00E915FC"/>
    <w:rsid w:val="00E937C4"/>
    <w:rsid w:val="00E943B8"/>
    <w:rsid w:val="00E94477"/>
    <w:rsid w:val="00E94C20"/>
    <w:rsid w:val="00E951A4"/>
    <w:rsid w:val="00E974C1"/>
    <w:rsid w:val="00EA15CB"/>
    <w:rsid w:val="00EA3524"/>
    <w:rsid w:val="00EA498A"/>
    <w:rsid w:val="00EA4B90"/>
    <w:rsid w:val="00EA5756"/>
    <w:rsid w:val="00EA7000"/>
    <w:rsid w:val="00EA7D01"/>
    <w:rsid w:val="00EA7FA3"/>
    <w:rsid w:val="00EB1D3D"/>
    <w:rsid w:val="00EB209E"/>
    <w:rsid w:val="00EB20C8"/>
    <w:rsid w:val="00EB2A72"/>
    <w:rsid w:val="00EB3000"/>
    <w:rsid w:val="00EB309D"/>
    <w:rsid w:val="00EB414C"/>
    <w:rsid w:val="00EB589A"/>
    <w:rsid w:val="00EB5CD1"/>
    <w:rsid w:val="00EB6049"/>
    <w:rsid w:val="00EB6FC2"/>
    <w:rsid w:val="00EC0227"/>
    <w:rsid w:val="00EC351B"/>
    <w:rsid w:val="00EC6CC9"/>
    <w:rsid w:val="00EC6D8D"/>
    <w:rsid w:val="00EC6F5A"/>
    <w:rsid w:val="00EC763F"/>
    <w:rsid w:val="00ED30F8"/>
    <w:rsid w:val="00ED358C"/>
    <w:rsid w:val="00ED4FB3"/>
    <w:rsid w:val="00ED518B"/>
    <w:rsid w:val="00ED564B"/>
    <w:rsid w:val="00ED66E1"/>
    <w:rsid w:val="00ED6A01"/>
    <w:rsid w:val="00EE0DCE"/>
    <w:rsid w:val="00EE16D4"/>
    <w:rsid w:val="00EE1F12"/>
    <w:rsid w:val="00EE2C87"/>
    <w:rsid w:val="00EE61A2"/>
    <w:rsid w:val="00EE6DE6"/>
    <w:rsid w:val="00EF0925"/>
    <w:rsid w:val="00EF1F50"/>
    <w:rsid w:val="00EF2D71"/>
    <w:rsid w:val="00EF4086"/>
    <w:rsid w:val="00EF48D4"/>
    <w:rsid w:val="00EF6C2B"/>
    <w:rsid w:val="00F01E93"/>
    <w:rsid w:val="00F022EE"/>
    <w:rsid w:val="00F0232D"/>
    <w:rsid w:val="00F037A9"/>
    <w:rsid w:val="00F045B9"/>
    <w:rsid w:val="00F07BA6"/>
    <w:rsid w:val="00F1021D"/>
    <w:rsid w:val="00F108C0"/>
    <w:rsid w:val="00F10D06"/>
    <w:rsid w:val="00F12EFB"/>
    <w:rsid w:val="00F13CC2"/>
    <w:rsid w:val="00F14FBD"/>
    <w:rsid w:val="00F1518C"/>
    <w:rsid w:val="00F15EAA"/>
    <w:rsid w:val="00F15F5C"/>
    <w:rsid w:val="00F173BE"/>
    <w:rsid w:val="00F23266"/>
    <w:rsid w:val="00F23337"/>
    <w:rsid w:val="00F24B65"/>
    <w:rsid w:val="00F2543B"/>
    <w:rsid w:val="00F30557"/>
    <w:rsid w:val="00F3081C"/>
    <w:rsid w:val="00F3150F"/>
    <w:rsid w:val="00F31B9A"/>
    <w:rsid w:val="00F322C7"/>
    <w:rsid w:val="00F33EC8"/>
    <w:rsid w:val="00F36446"/>
    <w:rsid w:val="00F3650E"/>
    <w:rsid w:val="00F36F6B"/>
    <w:rsid w:val="00F37896"/>
    <w:rsid w:val="00F41E6E"/>
    <w:rsid w:val="00F445E4"/>
    <w:rsid w:val="00F448EC"/>
    <w:rsid w:val="00F47AD4"/>
    <w:rsid w:val="00F506EF"/>
    <w:rsid w:val="00F5140D"/>
    <w:rsid w:val="00F52B8C"/>
    <w:rsid w:val="00F565A3"/>
    <w:rsid w:val="00F56953"/>
    <w:rsid w:val="00F57B87"/>
    <w:rsid w:val="00F624EF"/>
    <w:rsid w:val="00F63830"/>
    <w:rsid w:val="00F64334"/>
    <w:rsid w:val="00F659C5"/>
    <w:rsid w:val="00F66479"/>
    <w:rsid w:val="00F6771E"/>
    <w:rsid w:val="00F711DC"/>
    <w:rsid w:val="00F7397C"/>
    <w:rsid w:val="00F7435C"/>
    <w:rsid w:val="00F75183"/>
    <w:rsid w:val="00F77AE6"/>
    <w:rsid w:val="00F77EA7"/>
    <w:rsid w:val="00F803C1"/>
    <w:rsid w:val="00F80B0C"/>
    <w:rsid w:val="00F80D5F"/>
    <w:rsid w:val="00F8244A"/>
    <w:rsid w:val="00F8303D"/>
    <w:rsid w:val="00F84828"/>
    <w:rsid w:val="00F8644E"/>
    <w:rsid w:val="00F901A4"/>
    <w:rsid w:val="00F903B6"/>
    <w:rsid w:val="00F9113D"/>
    <w:rsid w:val="00F9119D"/>
    <w:rsid w:val="00F91781"/>
    <w:rsid w:val="00F927AD"/>
    <w:rsid w:val="00F9359C"/>
    <w:rsid w:val="00F93865"/>
    <w:rsid w:val="00F9678E"/>
    <w:rsid w:val="00F9694B"/>
    <w:rsid w:val="00F973D7"/>
    <w:rsid w:val="00FA197A"/>
    <w:rsid w:val="00FA400B"/>
    <w:rsid w:val="00FA6EC4"/>
    <w:rsid w:val="00FB025A"/>
    <w:rsid w:val="00FB06F6"/>
    <w:rsid w:val="00FB25C1"/>
    <w:rsid w:val="00FB2C3E"/>
    <w:rsid w:val="00FB470C"/>
    <w:rsid w:val="00FB6C38"/>
    <w:rsid w:val="00FB6F4C"/>
    <w:rsid w:val="00FB71C3"/>
    <w:rsid w:val="00FB77B7"/>
    <w:rsid w:val="00FC2104"/>
    <w:rsid w:val="00FC2431"/>
    <w:rsid w:val="00FC2B0D"/>
    <w:rsid w:val="00FC3A87"/>
    <w:rsid w:val="00FC4232"/>
    <w:rsid w:val="00FC44C8"/>
    <w:rsid w:val="00FC5C06"/>
    <w:rsid w:val="00FC6122"/>
    <w:rsid w:val="00FD4049"/>
    <w:rsid w:val="00FD505C"/>
    <w:rsid w:val="00FD5421"/>
    <w:rsid w:val="00FD7D79"/>
    <w:rsid w:val="00FE0726"/>
    <w:rsid w:val="00FE081F"/>
    <w:rsid w:val="00FE14A9"/>
    <w:rsid w:val="00FE1782"/>
    <w:rsid w:val="00FE1B6F"/>
    <w:rsid w:val="00FE2E87"/>
    <w:rsid w:val="00FE320C"/>
    <w:rsid w:val="00FE3A3A"/>
    <w:rsid w:val="00FE6E4E"/>
    <w:rsid w:val="00FE766C"/>
    <w:rsid w:val="00FE7E6F"/>
    <w:rsid w:val="00FE7EE0"/>
    <w:rsid w:val="00FF0F52"/>
    <w:rsid w:val="00FF1A0B"/>
    <w:rsid w:val="00FF1A79"/>
    <w:rsid w:val="00FF1E8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4DDE7D8F"/>
  <w15:docId w15:val="{D35B8417-688B-47AF-B8F4-6C94377D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semiHidden="1" w:uiPriority="1" w:qFormat="1"/>
    <w:lsdException w:name="heading 4" w:uiPriority="1" w:qFormat="1"/>
    <w:lsdException w:name="heading 5" w:semiHidden="1" w:uiPriority="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iPriority="10" w:unhideWhenUsed="1"/>
    <w:lsdException w:name="footer" w:uiPriority="10"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75B"/>
    <w:pPr>
      <w:spacing w:after="170"/>
    </w:pPr>
    <w:rPr>
      <w:lang w:val="en-AU"/>
    </w:rPr>
  </w:style>
  <w:style w:type="paragraph" w:styleId="Heading1">
    <w:name w:val="heading 1"/>
    <w:basedOn w:val="Normal"/>
    <w:next w:val="Normal"/>
    <w:link w:val="Heading1Char"/>
    <w:uiPriority w:val="1"/>
    <w:qFormat/>
    <w:rsid w:val="009E2F33"/>
    <w:pPr>
      <w:keepNext/>
      <w:keepLines/>
      <w:pageBreakBefore/>
      <w:numPr>
        <w:numId w:val="2"/>
      </w:numPr>
      <w:spacing w:after="480" w:line="720" w:lineRule="atLeast"/>
      <w:contextualSpacing/>
      <w:outlineLvl w:val="0"/>
    </w:pPr>
    <w:rPr>
      <w:rFonts w:eastAsiaTheme="majorEastAsia" w:cstheme="majorBidi"/>
      <w:bCs/>
      <w:sz w:val="60"/>
      <w:szCs w:val="28"/>
    </w:rPr>
  </w:style>
  <w:style w:type="paragraph" w:styleId="Heading2">
    <w:name w:val="heading 2"/>
    <w:basedOn w:val="Normal"/>
    <w:next w:val="Normal"/>
    <w:link w:val="Heading2Char"/>
    <w:uiPriority w:val="1"/>
    <w:qFormat/>
    <w:rsid w:val="00823D3C"/>
    <w:pPr>
      <w:keepNext/>
      <w:keepLines/>
      <w:numPr>
        <w:ilvl w:val="1"/>
        <w:numId w:val="2"/>
      </w:numPr>
      <w:spacing w:before="240" w:after="0" w:line="280" w:lineRule="atLeast"/>
      <w:outlineLvl w:val="1"/>
    </w:pPr>
    <w:rPr>
      <w:rFonts w:eastAsiaTheme="majorEastAsia" w:cstheme="majorBidi"/>
      <w:b/>
      <w:bCs/>
      <w:color w:val="62B5E5" w:themeColor="accent3"/>
      <w:sz w:val="22"/>
      <w:szCs w:val="28"/>
    </w:rPr>
  </w:style>
  <w:style w:type="paragraph" w:styleId="Heading3">
    <w:name w:val="heading 3"/>
    <w:basedOn w:val="Normal"/>
    <w:next w:val="Normal"/>
    <w:link w:val="Heading3Char"/>
    <w:uiPriority w:val="1"/>
    <w:qFormat/>
    <w:rsid w:val="004B0BA8"/>
    <w:pPr>
      <w:keepNext/>
      <w:keepLines/>
      <w:numPr>
        <w:ilvl w:val="2"/>
        <w:numId w:val="2"/>
      </w:numPr>
      <w:spacing w:after="0"/>
      <w:outlineLvl w:val="2"/>
    </w:pPr>
    <w:rPr>
      <w:rFonts w:eastAsiaTheme="majorEastAsia" w:cstheme="majorBidi"/>
      <w:b/>
      <w:bCs/>
      <w:sz w:val="22"/>
      <w:szCs w:val="22"/>
    </w:rPr>
  </w:style>
  <w:style w:type="paragraph" w:styleId="Heading4">
    <w:name w:val="heading 4"/>
    <w:basedOn w:val="Normal"/>
    <w:next w:val="Normal"/>
    <w:link w:val="Heading4Char"/>
    <w:uiPriority w:val="1"/>
    <w:qFormat/>
    <w:rsid w:val="00F9113D"/>
    <w:pPr>
      <w:keepNext/>
      <w:keepLines/>
      <w:numPr>
        <w:ilvl w:val="3"/>
        <w:numId w:val="2"/>
      </w:numPr>
      <w:tabs>
        <w:tab w:val="left" w:pos="340"/>
      </w:tabs>
      <w:spacing w:after="0"/>
      <w:outlineLvl w:val="3"/>
    </w:pPr>
    <w:rPr>
      <w:rFonts w:eastAsiaTheme="majorEastAsia" w:cstheme="majorBidi"/>
      <w:b/>
      <w:bCs/>
      <w:iCs/>
      <w:color w:val="75787B" w:themeColor="accent6"/>
    </w:rPr>
  </w:style>
  <w:style w:type="paragraph" w:styleId="Heading5">
    <w:name w:val="heading 5"/>
    <w:basedOn w:val="Normal"/>
    <w:next w:val="Normal"/>
    <w:link w:val="Heading5Char"/>
    <w:uiPriority w:val="1"/>
    <w:rsid w:val="00F9113D"/>
    <w:pPr>
      <w:keepNext/>
      <w:keepLines/>
      <w:numPr>
        <w:ilvl w:val="4"/>
        <w:numId w:val="2"/>
      </w:numPr>
      <w:spacing w:after="0"/>
      <w:outlineLvl w:val="4"/>
    </w:pPr>
    <w:rPr>
      <w:rFonts w:eastAsiaTheme="majorEastAsia" w:cstheme="majorBidi"/>
      <w:b/>
    </w:rPr>
  </w:style>
  <w:style w:type="paragraph" w:styleId="Heading6">
    <w:name w:val="heading 6"/>
    <w:basedOn w:val="Normal"/>
    <w:next w:val="Normal"/>
    <w:link w:val="Heading6Char"/>
    <w:uiPriority w:val="1"/>
    <w:semiHidden/>
    <w:qFormat/>
    <w:rsid w:val="00F9113D"/>
    <w:pPr>
      <w:keepNext/>
      <w:keepLines/>
      <w:numPr>
        <w:ilvl w:val="5"/>
        <w:numId w:val="2"/>
      </w:numPr>
      <w:spacing w:after="0"/>
      <w:outlineLvl w:val="5"/>
    </w:pPr>
    <w:rPr>
      <w:rFonts w:eastAsiaTheme="majorEastAsia" w:cstheme="majorBidi"/>
      <w:b/>
      <w:iCs/>
    </w:rPr>
  </w:style>
  <w:style w:type="paragraph" w:styleId="Heading7">
    <w:name w:val="heading 7"/>
    <w:basedOn w:val="Normal"/>
    <w:next w:val="Normal"/>
    <w:link w:val="Heading7Char"/>
    <w:uiPriority w:val="1"/>
    <w:semiHidden/>
    <w:qFormat/>
    <w:rsid w:val="00F9113D"/>
    <w:pPr>
      <w:keepNext/>
      <w:keepLines/>
      <w:spacing w:after="0"/>
      <w:outlineLvl w:val="6"/>
    </w:pPr>
    <w:rPr>
      <w:rFonts w:eastAsiaTheme="majorEastAsia" w:cstheme="majorBidi"/>
      <w:b/>
      <w:iCs/>
    </w:rPr>
  </w:style>
  <w:style w:type="paragraph" w:styleId="Heading8">
    <w:name w:val="heading 8"/>
    <w:basedOn w:val="Normal"/>
    <w:next w:val="Normal"/>
    <w:link w:val="Heading8Char"/>
    <w:uiPriority w:val="1"/>
    <w:semiHidden/>
    <w:qFormat/>
    <w:rsid w:val="00F9113D"/>
    <w:pPr>
      <w:keepNext/>
      <w:keepLines/>
      <w:spacing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F9113D"/>
    <w:pPr>
      <w:keepNext/>
      <w:keepLines/>
      <w:spacing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E2F33"/>
    <w:rPr>
      <w:rFonts w:eastAsiaTheme="majorEastAsia" w:cstheme="majorBidi"/>
      <w:bCs/>
      <w:sz w:val="60"/>
      <w:szCs w:val="28"/>
      <w:lang w:val="en-AU"/>
    </w:rPr>
  </w:style>
  <w:style w:type="character" w:customStyle="1" w:styleId="Heading2Char">
    <w:name w:val="Heading 2 Char"/>
    <w:basedOn w:val="DefaultParagraphFont"/>
    <w:link w:val="Heading2"/>
    <w:uiPriority w:val="1"/>
    <w:rsid w:val="00823D3C"/>
    <w:rPr>
      <w:rFonts w:eastAsiaTheme="majorEastAsia" w:cstheme="majorBidi"/>
      <w:b/>
      <w:bCs/>
      <w:color w:val="62B5E5" w:themeColor="accent3"/>
      <w:sz w:val="22"/>
      <w:szCs w:val="28"/>
      <w:lang w:val="en-AU"/>
    </w:rPr>
  </w:style>
  <w:style w:type="table" w:styleId="TableGrid">
    <w:name w:val="Table Grid"/>
    <w:basedOn w:val="TableNormal"/>
    <w:uiPriority w:val="99"/>
    <w:rsid w:val="00D93FF0"/>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10"/>
    <w:semiHidden/>
    <w:rsid w:val="000116B0"/>
    <w:pPr>
      <w:tabs>
        <w:tab w:val="center" w:pos="4513"/>
        <w:tab w:val="right" w:pos="9026"/>
      </w:tabs>
      <w:spacing w:line="240" w:lineRule="auto"/>
    </w:pPr>
    <w:rPr>
      <w:sz w:val="14"/>
      <w:lang w:val="en-AU"/>
    </w:rPr>
  </w:style>
  <w:style w:type="character" w:customStyle="1" w:styleId="HeaderChar">
    <w:name w:val="Header Char"/>
    <w:basedOn w:val="DefaultParagraphFont"/>
    <w:link w:val="Header"/>
    <w:uiPriority w:val="10"/>
    <w:semiHidden/>
    <w:rsid w:val="000116B0"/>
    <w:rPr>
      <w:sz w:val="14"/>
      <w:lang w:val="en-AU"/>
    </w:rPr>
  </w:style>
  <w:style w:type="paragraph" w:styleId="Footer">
    <w:name w:val="footer"/>
    <w:basedOn w:val="Normal"/>
    <w:link w:val="FooterChar"/>
    <w:uiPriority w:val="10"/>
    <w:semiHidden/>
    <w:qFormat/>
    <w:rsid w:val="00F9113D"/>
    <w:pPr>
      <w:tabs>
        <w:tab w:val="right" w:pos="7371"/>
      </w:tabs>
      <w:spacing w:after="0" w:line="200" w:lineRule="atLeast"/>
    </w:pPr>
    <w:rPr>
      <w:sz w:val="16"/>
    </w:rPr>
  </w:style>
  <w:style w:type="character" w:customStyle="1" w:styleId="FooterChar">
    <w:name w:val="Footer Char"/>
    <w:basedOn w:val="DefaultParagraphFont"/>
    <w:link w:val="Footer"/>
    <w:uiPriority w:val="10"/>
    <w:semiHidden/>
    <w:rsid w:val="00F9113D"/>
    <w:rPr>
      <w:sz w:val="16"/>
    </w:rPr>
  </w:style>
  <w:style w:type="paragraph" w:styleId="BalloonText">
    <w:name w:val="Balloon Text"/>
    <w:basedOn w:val="Normal"/>
    <w:link w:val="BalloonTextChar"/>
    <w:uiPriority w:val="99"/>
    <w:semiHidden/>
    <w:rsid w:val="00F911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13D"/>
    <w:rPr>
      <w:rFonts w:ascii="Tahoma" w:hAnsi="Tahoma" w:cs="Tahoma"/>
      <w:sz w:val="16"/>
      <w:szCs w:val="16"/>
    </w:rPr>
  </w:style>
  <w:style w:type="paragraph" w:customStyle="1" w:styleId="Subject">
    <w:name w:val="Subject"/>
    <w:basedOn w:val="Normal"/>
    <w:uiPriority w:val="6"/>
    <w:semiHidden/>
    <w:qFormat/>
    <w:rsid w:val="00F9113D"/>
    <w:pPr>
      <w:spacing w:after="0"/>
    </w:pPr>
    <w:rPr>
      <w:b/>
    </w:rPr>
  </w:style>
  <w:style w:type="character" w:styleId="PlaceholderText">
    <w:name w:val="Placeholder Text"/>
    <w:basedOn w:val="DefaultParagraphFont"/>
    <w:uiPriority w:val="10"/>
    <w:semiHidden/>
    <w:rsid w:val="00F9113D"/>
    <w:rPr>
      <w:color w:val="808080"/>
      <w:lang w:val="en-AU"/>
    </w:rPr>
  </w:style>
  <w:style w:type="paragraph" w:styleId="ListBullet">
    <w:name w:val="List Bullet"/>
    <w:basedOn w:val="Normal"/>
    <w:uiPriority w:val="3"/>
    <w:qFormat/>
    <w:rsid w:val="00593086"/>
    <w:pPr>
      <w:numPr>
        <w:numId w:val="14"/>
      </w:numPr>
      <w:contextualSpacing/>
    </w:pPr>
    <w:rPr>
      <w:szCs w:val="17"/>
    </w:rPr>
  </w:style>
  <w:style w:type="paragraph" w:styleId="ListBullet2">
    <w:name w:val="List Bullet 2"/>
    <w:basedOn w:val="Normal"/>
    <w:uiPriority w:val="3"/>
    <w:rsid w:val="00DF7819"/>
    <w:pPr>
      <w:numPr>
        <w:numId w:val="15"/>
      </w:numPr>
      <w:spacing w:after="0"/>
      <w:contextualSpacing/>
    </w:pPr>
    <w:rPr>
      <w:szCs w:val="17"/>
    </w:rPr>
  </w:style>
  <w:style w:type="paragraph" w:styleId="ListNumber">
    <w:name w:val="List Number"/>
    <w:basedOn w:val="Normal"/>
    <w:uiPriority w:val="3"/>
    <w:qFormat/>
    <w:rsid w:val="007F7A8C"/>
    <w:pPr>
      <w:numPr>
        <w:numId w:val="17"/>
      </w:numPr>
      <w:spacing w:after="0"/>
      <w:contextualSpacing/>
    </w:pPr>
    <w:rPr>
      <w:szCs w:val="17"/>
    </w:rPr>
  </w:style>
  <w:style w:type="paragraph" w:styleId="ListNumber2">
    <w:name w:val="List Number 2"/>
    <w:basedOn w:val="Normal"/>
    <w:uiPriority w:val="3"/>
    <w:qFormat/>
    <w:rsid w:val="007F7A8C"/>
    <w:pPr>
      <w:numPr>
        <w:ilvl w:val="1"/>
        <w:numId w:val="17"/>
      </w:numPr>
      <w:spacing w:after="0"/>
      <w:contextualSpacing/>
    </w:pPr>
  </w:style>
  <w:style w:type="character" w:customStyle="1" w:styleId="Heading3Char">
    <w:name w:val="Heading 3 Char"/>
    <w:basedOn w:val="DefaultParagraphFont"/>
    <w:link w:val="Heading3"/>
    <w:uiPriority w:val="1"/>
    <w:rsid w:val="004B0BA8"/>
    <w:rPr>
      <w:rFonts w:eastAsiaTheme="majorEastAsia" w:cstheme="majorBidi"/>
      <w:b/>
      <w:bCs/>
      <w:sz w:val="22"/>
      <w:szCs w:val="22"/>
      <w:lang w:val="en-AU"/>
    </w:rPr>
  </w:style>
  <w:style w:type="character" w:customStyle="1" w:styleId="Heading4Char">
    <w:name w:val="Heading 4 Char"/>
    <w:basedOn w:val="DefaultParagraphFont"/>
    <w:link w:val="Heading4"/>
    <w:uiPriority w:val="1"/>
    <w:rsid w:val="00C50447"/>
    <w:rPr>
      <w:rFonts w:eastAsiaTheme="majorEastAsia" w:cstheme="majorBidi"/>
      <w:b/>
      <w:bCs/>
      <w:iCs/>
      <w:color w:val="75787B" w:themeColor="accent6"/>
      <w:lang w:val="en-AU"/>
    </w:rPr>
  </w:style>
  <w:style w:type="paragraph" w:styleId="FootnoteText">
    <w:name w:val="footnote text"/>
    <w:basedOn w:val="Normal"/>
    <w:link w:val="FootnoteTextChar"/>
    <w:uiPriority w:val="99"/>
    <w:qFormat/>
    <w:rsid w:val="00F9113D"/>
    <w:pPr>
      <w:spacing w:after="0" w:line="240" w:lineRule="auto"/>
    </w:pPr>
    <w:rPr>
      <w:sz w:val="16"/>
      <w:szCs w:val="20"/>
    </w:rPr>
  </w:style>
  <w:style w:type="character" w:customStyle="1" w:styleId="FootnoteTextChar">
    <w:name w:val="Footnote Text Char"/>
    <w:basedOn w:val="DefaultParagraphFont"/>
    <w:link w:val="FootnoteText"/>
    <w:uiPriority w:val="99"/>
    <w:rsid w:val="00F9113D"/>
    <w:rPr>
      <w:sz w:val="16"/>
      <w:szCs w:val="20"/>
    </w:rPr>
  </w:style>
  <w:style w:type="paragraph" w:customStyle="1" w:styleId="Documenttitle">
    <w:name w:val="Document title"/>
    <w:next w:val="Documentsubtitle"/>
    <w:uiPriority w:val="7"/>
    <w:rsid w:val="007C4146"/>
    <w:pPr>
      <w:spacing w:line="440" w:lineRule="atLeast"/>
    </w:pPr>
    <w:rPr>
      <w:rFonts w:eastAsiaTheme="majorEastAsia" w:cstheme="majorBidi"/>
      <w:b/>
      <w:bCs/>
      <w:color w:val="000000"/>
      <w:sz w:val="32"/>
      <w:szCs w:val="28"/>
      <w:lang w:val="en-AU"/>
    </w:rPr>
  </w:style>
  <w:style w:type="paragraph" w:customStyle="1" w:styleId="Subheading">
    <w:name w:val="Subheading"/>
    <w:basedOn w:val="Normal"/>
    <w:next w:val="Normal"/>
    <w:uiPriority w:val="6"/>
    <w:semiHidden/>
    <w:qFormat/>
    <w:rsid w:val="00F9113D"/>
    <w:pPr>
      <w:spacing w:after="0"/>
    </w:pPr>
    <w:rPr>
      <w:rFonts w:eastAsiaTheme="majorEastAsia" w:cstheme="majorBidi"/>
      <w:b/>
      <w:bCs/>
      <w:iCs/>
      <w:color w:val="000000" w:themeColor="text1"/>
    </w:rPr>
  </w:style>
  <w:style w:type="character" w:styleId="FootnoteReference">
    <w:name w:val="footnote reference"/>
    <w:basedOn w:val="DefaultParagraphFont"/>
    <w:uiPriority w:val="99"/>
    <w:rsid w:val="00F9113D"/>
    <w:rPr>
      <w:vertAlign w:val="superscript"/>
      <w:lang w:val="en-AU"/>
    </w:rPr>
  </w:style>
  <w:style w:type="paragraph" w:customStyle="1" w:styleId="Sectionintro">
    <w:name w:val="Section intro"/>
    <w:basedOn w:val="Normal"/>
    <w:next w:val="Normal"/>
    <w:uiPriority w:val="2"/>
    <w:qFormat/>
    <w:rsid w:val="00F9113D"/>
    <w:pPr>
      <w:spacing w:after="360" w:line="360" w:lineRule="atLeast"/>
      <w:contextualSpacing/>
    </w:pPr>
    <w:rPr>
      <w:sz w:val="28"/>
    </w:rPr>
  </w:style>
  <w:style w:type="paragraph" w:customStyle="1" w:styleId="Documentdate">
    <w:name w:val="Document date"/>
    <w:uiPriority w:val="7"/>
    <w:rsid w:val="00F9113D"/>
    <w:rPr>
      <w:color w:val="000000"/>
      <w:lang w:val="en-AU"/>
    </w:rPr>
  </w:style>
  <w:style w:type="paragraph" w:customStyle="1" w:styleId="Heading1un-numbered">
    <w:name w:val="Heading 1 (un-numbered)"/>
    <w:basedOn w:val="Normal"/>
    <w:next w:val="Normal"/>
    <w:uiPriority w:val="2"/>
    <w:qFormat/>
    <w:rsid w:val="00F9113D"/>
    <w:pPr>
      <w:keepNext/>
      <w:keepLines/>
      <w:pageBreakBefore/>
      <w:spacing w:after="480" w:line="720" w:lineRule="atLeast"/>
      <w:outlineLvl w:val="0"/>
    </w:pPr>
    <w:rPr>
      <w:sz w:val="60"/>
    </w:rPr>
  </w:style>
  <w:style w:type="paragraph" w:customStyle="1" w:styleId="PulloutBlue">
    <w:name w:val="Pullout Blue"/>
    <w:basedOn w:val="Normal"/>
    <w:next w:val="Normal"/>
    <w:uiPriority w:val="6"/>
    <w:rsid w:val="00F9113D"/>
    <w:pPr>
      <w:spacing w:after="0" w:line="360" w:lineRule="atLeast"/>
    </w:pPr>
    <w:rPr>
      <w:color w:val="62B5E5" w:themeColor="accent3"/>
      <w:sz w:val="28"/>
    </w:rPr>
  </w:style>
  <w:style w:type="paragraph" w:customStyle="1" w:styleId="Contacttext">
    <w:name w:val="Contact text"/>
    <w:basedOn w:val="Normal"/>
    <w:uiPriority w:val="7"/>
    <w:semiHidden/>
    <w:rsid w:val="00F9113D"/>
    <w:pPr>
      <w:spacing w:after="0"/>
    </w:pPr>
  </w:style>
  <w:style w:type="paragraph" w:customStyle="1" w:styleId="Contactus">
    <w:name w:val="Contact us"/>
    <w:basedOn w:val="Contacttext"/>
    <w:next w:val="Contacttext"/>
    <w:uiPriority w:val="7"/>
    <w:semiHidden/>
    <w:rsid w:val="00F9113D"/>
    <w:pPr>
      <w:spacing w:after="240" w:line="340" w:lineRule="atLeast"/>
    </w:pPr>
    <w:rPr>
      <w:sz w:val="28"/>
    </w:rPr>
  </w:style>
  <w:style w:type="paragraph" w:styleId="Caption">
    <w:name w:val="caption"/>
    <w:basedOn w:val="Normal"/>
    <w:next w:val="Normal"/>
    <w:uiPriority w:val="3"/>
    <w:qFormat/>
    <w:rsid w:val="005D6648"/>
    <w:pPr>
      <w:keepNext/>
      <w:keepLines/>
      <w:spacing w:before="240" w:after="240"/>
    </w:pPr>
    <w:rPr>
      <w:iCs/>
      <w:color w:val="75787B" w:themeColor="accent6"/>
      <w:sz w:val="17"/>
    </w:rPr>
  </w:style>
  <w:style w:type="character" w:styleId="Hyperlink">
    <w:name w:val="Hyperlink"/>
    <w:basedOn w:val="DefaultParagraphFont"/>
    <w:uiPriority w:val="99"/>
    <w:rsid w:val="00F9113D"/>
    <w:rPr>
      <w:color w:val="00A3E0" w:themeColor="hyperlink"/>
      <w:u w:val="single"/>
      <w:lang w:val="en-AU"/>
    </w:rPr>
  </w:style>
  <w:style w:type="paragraph" w:customStyle="1" w:styleId="PulloutGreen">
    <w:name w:val="Pullout Green"/>
    <w:basedOn w:val="PulloutBlue"/>
    <w:next w:val="Normal"/>
    <w:uiPriority w:val="6"/>
    <w:rsid w:val="00F9113D"/>
    <w:rPr>
      <w:color w:val="86BC25" w:themeColor="accent1"/>
    </w:rPr>
  </w:style>
  <w:style w:type="paragraph" w:customStyle="1" w:styleId="QuotesourceBlue">
    <w:name w:val="Quote source Blue"/>
    <w:basedOn w:val="Normal"/>
    <w:next w:val="Normal"/>
    <w:uiPriority w:val="6"/>
    <w:rsid w:val="00F9113D"/>
    <w:pPr>
      <w:spacing w:after="0"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F9113D"/>
    <w:rPr>
      <w:color w:val="86BC25" w:themeColor="accent1"/>
    </w:rPr>
  </w:style>
  <w:style w:type="paragraph" w:customStyle="1" w:styleId="Paneltext">
    <w:name w:val="Panel text"/>
    <w:basedOn w:val="Normal"/>
    <w:uiPriority w:val="6"/>
    <w:rsid w:val="00F9113D"/>
    <w:pPr>
      <w:spacing w:after="0"/>
    </w:pPr>
    <w:rPr>
      <w:color w:val="FFFFFF"/>
      <w:sz w:val="17"/>
    </w:rPr>
  </w:style>
  <w:style w:type="paragraph" w:customStyle="1" w:styleId="Paneltitle">
    <w:name w:val="Panel title"/>
    <w:basedOn w:val="Paneltext"/>
    <w:next w:val="Paneltext"/>
    <w:uiPriority w:val="6"/>
    <w:rsid w:val="00F9113D"/>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F9113D"/>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uiPriority w:val="7"/>
    <w:rsid w:val="007C4146"/>
    <w:pPr>
      <w:spacing w:after="120" w:line="440" w:lineRule="atLeast"/>
    </w:pPr>
    <w:rPr>
      <w:color w:val="000000"/>
      <w:sz w:val="28"/>
    </w:rPr>
  </w:style>
  <w:style w:type="paragraph" w:customStyle="1" w:styleId="Contentstitle">
    <w:name w:val="Contents title"/>
    <w:basedOn w:val="Heading1un-numbered"/>
    <w:next w:val="Normal"/>
    <w:uiPriority w:val="7"/>
    <w:semiHidden/>
    <w:rsid w:val="00F9113D"/>
  </w:style>
  <w:style w:type="paragraph" w:styleId="TOC1">
    <w:name w:val="toc 1"/>
    <w:basedOn w:val="Normal"/>
    <w:next w:val="Normal"/>
    <w:uiPriority w:val="39"/>
    <w:rsid w:val="00271D10"/>
    <w:pPr>
      <w:tabs>
        <w:tab w:val="left" w:pos="567"/>
        <w:tab w:val="right" w:pos="8959"/>
      </w:tabs>
      <w:spacing w:after="120" w:line="320" w:lineRule="atLeast"/>
      <w:ind w:left="567" w:right="567" w:hanging="567"/>
    </w:pPr>
  </w:style>
  <w:style w:type="paragraph" w:customStyle="1" w:styleId="Quotetext">
    <w:name w:val="Quote text"/>
    <w:basedOn w:val="PulloutBlue"/>
    <w:uiPriority w:val="6"/>
    <w:rsid w:val="00F9113D"/>
    <w:pPr>
      <w:spacing w:line="720" w:lineRule="atLeast"/>
    </w:pPr>
    <w:rPr>
      <w:color w:val="FFFFFF"/>
      <w:sz w:val="60"/>
    </w:rPr>
  </w:style>
  <w:style w:type="paragraph" w:customStyle="1" w:styleId="Legaltext">
    <w:name w:val="Legal text"/>
    <w:basedOn w:val="Normal"/>
    <w:uiPriority w:val="7"/>
    <w:semiHidden/>
    <w:qFormat/>
    <w:rsid w:val="00F9113D"/>
    <w:pPr>
      <w:spacing w:after="0" w:line="180" w:lineRule="atLeast"/>
    </w:pPr>
    <w:rPr>
      <w:sz w:val="14"/>
    </w:rPr>
  </w:style>
  <w:style w:type="table" w:customStyle="1" w:styleId="Deloittetable">
    <w:name w:val="Deloitte table"/>
    <w:basedOn w:val="TableNormal"/>
    <w:uiPriority w:val="99"/>
    <w:rsid w:val="005C6F31"/>
    <w:pPr>
      <w:ind w:left="57" w:right="57"/>
    </w:pPr>
    <w:rPr>
      <w:sz w:val="17"/>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Left">
    <w:name w:val="Table text Left"/>
    <w:basedOn w:val="Normal"/>
    <w:uiPriority w:val="5"/>
    <w:rsid w:val="004A4474"/>
    <w:pPr>
      <w:spacing w:after="0" w:line="200" w:lineRule="atLeast"/>
      <w:ind w:left="57" w:right="57"/>
    </w:pPr>
    <w:rPr>
      <w:sz w:val="17"/>
    </w:rPr>
  </w:style>
  <w:style w:type="paragraph" w:customStyle="1" w:styleId="TableHeadingLeft">
    <w:name w:val="Table Heading Left"/>
    <w:basedOn w:val="TabletextLeft"/>
    <w:uiPriority w:val="5"/>
    <w:rsid w:val="00625BDB"/>
    <w:rPr>
      <w:b/>
      <w:color w:val="62B5E5" w:themeColor="accent3"/>
    </w:rPr>
  </w:style>
  <w:style w:type="paragraph" w:customStyle="1" w:styleId="Source">
    <w:name w:val="Source"/>
    <w:basedOn w:val="Caption"/>
    <w:next w:val="Normal"/>
    <w:uiPriority w:val="6"/>
    <w:rsid w:val="00B5479F"/>
    <w:pPr>
      <w:keepNext w:val="0"/>
      <w:keepLines w:val="0"/>
      <w:spacing w:before="120"/>
    </w:pPr>
    <w:rPr>
      <w:sz w:val="14"/>
    </w:rPr>
  </w:style>
  <w:style w:type="paragraph" w:customStyle="1" w:styleId="Tablebullets">
    <w:name w:val="Table bullets"/>
    <w:basedOn w:val="TabletextLeft"/>
    <w:uiPriority w:val="5"/>
    <w:rsid w:val="00F9113D"/>
    <w:pPr>
      <w:framePr w:hSpace="180" w:wrap="around" w:vAnchor="text" w:hAnchor="text" w:y="1"/>
      <w:numPr>
        <w:numId w:val="8"/>
      </w:numPr>
      <w:suppressOverlap/>
    </w:pPr>
  </w:style>
  <w:style w:type="paragraph" w:customStyle="1" w:styleId="Tablenumbered">
    <w:name w:val="Table numbered"/>
    <w:basedOn w:val="TabletextLeft"/>
    <w:uiPriority w:val="5"/>
    <w:rsid w:val="00F9113D"/>
    <w:pPr>
      <w:framePr w:hSpace="180" w:wrap="around" w:vAnchor="text" w:hAnchor="text" w:y="1"/>
      <w:numPr>
        <w:numId w:val="9"/>
      </w:numPr>
      <w:suppressOverlap/>
    </w:pPr>
  </w:style>
  <w:style w:type="paragraph" w:customStyle="1" w:styleId="Charttitle">
    <w:name w:val="Chart title"/>
    <w:uiPriority w:val="7"/>
    <w:rsid w:val="00F9113D"/>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F9113D"/>
  </w:style>
  <w:style w:type="paragraph" w:styleId="BlockText">
    <w:name w:val="Block Text"/>
    <w:basedOn w:val="Normal"/>
    <w:uiPriority w:val="99"/>
    <w:semiHidden/>
    <w:rsid w:val="00F9113D"/>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F9113D"/>
    <w:pPr>
      <w:spacing w:after="240"/>
    </w:pPr>
  </w:style>
  <w:style w:type="character" w:customStyle="1" w:styleId="BodyTextChar">
    <w:name w:val="Body Text Char"/>
    <w:basedOn w:val="DefaultParagraphFont"/>
    <w:link w:val="BodyText"/>
    <w:semiHidden/>
    <w:rsid w:val="00D24870"/>
  </w:style>
  <w:style w:type="paragraph" w:styleId="BodyText2">
    <w:name w:val="Body Text 2"/>
    <w:basedOn w:val="Normal"/>
    <w:link w:val="BodyText2Char"/>
    <w:uiPriority w:val="99"/>
    <w:semiHidden/>
    <w:rsid w:val="00F9113D"/>
    <w:pPr>
      <w:spacing w:after="120" w:line="480" w:lineRule="auto"/>
    </w:pPr>
  </w:style>
  <w:style w:type="character" w:customStyle="1" w:styleId="BodyText2Char">
    <w:name w:val="Body Text 2 Char"/>
    <w:basedOn w:val="DefaultParagraphFont"/>
    <w:link w:val="BodyText2"/>
    <w:uiPriority w:val="99"/>
    <w:semiHidden/>
    <w:rsid w:val="00F9113D"/>
  </w:style>
  <w:style w:type="paragraph" w:styleId="BodyText3">
    <w:name w:val="Body Text 3"/>
    <w:basedOn w:val="Normal"/>
    <w:link w:val="BodyText3Char"/>
    <w:uiPriority w:val="99"/>
    <w:semiHidden/>
    <w:rsid w:val="00F9113D"/>
    <w:pPr>
      <w:spacing w:after="120"/>
    </w:pPr>
    <w:rPr>
      <w:sz w:val="16"/>
      <w:szCs w:val="16"/>
    </w:rPr>
  </w:style>
  <w:style w:type="character" w:customStyle="1" w:styleId="BodyText3Char">
    <w:name w:val="Body Text 3 Char"/>
    <w:basedOn w:val="DefaultParagraphFont"/>
    <w:link w:val="BodyText3"/>
    <w:uiPriority w:val="99"/>
    <w:semiHidden/>
    <w:rsid w:val="00F9113D"/>
    <w:rPr>
      <w:sz w:val="16"/>
      <w:szCs w:val="16"/>
    </w:rPr>
  </w:style>
  <w:style w:type="paragraph" w:styleId="BodyTextFirstIndent">
    <w:name w:val="Body Text First Indent"/>
    <w:basedOn w:val="BodyText"/>
    <w:link w:val="BodyTextFirstIndentChar"/>
    <w:uiPriority w:val="99"/>
    <w:semiHidden/>
    <w:rsid w:val="00F9113D"/>
    <w:pPr>
      <w:ind w:firstLine="360"/>
    </w:pPr>
  </w:style>
  <w:style w:type="character" w:customStyle="1" w:styleId="BodyTextFirstIndentChar">
    <w:name w:val="Body Text First Indent Char"/>
    <w:basedOn w:val="BodyTextChar"/>
    <w:link w:val="BodyTextFirstIndent"/>
    <w:uiPriority w:val="99"/>
    <w:semiHidden/>
    <w:rsid w:val="00F9113D"/>
  </w:style>
  <w:style w:type="paragraph" w:styleId="BodyTextIndent">
    <w:name w:val="Body Text Indent"/>
    <w:basedOn w:val="Normal"/>
    <w:link w:val="BodyTextIndentChar"/>
    <w:uiPriority w:val="99"/>
    <w:semiHidden/>
    <w:rsid w:val="00F9113D"/>
    <w:pPr>
      <w:spacing w:after="120"/>
      <w:ind w:left="283"/>
    </w:pPr>
  </w:style>
  <w:style w:type="character" w:customStyle="1" w:styleId="BodyTextIndentChar">
    <w:name w:val="Body Text Indent Char"/>
    <w:basedOn w:val="DefaultParagraphFont"/>
    <w:link w:val="BodyTextIndent"/>
    <w:uiPriority w:val="99"/>
    <w:semiHidden/>
    <w:rsid w:val="00F9113D"/>
  </w:style>
  <w:style w:type="paragraph" w:styleId="BodyTextFirstIndent2">
    <w:name w:val="Body Text First Indent 2"/>
    <w:basedOn w:val="BodyTextIndent"/>
    <w:link w:val="BodyTextFirstIndent2Char"/>
    <w:uiPriority w:val="99"/>
    <w:semiHidden/>
    <w:rsid w:val="00F9113D"/>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9113D"/>
  </w:style>
  <w:style w:type="paragraph" w:styleId="BodyTextIndent2">
    <w:name w:val="Body Text Indent 2"/>
    <w:basedOn w:val="Normal"/>
    <w:link w:val="BodyTextIndent2Char"/>
    <w:uiPriority w:val="99"/>
    <w:semiHidden/>
    <w:rsid w:val="00F9113D"/>
    <w:pPr>
      <w:spacing w:after="120" w:line="480" w:lineRule="auto"/>
      <w:ind w:left="283"/>
    </w:pPr>
  </w:style>
  <w:style w:type="character" w:customStyle="1" w:styleId="BodyTextIndent2Char">
    <w:name w:val="Body Text Indent 2 Char"/>
    <w:basedOn w:val="DefaultParagraphFont"/>
    <w:link w:val="BodyTextIndent2"/>
    <w:uiPriority w:val="99"/>
    <w:semiHidden/>
    <w:rsid w:val="00F9113D"/>
  </w:style>
  <w:style w:type="paragraph" w:styleId="BodyTextIndent3">
    <w:name w:val="Body Text Indent 3"/>
    <w:basedOn w:val="Normal"/>
    <w:link w:val="BodyTextIndent3Char"/>
    <w:uiPriority w:val="99"/>
    <w:semiHidden/>
    <w:rsid w:val="00F911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13D"/>
    <w:rPr>
      <w:sz w:val="16"/>
      <w:szCs w:val="16"/>
    </w:rPr>
  </w:style>
  <w:style w:type="character" w:styleId="BookTitle">
    <w:name w:val="Book Title"/>
    <w:basedOn w:val="DefaultParagraphFont"/>
    <w:uiPriority w:val="99"/>
    <w:semiHidden/>
    <w:qFormat/>
    <w:rsid w:val="00F9113D"/>
    <w:rPr>
      <w:b/>
      <w:bCs/>
      <w:smallCaps/>
      <w:spacing w:val="5"/>
      <w:lang w:val="en-AU"/>
    </w:rPr>
  </w:style>
  <w:style w:type="paragraph" w:styleId="Closing">
    <w:name w:val="Closing"/>
    <w:basedOn w:val="Normal"/>
    <w:link w:val="ClosingChar"/>
    <w:uiPriority w:val="99"/>
    <w:semiHidden/>
    <w:rsid w:val="00F9113D"/>
    <w:pPr>
      <w:spacing w:line="240" w:lineRule="auto"/>
      <w:ind w:left="4252"/>
    </w:pPr>
  </w:style>
  <w:style w:type="character" w:customStyle="1" w:styleId="ClosingChar">
    <w:name w:val="Closing Char"/>
    <w:basedOn w:val="DefaultParagraphFont"/>
    <w:link w:val="Closing"/>
    <w:uiPriority w:val="99"/>
    <w:semiHidden/>
    <w:rsid w:val="00F9113D"/>
  </w:style>
  <w:style w:type="table" w:styleId="ColorfulGrid">
    <w:name w:val="Colorful Grid"/>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CF" w:themeFill="accent1" w:themeFillTint="33"/>
    </w:tcPr>
    <w:tblStylePr w:type="firstRow">
      <w:rPr>
        <w:b/>
        <w:bCs/>
      </w:rPr>
      <w:tblPr/>
      <w:tcPr>
        <w:shd w:val="clear" w:color="auto" w:fill="D0EC9F" w:themeFill="accent1" w:themeFillTint="66"/>
      </w:tcPr>
    </w:tblStylePr>
    <w:tblStylePr w:type="lastRow">
      <w:rPr>
        <w:b/>
        <w:bCs/>
        <w:color w:val="000000" w:themeColor="text1"/>
      </w:rPr>
      <w:tblPr/>
      <w:tcPr>
        <w:shd w:val="clear" w:color="auto" w:fill="D0EC9F" w:themeFill="accent1" w:themeFillTint="66"/>
      </w:tcPr>
    </w:tblStylePr>
    <w:tblStylePr w:type="firstCol">
      <w:rPr>
        <w:color w:val="FFFFFF" w:themeColor="background1"/>
      </w:rPr>
      <w:tblPr/>
      <w:tcPr>
        <w:shd w:val="clear" w:color="auto" w:fill="638C1B" w:themeFill="accent1" w:themeFillShade="BF"/>
      </w:tcPr>
    </w:tblStylePr>
    <w:tblStylePr w:type="lastCol">
      <w:rPr>
        <w:color w:val="FFFFFF" w:themeColor="background1"/>
      </w:rPr>
      <w:tblPr/>
      <w:tcPr>
        <w:shd w:val="clear" w:color="auto" w:fill="638C1B" w:themeFill="accent1" w:themeFillShade="BF"/>
      </w:tc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ColorfulGrid-Accent2">
    <w:name w:val="Colorful Grid Accent 2"/>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2" w:themeFillTint="33"/>
    </w:tcPr>
    <w:tblStylePr w:type="firstRow">
      <w:rPr>
        <w:b/>
        <w:bCs/>
      </w:rPr>
      <w:tblPr/>
      <w:tcPr>
        <w:shd w:val="clear" w:color="auto" w:fill="64F9B0" w:themeFill="accent2" w:themeFillTint="66"/>
      </w:tcPr>
    </w:tblStylePr>
    <w:tblStylePr w:type="lastRow">
      <w:rPr>
        <w:b/>
        <w:bCs/>
        <w:color w:val="000000" w:themeColor="text1"/>
      </w:rPr>
      <w:tblPr/>
      <w:tcPr>
        <w:shd w:val="clear" w:color="auto" w:fill="64F9B0" w:themeFill="accent2" w:themeFillTint="66"/>
      </w:tcPr>
    </w:tblStylePr>
    <w:tblStylePr w:type="firstCol">
      <w:rPr>
        <w:color w:val="FFFFFF" w:themeColor="background1"/>
      </w:rPr>
      <w:tblPr/>
      <w:tcPr>
        <w:shd w:val="clear" w:color="auto" w:fill="034F29" w:themeFill="accent2" w:themeFillShade="BF"/>
      </w:tcPr>
    </w:tblStylePr>
    <w:tblStylePr w:type="lastCol">
      <w:rPr>
        <w:color w:val="FFFFFF" w:themeColor="background1"/>
      </w:rPr>
      <w:tblPr/>
      <w:tcPr>
        <w:shd w:val="clear" w:color="auto" w:fill="034F29" w:themeFill="accent2" w:themeFillShade="BF"/>
      </w:tc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ColorfulGrid-Accent3">
    <w:name w:val="Colorful Grid Accent 3"/>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F0F9" w:themeFill="accent3" w:themeFillTint="33"/>
    </w:tcPr>
    <w:tblStylePr w:type="firstRow">
      <w:rPr>
        <w:b/>
        <w:bCs/>
      </w:rPr>
      <w:tblPr/>
      <w:tcPr>
        <w:shd w:val="clear" w:color="auto" w:fill="C0E1F4" w:themeFill="accent3" w:themeFillTint="66"/>
      </w:tcPr>
    </w:tblStylePr>
    <w:tblStylePr w:type="lastRow">
      <w:rPr>
        <w:b/>
        <w:bCs/>
        <w:color w:val="000000" w:themeColor="text1"/>
      </w:rPr>
      <w:tblPr/>
      <w:tcPr>
        <w:shd w:val="clear" w:color="auto" w:fill="C0E1F4" w:themeFill="accent3" w:themeFillTint="66"/>
      </w:tcPr>
    </w:tblStylePr>
    <w:tblStylePr w:type="firstCol">
      <w:rPr>
        <w:color w:val="FFFFFF" w:themeColor="background1"/>
      </w:rPr>
      <w:tblPr/>
      <w:tcPr>
        <w:shd w:val="clear" w:color="auto" w:fill="2291D1" w:themeFill="accent3" w:themeFillShade="BF"/>
      </w:tcPr>
    </w:tblStylePr>
    <w:tblStylePr w:type="lastCol">
      <w:rPr>
        <w:color w:val="FFFFFF" w:themeColor="background1"/>
      </w:rPr>
      <w:tblPr/>
      <w:tcPr>
        <w:shd w:val="clear" w:color="auto" w:fill="2291D1" w:themeFill="accent3" w:themeFillShade="BF"/>
      </w:tc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ColorfulGrid-Accent4">
    <w:name w:val="Colorful Grid Accent 4"/>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EC7FE" w:themeFill="accent4" w:themeFillTint="33"/>
    </w:tcPr>
    <w:tblStylePr w:type="firstRow">
      <w:rPr>
        <w:b/>
        <w:bCs/>
      </w:rPr>
      <w:tblPr/>
      <w:tcPr>
        <w:shd w:val="clear" w:color="auto" w:fill="5E8FFD" w:themeFill="accent4" w:themeFillTint="66"/>
      </w:tcPr>
    </w:tblStylePr>
    <w:tblStylePr w:type="lastRow">
      <w:rPr>
        <w:b/>
        <w:bCs/>
        <w:color w:val="000000" w:themeColor="text1"/>
      </w:rPr>
      <w:tblPr/>
      <w:tcPr>
        <w:shd w:val="clear" w:color="auto" w:fill="5E8FFD" w:themeFill="accent4" w:themeFillTint="66"/>
      </w:tcPr>
    </w:tblStylePr>
    <w:tblStylePr w:type="firstCol">
      <w:rPr>
        <w:color w:val="FFFFFF" w:themeColor="background1"/>
      </w:rPr>
      <w:tblPr/>
      <w:tcPr>
        <w:shd w:val="clear" w:color="auto" w:fill="00184E" w:themeFill="accent4" w:themeFillShade="BF"/>
      </w:tcPr>
    </w:tblStylePr>
    <w:tblStylePr w:type="lastCol">
      <w:rPr>
        <w:color w:val="FFFFFF" w:themeColor="background1"/>
      </w:rPr>
      <w:tblPr/>
      <w:tcPr>
        <w:shd w:val="clear" w:color="auto" w:fill="00184E" w:themeFill="accent4" w:themeFillShade="BF"/>
      </w:tc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ColorfulGrid-Accent5">
    <w:name w:val="Colorful Grid Accent 5"/>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F7FF" w:themeFill="accent5" w:themeFillTint="33"/>
    </w:tcPr>
    <w:tblStylePr w:type="firstRow">
      <w:rPr>
        <w:b/>
        <w:bCs/>
      </w:rPr>
      <w:tblPr/>
      <w:tcPr>
        <w:shd w:val="clear" w:color="auto" w:fill="76EFFF" w:themeFill="accent5" w:themeFillTint="66"/>
      </w:tcPr>
    </w:tblStylePr>
    <w:tblStylePr w:type="lastRow">
      <w:rPr>
        <w:b/>
        <w:bCs/>
        <w:color w:val="000000" w:themeColor="text1"/>
      </w:rPr>
      <w:tblPr/>
      <w:tcPr>
        <w:shd w:val="clear" w:color="auto" w:fill="76EFFF" w:themeFill="accent5" w:themeFillTint="66"/>
      </w:tcPr>
    </w:tblStylePr>
    <w:tblStylePr w:type="firstCol">
      <w:rPr>
        <w:color w:val="FFFFFF" w:themeColor="background1"/>
      </w:rPr>
      <w:tblPr/>
      <w:tcPr>
        <w:shd w:val="clear" w:color="auto" w:fill="00707E" w:themeFill="accent5" w:themeFillShade="BF"/>
      </w:tcPr>
    </w:tblStylePr>
    <w:tblStylePr w:type="lastCol">
      <w:rPr>
        <w:color w:val="FFFFFF" w:themeColor="background1"/>
      </w:rPr>
      <w:tblPr/>
      <w:tcPr>
        <w:shd w:val="clear" w:color="auto" w:fill="00707E" w:themeFill="accent5" w:themeFillShade="BF"/>
      </w:tc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ColorfulGrid-Accent6">
    <w:name w:val="Colorful Grid Accent 6"/>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E3E4" w:themeFill="accent6" w:themeFillTint="33"/>
    </w:tcPr>
    <w:tblStylePr w:type="firstRow">
      <w:rPr>
        <w:b/>
        <w:bCs/>
      </w:rPr>
      <w:tblPr/>
      <w:tcPr>
        <w:shd w:val="clear" w:color="auto" w:fill="C7C8CA" w:themeFill="accent6" w:themeFillTint="66"/>
      </w:tcPr>
    </w:tblStylePr>
    <w:tblStylePr w:type="lastRow">
      <w:rPr>
        <w:b/>
        <w:bCs/>
        <w:color w:val="000000" w:themeColor="text1"/>
      </w:rPr>
      <w:tblPr/>
      <w:tcPr>
        <w:shd w:val="clear" w:color="auto" w:fill="C7C8CA" w:themeFill="accent6" w:themeFillTint="66"/>
      </w:tcPr>
    </w:tblStylePr>
    <w:tblStylePr w:type="firstCol">
      <w:rPr>
        <w:color w:val="FFFFFF" w:themeColor="background1"/>
      </w:rPr>
      <w:tblPr/>
      <w:tcPr>
        <w:shd w:val="clear" w:color="auto" w:fill="57595C" w:themeFill="accent6" w:themeFillShade="BF"/>
      </w:tcPr>
    </w:tblStylePr>
    <w:tblStylePr w:type="lastCol">
      <w:rPr>
        <w:color w:val="FFFFFF" w:themeColor="background1"/>
      </w:rPr>
      <w:tblPr/>
      <w:tcPr>
        <w:shd w:val="clear" w:color="auto" w:fill="57595C" w:themeFill="accent6" w:themeFillShade="BF"/>
      </w:tc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ColorfulList">
    <w:name w:val="Colorful List"/>
    <w:basedOn w:val="TableNormal"/>
    <w:uiPriority w:val="72"/>
    <w:rsid w:val="00F9113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113D"/>
    <w:pPr>
      <w:spacing w:line="240" w:lineRule="auto"/>
    </w:pPr>
    <w:rPr>
      <w:color w:val="000000" w:themeColor="text1"/>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C3" w:themeFill="accent1" w:themeFillTint="3F"/>
      </w:tcPr>
    </w:tblStylePr>
    <w:tblStylePr w:type="band1Horz">
      <w:tblPr/>
      <w:tcPr>
        <w:shd w:val="clear" w:color="auto" w:fill="E7F5CF" w:themeFill="accent1" w:themeFillTint="33"/>
      </w:tcPr>
    </w:tblStylePr>
  </w:style>
  <w:style w:type="table" w:styleId="ColorfulList-Accent2">
    <w:name w:val="Colorful List Accent 2"/>
    <w:basedOn w:val="TableNormal"/>
    <w:uiPriority w:val="72"/>
    <w:rsid w:val="00F9113D"/>
    <w:pPr>
      <w:spacing w:line="240" w:lineRule="auto"/>
    </w:pPr>
    <w:rPr>
      <w:color w:val="000000" w:themeColor="text1"/>
    </w:rPr>
    <w:tblPr>
      <w:tblStyleRowBandSize w:val="1"/>
      <w:tblStyleColBandSize w:val="1"/>
    </w:tblPr>
    <w:tcPr>
      <w:shd w:val="clear" w:color="auto" w:fill="D9FDEB" w:themeFill="accent2"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2" w:themeFillTint="3F"/>
      </w:tcPr>
    </w:tblStylePr>
    <w:tblStylePr w:type="band1Horz">
      <w:tblPr/>
      <w:tcPr>
        <w:shd w:val="clear" w:color="auto" w:fill="B1FCD7" w:themeFill="accent2" w:themeFillTint="33"/>
      </w:tcPr>
    </w:tblStylePr>
  </w:style>
  <w:style w:type="table" w:styleId="ColorfulList-Accent3">
    <w:name w:val="Colorful List Accent 3"/>
    <w:basedOn w:val="TableNormal"/>
    <w:uiPriority w:val="72"/>
    <w:rsid w:val="00F9113D"/>
    <w:pPr>
      <w:spacing w:line="240" w:lineRule="auto"/>
    </w:pPr>
    <w:rPr>
      <w:color w:val="000000" w:themeColor="text1"/>
    </w:rPr>
    <w:tblPr>
      <w:tblStyleRowBandSize w:val="1"/>
      <w:tblStyleColBandSize w:val="1"/>
    </w:tblPr>
    <w:tcPr>
      <w:shd w:val="clear" w:color="auto" w:fill="EFF7FC" w:themeFill="accent3" w:themeFillTint="19"/>
    </w:tcPr>
    <w:tblStylePr w:type="firstRow">
      <w:rPr>
        <w:b/>
        <w:bCs/>
        <w:color w:val="FFFFFF" w:themeColor="background1"/>
      </w:rPr>
      <w:tblPr/>
      <w:tcPr>
        <w:tcBorders>
          <w:bottom w:val="single" w:sz="12" w:space="0" w:color="FFFFFF" w:themeColor="background1"/>
        </w:tcBorders>
        <w:shd w:val="clear" w:color="auto" w:fill="001A53" w:themeFill="accent4" w:themeFillShade="CC"/>
      </w:tcPr>
    </w:tblStylePr>
    <w:tblStylePr w:type="lastRow">
      <w:rPr>
        <w:b/>
        <w:bCs/>
        <w:color w:val="001A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8" w:themeFill="accent3" w:themeFillTint="3F"/>
      </w:tcPr>
    </w:tblStylePr>
    <w:tblStylePr w:type="band1Horz">
      <w:tblPr/>
      <w:tcPr>
        <w:shd w:val="clear" w:color="auto" w:fill="DFF0F9" w:themeFill="accent3" w:themeFillTint="33"/>
      </w:tcPr>
    </w:tblStylePr>
  </w:style>
  <w:style w:type="table" w:styleId="ColorfulList-Accent4">
    <w:name w:val="Colorful List Accent 4"/>
    <w:basedOn w:val="TableNormal"/>
    <w:uiPriority w:val="72"/>
    <w:rsid w:val="00F9113D"/>
    <w:pPr>
      <w:spacing w:line="240" w:lineRule="auto"/>
    </w:pPr>
    <w:rPr>
      <w:color w:val="000000" w:themeColor="text1"/>
    </w:rPr>
    <w:tblPr>
      <w:tblStyleRowBandSize w:val="1"/>
      <w:tblStyleColBandSize w:val="1"/>
    </w:tblPr>
    <w:tcPr>
      <w:shd w:val="clear" w:color="auto" w:fill="D7E3FE" w:themeFill="accent4" w:themeFillTint="19"/>
    </w:tcPr>
    <w:tblStylePr w:type="firstRow">
      <w:rPr>
        <w:b/>
        <w:bCs/>
        <w:color w:val="FFFFFF" w:themeColor="background1"/>
      </w:rPr>
      <w:tblPr/>
      <w:tcPr>
        <w:tcBorders>
          <w:bottom w:val="single" w:sz="12" w:space="0" w:color="FFFFFF" w:themeColor="background1"/>
        </w:tcBorders>
        <w:shd w:val="clear" w:color="auto" w:fill="299ADB" w:themeFill="accent3" w:themeFillShade="CC"/>
      </w:tcPr>
    </w:tblStylePr>
    <w:tblStylePr w:type="lastRow">
      <w:rPr>
        <w:b/>
        <w:bCs/>
        <w:color w:val="299AD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B9FE" w:themeFill="accent4" w:themeFillTint="3F"/>
      </w:tcPr>
    </w:tblStylePr>
    <w:tblStylePr w:type="band1Horz">
      <w:tblPr/>
      <w:tcPr>
        <w:shd w:val="clear" w:color="auto" w:fill="AEC7FE" w:themeFill="accent4" w:themeFillTint="33"/>
      </w:tcPr>
    </w:tblStylePr>
  </w:style>
  <w:style w:type="table" w:styleId="ColorfulList-Accent5">
    <w:name w:val="Colorful List Accent 5"/>
    <w:basedOn w:val="TableNormal"/>
    <w:uiPriority w:val="72"/>
    <w:rsid w:val="00F9113D"/>
    <w:pPr>
      <w:spacing w:line="240" w:lineRule="auto"/>
    </w:pPr>
    <w:rPr>
      <w:color w:val="000000" w:themeColor="text1"/>
    </w:rPr>
    <w:tblPr>
      <w:tblStyleRowBandSize w:val="1"/>
      <w:tblStyleColBandSize w:val="1"/>
    </w:tblPr>
    <w:tcPr>
      <w:shd w:val="clear" w:color="auto" w:fill="DDFBFF" w:themeFill="accent5" w:themeFillTint="19"/>
    </w:tcPr>
    <w:tblStylePr w:type="firstRow">
      <w:rPr>
        <w:b/>
        <w:bCs/>
        <w:color w:val="FFFFFF" w:themeColor="background1"/>
      </w:rPr>
      <w:tblPr/>
      <w:tcPr>
        <w:tcBorders>
          <w:bottom w:val="single" w:sz="12" w:space="0" w:color="FFFFFF" w:themeColor="background1"/>
        </w:tcBorders>
        <w:shd w:val="clear" w:color="auto" w:fill="5D5F62" w:themeFill="accent6" w:themeFillShade="CC"/>
      </w:tcPr>
    </w:tblStylePr>
    <w:tblStylePr w:type="lastRow">
      <w:rPr>
        <w:b/>
        <w:bCs/>
        <w:color w:val="5D5F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5FF" w:themeFill="accent5" w:themeFillTint="3F"/>
      </w:tcPr>
    </w:tblStylePr>
    <w:tblStylePr w:type="band1Horz">
      <w:tblPr/>
      <w:tcPr>
        <w:shd w:val="clear" w:color="auto" w:fill="BAF7FF" w:themeFill="accent5" w:themeFillTint="33"/>
      </w:tcPr>
    </w:tblStylePr>
  </w:style>
  <w:style w:type="table" w:styleId="ColorfulList-Accent6">
    <w:name w:val="Colorful List Accent 6"/>
    <w:basedOn w:val="TableNormal"/>
    <w:uiPriority w:val="72"/>
    <w:rsid w:val="00F9113D"/>
    <w:pPr>
      <w:spacing w:line="240" w:lineRule="auto"/>
    </w:pPr>
    <w:rPr>
      <w:color w:val="000000" w:themeColor="text1"/>
    </w:rPr>
    <w:tblPr>
      <w:tblStyleRowBandSize w:val="1"/>
      <w:tblStyleColBandSize w:val="1"/>
    </w:tblPr>
    <w:tcPr>
      <w:shd w:val="clear" w:color="auto" w:fill="F1F1F2" w:themeFill="accent6" w:themeFillTint="19"/>
    </w:tcPr>
    <w:tblStylePr w:type="firstRow">
      <w:rPr>
        <w:b/>
        <w:bCs/>
        <w:color w:val="FFFFFF" w:themeColor="background1"/>
      </w:rPr>
      <w:tblPr/>
      <w:tcPr>
        <w:tcBorders>
          <w:bottom w:val="single" w:sz="12" w:space="0" w:color="FFFFFF" w:themeColor="background1"/>
        </w:tcBorders>
        <w:shd w:val="clear" w:color="auto" w:fill="007887" w:themeFill="accent5" w:themeFillShade="CC"/>
      </w:tcPr>
    </w:tblStylePr>
    <w:tblStylePr w:type="lastRow">
      <w:rPr>
        <w:b/>
        <w:bCs/>
        <w:color w:val="0078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DDE" w:themeFill="accent6" w:themeFillTint="3F"/>
      </w:tcPr>
    </w:tblStylePr>
    <w:tblStylePr w:type="band1Horz">
      <w:tblPr/>
      <w:tcPr>
        <w:shd w:val="clear" w:color="auto" w:fill="E3E3E4" w:themeFill="accent6" w:themeFillTint="33"/>
      </w:tcPr>
    </w:tblStylePr>
  </w:style>
  <w:style w:type="table" w:styleId="ColorfulShading">
    <w:name w:val="Colorful Shading"/>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86BC25" w:themeColor="accent1"/>
        <w:bottom w:val="single" w:sz="4" w:space="0" w:color="86BC25" w:themeColor="accent1"/>
        <w:right w:val="single" w:sz="4" w:space="0" w:color="86BC25"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016" w:themeFill="accent1" w:themeFillShade="99"/>
      </w:tcPr>
    </w:tblStylePr>
    <w:tblStylePr w:type="firstCol">
      <w:rPr>
        <w:color w:val="FFFFFF" w:themeColor="background1"/>
      </w:rPr>
      <w:tblPr/>
      <w:tcPr>
        <w:tcBorders>
          <w:top w:val="nil"/>
          <w:left w:val="nil"/>
          <w:bottom w:val="nil"/>
          <w:right w:val="nil"/>
          <w:insideH w:val="single" w:sz="4" w:space="0" w:color="507016" w:themeColor="accent1" w:themeShade="99"/>
          <w:insideV w:val="nil"/>
        </w:tcBorders>
        <w:shd w:val="clear" w:color="auto" w:fill="5070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7016" w:themeFill="accent1" w:themeFillShade="99"/>
      </w:tcPr>
    </w:tblStylePr>
    <w:tblStylePr w:type="band1Vert">
      <w:tblPr/>
      <w:tcPr>
        <w:shd w:val="clear" w:color="auto" w:fill="D0EC9F" w:themeFill="accent1" w:themeFillTint="66"/>
      </w:tcPr>
    </w:tblStylePr>
    <w:tblStylePr w:type="band1Horz">
      <w:tblPr/>
      <w:tcPr>
        <w:shd w:val="clear" w:color="auto" w:fill="C5E7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046A38" w:themeColor="accent2"/>
        <w:bottom w:val="single" w:sz="4" w:space="0" w:color="046A38" w:themeColor="accent2"/>
        <w:right w:val="single" w:sz="4" w:space="0" w:color="046A38" w:themeColor="accent2"/>
        <w:insideH w:val="single" w:sz="4" w:space="0" w:color="FFFFFF" w:themeColor="background1"/>
        <w:insideV w:val="single" w:sz="4" w:space="0" w:color="FFFFFF" w:themeColor="background1"/>
      </w:tblBorders>
    </w:tblPr>
    <w:tcPr>
      <w:shd w:val="clear" w:color="auto" w:fill="D9FDEB" w:themeFill="accent2"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2" w:themeFillShade="99"/>
      </w:tcPr>
    </w:tblStylePr>
    <w:tblStylePr w:type="firstCol">
      <w:rPr>
        <w:color w:val="FFFFFF" w:themeColor="background1"/>
      </w:rPr>
      <w:tblPr/>
      <w:tcPr>
        <w:tcBorders>
          <w:top w:val="nil"/>
          <w:left w:val="nil"/>
          <w:bottom w:val="nil"/>
          <w:right w:val="nil"/>
          <w:insideH w:val="single" w:sz="4" w:space="0" w:color="023F21" w:themeColor="accent2" w:themeShade="99"/>
          <w:insideV w:val="nil"/>
        </w:tcBorders>
        <w:shd w:val="clear" w:color="auto" w:fill="023F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2" w:themeFillShade="99"/>
      </w:tcPr>
    </w:tblStylePr>
    <w:tblStylePr w:type="band1Vert">
      <w:tblPr/>
      <w:tcPr>
        <w:shd w:val="clear" w:color="auto" w:fill="64F9B0" w:themeFill="accent2" w:themeFillTint="66"/>
      </w:tcPr>
    </w:tblStylePr>
    <w:tblStylePr w:type="band1Horz">
      <w:tblPr/>
      <w:tcPr>
        <w:shd w:val="clear" w:color="auto" w:fill="3EF7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113D"/>
    <w:pPr>
      <w:spacing w:line="240" w:lineRule="auto"/>
    </w:pPr>
    <w:rPr>
      <w:color w:val="000000" w:themeColor="text1"/>
    </w:rPr>
    <w:tblPr>
      <w:tblStyleRowBandSize w:val="1"/>
      <w:tblStyleColBandSize w:val="1"/>
      <w:tblBorders>
        <w:top w:val="single" w:sz="24" w:space="0" w:color="012169" w:themeColor="accent4"/>
        <w:left w:val="single" w:sz="4" w:space="0" w:color="62B5E5" w:themeColor="accent3"/>
        <w:bottom w:val="single" w:sz="4" w:space="0" w:color="62B5E5" w:themeColor="accent3"/>
        <w:right w:val="single" w:sz="4" w:space="0" w:color="62B5E5" w:themeColor="accent3"/>
        <w:insideH w:val="single" w:sz="4" w:space="0" w:color="FFFFFF" w:themeColor="background1"/>
        <w:insideV w:val="single" w:sz="4" w:space="0" w:color="FFFFFF" w:themeColor="background1"/>
      </w:tblBorders>
    </w:tblPr>
    <w:tcPr>
      <w:shd w:val="clear" w:color="auto" w:fill="EFF7FC" w:themeFill="accent3" w:themeFillTint="19"/>
    </w:tcPr>
    <w:tblStylePr w:type="firstRow">
      <w:rPr>
        <w:b/>
        <w:bCs/>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4A8" w:themeFill="accent3" w:themeFillShade="99"/>
      </w:tcPr>
    </w:tblStylePr>
    <w:tblStylePr w:type="firstCol">
      <w:rPr>
        <w:color w:val="FFFFFF" w:themeColor="background1"/>
      </w:rPr>
      <w:tblPr/>
      <w:tcPr>
        <w:tcBorders>
          <w:top w:val="nil"/>
          <w:left w:val="nil"/>
          <w:bottom w:val="nil"/>
          <w:right w:val="nil"/>
          <w:insideH w:val="single" w:sz="4" w:space="0" w:color="1C74A8" w:themeColor="accent3" w:themeShade="99"/>
          <w:insideV w:val="nil"/>
        </w:tcBorders>
        <w:shd w:val="clear" w:color="auto" w:fill="1C74A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74A8" w:themeFill="accent3" w:themeFillShade="99"/>
      </w:tcPr>
    </w:tblStylePr>
    <w:tblStylePr w:type="band1Vert">
      <w:tblPr/>
      <w:tcPr>
        <w:shd w:val="clear" w:color="auto" w:fill="C0E1F4" w:themeFill="accent3" w:themeFillTint="66"/>
      </w:tcPr>
    </w:tblStylePr>
    <w:tblStylePr w:type="band1Horz">
      <w:tblPr/>
      <w:tcPr>
        <w:shd w:val="clear" w:color="auto" w:fill="B0D9F2" w:themeFill="accent3" w:themeFillTint="7F"/>
      </w:tcPr>
    </w:tblStylePr>
  </w:style>
  <w:style w:type="table" w:styleId="ColorfulShading-Accent4">
    <w:name w:val="Colorful Shading Accent 4"/>
    <w:basedOn w:val="TableNormal"/>
    <w:uiPriority w:val="71"/>
    <w:rsid w:val="00F9113D"/>
    <w:pPr>
      <w:spacing w:line="240" w:lineRule="auto"/>
    </w:pPr>
    <w:rPr>
      <w:color w:val="000000" w:themeColor="text1"/>
    </w:rPr>
    <w:tblPr>
      <w:tblStyleRowBandSize w:val="1"/>
      <w:tblStyleColBandSize w:val="1"/>
      <w:tblBorders>
        <w:top w:val="single" w:sz="24" w:space="0" w:color="62B5E5" w:themeColor="accent3"/>
        <w:left w:val="single" w:sz="4" w:space="0" w:color="012169" w:themeColor="accent4"/>
        <w:bottom w:val="single" w:sz="4" w:space="0" w:color="012169" w:themeColor="accent4"/>
        <w:right w:val="single" w:sz="4" w:space="0" w:color="012169" w:themeColor="accent4"/>
        <w:insideH w:val="single" w:sz="4" w:space="0" w:color="FFFFFF" w:themeColor="background1"/>
        <w:insideV w:val="single" w:sz="4" w:space="0" w:color="FFFFFF" w:themeColor="background1"/>
      </w:tblBorders>
    </w:tblPr>
    <w:tcPr>
      <w:shd w:val="clear" w:color="auto" w:fill="D7E3FE" w:themeFill="accent4" w:themeFillTint="19"/>
    </w:tcPr>
    <w:tblStylePr w:type="firstRow">
      <w:rPr>
        <w:b/>
        <w:bCs/>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E" w:themeFill="accent4" w:themeFillShade="99"/>
      </w:tcPr>
    </w:tblStylePr>
    <w:tblStylePr w:type="firstCol">
      <w:rPr>
        <w:color w:val="FFFFFF" w:themeColor="background1"/>
      </w:rPr>
      <w:tblPr/>
      <w:tcPr>
        <w:tcBorders>
          <w:top w:val="nil"/>
          <w:left w:val="nil"/>
          <w:bottom w:val="nil"/>
          <w:right w:val="nil"/>
          <w:insideH w:val="single" w:sz="4" w:space="0" w:color="00133E" w:themeColor="accent4" w:themeShade="99"/>
          <w:insideV w:val="nil"/>
        </w:tcBorders>
        <w:shd w:val="clear" w:color="auto" w:fill="0013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33E" w:themeFill="accent4" w:themeFillShade="99"/>
      </w:tcPr>
    </w:tblStylePr>
    <w:tblStylePr w:type="band1Vert">
      <w:tblPr/>
      <w:tcPr>
        <w:shd w:val="clear" w:color="auto" w:fill="5E8FFD" w:themeFill="accent4" w:themeFillTint="66"/>
      </w:tcPr>
    </w:tblStylePr>
    <w:tblStylePr w:type="band1Horz">
      <w:tblPr/>
      <w:tcPr>
        <w:shd w:val="clear" w:color="auto" w:fill="3773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113D"/>
    <w:pPr>
      <w:spacing w:line="240" w:lineRule="auto"/>
    </w:pPr>
    <w:rPr>
      <w:color w:val="000000" w:themeColor="text1"/>
    </w:rPr>
    <w:tblPr>
      <w:tblStyleRowBandSize w:val="1"/>
      <w:tblStyleColBandSize w:val="1"/>
      <w:tblBorders>
        <w:top w:val="single" w:sz="24" w:space="0" w:color="75787B" w:themeColor="accent6"/>
        <w:left w:val="single" w:sz="4" w:space="0" w:color="0097A9" w:themeColor="accent5"/>
        <w:bottom w:val="single" w:sz="4" w:space="0" w:color="0097A9" w:themeColor="accent5"/>
        <w:right w:val="single" w:sz="4" w:space="0" w:color="0097A9" w:themeColor="accent5"/>
        <w:insideH w:val="single" w:sz="4" w:space="0" w:color="FFFFFF" w:themeColor="background1"/>
        <w:insideV w:val="single" w:sz="4" w:space="0" w:color="FFFFFF" w:themeColor="background1"/>
      </w:tblBorders>
    </w:tblPr>
    <w:tcPr>
      <w:shd w:val="clear" w:color="auto" w:fill="DDFBFF" w:themeFill="accent5" w:themeFillTint="19"/>
    </w:tcPr>
    <w:tblStylePr w:type="firstRow">
      <w:rPr>
        <w:b/>
        <w:bCs/>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5" w:themeFill="accent5" w:themeFillShade="99"/>
      </w:tcPr>
    </w:tblStylePr>
    <w:tblStylePr w:type="firstCol">
      <w:rPr>
        <w:color w:val="FFFFFF" w:themeColor="background1"/>
      </w:rPr>
      <w:tblPr/>
      <w:tcPr>
        <w:tcBorders>
          <w:top w:val="nil"/>
          <w:left w:val="nil"/>
          <w:bottom w:val="nil"/>
          <w:right w:val="nil"/>
          <w:insideH w:val="single" w:sz="4" w:space="0" w:color="005A65" w:themeColor="accent5" w:themeShade="99"/>
          <w:insideV w:val="nil"/>
        </w:tcBorders>
        <w:shd w:val="clear" w:color="auto" w:fill="005A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A65" w:themeFill="accent5" w:themeFillShade="99"/>
      </w:tcPr>
    </w:tblStylePr>
    <w:tblStylePr w:type="band1Vert">
      <w:tblPr/>
      <w:tcPr>
        <w:shd w:val="clear" w:color="auto" w:fill="76EFFF" w:themeFill="accent5" w:themeFillTint="66"/>
      </w:tcPr>
    </w:tblStylePr>
    <w:tblStylePr w:type="band1Horz">
      <w:tblPr/>
      <w:tcPr>
        <w:shd w:val="clear" w:color="auto" w:fill="55E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113D"/>
    <w:pPr>
      <w:spacing w:line="240" w:lineRule="auto"/>
    </w:pPr>
    <w:rPr>
      <w:color w:val="000000" w:themeColor="text1"/>
    </w:rPr>
    <w:tblPr>
      <w:tblStyleRowBandSize w:val="1"/>
      <w:tblStyleColBandSize w:val="1"/>
      <w:tblBorders>
        <w:top w:val="single" w:sz="24" w:space="0" w:color="0097A9" w:themeColor="accent5"/>
        <w:left w:val="single" w:sz="4" w:space="0" w:color="75787B" w:themeColor="accent6"/>
        <w:bottom w:val="single" w:sz="4" w:space="0" w:color="75787B" w:themeColor="accent6"/>
        <w:right w:val="single" w:sz="4" w:space="0" w:color="75787B" w:themeColor="accent6"/>
        <w:insideH w:val="single" w:sz="4" w:space="0" w:color="FFFFFF" w:themeColor="background1"/>
        <w:insideV w:val="single" w:sz="4" w:space="0" w:color="FFFFFF" w:themeColor="background1"/>
      </w:tblBorders>
    </w:tblPr>
    <w:tcPr>
      <w:shd w:val="clear" w:color="auto" w:fill="F1F1F2" w:themeFill="accent6" w:themeFillTint="19"/>
    </w:tcPr>
    <w:tblStylePr w:type="firstRow">
      <w:rPr>
        <w:b/>
        <w:bCs/>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4749" w:themeFill="accent6" w:themeFillShade="99"/>
      </w:tcPr>
    </w:tblStylePr>
    <w:tblStylePr w:type="firstCol">
      <w:rPr>
        <w:color w:val="FFFFFF" w:themeColor="background1"/>
      </w:rPr>
      <w:tblPr/>
      <w:tcPr>
        <w:tcBorders>
          <w:top w:val="nil"/>
          <w:left w:val="nil"/>
          <w:bottom w:val="nil"/>
          <w:right w:val="nil"/>
          <w:insideH w:val="single" w:sz="4" w:space="0" w:color="464749" w:themeColor="accent6" w:themeShade="99"/>
          <w:insideV w:val="nil"/>
        </w:tcBorders>
        <w:shd w:val="clear" w:color="auto" w:fill="4647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64749" w:themeFill="accent6" w:themeFillShade="99"/>
      </w:tcPr>
    </w:tblStylePr>
    <w:tblStylePr w:type="band1Vert">
      <w:tblPr/>
      <w:tcPr>
        <w:shd w:val="clear" w:color="auto" w:fill="C7C8CA" w:themeFill="accent6" w:themeFillTint="66"/>
      </w:tcPr>
    </w:tblStylePr>
    <w:tblStylePr w:type="band1Horz">
      <w:tblPr/>
      <w:tcPr>
        <w:shd w:val="clear" w:color="auto" w:fill="B9BBB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9113D"/>
    <w:rPr>
      <w:sz w:val="16"/>
      <w:szCs w:val="16"/>
      <w:lang w:val="en-AU"/>
    </w:rPr>
  </w:style>
  <w:style w:type="paragraph" w:styleId="CommentText">
    <w:name w:val="annotation text"/>
    <w:basedOn w:val="Normal"/>
    <w:link w:val="CommentTextChar"/>
    <w:uiPriority w:val="99"/>
    <w:semiHidden/>
    <w:rsid w:val="00F9113D"/>
    <w:pPr>
      <w:spacing w:line="240" w:lineRule="auto"/>
    </w:pPr>
    <w:rPr>
      <w:sz w:val="20"/>
      <w:szCs w:val="20"/>
    </w:rPr>
  </w:style>
  <w:style w:type="character" w:customStyle="1" w:styleId="CommentTextChar">
    <w:name w:val="Comment Text Char"/>
    <w:basedOn w:val="DefaultParagraphFont"/>
    <w:link w:val="CommentText"/>
    <w:uiPriority w:val="99"/>
    <w:semiHidden/>
    <w:rsid w:val="00F9113D"/>
    <w:rPr>
      <w:sz w:val="20"/>
      <w:szCs w:val="20"/>
    </w:rPr>
  </w:style>
  <w:style w:type="paragraph" w:styleId="CommentSubject">
    <w:name w:val="annotation subject"/>
    <w:basedOn w:val="CommentText"/>
    <w:next w:val="CommentText"/>
    <w:link w:val="CommentSubjectChar"/>
    <w:uiPriority w:val="99"/>
    <w:semiHidden/>
    <w:rsid w:val="00F9113D"/>
    <w:rPr>
      <w:b/>
      <w:bCs/>
    </w:rPr>
  </w:style>
  <w:style w:type="character" w:customStyle="1" w:styleId="CommentSubjectChar">
    <w:name w:val="Comment Subject Char"/>
    <w:basedOn w:val="CommentTextChar"/>
    <w:link w:val="CommentSubject"/>
    <w:uiPriority w:val="99"/>
    <w:semiHidden/>
    <w:rsid w:val="00F9113D"/>
    <w:rPr>
      <w:b/>
      <w:bCs/>
      <w:sz w:val="20"/>
      <w:szCs w:val="20"/>
    </w:rPr>
  </w:style>
  <w:style w:type="table" w:styleId="DarkList">
    <w:name w:val="Dark List"/>
    <w:basedOn w:val="TableNormal"/>
    <w:uiPriority w:val="70"/>
    <w:rsid w:val="00F9113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113D"/>
    <w:pPr>
      <w:spacing w:line="240" w:lineRule="auto"/>
    </w:pPr>
    <w:rPr>
      <w:color w:val="FFFFFF" w:themeColor="background1"/>
    </w:rPr>
    <w:tblPr>
      <w:tblStyleRowBandSize w:val="1"/>
      <w:tblStyleColBandSize w:val="1"/>
    </w:tblPr>
    <w:tcPr>
      <w:shd w:val="clear" w:color="auto" w:fill="86BC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D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C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C1B" w:themeFill="accent1" w:themeFillShade="BF"/>
      </w:tcPr>
    </w:tblStylePr>
    <w:tblStylePr w:type="band1Vert">
      <w:tblPr/>
      <w:tcPr>
        <w:tcBorders>
          <w:top w:val="nil"/>
          <w:left w:val="nil"/>
          <w:bottom w:val="nil"/>
          <w:right w:val="nil"/>
          <w:insideH w:val="nil"/>
          <w:insideV w:val="nil"/>
        </w:tcBorders>
        <w:shd w:val="clear" w:color="auto" w:fill="638C1B" w:themeFill="accent1" w:themeFillShade="BF"/>
      </w:tcPr>
    </w:tblStylePr>
    <w:tblStylePr w:type="band1Horz">
      <w:tblPr/>
      <w:tcPr>
        <w:tcBorders>
          <w:top w:val="nil"/>
          <w:left w:val="nil"/>
          <w:bottom w:val="nil"/>
          <w:right w:val="nil"/>
          <w:insideH w:val="nil"/>
          <w:insideV w:val="nil"/>
        </w:tcBorders>
        <w:shd w:val="clear" w:color="auto" w:fill="638C1B" w:themeFill="accent1" w:themeFillShade="BF"/>
      </w:tcPr>
    </w:tblStylePr>
  </w:style>
  <w:style w:type="table" w:styleId="DarkList-Accent2">
    <w:name w:val="Dark List Accent 2"/>
    <w:basedOn w:val="TableNormal"/>
    <w:uiPriority w:val="70"/>
    <w:rsid w:val="00F9113D"/>
    <w:pPr>
      <w:spacing w:line="240" w:lineRule="auto"/>
    </w:pPr>
    <w:rPr>
      <w:color w:val="FFFFFF" w:themeColor="background1"/>
    </w:rPr>
    <w:tblPr>
      <w:tblStyleRowBandSize w:val="1"/>
      <w:tblStyleColBandSize w:val="1"/>
    </w:tblPr>
    <w:tcPr>
      <w:shd w:val="clear" w:color="auto" w:fill="046A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2" w:themeFillShade="BF"/>
      </w:tcPr>
    </w:tblStylePr>
    <w:tblStylePr w:type="band1Vert">
      <w:tblPr/>
      <w:tcPr>
        <w:tcBorders>
          <w:top w:val="nil"/>
          <w:left w:val="nil"/>
          <w:bottom w:val="nil"/>
          <w:right w:val="nil"/>
          <w:insideH w:val="nil"/>
          <w:insideV w:val="nil"/>
        </w:tcBorders>
        <w:shd w:val="clear" w:color="auto" w:fill="034F29" w:themeFill="accent2" w:themeFillShade="BF"/>
      </w:tcPr>
    </w:tblStylePr>
    <w:tblStylePr w:type="band1Horz">
      <w:tblPr/>
      <w:tcPr>
        <w:tcBorders>
          <w:top w:val="nil"/>
          <w:left w:val="nil"/>
          <w:bottom w:val="nil"/>
          <w:right w:val="nil"/>
          <w:insideH w:val="nil"/>
          <w:insideV w:val="nil"/>
        </w:tcBorders>
        <w:shd w:val="clear" w:color="auto" w:fill="034F29" w:themeFill="accent2" w:themeFillShade="BF"/>
      </w:tcPr>
    </w:tblStylePr>
  </w:style>
  <w:style w:type="table" w:styleId="DarkList-Accent3">
    <w:name w:val="Dark List Accent 3"/>
    <w:basedOn w:val="TableNormal"/>
    <w:uiPriority w:val="70"/>
    <w:rsid w:val="00F9113D"/>
    <w:pPr>
      <w:spacing w:line="240" w:lineRule="auto"/>
    </w:pPr>
    <w:rPr>
      <w:color w:val="FFFFFF" w:themeColor="background1"/>
    </w:rPr>
    <w:tblPr>
      <w:tblStyleRowBandSize w:val="1"/>
      <w:tblStyleColBandSize w:val="1"/>
    </w:tblPr>
    <w:tcPr>
      <w:shd w:val="clear" w:color="auto" w:fill="62B5E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608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91D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91D1" w:themeFill="accent3" w:themeFillShade="BF"/>
      </w:tcPr>
    </w:tblStylePr>
    <w:tblStylePr w:type="band1Vert">
      <w:tblPr/>
      <w:tcPr>
        <w:tcBorders>
          <w:top w:val="nil"/>
          <w:left w:val="nil"/>
          <w:bottom w:val="nil"/>
          <w:right w:val="nil"/>
          <w:insideH w:val="nil"/>
          <w:insideV w:val="nil"/>
        </w:tcBorders>
        <w:shd w:val="clear" w:color="auto" w:fill="2291D1" w:themeFill="accent3" w:themeFillShade="BF"/>
      </w:tcPr>
    </w:tblStylePr>
    <w:tblStylePr w:type="band1Horz">
      <w:tblPr/>
      <w:tcPr>
        <w:tcBorders>
          <w:top w:val="nil"/>
          <w:left w:val="nil"/>
          <w:bottom w:val="nil"/>
          <w:right w:val="nil"/>
          <w:insideH w:val="nil"/>
          <w:insideV w:val="nil"/>
        </w:tcBorders>
        <w:shd w:val="clear" w:color="auto" w:fill="2291D1" w:themeFill="accent3" w:themeFillShade="BF"/>
      </w:tcPr>
    </w:tblStylePr>
  </w:style>
  <w:style w:type="table" w:styleId="DarkList-Accent4">
    <w:name w:val="Dark List Accent 4"/>
    <w:basedOn w:val="TableNormal"/>
    <w:uiPriority w:val="70"/>
    <w:rsid w:val="00F9113D"/>
    <w:pPr>
      <w:spacing w:line="240" w:lineRule="auto"/>
    </w:pPr>
    <w:rPr>
      <w:color w:val="FFFFFF" w:themeColor="background1"/>
    </w:rPr>
    <w:tblPr>
      <w:tblStyleRowBandSize w:val="1"/>
      <w:tblStyleColBandSize w:val="1"/>
    </w:tblPr>
    <w:tcPr>
      <w:shd w:val="clear" w:color="auto" w:fill="0121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8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84E" w:themeFill="accent4" w:themeFillShade="BF"/>
      </w:tcPr>
    </w:tblStylePr>
    <w:tblStylePr w:type="band1Vert">
      <w:tblPr/>
      <w:tcPr>
        <w:tcBorders>
          <w:top w:val="nil"/>
          <w:left w:val="nil"/>
          <w:bottom w:val="nil"/>
          <w:right w:val="nil"/>
          <w:insideH w:val="nil"/>
          <w:insideV w:val="nil"/>
        </w:tcBorders>
        <w:shd w:val="clear" w:color="auto" w:fill="00184E" w:themeFill="accent4" w:themeFillShade="BF"/>
      </w:tcPr>
    </w:tblStylePr>
    <w:tblStylePr w:type="band1Horz">
      <w:tblPr/>
      <w:tcPr>
        <w:tcBorders>
          <w:top w:val="nil"/>
          <w:left w:val="nil"/>
          <w:bottom w:val="nil"/>
          <w:right w:val="nil"/>
          <w:insideH w:val="nil"/>
          <w:insideV w:val="nil"/>
        </w:tcBorders>
        <w:shd w:val="clear" w:color="auto" w:fill="00184E" w:themeFill="accent4" w:themeFillShade="BF"/>
      </w:tcPr>
    </w:tblStylePr>
  </w:style>
  <w:style w:type="table" w:styleId="DarkList-Accent5">
    <w:name w:val="Dark List Accent 5"/>
    <w:basedOn w:val="TableNormal"/>
    <w:uiPriority w:val="70"/>
    <w:rsid w:val="00F9113D"/>
    <w:pPr>
      <w:spacing w:line="240" w:lineRule="auto"/>
    </w:pPr>
    <w:rPr>
      <w:color w:val="FFFFFF" w:themeColor="background1"/>
    </w:rPr>
    <w:tblPr>
      <w:tblStyleRowBandSize w:val="1"/>
      <w:tblStyleColBandSize w:val="1"/>
    </w:tblPr>
    <w:tcPr>
      <w:shd w:val="clear" w:color="auto" w:fill="009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0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07E" w:themeFill="accent5" w:themeFillShade="BF"/>
      </w:tcPr>
    </w:tblStylePr>
    <w:tblStylePr w:type="band1Vert">
      <w:tblPr/>
      <w:tcPr>
        <w:tcBorders>
          <w:top w:val="nil"/>
          <w:left w:val="nil"/>
          <w:bottom w:val="nil"/>
          <w:right w:val="nil"/>
          <w:insideH w:val="nil"/>
          <w:insideV w:val="nil"/>
        </w:tcBorders>
        <w:shd w:val="clear" w:color="auto" w:fill="00707E" w:themeFill="accent5" w:themeFillShade="BF"/>
      </w:tcPr>
    </w:tblStylePr>
    <w:tblStylePr w:type="band1Horz">
      <w:tblPr/>
      <w:tcPr>
        <w:tcBorders>
          <w:top w:val="nil"/>
          <w:left w:val="nil"/>
          <w:bottom w:val="nil"/>
          <w:right w:val="nil"/>
          <w:insideH w:val="nil"/>
          <w:insideV w:val="nil"/>
        </w:tcBorders>
        <w:shd w:val="clear" w:color="auto" w:fill="00707E" w:themeFill="accent5" w:themeFillShade="BF"/>
      </w:tcPr>
    </w:tblStylePr>
  </w:style>
  <w:style w:type="table" w:styleId="DarkList-Accent6">
    <w:name w:val="Dark List Accent 6"/>
    <w:basedOn w:val="TableNormal"/>
    <w:uiPriority w:val="70"/>
    <w:rsid w:val="00F9113D"/>
    <w:pPr>
      <w:spacing w:line="240" w:lineRule="auto"/>
    </w:pPr>
    <w:rPr>
      <w:color w:val="FFFFFF" w:themeColor="background1"/>
    </w:rPr>
    <w:tblPr>
      <w:tblStyleRowBandSize w:val="1"/>
      <w:tblStyleColBandSize w:val="1"/>
    </w:tblPr>
    <w:tcPr>
      <w:shd w:val="clear" w:color="auto" w:fill="75787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3B3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7595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7595C" w:themeFill="accent6" w:themeFillShade="BF"/>
      </w:tcPr>
    </w:tblStylePr>
    <w:tblStylePr w:type="band1Vert">
      <w:tblPr/>
      <w:tcPr>
        <w:tcBorders>
          <w:top w:val="nil"/>
          <w:left w:val="nil"/>
          <w:bottom w:val="nil"/>
          <w:right w:val="nil"/>
          <w:insideH w:val="nil"/>
          <w:insideV w:val="nil"/>
        </w:tcBorders>
        <w:shd w:val="clear" w:color="auto" w:fill="57595C" w:themeFill="accent6" w:themeFillShade="BF"/>
      </w:tcPr>
    </w:tblStylePr>
    <w:tblStylePr w:type="band1Horz">
      <w:tblPr/>
      <w:tcPr>
        <w:tcBorders>
          <w:top w:val="nil"/>
          <w:left w:val="nil"/>
          <w:bottom w:val="nil"/>
          <w:right w:val="nil"/>
          <w:insideH w:val="nil"/>
          <w:insideV w:val="nil"/>
        </w:tcBorders>
        <w:shd w:val="clear" w:color="auto" w:fill="57595C" w:themeFill="accent6" w:themeFillShade="BF"/>
      </w:tcPr>
    </w:tblStylePr>
  </w:style>
  <w:style w:type="paragraph" w:styleId="Date">
    <w:name w:val="Date"/>
    <w:basedOn w:val="Normal"/>
    <w:next w:val="Normal"/>
    <w:link w:val="DateChar"/>
    <w:uiPriority w:val="99"/>
    <w:semiHidden/>
    <w:rsid w:val="00F9113D"/>
  </w:style>
  <w:style w:type="character" w:customStyle="1" w:styleId="DateChar">
    <w:name w:val="Date Char"/>
    <w:basedOn w:val="DefaultParagraphFont"/>
    <w:link w:val="Date"/>
    <w:uiPriority w:val="99"/>
    <w:semiHidden/>
    <w:rsid w:val="00F9113D"/>
  </w:style>
  <w:style w:type="paragraph" w:styleId="DocumentMap">
    <w:name w:val="Document Map"/>
    <w:basedOn w:val="Normal"/>
    <w:link w:val="DocumentMapChar"/>
    <w:uiPriority w:val="99"/>
    <w:semiHidden/>
    <w:rsid w:val="00F9113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13D"/>
    <w:rPr>
      <w:rFonts w:ascii="Tahoma" w:hAnsi="Tahoma" w:cs="Tahoma"/>
      <w:sz w:val="16"/>
      <w:szCs w:val="16"/>
    </w:rPr>
  </w:style>
  <w:style w:type="paragraph" w:styleId="E-mailSignature">
    <w:name w:val="E-mail Signature"/>
    <w:basedOn w:val="Normal"/>
    <w:link w:val="E-mailSignatureChar"/>
    <w:uiPriority w:val="99"/>
    <w:semiHidden/>
    <w:rsid w:val="00F9113D"/>
    <w:pPr>
      <w:spacing w:line="240" w:lineRule="auto"/>
    </w:pPr>
  </w:style>
  <w:style w:type="character" w:customStyle="1" w:styleId="E-mailSignatureChar">
    <w:name w:val="E-mail Signature Char"/>
    <w:basedOn w:val="DefaultParagraphFont"/>
    <w:link w:val="E-mailSignature"/>
    <w:uiPriority w:val="99"/>
    <w:semiHidden/>
    <w:rsid w:val="00F9113D"/>
  </w:style>
  <w:style w:type="character" w:styleId="Emphasis">
    <w:name w:val="Emphasis"/>
    <w:basedOn w:val="DefaultParagraphFont"/>
    <w:uiPriority w:val="20"/>
    <w:rsid w:val="00DF06E9"/>
    <w:rPr>
      <w:b/>
      <w:i w:val="0"/>
      <w:iCs/>
      <w:color w:val="44546A" w:themeColor="text2"/>
      <w:lang w:val="en-AU"/>
    </w:rPr>
  </w:style>
  <w:style w:type="character" w:styleId="EndnoteReference">
    <w:name w:val="endnote reference"/>
    <w:basedOn w:val="DefaultParagraphFont"/>
    <w:uiPriority w:val="99"/>
    <w:semiHidden/>
    <w:rsid w:val="00F9113D"/>
    <w:rPr>
      <w:vertAlign w:val="superscript"/>
      <w:lang w:val="en-AU"/>
    </w:rPr>
  </w:style>
  <w:style w:type="paragraph" w:styleId="EndnoteText">
    <w:name w:val="endnote text"/>
    <w:basedOn w:val="Normal"/>
    <w:link w:val="EndnoteTextChar"/>
    <w:uiPriority w:val="99"/>
    <w:semiHidden/>
    <w:rsid w:val="00A32309"/>
    <w:pPr>
      <w:spacing w:line="240" w:lineRule="auto"/>
    </w:pPr>
    <w:rPr>
      <w:szCs w:val="20"/>
    </w:rPr>
  </w:style>
  <w:style w:type="character" w:customStyle="1" w:styleId="EndnoteTextChar">
    <w:name w:val="Endnote Text Char"/>
    <w:basedOn w:val="DefaultParagraphFont"/>
    <w:link w:val="EndnoteText"/>
    <w:uiPriority w:val="99"/>
    <w:semiHidden/>
    <w:rsid w:val="00A32309"/>
    <w:rPr>
      <w:szCs w:val="20"/>
      <w:lang w:val="en-AU"/>
    </w:rPr>
  </w:style>
  <w:style w:type="paragraph" w:styleId="EnvelopeAddress">
    <w:name w:val="envelope address"/>
    <w:basedOn w:val="Normal"/>
    <w:uiPriority w:val="99"/>
    <w:semiHidden/>
    <w:rsid w:val="00F911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F9113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F9113D"/>
    <w:rPr>
      <w:color w:val="53565A"/>
      <w:u w:val="single"/>
      <w:lang w:val="en-AU"/>
    </w:rPr>
  </w:style>
  <w:style w:type="character" w:customStyle="1" w:styleId="Heading5Char">
    <w:name w:val="Heading 5 Char"/>
    <w:basedOn w:val="DefaultParagraphFont"/>
    <w:link w:val="Heading5"/>
    <w:uiPriority w:val="1"/>
    <w:rsid w:val="00C50447"/>
    <w:rPr>
      <w:rFonts w:eastAsiaTheme="majorEastAsia" w:cstheme="majorBidi"/>
      <w:b/>
      <w:lang w:val="en-AU"/>
    </w:rPr>
  </w:style>
  <w:style w:type="character" w:customStyle="1" w:styleId="Heading6Char">
    <w:name w:val="Heading 6 Char"/>
    <w:basedOn w:val="DefaultParagraphFont"/>
    <w:link w:val="Heading6"/>
    <w:uiPriority w:val="1"/>
    <w:semiHidden/>
    <w:rsid w:val="00F9113D"/>
    <w:rPr>
      <w:rFonts w:eastAsiaTheme="majorEastAsia" w:cstheme="majorBidi"/>
      <w:b/>
      <w:iCs/>
      <w:lang w:val="en-AU"/>
    </w:rPr>
  </w:style>
  <w:style w:type="character" w:customStyle="1" w:styleId="Heading7Char">
    <w:name w:val="Heading 7 Char"/>
    <w:basedOn w:val="DefaultParagraphFont"/>
    <w:link w:val="Heading7"/>
    <w:uiPriority w:val="1"/>
    <w:semiHidden/>
    <w:rsid w:val="00F9113D"/>
    <w:rPr>
      <w:rFonts w:eastAsiaTheme="majorEastAsia" w:cstheme="majorBidi"/>
      <w:b/>
      <w:iCs/>
    </w:rPr>
  </w:style>
  <w:style w:type="character" w:customStyle="1" w:styleId="Heading8Char">
    <w:name w:val="Heading 8 Char"/>
    <w:basedOn w:val="DefaultParagraphFont"/>
    <w:link w:val="Heading8"/>
    <w:uiPriority w:val="1"/>
    <w:semiHidden/>
    <w:rsid w:val="00F9113D"/>
    <w:rPr>
      <w:rFonts w:eastAsiaTheme="majorEastAsia" w:cstheme="majorBidi"/>
      <w:b/>
      <w:szCs w:val="20"/>
    </w:rPr>
  </w:style>
  <w:style w:type="character" w:customStyle="1" w:styleId="Heading9Char">
    <w:name w:val="Heading 9 Char"/>
    <w:basedOn w:val="DefaultParagraphFont"/>
    <w:link w:val="Heading9"/>
    <w:uiPriority w:val="1"/>
    <w:semiHidden/>
    <w:rsid w:val="00F9113D"/>
    <w:rPr>
      <w:rFonts w:eastAsiaTheme="majorEastAsia" w:cstheme="majorBidi"/>
      <w:b/>
      <w:iCs/>
      <w:szCs w:val="20"/>
    </w:rPr>
  </w:style>
  <w:style w:type="character" w:styleId="HTMLAcronym">
    <w:name w:val="HTML Acronym"/>
    <w:basedOn w:val="DefaultParagraphFont"/>
    <w:uiPriority w:val="99"/>
    <w:semiHidden/>
    <w:rsid w:val="00F9113D"/>
    <w:rPr>
      <w:lang w:val="en-AU"/>
    </w:rPr>
  </w:style>
  <w:style w:type="paragraph" w:styleId="HTMLAddress">
    <w:name w:val="HTML Address"/>
    <w:basedOn w:val="Normal"/>
    <w:link w:val="HTMLAddressChar"/>
    <w:uiPriority w:val="99"/>
    <w:semiHidden/>
    <w:rsid w:val="00F9113D"/>
    <w:pPr>
      <w:spacing w:line="240" w:lineRule="auto"/>
    </w:pPr>
    <w:rPr>
      <w:i/>
      <w:iCs/>
    </w:rPr>
  </w:style>
  <w:style w:type="character" w:customStyle="1" w:styleId="HTMLAddressChar">
    <w:name w:val="HTML Address Char"/>
    <w:basedOn w:val="DefaultParagraphFont"/>
    <w:link w:val="HTMLAddress"/>
    <w:uiPriority w:val="99"/>
    <w:semiHidden/>
    <w:rsid w:val="00F9113D"/>
    <w:rPr>
      <w:i/>
      <w:iCs/>
    </w:rPr>
  </w:style>
  <w:style w:type="character" w:styleId="HTMLCite">
    <w:name w:val="HTML Cite"/>
    <w:basedOn w:val="DefaultParagraphFont"/>
    <w:uiPriority w:val="99"/>
    <w:semiHidden/>
    <w:rsid w:val="00F9113D"/>
    <w:rPr>
      <w:i/>
      <w:iCs/>
      <w:lang w:val="en-AU"/>
    </w:rPr>
  </w:style>
  <w:style w:type="character" w:styleId="HTMLCode">
    <w:name w:val="HTML Code"/>
    <w:basedOn w:val="DefaultParagraphFont"/>
    <w:uiPriority w:val="99"/>
    <w:semiHidden/>
    <w:rsid w:val="00F9113D"/>
    <w:rPr>
      <w:rFonts w:ascii="Consolas" w:hAnsi="Consolas"/>
      <w:sz w:val="20"/>
      <w:szCs w:val="20"/>
      <w:lang w:val="en-AU"/>
    </w:rPr>
  </w:style>
  <w:style w:type="character" w:styleId="HTMLDefinition">
    <w:name w:val="HTML Definition"/>
    <w:basedOn w:val="DefaultParagraphFont"/>
    <w:uiPriority w:val="99"/>
    <w:semiHidden/>
    <w:rsid w:val="00F9113D"/>
    <w:rPr>
      <w:i/>
      <w:iCs/>
      <w:lang w:val="en-AU"/>
    </w:rPr>
  </w:style>
  <w:style w:type="character" w:styleId="HTMLKeyboard">
    <w:name w:val="HTML Keyboard"/>
    <w:basedOn w:val="DefaultParagraphFont"/>
    <w:uiPriority w:val="99"/>
    <w:semiHidden/>
    <w:rsid w:val="00F9113D"/>
    <w:rPr>
      <w:rFonts w:ascii="Consolas" w:hAnsi="Consolas"/>
      <w:sz w:val="20"/>
      <w:szCs w:val="20"/>
      <w:lang w:val="en-AU"/>
    </w:rPr>
  </w:style>
  <w:style w:type="paragraph" w:styleId="HTMLPreformatted">
    <w:name w:val="HTML Preformatted"/>
    <w:basedOn w:val="Normal"/>
    <w:link w:val="HTMLPreformattedChar"/>
    <w:uiPriority w:val="99"/>
    <w:semiHidden/>
    <w:rsid w:val="00F9113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13D"/>
    <w:rPr>
      <w:rFonts w:ascii="Consolas" w:hAnsi="Consolas"/>
      <w:sz w:val="20"/>
      <w:szCs w:val="20"/>
    </w:rPr>
  </w:style>
  <w:style w:type="character" w:styleId="HTMLSample">
    <w:name w:val="HTML Sample"/>
    <w:basedOn w:val="DefaultParagraphFont"/>
    <w:uiPriority w:val="99"/>
    <w:semiHidden/>
    <w:rsid w:val="00F9113D"/>
    <w:rPr>
      <w:rFonts w:ascii="Consolas" w:hAnsi="Consolas"/>
      <w:sz w:val="24"/>
      <w:szCs w:val="24"/>
      <w:lang w:val="en-AU"/>
    </w:rPr>
  </w:style>
  <w:style w:type="character" w:styleId="HTMLTypewriter">
    <w:name w:val="HTML Typewriter"/>
    <w:basedOn w:val="DefaultParagraphFont"/>
    <w:uiPriority w:val="99"/>
    <w:semiHidden/>
    <w:rsid w:val="00F9113D"/>
    <w:rPr>
      <w:rFonts w:ascii="Consolas" w:hAnsi="Consolas"/>
      <w:sz w:val="20"/>
      <w:szCs w:val="20"/>
      <w:lang w:val="en-AU"/>
    </w:rPr>
  </w:style>
  <w:style w:type="character" w:styleId="HTMLVariable">
    <w:name w:val="HTML Variable"/>
    <w:basedOn w:val="DefaultParagraphFont"/>
    <w:uiPriority w:val="99"/>
    <w:semiHidden/>
    <w:rsid w:val="00F9113D"/>
    <w:rPr>
      <w:i/>
      <w:iCs/>
      <w:lang w:val="en-AU"/>
    </w:rPr>
  </w:style>
  <w:style w:type="paragraph" w:styleId="Index1">
    <w:name w:val="index 1"/>
    <w:basedOn w:val="Normal"/>
    <w:next w:val="Normal"/>
    <w:autoRedefine/>
    <w:uiPriority w:val="99"/>
    <w:semiHidden/>
    <w:rsid w:val="00F9113D"/>
    <w:pPr>
      <w:spacing w:line="240" w:lineRule="auto"/>
      <w:ind w:left="180" w:hanging="180"/>
    </w:pPr>
  </w:style>
  <w:style w:type="paragraph" w:styleId="Index2">
    <w:name w:val="index 2"/>
    <w:basedOn w:val="Normal"/>
    <w:next w:val="Normal"/>
    <w:autoRedefine/>
    <w:uiPriority w:val="99"/>
    <w:semiHidden/>
    <w:rsid w:val="00F9113D"/>
    <w:pPr>
      <w:spacing w:line="240" w:lineRule="auto"/>
      <w:ind w:left="360" w:hanging="180"/>
    </w:pPr>
  </w:style>
  <w:style w:type="paragraph" w:styleId="Index3">
    <w:name w:val="index 3"/>
    <w:basedOn w:val="Normal"/>
    <w:next w:val="Normal"/>
    <w:autoRedefine/>
    <w:uiPriority w:val="99"/>
    <w:semiHidden/>
    <w:rsid w:val="00F9113D"/>
    <w:pPr>
      <w:spacing w:line="240" w:lineRule="auto"/>
      <w:ind w:left="540" w:hanging="180"/>
    </w:pPr>
  </w:style>
  <w:style w:type="paragraph" w:styleId="Index4">
    <w:name w:val="index 4"/>
    <w:basedOn w:val="Normal"/>
    <w:next w:val="Normal"/>
    <w:autoRedefine/>
    <w:uiPriority w:val="99"/>
    <w:semiHidden/>
    <w:rsid w:val="00F9113D"/>
    <w:pPr>
      <w:spacing w:line="240" w:lineRule="auto"/>
      <w:ind w:left="720" w:hanging="180"/>
    </w:pPr>
  </w:style>
  <w:style w:type="paragraph" w:styleId="Index5">
    <w:name w:val="index 5"/>
    <w:basedOn w:val="Normal"/>
    <w:next w:val="Normal"/>
    <w:autoRedefine/>
    <w:uiPriority w:val="99"/>
    <w:semiHidden/>
    <w:rsid w:val="00F9113D"/>
    <w:pPr>
      <w:spacing w:line="240" w:lineRule="auto"/>
      <w:ind w:left="900" w:hanging="180"/>
    </w:pPr>
  </w:style>
  <w:style w:type="paragraph" w:styleId="Index6">
    <w:name w:val="index 6"/>
    <w:basedOn w:val="Normal"/>
    <w:next w:val="Normal"/>
    <w:autoRedefine/>
    <w:uiPriority w:val="99"/>
    <w:semiHidden/>
    <w:rsid w:val="00F9113D"/>
    <w:pPr>
      <w:spacing w:line="240" w:lineRule="auto"/>
      <w:ind w:left="1080" w:hanging="180"/>
    </w:pPr>
  </w:style>
  <w:style w:type="paragraph" w:styleId="Index7">
    <w:name w:val="index 7"/>
    <w:basedOn w:val="Normal"/>
    <w:next w:val="Normal"/>
    <w:autoRedefine/>
    <w:uiPriority w:val="99"/>
    <w:semiHidden/>
    <w:rsid w:val="00F9113D"/>
    <w:pPr>
      <w:spacing w:line="240" w:lineRule="auto"/>
      <w:ind w:left="1260" w:hanging="180"/>
    </w:pPr>
  </w:style>
  <w:style w:type="paragraph" w:styleId="Index8">
    <w:name w:val="index 8"/>
    <w:basedOn w:val="Normal"/>
    <w:next w:val="Normal"/>
    <w:autoRedefine/>
    <w:uiPriority w:val="99"/>
    <w:semiHidden/>
    <w:rsid w:val="00F9113D"/>
    <w:pPr>
      <w:spacing w:line="240" w:lineRule="auto"/>
      <w:ind w:left="1440" w:hanging="180"/>
    </w:pPr>
  </w:style>
  <w:style w:type="paragraph" w:styleId="Index9">
    <w:name w:val="index 9"/>
    <w:basedOn w:val="Normal"/>
    <w:next w:val="Normal"/>
    <w:autoRedefine/>
    <w:uiPriority w:val="99"/>
    <w:semiHidden/>
    <w:rsid w:val="00F9113D"/>
    <w:pPr>
      <w:spacing w:line="240" w:lineRule="auto"/>
      <w:ind w:left="1620" w:hanging="180"/>
    </w:pPr>
  </w:style>
  <w:style w:type="paragraph" w:styleId="IndexHeading">
    <w:name w:val="index heading"/>
    <w:basedOn w:val="Normal"/>
    <w:next w:val="Index1"/>
    <w:uiPriority w:val="99"/>
    <w:semiHidden/>
    <w:rsid w:val="00F9113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9113D"/>
    <w:rPr>
      <w:b/>
      <w:bCs/>
      <w:i/>
      <w:iCs/>
      <w:color w:val="86BC25" w:themeColor="accent1"/>
      <w:lang w:val="en-AU"/>
    </w:rPr>
  </w:style>
  <w:style w:type="paragraph" w:styleId="IntenseQuote">
    <w:name w:val="Intense Quote"/>
    <w:basedOn w:val="Normal"/>
    <w:next w:val="Normal"/>
    <w:link w:val="IntenseQuoteChar"/>
    <w:uiPriority w:val="30"/>
    <w:semiHidden/>
    <w:rsid w:val="00F9113D"/>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semiHidden/>
    <w:rsid w:val="00F9113D"/>
    <w:rPr>
      <w:b/>
      <w:bCs/>
      <w:i/>
      <w:iCs/>
      <w:color w:val="86BC25" w:themeColor="accent1"/>
    </w:rPr>
  </w:style>
  <w:style w:type="character" w:styleId="IntenseReference">
    <w:name w:val="Intense Reference"/>
    <w:basedOn w:val="DefaultParagraphFont"/>
    <w:uiPriority w:val="99"/>
    <w:semiHidden/>
    <w:qFormat/>
    <w:rsid w:val="00F9113D"/>
    <w:rPr>
      <w:b/>
      <w:bCs/>
      <w:smallCaps/>
      <w:color w:val="046A38" w:themeColor="accent2"/>
      <w:spacing w:val="5"/>
      <w:u w:val="single"/>
      <w:lang w:val="en-AU"/>
    </w:rPr>
  </w:style>
  <w:style w:type="table" w:styleId="LightGrid">
    <w:name w:val="Light Grid"/>
    <w:basedOn w:val="TableNormal"/>
    <w:uiPriority w:val="62"/>
    <w:rsid w:val="00F9113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113D"/>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ightGrid-Accent2">
    <w:name w:val="Light Grid Accent 2"/>
    <w:basedOn w:val="TableNormal"/>
    <w:uiPriority w:val="62"/>
    <w:rsid w:val="00F9113D"/>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18" w:space="0" w:color="046A38" w:themeColor="accent2"/>
          <w:right w:val="single" w:sz="8" w:space="0" w:color="046A38" w:themeColor="accent2"/>
          <w:insideH w:val="nil"/>
          <w:insideV w:val="single" w:sz="8" w:space="0" w:color="046A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insideH w:val="nil"/>
          <w:insideV w:val="single" w:sz="8" w:space="0" w:color="046A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shd w:val="clear" w:color="auto" w:fill="9FFBCE" w:themeFill="accent2" w:themeFillTint="3F"/>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shd w:val="clear" w:color="auto" w:fill="9FFBCE" w:themeFill="accent2" w:themeFillTint="3F"/>
      </w:tcPr>
    </w:tblStylePr>
    <w:tblStylePr w:type="band2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tcPr>
    </w:tblStylePr>
  </w:style>
  <w:style w:type="table" w:styleId="LightGrid-Accent3">
    <w:name w:val="Light Grid Accent 3"/>
    <w:basedOn w:val="TableNormal"/>
    <w:uiPriority w:val="62"/>
    <w:rsid w:val="00F9113D"/>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18" w:space="0" w:color="62B5E5" w:themeColor="accent3"/>
          <w:right w:val="single" w:sz="8" w:space="0" w:color="62B5E5" w:themeColor="accent3"/>
          <w:insideH w:val="nil"/>
          <w:insideV w:val="single" w:sz="8" w:space="0" w:color="62B5E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insideH w:val="nil"/>
          <w:insideV w:val="single" w:sz="8" w:space="0" w:color="62B5E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shd w:val="clear" w:color="auto" w:fill="D8ECF8" w:themeFill="accent3" w:themeFillTint="3F"/>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shd w:val="clear" w:color="auto" w:fill="D8ECF8" w:themeFill="accent3" w:themeFillTint="3F"/>
      </w:tcPr>
    </w:tblStylePr>
    <w:tblStylePr w:type="band2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tcPr>
    </w:tblStylePr>
  </w:style>
  <w:style w:type="table" w:styleId="LightGrid-Accent4">
    <w:name w:val="Light Grid Accent 4"/>
    <w:basedOn w:val="TableNormal"/>
    <w:uiPriority w:val="62"/>
    <w:rsid w:val="00F9113D"/>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18" w:space="0" w:color="012169" w:themeColor="accent4"/>
          <w:right w:val="single" w:sz="8" w:space="0" w:color="012169" w:themeColor="accent4"/>
          <w:insideH w:val="nil"/>
          <w:insideV w:val="single" w:sz="8" w:space="0" w:color="0121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insideH w:val="nil"/>
          <w:insideV w:val="single" w:sz="8" w:space="0" w:color="0121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shd w:val="clear" w:color="auto" w:fill="9BB9FE" w:themeFill="accent4" w:themeFillTint="3F"/>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shd w:val="clear" w:color="auto" w:fill="9BB9FE" w:themeFill="accent4" w:themeFillTint="3F"/>
      </w:tcPr>
    </w:tblStylePr>
    <w:tblStylePr w:type="band2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tcPr>
    </w:tblStylePr>
  </w:style>
  <w:style w:type="table" w:styleId="LightGrid-Accent5">
    <w:name w:val="Light Grid Accent 5"/>
    <w:basedOn w:val="TableNormal"/>
    <w:uiPriority w:val="62"/>
    <w:rsid w:val="00F9113D"/>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18" w:space="0" w:color="0097A9" w:themeColor="accent5"/>
          <w:right w:val="single" w:sz="8" w:space="0" w:color="0097A9" w:themeColor="accent5"/>
          <w:insideH w:val="nil"/>
          <w:insideV w:val="single" w:sz="8" w:space="0" w:color="009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insideH w:val="nil"/>
          <w:insideV w:val="single" w:sz="8" w:space="0" w:color="009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shd w:val="clear" w:color="auto" w:fill="AAF5FF" w:themeFill="accent5" w:themeFillTint="3F"/>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shd w:val="clear" w:color="auto" w:fill="AAF5FF" w:themeFill="accent5" w:themeFillTint="3F"/>
      </w:tcPr>
    </w:tblStylePr>
    <w:tblStylePr w:type="band2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tcPr>
    </w:tblStylePr>
  </w:style>
  <w:style w:type="table" w:styleId="LightGrid-Accent6">
    <w:name w:val="Light Grid Accent 6"/>
    <w:basedOn w:val="TableNormal"/>
    <w:uiPriority w:val="62"/>
    <w:rsid w:val="00F9113D"/>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18" w:space="0" w:color="75787B" w:themeColor="accent6"/>
          <w:right w:val="single" w:sz="8" w:space="0" w:color="75787B" w:themeColor="accent6"/>
          <w:insideH w:val="nil"/>
          <w:insideV w:val="single" w:sz="8" w:space="0" w:color="75787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insideH w:val="nil"/>
          <w:insideV w:val="single" w:sz="8" w:space="0" w:color="75787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shd w:val="clear" w:color="auto" w:fill="DCDDDE" w:themeFill="accent6" w:themeFillTint="3F"/>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shd w:val="clear" w:color="auto" w:fill="DCDDDE" w:themeFill="accent6" w:themeFillTint="3F"/>
      </w:tcPr>
    </w:tblStylePr>
    <w:tblStylePr w:type="band2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tcPr>
    </w:tblStylePr>
  </w:style>
  <w:style w:type="table" w:styleId="LightList">
    <w:name w:val="Light List"/>
    <w:basedOn w:val="TableNormal"/>
    <w:uiPriority w:val="61"/>
    <w:rsid w:val="00F9113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113D"/>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ightList-Accent2">
    <w:name w:val="Light List Accent 2"/>
    <w:basedOn w:val="TableNormal"/>
    <w:uiPriority w:val="61"/>
    <w:rsid w:val="00F9113D"/>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pPr>
        <w:spacing w:before="0" w:after="0" w:line="240" w:lineRule="auto"/>
      </w:pPr>
      <w:rPr>
        <w:b/>
        <w:bCs/>
        <w:color w:val="FFFFFF" w:themeColor="background1"/>
      </w:rPr>
      <w:tblPr/>
      <w:tcPr>
        <w:shd w:val="clear" w:color="auto" w:fill="046A38" w:themeFill="accent2"/>
      </w:tcPr>
    </w:tblStylePr>
    <w:tblStylePr w:type="lastRow">
      <w:pPr>
        <w:spacing w:before="0" w:after="0" w:line="240" w:lineRule="auto"/>
      </w:pPr>
      <w:rPr>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tcBorders>
      </w:tcPr>
    </w:tblStylePr>
    <w:tblStylePr w:type="firstCol">
      <w:rPr>
        <w:b/>
        <w:bCs/>
      </w:rPr>
    </w:tblStylePr>
    <w:tblStylePr w:type="lastCol">
      <w:rPr>
        <w:b/>
        <w:bCs/>
      </w:r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style>
  <w:style w:type="table" w:styleId="LightList-Accent3">
    <w:name w:val="Light List Accent 3"/>
    <w:basedOn w:val="TableNormal"/>
    <w:uiPriority w:val="61"/>
    <w:rsid w:val="00F9113D"/>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pPr>
        <w:spacing w:before="0" w:after="0" w:line="240" w:lineRule="auto"/>
      </w:pPr>
      <w:rPr>
        <w:b/>
        <w:bCs/>
        <w:color w:val="FFFFFF" w:themeColor="background1"/>
      </w:rPr>
      <w:tblPr/>
      <w:tcPr>
        <w:shd w:val="clear" w:color="auto" w:fill="62B5E5" w:themeFill="accent3"/>
      </w:tcPr>
    </w:tblStylePr>
    <w:tblStylePr w:type="lastRow">
      <w:pPr>
        <w:spacing w:before="0" w:after="0" w:line="240" w:lineRule="auto"/>
      </w:pPr>
      <w:rPr>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tcBorders>
      </w:tcPr>
    </w:tblStylePr>
    <w:tblStylePr w:type="firstCol">
      <w:rPr>
        <w:b/>
        <w:bCs/>
      </w:rPr>
    </w:tblStylePr>
    <w:tblStylePr w:type="lastCol">
      <w:rPr>
        <w:b/>
        <w:bCs/>
      </w:r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style>
  <w:style w:type="table" w:styleId="LightList-Accent4">
    <w:name w:val="Light List Accent 4"/>
    <w:basedOn w:val="TableNormal"/>
    <w:uiPriority w:val="61"/>
    <w:rsid w:val="00F9113D"/>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pPr>
        <w:spacing w:before="0" w:after="0" w:line="240" w:lineRule="auto"/>
      </w:pPr>
      <w:rPr>
        <w:b/>
        <w:bCs/>
        <w:color w:val="FFFFFF" w:themeColor="background1"/>
      </w:rPr>
      <w:tblPr/>
      <w:tcPr>
        <w:shd w:val="clear" w:color="auto" w:fill="012169" w:themeFill="accent4"/>
      </w:tcPr>
    </w:tblStylePr>
    <w:tblStylePr w:type="lastRow">
      <w:pPr>
        <w:spacing w:before="0" w:after="0" w:line="240" w:lineRule="auto"/>
      </w:pPr>
      <w:rPr>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tcBorders>
      </w:tcPr>
    </w:tblStylePr>
    <w:tblStylePr w:type="firstCol">
      <w:rPr>
        <w:b/>
        <w:bCs/>
      </w:rPr>
    </w:tblStylePr>
    <w:tblStylePr w:type="lastCol">
      <w:rPr>
        <w:b/>
        <w:bCs/>
      </w:r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style>
  <w:style w:type="table" w:styleId="LightList-Accent5">
    <w:name w:val="Light List Accent 5"/>
    <w:basedOn w:val="TableNormal"/>
    <w:uiPriority w:val="61"/>
    <w:rsid w:val="00F9113D"/>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pPr>
        <w:spacing w:before="0" w:after="0" w:line="240" w:lineRule="auto"/>
      </w:pPr>
      <w:rPr>
        <w:b/>
        <w:bCs/>
        <w:color w:val="FFFFFF" w:themeColor="background1"/>
      </w:rPr>
      <w:tblPr/>
      <w:tcPr>
        <w:shd w:val="clear" w:color="auto" w:fill="0097A9" w:themeFill="accent5"/>
      </w:tcPr>
    </w:tblStylePr>
    <w:tblStylePr w:type="lastRow">
      <w:pPr>
        <w:spacing w:before="0" w:after="0" w:line="240" w:lineRule="auto"/>
      </w:pPr>
      <w:rPr>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tcBorders>
      </w:tcPr>
    </w:tblStylePr>
    <w:tblStylePr w:type="firstCol">
      <w:rPr>
        <w:b/>
        <w:bCs/>
      </w:rPr>
    </w:tblStylePr>
    <w:tblStylePr w:type="lastCol">
      <w:rPr>
        <w:b/>
        <w:bCs/>
      </w:r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style>
  <w:style w:type="table" w:styleId="LightList-Accent6">
    <w:name w:val="Light List Accent 6"/>
    <w:basedOn w:val="TableNormal"/>
    <w:uiPriority w:val="61"/>
    <w:rsid w:val="00F9113D"/>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pPr>
        <w:spacing w:before="0" w:after="0" w:line="240" w:lineRule="auto"/>
      </w:pPr>
      <w:rPr>
        <w:b/>
        <w:bCs/>
        <w:color w:val="FFFFFF" w:themeColor="background1"/>
      </w:rPr>
      <w:tblPr/>
      <w:tcPr>
        <w:shd w:val="clear" w:color="auto" w:fill="75787B" w:themeFill="accent6"/>
      </w:tcPr>
    </w:tblStylePr>
    <w:tblStylePr w:type="lastRow">
      <w:pPr>
        <w:spacing w:before="0" w:after="0" w:line="240" w:lineRule="auto"/>
      </w:pPr>
      <w:rPr>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tcBorders>
      </w:tcPr>
    </w:tblStylePr>
    <w:tblStylePr w:type="firstCol">
      <w:rPr>
        <w:b/>
        <w:bCs/>
      </w:rPr>
    </w:tblStylePr>
    <w:tblStylePr w:type="lastCol">
      <w:rPr>
        <w:b/>
        <w:bCs/>
      </w:r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style>
  <w:style w:type="table" w:styleId="LightShading">
    <w:name w:val="Light Shading"/>
    <w:basedOn w:val="TableNormal"/>
    <w:uiPriority w:val="60"/>
    <w:rsid w:val="00F9113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113D"/>
    <w:pPr>
      <w:spacing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LightShading-Accent2">
    <w:name w:val="Light Shading Accent 2"/>
    <w:basedOn w:val="TableNormal"/>
    <w:uiPriority w:val="60"/>
    <w:rsid w:val="00F9113D"/>
    <w:pPr>
      <w:spacing w:line="240" w:lineRule="auto"/>
    </w:pPr>
    <w:rPr>
      <w:color w:val="034F29" w:themeColor="accent2" w:themeShade="BF"/>
    </w:rPr>
    <w:tblPr>
      <w:tblStyleRowBandSize w:val="1"/>
      <w:tblStyleColBandSize w:val="1"/>
      <w:tblBorders>
        <w:top w:val="single" w:sz="8" w:space="0" w:color="046A38" w:themeColor="accent2"/>
        <w:bottom w:val="single" w:sz="8" w:space="0" w:color="046A38" w:themeColor="accent2"/>
      </w:tblBorders>
    </w:tblPr>
    <w:tblStylePr w:type="fir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la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left w:val="nil"/>
          <w:right w:val="nil"/>
          <w:insideH w:val="nil"/>
          <w:insideV w:val="nil"/>
        </w:tcBorders>
        <w:shd w:val="clear" w:color="auto" w:fill="9FFBCE" w:themeFill="accent2" w:themeFillTint="3F"/>
      </w:tcPr>
    </w:tblStylePr>
  </w:style>
  <w:style w:type="table" w:styleId="LightShading-Accent3">
    <w:name w:val="Light Shading Accent 3"/>
    <w:basedOn w:val="TableNormal"/>
    <w:uiPriority w:val="60"/>
    <w:rsid w:val="00F9113D"/>
    <w:pPr>
      <w:spacing w:line="240" w:lineRule="auto"/>
    </w:pPr>
    <w:rPr>
      <w:color w:val="2291D1" w:themeColor="accent3" w:themeShade="BF"/>
    </w:rPr>
    <w:tblPr>
      <w:tblStyleRowBandSize w:val="1"/>
      <w:tblStyleColBandSize w:val="1"/>
      <w:tblBorders>
        <w:top w:val="single" w:sz="8" w:space="0" w:color="62B5E5" w:themeColor="accent3"/>
        <w:bottom w:val="single" w:sz="8" w:space="0" w:color="62B5E5" w:themeColor="accent3"/>
      </w:tblBorders>
    </w:tblPr>
    <w:tblStylePr w:type="fir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la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left w:val="nil"/>
          <w:right w:val="nil"/>
          <w:insideH w:val="nil"/>
          <w:insideV w:val="nil"/>
        </w:tcBorders>
        <w:shd w:val="clear" w:color="auto" w:fill="D8ECF8" w:themeFill="accent3" w:themeFillTint="3F"/>
      </w:tcPr>
    </w:tblStylePr>
  </w:style>
  <w:style w:type="table" w:styleId="LightShading-Accent4">
    <w:name w:val="Light Shading Accent 4"/>
    <w:basedOn w:val="TableNormal"/>
    <w:uiPriority w:val="60"/>
    <w:rsid w:val="00F9113D"/>
    <w:pPr>
      <w:spacing w:line="240" w:lineRule="auto"/>
    </w:pPr>
    <w:rPr>
      <w:color w:val="00184E" w:themeColor="accent4" w:themeShade="BF"/>
    </w:rPr>
    <w:tblPr>
      <w:tblStyleRowBandSize w:val="1"/>
      <w:tblStyleColBandSize w:val="1"/>
      <w:tblBorders>
        <w:top w:val="single" w:sz="8" w:space="0" w:color="012169" w:themeColor="accent4"/>
        <w:bottom w:val="single" w:sz="8" w:space="0" w:color="012169" w:themeColor="accent4"/>
      </w:tblBorders>
    </w:tblPr>
    <w:tblStylePr w:type="fir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la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left w:val="nil"/>
          <w:right w:val="nil"/>
          <w:insideH w:val="nil"/>
          <w:insideV w:val="nil"/>
        </w:tcBorders>
        <w:shd w:val="clear" w:color="auto" w:fill="9BB9FE" w:themeFill="accent4" w:themeFillTint="3F"/>
      </w:tcPr>
    </w:tblStylePr>
  </w:style>
  <w:style w:type="table" w:styleId="LightShading-Accent5">
    <w:name w:val="Light Shading Accent 5"/>
    <w:basedOn w:val="TableNormal"/>
    <w:uiPriority w:val="60"/>
    <w:rsid w:val="00F9113D"/>
    <w:pPr>
      <w:spacing w:line="240" w:lineRule="auto"/>
    </w:pPr>
    <w:rPr>
      <w:color w:val="00707E" w:themeColor="accent5" w:themeShade="BF"/>
    </w:rPr>
    <w:tblPr>
      <w:tblStyleRowBandSize w:val="1"/>
      <w:tblStyleColBandSize w:val="1"/>
      <w:tblBorders>
        <w:top w:val="single" w:sz="8" w:space="0" w:color="0097A9" w:themeColor="accent5"/>
        <w:bottom w:val="single" w:sz="8" w:space="0" w:color="0097A9" w:themeColor="accent5"/>
      </w:tblBorders>
    </w:tblPr>
    <w:tblStylePr w:type="fir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la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left w:val="nil"/>
          <w:right w:val="nil"/>
          <w:insideH w:val="nil"/>
          <w:insideV w:val="nil"/>
        </w:tcBorders>
        <w:shd w:val="clear" w:color="auto" w:fill="AAF5FF" w:themeFill="accent5" w:themeFillTint="3F"/>
      </w:tcPr>
    </w:tblStylePr>
  </w:style>
  <w:style w:type="table" w:styleId="LightShading-Accent6">
    <w:name w:val="Light Shading Accent 6"/>
    <w:basedOn w:val="TableNormal"/>
    <w:uiPriority w:val="60"/>
    <w:rsid w:val="00F9113D"/>
    <w:pPr>
      <w:spacing w:line="240" w:lineRule="auto"/>
    </w:pPr>
    <w:rPr>
      <w:color w:val="57595C" w:themeColor="accent6" w:themeShade="BF"/>
    </w:rPr>
    <w:tblPr>
      <w:tblStyleRowBandSize w:val="1"/>
      <w:tblStyleColBandSize w:val="1"/>
      <w:tblBorders>
        <w:top w:val="single" w:sz="8" w:space="0" w:color="75787B" w:themeColor="accent6"/>
        <w:bottom w:val="single" w:sz="8" w:space="0" w:color="75787B" w:themeColor="accent6"/>
      </w:tblBorders>
    </w:tblPr>
    <w:tblStylePr w:type="fir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la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left w:val="nil"/>
          <w:right w:val="nil"/>
          <w:insideH w:val="nil"/>
          <w:insideV w:val="nil"/>
        </w:tcBorders>
        <w:shd w:val="clear" w:color="auto" w:fill="DCDDDE" w:themeFill="accent6" w:themeFillTint="3F"/>
      </w:tcPr>
    </w:tblStylePr>
  </w:style>
  <w:style w:type="character" w:styleId="LineNumber">
    <w:name w:val="line number"/>
    <w:basedOn w:val="DefaultParagraphFont"/>
    <w:uiPriority w:val="99"/>
    <w:semiHidden/>
    <w:rsid w:val="00F9113D"/>
    <w:rPr>
      <w:lang w:val="en-AU"/>
    </w:rPr>
  </w:style>
  <w:style w:type="paragraph" w:styleId="List">
    <w:name w:val="List"/>
    <w:basedOn w:val="Normal"/>
    <w:uiPriority w:val="99"/>
    <w:semiHidden/>
    <w:rsid w:val="00F9113D"/>
    <w:pPr>
      <w:ind w:left="283" w:hanging="283"/>
      <w:contextualSpacing/>
    </w:pPr>
  </w:style>
  <w:style w:type="paragraph" w:styleId="List2">
    <w:name w:val="List 2"/>
    <w:basedOn w:val="Normal"/>
    <w:uiPriority w:val="99"/>
    <w:semiHidden/>
    <w:rsid w:val="00F9113D"/>
    <w:pPr>
      <w:ind w:left="566" w:hanging="283"/>
      <w:contextualSpacing/>
    </w:pPr>
  </w:style>
  <w:style w:type="paragraph" w:styleId="List3">
    <w:name w:val="List 3"/>
    <w:basedOn w:val="Normal"/>
    <w:uiPriority w:val="99"/>
    <w:semiHidden/>
    <w:rsid w:val="00F9113D"/>
    <w:pPr>
      <w:ind w:left="849" w:hanging="283"/>
      <w:contextualSpacing/>
    </w:pPr>
  </w:style>
  <w:style w:type="paragraph" w:styleId="List4">
    <w:name w:val="List 4"/>
    <w:basedOn w:val="Normal"/>
    <w:uiPriority w:val="99"/>
    <w:semiHidden/>
    <w:rsid w:val="00F9113D"/>
    <w:pPr>
      <w:ind w:left="1132" w:hanging="283"/>
      <w:contextualSpacing/>
    </w:pPr>
  </w:style>
  <w:style w:type="paragraph" w:styleId="List5">
    <w:name w:val="List 5"/>
    <w:basedOn w:val="Normal"/>
    <w:uiPriority w:val="99"/>
    <w:semiHidden/>
    <w:rsid w:val="00F9113D"/>
    <w:pPr>
      <w:ind w:left="1415" w:hanging="283"/>
      <w:contextualSpacing/>
    </w:pPr>
  </w:style>
  <w:style w:type="paragraph" w:styleId="ListBullet3">
    <w:name w:val="List Bullet 3"/>
    <w:basedOn w:val="Normal"/>
    <w:uiPriority w:val="3"/>
    <w:rsid w:val="00DF7819"/>
    <w:pPr>
      <w:numPr>
        <w:numId w:val="16"/>
      </w:numPr>
      <w:spacing w:after="0"/>
      <w:ind w:left="1020" w:hanging="340"/>
      <w:contextualSpacing/>
    </w:pPr>
  </w:style>
  <w:style w:type="paragraph" w:styleId="ListBullet4">
    <w:name w:val="List Bullet 4"/>
    <w:basedOn w:val="Normal"/>
    <w:uiPriority w:val="99"/>
    <w:semiHidden/>
    <w:rsid w:val="00F9113D"/>
    <w:pPr>
      <w:numPr>
        <w:numId w:val="3"/>
      </w:numPr>
      <w:contextualSpacing/>
    </w:pPr>
  </w:style>
  <w:style w:type="paragraph" w:styleId="ListBullet5">
    <w:name w:val="List Bullet 5"/>
    <w:basedOn w:val="Normal"/>
    <w:uiPriority w:val="99"/>
    <w:semiHidden/>
    <w:rsid w:val="00F9113D"/>
    <w:pPr>
      <w:numPr>
        <w:numId w:val="4"/>
      </w:numPr>
      <w:contextualSpacing/>
    </w:pPr>
  </w:style>
  <w:style w:type="paragraph" w:styleId="ListContinue">
    <w:name w:val="List Continue"/>
    <w:basedOn w:val="Normal"/>
    <w:uiPriority w:val="99"/>
    <w:semiHidden/>
    <w:rsid w:val="00F9113D"/>
    <w:pPr>
      <w:spacing w:after="120"/>
      <w:ind w:left="283"/>
      <w:contextualSpacing/>
    </w:pPr>
  </w:style>
  <w:style w:type="paragraph" w:styleId="ListContinue2">
    <w:name w:val="List Continue 2"/>
    <w:basedOn w:val="Normal"/>
    <w:uiPriority w:val="99"/>
    <w:semiHidden/>
    <w:rsid w:val="00F9113D"/>
    <w:pPr>
      <w:spacing w:after="120"/>
      <w:ind w:left="566"/>
      <w:contextualSpacing/>
    </w:pPr>
  </w:style>
  <w:style w:type="paragraph" w:styleId="ListContinue3">
    <w:name w:val="List Continue 3"/>
    <w:basedOn w:val="Normal"/>
    <w:uiPriority w:val="99"/>
    <w:semiHidden/>
    <w:rsid w:val="00F9113D"/>
    <w:pPr>
      <w:spacing w:after="120"/>
      <w:ind w:left="849"/>
      <w:contextualSpacing/>
    </w:pPr>
  </w:style>
  <w:style w:type="paragraph" w:styleId="ListContinue4">
    <w:name w:val="List Continue 4"/>
    <w:basedOn w:val="Normal"/>
    <w:uiPriority w:val="99"/>
    <w:semiHidden/>
    <w:rsid w:val="00F9113D"/>
    <w:pPr>
      <w:spacing w:after="120"/>
      <w:ind w:left="1132"/>
      <w:contextualSpacing/>
    </w:pPr>
  </w:style>
  <w:style w:type="paragraph" w:styleId="ListContinue5">
    <w:name w:val="List Continue 5"/>
    <w:basedOn w:val="Normal"/>
    <w:uiPriority w:val="99"/>
    <w:semiHidden/>
    <w:rsid w:val="00F9113D"/>
    <w:pPr>
      <w:spacing w:after="120"/>
      <w:ind w:left="1415"/>
      <w:contextualSpacing/>
    </w:pPr>
  </w:style>
  <w:style w:type="paragraph" w:styleId="ListNumber3">
    <w:name w:val="List Number 3"/>
    <w:basedOn w:val="Normal"/>
    <w:uiPriority w:val="99"/>
    <w:semiHidden/>
    <w:rsid w:val="00F9113D"/>
    <w:pPr>
      <w:numPr>
        <w:ilvl w:val="2"/>
        <w:numId w:val="17"/>
      </w:numPr>
      <w:contextualSpacing/>
    </w:pPr>
  </w:style>
  <w:style w:type="paragraph" w:styleId="ListNumber4">
    <w:name w:val="List Number 4"/>
    <w:basedOn w:val="Normal"/>
    <w:uiPriority w:val="99"/>
    <w:semiHidden/>
    <w:rsid w:val="00F9113D"/>
    <w:pPr>
      <w:numPr>
        <w:numId w:val="5"/>
      </w:numPr>
      <w:contextualSpacing/>
    </w:pPr>
  </w:style>
  <w:style w:type="paragraph" w:styleId="ListNumber5">
    <w:name w:val="List Number 5"/>
    <w:basedOn w:val="Normal"/>
    <w:uiPriority w:val="99"/>
    <w:semiHidden/>
    <w:rsid w:val="00F9113D"/>
    <w:pPr>
      <w:numPr>
        <w:numId w:val="6"/>
      </w:numPr>
      <w:contextualSpacing/>
    </w:p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
    <w:basedOn w:val="Normal"/>
    <w:link w:val="ListParagraphChar"/>
    <w:uiPriority w:val="34"/>
    <w:qFormat/>
    <w:rsid w:val="00F9113D"/>
    <w:pPr>
      <w:ind w:left="720"/>
      <w:contextualSpacing/>
    </w:pPr>
  </w:style>
  <w:style w:type="paragraph" w:styleId="MacroText">
    <w:name w:val="macro"/>
    <w:link w:val="MacroTextChar"/>
    <w:uiPriority w:val="99"/>
    <w:semiHidden/>
    <w:rsid w:val="00F9113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F9113D"/>
    <w:rPr>
      <w:rFonts w:ascii="Consolas" w:hAnsi="Consolas"/>
      <w:sz w:val="20"/>
      <w:szCs w:val="20"/>
      <w:lang w:val="en-AU"/>
    </w:rPr>
  </w:style>
  <w:style w:type="table" w:styleId="MediumGrid1">
    <w:name w:val="Medium Grid 1"/>
    <w:basedOn w:val="TableNormal"/>
    <w:uiPriority w:val="67"/>
    <w:rsid w:val="00F9113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113D"/>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F9113D"/>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F9113D"/>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F9113D"/>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F9113D"/>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F9113D"/>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88" w:themeFill="accent1" w:themeFillTint="7F"/>
      </w:tcPr>
    </w:tblStylePr>
  </w:style>
  <w:style w:type="table" w:styleId="MediumGrid3-Accent2">
    <w:name w:val="Medium Grid 3 Accent 2"/>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2" w:themeFillTint="7F"/>
      </w:tcPr>
    </w:tblStylePr>
  </w:style>
  <w:style w:type="table" w:styleId="MediumGrid3-Accent3">
    <w:name w:val="Medium Grid 3 Accent 3"/>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9F2" w:themeFill="accent3" w:themeFillTint="7F"/>
      </w:tcPr>
    </w:tblStylePr>
  </w:style>
  <w:style w:type="table" w:styleId="MediumGrid3-Accent4">
    <w:name w:val="Medium Grid 3 Accent 4"/>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73FD" w:themeFill="accent4" w:themeFillTint="7F"/>
      </w:tcPr>
    </w:tblStylePr>
  </w:style>
  <w:style w:type="table" w:styleId="MediumGrid3-Accent5">
    <w:name w:val="Medium Grid 3 Accent 5"/>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ECFF" w:themeFill="accent5" w:themeFillTint="7F"/>
      </w:tcPr>
    </w:tblStylePr>
  </w:style>
  <w:style w:type="table" w:styleId="MediumGrid3-Accent6">
    <w:name w:val="Medium Grid 3 Accent 6"/>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BBD" w:themeFill="accent6" w:themeFillTint="7F"/>
      </w:tcPr>
    </w:tblStylePr>
  </w:style>
  <w:style w:type="table" w:styleId="MediumList1">
    <w:name w:val="Medium List 1"/>
    <w:basedOn w:val="TableNormal"/>
    <w:uiPriority w:val="65"/>
    <w:rsid w:val="00F9113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113D"/>
    <w:pPr>
      <w:spacing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ediumList1-Accent2">
    <w:name w:val="Medium List 1 Accent 2"/>
    <w:basedOn w:val="TableNormal"/>
    <w:uiPriority w:val="65"/>
    <w:rsid w:val="00F9113D"/>
    <w:pPr>
      <w:spacing w:line="240" w:lineRule="auto"/>
    </w:pPr>
    <w:rPr>
      <w:color w:val="000000" w:themeColor="text1"/>
    </w:rPr>
    <w:tblPr>
      <w:tblStyleRowBandSize w:val="1"/>
      <w:tblStyleColBandSize w:val="1"/>
      <w:tblBorders>
        <w:top w:val="single" w:sz="8" w:space="0" w:color="046A38" w:themeColor="accent2"/>
        <w:bottom w:val="single" w:sz="8" w:space="0" w:color="046A38" w:themeColor="accent2"/>
      </w:tblBorders>
    </w:tbl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Pr/>
      <w:tcPr>
        <w:tcBorders>
          <w:top w:val="single" w:sz="8" w:space="0" w:color="046A38" w:themeColor="accent2"/>
          <w:bottom w:val="single" w:sz="8" w:space="0" w:color="046A38" w:themeColor="accent2"/>
        </w:tcBorders>
      </w:tcPr>
    </w:tblStylePr>
    <w:tblStylePr w:type="band1Vert">
      <w:tblPr/>
      <w:tcPr>
        <w:shd w:val="clear" w:color="auto" w:fill="9FFBCE" w:themeFill="accent2" w:themeFillTint="3F"/>
      </w:tcPr>
    </w:tblStylePr>
    <w:tblStylePr w:type="band1Horz">
      <w:tblPr/>
      <w:tcPr>
        <w:shd w:val="clear" w:color="auto" w:fill="9FFBCE" w:themeFill="accent2" w:themeFillTint="3F"/>
      </w:tcPr>
    </w:tblStylePr>
  </w:style>
  <w:style w:type="table" w:styleId="MediumList1-Accent3">
    <w:name w:val="Medium List 1 Accent 3"/>
    <w:basedOn w:val="TableNormal"/>
    <w:uiPriority w:val="65"/>
    <w:rsid w:val="00F9113D"/>
    <w:pPr>
      <w:spacing w:line="240" w:lineRule="auto"/>
    </w:pPr>
    <w:rPr>
      <w:color w:val="000000" w:themeColor="text1"/>
    </w:rPr>
    <w:tblPr>
      <w:tblStyleRowBandSize w:val="1"/>
      <w:tblStyleColBandSize w:val="1"/>
      <w:tblBorders>
        <w:top w:val="single" w:sz="8" w:space="0" w:color="62B5E5" w:themeColor="accent3"/>
        <w:bottom w:val="single" w:sz="8" w:space="0" w:color="62B5E5" w:themeColor="accent3"/>
      </w:tblBorders>
    </w:tbl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Pr/>
      <w:tcPr>
        <w:tcBorders>
          <w:top w:val="single" w:sz="8" w:space="0" w:color="62B5E5" w:themeColor="accent3"/>
          <w:bottom w:val="single" w:sz="8" w:space="0" w:color="62B5E5" w:themeColor="accent3"/>
        </w:tcBorders>
      </w:tcPr>
    </w:tblStylePr>
    <w:tblStylePr w:type="band1Vert">
      <w:tblPr/>
      <w:tcPr>
        <w:shd w:val="clear" w:color="auto" w:fill="D8ECF8" w:themeFill="accent3" w:themeFillTint="3F"/>
      </w:tcPr>
    </w:tblStylePr>
    <w:tblStylePr w:type="band1Horz">
      <w:tblPr/>
      <w:tcPr>
        <w:shd w:val="clear" w:color="auto" w:fill="D8ECF8" w:themeFill="accent3" w:themeFillTint="3F"/>
      </w:tcPr>
    </w:tblStylePr>
  </w:style>
  <w:style w:type="table" w:styleId="MediumList1-Accent4">
    <w:name w:val="Medium List 1 Accent 4"/>
    <w:basedOn w:val="TableNormal"/>
    <w:uiPriority w:val="65"/>
    <w:rsid w:val="00F9113D"/>
    <w:pPr>
      <w:spacing w:line="240" w:lineRule="auto"/>
    </w:pPr>
    <w:rPr>
      <w:color w:val="000000" w:themeColor="text1"/>
    </w:rPr>
    <w:tblPr>
      <w:tblStyleRowBandSize w:val="1"/>
      <w:tblStyleColBandSize w:val="1"/>
      <w:tblBorders>
        <w:top w:val="single" w:sz="8" w:space="0" w:color="012169" w:themeColor="accent4"/>
        <w:bottom w:val="single" w:sz="8" w:space="0" w:color="012169" w:themeColor="accent4"/>
      </w:tblBorders>
    </w:tbl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Pr/>
      <w:tcPr>
        <w:tcBorders>
          <w:top w:val="single" w:sz="8" w:space="0" w:color="012169" w:themeColor="accent4"/>
          <w:bottom w:val="single" w:sz="8" w:space="0" w:color="012169" w:themeColor="accent4"/>
        </w:tcBorders>
      </w:tcPr>
    </w:tblStylePr>
    <w:tblStylePr w:type="band1Vert">
      <w:tblPr/>
      <w:tcPr>
        <w:shd w:val="clear" w:color="auto" w:fill="9BB9FE" w:themeFill="accent4" w:themeFillTint="3F"/>
      </w:tcPr>
    </w:tblStylePr>
    <w:tblStylePr w:type="band1Horz">
      <w:tblPr/>
      <w:tcPr>
        <w:shd w:val="clear" w:color="auto" w:fill="9BB9FE" w:themeFill="accent4" w:themeFillTint="3F"/>
      </w:tcPr>
    </w:tblStylePr>
  </w:style>
  <w:style w:type="table" w:styleId="MediumList1-Accent5">
    <w:name w:val="Medium List 1 Accent 5"/>
    <w:basedOn w:val="TableNormal"/>
    <w:uiPriority w:val="65"/>
    <w:rsid w:val="00F9113D"/>
    <w:pPr>
      <w:spacing w:line="240" w:lineRule="auto"/>
    </w:pPr>
    <w:rPr>
      <w:color w:val="000000" w:themeColor="text1"/>
    </w:rPr>
    <w:tblPr>
      <w:tblStyleRowBandSize w:val="1"/>
      <w:tblStyleColBandSize w:val="1"/>
      <w:tblBorders>
        <w:top w:val="single" w:sz="8" w:space="0" w:color="0097A9" w:themeColor="accent5"/>
        <w:bottom w:val="single" w:sz="8" w:space="0" w:color="0097A9" w:themeColor="accent5"/>
      </w:tblBorders>
    </w:tbl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Pr/>
      <w:tcPr>
        <w:tcBorders>
          <w:top w:val="single" w:sz="8" w:space="0" w:color="0097A9" w:themeColor="accent5"/>
          <w:bottom w:val="single" w:sz="8" w:space="0" w:color="0097A9" w:themeColor="accent5"/>
        </w:tcBorders>
      </w:tcPr>
    </w:tblStylePr>
    <w:tblStylePr w:type="band1Vert">
      <w:tblPr/>
      <w:tcPr>
        <w:shd w:val="clear" w:color="auto" w:fill="AAF5FF" w:themeFill="accent5" w:themeFillTint="3F"/>
      </w:tcPr>
    </w:tblStylePr>
    <w:tblStylePr w:type="band1Horz">
      <w:tblPr/>
      <w:tcPr>
        <w:shd w:val="clear" w:color="auto" w:fill="AAF5FF" w:themeFill="accent5" w:themeFillTint="3F"/>
      </w:tcPr>
    </w:tblStylePr>
  </w:style>
  <w:style w:type="table" w:styleId="MediumList1-Accent6">
    <w:name w:val="Medium List 1 Accent 6"/>
    <w:basedOn w:val="TableNormal"/>
    <w:uiPriority w:val="65"/>
    <w:rsid w:val="00F9113D"/>
    <w:pPr>
      <w:spacing w:line="240" w:lineRule="auto"/>
    </w:pPr>
    <w:rPr>
      <w:color w:val="000000" w:themeColor="text1"/>
    </w:rPr>
    <w:tblPr>
      <w:tblStyleRowBandSize w:val="1"/>
      <w:tblStyleColBandSize w:val="1"/>
      <w:tblBorders>
        <w:top w:val="single" w:sz="8" w:space="0" w:color="75787B" w:themeColor="accent6"/>
        <w:bottom w:val="single" w:sz="8" w:space="0" w:color="75787B" w:themeColor="accent6"/>
      </w:tblBorders>
    </w:tbl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Pr/>
      <w:tcPr>
        <w:tcBorders>
          <w:top w:val="single" w:sz="8" w:space="0" w:color="75787B" w:themeColor="accent6"/>
          <w:bottom w:val="single" w:sz="8" w:space="0" w:color="75787B" w:themeColor="accent6"/>
        </w:tcBorders>
      </w:tcPr>
    </w:tblStylePr>
    <w:tblStylePr w:type="band1Vert">
      <w:tblPr/>
      <w:tcPr>
        <w:shd w:val="clear" w:color="auto" w:fill="DCDDDE" w:themeFill="accent6" w:themeFillTint="3F"/>
      </w:tcPr>
    </w:tblStylePr>
    <w:tblStylePr w:type="band1Horz">
      <w:tblPr/>
      <w:tcPr>
        <w:shd w:val="clear" w:color="auto" w:fill="DCDDDE" w:themeFill="accent6" w:themeFillTint="3F"/>
      </w:tcPr>
    </w:tblStylePr>
  </w:style>
  <w:style w:type="table" w:styleId="MediumList2">
    <w:name w:val="Medium Lis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113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113D"/>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113D"/>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tblBorders>
    </w:tblPr>
    <w:tblStylePr w:type="firstRow">
      <w:pPr>
        <w:spacing w:before="0" w:after="0" w:line="240" w:lineRule="auto"/>
      </w:pPr>
      <w:rPr>
        <w:b/>
        <w:bCs/>
        <w:color w:val="FFFFFF" w:themeColor="background1"/>
      </w:rPr>
      <w:tblPr/>
      <w:tcPr>
        <w:tc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shd w:val="clear" w:color="auto" w:fill="046A38" w:themeFill="accent2"/>
      </w:tcPr>
    </w:tblStylePr>
    <w:tblStylePr w:type="lastRow">
      <w:pPr>
        <w:spacing w:before="0" w:after="0" w:line="240" w:lineRule="auto"/>
      </w:pPr>
      <w:rPr>
        <w:b/>
        <w:bCs/>
      </w:rPr>
      <w:tblPr/>
      <w:tcPr>
        <w:tcBorders>
          <w:top w:val="double" w:sz="6"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FBCE" w:themeFill="accent2" w:themeFillTint="3F"/>
      </w:tcPr>
    </w:tblStylePr>
    <w:tblStylePr w:type="band1Horz">
      <w:tblPr/>
      <w:tcPr>
        <w:tcBorders>
          <w:insideH w:val="nil"/>
          <w:insideV w:val="nil"/>
        </w:tcBorders>
        <w:shd w:val="clear" w:color="auto" w:fill="9FF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113D"/>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tblBorders>
    </w:tblPr>
    <w:tblStylePr w:type="firstRow">
      <w:pPr>
        <w:spacing w:before="0" w:after="0" w:line="240" w:lineRule="auto"/>
      </w:pPr>
      <w:rPr>
        <w:b/>
        <w:bCs/>
        <w:color w:val="FFFFFF" w:themeColor="background1"/>
      </w:rPr>
      <w:tblPr/>
      <w:tcPr>
        <w:tc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shd w:val="clear" w:color="auto" w:fill="62B5E5" w:themeFill="accent3"/>
      </w:tcPr>
    </w:tblStylePr>
    <w:tblStylePr w:type="lastRow">
      <w:pPr>
        <w:spacing w:before="0" w:after="0" w:line="240" w:lineRule="auto"/>
      </w:pPr>
      <w:rPr>
        <w:b/>
        <w:bCs/>
      </w:rPr>
      <w:tblPr/>
      <w:tcPr>
        <w:tcBorders>
          <w:top w:val="double" w:sz="6"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CF8" w:themeFill="accent3" w:themeFillTint="3F"/>
      </w:tcPr>
    </w:tblStylePr>
    <w:tblStylePr w:type="band1Horz">
      <w:tblPr/>
      <w:tcPr>
        <w:tcBorders>
          <w:insideH w:val="nil"/>
          <w:insideV w:val="nil"/>
        </w:tcBorders>
        <w:shd w:val="clear" w:color="auto" w:fill="D8EC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113D"/>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tblBorders>
    </w:tblPr>
    <w:tblStylePr w:type="firstRow">
      <w:pPr>
        <w:spacing w:before="0" w:after="0" w:line="240" w:lineRule="auto"/>
      </w:pPr>
      <w:rPr>
        <w:b/>
        <w:bCs/>
        <w:color w:val="FFFFFF" w:themeColor="background1"/>
      </w:rPr>
      <w:tblPr/>
      <w:tcPr>
        <w:tc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shd w:val="clear" w:color="auto" w:fill="012169" w:themeFill="accent4"/>
      </w:tcPr>
    </w:tblStylePr>
    <w:tblStylePr w:type="lastRow">
      <w:pPr>
        <w:spacing w:before="0" w:after="0" w:line="240" w:lineRule="auto"/>
      </w:pPr>
      <w:rPr>
        <w:b/>
        <w:bCs/>
      </w:rPr>
      <w:tblPr/>
      <w:tcPr>
        <w:tcBorders>
          <w:top w:val="double" w:sz="6"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B9FE" w:themeFill="accent4" w:themeFillTint="3F"/>
      </w:tcPr>
    </w:tblStylePr>
    <w:tblStylePr w:type="band1Horz">
      <w:tblPr/>
      <w:tcPr>
        <w:tcBorders>
          <w:insideH w:val="nil"/>
          <w:insideV w:val="nil"/>
        </w:tcBorders>
        <w:shd w:val="clear" w:color="auto" w:fill="9BB9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113D"/>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tblBorders>
    </w:tblPr>
    <w:tblStylePr w:type="firstRow">
      <w:pPr>
        <w:spacing w:before="0" w:after="0" w:line="240" w:lineRule="auto"/>
      </w:pPr>
      <w:rPr>
        <w:b/>
        <w:bCs/>
        <w:color w:val="FFFFFF" w:themeColor="background1"/>
      </w:rPr>
      <w:tblPr/>
      <w:tcPr>
        <w:tc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shd w:val="clear" w:color="auto" w:fill="0097A9" w:themeFill="accent5"/>
      </w:tcPr>
    </w:tblStylePr>
    <w:tblStylePr w:type="lastRow">
      <w:pPr>
        <w:spacing w:before="0" w:after="0" w:line="240" w:lineRule="auto"/>
      </w:pPr>
      <w:rPr>
        <w:b/>
        <w:bCs/>
      </w:rPr>
      <w:tblPr/>
      <w:tcPr>
        <w:tcBorders>
          <w:top w:val="double" w:sz="6"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5" w:themeFillTint="3F"/>
      </w:tcPr>
    </w:tblStylePr>
    <w:tblStylePr w:type="band1Horz">
      <w:tblPr/>
      <w:tcPr>
        <w:tcBorders>
          <w:insideH w:val="nil"/>
          <w:insideV w:val="nil"/>
        </w:tcBorders>
        <w:shd w:val="clear" w:color="auto" w:fill="AAF5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113D"/>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tblBorders>
    </w:tblPr>
    <w:tblStylePr w:type="firstRow">
      <w:pPr>
        <w:spacing w:before="0" w:after="0" w:line="240" w:lineRule="auto"/>
      </w:pPr>
      <w:rPr>
        <w:b/>
        <w:bCs/>
        <w:color w:val="FFFFFF" w:themeColor="background1"/>
      </w:rPr>
      <w:tblPr/>
      <w:tcPr>
        <w:tc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shd w:val="clear" w:color="auto" w:fill="75787B" w:themeFill="accent6"/>
      </w:tcPr>
    </w:tblStylePr>
    <w:tblStylePr w:type="lastRow">
      <w:pPr>
        <w:spacing w:before="0" w:after="0" w:line="240" w:lineRule="auto"/>
      </w:pPr>
      <w:rPr>
        <w:b/>
        <w:bCs/>
      </w:rPr>
      <w:tblPr/>
      <w:tcPr>
        <w:tcBorders>
          <w:top w:val="double" w:sz="6"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CDDDE" w:themeFill="accent6" w:themeFillTint="3F"/>
      </w:tcPr>
    </w:tblStylePr>
    <w:tblStylePr w:type="band1Horz">
      <w:tblPr/>
      <w:tcPr>
        <w:tcBorders>
          <w:insideH w:val="nil"/>
          <w:insideV w:val="nil"/>
        </w:tcBorders>
        <w:shd w:val="clear" w:color="auto" w:fill="DCDD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11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113D"/>
    <w:rPr>
      <w:rFonts w:asciiTheme="majorHAnsi" w:eastAsiaTheme="majorEastAsia" w:hAnsiTheme="majorHAnsi" w:cstheme="majorBidi"/>
      <w:sz w:val="24"/>
      <w:szCs w:val="24"/>
      <w:shd w:val="pct20" w:color="auto" w:fill="auto"/>
    </w:rPr>
  </w:style>
  <w:style w:type="paragraph" w:styleId="NoSpacing">
    <w:name w:val="No Spacing"/>
    <w:qFormat/>
    <w:rsid w:val="00DA30BF"/>
    <w:rPr>
      <w:lang w:val="en-AU"/>
    </w:rPr>
  </w:style>
  <w:style w:type="paragraph" w:styleId="NormalWeb">
    <w:name w:val="Normal (Web)"/>
    <w:basedOn w:val="Normal"/>
    <w:uiPriority w:val="99"/>
    <w:semiHidden/>
    <w:rsid w:val="00F9113D"/>
    <w:rPr>
      <w:rFonts w:ascii="Times New Roman" w:hAnsi="Times New Roman" w:cs="Times New Roman"/>
      <w:sz w:val="24"/>
      <w:szCs w:val="24"/>
    </w:rPr>
  </w:style>
  <w:style w:type="paragraph" w:styleId="NormalIndent">
    <w:name w:val="Normal Indent"/>
    <w:basedOn w:val="Normal"/>
    <w:uiPriority w:val="99"/>
    <w:semiHidden/>
    <w:rsid w:val="00F9113D"/>
    <w:pPr>
      <w:ind w:left="1304"/>
    </w:pPr>
  </w:style>
  <w:style w:type="paragraph" w:styleId="NoteHeading">
    <w:name w:val="Note Heading"/>
    <w:basedOn w:val="Normal"/>
    <w:next w:val="Normal"/>
    <w:link w:val="NoteHeadingChar"/>
    <w:uiPriority w:val="99"/>
    <w:semiHidden/>
    <w:rsid w:val="00F9113D"/>
    <w:pPr>
      <w:spacing w:line="240" w:lineRule="auto"/>
    </w:pPr>
  </w:style>
  <w:style w:type="character" w:customStyle="1" w:styleId="NoteHeadingChar">
    <w:name w:val="Note Heading Char"/>
    <w:basedOn w:val="DefaultParagraphFont"/>
    <w:link w:val="NoteHeading"/>
    <w:uiPriority w:val="99"/>
    <w:semiHidden/>
    <w:rsid w:val="00F9113D"/>
  </w:style>
  <w:style w:type="character" w:styleId="PageNumber">
    <w:name w:val="page number"/>
    <w:basedOn w:val="DefaultParagraphFont"/>
    <w:uiPriority w:val="10"/>
    <w:semiHidden/>
    <w:rsid w:val="00F9113D"/>
    <w:rPr>
      <w:lang w:val="en-AU"/>
    </w:rPr>
  </w:style>
  <w:style w:type="paragraph" w:styleId="PlainText">
    <w:name w:val="Plain Text"/>
    <w:basedOn w:val="Normal"/>
    <w:link w:val="PlainTextChar"/>
    <w:uiPriority w:val="99"/>
    <w:semiHidden/>
    <w:rsid w:val="00F9113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113D"/>
    <w:rPr>
      <w:rFonts w:ascii="Consolas" w:hAnsi="Consolas"/>
      <w:sz w:val="21"/>
      <w:szCs w:val="21"/>
    </w:rPr>
  </w:style>
  <w:style w:type="paragraph" w:styleId="Quote">
    <w:name w:val="Quote"/>
    <w:basedOn w:val="Normal"/>
    <w:next w:val="Normal"/>
    <w:link w:val="QuoteChar"/>
    <w:uiPriority w:val="29"/>
    <w:semiHidden/>
    <w:qFormat/>
    <w:rsid w:val="00F9113D"/>
    <w:pPr>
      <w:spacing w:after="0"/>
    </w:pPr>
    <w:rPr>
      <w:i/>
      <w:iCs/>
      <w:color w:val="000000" w:themeColor="text1"/>
    </w:rPr>
  </w:style>
  <w:style w:type="character" w:customStyle="1" w:styleId="QuoteChar">
    <w:name w:val="Quote Char"/>
    <w:basedOn w:val="DefaultParagraphFont"/>
    <w:link w:val="Quote"/>
    <w:uiPriority w:val="29"/>
    <w:semiHidden/>
    <w:rsid w:val="00F9113D"/>
    <w:rPr>
      <w:i/>
      <w:iCs/>
      <w:color w:val="000000" w:themeColor="text1"/>
    </w:rPr>
  </w:style>
  <w:style w:type="paragraph" w:styleId="Salutation">
    <w:name w:val="Salutation"/>
    <w:basedOn w:val="Normal"/>
    <w:next w:val="Normal"/>
    <w:link w:val="SalutationChar"/>
    <w:uiPriority w:val="99"/>
    <w:semiHidden/>
    <w:rsid w:val="00F9113D"/>
  </w:style>
  <w:style w:type="character" w:customStyle="1" w:styleId="SalutationChar">
    <w:name w:val="Salutation Char"/>
    <w:basedOn w:val="DefaultParagraphFont"/>
    <w:link w:val="Salutation"/>
    <w:uiPriority w:val="99"/>
    <w:semiHidden/>
    <w:rsid w:val="00F9113D"/>
  </w:style>
  <w:style w:type="paragraph" w:styleId="Signature">
    <w:name w:val="Signature"/>
    <w:basedOn w:val="Normal"/>
    <w:link w:val="SignatureChar"/>
    <w:uiPriority w:val="99"/>
    <w:semiHidden/>
    <w:rsid w:val="00F9113D"/>
    <w:pPr>
      <w:keepNext/>
      <w:keepLines/>
    </w:pPr>
  </w:style>
  <w:style w:type="character" w:customStyle="1" w:styleId="SignatureChar">
    <w:name w:val="Signature Char"/>
    <w:basedOn w:val="DefaultParagraphFont"/>
    <w:link w:val="Signature"/>
    <w:uiPriority w:val="99"/>
    <w:semiHidden/>
    <w:rsid w:val="00F9113D"/>
  </w:style>
  <w:style w:type="character" w:styleId="Strong">
    <w:name w:val="Strong"/>
    <w:basedOn w:val="DefaultParagraphFont"/>
    <w:uiPriority w:val="22"/>
    <w:semiHidden/>
    <w:qFormat/>
    <w:rsid w:val="00F9113D"/>
    <w:rPr>
      <w:b/>
      <w:bCs/>
      <w:lang w:val="en-AU"/>
    </w:rPr>
  </w:style>
  <w:style w:type="paragraph" w:styleId="Subtitle">
    <w:name w:val="Subtitle"/>
    <w:basedOn w:val="Normal"/>
    <w:next w:val="Normal"/>
    <w:link w:val="SubtitleChar"/>
    <w:uiPriority w:val="11"/>
    <w:semiHidden/>
    <w:qFormat/>
    <w:rsid w:val="00F9113D"/>
    <w:pPr>
      <w:numPr>
        <w:ilvl w:val="1"/>
      </w:numPr>
      <w:spacing w:after="0"/>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semiHidden/>
    <w:rsid w:val="00F9113D"/>
    <w:rPr>
      <w:rFonts w:eastAsiaTheme="majorEastAsia" w:cstheme="majorBidi"/>
      <w:i/>
      <w:iCs/>
      <w:color w:val="86BC25" w:themeColor="accent1"/>
      <w:spacing w:val="15"/>
      <w:sz w:val="24"/>
      <w:szCs w:val="24"/>
    </w:rPr>
  </w:style>
  <w:style w:type="character" w:styleId="SubtleEmphasis">
    <w:name w:val="Subtle Emphasis"/>
    <w:basedOn w:val="DefaultParagraphFont"/>
    <w:uiPriority w:val="99"/>
    <w:semiHidden/>
    <w:qFormat/>
    <w:rsid w:val="00F9113D"/>
    <w:rPr>
      <w:i/>
      <w:iCs/>
      <w:color w:val="808080" w:themeColor="text1" w:themeTint="7F"/>
      <w:lang w:val="en-AU"/>
    </w:rPr>
  </w:style>
  <w:style w:type="character" w:styleId="SubtleReference">
    <w:name w:val="Subtle Reference"/>
    <w:basedOn w:val="DefaultParagraphFont"/>
    <w:uiPriority w:val="99"/>
    <w:semiHidden/>
    <w:qFormat/>
    <w:rsid w:val="00F9113D"/>
    <w:rPr>
      <w:smallCaps/>
      <w:color w:val="046A38" w:themeColor="accent2"/>
      <w:u w:val="single"/>
      <w:lang w:val="en-AU"/>
    </w:rPr>
  </w:style>
  <w:style w:type="table" w:styleId="Table3Deffects1">
    <w:name w:val="Table 3D effects 1"/>
    <w:basedOn w:val="TableNormal"/>
    <w:uiPriority w:val="99"/>
    <w:semiHidden/>
    <w:unhideWhenUsed/>
    <w:rsid w:val="00F9113D"/>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113D"/>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113D"/>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13D"/>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113D"/>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13D"/>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113D"/>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113D"/>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113D"/>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113D"/>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113D"/>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13D"/>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13D"/>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113D"/>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13D"/>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113D"/>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113D"/>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113D"/>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113D"/>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113D"/>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13D"/>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13D"/>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13D"/>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113D"/>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113D"/>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113D"/>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113D"/>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113D"/>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9113D"/>
    <w:pPr>
      <w:ind w:left="180" w:hanging="180"/>
    </w:pPr>
  </w:style>
  <w:style w:type="paragraph" w:styleId="TableofFigures">
    <w:name w:val="table of figures"/>
    <w:basedOn w:val="Normal"/>
    <w:next w:val="Normal"/>
    <w:uiPriority w:val="99"/>
    <w:semiHidden/>
    <w:rsid w:val="00F9113D"/>
  </w:style>
  <w:style w:type="table" w:styleId="TableProfessional">
    <w:name w:val="Table Professional"/>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13D"/>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13D"/>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13D"/>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13D"/>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113D"/>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9113D"/>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113D"/>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113D"/>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F9113D"/>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semiHidden/>
    <w:rsid w:val="00F9113D"/>
    <w:rPr>
      <w:rFonts w:eastAsiaTheme="majorEastAsia" w:cstheme="majorBidi"/>
      <w:color w:val="323E4F" w:themeColor="text2" w:themeShade="BF"/>
      <w:spacing w:val="5"/>
      <w:kern w:val="28"/>
      <w:sz w:val="52"/>
      <w:szCs w:val="52"/>
    </w:rPr>
  </w:style>
  <w:style w:type="paragraph" w:styleId="TOAHeading">
    <w:name w:val="toa heading"/>
    <w:basedOn w:val="Normal"/>
    <w:next w:val="Normal"/>
    <w:uiPriority w:val="99"/>
    <w:semiHidden/>
    <w:rsid w:val="00F9113D"/>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271D10"/>
    <w:pPr>
      <w:tabs>
        <w:tab w:val="left" w:pos="567"/>
        <w:tab w:val="right" w:pos="8959"/>
      </w:tabs>
      <w:spacing w:after="100"/>
      <w:ind w:left="1134" w:right="567" w:hanging="567"/>
      <w:contextualSpacing/>
    </w:pPr>
  </w:style>
  <w:style w:type="paragraph" w:styleId="TOC3">
    <w:name w:val="toc 3"/>
    <w:basedOn w:val="Normal"/>
    <w:next w:val="Normal"/>
    <w:uiPriority w:val="39"/>
    <w:rsid w:val="00271D10"/>
    <w:pPr>
      <w:tabs>
        <w:tab w:val="left" w:pos="1021"/>
        <w:tab w:val="right" w:pos="8959"/>
      </w:tabs>
      <w:spacing w:after="100"/>
      <w:ind w:left="567" w:right="567"/>
      <w:contextualSpacing/>
    </w:pPr>
  </w:style>
  <w:style w:type="paragraph" w:styleId="TOC4">
    <w:name w:val="toc 4"/>
    <w:basedOn w:val="Normal"/>
    <w:next w:val="Normal"/>
    <w:uiPriority w:val="39"/>
    <w:rsid w:val="007854F9"/>
    <w:pPr>
      <w:tabs>
        <w:tab w:val="right" w:pos="8959"/>
      </w:tabs>
      <w:spacing w:after="100"/>
      <w:ind w:right="567"/>
      <w:contextualSpacing/>
    </w:pPr>
  </w:style>
  <w:style w:type="paragraph" w:styleId="TOC5">
    <w:name w:val="toc 5"/>
    <w:basedOn w:val="Normal"/>
    <w:next w:val="Normal"/>
    <w:uiPriority w:val="39"/>
    <w:semiHidden/>
    <w:rsid w:val="00F9113D"/>
    <w:pPr>
      <w:spacing w:after="100"/>
      <w:ind w:left="567" w:right="567"/>
      <w:contextualSpacing/>
    </w:pPr>
  </w:style>
  <w:style w:type="paragraph" w:styleId="TOC6">
    <w:name w:val="toc 6"/>
    <w:basedOn w:val="Normal"/>
    <w:next w:val="Normal"/>
    <w:uiPriority w:val="39"/>
    <w:rsid w:val="006704D4"/>
    <w:pPr>
      <w:tabs>
        <w:tab w:val="right" w:pos="8959"/>
      </w:tabs>
      <w:spacing w:after="100"/>
      <w:ind w:right="567"/>
      <w:contextualSpacing/>
    </w:pPr>
  </w:style>
  <w:style w:type="paragraph" w:styleId="TOC7">
    <w:name w:val="toc 7"/>
    <w:basedOn w:val="Normal"/>
    <w:next w:val="Normal"/>
    <w:uiPriority w:val="39"/>
    <w:rsid w:val="00271D10"/>
    <w:pPr>
      <w:tabs>
        <w:tab w:val="right" w:pos="8959"/>
      </w:tabs>
      <w:spacing w:after="100"/>
      <w:ind w:right="567"/>
      <w:contextualSpacing/>
    </w:pPr>
  </w:style>
  <w:style w:type="paragraph" w:styleId="TOC8">
    <w:name w:val="toc 8"/>
    <w:basedOn w:val="Normal"/>
    <w:next w:val="Normal"/>
    <w:uiPriority w:val="39"/>
    <w:rsid w:val="007854F9"/>
    <w:pPr>
      <w:tabs>
        <w:tab w:val="right" w:pos="8959"/>
      </w:tabs>
      <w:spacing w:after="100"/>
      <w:ind w:right="567"/>
      <w:contextualSpacing/>
    </w:pPr>
  </w:style>
  <w:style w:type="paragraph" w:styleId="TOC9">
    <w:name w:val="toc 9"/>
    <w:basedOn w:val="Normal"/>
    <w:next w:val="Normal"/>
    <w:uiPriority w:val="39"/>
    <w:semiHidden/>
    <w:rsid w:val="00F9113D"/>
    <w:pPr>
      <w:spacing w:after="100"/>
      <w:ind w:left="567" w:right="567"/>
      <w:contextualSpacing/>
    </w:pPr>
  </w:style>
  <w:style w:type="paragraph" w:styleId="TOCHeading">
    <w:name w:val="TOC Heading"/>
    <w:next w:val="Normal"/>
    <w:uiPriority w:val="39"/>
    <w:semiHidden/>
    <w:rsid w:val="00F9113D"/>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F9113D"/>
    <w:pPr>
      <w:tabs>
        <w:tab w:val="left" w:pos="567"/>
      </w:tabs>
      <w:spacing w:after="0" w:line="280" w:lineRule="atLeast"/>
    </w:pPr>
    <w:rPr>
      <w:noProof/>
      <w:sz w:val="16"/>
    </w:rPr>
  </w:style>
  <w:style w:type="paragraph" w:customStyle="1" w:styleId="Template-Dato">
    <w:name w:val="Template - Dato"/>
    <w:basedOn w:val="Normal"/>
    <w:uiPriority w:val="9"/>
    <w:semiHidden/>
    <w:rsid w:val="00F9113D"/>
    <w:pPr>
      <w:spacing w:after="0" w:line="280" w:lineRule="atLeast"/>
    </w:pPr>
    <w:rPr>
      <w:noProof/>
      <w:sz w:val="16"/>
    </w:rPr>
  </w:style>
  <w:style w:type="paragraph" w:customStyle="1" w:styleId="Letterheadaddressnospacing">
    <w:name w:val="Letterhead address (no spacing)"/>
    <w:uiPriority w:val="99"/>
    <w:semiHidden/>
    <w:qFormat/>
    <w:rsid w:val="001D0641"/>
    <w:pPr>
      <w:framePr w:wrap="around" w:vAnchor="page" w:hAnchor="page" w:x="1" w:y="1"/>
      <w:spacing w:line="240" w:lineRule="auto"/>
      <w:suppressOverlap/>
    </w:pPr>
    <w:rPr>
      <w:rFonts w:eastAsia="Times New Roman" w:cs="Times New Roman"/>
      <w:noProof/>
      <w:color w:val="7F7F7F" w:themeColor="text1" w:themeTint="80"/>
      <w:sz w:val="14"/>
      <w:lang w:val="en-AU" w:bidi="en-US"/>
    </w:rPr>
  </w:style>
  <w:style w:type="paragraph" w:customStyle="1" w:styleId="DocumentHeading">
    <w:name w:val="Document Heading"/>
    <w:basedOn w:val="Normal"/>
    <w:next w:val="BodyText"/>
    <w:uiPriority w:val="99"/>
    <w:semiHidden/>
    <w:rsid w:val="00F9113D"/>
    <w:pPr>
      <w:suppressAutoHyphens/>
      <w:spacing w:before="240" w:after="240"/>
    </w:pPr>
    <w:rPr>
      <w:b/>
    </w:rPr>
  </w:style>
  <w:style w:type="paragraph" w:customStyle="1" w:styleId="Disclaimer">
    <w:name w:val="Disclaimer"/>
    <w:basedOn w:val="Footer"/>
    <w:uiPriority w:val="11"/>
    <w:semiHidden/>
    <w:rsid w:val="00F9113D"/>
    <w:pPr>
      <w:tabs>
        <w:tab w:val="clear" w:pos="7371"/>
      </w:tabs>
      <w:spacing w:line="130" w:lineRule="atLeast"/>
      <w:suppressOverlap/>
    </w:pPr>
    <w:rPr>
      <w:rFonts w:eastAsia="Times New Roman" w:cs="Arial"/>
      <w:sz w:val="11"/>
      <w:szCs w:val="17"/>
      <w:lang w:eastAsia="en-GB"/>
    </w:rPr>
  </w:style>
  <w:style w:type="paragraph" w:customStyle="1" w:styleId="SenderName">
    <w:name w:val="Sender Name"/>
    <w:basedOn w:val="Normal"/>
    <w:uiPriority w:val="8"/>
    <w:rsid w:val="00F9113D"/>
    <w:pPr>
      <w:keepNext/>
      <w:keepLines/>
      <w:spacing w:after="0"/>
    </w:pPr>
    <w:rPr>
      <w:b/>
      <w:szCs w:val="17"/>
    </w:rPr>
  </w:style>
  <w:style w:type="paragraph" w:customStyle="1" w:styleId="SignatureName">
    <w:name w:val="Signature Name"/>
    <w:basedOn w:val="Normal"/>
    <w:next w:val="SignatureTitle"/>
    <w:uiPriority w:val="7"/>
    <w:semiHidden/>
    <w:rsid w:val="00F9113D"/>
    <w:pPr>
      <w:keepNext/>
      <w:keepLines/>
      <w:spacing w:after="0"/>
    </w:pPr>
    <w:rPr>
      <w:b/>
      <w:color w:val="62B5E5" w:themeColor="accent3"/>
    </w:rPr>
  </w:style>
  <w:style w:type="paragraph" w:customStyle="1" w:styleId="SignatureTitle">
    <w:name w:val="Signature Title"/>
    <w:basedOn w:val="Normal"/>
    <w:next w:val="BodyText"/>
    <w:uiPriority w:val="7"/>
    <w:semiHidden/>
    <w:rsid w:val="00F9113D"/>
    <w:pPr>
      <w:spacing w:after="0"/>
    </w:pPr>
    <w:rPr>
      <w:b/>
    </w:rPr>
  </w:style>
  <w:style w:type="paragraph" w:customStyle="1" w:styleId="Heading2un-numbered">
    <w:name w:val="Heading 2 (un-numbered)"/>
    <w:basedOn w:val="Heading2"/>
    <w:next w:val="Normal"/>
    <w:uiPriority w:val="2"/>
    <w:qFormat/>
    <w:rsid w:val="007F276A"/>
    <w:pPr>
      <w:numPr>
        <w:ilvl w:val="0"/>
        <w:numId w:val="0"/>
      </w:numPr>
    </w:pPr>
  </w:style>
  <w:style w:type="paragraph" w:customStyle="1" w:styleId="Heading3un-numbered">
    <w:name w:val="Heading 3 (un-numbered)"/>
    <w:basedOn w:val="Heading3"/>
    <w:next w:val="Normal"/>
    <w:uiPriority w:val="2"/>
    <w:qFormat/>
    <w:rsid w:val="00F9113D"/>
    <w:pPr>
      <w:numPr>
        <w:ilvl w:val="0"/>
        <w:numId w:val="0"/>
      </w:numPr>
    </w:pPr>
  </w:style>
  <w:style w:type="paragraph" w:customStyle="1" w:styleId="Heading4un-numbered">
    <w:name w:val="Heading 4 (un-numbered)"/>
    <w:basedOn w:val="Heading4"/>
    <w:next w:val="Normal"/>
    <w:uiPriority w:val="2"/>
    <w:qFormat/>
    <w:rsid w:val="00F9113D"/>
    <w:pPr>
      <w:numPr>
        <w:ilvl w:val="0"/>
        <w:numId w:val="0"/>
      </w:numPr>
    </w:pPr>
  </w:style>
  <w:style w:type="paragraph" w:customStyle="1" w:styleId="BulletedText1">
    <w:name w:val="Bulleted Text 1"/>
    <w:basedOn w:val="Normal"/>
    <w:uiPriority w:val="4"/>
    <w:semiHidden/>
    <w:qFormat/>
    <w:rsid w:val="00F9113D"/>
    <w:pPr>
      <w:numPr>
        <w:numId w:val="1"/>
      </w:numPr>
      <w:suppressAutoHyphens/>
      <w:spacing w:after="0" w:line="250" w:lineRule="atLeast"/>
    </w:pPr>
  </w:style>
  <w:style w:type="paragraph" w:customStyle="1" w:styleId="BulletedText2">
    <w:name w:val="Bulleted Text 2"/>
    <w:basedOn w:val="Normal"/>
    <w:uiPriority w:val="4"/>
    <w:semiHidden/>
    <w:rsid w:val="00F9113D"/>
    <w:pPr>
      <w:numPr>
        <w:ilvl w:val="1"/>
        <w:numId w:val="1"/>
      </w:numPr>
      <w:suppressAutoHyphens/>
      <w:spacing w:after="0" w:line="250" w:lineRule="atLeast"/>
    </w:pPr>
  </w:style>
  <w:style w:type="paragraph" w:customStyle="1" w:styleId="Numberslevel1">
    <w:name w:val="Numbers level 1"/>
    <w:basedOn w:val="Normal"/>
    <w:uiPriority w:val="4"/>
    <w:semiHidden/>
    <w:qFormat/>
    <w:rsid w:val="00F9113D"/>
    <w:pPr>
      <w:numPr>
        <w:numId w:val="7"/>
      </w:numPr>
      <w:suppressAutoHyphens/>
      <w:spacing w:after="0" w:line="250" w:lineRule="atLeast"/>
    </w:pPr>
  </w:style>
  <w:style w:type="paragraph" w:customStyle="1" w:styleId="Numberslevel2">
    <w:name w:val="Numbers level 2"/>
    <w:basedOn w:val="Normal"/>
    <w:uiPriority w:val="4"/>
    <w:semiHidden/>
    <w:rsid w:val="00F9113D"/>
    <w:pPr>
      <w:numPr>
        <w:ilvl w:val="1"/>
        <w:numId w:val="7"/>
      </w:numPr>
      <w:suppressAutoHyphens/>
      <w:spacing w:after="0" w:line="250" w:lineRule="atLeast"/>
    </w:pPr>
  </w:style>
  <w:style w:type="paragraph" w:customStyle="1" w:styleId="Numberslevel3">
    <w:name w:val="Numbers level 3"/>
    <w:basedOn w:val="Normal"/>
    <w:uiPriority w:val="4"/>
    <w:semiHidden/>
    <w:rsid w:val="00F9113D"/>
    <w:pPr>
      <w:numPr>
        <w:ilvl w:val="2"/>
        <w:numId w:val="7"/>
      </w:numPr>
      <w:suppressAutoHyphens/>
      <w:spacing w:after="0" w:line="250" w:lineRule="atLeast"/>
    </w:pPr>
  </w:style>
  <w:style w:type="paragraph" w:customStyle="1" w:styleId="TabletextLeftTotal">
    <w:name w:val="Table text Left Total"/>
    <w:basedOn w:val="TabletextLeft"/>
    <w:uiPriority w:val="5"/>
    <w:rsid w:val="004A4474"/>
    <w:rPr>
      <w:b/>
    </w:rPr>
  </w:style>
  <w:style w:type="paragraph" w:customStyle="1" w:styleId="TabletextRightTotal">
    <w:name w:val="Table text Right Total"/>
    <w:basedOn w:val="TabletextRight"/>
    <w:uiPriority w:val="5"/>
    <w:rsid w:val="00625BDB"/>
    <w:rPr>
      <w:b/>
    </w:rPr>
  </w:style>
  <w:style w:type="table" w:customStyle="1" w:styleId="DeloitteBandedrows">
    <w:name w:val="Deloitte Banded rows"/>
    <w:basedOn w:val="TableNormal"/>
    <w:uiPriority w:val="99"/>
    <w:rsid w:val="005C6F31"/>
    <w:pPr>
      <w:spacing w:line="200" w:lineRule="atLeast"/>
      <w:ind w:left="57" w:right="57"/>
    </w:pPr>
    <w:rPr>
      <w:sz w:val="17"/>
    </w:rPr>
    <w:tblPr>
      <w:tblStyleRowBandSize w:val="1"/>
      <w:tblBorders>
        <w:bottom w:val="single" w:sz="4" w:space="0" w:color="62B5E5" w:themeColor="accent3"/>
      </w:tblBorders>
      <w:tblCellMar>
        <w:top w:w="85" w:type="dxa"/>
        <w:left w:w="0" w:type="dxa"/>
        <w:bottom w:w="85" w:type="dxa"/>
        <w:right w:w="0" w:type="dxa"/>
      </w:tblCellMar>
    </w:tblPr>
    <w:tblStylePr w:type="firstRow">
      <w:tblPr/>
      <w:tcPr>
        <w:tcBorders>
          <w:top w:val="single" w:sz="24" w:space="0" w:color="62B5E5" w:themeColor="accent3"/>
          <w:bottom w:val="single" w:sz="4" w:space="0" w:color="62B5E5" w:themeColor="accent3"/>
        </w:tcBorders>
      </w:tcPr>
    </w:tblStylePr>
    <w:tblStylePr w:type="lastRow">
      <w:tblPr/>
      <w:tcPr>
        <w:tcBorders>
          <w:top w:val="nil"/>
          <w:left w:val="nil"/>
          <w:bottom w:val="nil"/>
          <w:right w:val="nil"/>
          <w:insideH w:val="nil"/>
          <w:insideV w:val="nil"/>
          <w:tl2br w:val="nil"/>
          <w:tr2bl w:val="nil"/>
        </w:tcBorders>
      </w:tcPr>
    </w:tblStylePr>
    <w:tblStylePr w:type="band2Horz">
      <w:tblPr/>
      <w:tcPr>
        <w:shd w:val="clear" w:color="auto" w:fill="62B5E5" w:themeFill="accent3"/>
      </w:tcPr>
    </w:tblStylePr>
  </w:style>
  <w:style w:type="paragraph" w:customStyle="1" w:styleId="FPPicture">
    <w:name w:val="FP Picture"/>
    <w:basedOn w:val="Normal"/>
    <w:uiPriority w:val="9"/>
    <w:semiHidden/>
    <w:rsid w:val="00F9113D"/>
    <w:pPr>
      <w:spacing w:after="0"/>
      <w:ind w:left="-57"/>
    </w:pPr>
    <w:rPr>
      <w:color w:val="FF0000"/>
      <w:sz w:val="36"/>
    </w:rPr>
  </w:style>
  <w:style w:type="paragraph" w:customStyle="1" w:styleId="CV-Name">
    <w:name w:val="CV - Name"/>
    <w:basedOn w:val="Normal"/>
    <w:uiPriority w:val="7"/>
    <w:rsid w:val="005B00B8"/>
    <w:pPr>
      <w:spacing w:after="240"/>
      <w:contextualSpacing/>
    </w:pPr>
    <w:rPr>
      <w:b/>
      <w:color w:val="62B5E5" w:themeColor="accent3"/>
    </w:rPr>
  </w:style>
  <w:style w:type="paragraph" w:customStyle="1" w:styleId="HeadingA">
    <w:name w:val="Heading A"/>
    <w:next w:val="Normal"/>
    <w:uiPriority w:val="3"/>
    <w:rsid w:val="007F276A"/>
    <w:pPr>
      <w:keepNext/>
      <w:keepLines/>
      <w:spacing w:before="240" w:line="280" w:lineRule="atLeast"/>
    </w:pPr>
    <w:rPr>
      <w:rFonts w:eastAsia="Times New Roman" w:cs="Times New Roman"/>
      <w:b/>
      <w:color w:val="62B5E5" w:themeColor="accent3"/>
      <w:sz w:val="22"/>
      <w:szCs w:val="28"/>
      <w:lang w:val="en-AU"/>
    </w:rPr>
  </w:style>
  <w:style w:type="paragraph" w:customStyle="1" w:styleId="HeadingB">
    <w:name w:val="Heading B"/>
    <w:basedOn w:val="HeadingA"/>
    <w:next w:val="Normal"/>
    <w:uiPriority w:val="3"/>
    <w:rsid w:val="005E5001"/>
    <w:pPr>
      <w:spacing w:before="0"/>
    </w:pPr>
    <w:rPr>
      <w:color w:val="auto"/>
      <w:szCs w:val="26"/>
    </w:rPr>
  </w:style>
  <w:style w:type="paragraph" w:customStyle="1" w:styleId="HeadingC">
    <w:name w:val="Heading C"/>
    <w:basedOn w:val="Normal"/>
    <w:next w:val="Normal"/>
    <w:uiPriority w:val="3"/>
    <w:rsid w:val="00F84828"/>
    <w:pPr>
      <w:keepNext/>
      <w:keepLines/>
      <w:spacing w:after="0"/>
    </w:pPr>
    <w:rPr>
      <w:rFonts w:eastAsia="Times New Roman" w:cs="Times New Roman"/>
      <w:b/>
      <w:color w:val="75787B" w:themeColor="accent6"/>
      <w:szCs w:val="28"/>
    </w:rPr>
  </w:style>
  <w:style w:type="paragraph" w:customStyle="1" w:styleId="CaptionTable">
    <w:name w:val="Caption_Table"/>
    <w:basedOn w:val="Normal"/>
    <w:next w:val="Normal"/>
    <w:uiPriority w:val="4"/>
    <w:rsid w:val="006C74B8"/>
    <w:pPr>
      <w:keepNext/>
      <w:keepLines/>
      <w:numPr>
        <w:ilvl w:val="6"/>
        <w:numId w:val="2"/>
      </w:numPr>
      <w:spacing w:before="240" w:after="240"/>
      <w:ind w:left="851"/>
    </w:pPr>
    <w:rPr>
      <w:rFonts w:eastAsia="Times New Roman" w:cs="Times New Roman"/>
      <w:color w:val="75787B" w:themeColor="accent6"/>
      <w:sz w:val="17"/>
      <w:szCs w:val="20"/>
    </w:rPr>
  </w:style>
  <w:style w:type="paragraph" w:customStyle="1" w:styleId="CaptionFigure">
    <w:name w:val="Caption_Figure"/>
    <w:basedOn w:val="Normal"/>
    <w:next w:val="Normal"/>
    <w:uiPriority w:val="4"/>
    <w:rsid w:val="006C74B8"/>
    <w:pPr>
      <w:keepNext/>
      <w:keepLines/>
      <w:numPr>
        <w:ilvl w:val="8"/>
        <w:numId w:val="2"/>
      </w:numPr>
    </w:pPr>
    <w:rPr>
      <w:bCs/>
      <w:color w:val="75787B" w:themeColor="accent6"/>
      <w:sz w:val="17"/>
      <w:szCs w:val="22"/>
    </w:rPr>
  </w:style>
  <w:style w:type="paragraph" w:customStyle="1" w:styleId="CaptionChart">
    <w:name w:val="Caption_Chart"/>
    <w:basedOn w:val="Normal"/>
    <w:next w:val="Normal"/>
    <w:uiPriority w:val="4"/>
    <w:rsid w:val="006C74B8"/>
    <w:pPr>
      <w:keepNext/>
      <w:keepLines/>
      <w:numPr>
        <w:ilvl w:val="7"/>
        <w:numId w:val="2"/>
      </w:numPr>
    </w:pPr>
    <w:rPr>
      <w:color w:val="75787B" w:themeColor="accent6"/>
      <w:sz w:val="17"/>
    </w:rPr>
  </w:style>
  <w:style w:type="paragraph" w:customStyle="1" w:styleId="ExecutiveHeading">
    <w:name w:val="Executive Heading"/>
    <w:basedOn w:val="Heading1un-numbered"/>
    <w:next w:val="Normal"/>
    <w:uiPriority w:val="3"/>
    <w:rsid w:val="005E5001"/>
    <w:pPr>
      <w:numPr>
        <w:numId w:val="10"/>
      </w:numPr>
    </w:pPr>
  </w:style>
  <w:style w:type="paragraph" w:customStyle="1" w:styleId="Reference">
    <w:name w:val="Reference"/>
    <w:basedOn w:val="Normal"/>
    <w:uiPriority w:val="4"/>
    <w:rsid w:val="002C1140"/>
    <w:pPr>
      <w:spacing w:before="240" w:after="240"/>
      <w:ind w:left="567" w:hanging="567"/>
    </w:pPr>
    <w:rPr>
      <w:rFonts w:eastAsia="Times New Roman" w:cs="Times New Roman"/>
      <w:szCs w:val="20"/>
    </w:rPr>
  </w:style>
  <w:style w:type="paragraph" w:customStyle="1" w:styleId="ExecChartCaption">
    <w:name w:val="Exec Chart Caption"/>
    <w:basedOn w:val="Caption"/>
    <w:next w:val="Normal"/>
    <w:uiPriority w:val="4"/>
    <w:rsid w:val="00CA0756"/>
    <w:pPr>
      <w:numPr>
        <w:ilvl w:val="2"/>
        <w:numId w:val="10"/>
      </w:numPr>
    </w:pPr>
    <w:rPr>
      <w:rFonts w:eastAsia="Times New Roman" w:cs="Times New Roman"/>
      <w:szCs w:val="20"/>
    </w:rPr>
  </w:style>
  <w:style w:type="paragraph" w:customStyle="1" w:styleId="ExecFigureCaption">
    <w:name w:val="Exec Figure Caption"/>
    <w:basedOn w:val="Caption"/>
    <w:next w:val="Normal"/>
    <w:uiPriority w:val="4"/>
    <w:rsid w:val="00CA0756"/>
    <w:pPr>
      <w:numPr>
        <w:ilvl w:val="3"/>
        <w:numId w:val="10"/>
      </w:numPr>
    </w:pPr>
    <w:rPr>
      <w:rFonts w:eastAsia="Times New Roman" w:cs="Times New Roman"/>
      <w:szCs w:val="20"/>
    </w:rPr>
  </w:style>
  <w:style w:type="paragraph" w:customStyle="1" w:styleId="ExecTableCaption">
    <w:name w:val="Exec Table Caption"/>
    <w:basedOn w:val="Caption"/>
    <w:next w:val="Normal"/>
    <w:uiPriority w:val="4"/>
    <w:rsid w:val="005D6648"/>
    <w:pPr>
      <w:numPr>
        <w:ilvl w:val="1"/>
        <w:numId w:val="10"/>
      </w:numPr>
    </w:pPr>
    <w:rPr>
      <w:rFonts w:eastAsia="Times New Roman" w:cs="Times New Roman"/>
      <w:szCs w:val="20"/>
    </w:rPr>
  </w:style>
  <w:style w:type="paragraph" w:customStyle="1" w:styleId="Appendixhead2">
    <w:name w:val="Appendix_head_2"/>
    <w:basedOn w:val="Heading2"/>
    <w:next w:val="Normal"/>
    <w:link w:val="Appendixhead2Char"/>
    <w:uiPriority w:val="3"/>
    <w:rsid w:val="007F276A"/>
    <w:pPr>
      <w:numPr>
        <w:ilvl w:val="0"/>
        <w:numId w:val="0"/>
      </w:numPr>
      <w:tabs>
        <w:tab w:val="left" w:pos="851"/>
      </w:tabs>
      <w:ind w:left="3856" w:hanging="3856"/>
      <w:outlineLvl w:val="9"/>
    </w:pPr>
    <w:rPr>
      <w:rFonts w:eastAsia="Times New Roman" w:cs="Times New Roman"/>
      <w:bCs w:val="0"/>
      <w:lang w:eastAsia="en-AU"/>
    </w:rPr>
  </w:style>
  <w:style w:type="paragraph" w:customStyle="1" w:styleId="Appendixhead3">
    <w:name w:val="Appendix_head_3"/>
    <w:basedOn w:val="Heading3"/>
    <w:next w:val="Normal"/>
    <w:link w:val="Appendixhead3Char"/>
    <w:uiPriority w:val="3"/>
    <w:rsid w:val="00E06F2E"/>
    <w:pPr>
      <w:numPr>
        <w:numId w:val="11"/>
      </w:numPr>
      <w:outlineLvl w:val="9"/>
    </w:pPr>
    <w:rPr>
      <w:rFonts w:eastAsia="Times New Roman" w:cs="Times New Roman"/>
      <w:bCs w:val="0"/>
      <w:szCs w:val="20"/>
    </w:rPr>
  </w:style>
  <w:style w:type="paragraph" w:customStyle="1" w:styleId="Appendixhead4">
    <w:name w:val="Appendix_head_4"/>
    <w:basedOn w:val="Heading4"/>
    <w:next w:val="Normal"/>
    <w:uiPriority w:val="3"/>
    <w:rsid w:val="00F84828"/>
    <w:pPr>
      <w:numPr>
        <w:ilvl w:val="0"/>
        <w:numId w:val="0"/>
      </w:numPr>
      <w:tabs>
        <w:tab w:val="clear" w:pos="340"/>
      </w:tabs>
      <w:ind w:left="3856" w:hanging="3856"/>
      <w:outlineLvl w:val="9"/>
    </w:pPr>
    <w:rPr>
      <w:rFonts w:eastAsia="Times New Roman" w:cs="Times New Roman"/>
      <w:bCs w:val="0"/>
      <w:iCs w:val="0"/>
      <w:szCs w:val="24"/>
      <w:lang w:eastAsia="en-AU"/>
    </w:rPr>
  </w:style>
  <w:style w:type="paragraph" w:customStyle="1" w:styleId="Appendixhead1">
    <w:name w:val="Appendix_head_1"/>
    <w:basedOn w:val="Normal"/>
    <w:next w:val="Normal"/>
    <w:link w:val="Appendixhead1Char"/>
    <w:uiPriority w:val="3"/>
    <w:rsid w:val="009E2F33"/>
    <w:pPr>
      <w:keepNext/>
      <w:keepLines/>
      <w:pageBreakBefore/>
      <w:numPr>
        <w:numId w:val="11"/>
      </w:numPr>
      <w:spacing w:after="480" w:line="720" w:lineRule="atLeast"/>
    </w:pPr>
    <w:rPr>
      <w:rFonts w:eastAsia="Times New Roman" w:cs="Arial"/>
      <w:sz w:val="60"/>
      <w:szCs w:val="20"/>
    </w:rPr>
  </w:style>
  <w:style w:type="character" w:customStyle="1" w:styleId="Appendixhead1Char">
    <w:name w:val="Appendix_head_1 Char"/>
    <w:basedOn w:val="DefaultParagraphFont"/>
    <w:link w:val="Appendixhead1"/>
    <w:uiPriority w:val="3"/>
    <w:rsid w:val="009E2F33"/>
    <w:rPr>
      <w:rFonts w:eastAsia="Times New Roman" w:cs="Arial"/>
      <w:sz w:val="60"/>
      <w:szCs w:val="20"/>
      <w:lang w:val="en-AU"/>
    </w:rPr>
  </w:style>
  <w:style w:type="paragraph" w:customStyle="1" w:styleId="AppendixTableCaption">
    <w:name w:val="Appendix Table Caption"/>
    <w:basedOn w:val="Appendixhead4"/>
    <w:next w:val="Normal"/>
    <w:link w:val="AppendixTableCaptionChar"/>
    <w:uiPriority w:val="4"/>
    <w:rsid w:val="00CA0756"/>
    <w:pPr>
      <w:numPr>
        <w:ilvl w:val="6"/>
      </w:numPr>
      <w:spacing w:after="240"/>
      <w:ind w:left="3856" w:hanging="3856"/>
      <w:outlineLvl w:val="7"/>
    </w:pPr>
    <w:rPr>
      <w:b w:val="0"/>
      <w:sz w:val="17"/>
      <w:szCs w:val="22"/>
    </w:rPr>
  </w:style>
  <w:style w:type="paragraph" w:customStyle="1" w:styleId="AppendixChartCaption">
    <w:name w:val="Appendix Chart Caption"/>
    <w:basedOn w:val="AppendixTableCaption"/>
    <w:next w:val="Normal"/>
    <w:link w:val="AppendixChartCaptionChar"/>
    <w:uiPriority w:val="4"/>
    <w:rsid w:val="00CA0756"/>
    <w:pPr>
      <w:numPr>
        <w:ilvl w:val="7"/>
      </w:numPr>
      <w:ind w:left="3856" w:hanging="3856"/>
      <w:outlineLvl w:val="5"/>
    </w:pPr>
  </w:style>
  <w:style w:type="paragraph" w:customStyle="1" w:styleId="AppendixFigureCaption">
    <w:name w:val="Appendix Figure Caption"/>
    <w:basedOn w:val="AppendixChartCaption"/>
    <w:next w:val="Normal"/>
    <w:link w:val="AppendixFigureCaptionChar"/>
    <w:uiPriority w:val="4"/>
    <w:rsid w:val="00CA0756"/>
    <w:pPr>
      <w:numPr>
        <w:ilvl w:val="8"/>
      </w:numPr>
      <w:ind w:left="3856" w:hanging="3856"/>
      <w:outlineLvl w:val="6"/>
    </w:pPr>
  </w:style>
  <w:style w:type="character" w:customStyle="1" w:styleId="Appendixhead2Char">
    <w:name w:val="Appendix_head_2 Char"/>
    <w:basedOn w:val="DefaultParagraphFont"/>
    <w:link w:val="Appendixhead2"/>
    <w:uiPriority w:val="3"/>
    <w:rsid w:val="007F276A"/>
    <w:rPr>
      <w:rFonts w:eastAsia="Times New Roman" w:cs="Times New Roman"/>
      <w:b/>
      <w:color w:val="62B5E5" w:themeColor="accent3"/>
      <w:sz w:val="22"/>
      <w:szCs w:val="28"/>
      <w:lang w:val="en-AU" w:eastAsia="en-AU"/>
    </w:rPr>
  </w:style>
  <w:style w:type="character" w:customStyle="1" w:styleId="AppendixTableCaptionChar">
    <w:name w:val="Appendix Table Caption Char"/>
    <w:basedOn w:val="DefaultParagraphFont"/>
    <w:link w:val="AppendixTableCaption"/>
    <w:uiPriority w:val="4"/>
    <w:rsid w:val="00CA0756"/>
    <w:rPr>
      <w:rFonts w:eastAsia="Times New Roman" w:cs="Times New Roman"/>
      <w:color w:val="75787B" w:themeColor="accent6"/>
      <w:sz w:val="17"/>
      <w:szCs w:val="22"/>
      <w:lang w:val="en-AU" w:eastAsia="en-AU"/>
    </w:rPr>
  </w:style>
  <w:style w:type="character" w:customStyle="1" w:styleId="Appendixhead3Char">
    <w:name w:val="Appendix_head_3 Char"/>
    <w:basedOn w:val="DefaultParagraphFont"/>
    <w:link w:val="Appendixhead3"/>
    <w:uiPriority w:val="3"/>
    <w:rsid w:val="00E06F2E"/>
    <w:rPr>
      <w:rFonts w:eastAsia="Times New Roman" w:cs="Times New Roman"/>
      <w:b/>
      <w:sz w:val="22"/>
      <w:szCs w:val="20"/>
      <w:lang w:val="en-AU"/>
    </w:rPr>
  </w:style>
  <w:style w:type="character" w:customStyle="1" w:styleId="AppendixFigureCaptionChar">
    <w:name w:val="Appendix Figure Caption Char"/>
    <w:basedOn w:val="DefaultParagraphFont"/>
    <w:link w:val="AppendixFigureCaption"/>
    <w:uiPriority w:val="4"/>
    <w:rsid w:val="00CA0756"/>
    <w:rPr>
      <w:rFonts w:eastAsia="Times New Roman" w:cs="Times New Roman"/>
      <w:color w:val="75787B" w:themeColor="accent6"/>
      <w:sz w:val="17"/>
      <w:szCs w:val="22"/>
      <w:lang w:val="en-US" w:eastAsia="en-AU"/>
    </w:rPr>
  </w:style>
  <w:style w:type="character" w:customStyle="1" w:styleId="AppendixChartCaptionChar">
    <w:name w:val="Appendix Chart Caption Char"/>
    <w:basedOn w:val="AppendixTableCaptionChar"/>
    <w:link w:val="AppendixChartCaption"/>
    <w:uiPriority w:val="4"/>
    <w:rsid w:val="00CA0756"/>
    <w:rPr>
      <w:rFonts w:eastAsia="Times New Roman" w:cs="Times New Roman"/>
      <w:color w:val="75787B" w:themeColor="accent6"/>
      <w:sz w:val="17"/>
      <w:szCs w:val="22"/>
      <w:lang w:val="en-AU" w:eastAsia="en-AU"/>
    </w:rPr>
  </w:style>
  <w:style w:type="paragraph" w:customStyle="1" w:styleId="SourcetextTableorChart">
    <w:name w:val="Source text Table or Chart"/>
    <w:basedOn w:val="Caption"/>
    <w:next w:val="Normal"/>
    <w:uiPriority w:val="6"/>
    <w:semiHidden/>
    <w:rsid w:val="00B5479F"/>
    <w:pPr>
      <w:keepNext w:val="0"/>
      <w:keepLines w:val="0"/>
      <w:spacing w:before="120"/>
    </w:pPr>
    <w:rPr>
      <w:sz w:val="14"/>
    </w:rPr>
  </w:style>
  <w:style w:type="paragraph" w:customStyle="1" w:styleId="AlphabeticList">
    <w:name w:val="Alphabetic List"/>
    <w:basedOn w:val="Normal"/>
    <w:uiPriority w:val="4"/>
    <w:qFormat/>
    <w:rsid w:val="007F7A8C"/>
    <w:pPr>
      <w:numPr>
        <w:numId w:val="12"/>
      </w:numPr>
      <w:spacing w:after="0"/>
      <w:contextualSpacing/>
    </w:pPr>
    <w:rPr>
      <w:rFonts w:eastAsia="Times New Roman" w:cs="Times New Roman"/>
      <w:szCs w:val="20"/>
    </w:rPr>
  </w:style>
  <w:style w:type="paragraph" w:customStyle="1" w:styleId="CV-Heading">
    <w:name w:val="CV - Heading"/>
    <w:basedOn w:val="Normal"/>
    <w:uiPriority w:val="7"/>
    <w:rsid w:val="005B00B8"/>
    <w:pPr>
      <w:spacing w:before="240" w:after="0"/>
      <w:contextualSpacing/>
    </w:pPr>
    <w:rPr>
      <w:b/>
    </w:rPr>
  </w:style>
  <w:style w:type="paragraph" w:customStyle="1" w:styleId="TableHeadingCentre">
    <w:name w:val="Table Heading Centre"/>
    <w:basedOn w:val="TableHeadingLeft"/>
    <w:uiPriority w:val="5"/>
    <w:rsid w:val="00625BDB"/>
    <w:pPr>
      <w:jc w:val="center"/>
    </w:pPr>
  </w:style>
  <w:style w:type="paragraph" w:customStyle="1" w:styleId="TableHeadingRight">
    <w:name w:val="Table Heading Right"/>
    <w:basedOn w:val="TableHeadingCentre"/>
    <w:uiPriority w:val="5"/>
    <w:rsid w:val="00625BDB"/>
    <w:pPr>
      <w:jc w:val="right"/>
    </w:pPr>
  </w:style>
  <w:style w:type="paragraph" w:customStyle="1" w:styleId="TabletextRight">
    <w:name w:val="Table text Right"/>
    <w:basedOn w:val="TabletextLeft"/>
    <w:uiPriority w:val="5"/>
    <w:rsid w:val="004A4474"/>
    <w:pPr>
      <w:jc w:val="right"/>
    </w:pPr>
  </w:style>
  <w:style w:type="paragraph" w:customStyle="1" w:styleId="TabletextCentre">
    <w:name w:val="Table text Centre"/>
    <w:basedOn w:val="TabletextRight"/>
    <w:uiPriority w:val="5"/>
    <w:rsid w:val="004A4474"/>
    <w:pPr>
      <w:jc w:val="center"/>
    </w:pPr>
  </w:style>
  <w:style w:type="paragraph" w:customStyle="1" w:styleId="TableNote">
    <w:name w:val="Table Note"/>
    <w:basedOn w:val="TabletextLeft"/>
    <w:uiPriority w:val="5"/>
    <w:semiHidden/>
    <w:rsid w:val="002E67BC"/>
    <w:rPr>
      <w:sz w:val="15"/>
    </w:rPr>
  </w:style>
  <w:style w:type="paragraph" w:customStyle="1" w:styleId="TabletextCentreTotal">
    <w:name w:val="Table text Centre Total"/>
    <w:basedOn w:val="TabletextCentre"/>
    <w:uiPriority w:val="5"/>
    <w:rsid w:val="004A4474"/>
    <w:rPr>
      <w:b/>
    </w:rPr>
  </w:style>
  <w:style w:type="paragraph" w:customStyle="1" w:styleId="AlphabeticList2">
    <w:name w:val="Alphabetic List 2"/>
    <w:basedOn w:val="AlphabeticList"/>
    <w:uiPriority w:val="4"/>
    <w:qFormat/>
    <w:rsid w:val="000A0317"/>
    <w:pPr>
      <w:numPr>
        <w:ilvl w:val="1"/>
      </w:numPr>
    </w:pPr>
  </w:style>
  <w:style w:type="table" w:styleId="GridTable1Light">
    <w:name w:val="Grid Table 1 Light"/>
    <w:basedOn w:val="TableNormal"/>
    <w:uiPriority w:val="46"/>
    <w:rsid w:val="000116B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16B0"/>
    <w:pPr>
      <w:spacing w:line="240" w:lineRule="auto"/>
    </w:p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16B0"/>
    <w:pPr>
      <w:spacing w:line="240" w:lineRule="auto"/>
    </w:pPr>
    <w:tblPr>
      <w:tblStyleRowBandSize w:val="1"/>
      <w:tblStyleColBandSize w:val="1"/>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16B0"/>
    <w:pPr>
      <w:spacing w:line="240" w:lineRule="auto"/>
    </w:pPr>
    <w:tblPr>
      <w:tblStyleRowBandSize w:val="1"/>
      <w:tblStyleColBandSize w:val="1"/>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16B0"/>
    <w:pPr>
      <w:spacing w:line="240" w:lineRule="auto"/>
    </w:p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16B0"/>
    <w:pPr>
      <w:spacing w:line="240" w:lineRule="auto"/>
    </w:pPr>
    <w:tblPr>
      <w:tblStyleRowBandSize w:val="1"/>
      <w:tblStyleColBandSize w:val="1"/>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16B0"/>
    <w:pPr>
      <w:spacing w:line="240" w:lineRule="auto"/>
    </w:pPr>
    <w:tblPr>
      <w:tblStyleRowBandSize w:val="1"/>
      <w:tblStyleColBandSize w:val="1"/>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16B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16B0"/>
    <w:pPr>
      <w:spacing w:line="240" w:lineRule="auto"/>
    </w:p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2-Accent2">
    <w:name w:val="Grid Table 2 Accent 2"/>
    <w:basedOn w:val="TableNormal"/>
    <w:uiPriority w:val="47"/>
    <w:rsid w:val="000116B0"/>
    <w:pPr>
      <w:spacing w:line="240" w:lineRule="auto"/>
    </w:pPr>
    <w:tblPr>
      <w:tblStyleRowBandSize w:val="1"/>
      <w:tblStyleColBandSize w:val="1"/>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2-Accent3">
    <w:name w:val="Grid Table 2 Accent 3"/>
    <w:basedOn w:val="TableNormal"/>
    <w:uiPriority w:val="47"/>
    <w:rsid w:val="000116B0"/>
    <w:pPr>
      <w:spacing w:line="240" w:lineRule="auto"/>
    </w:pPr>
    <w:tblPr>
      <w:tblStyleRowBandSize w:val="1"/>
      <w:tblStyleColBandSize w:val="1"/>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2-Accent4">
    <w:name w:val="Grid Table 2 Accent 4"/>
    <w:basedOn w:val="TableNormal"/>
    <w:uiPriority w:val="47"/>
    <w:rsid w:val="000116B0"/>
    <w:pPr>
      <w:spacing w:line="240" w:lineRule="auto"/>
    </w:pPr>
    <w:tblPr>
      <w:tblStyleRowBandSize w:val="1"/>
      <w:tblStyleColBandSize w:val="1"/>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2-Accent5">
    <w:name w:val="Grid Table 2 Accent 5"/>
    <w:basedOn w:val="TableNormal"/>
    <w:uiPriority w:val="47"/>
    <w:rsid w:val="000116B0"/>
    <w:pPr>
      <w:spacing w:line="240" w:lineRule="auto"/>
    </w:pPr>
    <w:tblPr>
      <w:tblStyleRowBandSize w:val="1"/>
      <w:tblStyleColBandSize w:val="1"/>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2-Accent6">
    <w:name w:val="Grid Table 2 Accent 6"/>
    <w:basedOn w:val="TableNormal"/>
    <w:uiPriority w:val="47"/>
    <w:rsid w:val="000116B0"/>
    <w:pPr>
      <w:spacing w:line="240" w:lineRule="auto"/>
    </w:pPr>
    <w:tblPr>
      <w:tblStyleRowBandSize w:val="1"/>
      <w:tblStyleColBandSize w:val="1"/>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3">
    <w:name w:val="Grid Table 3"/>
    <w:basedOn w:val="TableNormal"/>
    <w:uiPriority w:val="48"/>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3-Accent2">
    <w:name w:val="Grid Table 3 Accent 2"/>
    <w:basedOn w:val="TableNormal"/>
    <w:uiPriority w:val="48"/>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3-Accent3">
    <w:name w:val="Grid Table 3 Accent 3"/>
    <w:basedOn w:val="TableNormal"/>
    <w:uiPriority w:val="48"/>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3-Accent4">
    <w:name w:val="Grid Table 3 Accent 4"/>
    <w:basedOn w:val="TableNormal"/>
    <w:uiPriority w:val="48"/>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3-Accent5">
    <w:name w:val="Grid Table 3 Accent 5"/>
    <w:basedOn w:val="TableNormal"/>
    <w:uiPriority w:val="48"/>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3-Accent6">
    <w:name w:val="Grid Table 3 Accent 6"/>
    <w:basedOn w:val="TableNormal"/>
    <w:uiPriority w:val="48"/>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GridTable4">
    <w:name w:val="Grid Table 4"/>
    <w:basedOn w:val="TableNormal"/>
    <w:uiPriority w:val="49"/>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4-Accent2">
    <w:name w:val="Grid Table 4 Accent 2"/>
    <w:basedOn w:val="TableNormal"/>
    <w:uiPriority w:val="49"/>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4-Accent3">
    <w:name w:val="Grid Table 4 Accent 3"/>
    <w:basedOn w:val="TableNormal"/>
    <w:uiPriority w:val="49"/>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4-Accent4">
    <w:name w:val="Grid Table 4 Accent 4"/>
    <w:basedOn w:val="TableNormal"/>
    <w:uiPriority w:val="49"/>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4-Accent5">
    <w:name w:val="Grid Table 4 Accent 5"/>
    <w:basedOn w:val="TableNormal"/>
    <w:uiPriority w:val="49"/>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4-Accent6">
    <w:name w:val="Grid Table 4 Accent 6"/>
    <w:basedOn w:val="TableNormal"/>
    <w:uiPriority w:val="49"/>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5Dark">
    <w:name w:val="Grid Table 5 Dark"/>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styleId="GridTable5Dark-Accent2">
    <w:name w:val="Grid Table 5 Dark Accent 2"/>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styleId="GridTable5Dark-Accent3">
    <w:name w:val="Grid Table 5 Dark Accent 3"/>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styleId="GridTable5Dark-Accent4">
    <w:name w:val="Grid Table 5 Dark Accent 4"/>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styleId="GridTable5Dark-Accent5">
    <w:name w:val="Grid Table 5 Dark Accent 5"/>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styleId="GridTable5Dark-Accent6">
    <w:name w:val="Grid Table 5 Dark Accent 6"/>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styleId="GridTable6Colorful">
    <w:name w:val="Grid Table 6 Colorful"/>
    <w:basedOn w:val="TableNormal"/>
    <w:uiPriority w:val="51"/>
    <w:rsid w:val="000116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16B0"/>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6Colorful-Accent2">
    <w:name w:val="Grid Table 6 Colorful Accent 2"/>
    <w:basedOn w:val="TableNormal"/>
    <w:uiPriority w:val="51"/>
    <w:rsid w:val="000116B0"/>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6Colorful-Accent3">
    <w:name w:val="Grid Table 6 Colorful Accent 3"/>
    <w:basedOn w:val="TableNormal"/>
    <w:uiPriority w:val="51"/>
    <w:rsid w:val="000116B0"/>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6Colorful-Accent4">
    <w:name w:val="Grid Table 6 Colorful Accent 4"/>
    <w:basedOn w:val="TableNormal"/>
    <w:uiPriority w:val="51"/>
    <w:rsid w:val="000116B0"/>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6Colorful-Accent5">
    <w:name w:val="Grid Table 6 Colorful Accent 5"/>
    <w:basedOn w:val="TableNormal"/>
    <w:uiPriority w:val="51"/>
    <w:rsid w:val="000116B0"/>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6Colorful-Accent6">
    <w:name w:val="Grid Table 6 Colorful Accent 6"/>
    <w:basedOn w:val="TableNormal"/>
    <w:uiPriority w:val="51"/>
    <w:rsid w:val="000116B0"/>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7Colorful">
    <w:name w:val="Grid Table 7 Colorful"/>
    <w:basedOn w:val="TableNormal"/>
    <w:uiPriority w:val="52"/>
    <w:rsid w:val="000116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16B0"/>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7Colorful-Accent2">
    <w:name w:val="Grid Table 7 Colorful Accent 2"/>
    <w:basedOn w:val="TableNormal"/>
    <w:uiPriority w:val="52"/>
    <w:rsid w:val="000116B0"/>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7Colorful-Accent3">
    <w:name w:val="Grid Table 7 Colorful Accent 3"/>
    <w:basedOn w:val="TableNormal"/>
    <w:uiPriority w:val="52"/>
    <w:rsid w:val="000116B0"/>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7Colorful-Accent4">
    <w:name w:val="Grid Table 7 Colorful Accent 4"/>
    <w:basedOn w:val="TableNormal"/>
    <w:uiPriority w:val="52"/>
    <w:rsid w:val="000116B0"/>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7Colorful-Accent5">
    <w:name w:val="Grid Table 7 Colorful Accent 5"/>
    <w:basedOn w:val="TableNormal"/>
    <w:uiPriority w:val="52"/>
    <w:rsid w:val="000116B0"/>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7Colorful-Accent6">
    <w:name w:val="Grid Table 7 Colorful Accent 6"/>
    <w:basedOn w:val="TableNormal"/>
    <w:uiPriority w:val="52"/>
    <w:rsid w:val="000116B0"/>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ListTable1Light">
    <w:name w:val="List Table 1 Light"/>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1Light-Accent2">
    <w:name w:val="List Table 1 Light Accent 2"/>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1Light-Accent3">
    <w:name w:val="List Table 1 Light Accent 3"/>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1Light-Accent4">
    <w:name w:val="List Table 1 Light Accent 4"/>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1Light-Accent5">
    <w:name w:val="List Table 1 Light Accent 5"/>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1Light-Accent6">
    <w:name w:val="List Table 1 Light Accent 6"/>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2">
    <w:name w:val="List Table 2"/>
    <w:basedOn w:val="TableNormal"/>
    <w:uiPriority w:val="47"/>
    <w:rsid w:val="000116B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16B0"/>
    <w:pPr>
      <w:spacing w:line="240" w:lineRule="auto"/>
    </w:p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2">
    <w:name w:val="List Table 2 Accent 2"/>
    <w:basedOn w:val="TableNormal"/>
    <w:uiPriority w:val="47"/>
    <w:rsid w:val="000116B0"/>
    <w:pPr>
      <w:spacing w:line="240" w:lineRule="auto"/>
    </w:pPr>
    <w:tblPr>
      <w:tblStyleRowBandSize w:val="1"/>
      <w:tblStyleColBandSize w:val="1"/>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2-Accent3">
    <w:name w:val="List Table 2 Accent 3"/>
    <w:basedOn w:val="TableNormal"/>
    <w:uiPriority w:val="47"/>
    <w:rsid w:val="000116B0"/>
    <w:pPr>
      <w:spacing w:line="240" w:lineRule="auto"/>
    </w:pPr>
    <w:tblPr>
      <w:tblStyleRowBandSize w:val="1"/>
      <w:tblStyleColBandSize w:val="1"/>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2-Accent4">
    <w:name w:val="List Table 2 Accent 4"/>
    <w:basedOn w:val="TableNormal"/>
    <w:uiPriority w:val="47"/>
    <w:rsid w:val="000116B0"/>
    <w:pPr>
      <w:spacing w:line="240" w:lineRule="auto"/>
    </w:pPr>
    <w:tblPr>
      <w:tblStyleRowBandSize w:val="1"/>
      <w:tblStyleColBandSize w:val="1"/>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2-Accent5">
    <w:name w:val="List Table 2 Accent 5"/>
    <w:basedOn w:val="TableNormal"/>
    <w:uiPriority w:val="47"/>
    <w:rsid w:val="000116B0"/>
    <w:pPr>
      <w:spacing w:line="240" w:lineRule="auto"/>
    </w:pPr>
    <w:tblPr>
      <w:tblStyleRowBandSize w:val="1"/>
      <w:tblStyleColBandSize w:val="1"/>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2-Accent6">
    <w:name w:val="List Table 2 Accent 6"/>
    <w:basedOn w:val="TableNormal"/>
    <w:uiPriority w:val="47"/>
    <w:rsid w:val="000116B0"/>
    <w:pPr>
      <w:spacing w:line="240" w:lineRule="auto"/>
    </w:p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3">
    <w:name w:val="List Table 3"/>
    <w:basedOn w:val="TableNormal"/>
    <w:uiPriority w:val="48"/>
    <w:rsid w:val="000116B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16B0"/>
    <w:pPr>
      <w:spacing w:line="240" w:lineRule="auto"/>
    </w:p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ListTable3-Accent2">
    <w:name w:val="List Table 3 Accent 2"/>
    <w:basedOn w:val="TableNormal"/>
    <w:uiPriority w:val="48"/>
    <w:rsid w:val="000116B0"/>
    <w:pPr>
      <w:spacing w:line="240" w:lineRule="auto"/>
    </w:pPr>
    <w:tblPr>
      <w:tblStyleRowBandSize w:val="1"/>
      <w:tblStyleColBandSize w:val="1"/>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styleId="ListTable3-Accent3">
    <w:name w:val="List Table 3 Accent 3"/>
    <w:basedOn w:val="TableNormal"/>
    <w:uiPriority w:val="48"/>
    <w:rsid w:val="000116B0"/>
    <w:pPr>
      <w:spacing w:line="240" w:lineRule="auto"/>
    </w:pPr>
    <w:tblPr>
      <w:tblStyleRowBandSize w:val="1"/>
      <w:tblStyleColBandSize w:val="1"/>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styleId="ListTable3-Accent4">
    <w:name w:val="List Table 3 Accent 4"/>
    <w:basedOn w:val="TableNormal"/>
    <w:uiPriority w:val="48"/>
    <w:rsid w:val="000116B0"/>
    <w:pPr>
      <w:spacing w:line="240" w:lineRule="auto"/>
    </w:pPr>
    <w:tblPr>
      <w:tblStyleRowBandSize w:val="1"/>
      <w:tblStyleColBandSize w:val="1"/>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styleId="ListTable3-Accent5">
    <w:name w:val="List Table 3 Accent 5"/>
    <w:basedOn w:val="TableNormal"/>
    <w:uiPriority w:val="48"/>
    <w:rsid w:val="000116B0"/>
    <w:pPr>
      <w:spacing w:line="240" w:lineRule="auto"/>
    </w:pPr>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styleId="ListTable3-Accent6">
    <w:name w:val="List Table 3 Accent 6"/>
    <w:basedOn w:val="TableNormal"/>
    <w:uiPriority w:val="48"/>
    <w:rsid w:val="000116B0"/>
    <w:pPr>
      <w:spacing w:line="240" w:lineRule="auto"/>
    </w:pPr>
    <w:tblPr>
      <w:tblStyleRowBandSize w:val="1"/>
      <w:tblStyleColBandSize w:val="1"/>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styleId="ListTable4">
    <w:name w:val="List Table 4"/>
    <w:basedOn w:val="TableNormal"/>
    <w:uiPriority w:val="49"/>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4-Accent2">
    <w:name w:val="List Table 4 Accent 2"/>
    <w:basedOn w:val="TableNormal"/>
    <w:uiPriority w:val="49"/>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4-Accent3">
    <w:name w:val="List Table 4 Accent 3"/>
    <w:basedOn w:val="TableNormal"/>
    <w:uiPriority w:val="49"/>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4-Accent4">
    <w:name w:val="List Table 4 Accent 4"/>
    <w:basedOn w:val="TableNormal"/>
    <w:uiPriority w:val="49"/>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4-Accent5">
    <w:name w:val="List Table 4 Accent 5"/>
    <w:basedOn w:val="TableNormal"/>
    <w:uiPriority w:val="49"/>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4-Accent6">
    <w:name w:val="List Table 4 Accent 6"/>
    <w:basedOn w:val="TableNormal"/>
    <w:uiPriority w:val="49"/>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5Dark">
    <w:name w:val="List Table 5 Dark"/>
    <w:basedOn w:val="TableNormal"/>
    <w:uiPriority w:val="50"/>
    <w:rsid w:val="000116B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16B0"/>
    <w:pPr>
      <w:spacing w:line="240" w:lineRule="auto"/>
    </w:pPr>
    <w:rPr>
      <w:color w:val="FFFFFF" w:themeColor="background1"/>
    </w:rPr>
    <w:tblPr>
      <w:tblStyleRowBandSize w:val="1"/>
      <w:tblStyleColBandSize w:val="1"/>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16B0"/>
    <w:pPr>
      <w:spacing w:line="240" w:lineRule="auto"/>
    </w:pPr>
    <w:rPr>
      <w:color w:val="FFFFFF" w:themeColor="background1"/>
    </w:rPr>
    <w:tblPr>
      <w:tblStyleRowBandSize w:val="1"/>
      <w:tblStyleColBandSize w:val="1"/>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16B0"/>
    <w:pPr>
      <w:spacing w:line="240" w:lineRule="auto"/>
    </w:pPr>
    <w:rPr>
      <w:color w:val="FFFFFF" w:themeColor="background1"/>
    </w:rPr>
    <w:tblPr>
      <w:tblStyleRowBandSize w:val="1"/>
      <w:tblStyleColBandSize w:val="1"/>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16B0"/>
    <w:pPr>
      <w:spacing w:line="240" w:lineRule="auto"/>
    </w:pPr>
    <w:rPr>
      <w:color w:val="FFFFFF" w:themeColor="background1"/>
    </w:rPr>
    <w:tblPr>
      <w:tblStyleRowBandSize w:val="1"/>
      <w:tblStyleColBandSize w:val="1"/>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16B0"/>
    <w:pPr>
      <w:spacing w:line="240" w:lineRule="auto"/>
    </w:pPr>
    <w:rPr>
      <w:color w:val="FFFFFF" w:themeColor="background1"/>
    </w:rPr>
    <w:tblPr>
      <w:tblStyleRowBandSize w:val="1"/>
      <w:tblStyleColBandSize w:val="1"/>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16B0"/>
    <w:pPr>
      <w:spacing w:line="240" w:lineRule="auto"/>
    </w:pPr>
    <w:rPr>
      <w:color w:val="FFFFFF" w:themeColor="background1"/>
    </w:rPr>
    <w:tblPr>
      <w:tblStyleRowBandSize w:val="1"/>
      <w:tblStyleColBandSize w:val="1"/>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16B0"/>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16B0"/>
    <w:pPr>
      <w:spacing w:line="240" w:lineRule="auto"/>
    </w:pPr>
    <w:rPr>
      <w:color w:val="638C1B" w:themeColor="accent1" w:themeShade="BF"/>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6Colorful-Accent2">
    <w:name w:val="List Table 6 Colorful Accent 2"/>
    <w:basedOn w:val="TableNormal"/>
    <w:uiPriority w:val="51"/>
    <w:rsid w:val="000116B0"/>
    <w:pPr>
      <w:spacing w:line="240" w:lineRule="auto"/>
    </w:pPr>
    <w:rPr>
      <w:color w:val="034F29" w:themeColor="accent2" w:themeShade="BF"/>
    </w:rPr>
    <w:tblPr>
      <w:tblStyleRowBandSize w:val="1"/>
      <w:tblStyleColBandSize w:val="1"/>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6Colorful-Accent3">
    <w:name w:val="List Table 6 Colorful Accent 3"/>
    <w:basedOn w:val="TableNormal"/>
    <w:uiPriority w:val="51"/>
    <w:rsid w:val="000116B0"/>
    <w:pPr>
      <w:spacing w:line="240" w:lineRule="auto"/>
    </w:pPr>
    <w:rPr>
      <w:color w:val="2291D1" w:themeColor="accent3" w:themeShade="BF"/>
    </w:rPr>
    <w:tblPr>
      <w:tblStyleRowBandSize w:val="1"/>
      <w:tblStyleColBandSize w:val="1"/>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6Colorful-Accent4">
    <w:name w:val="List Table 6 Colorful Accent 4"/>
    <w:basedOn w:val="TableNormal"/>
    <w:uiPriority w:val="51"/>
    <w:rsid w:val="000116B0"/>
    <w:pPr>
      <w:spacing w:line="240" w:lineRule="auto"/>
    </w:pPr>
    <w:rPr>
      <w:color w:val="00184E" w:themeColor="accent4" w:themeShade="BF"/>
    </w:rPr>
    <w:tblPr>
      <w:tblStyleRowBandSize w:val="1"/>
      <w:tblStyleColBandSize w:val="1"/>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6Colorful-Accent5">
    <w:name w:val="List Table 6 Colorful Accent 5"/>
    <w:basedOn w:val="TableNormal"/>
    <w:uiPriority w:val="51"/>
    <w:rsid w:val="000116B0"/>
    <w:pPr>
      <w:spacing w:line="240" w:lineRule="auto"/>
    </w:pPr>
    <w:rPr>
      <w:color w:val="00707E" w:themeColor="accent5" w:themeShade="BF"/>
    </w:rPr>
    <w:tblPr>
      <w:tblStyleRowBandSize w:val="1"/>
      <w:tblStyleColBandSize w:val="1"/>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6Colorful-Accent6">
    <w:name w:val="List Table 6 Colorful Accent 6"/>
    <w:basedOn w:val="TableNormal"/>
    <w:uiPriority w:val="51"/>
    <w:rsid w:val="000116B0"/>
    <w:pPr>
      <w:spacing w:line="240" w:lineRule="auto"/>
    </w:pPr>
    <w:rPr>
      <w:color w:val="57595C" w:themeColor="accent6" w:themeShade="BF"/>
    </w:rPr>
    <w:tblPr>
      <w:tblStyleRowBandSize w:val="1"/>
      <w:tblStyleColBandSize w:val="1"/>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7Colorful">
    <w:name w:val="List Table 7 Colorful"/>
    <w:basedOn w:val="TableNormal"/>
    <w:uiPriority w:val="52"/>
    <w:rsid w:val="000116B0"/>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16B0"/>
    <w:pPr>
      <w:spacing w:line="240" w:lineRule="auto"/>
    </w:pPr>
    <w:rPr>
      <w:color w:val="638C1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16B0"/>
    <w:pPr>
      <w:spacing w:line="240" w:lineRule="auto"/>
    </w:pPr>
    <w:rPr>
      <w:color w:val="034F2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16B0"/>
    <w:pPr>
      <w:spacing w:line="240" w:lineRule="auto"/>
    </w:pPr>
    <w:rPr>
      <w:color w:val="2291D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16B0"/>
    <w:pPr>
      <w:spacing w:line="240" w:lineRule="auto"/>
    </w:pPr>
    <w:rPr>
      <w:color w:val="00184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16B0"/>
    <w:pPr>
      <w:spacing w:line="240" w:lineRule="auto"/>
    </w:pPr>
    <w:rPr>
      <w:color w:val="00707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16B0"/>
    <w:pPr>
      <w:spacing w:line="240" w:lineRule="auto"/>
    </w:pPr>
    <w:rPr>
      <w:color w:val="57595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116B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16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16B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16B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16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116B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leNormal"/>
    <w:next w:val="TableGrid"/>
    <w:uiPriority w:val="59"/>
    <w:rsid w:val="001E349B"/>
    <w:pPr>
      <w:spacing w:line="240" w:lineRule="auto"/>
    </w:p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Pullout-QuoteBlue">
    <w:name w:val="Pullout - Quote Blue"/>
    <w:basedOn w:val="PulloutBlue"/>
    <w:uiPriority w:val="6"/>
    <w:rsid w:val="00D67839"/>
    <w:pPr>
      <w:ind w:left="227" w:right="227"/>
    </w:pPr>
    <w:rPr>
      <w:i/>
    </w:rPr>
  </w:style>
  <w:style w:type="paragraph" w:customStyle="1" w:styleId="Pullout-QuoteGreen">
    <w:name w:val="Pullout - Quote Green"/>
    <w:basedOn w:val="Pullout-QuoteBlue"/>
    <w:qFormat/>
    <w:rsid w:val="001D3B36"/>
    <w:rPr>
      <w:color w:val="86BC25" w:themeColor="accent1"/>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42002C"/>
    <w:rPr>
      <w:lang w:val="en-AU"/>
    </w:rPr>
  </w:style>
  <w:style w:type="character" w:customStyle="1" w:styleId="UnresolvedMention">
    <w:name w:val="Unresolved Mention"/>
    <w:basedOn w:val="DefaultParagraphFont"/>
    <w:uiPriority w:val="99"/>
    <w:semiHidden/>
    <w:unhideWhenUsed/>
    <w:rsid w:val="00D55CF5"/>
    <w:rPr>
      <w:color w:val="605E5C"/>
      <w:shd w:val="clear" w:color="auto" w:fill="E1DFDD"/>
    </w:rPr>
  </w:style>
  <w:style w:type="numbering" w:styleId="1ai">
    <w:name w:val="Outline List 1"/>
    <w:basedOn w:val="NoList"/>
    <w:uiPriority w:val="99"/>
    <w:semiHidden/>
    <w:rsid w:val="000125F3"/>
    <w:pPr>
      <w:numPr>
        <w:numId w:val="40"/>
      </w:numPr>
    </w:pPr>
  </w:style>
  <w:style w:type="paragraph" w:styleId="Revision">
    <w:name w:val="Revision"/>
    <w:hidden/>
    <w:uiPriority w:val="99"/>
    <w:semiHidden/>
    <w:rsid w:val="00AB0132"/>
    <w:pPr>
      <w:spacing w:line="240" w:lineRule="auto"/>
    </w:pPr>
    <w:rPr>
      <w:lang w:val="en-AU"/>
    </w:rPr>
  </w:style>
  <w:style w:type="character" w:customStyle="1" w:styleId="gd15mcfceub">
    <w:name w:val="gd15mcfceub"/>
    <w:basedOn w:val="DefaultParagraphFont"/>
    <w:rsid w:val="002922F7"/>
  </w:style>
  <w:style w:type="character" w:customStyle="1" w:styleId="gd15mcfckub">
    <w:name w:val="gd15mcfckub"/>
    <w:basedOn w:val="DefaultParagraphFont"/>
    <w:rsid w:val="002922F7"/>
  </w:style>
  <w:style w:type="character" w:customStyle="1" w:styleId="gd15mcfcktb">
    <w:name w:val="gd15mcfcktb"/>
    <w:basedOn w:val="DefaultParagraphFont"/>
    <w:rsid w:val="00292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31461">
      <w:bodyDiv w:val="1"/>
      <w:marLeft w:val="0"/>
      <w:marRight w:val="0"/>
      <w:marTop w:val="0"/>
      <w:marBottom w:val="0"/>
      <w:divBdr>
        <w:top w:val="none" w:sz="0" w:space="0" w:color="auto"/>
        <w:left w:val="none" w:sz="0" w:space="0" w:color="auto"/>
        <w:bottom w:val="none" w:sz="0" w:space="0" w:color="auto"/>
        <w:right w:val="none" w:sz="0" w:space="0" w:color="auto"/>
      </w:divBdr>
    </w:div>
    <w:div w:id="146752643">
      <w:bodyDiv w:val="1"/>
      <w:marLeft w:val="0"/>
      <w:marRight w:val="0"/>
      <w:marTop w:val="0"/>
      <w:marBottom w:val="0"/>
      <w:divBdr>
        <w:top w:val="none" w:sz="0" w:space="0" w:color="auto"/>
        <w:left w:val="none" w:sz="0" w:space="0" w:color="auto"/>
        <w:bottom w:val="none" w:sz="0" w:space="0" w:color="auto"/>
        <w:right w:val="none" w:sz="0" w:space="0" w:color="auto"/>
      </w:divBdr>
    </w:div>
    <w:div w:id="151530005">
      <w:bodyDiv w:val="1"/>
      <w:marLeft w:val="0"/>
      <w:marRight w:val="0"/>
      <w:marTop w:val="0"/>
      <w:marBottom w:val="0"/>
      <w:divBdr>
        <w:top w:val="none" w:sz="0" w:space="0" w:color="auto"/>
        <w:left w:val="none" w:sz="0" w:space="0" w:color="auto"/>
        <w:bottom w:val="none" w:sz="0" w:space="0" w:color="auto"/>
        <w:right w:val="none" w:sz="0" w:space="0" w:color="auto"/>
      </w:divBdr>
    </w:div>
    <w:div w:id="163715761">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306788579">
      <w:bodyDiv w:val="1"/>
      <w:marLeft w:val="0"/>
      <w:marRight w:val="0"/>
      <w:marTop w:val="0"/>
      <w:marBottom w:val="0"/>
      <w:divBdr>
        <w:top w:val="none" w:sz="0" w:space="0" w:color="auto"/>
        <w:left w:val="none" w:sz="0" w:space="0" w:color="auto"/>
        <w:bottom w:val="none" w:sz="0" w:space="0" w:color="auto"/>
        <w:right w:val="none" w:sz="0" w:space="0" w:color="auto"/>
      </w:divBdr>
    </w:div>
    <w:div w:id="327637080">
      <w:bodyDiv w:val="1"/>
      <w:marLeft w:val="0"/>
      <w:marRight w:val="0"/>
      <w:marTop w:val="0"/>
      <w:marBottom w:val="0"/>
      <w:divBdr>
        <w:top w:val="none" w:sz="0" w:space="0" w:color="auto"/>
        <w:left w:val="none" w:sz="0" w:space="0" w:color="auto"/>
        <w:bottom w:val="none" w:sz="0" w:space="0" w:color="auto"/>
        <w:right w:val="none" w:sz="0" w:space="0" w:color="auto"/>
      </w:divBdr>
    </w:div>
    <w:div w:id="355615255">
      <w:bodyDiv w:val="1"/>
      <w:marLeft w:val="0"/>
      <w:marRight w:val="0"/>
      <w:marTop w:val="0"/>
      <w:marBottom w:val="0"/>
      <w:divBdr>
        <w:top w:val="none" w:sz="0" w:space="0" w:color="auto"/>
        <w:left w:val="none" w:sz="0" w:space="0" w:color="auto"/>
        <w:bottom w:val="none" w:sz="0" w:space="0" w:color="auto"/>
        <w:right w:val="none" w:sz="0" w:space="0" w:color="auto"/>
      </w:divBdr>
    </w:div>
    <w:div w:id="419445158">
      <w:bodyDiv w:val="1"/>
      <w:marLeft w:val="0"/>
      <w:marRight w:val="0"/>
      <w:marTop w:val="0"/>
      <w:marBottom w:val="0"/>
      <w:divBdr>
        <w:top w:val="none" w:sz="0" w:space="0" w:color="auto"/>
        <w:left w:val="none" w:sz="0" w:space="0" w:color="auto"/>
        <w:bottom w:val="none" w:sz="0" w:space="0" w:color="auto"/>
        <w:right w:val="none" w:sz="0" w:space="0" w:color="auto"/>
      </w:divBdr>
    </w:div>
    <w:div w:id="446899035">
      <w:bodyDiv w:val="1"/>
      <w:marLeft w:val="0"/>
      <w:marRight w:val="0"/>
      <w:marTop w:val="0"/>
      <w:marBottom w:val="0"/>
      <w:divBdr>
        <w:top w:val="none" w:sz="0" w:space="0" w:color="auto"/>
        <w:left w:val="none" w:sz="0" w:space="0" w:color="auto"/>
        <w:bottom w:val="none" w:sz="0" w:space="0" w:color="auto"/>
        <w:right w:val="none" w:sz="0" w:space="0" w:color="auto"/>
      </w:divBdr>
    </w:div>
    <w:div w:id="526606714">
      <w:bodyDiv w:val="1"/>
      <w:marLeft w:val="0"/>
      <w:marRight w:val="0"/>
      <w:marTop w:val="0"/>
      <w:marBottom w:val="0"/>
      <w:divBdr>
        <w:top w:val="none" w:sz="0" w:space="0" w:color="auto"/>
        <w:left w:val="none" w:sz="0" w:space="0" w:color="auto"/>
        <w:bottom w:val="none" w:sz="0" w:space="0" w:color="auto"/>
        <w:right w:val="none" w:sz="0" w:space="0" w:color="auto"/>
      </w:divBdr>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564951738">
      <w:bodyDiv w:val="1"/>
      <w:marLeft w:val="0"/>
      <w:marRight w:val="0"/>
      <w:marTop w:val="0"/>
      <w:marBottom w:val="0"/>
      <w:divBdr>
        <w:top w:val="none" w:sz="0" w:space="0" w:color="auto"/>
        <w:left w:val="none" w:sz="0" w:space="0" w:color="auto"/>
        <w:bottom w:val="none" w:sz="0" w:space="0" w:color="auto"/>
        <w:right w:val="none" w:sz="0" w:space="0" w:color="auto"/>
      </w:divBdr>
    </w:div>
    <w:div w:id="601915370">
      <w:bodyDiv w:val="1"/>
      <w:marLeft w:val="0"/>
      <w:marRight w:val="0"/>
      <w:marTop w:val="0"/>
      <w:marBottom w:val="0"/>
      <w:divBdr>
        <w:top w:val="none" w:sz="0" w:space="0" w:color="auto"/>
        <w:left w:val="none" w:sz="0" w:space="0" w:color="auto"/>
        <w:bottom w:val="none" w:sz="0" w:space="0" w:color="auto"/>
        <w:right w:val="none" w:sz="0" w:space="0" w:color="auto"/>
      </w:divBdr>
    </w:div>
    <w:div w:id="603002712">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665327482">
      <w:bodyDiv w:val="1"/>
      <w:marLeft w:val="0"/>
      <w:marRight w:val="0"/>
      <w:marTop w:val="0"/>
      <w:marBottom w:val="0"/>
      <w:divBdr>
        <w:top w:val="none" w:sz="0" w:space="0" w:color="auto"/>
        <w:left w:val="none" w:sz="0" w:space="0" w:color="auto"/>
        <w:bottom w:val="none" w:sz="0" w:space="0" w:color="auto"/>
        <w:right w:val="none" w:sz="0" w:space="0" w:color="auto"/>
      </w:divBdr>
    </w:div>
    <w:div w:id="841357235">
      <w:bodyDiv w:val="1"/>
      <w:marLeft w:val="0"/>
      <w:marRight w:val="0"/>
      <w:marTop w:val="0"/>
      <w:marBottom w:val="0"/>
      <w:divBdr>
        <w:top w:val="none" w:sz="0" w:space="0" w:color="auto"/>
        <w:left w:val="none" w:sz="0" w:space="0" w:color="auto"/>
        <w:bottom w:val="none" w:sz="0" w:space="0" w:color="auto"/>
        <w:right w:val="none" w:sz="0" w:space="0" w:color="auto"/>
      </w:divBdr>
    </w:div>
    <w:div w:id="845286466">
      <w:bodyDiv w:val="1"/>
      <w:marLeft w:val="0"/>
      <w:marRight w:val="0"/>
      <w:marTop w:val="0"/>
      <w:marBottom w:val="0"/>
      <w:divBdr>
        <w:top w:val="none" w:sz="0" w:space="0" w:color="auto"/>
        <w:left w:val="none" w:sz="0" w:space="0" w:color="auto"/>
        <w:bottom w:val="none" w:sz="0" w:space="0" w:color="auto"/>
        <w:right w:val="none" w:sz="0" w:space="0" w:color="auto"/>
      </w:divBdr>
    </w:div>
    <w:div w:id="852184715">
      <w:bodyDiv w:val="1"/>
      <w:marLeft w:val="0"/>
      <w:marRight w:val="0"/>
      <w:marTop w:val="0"/>
      <w:marBottom w:val="0"/>
      <w:divBdr>
        <w:top w:val="none" w:sz="0" w:space="0" w:color="auto"/>
        <w:left w:val="none" w:sz="0" w:space="0" w:color="auto"/>
        <w:bottom w:val="none" w:sz="0" w:space="0" w:color="auto"/>
        <w:right w:val="none" w:sz="0" w:space="0" w:color="auto"/>
      </w:divBdr>
    </w:div>
    <w:div w:id="868296480">
      <w:bodyDiv w:val="1"/>
      <w:marLeft w:val="0"/>
      <w:marRight w:val="0"/>
      <w:marTop w:val="0"/>
      <w:marBottom w:val="0"/>
      <w:divBdr>
        <w:top w:val="none" w:sz="0" w:space="0" w:color="auto"/>
        <w:left w:val="none" w:sz="0" w:space="0" w:color="auto"/>
        <w:bottom w:val="none" w:sz="0" w:space="0" w:color="auto"/>
        <w:right w:val="none" w:sz="0" w:space="0" w:color="auto"/>
      </w:divBdr>
    </w:div>
    <w:div w:id="934439407">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947928679">
      <w:bodyDiv w:val="1"/>
      <w:marLeft w:val="0"/>
      <w:marRight w:val="0"/>
      <w:marTop w:val="0"/>
      <w:marBottom w:val="0"/>
      <w:divBdr>
        <w:top w:val="none" w:sz="0" w:space="0" w:color="auto"/>
        <w:left w:val="none" w:sz="0" w:space="0" w:color="auto"/>
        <w:bottom w:val="none" w:sz="0" w:space="0" w:color="auto"/>
        <w:right w:val="none" w:sz="0" w:space="0" w:color="auto"/>
      </w:divBdr>
    </w:div>
    <w:div w:id="958536207">
      <w:bodyDiv w:val="1"/>
      <w:marLeft w:val="0"/>
      <w:marRight w:val="0"/>
      <w:marTop w:val="0"/>
      <w:marBottom w:val="0"/>
      <w:divBdr>
        <w:top w:val="none" w:sz="0" w:space="0" w:color="auto"/>
        <w:left w:val="none" w:sz="0" w:space="0" w:color="auto"/>
        <w:bottom w:val="none" w:sz="0" w:space="0" w:color="auto"/>
        <w:right w:val="none" w:sz="0" w:space="0" w:color="auto"/>
      </w:divBdr>
    </w:div>
    <w:div w:id="969168823">
      <w:bodyDiv w:val="1"/>
      <w:marLeft w:val="0"/>
      <w:marRight w:val="0"/>
      <w:marTop w:val="0"/>
      <w:marBottom w:val="0"/>
      <w:divBdr>
        <w:top w:val="none" w:sz="0" w:space="0" w:color="auto"/>
        <w:left w:val="none" w:sz="0" w:space="0" w:color="auto"/>
        <w:bottom w:val="none" w:sz="0" w:space="0" w:color="auto"/>
        <w:right w:val="none" w:sz="0" w:space="0" w:color="auto"/>
      </w:divBdr>
    </w:div>
    <w:div w:id="989140764">
      <w:bodyDiv w:val="1"/>
      <w:marLeft w:val="0"/>
      <w:marRight w:val="0"/>
      <w:marTop w:val="0"/>
      <w:marBottom w:val="0"/>
      <w:divBdr>
        <w:top w:val="none" w:sz="0" w:space="0" w:color="auto"/>
        <w:left w:val="none" w:sz="0" w:space="0" w:color="auto"/>
        <w:bottom w:val="none" w:sz="0" w:space="0" w:color="auto"/>
        <w:right w:val="none" w:sz="0" w:space="0" w:color="auto"/>
      </w:divBdr>
    </w:div>
    <w:div w:id="1005017038">
      <w:bodyDiv w:val="1"/>
      <w:marLeft w:val="0"/>
      <w:marRight w:val="0"/>
      <w:marTop w:val="0"/>
      <w:marBottom w:val="0"/>
      <w:divBdr>
        <w:top w:val="none" w:sz="0" w:space="0" w:color="auto"/>
        <w:left w:val="none" w:sz="0" w:space="0" w:color="auto"/>
        <w:bottom w:val="none" w:sz="0" w:space="0" w:color="auto"/>
        <w:right w:val="none" w:sz="0" w:space="0" w:color="auto"/>
      </w:divBdr>
    </w:div>
    <w:div w:id="1049501537">
      <w:bodyDiv w:val="1"/>
      <w:marLeft w:val="0"/>
      <w:marRight w:val="0"/>
      <w:marTop w:val="0"/>
      <w:marBottom w:val="0"/>
      <w:divBdr>
        <w:top w:val="none" w:sz="0" w:space="0" w:color="auto"/>
        <w:left w:val="none" w:sz="0" w:space="0" w:color="auto"/>
        <w:bottom w:val="none" w:sz="0" w:space="0" w:color="auto"/>
        <w:right w:val="none" w:sz="0" w:space="0" w:color="auto"/>
      </w:divBdr>
    </w:div>
    <w:div w:id="1055422523">
      <w:bodyDiv w:val="1"/>
      <w:marLeft w:val="0"/>
      <w:marRight w:val="0"/>
      <w:marTop w:val="0"/>
      <w:marBottom w:val="0"/>
      <w:divBdr>
        <w:top w:val="none" w:sz="0" w:space="0" w:color="auto"/>
        <w:left w:val="none" w:sz="0" w:space="0" w:color="auto"/>
        <w:bottom w:val="none" w:sz="0" w:space="0" w:color="auto"/>
        <w:right w:val="none" w:sz="0" w:space="0" w:color="auto"/>
      </w:divBdr>
    </w:div>
    <w:div w:id="1075014197">
      <w:bodyDiv w:val="1"/>
      <w:marLeft w:val="0"/>
      <w:marRight w:val="0"/>
      <w:marTop w:val="0"/>
      <w:marBottom w:val="0"/>
      <w:divBdr>
        <w:top w:val="none" w:sz="0" w:space="0" w:color="auto"/>
        <w:left w:val="none" w:sz="0" w:space="0" w:color="auto"/>
        <w:bottom w:val="none" w:sz="0" w:space="0" w:color="auto"/>
        <w:right w:val="none" w:sz="0" w:space="0" w:color="auto"/>
      </w:divBdr>
    </w:div>
    <w:div w:id="1086418844">
      <w:bodyDiv w:val="1"/>
      <w:marLeft w:val="0"/>
      <w:marRight w:val="0"/>
      <w:marTop w:val="0"/>
      <w:marBottom w:val="0"/>
      <w:divBdr>
        <w:top w:val="none" w:sz="0" w:space="0" w:color="auto"/>
        <w:left w:val="none" w:sz="0" w:space="0" w:color="auto"/>
        <w:bottom w:val="none" w:sz="0" w:space="0" w:color="auto"/>
        <w:right w:val="none" w:sz="0" w:space="0" w:color="auto"/>
      </w:divBdr>
    </w:div>
    <w:div w:id="1106581446">
      <w:bodyDiv w:val="1"/>
      <w:marLeft w:val="0"/>
      <w:marRight w:val="0"/>
      <w:marTop w:val="0"/>
      <w:marBottom w:val="0"/>
      <w:divBdr>
        <w:top w:val="none" w:sz="0" w:space="0" w:color="auto"/>
        <w:left w:val="none" w:sz="0" w:space="0" w:color="auto"/>
        <w:bottom w:val="none" w:sz="0" w:space="0" w:color="auto"/>
        <w:right w:val="none" w:sz="0" w:space="0" w:color="auto"/>
      </w:divBdr>
    </w:div>
    <w:div w:id="1109083311">
      <w:bodyDiv w:val="1"/>
      <w:marLeft w:val="0"/>
      <w:marRight w:val="0"/>
      <w:marTop w:val="0"/>
      <w:marBottom w:val="0"/>
      <w:divBdr>
        <w:top w:val="none" w:sz="0" w:space="0" w:color="auto"/>
        <w:left w:val="none" w:sz="0" w:space="0" w:color="auto"/>
        <w:bottom w:val="none" w:sz="0" w:space="0" w:color="auto"/>
        <w:right w:val="none" w:sz="0" w:space="0" w:color="auto"/>
      </w:divBdr>
    </w:div>
    <w:div w:id="1142426264">
      <w:bodyDiv w:val="1"/>
      <w:marLeft w:val="0"/>
      <w:marRight w:val="0"/>
      <w:marTop w:val="0"/>
      <w:marBottom w:val="0"/>
      <w:divBdr>
        <w:top w:val="none" w:sz="0" w:space="0" w:color="auto"/>
        <w:left w:val="none" w:sz="0" w:space="0" w:color="auto"/>
        <w:bottom w:val="none" w:sz="0" w:space="0" w:color="auto"/>
        <w:right w:val="none" w:sz="0" w:space="0" w:color="auto"/>
      </w:divBdr>
    </w:div>
    <w:div w:id="1157721952">
      <w:bodyDiv w:val="1"/>
      <w:marLeft w:val="0"/>
      <w:marRight w:val="0"/>
      <w:marTop w:val="0"/>
      <w:marBottom w:val="0"/>
      <w:divBdr>
        <w:top w:val="none" w:sz="0" w:space="0" w:color="auto"/>
        <w:left w:val="none" w:sz="0" w:space="0" w:color="auto"/>
        <w:bottom w:val="none" w:sz="0" w:space="0" w:color="auto"/>
        <w:right w:val="none" w:sz="0" w:space="0" w:color="auto"/>
      </w:divBdr>
    </w:div>
    <w:div w:id="1165316620">
      <w:bodyDiv w:val="1"/>
      <w:marLeft w:val="0"/>
      <w:marRight w:val="0"/>
      <w:marTop w:val="0"/>
      <w:marBottom w:val="0"/>
      <w:divBdr>
        <w:top w:val="none" w:sz="0" w:space="0" w:color="auto"/>
        <w:left w:val="none" w:sz="0" w:space="0" w:color="auto"/>
        <w:bottom w:val="none" w:sz="0" w:space="0" w:color="auto"/>
        <w:right w:val="none" w:sz="0" w:space="0" w:color="auto"/>
      </w:divBdr>
    </w:div>
    <w:div w:id="1196189833">
      <w:bodyDiv w:val="1"/>
      <w:marLeft w:val="0"/>
      <w:marRight w:val="0"/>
      <w:marTop w:val="0"/>
      <w:marBottom w:val="0"/>
      <w:divBdr>
        <w:top w:val="none" w:sz="0" w:space="0" w:color="auto"/>
        <w:left w:val="none" w:sz="0" w:space="0" w:color="auto"/>
        <w:bottom w:val="none" w:sz="0" w:space="0" w:color="auto"/>
        <w:right w:val="none" w:sz="0" w:space="0" w:color="auto"/>
      </w:divBdr>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296180499">
      <w:bodyDiv w:val="1"/>
      <w:marLeft w:val="0"/>
      <w:marRight w:val="0"/>
      <w:marTop w:val="0"/>
      <w:marBottom w:val="0"/>
      <w:divBdr>
        <w:top w:val="none" w:sz="0" w:space="0" w:color="auto"/>
        <w:left w:val="none" w:sz="0" w:space="0" w:color="auto"/>
        <w:bottom w:val="none" w:sz="0" w:space="0" w:color="auto"/>
        <w:right w:val="none" w:sz="0" w:space="0" w:color="auto"/>
      </w:divBdr>
    </w:div>
    <w:div w:id="1408651046">
      <w:bodyDiv w:val="1"/>
      <w:marLeft w:val="0"/>
      <w:marRight w:val="0"/>
      <w:marTop w:val="0"/>
      <w:marBottom w:val="0"/>
      <w:divBdr>
        <w:top w:val="none" w:sz="0" w:space="0" w:color="auto"/>
        <w:left w:val="none" w:sz="0" w:space="0" w:color="auto"/>
        <w:bottom w:val="none" w:sz="0" w:space="0" w:color="auto"/>
        <w:right w:val="none" w:sz="0" w:space="0" w:color="auto"/>
      </w:divBdr>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497921192">
      <w:bodyDiv w:val="1"/>
      <w:marLeft w:val="0"/>
      <w:marRight w:val="0"/>
      <w:marTop w:val="0"/>
      <w:marBottom w:val="0"/>
      <w:divBdr>
        <w:top w:val="none" w:sz="0" w:space="0" w:color="auto"/>
        <w:left w:val="none" w:sz="0" w:space="0" w:color="auto"/>
        <w:bottom w:val="none" w:sz="0" w:space="0" w:color="auto"/>
        <w:right w:val="none" w:sz="0" w:space="0" w:color="auto"/>
      </w:divBdr>
    </w:div>
    <w:div w:id="1503427585">
      <w:bodyDiv w:val="1"/>
      <w:marLeft w:val="0"/>
      <w:marRight w:val="0"/>
      <w:marTop w:val="0"/>
      <w:marBottom w:val="0"/>
      <w:divBdr>
        <w:top w:val="none" w:sz="0" w:space="0" w:color="auto"/>
        <w:left w:val="none" w:sz="0" w:space="0" w:color="auto"/>
        <w:bottom w:val="none" w:sz="0" w:space="0" w:color="auto"/>
        <w:right w:val="none" w:sz="0" w:space="0" w:color="auto"/>
      </w:divBdr>
    </w:div>
    <w:div w:id="1530799790">
      <w:bodyDiv w:val="1"/>
      <w:marLeft w:val="0"/>
      <w:marRight w:val="0"/>
      <w:marTop w:val="0"/>
      <w:marBottom w:val="0"/>
      <w:divBdr>
        <w:top w:val="none" w:sz="0" w:space="0" w:color="auto"/>
        <w:left w:val="none" w:sz="0" w:space="0" w:color="auto"/>
        <w:bottom w:val="none" w:sz="0" w:space="0" w:color="auto"/>
        <w:right w:val="none" w:sz="0" w:space="0" w:color="auto"/>
      </w:divBdr>
    </w:div>
    <w:div w:id="1545554776">
      <w:bodyDiv w:val="1"/>
      <w:marLeft w:val="0"/>
      <w:marRight w:val="0"/>
      <w:marTop w:val="0"/>
      <w:marBottom w:val="0"/>
      <w:divBdr>
        <w:top w:val="none" w:sz="0" w:space="0" w:color="auto"/>
        <w:left w:val="none" w:sz="0" w:space="0" w:color="auto"/>
        <w:bottom w:val="none" w:sz="0" w:space="0" w:color="auto"/>
        <w:right w:val="none" w:sz="0" w:space="0" w:color="auto"/>
      </w:divBdr>
    </w:div>
    <w:div w:id="1613124625">
      <w:bodyDiv w:val="1"/>
      <w:marLeft w:val="0"/>
      <w:marRight w:val="0"/>
      <w:marTop w:val="0"/>
      <w:marBottom w:val="0"/>
      <w:divBdr>
        <w:top w:val="none" w:sz="0" w:space="0" w:color="auto"/>
        <w:left w:val="none" w:sz="0" w:space="0" w:color="auto"/>
        <w:bottom w:val="none" w:sz="0" w:space="0" w:color="auto"/>
        <w:right w:val="none" w:sz="0" w:space="0" w:color="auto"/>
      </w:divBdr>
    </w:div>
    <w:div w:id="1624997589">
      <w:bodyDiv w:val="1"/>
      <w:marLeft w:val="0"/>
      <w:marRight w:val="0"/>
      <w:marTop w:val="0"/>
      <w:marBottom w:val="0"/>
      <w:divBdr>
        <w:top w:val="none" w:sz="0" w:space="0" w:color="auto"/>
        <w:left w:val="none" w:sz="0" w:space="0" w:color="auto"/>
        <w:bottom w:val="none" w:sz="0" w:space="0" w:color="auto"/>
        <w:right w:val="none" w:sz="0" w:space="0" w:color="auto"/>
      </w:divBdr>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
    <w:div w:id="2001998964">
      <w:bodyDiv w:val="1"/>
      <w:marLeft w:val="0"/>
      <w:marRight w:val="0"/>
      <w:marTop w:val="0"/>
      <w:marBottom w:val="0"/>
      <w:divBdr>
        <w:top w:val="none" w:sz="0" w:space="0" w:color="auto"/>
        <w:left w:val="none" w:sz="0" w:space="0" w:color="auto"/>
        <w:bottom w:val="none" w:sz="0" w:space="0" w:color="auto"/>
        <w:right w:val="none" w:sz="0" w:space="0" w:color="auto"/>
      </w:divBdr>
    </w:div>
    <w:div w:id="2010788880">
      <w:bodyDiv w:val="1"/>
      <w:marLeft w:val="0"/>
      <w:marRight w:val="0"/>
      <w:marTop w:val="0"/>
      <w:marBottom w:val="0"/>
      <w:divBdr>
        <w:top w:val="none" w:sz="0" w:space="0" w:color="auto"/>
        <w:left w:val="none" w:sz="0" w:space="0" w:color="auto"/>
        <w:bottom w:val="none" w:sz="0" w:space="0" w:color="auto"/>
        <w:right w:val="none" w:sz="0" w:space="0" w:color="auto"/>
      </w:divBdr>
    </w:div>
    <w:div w:id="2047093757">
      <w:bodyDiv w:val="1"/>
      <w:marLeft w:val="0"/>
      <w:marRight w:val="0"/>
      <w:marTop w:val="0"/>
      <w:marBottom w:val="0"/>
      <w:divBdr>
        <w:top w:val="none" w:sz="0" w:space="0" w:color="auto"/>
        <w:left w:val="none" w:sz="0" w:space="0" w:color="auto"/>
        <w:bottom w:val="none" w:sz="0" w:space="0" w:color="auto"/>
        <w:right w:val="none" w:sz="0" w:space="0" w:color="auto"/>
      </w:divBdr>
    </w:div>
    <w:div w:id="2065832035">
      <w:bodyDiv w:val="1"/>
      <w:marLeft w:val="0"/>
      <w:marRight w:val="0"/>
      <w:marTop w:val="0"/>
      <w:marBottom w:val="0"/>
      <w:divBdr>
        <w:top w:val="none" w:sz="0" w:space="0" w:color="auto"/>
        <w:left w:val="none" w:sz="0" w:space="0" w:color="auto"/>
        <w:bottom w:val="none" w:sz="0" w:space="0" w:color="auto"/>
        <w:right w:val="none" w:sz="0" w:space="0" w:color="auto"/>
      </w:divBdr>
    </w:div>
    <w:div w:id="213451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2.xml"/><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8.png"/><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image" Target="media/image16.emf"/><Relationship Id="rId41" Type="http://schemas.openxmlformats.org/officeDocument/2006/relationships/image" Target="media/image28.emf"/><Relationship Id="rId54" Type="http://schemas.openxmlformats.org/officeDocument/2006/relationships/image" Target="media/image40.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footer" Target="footer4.xml"/><Relationship Id="rId53" Type="http://schemas.openxmlformats.org/officeDocument/2006/relationships/image" Target="media/image39.emf"/><Relationship Id="rId58" Type="http://schemas.openxmlformats.org/officeDocument/2006/relationships/image" Target="media/image44.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5.emf"/><Relationship Id="rId57" Type="http://schemas.openxmlformats.org/officeDocument/2006/relationships/image" Target="media/image43.emf"/><Relationship Id="rId61" Type="http://schemas.openxmlformats.org/officeDocument/2006/relationships/hyperlink" Target="http://www.deloitte.com/au/deloitte-access-economics"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8.emf"/><Relationship Id="rId44" Type="http://schemas.openxmlformats.org/officeDocument/2006/relationships/image" Target="media/image31.png"/><Relationship Id="rId52" Type="http://schemas.openxmlformats.org/officeDocument/2006/relationships/image" Target="media/image38.emf"/><Relationship Id="rId60" Type="http://schemas.openxmlformats.org/officeDocument/2006/relationships/image" Target="media/image4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7.emf"/><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footer" Target="footer1.xml"/><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2.emf"/><Relationship Id="rId59" Type="http://schemas.openxmlformats.org/officeDocument/2006/relationships/image" Target="media/image45.emf"/></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4.xml.rels><?xml version="1.0" encoding="UTF-8" standalone="yes"?>
<Relationships xmlns="http://schemas.openxmlformats.org/package/2006/relationships"><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2" Type="http://schemas.openxmlformats.org/officeDocument/2006/relationships/hyperlink" Target="https://www.ndis.gov.au/providers/price-guides-and-pricing" TargetMode="External"/><Relationship Id="rId1" Type="http://schemas.openxmlformats.org/officeDocument/2006/relationships/hyperlink" Target="https://www.ndis.gov.au/understanding/ndis-rollou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7.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FB5E9C79748E18DABFD65734C759E"/>
        <w:category>
          <w:name w:val="Generelt"/>
          <w:gallery w:val="placeholder"/>
        </w:category>
        <w:types>
          <w:type w:val="bbPlcHdr"/>
        </w:types>
        <w:behaviors>
          <w:behavior w:val="content"/>
        </w:behaviors>
        <w:guid w:val="{D87DEE00-99C3-4523-9230-AAEAAE42F3AA}"/>
      </w:docPartPr>
      <w:docPartBody>
        <w:p w:rsidR="00CB5D53" w:rsidRDefault="0031761E" w:rsidP="0031761E">
          <w:pPr>
            <w:pStyle w:val="320FB5E9C79748E18DABFD65734C759E"/>
          </w:pPr>
          <w:r>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316"/>
    <w:rsid w:val="00000730"/>
    <w:rsid w:val="00003840"/>
    <w:rsid w:val="0002423C"/>
    <w:rsid w:val="00042400"/>
    <w:rsid w:val="00045635"/>
    <w:rsid w:val="00052F1D"/>
    <w:rsid w:val="00070A0B"/>
    <w:rsid w:val="00087772"/>
    <w:rsid w:val="00095316"/>
    <w:rsid w:val="000A0C69"/>
    <w:rsid w:val="000B1545"/>
    <w:rsid w:val="000C06D1"/>
    <w:rsid w:val="000C1FD2"/>
    <w:rsid w:val="000C258E"/>
    <w:rsid w:val="000C3638"/>
    <w:rsid w:val="000D2A24"/>
    <w:rsid w:val="000D6AD7"/>
    <w:rsid w:val="000D6ADB"/>
    <w:rsid w:val="000E6F69"/>
    <w:rsid w:val="001023D9"/>
    <w:rsid w:val="001157D9"/>
    <w:rsid w:val="00116312"/>
    <w:rsid w:val="00121DD3"/>
    <w:rsid w:val="00122175"/>
    <w:rsid w:val="001239DD"/>
    <w:rsid w:val="00125B6D"/>
    <w:rsid w:val="00132E75"/>
    <w:rsid w:val="00133465"/>
    <w:rsid w:val="001478DE"/>
    <w:rsid w:val="00161694"/>
    <w:rsid w:val="00181B33"/>
    <w:rsid w:val="00183C82"/>
    <w:rsid w:val="00187C23"/>
    <w:rsid w:val="0019500D"/>
    <w:rsid w:val="001A34FC"/>
    <w:rsid w:val="001A53C2"/>
    <w:rsid w:val="001B537B"/>
    <w:rsid w:val="001C4497"/>
    <w:rsid w:val="001C5D45"/>
    <w:rsid w:val="001E7E19"/>
    <w:rsid w:val="001F3A58"/>
    <w:rsid w:val="001F5F36"/>
    <w:rsid w:val="00204999"/>
    <w:rsid w:val="002211D4"/>
    <w:rsid w:val="00226B75"/>
    <w:rsid w:val="002375D7"/>
    <w:rsid w:val="002559F9"/>
    <w:rsid w:val="002761AC"/>
    <w:rsid w:val="00287A03"/>
    <w:rsid w:val="00292BFA"/>
    <w:rsid w:val="00294F3A"/>
    <w:rsid w:val="002B28A7"/>
    <w:rsid w:val="002B3451"/>
    <w:rsid w:val="002C64CB"/>
    <w:rsid w:val="002E35F7"/>
    <w:rsid w:val="0031761E"/>
    <w:rsid w:val="003430E2"/>
    <w:rsid w:val="00343876"/>
    <w:rsid w:val="003527EA"/>
    <w:rsid w:val="00361108"/>
    <w:rsid w:val="00381DCE"/>
    <w:rsid w:val="003979EA"/>
    <w:rsid w:val="003A7A5D"/>
    <w:rsid w:val="003C67CE"/>
    <w:rsid w:val="003F09DF"/>
    <w:rsid w:val="003F618C"/>
    <w:rsid w:val="00441B51"/>
    <w:rsid w:val="004558B0"/>
    <w:rsid w:val="004679F0"/>
    <w:rsid w:val="00476961"/>
    <w:rsid w:val="004813A0"/>
    <w:rsid w:val="00482D02"/>
    <w:rsid w:val="00491EFA"/>
    <w:rsid w:val="00491F04"/>
    <w:rsid w:val="00492AE1"/>
    <w:rsid w:val="004A04C2"/>
    <w:rsid w:val="004B4CCA"/>
    <w:rsid w:val="00500ACA"/>
    <w:rsid w:val="00513F44"/>
    <w:rsid w:val="00540F95"/>
    <w:rsid w:val="00550FCA"/>
    <w:rsid w:val="00551B65"/>
    <w:rsid w:val="00553AFE"/>
    <w:rsid w:val="0055778D"/>
    <w:rsid w:val="00573F6E"/>
    <w:rsid w:val="0059331B"/>
    <w:rsid w:val="005C6132"/>
    <w:rsid w:val="005E6497"/>
    <w:rsid w:val="005F11B2"/>
    <w:rsid w:val="005F6DDB"/>
    <w:rsid w:val="00640ADC"/>
    <w:rsid w:val="006470E2"/>
    <w:rsid w:val="00657987"/>
    <w:rsid w:val="0069622D"/>
    <w:rsid w:val="006A25BF"/>
    <w:rsid w:val="006A6B81"/>
    <w:rsid w:val="006C16CD"/>
    <w:rsid w:val="006E1706"/>
    <w:rsid w:val="006E7B05"/>
    <w:rsid w:val="0070626B"/>
    <w:rsid w:val="00771945"/>
    <w:rsid w:val="00784389"/>
    <w:rsid w:val="007849C3"/>
    <w:rsid w:val="007879F9"/>
    <w:rsid w:val="0079228B"/>
    <w:rsid w:val="00796DBB"/>
    <w:rsid w:val="007B55A1"/>
    <w:rsid w:val="007F072E"/>
    <w:rsid w:val="008219EA"/>
    <w:rsid w:val="0083097A"/>
    <w:rsid w:val="00832EEC"/>
    <w:rsid w:val="00843B3E"/>
    <w:rsid w:val="00845B0C"/>
    <w:rsid w:val="00846FD8"/>
    <w:rsid w:val="00897124"/>
    <w:rsid w:val="008A5A8F"/>
    <w:rsid w:val="008A7681"/>
    <w:rsid w:val="008D2EB2"/>
    <w:rsid w:val="008D6FFA"/>
    <w:rsid w:val="008F70E9"/>
    <w:rsid w:val="00963EC0"/>
    <w:rsid w:val="0097450F"/>
    <w:rsid w:val="009B5FB9"/>
    <w:rsid w:val="009D12B1"/>
    <w:rsid w:val="009E397B"/>
    <w:rsid w:val="009E672E"/>
    <w:rsid w:val="00A10BB3"/>
    <w:rsid w:val="00A12A6A"/>
    <w:rsid w:val="00A14762"/>
    <w:rsid w:val="00A5146E"/>
    <w:rsid w:val="00A7299A"/>
    <w:rsid w:val="00A761A5"/>
    <w:rsid w:val="00A90694"/>
    <w:rsid w:val="00AA352D"/>
    <w:rsid w:val="00AA6666"/>
    <w:rsid w:val="00AB2F62"/>
    <w:rsid w:val="00AC637B"/>
    <w:rsid w:val="00AD2CA9"/>
    <w:rsid w:val="00B16FE0"/>
    <w:rsid w:val="00B27F07"/>
    <w:rsid w:val="00B349F4"/>
    <w:rsid w:val="00B50D1D"/>
    <w:rsid w:val="00B531D2"/>
    <w:rsid w:val="00B531D8"/>
    <w:rsid w:val="00B7718F"/>
    <w:rsid w:val="00B807DF"/>
    <w:rsid w:val="00B82FC3"/>
    <w:rsid w:val="00B853BA"/>
    <w:rsid w:val="00B90015"/>
    <w:rsid w:val="00B90355"/>
    <w:rsid w:val="00BA0462"/>
    <w:rsid w:val="00BA2B52"/>
    <w:rsid w:val="00BA6303"/>
    <w:rsid w:val="00BB3144"/>
    <w:rsid w:val="00BD0EE3"/>
    <w:rsid w:val="00C104F5"/>
    <w:rsid w:val="00C17F85"/>
    <w:rsid w:val="00C20A55"/>
    <w:rsid w:val="00C22174"/>
    <w:rsid w:val="00C34B4F"/>
    <w:rsid w:val="00C40A76"/>
    <w:rsid w:val="00C730A6"/>
    <w:rsid w:val="00C73357"/>
    <w:rsid w:val="00C8048A"/>
    <w:rsid w:val="00C9219D"/>
    <w:rsid w:val="00CA40D4"/>
    <w:rsid w:val="00CA4A21"/>
    <w:rsid w:val="00CB5D53"/>
    <w:rsid w:val="00CB7B30"/>
    <w:rsid w:val="00CC7D95"/>
    <w:rsid w:val="00CE0403"/>
    <w:rsid w:val="00D0254E"/>
    <w:rsid w:val="00D2798C"/>
    <w:rsid w:val="00D30682"/>
    <w:rsid w:val="00D35545"/>
    <w:rsid w:val="00D3663D"/>
    <w:rsid w:val="00D46D0D"/>
    <w:rsid w:val="00D656D3"/>
    <w:rsid w:val="00D93E4A"/>
    <w:rsid w:val="00DA05E2"/>
    <w:rsid w:val="00DC27AE"/>
    <w:rsid w:val="00DF1791"/>
    <w:rsid w:val="00E568B5"/>
    <w:rsid w:val="00E64936"/>
    <w:rsid w:val="00E71EC9"/>
    <w:rsid w:val="00ED721F"/>
    <w:rsid w:val="00ED7B34"/>
    <w:rsid w:val="00EE1B8B"/>
    <w:rsid w:val="00EE78CE"/>
    <w:rsid w:val="00F06DF9"/>
    <w:rsid w:val="00F31E63"/>
    <w:rsid w:val="00F532CA"/>
    <w:rsid w:val="00F6277A"/>
    <w:rsid w:val="00F67C4E"/>
    <w:rsid w:val="00F81F38"/>
    <w:rsid w:val="00F85549"/>
    <w:rsid w:val="00F91DF0"/>
    <w:rsid w:val="00FA2842"/>
    <w:rsid w:val="00FA2AD8"/>
    <w:rsid w:val="00FA6238"/>
    <w:rsid w:val="00FC4A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31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Documenttitle">
    <w:name w:val="Document title"/>
    <w:next w:val="Documentsubtitle"/>
    <w:uiPriority w:val="7"/>
    <w:rsid w:val="000C1FD2"/>
    <w:pPr>
      <w:spacing w:after="0" w:line="440" w:lineRule="atLeast"/>
    </w:pPr>
    <w:rPr>
      <w:rFonts w:asciiTheme="majorHAnsi" w:eastAsiaTheme="majorEastAsia" w:hAnsiTheme="majorHAnsi" w:cstheme="majorBidi"/>
      <w:b/>
      <w:bCs/>
      <w:color w:val="000000" w:themeColor="text1"/>
      <w:sz w:val="36"/>
      <w:szCs w:val="28"/>
      <w:lang w:val="en-GB" w:eastAsia="en-US"/>
    </w:rPr>
  </w:style>
  <w:style w:type="paragraph" w:customStyle="1" w:styleId="Documentdate">
    <w:name w:val="Document date"/>
    <w:uiPriority w:val="7"/>
    <w:rsid w:val="000C1FD2"/>
    <w:pPr>
      <w:spacing w:after="0" w:line="240" w:lineRule="atLeast"/>
    </w:pPr>
    <w:rPr>
      <w:rFonts w:ascii="Verdana" w:eastAsiaTheme="minorHAnsi" w:hAnsi="Verdana"/>
      <w:sz w:val="18"/>
      <w:szCs w:val="18"/>
      <w:lang w:val="en-GB" w:eastAsia="en-US"/>
    </w:rPr>
  </w:style>
  <w:style w:type="paragraph" w:customStyle="1" w:styleId="Documentsubtitle">
    <w:name w:val="Document subtitle"/>
    <w:basedOn w:val="Normal"/>
    <w:uiPriority w:val="7"/>
    <w:rsid w:val="000C1FD2"/>
    <w:pPr>
      <w:spacing w:after="120" w:line="440" w:lineRule="atLeast"/>
    </w:pPr>
    <w:rPr>
      <w:rFonts w:ascii="Verdana" w:eastAsiaTheme="minorHAnsi" w:hAnsi="Verdana" w:cstheme="minorBidi"/>
      <w:sz w:val="36"/>
      <w:szCs w:val="18"/>
      <w:lang w:val="en-GB" w:eastAsia="en-US"/>
    </w:rPr>
  </w:style>
  <w:style w:type="character" w:styleId="PlaceholderText">
    <w:name w:val="Placeholder Text"/>
    <w:basedOn w:val="DefaultParagraphFont"/>
    <w:uiPriority w:val="10"/>
    <w:semiHidden/>
    <w:rsid w:val="00116312"/>
    <w:rPr>
      <w:color w:val="808080"/>
      <w:lang w:val="en-AU"/>
    </w:rPr>
  </w:style>
  <w:style w:type="paragraph" w:customStyle="1" w:styleId="6F52E6BED8FA4D04875403527C8B12E4">
    <w:name w:val="6F52E6BED8FA4D04875403527C8B12E4"/>
    <w:rsid w:val="007F072E"/>
  </w:style>
  <w:style w:type="paragraph" w:customStyle="1" w:styleId="8142EC3DC98F4304BF9B264ED5B400B8">
    <w:name w:val="8142EC3DC98F4304BF9B264ED5B400B8"/>
    <w:rsid w:val="004A04C2"/>
  </w:style>
  <w:style w:type="paragraph" w:customStyle="1" w:styleId="A3A9754C83D34111A3C31F73379229C5">
    <w:name w:val="A3A9754C83D34111A3C31F73379229C5"/>
    <w:rsid w:val="004A04C2"/>
  </w:style>
  <w:style w:type="paragraph" w:customStyle="1" w:styleId="339E374970F340CBB09035E9DDB4F544">
    <w:name w:val="339E374970F340CBB09035E9DDB4F544"/>
    <w:rsid w:val="004A04C2"/>
  </w:style>
  <w:style w:type="table" w:customStyle="1" w:styleId="Tabel-Gitter1">
    <w:name w:val="Tabel - Gitter1"/>
    <w:basedOn w:val="TableNormal"/>
    <w:next w:val="TableGrid"/>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86514636B67F4B00B62354DAEE7E2734">
    <w:name w:val="86514636B67F4B00B62354DAEE7E2734"/>
    <w:rsid w:val="000C1FD2"/>
  </w:style>
  <w:style w:type="paragraph" w:customStyle="1" w:styleId="C45E729855534210817CDBD0392930EE">
    <w:name w:val="C45E729855534210817CDBD0392930EE"/>
    <w:rsid w:val="000C1FD2"/>
  </w:style>
  <w:style w:type="paragraph" w:customStyle="1" w:styleId="61CE89F2CB8B457296A3A64E07D2D231">
    <w:name w:val="61CE89F2CB8B457296A3A64E07D2D231"/>
    <w:rsid w:val="000C1FD2"/>
  </w:style>
  <w:style w:type="paragraph" w:customStyle="1" w:styleId="3A96E4B3250843CFA343BBB3647E633E">
    <w:name w:val="3A96E4B3250843CFA343BBB3647E633E"/>
    <w:rsid w:val="000C1FD2"/>
  </w:style>
  <w:style w:type="paragraph" w:customStyle="1" w:styleId="2B29019ECD9E498286CA4D4B5933A5C0">
    <w:name w:val="2B29019ECD9E498286CA4D4B5933A5C0"/>
    <w:rsid w:val="000C1FD2"/>
  </w:style>
  <w:style w:type="paragraph" w:customStyle="1" w:styleId="A5857467F8204342B83013D6457569CF">
    <w:name w:val="A5857467F8204342B83013D6457569CF"/>
    <w:rsid w:val="000C1FD2"/>
  </w:style>
  <w:style w:type="paragraph" w:customStyle="1" w:styleId="7201696C3BC54FFAA3258F6EC4636D9A">
    <w:name w:val="7201696C3BC54FFAA3258F6EC4636D9A"/>
    <w:rsid w:val="000C1FD2"/>
  </w:style>
  <w:style w:type="paragraph" w:customStyle="1" w:styleId="56143E00805142BD9FAFC940B130396B">
    <w:name w:val="56143E00805142BD9FAFC940B130396B"/>
    <w:rsid w:val="000C1FD2"/>
  </w:style>
  <w:style w:type="paragraph" w:customStyle="1" w:styleId="B8234058F1094BDD91864EDFE7CBC8F8">
    <w:name w:val="B8234058F1094BDD91864EDFE7CBC8F8"/>
    <w:rsid w:val="000C1FD2"/>
  </w:style>
  <w:style w:type="paragraph" w:customStyle="1" w:styleId="62374E895BEF43F29C6F1BFAEA2D3616">
    <w:name w:val="62374E895BEF43F29C6F1BFAEA2D3616"/>
    <w:rsid w:val="000C1FD2"/>
  </w:style>
  <w:style w:type="paragraph" w:customStyle="1" w:styleId="7FDD9F1D1E5546C980D97C3001F88DF8">
    <w:name w:val="7FDD9F1D1E5546C980D97C3001F88DF8"/>
    <w:rsid w:val="000C1FD2"/>
  </w:style>
  <w:style w:type="paragraph" w:customStyle="1" w:styleId="2ED34137BF3B4F33852F00E33DA621CF">
    <w:name w:val="2ED34137BF3B4F33852F00E33DA621CF"/>
    <w:rsid w:val="000C1FD2"/>
  </w:style>
  <w:style w:type="paragraph" w:customStyle="1" w:styleId="39E89E11979C48CA8895B477DB773428">
    <w:name w:val="39E89E11979C48CA8895B477DB773428"/>
    <w:rsid w:val="000C1FD2"/>
  </w:style>
  <w:style w:type="paragraph" w:customStyle="1" w:styleId="62B21152C129429D94BE703EF5FBF594">
    <w:name w:val="62B21152C129429D94BE703EF5FBF594"/>
    <w:rsid w:val="000C1FD2"/>
  </w:style>
  <w:style w:type="paragraph" w:customStyle="1" w:styleId="456A8B69549943A591DB234F72847624">
    <w:name w:val="456A8B69549943A591DB234F72847624"/>
    <w:rsid w:val="000C1FD2"/>
  </w:style>
  <w:style w:type="paragraph" w:customStyle="1" w:styleId="029919B33EAD47E988B128CB2FFB38CB">
    <w:name w:val="029919B33EAD47E988B128CB2FFB38CB"/>
    <w:rsid w:val="000C1FD2"/>
  </w:style>
  <w:style w:type="paragraph" w:customStyle="1" w:styleId="ECAFF258CFBD4BDD9B0F602BFED26E15">
    <w:name w:val="ECAFF258CFBD4BDD9B0F602BFED26E15"/>
    <w:rsid w:val="006A25BF"/>
  </w:style>
  <w:style w:type="paragraph" w:customStyle="1" w:styleId="A1AFA7F5C5334F3AB5999A0A3F256735">
    <w:name w:val="A1AFA7F5C5334F3AB5999A0A3F256735"/>
    <w:rsid w:val="006A25BF"/>
  </w:style>
  <w:style w:type="paragraph" w:customStyle="1" w:styleId="28095E34EF4C47A1ABA5EAE42D5955F8">
    <w:name w:val="28095E34EF4C47A1ABA5EAE42D5955F8"/>
    <w:rsid w:val="006A25BF"/>
  </w:style>
  <w:style w:type="paragraph" w:customStyle="1" w:styleId="BCE5F30A64DC4A0FBA61C6C4C2E64B90">
    <w:name w:val="BCE5F30A64DC4A0FBA61C6C4C2E64B90"/>
    <w:rsid w:val="00F532CA"/>
  </w:style>
  <w:style w:type="paragraph" w:customStyle="1" w:styleId="320FB5E9C79748E18DABFD65734C759E">
    <w:name w:val="320FB5E9C79748E18DABFD65734C759E"/>
    <w:rsid w:val="0031761E"/>
  </w:style>
  <w:style w:type="paragraph" w:customStyle="1" w:styleId="E0D96FF2B7004DC49783C189E0760366">
    <w:name w:val="E0D96FF2B7004DC49783C189E0760366"/>
    <w:rsid w:val="008D2EB2"/>
  </w:style>
  <w:style w:type="paragraph" w:customStyle="1" w:styleId="0DC3989BCA844ACABC24A63D6E96BE5B">
    <w:name w:val="0DC3989BCA844ACABC24A63D6E96BE5B"/>
    <w:rsid w:val="00B853BA"/>
    <w:pPr>
      <w:spacing w:after="160" w:line="259" w:lineRule="auto"/>
    </w:pPr>
  </w:style>
  <w:style w:type="paragraph" w:customStyle="1" w:styleId="7D83D5BF34244E2A8B5A817125C519AD">
    <w:name w:val="7D83D5BF34244E2A8B5A817125C519AD"/>
    <w:rsid w:val="00B853BA"/>
    <w:pPr>
      <w:spacing w:after="160" w:line="259" w:lineRule="auto"/>
    </w:pPr>
  </w:style>
  <w:style w:type="paragraph" w:customStyle="1" w:styleId="DDA79C5C720144AC8356A32D29D639AA">
    <w:name w:val="DDA79C5C720144AC8356A32D29D639AA"/>
    <w:rsid w:val="00DA05E2"/>
    <w:pPr>
      <w:spacing w:after="160" w:line="259" w:lineRule="auto"/>
    </w:pPr>
  </w:style>
  <w:style w:type="paragraph" w:customStyle="1" w:styleId="C19FC841B059469A8E641BA892CEE0FD">
    <w:name w:val="C19FC841B059469A8E641BA892CEE0FD"/>
    <w:rsid w:val="00482D02"/>
    <w:pPr>
      <w:spacing w:after="160" w:line="259" w:lineRule="auto"/>
    </w:pPr>
  </w:style>
  <w:style w:type="paragraph" w:customStyle="1" w:styleId="F4F00146543A473B91BCD3A8E10D69EE">
    <w:name w:val="F4F00146543A473B91BCD3A8E10D69EE"/>
    <w:rsid w:val="00482D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380BA2A83C5E4C82E6663FE885B7C0" ma:contentTypeVersion="9" ma:contentTypeDescription="Create a new document." ma:contentTypeScope="" ma:versionID="0190ac747cc0d2cfcda5275c7d371d60">
  <xsd:schema xmlns:xsd="http://www.w3.org/2001/XMLSchema" xmlns:xs="http://www.w3.org/2001/XMLSchema" xmlns:p="http://schemas.microsoft.com/office/2006/metadata/properties" xmlns:ns3="dc8d4ed3-1f46-4077-b8cc-aac2a5dbcae3" targetNamespace="http://schemas.microsoft.com/office/2006/metadata/properties" ma:root="true" ma:fieldsID="46ae35073c0e8a33d5edb387a93cec83" ns3:_="">
    <xsd:import namespace="dc8d4ed3-1f46-4077-b8cc-aac2a5dbca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d4ed3-1f46-4077-b8cc-aac2a5dbc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54A91-BCE4-4847-A8FE-C7A1A943B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d4ed3-1f46-4077-b8cc-aac2a5db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ACB791-8B4D-43E8-9421-B04DFD782D9A}">
  <ds:schemaRefs>
    <ds:schemaRef ds:uri="http://schemas.microsoft.com/sharepoint/v3/contenttype/forms"/>
  </ds:schemaRefs>
</ds:datastoreItem>
</file>

<file path=customXml/itemProps3.xml><?xml version="1.0" encoding="utf-8"?>
<ds:datastoreItem xmlns:ds="http://schemas.openxmlformats.org/officeDocument/2006/customXml" ds:itemID="{91B1171C-5431-4FDA-B351-1E1BF1699B5B}">
  <ds:schemaRefs>
    <ds:schemaRef ds:uri="http://purl.org/dc/elements/1.1/"/>
    <ds:schemaRef ds:uri="http://schemas.microsoft.com/office/2006/metadata/properties"/>
    <ds:schemaRef ds:uri="dc8d4ed3-1f46-4077-b8cc-aac2a5dbcae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CCCE783-AEA9-46F1-B9F6-8518E72B1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17830</Words>
  <Characters>101634</Characters>
  <Application>Microsoft Office Word</Application>
  <DocSecurity>4</DocSecurity>
  <Lines>846</Lines>
  <Paragraphs>238</Paragraphs>
  <ScaleCrop>false</ScaleCrop>
  <HeadingPairs>
    <vt:vector size="6" baseType="variant">
      <vt:variant>
        <vt:lpstr>Title</vt:lpstr>
      </vt:variant>
      <vt:variant>
        <vt:i4>1</vt:i4>
      </vt:variant>
      <vt:variant>
        <vt:lpstr>Titel</vt:lpstr>
      </vt:variant>
      <vt:variant>
        <vt:i4>1</vt:i4>
      </vt:variant>
      <vt:variant>
        <vt:lpstr>Overskrifter</vt:lpstr>
      </vt:variant>
      <vt:variant>
        <vt:i4>2</vt:i4>
      </vt:variant>
    </vt:vector>
  </HeadingPairs>
  <TitlesOfParts>
    <vt:vector size="4" baseType="lpstr">
      <vt:lpstr>Final report – Temporary Transformation Payment Benchmarking Survey</vt:lpstr>
      <vt:lpstr>Document title</vt:lpstr>
      <vt:lpstr/>
      <vt:lpstr>    </vt:lpstr>
    </vt:vector>
  </TitlesOfParts>
  <Company/>
  <LinksUpToDate>false</LinksUpToDate>
  <CharactersWithSpaces>119226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Temporary Transformation Payment Benchmarking Survey</dc:title>
  <dc:creator>Creelman, David</dc:creator>
  <cp:lastModifiedBy>Ling, Sally</cp:lastModifiedBy>
  <cp:revision>2</cp:revision>
  <cp:lastPrinted>2020-05-15T07:39:00Z</cp:lastPrinted>
  <dcterms:created xsi:type="dcterms:W3CDTF">2020-06-04T21:43:00Z</dcterms:created>
  <dcterms:modified xsi:type="dcterms:W3CDTF">2020-06-04T21:43:00Z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E_Templates">
    <vt:lpwstr>True</vt:lpwstr>
  </property>
  <property fmtid="{D5CDD505-2E9C-101B-9397-08002B2CF9AE}" pid="3" name="FrontpageColorChange">
    <vt:lpwstr>True</vt:lpwstr>
  </property>
  <property fmtid="{D5CDD505-2E9C-101B-9397-08002B2CF9AE}" pid="4" name="TemplafyTimeStamp">
    <vt:lpwstr>2019-04-23T06:49:33.9845782</vt:lpwstr>
  </property>
  <property fmtid="{D5CDD505-2E9C-101B-9397-08002B2CF9AE}" pid="5" name="CustomerId">
    <vt:lpwstr>deloitteaus</vt:lpwstr>
  </property>
  <property fmtid="{D5CDD505-2E9C-101B-9397-08002B2CF9AE}" pid="6" name="TemplateId">
    <vt:lpwstr>636915989739845782</vt:lpwstr>
  </property>
  <property fmtid="{D5CDD505-2E9C-101B-9397-08002B2CF9AE}" pid="7" name="UserProfileId">
    <vt:lpwstr>636136631067665930</vt:lpwstr>
  </property>
  <property fmtid="{D5CDD505-2E9C-101B-9397-08002B2CF9AE}" pid="8" name="ContentTypeId">
    <vt:lpwstr>0x01010089380BA2A83C5E4C82E6663FE885B7C0</vt:lpwstr>
  </property>
</Properties>
</file>